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C0B6E" w14:textId="77777777" w:rsidR="00395B24" w:rsidRDefault="000E2CD7" w:rsidP="00A22932">
      <w:pPr>
        <w:pStyle w:val="CourtTitle"/>
      </w:pPr>
      <w:r>
        <w:fldChar w:fldCharType="begin"/>
      </w:r>
      <w:r>
        <w:instrText xml:space="preserve"> DOCPROPERTY  Court  \* MERGEFORMAT </w:instrText>
      </w:r>
      <w:r>
        <w:fldChar w:fldCharType="separate"/>
      </w:r>
      <w:r w:rsidR="00C56AA4">
        <w:t>Federal Court of Australia</w:t>
      </w:r>
      <w:r>
        <w:fldChar w:fldCharType="end"/>
      </w:r>
    </w:p>
    <w:p w14:paraId="52DF7A6A" w14:textId="77777777" w:rsidR="004D7950" w:rsidRDefault="004D7950">
      <w:pPr>
        <w:pStyle w:val="NormalHeadings"/>
        <w:jc w:val="center"/>
        <w:rPr>
          <w:sz w:val="32"/>
        </w:rPr>
      </w:pPr>
    </w:p>
    <w:bookmarkStart w:id="0" w:name="MNC"/>
    <w:p w14:paraId="62680D4C" w14:textId="6CB9583B" w:rsidR="00374CC4" w:rsidRDefault="00D55062" w:rsidP="001A2B40">
      <w:pPr>
        <w:pStyle w:val="MNC"/>
      </w:pPr>
      <w:sdt>
        <w:sdtPr>
          <w:alias w:val="MNC"/>
          <w:tag w:val="MNC"/>
          <w:id w:val="343289786"/>
          <w:lock w:val="sdtLocked"/>
          <w:placeholder>
            <w:docPart w:val="2DDAA4A2C7B9478C806620452AFD7E39"/>
          </w:placeholder>
          <w:dataBinding w:prefixMappings="xmlns:ns0='http://schemas.globalmacros.com/FCA'" w:xpath="/ns0:root[1]/ns0:Name[1]" w:storeItemID="{687E7CCB-4AA5-44E7-B148-17BA2B6F57C0}"/>
          <w:text w:multiLine="1"/>
        </w:sdtPr>
        <w:sdtEndPr/>
        <w:sdtContent>
          <w:r w:rsidR="009A4EE9">
            <w:t>Sandys Swim Pty Ltd v Morgan [2022] FCA 1574</w:t>
          </w:r>
        </w:sdtContent>
      </w:sdt>
      <w:bookmarkEnd w:id="0"/>
      <w:r w:rsidR="005C185C">
        <w:t xml:space="preserve"> </w:t>
      </w:r>
    </w:p>
    <w:tbl>
      <w:tblPr>
        <w:tblW w:w="9061" w:type="dxa"/>
        <w:tblLayout w:type="fixed"/>
        <w:tblLook w:val="01E0" w:firstRow="1" w:lastRow="1" w:firstColumn="1" w:lastColumn="1" w:noHBand="0" w:noVBand="0"/>
      </w:tblPr>
      <w:tblGrid>
        <w:gridCol w:w="3072"/>
        <w:gridCol w:w="5989"/>
      </w:tblGrid>
      <w:tr w:rsidR="00395B24" w14:paraId="5E99A880" w14:textId="77777777" w:rsidTr="00385EDD">
        <w:tc>
          <w:tcPr>
            <w:tcW w:w="3072" w:type="dxa"/>
            <w:shd w:val="clear" w:color="auto" w:fill="auto"/>
          </w:tcPr>
          <w:p w14:paraId="4CD2FFD0" w14:textId="79617156" w:rsidR="00395B24" w:rsidRDefault="002C7385" w:rsidP="00663878">
            <w:pPr>
              <w:pStyle w:val="Normal1linespace"/>
              <w:widowControl w:val="0"/>
              <w:jc w:val="left"/>
            </w:pPr>
            <w:r>
              <w:t>File number:</w:t>
            </w:r>
          </w:p>
        </w:tc>
        <w:tc>
          <w:tcPr>
            <w:tcW w:w="5989" w:type="dxa"/>
            <w:shd w:val="clear" w:color="auto" w:fill="auto"/>
          </w:tcPr>
          <w:p w14:paraId="55ACBB48" w14:textId="77777777" w:rsidR="00395B24" w:rsidRPr="00C56AA4" w:rsidRDefault="00D55062" w:rsidP="00C56AA4">
            <w:pPr>
              <w:pStyle w:val="Normal1linespace"/>
              <w:jc w:val="left"/>
            </w:pPr>
            <w:r>
              <w:fldChar w:fldCharType="begin" w:fldLock="1"/>
            </w:r>
            <w:r>
              <w:instrText xml:space="preserve"> REF  FileNo  \* MERGEFORMAT </w:instrText>
            </w:r>
            <w:r>
              <w:fldChar w:fldCharType="separate"/>
            </w:r>
            <w:r w:rsidR="00C56AA4" w:rsidRPr="00C56AA4">
              <w:t>ACD 42 of 2022</w:t>
            </w:r>
            <w:r>
              <w:fldChar w:fldCharType="end"/>
            </w:r>
          </w:p>
        </w:tc>
      </w:tr>
      <w:tr w:rsidR="00395B24" w14:paraId="78BF3CC5" w14:textId="77777777" w:rsidTr="00385EDD">
        <w:tc>
          <w:tcPr>
            <w:tcW w:w="3072" w:type="dxa"/>
            <w:shd w:val="clear" w:color="auto" w:fill="auto"/>
          </w:tcPr>
          <w:p w14:paraId="47E20D31" w14:textId="77777777" w:rsidR="00395B24" w:rsidRDefault="00395B24" w:rsidP="00663878">
            <w:pPr>
              <w:pStyle w:val="Normal1linespace"/>
              <w:widowControl w:val="0"/>
              <w:jc w:val="left"/>
            </w:pPr>
          </w:p>
        </w:tc>
        <w:tc>
          <w:tcPr>
            <w:tcW w:w="5989" w:type="dxa"/>
            <w:shd w:val="clear" w:color="auto" w:fill="auto"/>
          </w:tcPr>
          <w:p w14:paraId="4620F0B5" w14:textId="77777777" w:rsidR="00395B24" w:rsidRDefault="00395B24" w:rsidP="00663878">
            <w:pPr>
              <w:pStyle w:val="Normal1linespace"/>
              <w:widowControl w:val="0"/>
              <w:jc w:val="left"/>
            </w:pPr>
          </w:p>
        </w:tc>
      </w:tr>
      <w:tr w:rsidR="00395B24" w14:paraId="3F05BF38" w14:textId="77777777" w:rsidTr="00385EDD">
        <w:tc>
          <w:tcPr>
            <w:tcW w:w="3072" w:type="dxa"/>
            <w:shd w:val="clear" w:color="auto" w:fill="auto"/>
          </w:tcPr>
          <w:p w14:paraId="5B8B5CC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C735161" w14:textId="77777777" w:rsidR="00395B24" w:rsidRDefault="002C7385" w:rsidP="00663878">
            <w:pPr>
              <w:pStyle w:val="Normal1linespace"/>
              <w:widowControl w:val="0"/>
              <w:jc w:val="left"/>
              <w:rPr>
                <w:b/>
              </w:rPr>
            </w:pPr>
            <w:r w:rsidRPr="00C56AA4">
              <w:rPr>
                <w:b/>
              </w:rPr>
              <w:fldChar w:fldCharType="begin" w:fldLock="1"/>
            </w:r>
            <w:r w:rsidRPr="00C56AA4">
              <w:rPr>
                <w:b/>
              </w:rPr>
              <w:instrText xml:space="preserve"> REF  Judge  \* MERGEFORMAT </w:instrText>
            </w:r>
            <w:r w:rsidRPr="00C56AA4">
              <w:rPr>
                <w:b/>
              </w:rPr>
              <w:fldChar w:fldCharType="separate"/>
            </w:r>
            <w:r w:rsidR="00C56AA4" w:rsidRPr="00C56AA4">
              <w:rPr>
                <w:b/>
                <w:caps/>
                <w:szCs w:val="24"/>
              </w:rPr>
              <w:t>SARAH C DERRINGTON J</w:t>
            </w:r>
            <w:r w:rsidRPr="00C56AA4">
              <w:rPr>
                <w:b/>
              </w:rPr>
              <w:fldChar w:fldCharType="end"/>
            </w:r>
          </w:p>
        </w:tc>
      </w:tr>
      <w:tr w:rsidR="00395B24" w14:paraId="26436E5F" w14:textId="77777777" w:rsidTr="00385EDD">
        <w:tc>
          <w:tcPr>
            <w:tcW w:w="3072" w:type="dxa"/>
            <w:shd w:val="clear" w:color="auto" w:fill="auto"/>
          </w:tcPr>
          <w:p w14:paraId="5A859E09" w14:textId="77777777" w:rsidR="00395B24" w:rsidRDefault="00395B24" w:rsidP="00663878">
            <w:pPr>
              <w:pStyle w:val="Normal1linespace"/>
              <w:widowControl w:val="0"/>
              <w:jc w:val="left"/>
            </w:pPr>
          </w:p>
        </w:tc>
        <w:tc>
          <w:tcPr>
            <w:tcW w:w="5989" w:type="dxa"/>
            <w:shd w:val="clear" w:color="auto" w:fill="auto"/>
          </w:tcPr>
          <w:p w14:paraId="530C9F2D" w14:textId="77777777" w:rsidR="00395B24" w:rsidRDefault="00395B24" w:rsidP="00663878">
            <w:pPr>
              <w:pStyle w:val="Normal1linespace"/>
              <w:widowControl w:val="0"/>
              <w:jc w:val="left"/>
            </w:pPr>
          </w:p>
        </w:tc>
      </w:tr>
      <w:tr w:rsidR="00395B24" w14:paraId="699BB772" w14:textId="77777777" w:rsidTr="00385EDD">
        <w:tc>
          <w:tcPr>
            <w:tcW w:w="3072" w:type="dxa"/>
            <w:shd w:val="clear" w:color="auto" w:fill="auto"/>
          </w:tcPr>
          <w:p w14:paraId="03EDF102" w14:textId="77777777" w:rsidR="00395B24" w:rsidRDefault="002C7385" w:rsidP="00663878">
            <w:pPr>
              <w:pStyle w:val="Normal1linespace"/>
              <w:widowControl w:val="0"/>
              <w:jc w:val="left"/>
            </w:pPr>
            <w:r>
              <w:t>Date of judgment:</w:t>
            </w:r>
          </w:p>
        </w:tc>
        <w:tc>
          <w:tcPr>
            <w:tcW w:w="5989" w:type="dxa"/>
            <w:shd w:val="clear" w:color="auto" w:fill="auto"/>
          </w:tcPr>
          <w:p w14:paraId="5A437992" w14:textId="5E819622" w:rsidR="00395B24" w:rsidRDefault="00455DD4" w:rsidP="00663878">
            <w:pPr>
              <w:pStyle w:val="Normal1linespace"/>
              <w:widowControl w:val="0"/>
              <w:jc w:val="left"/>
            </w:pPr>
            <w:r>
              <w:t>23 December 2022</w:t>
            </w:r>
          </w:p>
        </w:tc>
      </w:tr>
      <w:tr w:rsidR="00395B24" w14:paraId="572E1779" w14:textId="77777777" w:rsidTr="00385EDD">
        <w:tc>
          <w:tcPr>
            <w:tcW w:w="3072" w:type="dxa"/>
            <w:shd w:val="clear" w:color="auto" w:fill="auto"/>
          </w:tcPr>
          <w:p w14:paraId="15D96F5A" w14:textId="77777777" w:rsidR="00395B24" w:rsidRDefault="00395B24" w:rsidP="00663878">
            <w:pPr>
              <w:pStyle w:val="Normal1linespace"/>
              <w:widowControl w:val="0"/>
              <w:jc w:val="left"/>
            </w:pPr>
          </w:p>
        </w:tc>
        <w:tc>
          <w:tcPr>
            <w:tcW w:w="5989" w:type="dxa"/>
            <w:shd w:val="clear" w:color="auto" w:fill="auto"/>
          </w:tcPr>
          <w:p w14:paraId="5191887D" w14:textId="77777777" w:rsidR="00395B24" w:rsidRDefault="00395B24" w:rsidP="00663878">
            <w:pPr>
              <w:pStyle w:val="Normal1linespace"/>
              <w:widowControl w:val="0"/>
              <w:jc w:val="left"/>
            </w:pPr>
          </w:p>
        </w:tc>
      </w:tr>
      <w:tr w:rsidR="00395B24" w14:paraId="3602D4D2" w14:textId="77777777" w:rsidTr="00385EDD">
        <w:tc>
          <w:tcPr>
            <w:tcW w:w="3072" w:type="dxa"/>
            <w:shd w:val="clear" w:color="auto" w:fill="auto"/>
          </w:tcPr>
          <w:p w14:paraId="1E4764A9" w14:textId="77777777" w:rsidR="00395B24" w:rsidRDefault="002C7385" w:rsidP="00663878">
            <w:pPr>
              <w:pStyle w:val="Normal1linespace"/>
              <w:widowControl w:val="0"/>
              <w:jc w:val="left"/>
            </w:pPr>
            <w:r>
              <w:t>Catchwords:</w:t>
            </w:r>
          </w:p>
        </w:tc>
        <w:tc>
          <w:tcPr>
            <w:tcW w:w="5989" w:type="dxa"/>
            <w:shd w:val="clear" w:color="auto" w:fill="auto"/>
          </w:tcPr>
          <w:p w14:paraId="33ED69DB" w14:textId="32B9002A" w:rsidR="00395B24" w:rsidRDefault="00427BBE" w:rsidP="00663878">
            <w:pPr>
              <w:pStyle w:val="Normal1linespace"/>
              <w:widowControl w:val="0"/>
              <w:jc w:val="left"/>
            </w:pPr>
            <w:r w:rsidRPr="00427BBE">
              <w:rPr>
                <w:b/>
                <w:bCs/>
              </w:rPr>
              <w:t>CORPORATIONS</w:t>
            </w:r>
            <w:r w:rsidRPr="00427BBE">
              <w:t xml:space="preserve"> </w:t>
            </w:r>
            <w:r w:rsidR="00466FDF">
              <w:t>–</w:t>
            </w:r>
            <w:r w:rsidR="00381609">
              <w:t xml:space="preserve"> </w:t>
            </w:r>
            <w:r w:rsidR="00466FDF">
              <w:t>application to set aside a statutory demand</w:t>
            </w:r>
            <w:r w:rsidR="00381609">
              <w:t xml:space="preserve"> pursuant to s 459G of the </w:t>
            </w:r>
            <w:r w:rsidR="00381609" w:rsidRPr="00424DBA">
              <w:rPr>
                <w:i/>
                <w:iCs/>
              </w:rPr>
              <w:t>Corporations Act 2001</w:t>
            </w:r>
            <w:r w:rsidR="00381609">
              <w:t xml:space="preserve"> (</w:t>
            </w:r>
            <w:proofErr w:type="spellStart"/>
            <w:r w:rsidR="00381609">
              <w:t>Cth</w:t>
            </w:r>
            <w:proofErr w:type="spellEnd"/>
            <w:r w:rsidR="00381609">
              <w:t xml:space="preserve">) – </w:t>
            </w:r>
            <w:r w:rsidR="00D5717F">
              <w:t>whether application served within 21 days as required by s 459G –</w:t>
            </w:r>
            <w:r w:rsidR="00D46418">
              <w:t xml:space="preserve"> where statutory demand served by email and post – whether service effective </w:t>
            </w:r>
            <w:r w:rsidR="00424DBA">
              <w:t xml:space="preserve">by virtue of s 600G and </w:t>
            </w:r>
            <w:proofErr w:type="spellStart"/>
            <w:r w:rsidR="00424DBA">
              <w:t>ss</w:t>
            </w:r>
            <w:proofErr w:type="spellEnd"/>
            <w:r w:rsidR="00424DBA">
              <w:t xml:space="preserve"> 105A and B </w:t>
            </w:r>
            <w:r w:rsidR="00D46418">
              <w:t>when email received</w:t>
            </w:r>
          </w:p>
        </w:tc>
      </w:tr>
      <w:tr w:rsidR="00395B24" w14:paraId="65B3798E" w14:textId="77777777" w:rsidTr="00385EDD">
        <w:tc>
          <w:tcPr>
            <w:tcW w:w="3072" w:type="dxa"/>
            <w:shd w:val="clear" w:color="auto" w:fill="auto"/>
          </w:tcPr>
          <w:p w14:paraId="25AB4319" w14:textId="77777777" w:rsidR="00395B24" w:rsidRDefault="00395B24" w:rsidP="00663878">
            <w:pPr>
              <w:pStyle w:val="Normal1linespace"/>
              <w:widowControl w:val="0"/>
              <w:jc w:val="left"/>
            </w:pPr>
          </w:p>
        </w:tc>
        <w:tc>
          <w:tcPr>
            <w:tcW w:w="5989" w:type="dxa"/>
            <w:shd w:val="clear" w:color="auto" w:fill="auto"/>
          </w:tcPr>
          <w:p w14:paraId="3639E283" w14:textId="77777777" w:rsidR="00395B24" w:rsidRDefault="00395B24" w:rsidP="00663878">
            <w:pPr>
              <w:pStyle w:val="Normal1linespace"/>
              <w:widowControl w:val="0"/>
              <w:jc w:val="left"/>
            </w:pPr>
          </w:p>
        </w:tc>
      </w:tr>
      <w:tr w:rsidR="00395B24" w14:paraId="26328B52" w14:textId="77777777" w:rsidTr="00385EDD">
        <w:tc>
          <w:tcPr>
            <w:tcW w:w="3072" w:type="dxa"/>
            <w:shd w:val="clear" w:color="auto" w:fill="auto"/>
          </w:tcPr>
          <w:p w14:paraId="314B1EBE" w14:textId="77777777" w:rsidR="00395B24" w:rsidRDefault="002C7385" w:rsidP="00663878">
            <w:pPr>
              <w:pStyle w:val="Normal1linespace"/>
              <w:widowControl w:val="0"/>
              <w:jc w:val="left"/>
            </w:pPr>
            <w:r>
              <w:t>Legislation:</w:t>
            </w:r>
          </w:p>
        </w:tc>
        <w:tc>
          <w:tcPr>
            <w:tcW w:w="5989" w:type="dxa"/>
            <w:shd w:val="clear" w:color="auto" w:fill="auto"/>
          </w:tcPr>
          <w:p w14:paraId="46D333E8" w14:textId="4545AF0A" w:rsidR="009B096F" w:rsidRDefault="009B096F" w:rsidP="00D82620">
            <w:pPr>
              <w:pStyle w:val="CasesLegislationAppealFrom"/>
              <w:spacing w:after="60"/>
              <w:rPr>
                <w:i/>
                <w:iCs/>
              </w:rPr>
            </w:pPr>
            <w:r w:rsidRPr="001250F2">
              <w:rPr>
                <w:i/>
              </w:rPr>
              <w:t xml:space="preserve">Acts Interpretation Act 1901 </w:t>
            </w:r>
            <w:r w:rsidRPr="001250F2">
              <w:t>(</w:t>
            </w:r>
            <w:proofErr w:type="spellStart"/>
            <w:r w:rsidRPr="001250F2">
              <w:t>Cth</w:t>
            </w:r>
            <w:proofErr w:type="spellEnd"/>
            <w:r w:rsidRPr="001250F2">
              <w:t>)</w:t>
            </w:r>
            <w:r>
              <w:t>, s 28A</w:t>
            </w:r>
          </w:p>
          <w:p w14:paraId="1CB5A121" w14:textId="0A6EEF4C" w:rsidR="00395B24" w:rsidRDefault="00424DBA" w:rsidP="00D82620">
            <w:pPr>
              <w:pStyle w:val="CasesLegislationAppealFrom"/>
              <w:spacing w:after="60"/>
            </w:pPr>
            <w:r w:rsidRPr="00424DBA">
              <w:rPr>
                <w:i/>
                <w:iCs/>
              </w:rPr>
              <w:t>Corporations Act 2001</w:t>
            </w:r>
            <w:r>
              <w:rPr>
                <w:i/>
                <w:iCs/>
              </w:rPr>
              <w:t xml:space="preserve"> </w:t>
            </w:r>
            <w:r>
              <w:t>(</w:t>
            </w:r>
            <w:proofErr w:type="spellStart"/>
            <w:r>
              <w:t>Cth</w:t>
            </w:r>
            <w:proofErr w:type="spellEnd"/>
            <w:r>
              <w:t xml:space="preserve">), </w:t>
            </w:r>
            <w:proofErr w:type="spellStart"/>
            <w:r>
              <w:t>ss</w:t>
            </w:r>
            <w:proofErr w:type="spellEnd"/>
            <w:r w:rsidR="00BB3072">
              <w:t xml:space="preserve"> </w:t>
            </w:r>
            <w:r w:rsidR="003519E1">
              <w:t xml:space="preserve">9, </w:t>
            </w:r>
            <w:r w:rsidR="00623203">
              <w:t xml:space="preserve">105A, 105B, </w:t>
            </w:r>
            <w:r w:rsidR="006C5E1D">
              <w:t xml:space="preserve">109X, </w:t>
            </w:r>
            <w:r w:rsidR="00101CAD">
              <w:t xml:space="preserve">459E, </w:t>
            </w:r>
            <w:r w:rsidR="00BB3072">
              <w:t>459G, 459</w:t>
            </w:r>
            <w:r w:rsidR="00A40E6B">
              <w:t>H(1)(a) and (b)</w:t>
            </w:r>
            <w:r w:rsidR="00623203">
              <w:t xml:space="preserve">, </w:t>
            </w:r>
            <w:r w:rsidR="00946976">
              <w:t xml:space="preserve">459J, </w:t>
            </w:r>
            <w:r w:rsidR="00623203">
              <w:t>600G</w:t>
            </w:r>
          </w:p>
          <w:p w14:paraId="42BF0F20" w14:textId="2E78CE7C" w:rsidR="003519E1" w:rsidRDefault="003519E1" w:rsidP="00D82620">
            <w:pPr>
              <w:pStyle w:val="CasesLegislationAppealFrom"/>
              <w:spacing w:after="60"/>
            </w:pPr>
            <w:r>
              <w:rPr>
                <w:i/>
              </w:rPr>
              <w:t xml:space="preserve">Corporations Amendment (Corporate Insolvency Reforms) Act 2020 </w:t>
            </w:r>
            <w:r>
              <w:t>(</w:t>
            </w:r>
            <w:proofErr w:type="spellStart"/>
            <w:r>
              <w:t>Cth</w:t>
            </w:r>
            <w:proofErr w:type="spellEnd"/>
            <w:r>
              <w:t>)</w:t>
            </w:r>
          </w:p>
          <w:p w14:paraId="2FAA4488" w14:textId="17DBA58B" w:rsidR="00F320FF" w:rsidRDefault="00F320FF" w:rsidP="00D82620">
            <w:pPr>
              <w:pStyle w:val="CasesLegislationAppealFrom"/>
              <w:spacing w:after="60"/>
            </w:pPr>
            <w:r w:rsidRPr="0006312A">
              <w:rPr>
                <w:i/>
                <w:iCs/>
                <w:szCs w:val="24"/>
              </w:rPr>
              <w:t>Evidence Act 1995</w:t>
            </w:r>
            <w:r w:rsidRPr="0006312A">
              <w:rPr>
                <w:szCs w:val="24"/>
              </w:rPr>
              <w:t xml:space="preserve"> (</w:t>
            </w:r>
            <w:proofErr w:type="spellStart"/>
            <w:r w:rsidRPr="0006312A">
              <w:rPr>
                <w:szCs w:val="24"/>
              </w:rPr>
              <w:t>Cth</w:t>
            </w:r>
            <w:proofErr w:type="spellEnd"/>
            <w:r w:rsidRPr="0006312A">
              <w:rPr>
                <w:szCs w:val="24"/>
              </w:rPr>
              <w:t>)</w:t>
            </w:r>
            <w:r>
              <w:rPr>
                <w:szCs w:val="24"/>
              </w:rPr>
              <w:t>, s 161</w:t>
            </w:r>
          </w:p>
          <w:p w14:paraId="5EB47DA9" w14:textId="77777777" w:rsidR="00521528" w:rsidRDefault="00521528" w:rsidP="00D82620">
            <w:pPr>
              <w:pStyle w:val="CasesLegislationAppealFrom"/>
              <w:spacing w:after="60"/>
            </w:pPr>
            <w:r w:rsidRPr="00BB3072">
              <w:rPr>
                <w:i/>
                <w:iCs/>
              </w:rPr>
              <w:t>Federal Court of Australia Act 1976</w:t>
            </w:r>
            <w:r>
              <w:t xml:space="preserve"> (</w:t>
            </w:r>
            <w:proofErr w:type="spellStart"/>
            <w:r>
              <w:t>Cth</w:t>
            </w:r>
            <w:proofErr w:type="spellEnd"/>
            <w:r>
              <w:t>), s 35A(5)</w:t>
            </w:r>
          </w:p>
          <w:p w14:paraId="29E736EA" w14:textId="058A6883" w:rsidR="00BB3072" w:rsidRPr="00424DBA" w:rsidRDefault="00BB3072" w:rsidP="00D82620">
            <w:pPr>
              <w:pStyle w:val="CasesLegislationAppealFrom"/>
              <w:spacing w:after="60"/>
            </w:pPr>
            <w:r w:rsidRPr="0041096A">
              <w:rPr>
                <w:i/>
                <w:iCs/>
              </w:rPr>
              <w:t>Federal Court Rules 2011</w:t>
            </w:r>
            <w:r>
              <w:t xml:space="preserve"> (</w:t>
            </w:r>
            <w:proofErr w:type="spellStart"/>
            <w:r>
              <w:t>Cth</w:t>
            </w:r>
            <w:proofErr w:type="spellEnd"/>
            <w:r>
              <w:t>), r 1.34</w:t>
            </w:r>
          </w:p>
        </w:tc>
      </w:tr>
      <w:tr w:rsidR="00395B24" w14:paraId="73C4C6AD" w14:textId="77777777" w:rsidTr="00385EDD">
        <w:tc>
          <w:tcPr>
            <w:tcW w:w="3072" w:type="dxa"/>
            <w:shd w:val="clear" w:color="auto" w:fill="auto"/>
          </w:tcPr>
          <w:p w14:paraId="7C179A3C" w14:textId="77777777" w:rsidR="00395B24" w:rsidRDefault="00395B24" w:rsidP="00663878">
            <w:pPr>
              <w:pStyle w:val="Normal1linespace"/>
              <w:widowControl w:val="0"/>
              <w:jc w:val="left"/>
            </w:pPr>
          </w:p>
        </w:tc>
        <w:tc>
          <w:tcPr>
            <w:tcW w:w="5989" w:type="dxa"/>
            <w:shd w:val="clear" w:color="auto" w:fill="auto"/>
          </w:tcPr>
          <w:p w14:paraId="3084DAA5" w14:textId="77777777" w:rsidR="00395B24" w:rsidRDefault="00395B24" w:rsidP="00663878">
            <w:pPr>
              <w:pStyle w:val="Normal1linespace"/>
              <w:widowControl w:val="0"/>
              <w:jc w:val="left"/>
            </w:pPr>
          </w:p>
        </w:tc>
      </w:tr>
      <w:tr w:rsidR="00395B24" w14:paraId="5EFADAAE" w14:textId="77777777" w:rsidTr="00385EDD">
        <w:tc>
          <w:tcPr>
            <w:tcW w:w="3072" w:type="dxa"/>
            <w:shd w:val="clear" w:color="auto" w:fill="auto"/>
          </w:tcPr>
          <w:p w14:paraId="5F06D9C6" w14:textId="77777777" w:rsidR="00395B24" w:rsidRDefault="002C7385" w:rsidP="00663878">
            <w:pPr>
              <w:pStyle w:val="Normal1linespace"/>
              <w:widowControl w:val="0"/>
              <w:jc w:val="left"/>
            </w:pPr>
            <w:r>
              <w:t>Cases cited:</w:t>
            </w:r>
          </w:p>
        </w:tc>
        <w:tc>
          <w:tcPr>
            <w:tcW w:w="5989" w:type="dxa"/>
            <w:shd w:val="clear" w:color="auto" w:fill="auto"/>
          </w:tcPr>
          <w:p w14:paraId="34994C25" w14:textId="340427E2" w:rsidR="001F098D" w:rsidRDefault="001F098D" w:rsidP="00D82620">
            <w:pPr>
              <w:pStyle w:val="CasesLegislationAppealFrom"/>
              <w:spacing w:after="60"/>
              <w:rPr>
                <w:i/>
                <w:iCs/>
              </w:rPr>
            </w:pPr>
            <w:bookmarkStart w:id="1" w:name="Cases_Cited"/>
            <w:r w:rsidRPr="000F3A9A">
              <w:rPr>
                <w:i/>
                <w:iCs/>
              </w:rPr>
              <w:t xml:space="preserve">Arcade Badge Embroidery Co Pty Ltd v Deputy Commissioner of </w:t>
            </w:r>
            <w:r>
              <w:rPr>
                <w:i/>
                <w:iCs/>
              </w:rPr>
              <w:t>T</w:t>
            </w:r>
            <w:r w:rsidRPr="000F3A9A">
              <w:rPr>
                <w:i/>
                <w:iCs/>
              </w:rPr>
              <w:t>axation</w:t>
            </w:r>
            <w:r>
              <w:t xml:space="preserve"> [2005] ACTCA 3</w:t>
            </w:r>
            <w:r w:rsidR="009A4EE9">
              <w:t>; 58 ATR 456</w:t>
            </w:r>
          </w:p>
          <w:p w14:paraId="78559E79" w14:textId="1E9E1BF3" w:rsidR="00DE13DF" w:rsidRDefault="00DE13DF" w:rsidP="00D82620">
            <w:pPr>
              <w:pStyle w:val="CasesLegislationAppealFrom"/>
              <w:spacing w:after="60"/>
            </w:pPr>
            <w:proofErr w:type="spellStart"/>
            <w:r w:rsidRPr="00DE13DF">
              <w:rPr>
                <w:i/>
                <w:iCs/>
              </w:rPr>
              <w:t>Bioaction</w:t>
            </w:r>
            <w:proofErr w:type="spellEnd"/>
            <w:r w:rsidRPr="00457A67">
              <w:rPr>
                <w:i/>
                <w:iCs/>
              </w:rPr>
              <w:t xml:space="preserve"> Pty Ltd v </w:t>
            </w:r>
            <w:proofErr w:type="spellStart"/>
            <w:r w:rsidR="009A4EE9" w:rsidRPr="00457A67">
              <w:rPr>
                <w:i/>
                <w:iCs/>
              </w:rPr>
              <w:t>Og</w:t>
            </w:r>
            <w:r w:rsidR="009A4EE9">
              <w:rPr>
                <w:i/>
                <w:iCs/>
              </w:rPr>
              <w:t>b</w:t>
            </w:r>
            <w:r w:rsidR="009A4EE9" w:rsidRPr="00457A67">
              <w:rPr>
                <w:i/>
                <w:iCs/>
              </w:rPr>
              <w:t>orne</w:t>
            </w:r>
            <w:proofErr w:type="spellEnd"/>
            <w:r w:rsidR="009A4EE9">
              <w:t xml:space="preserve"> </w:t>
            </w:r>
            <w:r>
              <w:t>[2022] FCA 436</w:t>
            </w:r>
            <w:r w:rsidR="009A4EE9">
              <w:t>; 159 ACSR 173</w:t>
            </w:r>
          </w:p>
          <w:p w14:paraId="3B031A64" w14:textId="19EAD77A" w:rsidR="00D70E50" w:rsidRDefault="00D70E50" w:rsidP="00D82620">
            <w:pPr>
              <w:pStyle w:val="CasesLegislationAppealFrom"/>
              <w:spacing w:after="60"/>
            </w:pPr>
            <w:r w:rsidRPr="00D70E50">
              <w:rPr>
                <w:i/>
              </w:rPr>
              <w:t>David Grant</w:t>
            </w:r>
            <w:r>
              <w:rPr>
                <w:i/>
              </w:rPr>
              <w:t xml:space="preserve"> &amp; Co Pty Ltd v Westpac Banking Corp</w:t>
            </w:r>
            <w:r w:rsidR="009A4EE9">
              <w:rPr>
                <w:i/>
              </w:rPr>
              <w:t>oration</w:t>
            </w:r>
            <w:r>
              <w:rPr>
                <w:i/>
              </w:rPr>
              <w:t xml:space="preserve"> </w:t>
            </w:r>
            <w:r w:rsidRPr="00422C6C">
              <w:rPr>
                <w:iCs/>
              </w:rPr>
              <w:t>[1995] HCA 43; 184 CLR 265</w:t>
            </w:r>
          </w:p>
          <w:p w14:paraId="381151EC" w14:textId="7E7A7570" w:rsidR="009A4EE9" w:rsidRDefault="009A4EE9" w:rsidP="009A4EE9">
            <w:pPr>
              <w:pStyle w:val="CasesLegislationAppealFrom"/>
              <w:spacing w:after="60"/>
            </w:pPr>
            <w:r>
              <w:rPr>
                <w:i/>
                <w:iCs/>
              </w:rPr>
              <w:t xml:space="preserve">In the matter of </w:t>
            </w:r>
            <w:r w:rsidRPr="005B6D81">
              <w:rPr>
                <w:i/>
                <w:iCs/>
              </w:rPr>
              <w:t>Black Tie Holdings Pty Ltd</w:t>
            </w:r>
            <w:r>
              <w:t xml:space="preserve"> [2022] NSWSC 781</w:t>
            </w:r>
          </w:p>
          <w:p w14:paraId="697F1762" w14:textId="2E62FFA4" w:rsidR="007A4B52" w:rsidRDefault="007A4B52" w:rsidP="00D82620">
            <w:pPr>
              <w:pStyle w:val="CasesLegislationAppealFrom"/>
              <w:spacing w:after="60"/>
            </w:pPr>
            <w:proofErr w:type="spellStart"/>
            <w:r w:rsidRPr="007A4B52">
              <w:rPr>
                <w:i/>
              </w:rPr>
              <w:t>Jin</w:t>
            </w:r>
            <w:proofErr w:type="spellEnd"/>
            <w:r w:rsidRPr="007A4B52">
              <w:rPr>
                <w:i/>
              </w:rPr>
              <w:t xml:space="preserve"> </w:t>
            </w:r>
            <w:r w:rsidR="009A4EE9" w:rsidRPr="007A4B52">
              <w:rPr>
                <w:i/>
              </w:rPr>
              <w:t>Xi</w:t>
            </w:r>
            <w:r w:rsidR="009A4EE9">
              <w:rPr>
                <w:i/>
              </w:rPr>
              <w:t xml:space="preserve">n </w:t>
            </w:r>
            <w:r>
              <w:rPr>
                <w:i/>
              </w:rPr>
              <w:t xml:space="preserve">Investment &amp; Trade (Australia) Pty Ltd v ISC Property Pty Ltd </w:t>
            </w:r>
            <w:r>
              <w:rPr>
                <w:iCs/>
              </w:rPr>
              <w:t>[2006] NSWSC 7; 24 ACLC 281</w:t>
            </w:r>
          </w:p>
          <w:p w14:paraId="2CC01EE8" w14:textId="38585135" w:rsidR="00550447" w:rsidRDefault="00550447" w:rsidP="00D82620">
            <w:pPr>
              <w:pStyle w:val="CasesLegislationAppealFrom"/>
              <w:spacing w:after="60"/>
            </w:pPr>
            <w:r w:rsidRPr="00484BE3">
              <w:rPr>
                <w:i/>
                <w:iCs/>
              </w:rPr>
              <w:t xml:space="preserve">Kookaburra Educational Resources Pty Ltd v </w:t>
            </w:r>
            <w:proofErr w:type="spellStart"/>
            <w:r w:rsidRPr="00484BE3">
              <w:rPr>
                <w:i/>
                <w:iCs/>
              </w:rPr>
              <w:t>MacGear</w:t>
            </w:r>
            <w:proofErr w:type="spellEnd"/>
            <w:r w:rsidRPr="00484BE3">
              <w:rPr>
                <w:i/>
                <w:iCs/>
              </w:rPr>
              <w:t xml:space="preserve"> Limited Partnership</w:t>
            </w:r>
            <w:r w:rsidR="009A4EE9">
              <w:rPr>
                <w:i/>
                <w:iCs/>
              </w:rPr>
              <w:t xml:space="preserve"> trading as </w:t>
            </w:r>
            <w:proofErr w:type="spellStart"/>
            <w:r w:rsidR="009A4EE9">
              <w:rPr>
                <w:i/>
                <w:iCs/>
              </w:rPr>
              <w:t>MacGear</w:t>
            </w:r>
            <w:proofErr w:type="spellEnd"/>
            <w:r w:rsidR="009A4EE9">
              <w:rPr>
                <w:i/>
                <w:iCs/>
              </w:rPr>
              <w:t xml:space="preserve"> Australia</w:t>
            </w:r>
            <w:r>
              <w:t xml:space="preserve"> [2021] FCA 797</w:t>
            </w:r>
          </w:p>
          <w:p w14:paraId="5F2DDCA7" w14:textId="7D76D472" w:rsidR="00946976" w:rsidRDefault="00946976" w:rsidP="00D82620">
            <w:pPr>
              <w:pStyle w:val="CasesLegislationAppealFrom"/>
              <w:spacing w:after="60"/>
              <w:rPr>
                <w:i/>
                <w:iCs/>
              </w:rPr>
            </w:pPr>
            <w:proofErr w:type="spellStart"/>
            <w:r w:rsidRPr="00946976">
              <w:rPr>
                <w:i/>
                <w:iCs/>
              </w:rPr>
              <w:t>Mangraviti</w:t>
            </w:r>
            <w:proofErr w:type="spellEnd"/>
            <w:r w:rsidRPr="000943DA">
              <w:rPr>
                <w:i/>
                <w:iCs/>
              </w:rPr>
              <w:t xml:space="preserve"> Pty Ltd, Joe v Lumley Finance Ltd</w:t>
            </w:r>
            <w:r>
              <w:t xml:space="preserve"> [2010] NSWSC 61</w:t>
            </w:r>
          </w:p>
          <w:p w14:paraId="580B4FC3" w14:textId="7A2BAB40" w:rsidR="00A77B34" w:rsidRDefault="00A77B34" w:rsidP="00D82620">
            <w:pPr>
              <w:pStyle w:val="CasesLegislationAppealFrom"/>
              <w:spacing w:after="60"/>
            </w:pPr>
            <w:r w:rsidRPr="004E428C">
              <w:rPr>
                <w:i/>
                <w:iCs/>
              </w:rPr>
              <w:t>Martin v Commonwealth Bank of Australia</w:t>
            </w:r>
            <w:r>
              <w:t xml:space="preserve"> [2001] FCA 87</w:t>
            </w:r>
          </w:p>
          <w:p w14:paraId="213AC346" w14:textId="77777777" w:rsidR="00395B24" w:rsidRDefault="00A77B34" w:rsidP="00D82620">
            <w:pPr>
              <w:pStyle w:val="CasesLegislationAppealFrom"/>
              <w:spacing w:after="60"/>
            </w:pPr>
            <w:proofErr w:type="spellStart"/>
            <w:r w:rsidRPr="004E428C">
              <w:rPr>
                <w:i/>
                <w:iCs/>
              </w:rPr>
              <w:t>Mazukov</w:t>
            </w:r>
            <w:proofErr w:type="spellEnd"/>
            <w:r w:rsidRPr="004E428C">
              <w:rPr>
                <w:i/>
                <w:iCs/>
              </w:rPr>
              <w:t xml:space="preserve"> v University of Tasmania</w:t>
            </w:r>
            <w:r>
              <w:t xml:space="preserve"> [2004] FCAFC 159</w:t>
            </w:r>
            <w:r w:rsidR="002C7385">
              <w:t xml:space="preserve"> </w:t>
            </w:r>
            <w:bookmarkEnd w:id="1"/>
          </w:p>
          <w:p w14:paraId="61D67024" w14:textId="77777777" w:rsidR="0030744D" w:rsidRDefault="0030744D" w:rsidP="00D82620">
            <w:pPr>
              <w:pStyle w:val="CasesLegislationAppealFrom"/>
              <w:spacing w:after="60"/>
              <w:rPr>
                <w:szCs w:val="24"/>
              </w:rPr>
            </w:pPr>
            <w:proofErr w:type="spellStart"/>
            <w:r w:rsidRPr="0006312A">
              <w:rPr>
                <w:i/>
                <w:szCs w:val="24"/>
              </w:rPr>
              <w:t>Miletich</w:t>
            </w:r>
            <w:proofErr w:type="spellEnd"/>
            <w:r w:rsidRPr="0006312A">
              <w:rPr>
                <w:i/>
                <w:szCs w:val="24"/>
              </w:rPr>
              <w:t xml:space="preserve"> v </w:t>
            </w:r>
            <w:proofErr w:type="spellStart"/>
            <w:r w:rsidRPr="0006312A">
              <w:rPr>
                <w:i/>
                <w:szCs w:val="24"/>
              </w:rPr>
              <w:t>Murchie</w:t>
            </w:r>
            <w:proofErr w:type="spellEnd"/>
            <w:r w:rsidRPr="0006312A">
              <w:rPr>
                <w:i/>
                <w:szCs w:val="24"/>
              </w:rPr>
              <w:t xml:space="preserve"> </w:t>
            </w:r>
            <w:r w:rsidRPr="0006312A">
              <w:rPr>
                <w:szCs w:val="24"/>
              </w:rPr>
              <w:t>[2012] FCA 1013; 297 ALR 566</w:t>
            </w:r>
          </w:p>
          <w:p w14:paraId="0FB3FACD" w14:textId="1D77BF1E" w:rsidR="00B60BA0" w:rsidRDefault="00B60BA0" w:rsidP="00D82620">
            <w:pPr>
              <w:pStyle w:val="CasesLegislationAppealFrom"/>
              <w:spacing w:after="60"/>
              <w:rPr>
                <w:szCs w:val="24"/>
              </w:rPr>
            </w:pPr>
            <w:proofErr w:type="spellStart"/>
            <w:r w:rsidRPr="00ED6570">
              <w:rPr>
                <w:i/>
                <w:iCs/>
              </w:rPr>
              <w:t>Onebev</w:t>
            </w:r>
            <w:proofErr w:type="spellEnd"/>
            <w:r w:rsidRPr="00ED6570">
              <w:rPr>
                <w:i/>
                <w:iCs/>
              </w:rPr>
              <w:t xml:space="preserve"> v Encore Beverages</w:t>
            </w:r>
            <w:r>
              <w:t xml:space="preserve"> [2016] VSC 284</w:t>
            </w:r>
            <w:r w:rsidR="009A4EE9">
              <w:t>; 50 VR 106</w:t>
            </w:r>
          </w:p>
          <w:p w14:paraId="24DD75BF" w14:textId="7A98EF5D" w:rsidR="00C17005" w:rsidRDefault="00C17005" w:rsidP="00D82620">
            <w:pPr>
              <w:pStyle w:val="CasesLegislationAppealFrom"/>
              <w:spacing w:after="60"/>
            </w:pPr>
            <w:r w:rsidRPr="00FF1D14">
              <w:rPr>
                <w:i/>
                <w:iCs/>
              </w:rPr>
              <w:lastRenderedPageBreak/>
              <w:t>Solos Ltd v Aussie Hoops Pty Ltd</w:t>
            </w:r>
            <w:r>
              <w:t xml:space="preserve"> [2022] FCA 1022</w:t>
            </w:r>
          </w:p>
        </w:tc>
      </w:tr>
      <w:tr w:rsidR="00C56AA4" w14:paraId="4DDF895E" w14:textId="77777777" w:rsidTr="00385EDD">
        <w:tc>
          <w:tcPr>
            <w:tcW w:w="3072" w:type="dxa"/>
            <w:shd w:val="clear" w:color="auto" w:fill="auto"/>
          </w:tcPr>
          <w:p w14:paraId="58A42B30" w14:textId="77777777" w:rsidR="00C56AA4" w:rsidRDefault="00C56AA4">
            <w:pPr>
              <w:pStyle w:val="Normal1linespace"/>
              <w:widowControl w:val="0"/>
            </w:pPr>
          </w:p>
        </w:tc>
        <w:tc>
          <w:tcPr>
            <w:tcW w:w="5989" w:type="dxa"/>
            <w:shd w:val="clear" w:color="auto" w:fill="auto"/>
          </w:tcPr>
          <w:p w14:paraId="2D19B272" w14:textId="77777777" w:rsidR="00C56AA4" w:rsidRDefault="00C56AA4">
            <w:pPr>
              <w:pStyle w:val="Normal1linespace"/>
              <w:widowControl w:val="0"/>
              <w:jc w:val="left"/>
            </w:pPr>
          </w:p>
        </w:tc>
      </w:tr>
      <w:tr w:rsidR="00C56AA4" w14:paraId="2CA696E2" w14:textId="77777777" w:rsidTr="00385EDD">
        <w:tc>
          <w:tcPr>
            <w:tcW w:w="3072" w:type="dxa"/>
            <w:shd w:val="clear" w:color="auto" w:fill="auto"/>
          </w:tcPr>
          <w:p w14:paraId="13A5BFB5" w14:textId="77777777" w:rsidR="00C56AA4" w:rsidRDefault="00C56AA4" w:rsidP="00501A12">
            <w:pPr>
              <w:pStyle w:val="Normal1linespace"/>
              <w:widowControl w:val="0"/>
            </w:pPr>
            <w:r>
              <w:t>Division:</w:t>
            </w:r>
          </w:p>
        </w:tc>
        <w:tc>
          <w:tcPr>
            <w:tcW w:w="5989" w:type="dxa"/>
            <w:shd w:val="clear" w:color="auto" w:fill="auto"/>
          </w:tcPr>
          <w:p w14:paraId="58B82D16" w14:textId="77777777" w:rsidR="00C56AA4" w:rsidRPr="00F17599" w:rsidRDefault="00D55062" w:rsidP="00501A12">
            <w:pPr>
              <w:pStyle w:val="Normal1linespace"/>
              <w:widowControl w:val="0"/>
              <w:jc w:val="left"/>
            </w:pPr>
            <w:r>
              <w:fldChar w:fldCharType="begin"/>
            </w:r>
            <w:r>
              <w:instrText xml:space="preserve"> DOCPROPERTY  Division </w:instrText>
            </w:r>
            <w:r>
              <w:fldChar w:fldCharType="separate"/>
            </w:r>
            <w:r w:rsidR="00C56AA4">
              <w:t>General Division</w:t>
            </w:r>
            <w:r>
              <w:fldChar w:fldCharType="end"/>
            </w:r>
          </w:p>
        </w:tc>
      </w:tr>
      <w:tr w:rsidR="00C56AA4" w14:paraId="70C3AED8" w14:textId="77777777" w:rsidTr="00385EDD">
        <w:tc>
          <w:tcPr>
            <w:tcW w:w="3072" w:type="dxa"/>
            <w:shd w:val="clear" w:color="auto" w:fill="auto"/>
          </w:tcPr>
          <w:p w14:paraId="0DF7398A" w14:textId="77777777" w:rsidR="00C56AA4" w:rsidRDefault="00C56AA4" w:rsidP="00501A12">
            <w:pPr>
              <w:pStyle w:val="Normal1linespace"/>
              <w:widowControl w:val="0"/>
            </w:pPr>
            <w:bookmarkStart w:id="2" w:name="Registry_rows" w:colFirst="0" w:colLast="1"/>
          </w:p>
        </w:tc>
        <w:tc>
          <w:tcPr>
            <w:tcW w:w="5989" w:type="dxa"/>
            <w:shd w:val="clear" w:color="auto" w:fill="auto"/>
          </w:tcPr>
          <w:p w14:paraId="60672A03" w14:textId="77777777" w:rsidR="00C56AA4" w:rsidRDefault="00C56AA4" w:rsidP="00501A12">
            <w:pPr>
              <w:pStyle w:val="Normal1linespace"/>
              <w:widowControl w:val="0"/>
              <w:jc w:val="left"/>
            </w:pPr>
          </w:p>
        </w:tc>
      </w:tr>
      <w:tr w:rsidR="00C56AA4" w14:paraId="44D06CA1" w14:textId="77777777" w:rsidTr="00385EDD">
        <w:tc>
          <w:tcPr>
            <w:tcW w:w="3072" w:type="dxa"/>
            <w:shd w:val="clear" w:color="auto" w:fill="auto"/>
          </w:tcPr>
          <w:p w14:paraId="1E179B0B" w14:textId="77777777" w:rsidR="00C56AA4" w:rsidRDefault="00C56AA4" w:rsidP="00501A12">
            <w:pPr>
              <w:pStyle w:val="Normal1linespace"/>
              <w:widowControl w:val="0"/>
            </w:pPr>
            <w:r>
              <w:t>Registry:</w:t>
            </w:r>
          </w:p>
        </w:tc>
        <w:tc>
          <w:tcPr>
            <w:tcW w:w="5989" w:type="dxa"/>
            <w:shd w:val="clear" w:color="auto" w:fill="auto"/>
          </w:tcPr>
          <w:p w14:paraId="0AA3B12B" w14:textId="77777777" w:rsidR="00C56AA4" w:rsidRPr="00F17599" w:rsidRDefault="00D55062" w:rsidP="00501A12">
            <w:pPr>
              <w:pStyle w:val="Normal1linespace"/>
              <w:widowControl w:val="0"/>
              <w:jc w:val="left"/>
            </w:pPr>
            <w:r>
              <w:fldChar w:fldCharType="begin"/>
            </w:r>
            <w:r>
              <w:instrText xml:space="preserve"> DOCPROPERTY  Registry </w:instrText>
            </w:r>
            <w:r>
              <w:fldChar w:fldCharType="separate"/>
            </w:r>
            <w:r w:rsidR="00C56AA4">
              <w:t>Australian Capital Territory</w:t>
            </w:r>
            <w:r>
              <w:fldChar w:fldCharType="end"/>
            </w:r>
          </w:p>
        </w:tc>
      </w:tr>
      <w:tr w:rsidR="00C56AA4" w14:paraId="4D3B1F49" w14:textId="77777777" w:rsidTr="00385EDD">
        <w:tc>
          <w:tcPr>
            <w:tcW w:w="3072" w:type="dxa"/>
            <w:shd w:val="clear" w:color="auto" w:fill="auto"/>
          </w:tcPr>
          <w:p w14:paraId="0AE42433" w14:textId="77777777" w:rsidR="00C56AA4" w:rsidRDefault="00C56AA4" w:rsidP="00501A12">
            <w:pPr>
              <w:pStyle w:val="Normal1linespace"/>
              <w:widowControl w:val="0"/>
            </w:pPr>
            <w:bookmarkStart w:id="3" w:name="NPARow" w:colFirst="0" w:colLast="1"/>
            <w:bookmarkEnd w:id="2"/>
          </w:p>
        </w:tc>
        <w:tc>
          <w:tcPr>
            <w:tcW w:w="5989" w:type="dxa"/>
            <w:shd w:val="clear" w:color="auto" w:fill="auto"/>
          </w:tcPr>
          <w:p w14:paraId="6D4D657B" w14:textId="77777777" w:rsidR="00C56AA4" w:rsidRPr="00F17599" w:rsidRDefault="00C56AA4" w:rsidP="00501A12">
            <w:pPr>
              <w:pStyle w:val="Normal1linespace"/>
              <w:widowControl w:val="0"/>
              <w:jc w:val="left"/>
              <w:rPr>
                <w:b/>
              </w:rPr>
            </w:pPr>
          </w:p>
        </w:tc>
      </w:tr>
      <w:tr w:rsidR="00C56AA4" w14:paraId="493B1B74" w14:textId="77777777" w:rsidTr="00385EDD">
        <w:tc>
          <w:tcPr>
            <w:tcW w:w="3072" w:type="dxa"/>
            <w:shd w:val="clear" w:color="auto" w:fill="auto"/>
          </w:tcPr>
          <w:p w14:paraId="702C1A3E" w14:textId="77777777" w:rsidR="00C56AA4" w:rsidRDefault="00C56AA4" w:rsidP="00501A12">
            <w:pPr>
              <w:pStyle w:val="Normal1linespace"/>
              <w:widowControl w:val="0"/>
            </w:pPr>
            <w:r>
              <w:t>National Practice Area:</w:t>
            </w:r>
          </w:p>
        </w:tc>
        <w:tc>
          <w:tcPr>
            <w:tcW w:w="5989" w:type="dxa"/>
            <w:shd w:val="clear" w:color="auto" w:fill="auto"/>
          </w:tcPr>
          <w:p w14:paraId="66F7BDD9" w14:textId="77777777" w:rsidR="00C56AA4" w:rsidRPr="00F17599" w:rsidRDefault="00D55062">
            <w:pPr>
              <w:pStyle w:val="Normal1linespace"/>
              <w:widowControl w:val="0"/>
              <w:jc w:val="left"/>
              <w:rPr>
                <w:b/>
              </w:rPr>
            </w:pPr>
            <w:r>
              <w:fldChar w:fldCharType="begin"/>
            </w:r>
            <w:r>
              <w:instrText xml:space="preserve"> DOCPROPERTY  "Practice Area"  \* MERGEFORMAT </w:instrText>
            </w:r>
            <w:r>
              <w:fldChar w:fldCharType="separate"/>
            </w:r>
            <w:r w:rsidR="00C56AA4">
              <w:t>Commercial and Corporations</w:t>
            </w:r>
            <w:r>
              <w:fldChar w:fldCharType="end"/>
            </w:r>
          </w:p>
        </w:tc>
      </w:tr>
      <w:tr w:rsidR="00C56AA4" w14:paraId="2BC97791" w14:textId="77777777" w:rsidTr="00385EDD">
        <w:tc>
          <w:tcPr>
            <w:tcW w:w="3072" w:type="dxa"/>
            <w:shd w:val="clear" w:color="auto" w:fill="auto"/>
          </w:tcPr>
          <w:p w14:paraId="7B990103" w14:textId="77777777" w:rsidR="00C56AA4" w:rsidRDefault="00C56AA4" w:rsidP="00501A12">
            <w:pPr>
              <w:pStyle w:val="Normal1linespace"/>
              <w:widowControl w:val="0"/>
            </w:pPr>
            <w:bookmarkStart w:id="4" w:name="SubAreaRow" w:colFirst="0" w:colLast="1"/>
            <w:bookmarkEnd w:id="3"/>
          </w:p>
        </w:tc>
        <w:tc>
          <w:tcPr>
            <w:tcW w:w="5989" w:type="dxa"/>
            <w:shd w:val="clear" w:color="auto" w:fill="auto"/>
          </w:tcPr>
          <w:p w14:paraId="37C8C20E" w14:textId="77777777" w:rsidR="00C56AA4" w:rsidRDefault="00C56AA4">
            <w:pPr>
              <w:pStyle w:val="Normal1linespace"/>
              <w:widowControl w:val="0"/>
              <w:jc w:val="left"/>
            </w:pPr>
          </w:p>
        </w:tc>
      </w:tr>
      <w:tr w:rsidR="00C56AA4" w14:paraId="45E10119" w14:textId="77777777" w:rsidTr="00385EDD">
        <w:tc>
          <w:tcPr>
            <w:tcW w:w="3072" w:type="dxa"/>
            <w:shd w:val="clear" w:color="auto" w:fill="auto"/>
          </w:tcPr>
          <w:p w14:paraId="6AFCBF67" w14:textId="77777777" w:rsidR="00C56AA4" w:rsidRDefault="00C56AA4" w:rsidP="00501A12">
            <w:pPr>
              <w:pStyle w:val="Normal1linespace"/>
              <w:widowControl w:val="0"/>
            </w:pPr>
            <w:r>
              <w:t>Sub-area:</w:t>
            </w:r>
          </w:p>
        </w:tc>
        <w:tc>
          <w:tcPr>
            <w:tcW w:w="5989" w:type="dxa"/>
            <w:shd w:val="clear" w:color="auto" w:fill="auto"/>
          </w:tcPr>
          <w:p w14:paraId="7D47C86D" w14:textId="77777777" w:rsidR="00C56AA4" w:rsidRPr="00837288" w:rsidRDefault="00D55062">
            <w:pPr>
              <w:pStyle w:val="Normal1linespace"/>
              <w:widowControl w:val="0"/>
              <w:jc w:val="left"/>
            </w:pPr>
            <w:r>
              <w:fldChar w:fldCharType="begin"/>
            </w:r>
            <w:r>
              <w:instrText xml:space="preserve"> DOCPROPERTY  "Sub Area"  \* MERGEFORMAT </w:instrText>
            </w:r>
            <w:r>
              <w:fldChar w:fldCharType="separate"/>
            </w:r>
            <w:r w:rsidR="00C56AA4" w:rsidRPr="00C56AA4">
              <w:rPr>
                <w:lang w:val="en-US"/>
              </w:rPr>
              <w:t>Corporations and Corporate</w:t>
            </w:r>
            <w:r w:rsidR="00C56AA4">
              <w:t xml:space="preserve"> Insolvency</w:t>
            </w:r>
            <w:r>
              <w:fldChar w:fldCharType="end"/>
            </w:r>
          </w:p>
        </w:tc>
      </w:tr>
      <w:bookmarkEnd w:id="4"/>
      <w:tr w:rsidR="00C56AA4" w14:paraId="45358B6B" w14:textId="77777777" w:rsidTr="00385EDD">
        <w:tc>
          <w:tcPr>
            <w:tcW w:w="3072" w:type="dxa"/>
            <w:shd w:val="clear" w:color="auto" w:fill="auto"/>
          </w:tcPr>
          <w:p w14:paraId="63F3ED87" w14:textId="77777777" w:rsidR="00C56AA4" w:rsidRDefault="00C56AA4" w:rsidP="00501A12">
            <w:pPr>
              <w:pStyle w:val="Normal1linespace"/>
              <w:widowControl w:val="0"/>
            </w:pPr>
          </w:p>
        </w:tc>
        <w:tc>
          <w:tcPr>
            <w:tcW w:w="5989" w:type="dxa"/>
            <w:shd w:val="clear" w:color="auto" w:fill="auto"/>
          </w:tcPr>
          <w:p w14:paraId="1FEC3EE5" w14:textId="77777777" w:rsidR="00C56AA4" w:rsidRDefault="00C56AA4" w:rsidP="00501A12">
            <w:pPr>
              <w:pStyle w:val="Normal1linespace"/>
              <w:widowControl w:val="0"/>
              <w:jc w:val="left"/>
            </w:pPr>
          </w:p>
        </w:tc>
      </w:tr>
      <w:tr w:rsidR="00C56AA4" w14:paraId="747AAAF7" w14:textId="77777777" w:rsidTr="00385EDD">
        <w:tc>
          <w:tcPr>
            <w:tcW w:w="3072" w:type="dxa"/>
            <w:shd w:val="clear" w:color="auto" w:fill="auto"/>
          </w:tcPr>
          <w:p w14:paraId="32325280" w14:textId="77777777" w:rsidR="00C56AA4" w:rsidRDefault="00C56AA4" w:rsidP="00501A12">
            <w:pPr>
              <w:pStyle w:val="Normal1linespace"/>
              <w:widowControl w:val="0"/>
            </w:pPr>
            <w:r>
              <w:t>Number of paragraphs:</w:t>
            </w:r>
          </w:p>
        </w:tc>
        <w:tc>
          <w:tcPr>
            <w:tcW w:w="5989" w:type="dxa"/>
            <w:shd w:val="clear" w:color="auto" w:fill="auto"/>
          </w:tcPr>
          <w:p w14:paraId="4F93CF0B" w14:textId="64927F0A" w:rsidR="00C56AA4" w:rsidRDefault="009F016A" w:rsidP="0066693F">
            <w:pPr>
              <w:pStyle w:val="Normal1linespace"/>
              <w:widowControl w:val="0"/>
              <w:jc w:val="left"/>
            </w:pPr>
            <w:bookmarkStart w:id="5" w:name="PlaceCategoryParagraphs"/>
            <w:r>
              <w:t>57</w:t>
            </w:r>
            <w:bookmarkEnd w:id="5"/>
          </w:p>
        </w:tc>
      </w:tr>
      <w:tr w:rsidR="00C56AA4" w14:paraId="0C61E45D" w14:textId="77777777" w:rsidTr="00385EDD">
        <w:tc>
          <w:tcPr>
            <w:tcW w:w="3072" w:type="dxa"/>
            <w:shd w:val="clear" w:color="auto" w:fill="auto"/>
          </w:tcPr>
          <w:p w14:paraId="20FDBAFF" w14:textId="77777777" w:rsidR="00C56AA4" w:rsidRDefault="00C56AA4" w:rsidP="00C56AA4">
            <w:pPr>
              <w:pStyle w:val="Normal1linespace"/>
              <w:widowControl w:val="0"/>
              <w:jc w:val="left"/>
            </w:pPr>
          </w:p>
        </w:tc>
        <w:tc>
          <w:tcPr>
            <w:tcW w:w="5989" w:type="dxa"/>
            <w:shd w:val="clear" w:color="auto" w:fill="auto"/>
          </w:tcPr>
          <w:p w14:paraId="40FB8674" w14:textId="77777777" w:rsidR="00C56AA4" w:rsidRDefault="00C56AA4" w:rsidP="00C56AA4">
            <w:pPr>
              <w:pStyle w:val="Normal1linespace"/>
              <w:widowControl w:val="0"/>
              <w:jc w:val="left"/>
            </w:pPr>
          </w:p>
        </w:tc>
      </w:tr>
      <w:tr w:rsidR="00C56AA4" w14:paraId="41FF5B02" w14:textId="77777777" w:rsidTr="00385EDD">
        <w:tc>
          <w:tcPr>
            <w:tcW w:w="3072" w:type="dxa"/>
            <w:shd w:val="clear" w:color="auto" w:fill="auto"/>
          </w:tcPr>
          <w:p w14:paraId="068BE6F1" w14:textId="77777777" w:rsidR="00C56AA4" w:rsidRDefault="00C56AA4" w:rsidP="00C56AA4">
            <w:pPr>
              <w:pStyle w:val="Normal1linespace"/>
              <w:widowControl w:val="0"/>
              <w:jc w:val="left"/>
            </w:pPr>
            <w:bookmarkStart w:id="6" w:name="CounselDate" w:colFirst="0" w:colLast="2"/>
            <w:r w:rsidRPr="006A24E3">
              <w:t>Date of hearing:</w:t>
            </w:r>
          </w:p>
        </w:tc>
        <w:tc>
          <w:tcPr>
            <w:tcW w:w="5989" w:type="dxa"/>
            <w:shd w:val="clear" w:color="auto" w:fill="auto"/>
          </w:tcPr>
          <w:p w14:paraId="402762A0" w14:textId="481F6C3C" w:rsidR="00C56AA4" w:rsidRDefault="0063759F" w:rsidP="00C56AA4">
            <w:pPr>
              <w:pStyle w:val="Normal1linespace"/>
              <w:widowControl w:val="0"/>
              <w:jc w:val="left"/>
            </w:pPr>
            <w:r>
              <w:t>19 December 2022</w:t>
            </w:r>
          </w:p>
        </w:tc>
      </w:tr>
      <w:tr w:rsidR="00C56AA4" w14:paraId="223D1620" w14:textId="77777777" w:rsidTr="00385EDD">
        <w:tc>
          <w:tcPr>
            <w:tcW w:w="3072" w:type="dxa"/>
            <w:shd w:val="clear" w:color="auto" w:fill="auto"/>
          </w:tcPr>
          <w:p w14:paraId="7C532F1E" w14:textId="77777777" w:rsidR="00C56AA4" w:rsidRDefault="00C56AA4" w:rsidP="00C56AA4">
            <w:pPr>
              <w:pStyle w:val="Normal1linespace"/>
              <w:widowControl w:val="0"/>
              <w:jc w:val="left"/>
            </w:pPr>
          </w:p>
        </w:tc>
        <w:tc>
          <w:tcPr>
            <w:tcW w:w="5989" w:type="dxa"/>
            <w:shd w:val="clear" w:color="auto" w:fill="auto"/>
          </w:tcPr>
          <w:p w14:paraId="1E439879" w14:textId="77777777" w:rsidR="00C56AA4" w:rsidRDefault="00C56AA4" w:rsidP="00C56AA4">
            <w:pPr>
              <w:pStyle w:val="Normal1linespace"/>
              <w:widowControl w:val="0"/>
              <w:jc w:val="left"/>
            </w:pPr>
          </w:p>
        </w:tc>
      </w:tr>
      <w:bookmarkEnd w:id="6"/>
      <w:tr w:rsidR="00DC289E" w14:paraId="59F67838" w14:textId="77777777" w:rsidTr="00385EDD">
        <w:tc>
          <w:tcPr>
            <w:tcW w:w="3072" w:type="dxa"/>
            <w:shd w:val="clear" w:color="auto" w:fill="auto"/>
          </w:tcPr>
          <w:p w14:paraId="3B5E22B4" w14:textId="77777777" w:rsidR="00DC289E" w:rsidRDefault="00DC289E">
            <w:pPr>
              <w:pStyle w:val="Normal1linespace"/>
              <w:widowControl w:val="0"/>
              <w:jc w:val="left"/>
            </w:pPr>
            <w:r>
              <w:t>Counsel for the Applicant:</w:t>
            </w:r>
          </w:p>
        </w:tc>
        <w:tc>
          <w:tcPr>
            <w:tcW w:w="5989" w:type="dxa"/>
            <w:shd w:val="clear" w:color="auto" w:fill="auto"/>
          </w:tcPr>
          <w:p w14:paraId="2566206B" w14:textId="49BBDBF6" w:rsidR="00DC289E" w:rsidRDefault="00DC289E">
            <w:pPr>
              <w:pStyle w:val="Normal1linespace"/>
              <w:widowControl w:val="0"/>
              <w:jc w:val="left"/>
            </w:pPr>
            <w:r>
              <w:t>By its Director, Mr A S Brown</w:t>
            </w:r>
          </w:p>
        </w:tc>
      </w:tr>
      <w:tr w:rsidR="00DC289E" w14:paraId="24621CC5" w14:textId="77777777" w:rsidTr="00385EDD">
        <w:tc>
          <w:tcPr>
            <w:tcW w:w="3072" w:type="dxa"/>
            <w:shd w:val="clear" w:color="auto" w:fill="auto"/>
          </w:tcPr>
          <w:p w14:paraId="5F6EE3E5" w14:textId="77777777" w:rsidR="00DC289E" w:rsidRDefault="00DC289E">
            <w:pPr>
              <w:pStyle w:val="Normal1linespace"/>
              <w:widowControl w:val="0"/>
              <w:jc w:val="left"/>
            </w:pPr>
          </w:p>
        </w:tc>
        <w:tc>
          <w:tcPr>
            <w:tcW w:w="5989" w:type="dxa"/>
            <w:shd w:val="clear" w:color="auto" w:fill="auto"/>
          </w:tcPr>
          <w:p w14:paraId="3C29A314" w14:textId="77777777" w:rsidR="00DC289E" w:rsidRDefault="00DC289E">
            <w:pPr>
              <w:pStyle w:val="Normal1linespace"/>
              <w:widowControl w:val="0"/>
              <w:jc w:val="left"/>
            </w:pPr>
          </w:p>
        </w:tc>
      </w:tr>
      <w:tr w:rsidR="00DC289E" w14:paraId="604E9665" w14:textId="77777777" w:rsidTr="00385EDD">
        <w:tc>
          <w:tcPr>
            <w:tcW w:w="3072" w:type="dxa"/>
            <w:shd w:val="clear" w:color="auto" w:fill="auto"/>
          </w:tcPr>
          <w:p w14:paraId="62F6779F" w14:textId="77777777" w:rsidR="00DC289E" w:rsidRDefault="00DC289E">
            <w:pPr>
              <w:pStyle w:val="Normal1linespace"/>
              <w:widowControl w:val="0"/>
              <w:jc w:val="left"/>
            </w:pPr>
            <w:r>
              <w:t>Counsel for the Respondent:</w:t>
            </w:r>
          </w:p>
        </w:tc>
        <w:tc>
          <w:tcPr>
            <w:tcW w:w="5989" w:type="dxa"/>
            <w:shd w:val="clear" w:color="auto" w:fill="auto"/>
          </w:tcPr>
          <w:p w14:paraId="24580899" w14:textId="59D21606" w:rsidR="00DC289E" w:rsidRDefault="00DC289E">
            <w:pPr>
              <w:pStyle w:val="Normal1linespace"/>
              <w:widowControl w:val="0"/>
              <w:jc w:val="left"/>
            </w:pPr>
            <w:r>
              <w:t>Mr C H Matthews</w:t>
            </w:r>
          </w:p>
        </w:tc>
      </w:tr>
      <w:tr w:rsidR="00DC289E" w14:paraId="093664FD" w14:textId="77777777" w:rsidTr="00385EDD">
        <w:tc>
          <w:tcPr>
            <w:tcW w:w="3072" w:type="dxa"/>
            <w:shd w:val="clear" w:color="auto" w:fill="auto"/>
          </w:tcPr>
          <w:p w14:paraId="41EC7F1A" w14:textId="77777777" w:rsidR="00DC289E" w:rsidRDefault="00DC289E">
            <w:pPr>
              <w:pStyle w:val="Normal1linespace"/>
              <w:widowControl w:val="0"/>
              <w:jc w:val="left"/>
            </w:pPr>
          </w:p>
        </w:tc>
        <w:tc>
          <w:tcPr>
            <w:tcW w:w="5989" w:type="dxa"/>
            <w:shd w:val="clear" w:color="auto" w:fill="auto"/>
          </w:tcPr>
          <w:p w14:paraId="28D4DD31" w14:textId="77777777" w:rsidR="00DC289E" w:rsidRDefault="00DC289E">
            <w:pPr>
              <w:pStyle w:val="Normal1linespace"/>
              <w:widowControl w:val="0"/>
              <w:jc w:val="left"/>
            </w:pPr>
          </w:p>
        </w:tc>
      </w:tr>
      <w:tr w:rsidR="00DC289E" w14:paraId="20133635" w14:textId="77777777" w:rsidTr="00385EDD">
        <w:tc>
          <w:tcPr>
            <w:tcW w:w="3072" w:type="dxa"/>
            <w:shd w:val="clear" w:color="auto" w:fill="auto"/>
          </w:tcPr>
          <w:p w14:paraId="06CCFCA1" w14:textId="77777777" w:rsidR="00DC289E" w:rsidRDefault="00DC289E">
            <w:pPr>
              <w:pStyle w:val="Normal1linespace"/>
              <w:widowControl w:val="0"/>
              <w:jc w:val="left"/>
            </w:pPr>
            <w:r>
              <w:t>Solicitor for the Respondent:</w:t>
            </w:r>
          </w:p>
        </w:tc>
        <w:tc>
          <w:tcPr>
            <w:tcW w:w="5989" w:type="dxa"/>
            <w:shd w:val="clear" w:color="auto" w:fill="auto"/>
          </w:tcPr>
          <w:p w14:paraId="0104613E" w14:textId="77777777" w:rsidR="00DC289E" w:rsidRDefault="00DC289E">
            <w:pPr>
              <w:pStyle w:val="Normal1linespace"/>
              <w:widowControl w:val="0"/>
              <w:jc w:val="left"/>
            </w:pPr>
            <w:r>
              <w:t>Gibbs Wright Litigation Lawyers</w:t>
            </w:r>
          </w:p>
        </w:tc>
      </w:tr>
    </w:tbl>
    <w:p w14:paraId="73680757" w14:textId="77777777" w:rsidR="007470BD" w:rsidRDefault="007470BD">
      <w:pPr>
        <w:pStyle w:val="Normal1linespace"/>
      </w:pPr>
    </w:p>
    <w:p w14:paraId="78EE8E49" w14:textId="77777777" w:rsidR="00E94CBF" w:rsidRDefault="00E94CBF">
      <w:pPr>
        <w:pStyle w:val="Normal1linespace"/>
      </w:pPr>
    </w:p>
    <w:p w14:paraId="72D5861F" w14:textId="77777777" w:rsidR="00395B24" w:rsidRDefault="00395B24">
      <w:pPr>
        <w:pStyle w:val="Normal1linespace"/>
        <w:sectPr w:rsidR="00395B24"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048739F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Pr>
      <w:tblGrid>
        <w:gridCol w:w="2376"/>
        <w:gridCol w:w="4536"/>
        <w:gridCol w:w="2330"/>
      </w:tblGrid>
      <w:tr w:rsidR="00A46CCC" w14:paraId="1207B9E1" w14:textId="77777777" w:rsidTr="00E81DA6">
        <w:tc>
          <w:tcPr>
            <w:tcW w:w="6912" w:type="dxa"/>
            <w:gridSpan w:val="2"/>
          </w:tcPr>
          <w:p w14:paraId="52C879F2" w14:textId="77777777" w:rsidR="00A46CCC" w:rsidRPr="001765E0" w:rsidRDefault="00A46CCC" w:rsidP="00525A49">
            <w:pPr>
              <w:pStyle w:val="NormalHeadings"/>
            </w:pPr>
          </w:p>
        </w:tc>
        <w:tc>
          <w:tcPr>
            <w:tcW w:w="2330" w:type="dxa"/>
          </w:tcPr>
          <w:p w14:paraId="6FFB2D5A" w14:textId="77777777" w:rsidR="00A46CCC" w:rsidRDefault="00C56AA4" w:rsidP="00F92355">
            <w:pPr>
              <w:pStyle w:val="NormalHeadings"/>
              <w:jc w:val="right"/>
            </w:pPr>
            <w:bookmarkStart w:id="7" w:name="FileNo"/>
            <w:r>
              <w:t>ACD 42 of 2022</w:t>
            </w:r>
            <w:bookmarkEnd w:id="7"/>
          </w:p>
        </w:tc>
      </w:tr>
      <w:tr w:rsidR="00A76C13" w14:paraId="40A47939" w14:textId="77777777">
        <w:tc>
          <w:tcPr>
            <w:tcW w:w="9242" w:type="dxa"/>
            <w:gridSpan w:val="3"/>
          </w:tcPr>
          <w:p w14:paraId="4D729AAB" w14:textId="028A05BD" w:rsidR="00A76C13" w:rsidRPr="00A76C13" w:rsidRDefault="00A76C13" w:rsidP="000E2CD7">
            <w:pPr>
              <w:pStyle w:val="NormalHeadings"/>
              <w:jc w:val="left"/>
            </w:pPr>
          </w:p>
        </w:tc>
      </w:tr>
      <w:tr w:rsidR="00A46CCC" w14:paraId="5940FB4B" w14:textId="77777777">
        <w:trPr>
          <w:trHeight w:val="386"/>
        </w:trPr>
        <w:tc>
          <w:tcPr>
            <w:tcW w:w="2376" w:type="dxa"/>
          </w:tcPr>
          <w:p w14:paraId="00CB5727" w14:textId="77777777" w:rsidR="00A46CCC" w:rsidRDefault="00A46CCC">
            <w:pPr>
              <w:pStyle w:val="NormalHeadings"/>
              <w:jc w:val="left"/>
              <w:rPr>
                <w:caps/>
                <w:szCs w:val="24"/>
              </w:rPr>
            </w:pPr>
            <w:bookmarkStart w:id="8" w:name="Parties"/>
            <w:r>
              <w:rPr>
                <w:caps/>
                <w:szCs w:val="24"/>
              </w:rPr>
              <w:t>BETWEEN:</w:t>
            </w:r>
          </w:p>
        </w:tc>
        <w:tc>
          <w:tcPr>
            <w:tcW w:w="6866" w:type="dxa"/>
            <w:gridSpan w:val="2"/>
          </w:tcPr>
          <w:p w14:paraId="4DFE4840" w14:textId="6BA3D6BE" w:rsidR="00A46CCC" w:rsidRDefault="00F54AB9" w:rsidP="00C56AA4">
            <w:pPr>
              <w:pStyle w:val="NormalHeadings"/>
              <w:jc w:val="left"/>
            </w:pPr>
            <w:bookmarkStart w:id="9" w:name="Applicant"/>
            <w:bookmarkEnd w:id="9"/>
            <w:r>
              <w:t>SANDY</w:t>
            </w:r>
            <w:r w:rsidR="00DC289E">
              <w:t>S</w:t>
            </w:r>
            <w:r>
              <w:t xml:space="preserve"> SWIM PTY LTD ABN 73 641 260 451</w:t>
            </w:r>
          </w:p>
          <w:p w14:paraId="701B2A2F" w14:textId="77777777" w:rsidR="005A7399" w:rsidRPr="00D55062" w:rsidRDefault="005A7399" w:rsidP="00D55062">
            <w:pPr>
              <w:pStyle w:val="PartyType"/>
            </w:pPr>
            <w:bookmarkStart w:id="10" w:name="_GoBack"/>
            <w:r w:rsidRPr="00D55062">
              <w:t>Applicant</w:t>
            </w:r>
          </w:p>
          <w:bookmarkEnd w:id="10"/>
          <w:p w14:paraId="13DB25AC" w14:textId="116F2640" w:rsidR="005A7399" w:rsidRPr="005A7399" w:rsidRDefault="005A7399" w:rsidP="00C56AA4">
            <w:pPr>
              <w:pStyle w:val="NormalHeadings"/>
              <w:jc w:val="left"/>
              <w:rPr>
                <w:b w:val="0"/>
                <w:bCs/>
              </w:rPr>
            </w:pPr>
          </w:p>
        </w:tc>
      </w:tr>
      <w:tr w:rsidR="00A46CCC" w14:paraId="33161764" w14:textId="77777777">
        <w:trPr>
          <w:trHeight w:val="386"/>
        </w:trPr>
        <w:tc>
          <w:tcPr>
            <w:tcW w:w="2376" w:type="dxa"/>
          </w:tcPr>
          <w:p w14:paraId="2CF56059" w14:textId="77777777" w:rsidR="00A46CCC" w:rsidRDefault="00A46CCC">
            <w:pPr>
              <w:pStyle w:val="NormalHeadings"/>
              <w:jc w:val="left"/>
              <w:rPr>
                <w:caps/>
                <w:szCs w:val="24"/>
              </w:rPr>
            </w:pPr>
            <w:r>
              <w:rPr>
                <w:caps/>
                <w:szCs w:val="24"/>
              </w:rPr>
              <w:t>AND:</w:t>
            </w:r>
          </w:p>
        </w:tc>
        <w:tc>
          <w:tcPr>
            <w:tcW w:w="6866" w:type="dxa"/>
            <w:gridSpan w:val="2"/>
          </w:tcPr>
          <w:p w14:paraId="5C7E0E4C" w14:textId="77777777" w:rsidR="00C56AA4" w:rsidRDefault="00C56AA4" w:rsidP="00C56AA4">
            <w:pPr>
              <w:pStyle w:val="NormalHeadings"/>
              <w:jc w:val="left"/>
            </w:pPr>
            <w:bookmarkStart w:id="11" w:name="Respondent"/>
            <w:r>
              <w:t>LANCE MORGAN</w:t>
            </w:r>
          </w:p>
          <w:p w14:paraId="6AF75CE3" w14:textId="77777777" w:rsidR="00C56AA4" w:rsidRDefault="00C56AA4" w:rsidP="00C56AA4">
            <w:pPr>
              <w:pStyle w:val="PartyType"/>
            </w:pPr>
            <w:r>
              <w:t>Respondent</w:t>
            </w:r>
          </w:p>
          <w:bookmarkEnd w:id="11"/>
          <w:p w14:paraId="2EB36428" w14:textId="77777777" w:rsidR="00A46CCC" w:rsidRPr="006555B4" w:rsidRDefault="00A46CCC">
            <w:pPr>
              <w:pStyle w:val="NormalHeadings"/>
              <w:jc w:val="left"/>
            </w:pPr>
          </w:p>
        </w:tc>
      </w:tr>
    </w:tbl>
    <w:p w14:paraId="718C2E64" w14:textId="77777777" w:rsidR="00395B24" w:rsidRDefault="00395B24">
      <w:pPr>
        <w:pStyle w:val="NormalHeadings"/>
      </w:pPr>
      <w:bookmarkStart w:id="12" w:name="CrossClaimPosition"/>
      <w:bookmarkEnd w:id="8"/>
      <w:bookmarkEnd w:id="12"/>
    </w:p>
    <w:tbl>
      <w:tblPr>
        <w:tblW w:w="0" w:type="auto"/>
        <w:tblLayout w:type="fixed"/>
        <w:tblLook w:val="0000" w:firstRow="0" w:lastRow="0" w:firstColumn="0" w:lastColumn="0" w:noHBand="0" w:noVBand="0"/>
      </w:tblPr>
      <w:tblGrid>
        <w:gridCol w:w="2376"/>
        <w:gridCol w:w="6866"/>
      </w:tblGrid>
      <w:tr w:rsidR="00395B24" w14:paraId="24C011CF" w14:textId="77777777">
        <w:tc>
          <w:tcPr>
            <w:tcW w:w="2376" w:type="dxa"/>
          </w:tcPr>
          <w:p w14:paraId="29DCB514" w14:textId="77777777" w:rsidR="00395B24" w:rsidRDefault="00974709">
            <w:pPr>
              <w:pStyle w:val="NormalHeadings"/>
              <w:spacing w:after="120"/>
              <w:jc w:val="left"/>
              <w:rPr>
                <w:caps/>
                <w:szCs w:val="24"/>
              </w:rPr>
            </w:pPr>
            <w:bookmarkStart w:id="13" w:name="JudgeText"/>
            <w:r>
              <w:rPr>
                <w:caps/>
                <w:szCs w:val="24"/>
              </w:rPr>
              <w:t>order made by</w:t>
            </w:r>
            <w:bookmarkEnd w:id="13"/>
            <w:r w:rsidR="002C7385">
              <w:rPr>
                <w:caps/>
                <w:szCs w:val="24"/>
              </w:rPr>
              <w:t>:</w:t>
            </w:r>
          </w:p>
        </w:tc>
        <w:tc>
          <w:tcPr>
            <w:tcW w:w="6866" w:type="dxa"/>
          </w:tcPr>
          <w:p w14:paraId="131B98C2" w14:textId="77777777" w:rsidR="00395B24" w:rsidRDefault="00C56AA4">
            <w:pPr>
              <w:pStyle w:val="NormalHeadings"/>
              <w:jc w:val="left"/>
              <w:rPr>
                <w:caps/>
                <w:szCs w:val="24"/>
              </w:rPr>
            </w:pPr>
            <w:bookmarkStart w:id="14" w:name="Judge"/>
            <w:r>
              <w:rPr>
                <w:caps/>
                <w:szCs w:val="24"/>
              </w:rPr>
              <w:t>SARAH C DERRINGTON J</w:t>
            </w:r>
            <w:bookmarkEnd w:id="14"/>
          </w:p>
        </w:tc>
      </w:tr>
      <w:tr w:rsidR="00395B24" w14:paraId="366ED740" w14:textId="77777777">
        <w:tc>
          <w:tcPr>
            <w:tcW w:w="2376" w:type="dxa"/>
          </w:tcPr>
          <w:p w14:paraId="7778090A" w14:textId="77777777" w:rsidR="00395B24" w:rsidRDefault="002C7385">
            <w:pPr>
              <w:pStyle w:val="NormalHeadings"/>
              <w:spacing w:after="120"/>
              <w:jc w:val="left"/>
              <w:rPr>
                <w:caps/>
                <w:szCs w:val="24"/>
              </w:rPr>
            </w:pPr>
            <w:r>
              <w:rPr>
                <w:caps/>
                <w:szCs w:val="24"/>
              </w:rPr>
              <w:t>DATE OF ORDER:</w:t>
            </w:r>
          </w:p>
        </w:tc>
        <w:tc>
          <w:tcPr>
            <w:tcW w:w="6866" w:type="dxa"/>
          </w:tcPr>
          <w:p w14:paraId="52FFB27A" w14:textId="58933604" w:rsidR="00395B24" w:rsidRDefault="00C0395D">
            <w:pPr>
              <w:pStyle w:val="NormalHeadings"/>
              <w:jc w:val="left"/>
              <w:rPr>
                <w:caps/>
                <w:szCs w:val="24"/>
              </w:rPr>
            </w:pPr>
            <w:r>
              <w:rPr>
                <w:caps/>
                <w:szCs w:val="24"/>
              </w:rPr>
              <w:t>23 December 2022</w:t>
            </w:r>
          </w:p>
        </w:tc>
      </w:tr>
    </w:tbl>
    <w:p w14:paraId="55447F6D" w14:textId="77777777" w:rsidR="00395B24" w:rsidRDefault="00395B24">
      <w:pPr>
        <w:pStyle w:val="NormalHeadings"/>
        <w:rPr>
          <w:b w:val="0"/>
        </w:rPr>
      </w:pPr>
    </w:p>
    <w:p w14:paraId="3FD955E2" w14:textId="77777777" w:rsidR="008D1617" w:rsidRDefault="008D1617">
      <w:pPr>
        <w:pStyle w:val="NormalHeadings"/>
        <w:rPr>
          <w:b w:val="0"/>
        </w:rPr>
      </w:pPr>
    </w:p>
    <w:p w14:paraId="0FC09E6A" w14:textId="77777777" w:rsidR="00395B24" w:rsidRDefault="002C7385">
      <w:pPr>
        <w:pStyle w:val="NormalHeadings"/>
      </w:pPr>
      <w:r>
        <w:t>THE COURT ORDERS THAT:</w:t>
      </w:r>
    </w:p>
    <w:p w14:paraId="6B89FDC8" w14:textId="77777777" w:rsidR="007F60DF" w:rsidRDefault="007F60DF" w:rsidP="00243E5E">
      <w:pPr>
        <w:pStyle w:val="NormalHeadings"/>
      </w:pPr>
    </w:p>
    <w:p w14:paraId="27D9C11E" w14:textId="23CAAF1A" w:rsidR="001A6C52" w:rsidRDefault="00C0395D" w:rsidP="001A6C52">
      <w:pPr>
        <w:pStyle w:val="Order1"/>
      </w:pPr>
      <w:r>
        <w:t>The application be dismissed.</w:t>
      </w:r>
    </w:p>
    <w:p w14:paraId="3648C0F5" w14:textId="753E4AE8" w:rsidR="00C0395D" w:rsidRDefault="00C0395D" w:rsidP="001A6C52">
      <w:pPr>
        <w:pStyle w:val="Order1"/>
      </w:pPr>
      <w:r>
        <w:t>The parties provide written submissions, not exceeding three pages, on appropriate costs and other consequential orders</w:t>
      </w:r>
      <w:r w:rsidR="00190032">
        <w:t>, on or before 20 January 2023.</w:t>
      </w:r>
    </w:p>
    <w:p w14:paraId="67D25F42" w14:textId="77777777" w:rsidR="001A6C52" w:rsidRDefault="001A6C52" w:rsidP="001A6C52">
      <w:pPr>
        <w:pStyle w:val="BodyText"/>
      </w:pPr>
    </w:p>
    <w:p w14:paraId="0C9D4C22" w14:textId="77777777" w:rsidR="00A431E6" w:rsidRDefault="00A431E6" w:rsidP="001A6C52">
      <w:pPr>
        <w:pStyle w:val="BodyText"/>
      </w:pPr>
    </w:p>
    <w:p w14:paraId="097E7013" w14:textId="77777777" w:rsidR="0050309C" w:rsidRDefault="00C56AA4" w:rsidP="004D53E5">
      <w:pPr>
        <w:pStyle w:val="SingleSpace"/>
      </w:pPr>
      <w:bookmarkStart w:id="15" w:name="OrdersStatement"/>
      <w:r>
        <w:t>Note:</w:t>
      </w:r>
      <w:r>
        <w:tab/>
        <w:t xml:space="preserve">Entry of orders is dealt with in Rule 39.32 of the </w:t>
      </w:r>
      <w:r>
        <w:rPr>
          <w:i/>
        </w:rPr>
        <w:t>Federal Court Rules 2011</w:t>
      </w:r>
      <w:r>
        <w:t>.</w:t>
      </w:r>
      <w:bookmarkEnd w:id="15"/>
    </w:p>
    <w:p w14:paraId="529E3376" w14:textId="77777777" w:rsidR="00E23577" w:rsidRDefault="00E23577" w:rsidP="002B0E91">
      <w:pPr>
        <w:pStyle w:val="BodyText"/>
      </w:pPr>
    </w:p>
    <w:p w14:paraId="1A29164D"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3549590C" w14:textId="77777777" w:rsidR="00484F6D" w:rsidRPr="00045BB7" w:rsidRDefault="00484F6D" w:rsidP="00045BB7">
      <w:pPr>
        <w:pStyle w:val="NormalHeadings"/>
        <w:spacing w:line="480" w:lineRule="auto"/>
        <w:jc w:val="center"/>
        <w:rPr>
          <w:sz w:val="28"/>
          <w:szCs w:val="28"/>
        </w:rPr>
      </w:pPr>
      <w:bookmarkStart w:id="16" w:name="ReasonsPage"/>
      <w:bookmarkEnd w:id="16"/>
      <w:r w:rsidRPr="00045BB7">
        <w:rPr>
          <w:sz w:val="28"/>
          <w:szCs w:val="28"/>
        </w:rPr>
        <w:lastRenderedPageBreak/>
        <w:t>REASONS FOR JUDGMENT</w:t>
      </w:r>
    </w:p>
    <w:p w14:paraId="59E9E95D" w14:textId="247A17ED" w:rsidR="00694BEB" w:rsidRDefault="005A7399" w:rsidP="005E0510">
      <w:pPr>
        <w:pStyle w:val="NormalHeadings"/>
        <w:spacing w:line="360" w:lineRule="auto"/>
        <w:jc w:val="left"/>
        <w:rPr>
          <w:sz w:val="26"/>
          <w:szCs w:val="26"/>
        </w:rPr>
      </w:pPr>
      <w:r>
        <w:rPr>
          <w:sz w:val="26"/>
          <w:szCs w:val="26"/>
        </w:rPr>
        <w:t>SARAH C DERRINGTON J</w:t>
      </w:r>
    </w:p>
    <w:p w14:paraId="65AC4E75" w14:textId="3B40C3E4" w:rsidR="00710479" w:rsidRDefault="00710479" w:rsidP="00DC289E">
      <w:pPr>
        <w:pStyle w:val="Heading1"/>
      </w:pPr>
      <w:r>
        <w:t>Introduction</w:t>
      </w:r>
    </w:p>
    <w:p w14:paraId="7DAA83FA" w14:textId="75F104E6" w:rsidR="00CD1346" w:rsidRDefault="00BF7C22" w:rsidP="00CD1346">
      <w:pPr>
        <w:pStyle w:val="ParaNumbering"/>
      </w:pPr>
      <w:r>
        <w:t xml:space="preserve">The </w:t>
      </w:r>
      <w:r w:rsidR="00E31FA3">
        <w:t>A</w:t>
      </w:r>
      <w:r>
        <w:t xml:space="preserve">pplicant </w:t>
      </w:r>
      <w:r w:rsidR="00781550">
        <w:t xml:space="preserve">seeks to set aside </w:t>
      </w:r>
      <w:r w:rsidR="004443EE">
        <w:t>the</w:t>
      </w:r>
      <w:r w:rsidR="007613FA">
        <w:t xml:space="preserve"> </w:t>
      </w:r>
      <w:r w:rsidR="00DD5103">
        <w:t>respondent</w:t>
      </w:r>
      <w:r w:rsidR="000001C8">
        <w:t xml:space="preserve"> creditor</w:t>
      </w:r>
      <w:r w:rsidR="00822709">
        <w:t>’s statutory demand for payment</w:t>
      </w:r>
      <w:r w:rsidR="002060ED">
        <w:t xml:space="preserve"> </w:t>
      </w:r>
      <w:r w:rsidR="007F3DA5">
        <w:t>dated 26 July 2022</w:t>
      </w:r>
      <w:r w:rsidR="00710479">
        <w:t xml:space="preserve"> (</w:t>
      </w:r>
      <w:r w:rsidR="00710479" w:rsidRPr="00710479">
        <w:rPr>
          <w:b/>
          <w:bCs/>
        </w:rPr>
        <w:t>the application</w:t>
      </w:r>
      <w:r w:rsidR="00710479">
        <w:t>)</w:t>
      </w:r>
      <w:r w:rsidR="007F3DA5">
        <w:t>. A Registrar of this Court has refused the application</w:t>
      </w:r>
      <w:r w:rsidR="002C6410">
        <w:t xml:space="preserve">. The matter comes before me on a hearing </w:t>
      </w:r>
      <w:r w:rsidR="002C6410" w:rsidRPr="00E31FA3">
        <w:rPr>
          <w:i/>
          <w:iCs/>
        </w:rPr>
        <w:t>de novo</w:t>
      </w:r>
      <w:r w:rsidR="002C6410">
        <w:t xml:space="preserve">: </w:t>
      </w:r>
      <w:r w:rsidR="002C6410" w:rsidRPr="00FB0EE8">
        <w:rPr>
          <w:i/>
          <w:iCs/>
        </w:rPr>
        <w:t>Federal Court of Australia Act</w:t>
      </w:r>
      <w:r w:rsidR="00FB0EE8" w:rsidRPr="00FB0EE8">
        <w:rPr>
          <w:i/>
          <w:iCs/>
        </w:rPr>
        <w:t xml:space="preserve"> 1976</w:t>
      </w:r>
      <w:r w:rsidR="00FB0EE8">
        <w:t xml:space="preserve"> (</w:t>
      </w:r>
      <w:proofErr w:type="spellStart"/>
      <w:r w:rsidR="00FB0EE8">
        <w:t>Cth</w:t>
      </w:r>
      <w:proofErr w:type="spellEnd"/>
      <w:r w:rsidR="00FB0EE8">
        <w:t>)</w:t>
      </w:r>
      <w:r w:rsidR="00A40E6B">
        <w:t>,</w:t>
      </w:r>
      <w:r w:rsidR="00611555">
        <w:t xml:space="preserve"> </w:t>
      </w:r>
      <w:r w:rsidR="00FB0EE8">
        <w:t xml:space="preserve">s </w:t>
      </w:r>
      <w:proofErr w:type="gramStart"/>
      <w:r w:rsidR="00FB0EE8">
        <w:t>35A(</w:t>
      </w:r>
      <w:proofErr w:type="gramEnd"/>
      <w:r w:rsidR="00FB0EE8">
        <w:t xml:space="preserve">5); </w:t>
      </w:r>
      <w:r w:rsidR="00FB0EE8" w:rsidRPr="004E428C">
        <w:rPr>
          <w:i/>
          <w:iCs/>
        </w:rPr>
        <w:t xml:space="preserve">Martin </w:t>
      </w:r>
      <w:r w:rsidR="00021BB3" w:rsidRPr="004E428C">
        <w:rPr>
          <w:i/>
          <w:iCs/>
        </w:rPr>
        <w:t>v Common</w:t>
      </w:r>
      <w:r w:rsidR="00230E49" w:rsidRPr="004E428C">
        <w:rPr>
          <w:i/>
          <w:iCs/>
        </w:rPr>
        <w:t>wealth Bank of Australia</w:t>
      </w:r>
      <w:r w:rsidR="00230E49">
        <w:t xml:space="preserve"> [2001] FCA 87; </w:t>
      </w:r>
      <w:proofErr w:type="spellStart"/>
      <w:r w:rsidR="00230E49" w:rsidRPr="004E428C">
        <w:rPr>
          <w:i/>
          <w:iCs/>
        </w:rPr>
        <w:t>Mazuko</w:t>
      </w:r>
      <w:r w:rsidR="004E428C" w:rsidRPr="004E428C">
        <w:rPr>
          <w:i/>
          <w:iCs/>
        </w:rPr>
        <w:t>v</w:t>
      </w:r>
      <w:proofErr w:type="spellEnd"/>
      <w:r w:rsidR="00230E49" w:rsidRPr="004E428C">
        <w:rPr>
          <w:i/>
          <w:iCs/>
        </w:rPr>
        <w:t xml:space="preserve"> v University of Tasmania</w:t>
      </w:r>
      <w:r w:rsidR="00230E49">
        <w:t xml:space="preserve"> [2004]</w:t>
      </w:r>
      <w:r w:rsidR="004E428C">
        <w:t xml:space="preserve"> FCAFC 159.</w:t>
      </w:r>
    </w:p>
    <w:p w14:paraId="31304DF2" w14:textId="13EA1910" w:rsidR="00FB214B" w:rsidRDefault="00611555" w:rsidP="00CD1346">
      <w:pPr>
        <w:pStyle w:val="ParaNumbering"/>
      </w:pPr>
      <w:r>
        <w:t xml:space="preserve">By order of a Judge of this Court made on 9 December 2022, the </w:t>
      </w:r>
      <w:r w:rsidR="00E31FA3">
        <w:t>A</w:t>
      </w:r>
      <w:r>
        <w:t xml:space="preserve">pplicant was granted leave </w:t>
      </w:r>
      <w:r w:rsidR="0041096A">
        <w:t xml:space="preserve">pursuant to r 1.34 of the </w:t>
      </w:r>
      <w:r w:rsidR="0041096A" w:rsidRPr="0041096A">
        <w:rPr>
          <w:i/>
          <w:iCs/>
        </w:rPr>
        <w:t>Federal Court Rules 2011</w:t>
      </w:r>
      <w:r w:rsidR="0041096A">
        <w:t xml:space="preserve"> (</w:t>
      </w:r>
      <w:proofErr w:type="spellStart"/>
      <w:r w:rsidR="0041096A">
        <w:t>Cth</w:t>
      </w:r>
      <w:proofErr w:type="spellEnd"/>
      <w:r w:rsidR="0041096A">
        <w:t xml:space="preserve">) to be represented by its director, </w:t>
      </w:r>
      <w:r w:rsidR="00710479">
        <w:t xml:space="preserve">who is not legally qualified, </w:t>
      </w:r>
      <w:r w:rsidR="0041096A">
        <w:t xml:space="preserve">Mr Alex Brown. Mr Brown appeared on the hearing of this application </w:t>
      </w:r>
      <w:r w:rsidR="00900C21">
        <w:t>and made oral and written submissions.</w:t>
      </w:r>
    </w:p>
    <w:p w14:paraId="41BCD523" w14:textId="44A54346" w:rsidR="004F7144" w:rsidRDefault="004F7144" w:rsidP="00CD1346">
      <w:pPr>
        <w:pStyle w:val="ParaNumbering"/>
      </w:pPr>
      <w:r>
        <w:t>Three issues aris</w:t>
      </w:r>
      <w:r w:rsidR="001F71F3">
        <w:t>e for determination.</w:t>
      </w:r>
    </w:p>
    <w:p w14:paraId="2889FAC7" w14:textId="62A28323" w:rsidR="001F71F3" w:rsidRDefault="00E67FCE" w:rsidP="009A34F3">
      <w:pPr>
        <w:pStyle w:val="ListNo1alt"/>
      </w:pPr>
      <w:r>
        <w:t xml:space="preserve">Whether the </w:t>
      </w:r>
      <w:r w:rsidR="002C5DFB">
        <w:t>A</w:t>
      </w:r>
      <w:r>
        <w:t xml:space="preserve">pplicant failed to make and serve the application </w:t>
      </w:r>
      <w:r w:rsidR="00635417">
        <w:t>and supporting affidavit within 21 days after it was brought to the attention of the sole director, Mr Brown</w:t>
      </w:r>
      <w:r w:rsidR="002C5DFB">
        <w:t>,</w:t>
      </w:r>
      <w:r w:rsidR="0033217E">
        <w:t xml:space="preserve"> such that the application fails to meet the statutory threshold in s 459G of the </w:t>
      </w:r>
      <w:r w:rsidR="0033217E" w:rsidRPr="00D44C67">
        <w:rPr>
          <w:b/>
          <w:bCs/>
          <w:i/>
          <w:iCs/>
        </w:rPr>
        <w:t>Corp</w:t>
      </w:r>
      <w:r w:rsidR="00040168" w:rsidRPr="00D44C67">
        <w:rPr>
          <w:b/>
          <w:bCs/>
          <w:i/>
          <w:iCs/>
        </w:rPr>
        <w:t xml:space="preserve">orations Act </w:t>
      </w:r>
      <w:r w:rsidR="00040168" w:rsidRPr="00D44C67">
        <w:rPr>
          <w:i/>
          <w:iCs/>
        </w:rPr>
        <w:t xml:space="preserve">2001 </w:t>
      </w:r>
      <w:r w:rsidR="00040168">
        <w:t>(</w:t>
      </w:r>
      <w:proofErr w:type="spellStart"/>
      <w:r w:rsidR="00040168">
        <w:t>Cth</w:t>
      </w:r>
      <w:proofErr w:type="spellEnd"/>
      <w:r w:rsidR="00040168">
        <w:t>)</w:t>
      </w:r>
      <w:r w:rsidR="00D44C67">
        <w:t>;</w:t>
      </w:r>
    </w:p>
    <w:p w14:paraId="79003AEF" w14:textId="1E9CAE35" w:rsidR="00D44C67" w:rsidRDefault="00D44C67" w:rsidP="009A34F3">
      <w:pPr>
        <w:pStyle w:val="ListNo1alt"/>
      </w:pPr>
      <w:r>
        <w:t>Whether there is a genuine dispute about the debt identified in the demand</w:t>
      </w:r>
      <w:r w:rsidR="00A40E6B">
        <w:t xml:space="preserve"> pursuant to s </w:t>
      </w:r>
      <w:proofErr w:type="gramStart"/>
      <w:r w:rsidR="00A40E6B">
        <w:t>459H(</w:t>
      </w:r>
      <w:proofErr w:type="gramEnd"/>
      <w:r w:rsidR="00A40E6B">
        <w:t xml:space="preserve">1)(a) of the </w:t>
      </w:r>
      <w:r w:rsidR="00A40E6B" w:rsidRPr="00EE11E1">
        <w:rPr>
          <w:i/>
          <w:iCs/>
        </w:rPr>
        <w:t>Corporations Act</w:t>
      </w:r>
      <w:r w:rsidR="00A40E6B">
        <w:t>.</w:t>
      </w:r>
    </w:p>
    <w:p w14:paraId="416EF06C" w14:textId="28C3C3EF" w:rsidR="00B25791" w:rsidRDefault="00B25791" w:rsidP="009A34F3">
      <w:pPr>
        <w:pStyle w:val="ListNo1alt"/>
      </w:pPr>
      <w:r>
        <w:t xml:space="preserve">Whether there </w:t>
      </w:r>
      <w:r w:rsidR="008071C9">
        <w:t xml:space="preserve">is </w:t>
      </w:r>
      <w:r w:rsidR="00B60810">
        <w:t xml:space="preserve">a genuine offsetting claim pursuant to s </w:t>
      </w:r>
      <w:proofErr w:type="gramStart"/>
      <w:r w:rsidR="00B60810">
        <w:t>459H(</w:t>
      </w:r>
      <w:proofErr w:type="gramEnd"/>
      <w:r w:rsidR="00B60810">
        <w:t xml:space="preserve">1)(b) of the </w:t>
      </w:r>
      <w:r w:rsidR="00B60810" w:rsidRPr="00EE11E1">
        <w:rPr>
          <w:i/>
          <w:iCs/>
        </w:rPr>
        <w:t>Corporations Act</w:t>
      </w:r>
      <w:r w:rsidR="00B60810">
        <w:t>.</w:t>
      </w:r>
    </w:p>
    <w:p w14:paraId="32812000" w14:textId="77777777" w:rsidR="00184674" w:rsidRDefault="00184674" w:rsidP="00710479">
      <w:pPr>
        <w:pStyle w:val="Heading2"/>
      </w:pPr>
      <w:r>
        <w:t>Chronology of relevant events</w:t>
      </w:r>
    </w:p>
    <w:p w14:paraId="29EADCF2" w14:textId="14E5BBCE" w:rsidR="007674A3" w:rsidRDefault="00116349" w:rsidP="00CD1346">
      <w:pPr>
        <w:pStyle w:val="ParaNumbering"/>
      </w:pPr>
      <w:r>
        <w:t xml:space="preserve">On </w:t>
      </w:r>
      <w:r w:rsidR="00732456">
        <w:t>or about 24 September 2</w:t>
      </w:r>
      <w:r w:rsidR="00405060">
        <w:t xml:space="preserve">021, the </w:t>
      </w:r>
      <w:r w:rsidR="002C5DFB">
        <w:t>A</w:t>
      </w:r>
      <w:r w:rsidR="00405060">
        <w:t xml:space="preserve">pplicant commenced proceedings in the District Court of Queensland </w:t>
      </w:r>
      <w:r w:rsidR="00121706">
        <w:t xml:space="preserve">against Mr Morgan </w:t>
      </w:r>
      <w:r w:rsidR="007674A3">
        <w:t xml:space="preserve">claiming, </w:t>
      </w:r>
      <w:r w:rsidR="007674A3" w:rsidRPr="002C5DFB">
        <w:rPr>
          <w:i/>
          <w:iCs/>
        </w:rPr>
        <w:t>inter alia</w:t>
      </w:r>
      <w:r w:rsidR="007674A3">
        <w:t xml:space="preserve">, damages for alleged breaches of an informal lease. </w:t>
      </w:r>
    </w:p>
    <w:p w14:paraId="63D46A46" w14:textId="6C1E8C90" w:rsidR="00591139" w:rsidRDefault="00D83CCD" w:rsidP="00CD1346">
      <w:pPr>
        <w:pStyle w:val="ParaNumbering"/>
      </w:pPr>
      <w:r>
        <w:t xml:space="preserve">The Applicant also has proceedings </w:t>
      </w:r>
      <w:r w:rsidR="00DC289E">
        <w:t xml:space="preserve">on foot in the Queensland Civil and Administrative Tribunal </w:t>
      </w:r>
      <w:r>
        <w:t>against Mr Morgan</w:t>
      </w:r>
      <w:r w:rsidR="0072085E">
        <w:t xml:space="preserve"> for the payment of money for services </w:t>
      </w:r>
      <w:r w:rsidR="00DC289E">
        <w:t xml:space="preserve">which were </w:t>
      </w:r>
      <w:r w:rsidR="0072085E">
        <w:t>commenced on 5 September 2022</w:t>
      </w:r>
      <w:r w:rsidR="00DC289E">
        <w:t xml:space="preserve">. These proceedings </w:t>
      </w:r>
      <w:r w:rsidR="00CD07F7">
        <w:t xml:space="preserve">are said to be relevant to the genuine offsetting </w:t>
      </w:r>
      <w:r w:rsidR="007018FF">
        <w:t>claim (Affidavit of Alex Brown 04.10.22</w:t>
      </w:r>
      <w:r w:rsidR="00D76259">
        <w:t xml:space="preserve"> [4] and Annexure ASB80).</w:t>
      </w:r>
    </w:p>
    <w:p w14:paraId="26F79095" w14:textId="03C93F4D" w:rsidR="00E0414A" w:rsidRDefault="007674A3" w:rsidP="00E0414A">
      <w:pPr>
        <w:pStyle w:val="ParaNumbering"/>
      </w:pPr>
      <w:r>
        <w:lastRenderedPageBreak/>
        <w:t>On 9 June 2022</w:t>
      </w:r>
      <w:r w:rsidR="006D292C">
        <w:t xml:space="preserve">, </w:t>
      </w:r>
      <w:proofErr w:type="spellStart"/>
      <w:r w:rsidR="006D292C">
        <w:t>Deard</w:t>
      </w:r>
      <w:r w:rsidR="00DC289E">
        <w:t>e</w:t>
      </w:r>
      <w:r w:rsidR="006D292C">
        <w:t>n</w:t>
      </w:r>
      <w:proofErr w:type="spellEnd"/>
      <w:r w:rsidR="006D292C">
        <w:t xml:space="preserve"> </w:t>
      </w:r>
      <w:r w:rsidR="002C5DFB">
        <w:t xml:space="preserve">DCJ </w:t>
      </w:r>
      <w:r w:rsidR="006D292C">
        <w:t xml:space="preserve">dismissed the </w:t>
      </w:r>
      <w:r w:rsidR="002C5DFB">
        <w:t>A</w:t>
      </w:r>
      <w:r w:rsidR="006D292C">
        <w:t xml:space="preserve">pplicant’s summary judgment application in relation to its claim </w:t>
      </w:r>
      <w:r w:rsidR="00DC289E">
        <w:t xml:space="preserve">in the District Court </w:t>
      </w:r>
      <w:r w:rsidR="006D292C">
        <w:t xml:space="preserve">and </w:t>
      </w:r>
      <w:r w:rsidR="00563397">
        <w:t xml:space="preserve">ordered, </w:t>
      </w:r>
      <w:r w:rsidR="00563397" w:rsidRPr="002C5DFB">
        <w:rPr>
          <w:i/>
          <w:iCs/>
        </w:rPr>
        <w:t>inter alia</w:t>
      </w:r>
      <w:r w:rsidR="00563397">
        <w:t xml:space="preserve">, </w:t>
      </w:r>
      <w:r w:rsidR="00DC289E">
        <w:t xml:space="preserve">that </w:t>
      </w:r>
      <w:r w:rsidR="00563397">
        <w:t xml:space="preserve">the </w:t>
      </w:r>
      <w:r w:rsidR="002C5DFB">
        <w:t>A</w:t>
      </w:r>
      <w:r w:rsidR="00563397">
        <w:t xml:space="preserve">pplicant pay </w:t>
      </w:r>
      <w:r w:rsidR="001D24B7">
        <w:t xml:space="preserve">Mr Morgan’s costs </w:t>
      </w:r>
      <w:r w:rsidR="00B02247">
        <w:t xml:space="preserve">of two applications brought by the </w:t>
      </w:r>
      <w:r w:rsidR="002C5DFB">
        <w:t>A</w:t>
      </w:r>
      <w:r w:rsidR="00B02247">
        <w:t>pplicant</w:t>
      </w:r>
      <w:r w:rsidR="002C5DFB">
        <w:t>,</w:t>
      </w:r>
      <w:r w:rsidR="00B02247">
        <w:t xml:space="preserve"> and Mr Morgan’s successful application for security for costs.</w:t>
      </w:r>
    </w:p>
    <w:p w14:paraId="381C7967" w14:textId="1912725E" w:rsidR="00EE11E1" w:rsidRDefault="009641FD" w:rsidP="00CD1346">
      <w:pPr>
        <w:pStyle w:val="ParaNumbering"/>
      </w:pPr>
      <w:r>
        <w:t xml:space="preserve">On 7 July 2022, the </w:t>
      </w:r>
      <w:r w:rsidR="002C5DFB">
        <w:t>A</w:t>
      </w:r>
      <w:r>
        <w:t xml:space="preserve">pplicant filed and served an appeal from the decision of </w:t>
      </w:r>
      <w:proofErr w:type="spellStart"/>
      <w:r>
        <w:t>Deard</w:t>
      </w:r>
      <w:r w:rsidR="00DC289E">
        <w:t>e</w:t>
      </w:r>
      <w:r>
        <w:t>n</w:t>
      </w:r>
      <w:proofErr w:type="spellEnd"/>
      <w:r w:rsidR="00B44A69">
        <w:t xml:space="preserve"> </w:t>
      </w:r>
      <w:r w:rsidR="002C5DFB">
        <w:t xml:space="preserve">DCJ </w:t>
      </w:r>
      <w:r w:rsidR="00B44A69">
        <w:t>(CA 796</w:t>
      </w:r>
      <w:r w:rsidR="007E5D11">
        <w:t>8/22)</w:t>
      </w:r>
      <w:r w:rsidR="003158EE">
        <w:t>.</w:t>
      </w:r>
      <w:r w:rsidR="007674A3">
        <w:t xml:space="preserve"> </w:t>
      </w:r>
    </w:p>
    <w:p w14:paraId="5917A85C" w14:textId="1F144454" w:rsidR="00B44A69" w:rsidRDefault="00E0414A" w:rsidP="00CD1346">
      <w:pPr>
        <w:pStyle w:val="ParaNumbering"/>
      </w:pPr>
      <w:r>
        <w:t xml:space="preserve">On 21 July 2022, Barlow </w:t>
      </w:r>
      <w:r w:rsidR="005B42DE">
        <w:t xml:space="preserve">QC </w:t>
      </w:r>
      <w:r w:rsidR="002C5DFB">
        <w:t xml:space="preserve">DCJ </w:t>
      </w:r>
      <w:r w:rsidR="005B42DE">
        <w:t>h</w:t>
      </w:r>
      <w:r w:rsidR="00BE716A">
        <w:t xml:space="preserve">ad before him </w:t>
      </w:r>
      <w:r w:rsidR="00B840E2">
        <w:t xml:space="preserve">five applications brought by the </w:t>
      </w:r>
      <w:r w:rsidR="002C5DFB">
        <w:t>A</w:t>
      </w:r>
      <w:r w:rsidR="00B840E2">
        <w:t>pplicant</w:t>
      </w:r>
      <w:r w:rsidR="00245D21">
        <w:t>. Judge Barlow QC dismissed</w:t>
      </w:r>
      <w:r w:rsidR="00B92F60">
        <w:t xml:space="preserve"> three, adjourned one, and partially dismissed the fifth. His </w:t>
      </w:r>
      <w:r w:rsidR="00623E7A">
        <w:t>H</w:t>
      </w:r>
      <w:r w:rsidR="00B92F60">
        <w:t xml:space="preserve">onour ordered that Mr Brown pay jointly and severally </w:t>
      </w:r>
      <w:r w:rsidR="000D787B">
        <w:t>Mr Morgan’s cost of each application heard and determined on that day, fixed in the sum of $12,455 plus GST. It is that amount</w:t>
      </w:r>
      <w:r w:rsidR="00B44A69">
        <w:t xml:space="preserve"> that is the subject of the statutory demand.</w:t>
      </w:r>
    </w:p>
    <w:p w14:paraId="1D5BC7FD" w14:textId="3FB9F634" w:rsidR="00E0414A" w:rsidRDefault="00B44A69" w:rsidP="00CD1346">
      <w:pPr>
        <w:pStyle w:val="ParaNumbering"/>
      </w:pPr>
      <w:r>
        <w:t xml:space="preserve">On 16 August 2022, </w:t>
      </w:r>
      <w:r w:rsidR="002C5DFB">
        <w:t xml:space="preserve">the Applicant </w:t>
      </w:r>
      <w:r>
        <w:t>filed an appeal from the orders of Barlow QC</w:t>
      </w:r>
      <w:r w:rsidR="005B42DE">
        <w:t xml:space="preserve"> </w:t>
      </w:r>
      <w:r w:rsidR="002C5DFB">
        <w:t xml:space="preserve">DCJ </w:t>
      </w:r>
      <w:r w:rsidR="00E50648">
        <w:t>(CA9733/22).</w:t>
      </w:r>
    </w:p>
    <w:p w14:paraId="7A058D1F" w14:textId="5D368D69" w:rsidR="00722DA9" w:rsidRDefault="00DC5473" w:rsidP="00CD1346">
      <w:pPr>
        <w:pStyle w:val="ParaNumbering"/>
      </w:pPr>
      <w:r>
        <w:t xml:space="preserve">The </w:t>
      </w:r>
      <w:r w:rsidR="002C5DFB">
        <w:t>A</w:t>
      </w:r>
      <w:r>
        <w:t>pplicant has not complied with the timetabling orders</w:t>
      </w:r>
      <w:r w:rsidR="008964F8">
        <w:t xml:space="preserve"> </w:t>
      </w:r>
      <w:r w:rsidR="00DD718D">
        <w:t>in relation to the two appeals which were ordered by the Court of Appeal to be heard together</w:t>
      </w:r>
      <w:r w:rsidR="00722DA9">
        <w:t>.</w:t>
      </w:r>
    </w:p>
    <w:p w14:paraId="27AC62B9" w14:textId="1548F164" w:rsidR="001F71F3" w:rsidRDefault="00722DA9" w:rsidP="00CD1346">
      <w:pPr>
        <w:pStyle w:val="ParaNumbering"/>
      </w:pPr>
      <w:r>
        <w:t>On 26 July 2022, Mr Morgan served</w:t>
      </w:r>
      <w:r w:rsidR="00B73389">
        <w:t xml:space="preserve"> a statutory demand on the applicant seeking pa</w:t>
      </w:r>
      <w:r w:rsidR="008A34C1">
        <w:t>yment of the unpaid costs order made by Barlow QC</w:t>
      </w:r>
      <w:r w:rsidR="00DC289E">
        <w:t xml:space="preserve"> DCJ</w:t>
      </w:r>
      <w:r w:rsidR="008A34C1">
        <w:t xml:space="preserve"> in the sum of $13,700.05 comprised of the fixed costs of </w:t>
      </w:r>
      <w:r w:rsidR="00AD7FBB">
        <w:t>$12, 255 plus GST.</w:t>
      </w:r>
    </w:p>
    <w:p w14:paraId="59CEEA37" w14:textId="3950E147" w:rsidR="00AD7FBB" w:rsidRDefault="00E347CE" w:rsidP="00CD1346">
      <w:pPr>
        <w:pStyle w:val="ParaNumbering"/>
      </w:pPr>
      <w:r>
        <w:t xml:space="preserve">On 17 August 2022, Mr Morgan filed and served an application to wind up the </w:t>
      </w:r>
      <w:r w:rsidR="002C5DFB">
        <w:t>A</w:t>
      </w:r>
      <w:r>
        <w:t>pplicant.</w:t>
      </w:r>
    </w:p>
    <w:p w14:paraId="5D3CB756" w14:textId="7590A7D1" w:rsidR="00E347CE" w:rsidRDefault="00E347CE" w:rsidP="00CD1346">
      <w:pPr>
        <w:pStyle w:val="ParaNumbering"/>
      </w:pPr>
      <w:r>
        <w:t xml:space="preserve">On 19 August 2022, the </w:t>
      </w:r>
      <w:r w:rsidR="002C5DFB">
        <w:t>A</w:t>
      </w:r>
      <w:r>
        <w:t xml:space="preserve">pplicant filed the current application to set aside the statutory demand </w:t>
      </w:r>
      <w:r w:rsidR="00EF3BCA">
        <w:t xml:space="preserve">pursuant to s 459G of the </w:t>
      </w:r>
      <w:r w:rsidR="00EF3BCA" w:rsidRPr="002C5DFB">
        <w:rPr>
          <w:i/>
          <w:iCs/>
        </w:rPr>
        <w:t>Corporations Act</w:t>
      </w:r>
      <w:r w:rsidR="00AD0C80">
        <w:t xml:space="preserve"> on the basis that there is a genuine dispute</w:t>
      </w:r>
      <w:r w:rsidR="00586CF2">
        <w:t xml:space="preserve"> and a genuine offsetting claim between the parties.</w:t>
      </w:r>
      <w:r w:rsidR="00DC289E">
        <w:t xml:space="preserve"> The application and supporting affidavit were also served on 19 August 2022 (Affidavit of Alex Brown 25.08.22 [4]-[5] and Annexures ASB9 and ASB10).</w:t>
      </w:r>
    </w:p>
    <w:p w14:paraId="1EB7D0C3" w14:textId="4EC4688A" w:rsidR="00710479" w:rsidRDefault="00710479" w:rsidP="00967395">
      <w:pPr>
        <w:pStyle w:val="Heading1"/>
      </w:pPr>
      <w:r>
        <w:t>Was the application served within time?</w:t>
      </w:r>
    </w:p>
    <w:p w14:paraId="3481932F" w14:textId="09F555E2" w:rsidR="006739B6" w:rsidRDefault="00DD427E" w:rsidP="000B2B8E">
      <w:pPr>
        <w:pStyle w:val="ParaNumbering"/>
      </w:pPr>
      <w:r>
        <w:t>The primary issue to be resolved is whether</w:t>
      </w:r>
      <w:r w:rsidR="00D30F31">
        <w:t xml:space="preserve"> 21 days </w:t>
      </w:r>
      <w:r w:rsidR="002B2231">
        <w:t xml:space="preserve">had elapsed </w:t>
      </w:r>
      <w:r w:rsidR="00710479">
        <w:t xml:space="preserve">from </w:t>
      </w:r>
      <w:r w:rsidR="002B2231">
        <w:t xml:space="preserve">the date the demand was served, 26 July </w:t>
      </w:r>
      <w:r w:rsidR="00527D20">
        <w:t xml:space="preserve">2022, and the date </w:t>
      </w:r>
      <w:r w:rsidR="00361153">
        <w:t xml:space="preserve">when </w:t>
      </w:r>
      <w:r w:rsidR="00527D20">
        <w:t xml:space="preserve">the application to set aside the statutory demand </w:t>
      </w:r>
      <w:r w:rsidR="004E051C">
        <w:t xml:space="preserve">was filed and served, 19 August 2022. Mr Morgan contends that the </w:t>
      </w:r>
      <w:r w:rsidR="00361153">
        <w:t>A</w:t>
      </w:r>
      <w:r w:rsidR="004E051C">
        <w:t>pplicant was obliged by</w:t>
      </w:r>
      <w:r w:rsidR="00BC5913">
        <w:t xml:space="preserve"> s </w:t>
      </w:r>
      <w:proofErr w:type="gramStart"/>
      <w:r w:rsidR="00BC5913">
        <w:t>4</w:t>
      </w:r>
      <w:r w:rsidR="006C5E1D">
        <w:t>5</w:t>
      </w:r>
      <w:r w:rsidR="00BC5913">
        <w:t>9G(</w:t>
      </w:r>
      <w:proofErr w:type="gramEnd"/>
      <w:r w:rsidR="00BC5913">
        <w:t xml:space="preserve">2) of the </w:t>
      </w:r>
      <w:r w:rsidR="00BC5913" w:rsidRPr="00604D26">
        <w:rPr>
          <w:i/>
          <w:iCs/>
        </w:rPr>
        <w:t>Corporations Act</w:t>
      </w:r>
      <w:r w:rsidR="00BC5913">
        <w:t xml:space="preserve"> to file and serve its application by 16 August </w:t>
      </w:r>
      <w:r w:rsidR="002B24B2">
        <w:t>2022 and, consequently, the Court does not have jurisdiction to determine the application.</w:t>
      </w:r>
    </w:p>
    <w:p w14:paraId="02F96F5E" w14:textId="4E24AB95" w:rsidR="001666F8" w:rsidRDefault="001666F8" w:rsidP="00DB6106">
      <w:pPr>
        <w:pStyle w:val="ParaNumbering"/>
      </w:pPr>
      <w:r>
        <w:lastRenderedPageBreak/>
        <w:t xml:space="preserve">The </w:t>
      </w:r>
      <w:r w:rsidR="00A5197B">
        <w:t xml:space="preserve">gravamen of the </w:t>
      </w:r>
      <w:r w:rsidR="00361153">
        <w:t>A</w:t>
      </w:r>
      <w:r>
        <w:t>pplicant</w:t>
      </w:r>
      <w:r w:rsidR="00A5197B">
        <w:t xml:space="preserve">’s complaint is that </w:t>
      </w:r>
      <w:r w:rsidR="00EB6F78">
        <w:t xml:space="preserve">Mr Morgan must be held to what is described as </w:t>
      </w:r>
      <w:r w:rsidR="00C860F5">
        <w:t>his “chosen method of service”,</w:t>
      </w:r>
      <w:r w:rsidR="00D344BC">
        <w:t xml:space="preserve"> being “Pursuant to section 109X of the </w:t>
      </w:r>
      <w:r w:rsidR="00D344BC" w:rsidRPr="00D344BC">
        <w:rPr>
          <w:i/>
          <w:iCs/>
        </w:rPr>
        <w:t>Corporations Act 2001 (</w:t>
      </w:r>
      <w:proofErr w:type="spellStart"/>
      <w:r w:rsidR="00D344BC" w:rsidRPr="00D344BC">
        <w:rPr>
          <w:i/>
          <w:iCs/>
        </w:rPr>
        <w:t>Cth</w:t>
      </w:r>
      <w:proofErr w:type="spellEnd"/>
      <w:r w:rsidR="00D344BC" w:rsidRPr="00D344BC">
        <w:rPr>
          <w:i/>
          <w:iCs/>
        </w:rPr>
        <w:t>)</w:t>
      </w:r>
      <w:r w:rsidR="00D344BC">
        <w:t>” because</w:t>
      </w:r>
      <w:r w:rsidR="006E2132">
        <w:t xml:space="preserve"> the covering letter from Gibbs Wright Litigation Lawyers enclosing the statutory demand nowhere states that there is “service by email” (</w:t>
      </w:r>
      <w:r w:rsidR="00361153">
        <w:t>A</w:t>
      </w:r>
      <w:r w:rsidR="003B5F04">
        <w:t xml:space="preserve">pplicant’s submissions 24.20.22 [2]-[4]). </w:t>
      </w:r>
      <w:r w:rsidR="00037893">
        <w:t xml:space="preserve">The Applicant contends </w:t>
      </w:r>
      <w:r w:rsidR="008E485D">
        <w:t>no “fair notice” was given t</w:t>
      </w:r>
      <w:r w:rsidR="00235258">
        <w:t xml:space="preserve">hat service </w:t>
      </w:r>
      <w:r w:rsidR="006C7D5D">
        <w:t xml:space="preserve">could occur by any method other than by “leaving it at, or posting it to, the company’s registered office” </w:t>
      </w:r>
      <w:r w:rsidR="00D27F8B">
        <w:t xml:space="preserve">as </w:t>
      </w:r>
      <w:r w:rsidR="00A016C8">
        <w:t xml:space="preserve">stipulated in s 109X(1)(a) of the </w:t>
      </w:r>
      <w:r w:rsidR="006C7D5D" w:rsidRPr="00A26EAD">
        <w:rPr>
          <w:i/>
          <w:iCs/>
        </w:rPr>
        <w:t>Cor</w:t>
      </w:r>
      <w:r w:rsidR="00A26EAD" w:rsidRPr="00A26EAD">
        <w:rPr>
          <w:i/>
          <w:iCs/>
        </w:rPr>
        <w:t>porations Act</w:t>
      </w:r>
      <w:r w:rsidR="00A26EAD">
        <w:t xml:space="preserve"> </w:t>
      </w:r>
      <w:r w:rsidR="00A016C8">
        <w:t>(</w:t>
      </w:r>
      <w:r w:rsidR="00A26EAD">
        <w:t xml:space="preserve">Applicant’s submissions </w:t>
      </w:r>
      <w:r w:rsidR="00D27F8B">
        <w:t>30.11.22 [12]-[16]).</w:t>
      </w:r>
    </w:p>
    <w:p w14:paraId="650B9E54" w14:textId="04FAC781" w:rsidR="003B5F04" w:rsidRDefault="003B5F04" w:rsidP="00DB6106">
      <w:pPr>
        <w:pStyle w:val="ParaNumbering"/>
      </w:pPr>
      <w:r>
        <w:t xml:space="preserve">Further, the </w:t>
      </w:r>
      <w:r w:rsidR="00361153">
        <w:t>A</w:t>
      </w:r>
      <w:r>
        <w:t xml:space="preserve">pplicant claims to have </w:t>
      </w:r>
      <w:r w:rsidR="00824A68">
        <w:t xml:space="preserve">followed the instructions of the Federal Court’s registry staff </w:t>
      </w:r>
      <w:r w:rsidR="00475B5A">
        <w:t xml:space="preserve">contained in </w:t>
      </w:r>
      <w:r w:rsidR="00B14436">
        <w:t xml:space="preserve">two </w:t>
      </w:r>
      <w:r w:rsidR="00475B5A">
        <w:t>email</w:t>
      </w:r>
      <w:r w:rsidR="00B14436">
        <w:t>s</w:t>
      </w:r>
      <w:r w:rsidR="00475B5A">
        <w:t xml:space="preserve"> dated 17 August</w:t>
      </w:r>
      <w:r w:rsidR="009D1389">
        <w:t xml:space="preserve"> </w:t>
      </w:r>
      <w:r w:rsidR="00EC5CFA">
        <w:t xml:space="preserve">2022 </w:t>
      </w:r>
      <w:r w:rsidR="001D09AC">
        <w:t>sent at 11.47am</w:t>
      </w:r>
      <w:r w:rsidR="00B14436">
        <w:t xml:space="preserve"> and 18 August 2022 sent at </w:t>
      </w:r>
      <w:r w:rsidR="009D30B9">
        <w:t xml:space="preserve">8.20am, both of which </w:t>
      </w:r>
      <w:r w:rsidR="00BF6C86">
        <w:t>said</w:t>
      </w:r>
      <w:r w:rsidR="00A016C8">
        <w:t>,</w:t>
      </w:r>
      <w:r w:rsidR="00BF6C86">
        <w:t xml:space="preserve"> </w:t>
      </w:r>
      <w:r w:rsidR="009D30B9">
        <w:t>“the last date for filing your application</w:t>
      </w:r>
      <w:r w:rsidR="00BF6C86">
        <w:t xml:space="preserve"> is 22</w:t>
      </w:r>
      <w:r w:rsidR="00E705B4">
        <w:t xml:space="preserve"> </w:t>
      </w:r>
      <w:r w:rsidR="00BF6C86">
        <w:t>August 2022</w:t>
      </w:r>
      <w:r w:rsidR="00C31711">
        <w:t>”</w:t>
      </w:r>
      <w:r w:rsidR="009D30B9">
        <w:t xml:space="preserve">  </w:t>
      </w:r>
      <w:r w:rsidR="001D09AC">
        <w:t xml:space="preserve"> (Affidavit of Alex Brown</w:t>
      </w:r>
      <w:r w:rsidR="000A60CE">
        <w:t xml:space="preserve"> 06.09.22 </w:t>
      </w:r>
      <w:r w:rsidR="0055302A">
        <w:t xml:space="preserve">[3] and </w:t>
      </w:r>
      <w:r w:rsidR="000A60CE">
        <w:t>ASB20</w:t>
      </w:r>
      <w:r w:rsidR="0055302A">
        <w:t xml:space="preserve">; Affidavit </w:t>
      </w:r>
      <w:r w:rsidR="00030CE7">
        <w:t>of Alex Brown 14.10.22 [3]</w:t>
      </w:r>
      <w:r w:rsidR="001F1FF0">
        <w:t>; Affidavit of Alex Brown 30.11.22</w:t>
      </w:r>
      <w:r w:rsidR="00B14436">
        <w:t xml:space="preserve"> [4] and </w:t>
      </w:r>
      <w:r w:rsidR="00C31711">
        <w:t>ASB 104).</w:t>
      </w:r>
      <w:r w:rsidR="004A1709">
        <w:t xml:space="preserve"> It is relevant to observe that although both emails refer to previous correspondence from Mr Brown relevant to th</w:t>
      </w:r>
      <w:r w:rsidR="00E705B4">
        <w:t>ose</w:t>
      </w:r>
      <w:r w:rsidR="004A1709">
        <w:t xml:space="preserve"> responses, that correspondence is not exhibited. Consequently, </w:t>
      </w:r>
      <w:r w:rsidR="00EC06CE">
        <w:t>no inference can be dr</w:t>
      </w:r>
      <w:r w:rsidR="00516F0E">
        <w:t>awn, as Mr Brown invited the Court to do</w:t>
      </w:r>
      <w:r w:rsidR="0063538B">
        <w:t xml:space="preserve"> (Applicant’s submissions 30.11.22 [3])</w:t>
      </w:r>
      <w:r w:rsidR="00516F0E">
        <w:t>, that</w:t>
      </w:r>
      <w:r w:rsidR="00A440E7">
        <w:t xml:space="preserve"> the registry staffs</w:t>
      </w:r>
      <w:r w:rsidR="006971F8">
        <w:t>’</w:t>
      </w:r>
      <w:r w:rsidR="00A440E7">
        <w:t xml:space="preserve"> “instructions” were based on those staff </w:t>
      </w:r>
      <w:r w:rsidR="00964D54">
        <w:t>having read the supporting affidavit of Mr Brown dated 16 August 2022</w:t>
      </w:r>
      <w:r w:rsidR="00546B5D">
        <w:t xml:space="preserve"> </w:t>
      </w:r>
      <w:r w:rsidR="006971F8">
        <w:t xml:space="preserve">or </w:t>
      </w:r>
      <w:r w:rsidR="000711DE">
        <w:t xml:space="preserve">having </w:t>
      </w:r>
      <w:r w:rsidR="006971F8">
        <w:t xml:space="preserve">independently formed a view as to when </w:t>
      </w:r>
      <w:r w:rsidR="00722548">
        <w:t xml:space="preserve">service of </w:t>
      </w:r>
      <w:r w:rsidR="006971F8">
        <w:t xml:space="preserve">the </w:t>
      </w:r>
      <w:r w:rsidR="00722548">
        <w:t xml:space="preserve">statutory demand </w:t>
      </w:r>
      <w:r w:rsidR="000711DE">
        <w:t>had in fact been effected</w:t>
      </w:r>
      <w:r w:rsidR="00E31FA3">
        <w:t>.</w:t>
      </w:r>
    </w:p>
    <w:p w14:paraId="33C47582" w14:textId="0EFFB618" w:rsidR="00DB6106" w:rsidRDefault="00DB6106" w:rsidP="00DB6106">
      <w:pPr>
        <w:pStyle w:val="ParaNumbering"/>
      </w:pPr>
      <w:r>
        <w:t>The covering letter from Gibbs Wright Litigation Lawyers enclosing the statutory demand (Affidavit of Alex Brown 16.08.22</w:t>
      </w:r>
      <w:r w:rsidR="00B21ADC">
        <w:t>, Annexure ASB1</w:t>
      </w:r>
      <w:r>
        <w:t>), states in bold under the salutation:</w:t>
      </w:r>
    </w:p>
    <w:p w14:paraId="12DCC702" w14:textId="20ADA540" w:rsidR="00DB6106" w:rsidRDefault="00DB6106" w:rsidP="009A4EE9">
      <w:pPr>
        <w:pStyle w:val="Quote1"/>
      </w:pPr>
      <w:r w:rsidRPr="009A4EE9">
        <w:rPr>
          <w:b/>
        </w:rPr>
        <w:t>By email and express post:</w:t>
      </w:r>
      <w:r w:rsidRPr="00373FED">
        <w:t xml:space="preserve"> </w:t>
      </w:r>
      <w:r w:rsidR="000D34D6" w:rsidRPr="00631DF9">
        <w:rPr>
          <w:b/>
          <w:bCs/>
        </w:rPr>
        <w:t>sandys.swim.school@gmail.com</w:t>
      </w:r>
    </w:p>
    <w:p w14:paraId="0BF0CDF9" w14:textId="2048499B" w:rsidR="003E5650" w:rsidRDefault="000D34D6" w:rsidP="00E1642A">
      <w:pPr>
        <w:pStyle w:val="ParaNumbering"/>
      </w:pPr>
      <w:r w:rsidRPr="000D34D6">
        <w:t>It then</w:t>
      </w:r>
      <w:r w:rsidR="001236F3">
        <w:t xml:space="preserve"> sets out that, </w:t>
      </w:r>
      <w:r w:rsidR="004D0A07">
        <w:t>“</w:t>
      </w:r>
      <w:r w:rsidR="001236F3">
        <w:t xml:space="preserve">pursuant to section 109X of the </w:t>
      </w:r>
      <w:r w:rsidR="001236F3" w:rsidRPr="00A26EAD">
        <w:rPr>
          <w:i/>
          <w:iCs/>
        </w:rPr>
        <w:t>Corporations Act</w:t>
      </w:r>
      <w:r w:rsidR="004D0A07">
        <w:t xml:space="preserve">…., we </w:t>
      </w:r>
      <w:r w:rsidR="004D0A07" w:rsidRPr="004D0A07">
        <w:rPr>
          <w:b/>
          <w:bCs/>
        </w:rPr>
        <w:t>enclose</w:t>
      </w:r>
      <w:r w:rsidR="004D0A07">
        <w:t xml:space="preserve"> by way of service…”</w:t>
      </w:r>
      <w:r w:rsidR="00425189">
        <w:t xml:space="preserve"> the Creditor’s Statutory Demand and the Order of Barlow DCJ.</w:t>
      </w:r>
    </w:p>
    <w:p w14:paraId="6F7C7BA7" w14:textId="5E831C28" w:rsidR="00E07797" w:rsidRDefault="00E07797" w:rsidP="00F357B2">
      <w:pPr>
        <w:pStyle w:val="ParaNumbering"/>
        <w:rPr>
          <w:szCs w:val="24"/>
        </w:rPr>
      </w:pPr>
      <w:r>
        <w:t>The Applicant’s contention that he was “misled” by</w:t>
      </w:r>
      <w:r w:rsidR="00F60C47">
        <w:t xml:space="preserve"> </w:t>
      </w:r>
      <w:r w:rsidR="00DC289E">
        <w:t xml:space="preserve">the terms of </w:t>
      </w:r>
      <w:r w:rsidR="00F60C47">
        <w:t>this letter</w:t>
      </w:r>
      <w:r w:rsidR="00E80B68">
        <w:t xml:space="preserve"> </w:t>
      </w:r>
      <w:r w:rsidR="00E63225">
        <w:t xml:space="preserve">that </w:t>
      </w:r>
      <w:r w:rsidR="00DC289E">
        <w:t xml:space="preserve">only </w:t>
      </w:r>
      <w:r w:rsidR="00E63225">
        <w:t>one particular form of service</w:t>
      </w:r>
      <w:r w:rsidR="00171901">
        <w:t xml:space="preserve"> had been chosen by Mr Morgan and that</w:t>
      </w:r>
      <w:r w:rsidR="001520DC">
        <w:t xml:space="preserve"> Mr Morgan should be held to that mode of service </w:t>
      </w:r>
      <w:r w:rsidR="00DC289E">
        <w:t xml:space="preserve">for the purposes of reckoning the 21 day period required by s 459G of the </w:t>
      </w:r>
      <w:r w:rsidR="00DC289E" w:rsidRPr="00DC289E">
        <w:rPr>
          <w:i/>
          <w:iCs/>
        </w:rPr>
        <w:t>Corporations Act</w:t>
      </w:r>
      <w:r w:rsidR="00DC289E">
        <w:t xml:space="preserve"> </w:t>
      </w:r>
      <w:r w:rsidR="001520DC">
        <w:t>cannot be accepted</w:t>
      </w:r>
      <w:r w:rsidR="000A3576">
        <w:t xml:space="preserve">. The text of the letter is clear. In any event, as is discussed below, </w:t>
      </w:r>
      <w:r w:rsidR="00A856CE">
        <w:t xml:space="preserve">the effect of the </w:t>
      </w:r>
      <w:r w:rsidR="0054309B">
        <w:rPr>
          <w:i/>
        </w:rPr>
        <w:t xml:space="preserve">Corporations Amendment (Corporate Insolvency Reforms) Act 2020 </w:t>
      </w:r>
      <w:r w:rsidR="0054309B">
        <w:t>(</w:t>
      </w:r>
      <w:proofErr w:type="spellStart"/>
      <w:r w:rsidR="0054309B">
        <w:t>Cth</w:t>
      </w:r>
      <w:proofErr w:type="spellEnd"/>
      <w:r w:rsidR="0054309B">
        <w:t>)</w:t>
      </w:r>
      <w:r w:rsidR="00FE2A08">
        <w:t xml:space="preserve"> which took effect from 16 December 2020 (the </w:t>
      </w:r>
      <w:r w:rsidR="00FE2A08">
        <w:rPr>
          <w:b/>
        </w:rPr>
        <w:t>2020 Reforms</w:t>
      </w:r>
      <w:r w:rsidR="00FE2A08">
        <w:t>)</w:t>
      </w:r>
      <w:r w:rsidR="00D20538">
        <w:t xml:space="preserve"> is that</w:t>
      </w:r>
      <w:r w:rsidR="00D82B96">
        <w:t xml:space="preserve"> service pursuant to s 109X of the Corporations Act will, in certain circumstances, </w:t>
      </w:r>
      <w:r w:rsidR="000075AB">
        <w:t>necessarily embrace service by electronic communication.</w:t>
      </w:r>
    </w:p>
    <w:p w14:paraId="37101AB7" w14:textId="42C5861F" w:rsidR="00E07797" w:rsidRDefault="00E07797" w:rsidP="00E07797">
      <w:pPr>
        <w:pStyle w:val="Heading2"/>
      </w:pPr>
      <w:r>
        <w:lastRenderedPageBreak/>
        <w:t>When was service of the statutory demand effected?</w:t>
      </w:r>
    </w:p>
    <w:p w14:paraId="685D1EEB" w14:textId="1D274333" w:rsidR="008438FA" w:rsidRDefault="008438FA" w:rsidP="00F357B2">
      <w:pPr>
        <w:pStyle w:val="ParaNumbering"/>
        <w:rPr>
          <w:szCs w:val="24"/>
        </w:rPr>
      </w:pPr>
      <w:r>
        <w:rPr>
          <w:szCs w:val="24"/>
        </w:rPr>
        <w:t xml:space="preserve">The determination of the date which service of the statutory demand was effected requires penetration of the usual labyrinthine provisions of the </w:t>
      </w:r>
      <w:r w:rsidRPr="008438FA">
        <w:rPr>
          <w:i/>
          <w:iCs/>
          <w:szCs w:val="24"/>
        </w:rPr>
        <w:t>Corporations Act</w:t>
      </w:r>
      <w:r>
        <w:rPr>
          <w:szCs w:val="24"/>
        </w:rPr>
        <w:t xml:space="preserve">. Until that date is determined, it is not possible to ascertain whether or not the application was “made within the statutory period after the demand is so served” as required by s </w:t>
      </w:r>
      <w:proofErr w:type="gramStart"/>
      <w:r>
        <w:rPr>
          <w:szCs w:val="24"/>
        </w:rPr>
        <w:t>459G(</w:t>
      </w:r>
      <w:proofErr w:type="gramEnd"/>
      <w:r>
        <w:rPr>
          <w:szCs w:val="24"/>
        </w:rPr>
        <w:t xml:space="preserve">2) of the </w:t>
      </w:r>
      <w:r w:rsidRPr="008438FA">
        <w:rPr>
          <w:i/>
          <w:iCs/>
          <w:szCs w:val="24"/>
        </w:rPr>
        <w:t>Corporations Act</w:t>
      </w:r>
      <w:r>
        <w:rPr>
          <w:szCs w:val="24"/>
        </w:rPr>
        <w:t>.</w:t>
      </w:r>
    </w:p>
    <w:p w14:paraId="1216047F" w14:textId="77777777" w:rsidR="008438FA" w:rsidRPr="00E1642A" w:rsidRDefault="008438FA" w:rsidP="008438FA">
      <w:pPr>
        <w:pStyle w:val="ParaNumbering"/>
      </w:pPr>
      <w:r w:rsidRPr="00911E5C">
        <w:t>Section</w:t>
      </w:r>
      <w:r w:rsidRPr="00911E5C">
        <w:rPr>
          <w:spacing w:val="-3"/>
        </w:rPr>
        <w:t xml:space="preserve"> </w:t>
      </w:r>
      <w:r w:rsidRPr="00911E5C">
        <w:t>459G</w:t>
      </w:r>
      <w:r w:rsidRPr="00911E5C">
        <w:rPr>
          <w:spacing w:val="-2"/>
        </w:rPr>
        <w:t xml:space="preserve"> </w:t>
      </w:r>
      <w:r w:rsidRPr="00911E5C">
        <w:t>of</w:t>
      </w:r>
      <w:r w:rsidRPr="00911E5C">
        <w:rPr>
          <w:spacing w:val="-2"/>
        </w:rPr>
        <w:t xml:space="preserve"> </w:t>
      </w:r>
      <w:r w:rsidRPr="00911E5C">
        <w:t>the</w:t>
      </w:r>
      <w:r w:rsidRPr="00911E5C">
        <w:rPr>
          <w:spacing w:val="-2"/>
        </w:rPr>
        <w:t xml:space="preserve"> </w:t>
      </w:r>
      <w:r w:rsidRPr="000075AB">
        <w:rPr>
          <w:i/>
          <w:iCs/>
        </w:rPr>
        <w:t>Corporations</w:t>
      </w:r>
      <w:r w:rsidRPr="000075AB">
        <w:rPr>
          <w:i/>
          <w:iCs/>
          <w:spacing w:val="-1"/>
        </w:rPr>
        <w:t xml:space="preserve"> </w:t>
      </w:r>
      <w:r w:rsidRPr="000075AB">
        <w:rPr>
          <w:i/>
          <w:iCs/>
        </w:rPr>
        <w:t>Act</w:t>
      </w:r>
      <w:r w:rsidRPr="00911E5C">
        <w:t xml:space="preserve"> </w:t>
      </w:r>
      <w:r w:rsidRPr="00911E5C">
        <w:rPr>
          <w:spacing w:val="-2"/>
        </w:rPr>
        <w:t>provides:</w:t>
      </w:r>
    </w:p>
    <w:p w14:paraId="71B746FD" w14:textId="77777777" w:rsidR="008438FA" w:rsidRPr="0072608D" w:rsidRDefault="008438FA" w:rsidP="008438FA">
      <w:pPr>
        <w:pStyle w:val="Quote1"/>
        <w:rPr>
          <w:b/>
          <w:lang w:eastAsia="en-AU"/>
        </w:rPr>
      </w:pPr>
      <w:r w:rsidRPr="001D3B92">
        <w:rPr>
          <w:b/>
          <w:szCs w:val="22"/>
        </w:rPr>
        <w:t>459G Company may apply</w:t>
      </w:r>
    </w:p>
    <w:p w14:paraId="1F2B435C" w14:textId="77777777" w:rsidR="008438FA" w:rsidRDefault="008438FA" w:rsidP="000E2CD7">
      <w:pPr>
        <w:pStyle w:val="Quote1"/>
        <w:ind w:left="1440" w:hanging="703"/>
      </w:pPr>
      <w:r>
        <w:t>(1)</w:t>
      </w:r>
      <w:r>
        <w:tab/>
      </w:r>
      <w:r w:rsidRPr="00911E5C">
        <w:t>A company may apply to the Court for an order setting aside a statutory</w:t>
      </w:r>
      <w:r w:rsidRPr="00911E5C">
        <w:rPr>
          <w:spacing w:val="80"/>
        </w:rPr>
        <w:t xml:space="preserve"> </w:t>
      </w:r>
      <w:r w:rsidRPr="00911E5C">
        <w:t>demand served on the company.</w:t>
      </w:r>
    </w:p>
    <w:p w14:paraId="59C3E62E" w14:textId="77777777" w:rsidR="008438FA" w:rsidRDefault="008438FA" w:rsidP="000E2CD7">
      <w:pPr>
        <w:pStyle w:val="Quote1"/>
        <w:ind w:left="1440" w:hanging="703"/>
      </w:pPr>
      <w:r>
        <w:t>(2)</w:t>
      </w:r>
      <w:r>
        <w:tab/>
      </w:r>
      <w:r w:rsidRPr="00911E5C">
        <w:t>An</w:t>
      </w:r>
      <w:r w:rsidRPr="00911E5C">
        <w:rPr>
          <w:spacing w:val="40"/>
        </w:rPr>
        <w:t xml:space="preserve"> </w:t>
      </w:r>
      <w:r w:rsidRPr="00911E5C">
        <w:t>application</w:t>
      </w:r>
      <w:r w:rsidRPr="00911E5C">
        <w:rPr>
          <w:spacing w:val="40"/>
        </w:rPr>
        <w:t xml:space="preserve"> </w:t>
      </w:r>
      <w:r w:rsidRPr="00911E5C">
        <w:t>may</w:t>
      </w:r>
      <w:r w:rsidRPr="00911E5C">
        <w:rPr>
          <w:spacing w:val="38"/>
        </w:rPr>
        <w:t xml:space="preserve"> </w:t>
      </w:r>
      <w:r w:rsidRPr="00911E5C">
        <w:t>only</w:t>
      </w:r>
      <w:r w:rsidRPr="00911E5C">
        <w:rPr>
          <w:spacing w:val="40"/>
        </w:rPr>
        <w:t xml:space="preserve"> </w:t>
      </w:r>
      <w:r w:rsidRPr="00911E5C">
        <w:t>be</w:t>
      </w:r>
      <w:r w:rsidRPr="00911E5C">
        <w:rPr>
          <w:spacing w:val="40"/>
        </w:rPr>
        <w:t xml:space="preserve"> </w:t>
      </w:r>
      <w:r w:rsidRPr="00911E5C">
        <w:t>made</w:t>
      </w:r>
      <w:r w:rsidRPr="00911E5C">
        <w:rPr>
          <w:spacing w:val="40"/>
        </w:rPr>
        <w:t xml:space="preserve"> </w:t>
      </w:r>
      <w:r w:rsidRPr="00911E5C">
        <w:t>within</w:t>
      </w:r>
      <w:r w:rsidRPr="00911E5C">
        <w:rPr>
          <w:spacing w:val="40"/>
        </w:rPr>
        <w:t xml:space="preserve"> </w:t>
      </w:r>
      <w:r w:rsidRPr="00911E5C">
        <w:t>the</w:t>
      </w:r>
      <w:r w:rsidRPr="00911E5C">
        <w:rPr>
          <w:spacing w:val="40"/>
        </w:rPr>
        <w:t xml:space="preserve"> </w:t>
      </w:r>
      <w:r w:rsidRPr="00911E5C">
        <w:t>statutory</w:t>
      </w:r>
      <w:r w:rsidRPr="00911E5C">
        <w:rPr>
          <w:spacing w:val="38"/>
        </w:rPr>
        <w:t xml:space="preserve"> </w:t>
      </w:r>
      <w:r w:rsidRPr="00911E5C">
        <w:t>period</w:t>
      </w:r>
      <w:r w:rsidRPr="00911E5C">
        <w:rPr>
          <w:spacing w:val="40"/>
        </w:rPr>
        <w:t xml:space="preserve"> </w:t>
      </w:r>
      <w:r w:rsidRPr="00911E5C">
        <w:t>after</w:t>
      </w:r>
      <w:r w:rsidRPr="00911E5C">
        <w:rPr>
          <w:spacing w:val="40"/>
        </w:rPr>
        <w:t xml:space="preserve"> </w:t>
      </w:r>
      <w:r w:rsidRPr="00911E5C">
        <w:t>the demand is so served.</w:t>
      </w:r>
    </w:p>
    <w:p w14:paraId="4B6250AC" w14:textId="77777777" w:rsidR="008438FA" w:rsidRDefault="008438FA" w:rsidP="000E2CD7">
      <w:pPr>
        <w:pStyle w:val="Quote1"/>
        <w:ind w:left="1440" w:hanging="703"/>
      </w:pPr>
      <w:r>
        <w:t>(3)</w:t>
      </w:r>
      <w:r>
        <w:tab/>
      </w:r>
      <w:r w:rsidRPr="00911E5C">
        <w:t>An application is made in accordance with this section only</w:t>
      </w:r>
      <w:r w:rsidRPr="00911E5C">
        <w:rPr>
          <w:spacing w:val="-1"/>
        </w:rPr>
        <w:t xml:space="preserve"> </w:t>
      </w:r>
      <w:r w:rsidRPr="00911E5C">
        <w:t xml:space="preserve">if, within that </w:t>
      </w:r>
      <w:r w:rsidRPr="00911E5C">
        <w:rPr>
          <w:spacing w:val="-2"/>
        </w:rPr>
        <w:t>period</w:t>
      </w:r>
      <w:r>
        <w:t>:</w:t>
      </w:r>
    </w:p>
    <w:p w14:paraId="15BDA7C9" w14:textId="77777777" w:rsidR="008438FA" w:rsidRDefault="008438FA" w:rsidP="000E2CD7">
      <w:pPr>
        <w:pStyle w:val="Quote2"/>
        <w:ind w:left="2160" w:hanging="720"/>
        <w:rPr>
          <w:spacing w:val="-4"/>
        </w:rPr>
      </w:pPr>
      <w:r>
        <w:t>(a)</w:t>
      </w:r>
      <w:r>
        <w:tab/>
      </w:r>
      <w:proofErr w:type="gramStart"/>
      <w:r w:rsidRPr="00911E5C">
        <w:t>an</w:t>
      </w:r>
      <w:proofErr w:type="gramEnd"/>
      <w:r w:rsidRPr="00911E5C">
        <w:t xml:space="preserve"> affidavit supporting the application is filed with the Court; </w:t>
      </w:r>
      <w:r w:rsidRPr="00911E5C">
        <w:rPr>
          <w:spacing w:val="-4"/>
        </w:rPr>
        <w:t>and</w:t>
      </w:r>
    </w:p>
    <w:p w14:paraId="27DA8092" w14:textId="77777777" w:rsidR="008438FA" w:rsidRDefault="008438FA" w:rsidP="000E2CD7">
      <w:pPr>
        <w:pStyle w:val="Quote2"/>
        <w:ind w:left="2160" w:hanging="720"/>
        <w:rPr>
          <w:spacing w:val="-2"/>
        </w:rPr>
      </w:pPr>
      <w:r>
        <w:t>(b)</w:t>
      </w:r>
      <w:r>
        <w:tab/>
      </w:r>
      <w:proofErr w:type="gramStart"/>
      <w:r w:rsidRPr="00911E5C">
        <w:t>a</w:t>
      </w:r>
      <w:proofErr w:type="gramEnd"/>
      <w:r w:rsidRPr="00911E5C">
        <w:rPr>
          <w:spacing w:val="-6"/>
        </w:rPr>
        <w:t xml:space="preserve"> </w:t>
      </w:r>
      <w:r w:rsidRPr="00911E5C">
        <w:t>copy</w:t>
      </w:r>
      <w:r w:rsidRPr="00911E5C">
        <w:rPr>
          <w:spacing w:val="-10"/>
        </w:rPr>
        <w:t xml:space="preserve"> </w:t>
      </w:r>
      <w:r w:rsidRPr="00911E5C">
        <w:t>of</w:t>
      </w:r>
      <w:r w:rsidRPr="00911E5C">
        <w:rPr>
          <w:spacing w:val="-6"/>
        </w:rPr>
        <w:t xml:space="preserve"> </w:t>
      </w:r>
      <w:r w:rsidRPr="00911E5C">
        <w:t>the</w:t>
      </w:r>
      <w:r w:rsidRPr="00911E5C">
        <w:rPr>
          <w:spacing w:val="-6"/>
        </w:rPr>
        <w:t xml:space="preserve"> </w:t>
      </w:r>
      <w:r w:rsidRPr="00911E5C">
        <w:t>application,</w:t>
      </w:r>
      <w:r w:rsidRPr="00911E5C">
        <w:rPr>
          <w:spacing w:val="-5"/>
        </w:rPr>
        <w:t xml:space="preserve"> </w:t>
      </w:r>
      <w:r w:rsidRPr="00911E5C">
        <w:t>and</w:t>
      </w:r>
      <w:r w:rsidRPr="00911E5C">
        <w:rPr>
          <w:spacing w:val="-5"/>
        </w:rPr>
        <w:t xml:space="preserve"> </w:t>
      </w:r>
      <w:r w:rsidRPr="00911E5C">
        <w:t>a</w:t>
      </w:r>
      <w:r w:rsidRPr="00911E5C">
        <w:rPr>
          <w:spacing w:val="-6"/>
        </w:rPr>
        <w:t xml:space="preserve"> </w:t>
      </w:r>
      <w:r w:rsidRPr="00911E5C">
        <w:t>copy</w:t>
      </w:r>
      <w:r w:rsidRPr="00911E5C">
        <w:rPr>
          <w:spacing w:val="-10"/>
        </w:rPr>
        <w:t xml:space="preserve"> </w:t>
      </w:r>
      <w:r w:rsidRPr="00911E5C">
        <w:t>of</w:t>
      </w:r>
      <w:r w:rsidRPr="00911E5C">
        <w:rPr>
          <w:spacing w:val="-6"/>
        </w:rPr>
        <w:t xml:space="preserve"> </w:t>
      </w:r>
      <w:r w:rsidRPr="00911E5C">
        <w:t>the</w:t>
      </w:r>
      <w:r w:rsidRPr="00911E5C">
        <w:rPr>
          <w:spacing w:val="-6"/>
        </w:rPr>
        <w:t xml:space="preserve"> </w:t>
      </w:r>
      <w:r w:rsidRPr="00911E5C">
        <w:t>supporting</w:t>
      </w:r>
      <w:r w:rsidRPr="00911E5C">
        <w:rPr>
          <w:spacing w:val="-7"/>
        </w:rPr>
        <w:t xml:space="preserve"> </w:t>
      </w:r>
      <w:r w:rsidRPr="00911E5C">
        <w:t xml:space="preserve">affidavit, are served on the person who served the demand on the </w:t>
      </w:r>
      <w:r w:rsidRPr="00911E5C">
        <w:rPr>
          <w:spacing w:val="-2"/>
        </w:rPr>
        <w:t>company.</w:t>
      </w:r>
    </w:p>
    <w:p w14:paraId="54A32156" w14:textId="5109F326" w:rsidR="008438FA" w:rsidRDefault="008438FA" w:rsidP="00F357B2">
      <w:pPr>
        <w:pStyle w:val="ParaNumbering"/>
        <w:rPr>
          <w:szCs w:val="24"/>
        </w:rPr>
      </w:pPr>
      <w:r>
        <w:rPr>
          <w:szCs w:val="24"/>
        </w:rPr>
        <w:t xml:space="preserve">It is first necessary to establish whether a statutory demand is a “document” such that it engages the provisions of the </w:t>
      </w:r>
      <w:r w:rsidRPr="008438FA">
        <w:rPr>
          <w:i/>
          <w:iCs/>
          <w:szCs w:val="24"/>
        </w:rPr>
        <w:t>Corporations Act</w:t>
      </w:r>
      <w:r>
        <w:rPr>
          <w:szCs w:val="24"/>
        </w:rPr>
        <w:t xml:space="preserve"> relating to service of documents.</w:t>
      </w:r>
    </w:p>
    <w:p w14:paraId="2A5F4952" w14:textId="4FFC3A69" w:rsidR="00F357B2" w:rsidRPr="00DA0965" w:rsidRDefault="00F357B2" w:rsidP="00F357B2">
      <w:pPr>
        <w:pStyle w:val="ParaNumbering"/>
        <w:rPr>
          <w:szCs w:val="24"/>
        </w:rPr>
      </w:pPr>
      <w:r w:rsidRPr="00DA0965">
        <w:rPr>
          <w:szCs w:val="24"/>
        </w:rPr>
        <w:t xml:space="preserve">Section 9 of the </w:t>
      </w:r>
      <w:r w:rsidRPr="00DA0965">
        <w:rPr>
          <w:i/>
          <w:iCs/>
          <w:szCs w:val="24"/>
        </w:rPr>
        <w:t>Corporations Act</w:t>
      </w:r>
      <w:r w:rsidRPr="00DA0965">
        <w:rPr>
          <w:szCs w:val="24"/>
        </w:rPr>
        <w:t xml:space="preserve"> defines </w:t>
      </w:r>
      <w:r w:rsidRPr="00DA0965">
        <w:rPr>
          <w:i/>
          <w:iCs/>
          <w:szCs w:val="24"/>
        </w:rPr>
        <w:t>"statutory demand"</w:t>
      </w:r>
      <w:r w:rsidR="008438FA">
        <w:rPr>
          <w:szCs w:val="24"/>
        </w:rPr>
        <w:t>:</w:t>
      </w:r>
    </w:p>
    <w:p w14:paraId="248C8590" w14:textId="5A5ECAD7" w:rsidR="00F357B2" w:rsidRPr="006E111E" w:rsidRDefault="00F357B2" w:rsidP="009A4EE9">
      <w:pPr>
        <w:pStyle w:val="Quote1"/>
      </w:pPr>
      <w:proofErr w:type="gramStart"/>
      <w:r w:rsidRPr="009A4EE9">
        <w:rPr>
          <w:b/>
          <w:i/>
        </w:rPr>
        <w:t>statutory</w:t>
      </w:r>
      <w:proofErr w:type="gramEnd"/>
      <w:r w:rsidRPr="009A4EE9">
        <w:rPr>
          <w:b/>
          <w:i/>
        </w:rPr>
        <w:t xml:space="preserve"> demand</w:t>
      </w:r>
      <w:r w:rsidRPr="006E111E">
        <w:t xml:space="preserve"> means: </w:t>
      </w:r>
    </w:p>
    <w:p w14:paraId="3DECB6AF" w14:textId="42E69CF5" w:rsidR="00F357B2" w:rsidRPr="006E111E" w:rsidRDefault="00F357B2" w:rsidP="000E2CD7">
      <w:pPr>
        <w:pStyle w:val="Quote1"/>
        <w:ind w:left="1440" w:hanging="703"/>
      </w:pPr>
      <w:r w:rsidRPr="006E111E">
        <w:t xml:space="preserve">(a) </w:t>
      </w:r>
      <w:r w:rsidR="007C74AB" w:rsidRPr="006E111E">
        <w:tab/>
      </w:r>
      <w:proofErr w:type="gramStart"/>
      <w:r w:rsidRPr="006E111E">
        <w:t>a</w:t>
      </w:r>
      <w:proofErr w:type="gramEnd"/>
      <w:r w:rsidRPr="006E111E">
        <w:t xml:space="preserve"> document that is, or purports to be, a demand served under section 459E; or </w:t>
      </w:r>
    </w:p>
    <w:p w14:paraId="074B4EB0" w14:textId="5BFCE95F" w:rsidR="008438FA" w:rsidRPr="009A4EE9" w:rsidRDefault="00F357B2" w:rsidP="000E2CD7">
      <w:pPr>
        <w:pStyle w:val="Quote1"/>
        <w:ind w:left="1440" w:hanging="703"/>
      </w:pPr>
      <w:r w:rsidRPr="006E111E">
        <w:t xml:space="preserve">(b) </w:t>
      </w:r>
      <w:r w:rsidR="007C74AB" w:rsidRPr="006E111E">
        <w:tab/>
      </w:r>
      <w:proofErr w:type="gramStart"/>
      <w:r w:rsidRPr="006E111E">
        <w:t>such</w:t>
      </w:r>
      <w:proofErr w:type="gramEnd"/>
      <w:r w:rsidRPr="006E111E">
        <w:t xml:space="preserve"> a document as varied by an order under subsection 459H(4).</w:t>
      </w:r>
    </w:p>
    <w:p w14:paraId="3775A3CE" w14:textId="6F188F74" w:rsidR="008438FA" w:rsidRPr="008438FA" w:rsidRDefault="008438FA" w:rsidP="008438FA">
      <w:pPr>
        <w:pStyle w:val="ParaNumbering"/>
        <w:rPr>
          <w:szCs w:val="24"/>
        </w:rPr>
      </w:pPr>
      <w:r w:rsidRPr="008438FA">
        <w:rPr>
          <w:szCs w:val="24"/>
        </w:rPr>
        <w:t xml:space="preserve">Section 9 also </w:t>
      </w:r>
      <w:r w:rsidRPr="008438FA">
        <w:rPr>
          <w:szCs w:val="24"/>
          <w:lang w:val="en-GB"/>
        </w:rPr>
        <w:t>defines “</w:t>
      </w:r>
      <w:r w:rsidRPr="008438FA">
        <w:rPr>
          <w:i/>
          <w:iCs/>
          <w:szCs w:val="24"/>
          <w:lang w:val="en-GB"/>
        </w:rPr>
        <w:t>statutory period”</w:t>
      </w:r>
      <w:r w:rsidRPr="008438FA">
        <w:rPr>
          <w:szCs w:val="24"/>
          <w:lang w:val="en-GB"/>
        </w:rPr>
        <w:t xml:space="preserve">: </w:t>
      </w:r>
    </w:p>
    <w:p w14:paraId="3719E2CA" w14:textId="77777777" w:rsidR="008438FA" w:rsidRPr="006E111E" w:rsidRDefault="008438FA" w:rsidP="009A4EE9">
      <w:pPr>
        <w:pStyle w:val="Quote1"/>
        <w:rPr>
          <w:lang w:val="en-GB"/>
        </w:rPr>
      </w:pPr>
      <w:proofErr w:type="gramStart"/>
      <w:r w:rsidRPr="009A4EE9">
        <w:rPr>
          <w:b/>
          <w:i/>
          <w:lang w:val="en-GB"/>
        </w:rPr>
        <w:t>statutory</w:t>
      </w:r>
      <w:proofErr w:type="gramEnd"/>
      <w:r w:rsidRPr="009A4EE9">
        <w:rPr>
          <w:b/>
          <w:i/>
          <w:lang w:val="en-GB"/>
        </w:rPr>
        <w:t xml:space="preserve"> period</w:t>
      </w:r>
      <w:r w:rsidRPr="006E111E">
        <w:rPr>
          <w:lang w:val="en-GB"/>
        </w:rPr>
        <w:t xml:space="preserve"> means:</w:t>
      </w:r>
    </w:p>
    <w:p w14:paraId="771E27C3" w14:textId="20AAC429" w:rsidR="008438FA" w:rsidRPr="00E1642A" w:rsidRDefault="009A4EE9" w:rsidP="000E2CD7">
      <w:pPr>
        <w:pStyle w:val="Quote1"/>
      </w:pPr>
      <w:r>
        <w:t>(a)</w:t>
      </w:r>
      <w:r>
        <w:tab/>
      </w:r>
      <w:proofErr w:type="gramStart"/>
      <w:r w:rsidR="008438FA" w:rsidRPr="00E1642A">
        <w:t>if</w:t>
      </w:r>
      <w:proofErr w:type="gramEnd"/>
      <w:r w:rsidR="008438FA" w:rsidRPr="00E1642A">
        <w:t xml:space="preserve"> a period longer than 21 days is prescribed —the prescribed period; or</w:t>
      </w:r>
    </w:p>
    <w:p w14:paraId="16683994" w14:textId="3CA4BB7A" w:rsidR="008438FA" w:rsidRDefault="009A4EE9" w:rsidP="000E2CD7">
      <w:pPr>
        <w:pStyle w:val="Quote1"/>
      </w:pPr>
      <w:r>
        <w:t>(b)</w:t>
      </w:r>
      <w:r>
        <w:tab/>
      </w:r>
      <w:proofErr w:type="gramStart"/>
      <w:r w:rsidR="008438FA" w:rsidRPr="00E1642A">
        <w:t>otherwise—</w:t>
      </w:r>
      <w:proofErr w:type="gramEnd"/>
      <w:r w:rsidR="008438FA" w:rsidRPr="00E1642A">
        <w:t>21 days.</w:t>
      </w:r>
    </w:p>
    <w:p w14:paraId="31777A44" w14:textId="5DD6D9A3" w:rsidR="00F357B2" w:rsidRDefault="00081410" w:rsidP="000B2B8E">
      <w:pPr>
        <w:pStyle w:val="ParaNumbering"/>
      </w:pPr>
      <w:r>
        <w:t xml:space="preserve">Section 109X of the </w:t>
      </w:r>
      <w:r w:rsidRPr="00081410">
        <w:rPr>
          <w:i/>
          <w:iCs/>
        </w:rPr>
        <w:t>Corporations Act</w:t>
      </w:r>
      <w:r>
        <w:t xml:space="preserve"> provides for the service of documents.</w:t>
      </w:r>
    </w:p>
    <w:p w14:paraId="06BAC001" w14:textId="7CE48BA3" w:rsidR="008F6D75" w:rsidRPr="008F6D75" w:rsidRDefault="008F6D75" w:rsidP="008F6D75">
      <w:pPr>
        <w:pStyle w:val="Quote1"/>
        <w:rPr>
          <w:b/>
          <w:lang w:eastAsia="en-AU"/>
        </w:rPr>
      </w:pPr>
      <w:r w:rsidRPr="00E1642A">
        <w:rPr>
          <w:b/>
          <w:bCs/>
          <w:color w:val="000000"/>
        </w:rPr>
        <w:t>109X</w:t>
      </w:r>
      <w:r w:rsidRPr="00EA24AD">
        <w:rPr>
          <w:b/>
          <w:bCs/>
          <w:color w:val="000000"/>
        </w:rPr>
        <w:t> </w:t>
      </w:r>
      <w:r w:rsidR="00F84EC7">
        <w:rPr>
          <w:b/>
          <w:bCs/>
          <w:color w:val="000000"/>
        </w:rPr>
        <w:tab/>
      </w:r>
      <w:r w:rsidRPr="00E1642A">
        <w:rPr>
          <w:b/>
          <w:bCs/>
          <w:color w:val="000000"/>
        </w:rPr>
        <w:t>Service of documents</w:t>
      </w:r>
    </w:p>
    <w:p w14:paraId="4564A215" w14:textId="6A77F830" w:rsidR="008F6D75" w:rsidRDefault="008F6D75" w:rsidP="008F6D75">
      <w:pPr>
        <w:pStyle w:val="Quote1"/>
        <w:ind w:left="1440" w:hanging="703"/>
      </w:pPr>
      <w:r>
        <w:t>(1)</w:t>
      </w:r>
      <w:r>
        <w:tab/>
      </w:r>
      <w:r w:rsidRPr="005115CE">
        <w:t>For</w:t>
      </w:r>
      <w:r w:rsidRPr="005115CE">
        <w:rPr>
          <w:spacing w:val="-3"/>
        </w:rPr>
        <w:t xml:space="preserve"> </w:t>
      </w:r>
      <w:r w:rsidRPr="005115CE">
        <w:t>the</w:t>
      </w:r>
      <w:r w:rsidRPr="005115CE">
        <w:rPr>
          <w:spacing w:val="-1"/>
        </w:rPr>
        <w:t xml:space="preserve"> </w:t>
      </w:r>
      <w:r w:rsidRPr="005115CE">
        <w:t>purposes</w:t>
      </w:r>
      <w:r w:rsidRPr="005115CE">
        <w:rPr>
          <w:spacing w:val="1"/>
        </w:rPr>
        <w:t xml:space="preserve"> </w:t>
      </w:r>
      <w:r w:rsidRPr="005115CE">
        <w:t>of</w:t>
      </w:r>
      <w:r w:rsidRPr="005115CE">
        <w:rPr>
          <w:spacing w:val="-1"/>
        </w:rPr>
        <w:t xml:space="preserve"> </w:t>
      </w:r>
      <w:r w:rsidRPr="005115CE">
        <w:t>any</w:t>
      </w:r>
      <w:r w:rsidRPr="005115CE">
        <w:rPr>
          <w:spacing w:val="-5"/>
        </w:rPr>
        <w:t xml:space="preserve"> </w:t>
      </w:r>
      <w:r w:rsidRPr="005115CE">
        <w:t>law,</w:t>
      </w:r>
      <w:r w:rsidRPr="005115CE">
        <w:rPr>
          <w:spacing w:val="1"/>
        </w:rPr>
        <w:t xml:space="preserve"> </w:t>
      </w:r>
      <w:r w:rsidRPr="005115CE">
        <w:t>a</w:t>
      </w:r>
      <w:r w:rsidRPr="005115CE">
        <w:rPr>
          <w:spacing w:val="-1"/>
        </w:rPr>
        <w:t xml:space="preserve"> </w:t>
      </w:r>
      <w:r w:rsidRPr="005115CE">
        <w:t>document may</w:t>
      </w:r>
      <w:r w:rsidRPr="005115CE">
        <w:rPr>
          <w:spacing w:val="-4"/>
        </w:rPr>
        <w:t xml:space="preserve"> </w:t>
      </w:r>
      <w:r w:rsidRPr="005115CE">
        <w:t>be</w:t>
      </w:r>
      <w:r w:rsidRPr="005115CE">
        <w:rPr>
          <w:spacing w:val="-1"/>
        </w:rPr>
        <w:t xml:space="preserve"> </w:t>
      </w:r>
      <w:r w:rsidRPr="005115CE">
        <w:t>served on</w:t>
      </w:r>
      <w:r w:rsidRPr="005115CE">
        <w:rPr>
          <w:spacing w:val="1"/>
        </w:rPr>
        <w:t xml:space="preserve"> </w:t>
      </w:r>
      <w:r w:rsidRPr="005115CE">
        <w:t>a</w:t>
      </w:r>
      <w:r w:rsidRPr="005115CE">
        <w:rPr>
          <w:spacing w:val="1"/>
        </w:rPr>
        <w:t xml:space="preserve"> </w:t>
      </w:r>
      <w:r w:rsidRPr="005115CE">
        <w:t>company</w:t>
      </w:r>
      <w:r w:rsidRPr="005115CE">
        <w:rPr>
          <w:spacing w:val="-4"/>
        </w:rPr>
        <w:t xml:space="preserve"> </w:t>
      </w:r>
      <w:r w:rsidRPr="005115CE">
        <w:rPr>
          <w:spacing w:val="-5"/>
        </w:rPr>
        <w:t>by:</w:t>
      </w:r>
    </w:p>
    <w:p w14:paraId="40AAD08D" w14:textId="1C0EE47A" w:rsidR="008F6D75" w:rsidRDefault="008F6D75" w:rsidP="000E2CD7">
      <w:pPr>
        <w:pStyle w:val="Quote2"/>
        <w:ind w:left="2160" w:hanging="720"/>
      </w:pPr>
      <w:r>
        <w:t>(a)</w:t>
      </w:r>
      <w:r>
        <w:tab/>
      </w:r>
      <w:proofErr w:type="gramStart"/>
      <w:r w:rsidRPr="005115CE">
        <w:t>leaving</w:t>
      </w:r>
      <w:proofErr w:type="gramEnd"/>
      <w:r w:rsidRPr="005115CE">
        <w:rPr>
          <w:spacing w:val="-5"/>
        </w:rPr>
        <w:t xml:space="preserve"> </w:t>
      </w:r>
      <w:r w:rsidRPr="005115CE">
        <w:t>it</w:t>
      </w:r>
      <w:r w:rsidRPr="005115CE">
        <w:rPr>
          <w:spacing w:val="-4"/>
        </w:rPr>
        <w:t xml:space="preserve"> </w:t>
      </w:r>
      <w:r w:rsidRPr="005115CE">
        <w:t>at,</w:t>
      </w:r>
      <w:r w:rsidRPr="005115CE">
        <w:rPr>
          <w:spacing w:val="-5"/>
        </w:rPr>
        <w:t xml:space="preserve"> </w:t>
      </w:r>
      <w:r w:rsidRPr="005115CE">
        <w:t>or posting</w:t>
      </w:r>
      <w:r w:rsidRPr="005115CE">
        <w:rPr>
          <w:spacing w:val="-5"/>
        </w:rPr>
        <w:t xml:space="preserve"> </w:t>
      </w:r>
      <w:r w:rsidRPr="005115CE">
        <w:t>it</w:t>
      </w:r>
      <w:r w:rsidRPr="005115CE">
        <w:rPr>
          <w:spacing w:val="-4"/>
        </w:rPr>
        <w:t xml:space="preserve"> </w:t>
      </w:r>
      <w:r w:rsidRPr="005115CE">
        <w:t>to,</w:t>
      </w:r>
      <w:r w:rsidRPr="005115CE">
        <w:rPr>
          <w:spacing w:val="-2"/>
        </w:rPr>
        <w:t xml:space="preserve"> </w:t>
      </w:r>
      <w:r w:rsidRPr="005115CE">
        <w:t>the</w:t>
      </w:r>
      <w:r w:rsidRPr="005115CE">
        <w:rPr>
          <w:spacing w:val="-3"/>
        </w:rPr>
        <w:t xml:space="preserve"> </w:t>
      </w:r>
      <w:r w:rsidRPr="005115CE">
        <w:t>company’s</w:t>
      </w:r>
      <w:r w:rsidRPr="005115CE">
        <w:rPr>
          <w:spacing w:val="-2"/>
        </w:rPr>
        <w:t xml:space="preserve"> </w:t>
      </w:r>
      <w:r w:rsidRPr="005115CE">
        <w:t>registered</w:t>
      </w:r>
      <w:r w:rsidRPr="005115CE">
        <w:rPr>
          <w:spacing w:val="-5"/>
        </w:rPr>
        <w:t xml:space="preserve"> </w:t>
      </w:r>
      <w:r w:rsidRPr="005115CE">
        <w:t>office</w:t>
      </w:r>
      <w:r>
        <w:t>; or</w:t>
      </w:r>
    </w:p>
    <w:p w14:paraId="740F91A7" w14:textId="10BBC3AC" w:rsidR="008F6D75" w:rsidRDefault="008F6D75" w:rsidP="000E2CD7">
      <w:pPr>
        <w:pStyle w:val="Quote2"/>
        <w:ind w:left="2160" w:hanging="720"/>
      </w:pPr>
      <w:r>
        <w:t>(b)</w:t>
      </w:r>
      <w:r>
        <w:tab/>
      </w:r>
      <w:proofErr w:type="gramStart"/>
      <w:r w:rsidRPr="005115CE">
        <w:t>delivering</w:t>
      </w:r>
      <w:proofErr w:type="gramEnd"/>
      <w:r w:rsidRPr="005115CE">
        <w:rPr>
          <w:spacing w:val="39"/>
        </w:rPr>
        <w:t xml:space="preserve"> </w:t>
      </w:r>
      <w:r w:rsidRPr="005115CE">
        <w:t>a</w:t>
      </w:r>
      <w:r w:rsidRPr="005115CE">
        <w:rPr>
          <w:spacing w:val="39"/>
        </w:rPr>
        <w:t xml:space="preserve"> </w:t>
      </w:r>
      <w:r w:rsidRPr="005115CE">
        <w:t>copy</w:t>
      </w:r>
      <w:r w:rsidRPr="005115CE">
        <w:rPr>
          <w:spacing w:val="39"/>
        </w:rPr>
        <w:t xml:space="preserve"> </w:t>
      </w:r>
      <w:r w:rsidRPr="005115CE">
        <w:t>of</w:t>
      </w:r>
      <w:r w:rsidRPr="005115CE">
        <w:rPr>
          <w:spacing w:val="39"/>
        </w:rPr>
        <w:t xml:space="preserve"> </w:t>
      </w:r>
      <w:r w:rsidRPr="005115CE">
        <w:t>the</w:t>
      </w:r>
      <w:r w:rsidRPr="005115CE">
        <w:rPr>
          <w:spacing w:val="39"/>
        </w:rPr>
        <w:t xml:space="preserve"> </w:t>
      </w:r>
      <w:r w:rsidRPr="005115CE">
        <w:t>document</w:t>
      </w:r>
      <w:r w:rsidRPr="005115CE">
        <w:rPr>
          <w:spacing w:val="40"/>
        </w:rPr>
        <w:t xml:space="preserve"> </w:t>
      </w:r>
      <w:r w:rsidRPr="005115CE">
        <w:t>personally</w:t>
      </w:r>
      <w:r w:rsidRPr="005115CE">
        <w:rPr>
          <w:spacing w:val="39"/>
        </w:rPr>
        <w:t xml:space="preserve"> </w:t>
      </w:r>
      <w:r w:rsidRPr="005115CE">
        <w:t>to</w:t>
      </w:r>
      <w:r w:rsidRPr="005115CE">
        <w:rPr>
          <w:spacing w:val="39"/>
        </w:rPr>
        <w:t xml:space="preserve"> </w:t>
      </w:r>
      <w:r w:rsidRPr="005115CE">
        <w:t>a</w:t>
      </w:r>
      <w:r w:rsidRPr="005115CE">
        <w:rPr>
          <w:spacing w:val="39"/>
        </w:rPr>
        <w:t xml:space="preserve"> </w:t>
      </w:r>
      <w:r w:rsidRPr="005115CE">
        <w:t>director</w:t>
      </w:r>
      <w:r w:rsidRPr="005115CE">
        <w:rPr>
          <w:spacing w:val="39"/>
        </w:rPr>
        <w:t xml:space="preserve"> </w:t>
      </w:r>
      <w:r w:rsidRPr="005115CE">
        <w:t>of</w:t>
      </w:r>
      <w:r w:rsidRPr="005115CE">
        <w:rPr>
          <w:spacing w:val="39"/>
        </w:rPr>
        <w:t xml:space="preserve"> </w:t>
      </w:r>
      <w:r w:rsidRPr="005115CE">
        <w:t xml:space="preserve">the </w:t>
      </w:r>
      <w:r w:rsidRPr="005115CE">
        <w:lastRenderedPageBreak/>
        <w:t>company who resides in Australia or in an external Territory</w:t>
      </w:r>
      <w:r>
        <w:t>; or</w:t>
      </w:r>
    </w:p>
    <w:p w14:paraId="0E4E4BA5" w14:textId="4255617E" w:rsidR="008F6D75" w:rsidRDefault="008F6D75" w:rsidP="008F6D75">
      <w:pPr>
        <w:pStyle w:val="Quote2"/>
        <w:ind w:left="2160" w:hanging="720"/>
      </w:pPr>
      <w:r>
        <w:t>…</w:t>
      </w:r>
    </w:p>
    <w:p w14:paraId="0FCE9CB2" w14:textId="038040F0" w:rsidR="008F6D75" w:rsidRDefault="008F6D75" w:rsidP="008F6D75">
      <w:pPr>
        <w:pStyle w:val="Quote1"/>
        <w:ind w:left="1440" w:hanging="703"/>
      </w:pPr>
      <w:r>
        <w:t>(2)</w:t>
      </w:r>
      <w:r>
        <w:tab/>
      </w:r>
      <w:r w:rsidRPr="005115CE">
        <w:t>For the purposes of any law, a document may be served on a director or company secretary by leaving it at, or posting it to, the alternative address notified</w:t>
      </w:r>
      <w:r w:rsidRPr="005115CE">
        <w:rPr>
          <w:spacing w:val="-10"/>
        </w:rPr>
        <w:t xml:space="preserve"> </w:t>
      </w:r>
      <w:r w:rsidRPr="005115CE">
        <w:t>to</w:t>
      </w:r>
      <w:r w:rsidRPr="005115CE">
        <w:rPr>
          <w:spacing w:val="-8"/>
        </w:rPr>
        <w:t xml:space="preserve"> </w:t>
      </w:r>
      <w:r w:rsidRPr="005115CE">
        <w:t>ASIC</w:t>
      </w:r>
      <w:r w:rsidRPr="005115CE">
        <w:rPr>
          <w:spacing w:val="-9"/>
        </w:rPr>
        <w:t xml:space="preserve"> </w:t>
      </w:r>
      <w:r w:rsidRPr="005115CE">
        <w:t>under</w:t>
      </w:r>
      <w:r w:rsidRPr="005115CE">
        <w:rPr>
          <w:spacing w:val="-7"/>
        </w:rPr>
        <w:t xml:space="preserve"> </w:t>
      </w:r>
      <w:r w:rsidRPr="005115CE">
        <w:t>subsection</w:t>
      </w:r>
      <w:r w:rsidRPr="005115CE">
        <w:rPr>
          <w:spacing w:val="-8"/>
        </w:rPr>
        <w:t xml:space="preserve"> </w:t>
      </w:r>
      <w:r w:rsidRPr="005115CE">
        <w:t>5H(2),</w:t>
      </w:r>
      <w:r w:rsidRPr="005115CE">
        <w:rPr>
          <w:spacing w:val="-10"/>
        </w:rPr>
        <w:t xml:space="preserve"> </w:t>
      </w:r>
      <w:r w:rsidRPr="005115CE">
        <w:t>117(2),</w:t>
      </w:r>
      <w:r w:rsidRPr="005115CE">
        <w:rPr>
          <w:spacing w:val="-8"/>
        </w:rPr>
        <w:t xml:space="preserve"> </w:t>
      </w:r>
      <w:r w:rsidRPr="005115CE">
        <w:t>205B(1)</w:t>
      </w:r>
      <w:r w:rsidRPr="005115CE">
        <w:rPr>
          <w:spacing w:val="-7"/>
        </w:rPr>
        <w:t xml:space="preserve"> </w:t>
      </w:r>
      <w:r w:rsidRPr="005115CE">
        <w:t>or</w:t>
      </w:r>
      <w:r w:rsidRPr="005115CE">
        <w:rPr>
          <w:spacing w:val="-10"/>
        </w:rPr>
        <w:t xml:space="preserve"> </w:t>
      </w:r>
      <w:r w:rsidRPr="005115CE">
        <w:t>(4)</w:t>
      </w:r>
      <w:r w:rsidRPr="005115CE">
        <w:rPr>
          <w:spacing w:val="-7"/>
        </w:rPr>
        <w:t xml:space="preserve"> </w:t>
      </w:r>
      <w:r w:rsidRPr="005115CE">
        <w:t>or</w:t>
      </w:r>
      <w:r w:rsidRPr="005115CE">
        <w:rPr>
          <w:spacing w:val="-7"/>
        </w:rPr>
        <w:t xml:space="preserve"> </w:t>
      </w:r>
      <w:r w:rsidRPr="005115CE">
        <w:t>601BC(2). However, this only applies to service on the director or company secretary</w:t>
      </w:r>
      <w:r>
        <w:t>:</w:t>
      </w:r>
    </w:p>
    <w:p w14:paraId="045E1B0E" w14:textId="75332A89" w:rsidR="008F6D75" w:rsidRDefault="008F6D75" w:rsidP="000E2CD7">
      <w:pPr>
        <w:pStyle w:val="Quote2"/>
        <w:ind w:left="2160" w:hanging="720"/>
      </w:pPr>
      <w:r>
        <w:t>(a)</w:t>
      </w:r>
      <w:r>
        <w:tab/>
      </w:r>
      <w:proofErr w:type="gramStart"/>
      <w:r w:rsidRPr="005115CE">
        <w:t>in</w:t>
      </w:r>
      <w:proofErr w:type="gramEnd"/>
      <w:r w:rsidRPr="005115CE">
        <w:rPr>
          <w:spacing w:val="-3"/>
        </w:rPr>
        <w:t xml:space="preserve"> </w:t>
      </w:r>
      <w:r w:rsidRPr="005115CE">
        <w:t>their</w:t>
      </w:r>
      <w:r w:rsidRPr="005115CE">
        <w:rPr>
          <w:spacing w:val="-1"/>
        </w:rPr>
        <w:t xml:space="preserve"> </w:t>
      </w:r>
      <w:r w:rsidRPr="005115CE">
        <w:t>capacity</w:t>
      </w:r>
      <w:r w:rsidRPr="005115CE">
        <w:rPr>
          <w:spacing w:val="-6"/>
        </w:rPr>
        <w:t xml:space="preserve"> </w:t>
      </w:r>
      <w:r w:rsidRPr="005115CE">
        <w:t>as</w:t>
      </w:r>
      <w:r w:rsidRPr="005115CE">
        <w:rPr>
          <w:spacing w:val="-4"/>
        </w:rPr>
        <w:t xml:space="preserve"> </w:t>
      </w:r>
      <w:r w:rsidRPr="005115CE">
        <w:t>a</w:t>
      </w:r>
      <w:r w:rsidRPr="005115CE">
        <w:rPr>
          <w:spacing w:val="-3"/>
        </w:rPr>
        <w:t xml:space="preserve"> </w:t>
      </w:r>
      <w:r w:rsidRPr="005115CE">
        <w:t>director</w:t>
      </w:r>
      <w:r w:rsidRPr="005115CE">
        <w:rPr>
          <w:spacing w:val="-1"/>
        </w:rPr>
        <w:t xml:space="preserve"> </w:t>
      </w:r>
      <w:r w:rsidRPr="005115CE">
        <w:t>or</w:t>
      </w:r>
      <w:r w:rsidRPr="005115CE">
        <w:rPr>
          <w:spacing w:val="-5"/>
        </w:rPr>
        <w:t xml:space="preserve"> </w:t>
      </w:r>
      <w:r w:rsidRPr="005115CE">
        <w:t>company</w:t>
      </w:r>
      <w:r w:rsidRPr="005115CE">
        <w:rPr>
          <w:spacing w:val="-5"/>
        </w:rPr>
        <w:t xml:space="preserve"> </w:t>
      </w:r>
      <w:r w:rsidRPr="005115CE">
        <w:t>secretary;</w:t>
      </w:r>
      <w:r w:rsidRPr="005115CE">
        <w:rPr>
          <w:spacing w:val="-1"/>
        </w:rPr>
        <w:t xml:space="preserve"> </w:t>
      </w:r>
      <w:r w:rsidRPr="005115CE">
        <w:rPr>
          <w:spacing w:val="-7"/>
        </w:rPr>
        <w:t>o</w:t>
      </w:r>
      <w:r>
        <w:t>r</w:t>
      </w:r>
    </w:p>
    <w:p w14:paraId="1816DEB4" w14:textId="237F13EF" w:rsidR="003F7CE7" w:rsidRDefault="008F6D75" w:rsidP="000E2CD7">
      <w:pPr>
        <w:pStyle w:val="Quote2"/>
        <w:ind w:left="2160" w:hanging="720"/>
      </w:pPr>
      <w:r>
        <w:t>(b)</w:t>
      </w:r>
      <w:r>
        <w:tab/>
      </w:r>
      <w:proofErr w:type="gramStart"/>
      <w:r w:rsidRPr="005115CE">
        <w:t>for</w:t>
      </w:r>
      <w:proofErr w:type="gramEnd"/>
      <w:r w:rsidRPr="005115CE">
        <w:rPr>
          <w:spacing w:val="-9"/>
        </w:rPr>
        <w:t xml:space="preserve"> </w:t>
      </w:r>
      <w:r w:rsidRPr="005115CE">
        <w:t>the</w:t>
      </w:r>
      <w:r w:rsidRPr="005115CE">
        <w:rPr>
          <w:spacing w:val="-7"/>
        </w:rPr>
        <w:t xml:space="preserve"> </w:t>
      </w:r>
      <w:r w:rsidRPr="005115CE">
        <w:t>purposes</w:t>
      </w:r>
      <w:r w:rsidRPr="005115CE">
        <w:rPr>
          <w:spacing w:val="-7"/>
        </w:rPr>
        <w:t xml:space="preserve"> </w:t>
      </w:r>
      <w:r w:rsidRPr="005115CE">
        <w:t>of</w:t>
      </w:r>
      <w:r w:rsidRPr="005115CE">
        <w:rPr>
          <w:spacing w:val="-6"/>
        </w:rPr>
        <w:t xml:space="preserve"> </w:t>
      </w:r>
      <w:r w:rsidRPr="005115CE">
        <w:t>a</w:t>
      </w:r>
      <w:r w:rsidRPr="005115CE">
        <w:rPr>
          <w:spacing w:val="-7"/>
        </w:rPr>
        <w:t xml:space="preserve"> </w:t>
      </w:r>
      <w:r w:rsidRPr="005115CE">
        <w:t>proceeding</w:t>
      </w:r>
      <w:r w:rsidRPr="005115CE">
        <w:rPr>
          <w:spacing w:val="-10"/>
        </w:rPr>
        <w:t xml:space="preserve"> </w:t>
      </w:r>
      <w:r w:rsidRPr="005115CE">
        <w:t>in</w:t>
      </w:r>
      <w:r w:rsidRPr="005115CE">
        <w:rPr>
          <w:spacing w:val="-7"/>
        </w:rPr>
        <w:t xml:space="preserve"> </w:t>
      </w:r>
      <w:r w:rsidRPr="005115CE">
        <w:t>respect</w:t>
      </w:r>
      <w:r w:rsidRPr="005115CE">
        <w:rPr>
          <w:spacing w:val="-6"/>
        </w:rPr>
        <w:t xml:space="preserve"> </w:t>
      </w:r>
      <w:r w:rsidRPr="005115CE">
        <w:t>of</w:t>
      </w:r>
      <w:r w:rsidRPr="005115CE">
        <w:rPr>
          <w:spacing w:val="-9"/>
        </w:rPr>
        <w:t xml:space="preserve"> </w:t>
      </w:r>
      <w:r w:rsidRPr="005115CE">
        <w:t>conduct</w:t>
      </w:r>
      <w:r w:rsidRPr="005115CE">
        <w:rPr>
          <w:spacing w:val="-8"/>
        </w:rPr>
        <w:t xml:space="preserve"> </w:t>
      </w:r>
      <w:r w:rsidRPr="005115CE">
        <w:t>they</w:t>
      </w:r>
      <w:r w:rsidRPr="005115CE">
        <w:rPr>
          <w:spacing w:val="-10"/>
        </w:rPr>
        <w:t xml:space="preserve"> </w:t>
      </w:r>
      <w:r w:rsidRPr="005115CE">
        <w:t>engaged</w:t>
      </w:r>
      <w:r w:rsidRPr="005115CE">
        <w:rPr>
          <w:spacing w:val="-7"/>
        </w:rPr>
        <w:t xml:space="preserve"> </w:t>
      </w:r>
      <w:r w:rsidRPr="005115CE">
        <w:t>in as a director or company secretary</w:t>
      </w:r>
      <w:r w:rsidR="00191612">
        <w:t>.</w:t>
      </w:r>
    </w:p>
    <w:p w14:paraId="406A6FF0" w14:textId="5CC02D81" w:rsidR="003F7CE7" w:rsidRDefault="003F7CE7" w:rsidP="003F7CE7">
      <w:pPr>
        <w:pStyle w:val="Quote1"/>
        <w:ind w:left="1440" w:hanging="703"/>
      </w:pPr>
      <w:r>
        <w:t>(3)</w:t>
      </w:r>
      <w:r>
        <w:tab/>
      </w:r>
      <w:r w:rsidRPr="005115CE">
        <w:t>Subsections</w:t>
      </w:r>
      <w:r w:rsidRPr="005115CE">
        <w:rPr>
          <w:spacing w:val="-4"/>
        </w:rPr>
        <w:t xml:space="preserve"> </w:t>
      </w:r>
      <w:r w:rsidRPr="005115CE">
        <w:t>(1)</w:t>
      </w:r>
      <w:r w:rsidRPr="005115CE">
        <w:rPr>
          <w:spacing w:val="-4"/>
        </w:rPr>
        <w:t xml:space="preserve"> </w:t>
      </w:r>
      <w:r w:rsidRPr="005115CE">
        <w:t>and</w:t>
      </w:r>
      <w:r w:rsidRPr="005115CE">
        <w:rPr>
          <w:spacing w:val="-2"/>
        </w:rPr>
        <w:t xml:space="preserve"> </w:t>
      </w:r>
      <w:r w:rsidRPr="005115CE">
        <w:t>(2)</w:t>
      </w:r>
      <w:r w:rsidRPr="005115CE">
        <w:rPr>
          <w:spacing w:val="-1"/>
        </w:rPr>
        <w:t xml:space="preserve"> </w:t>
      </w:r>
      <w:r w:rsidRPr="005115CE">
        <w:t>do</w:t>
      </w:r>
      <w:r w:rsidRPr="005115CE">
        <w:rPr>
          <w:spacing w:val="-5"/>
        </w:rPr>
        <w:t xml:space="preserve"> </w:t>
      </w:r>
      <w:r w:rsidRPr="005115CE">
        <w:t>not</w:t>
      </w:r>
      <w:r w:rsidRPr="005115CE">
        <w:rPr>
          <w:spacing w:val="-1"/>
        </w:rPr>
        <w:t xml:space="preserve"> </w:t>
      </w:r>
      <w:r w:rsidRPr="005115CE">
        <w:t>apply</w:t>
      </w:r>
      <w:r w:rsidRPr="005115CE">
        <w:rPr>
          <w:spacing w:val="-5"/>
        </w:rPr>
        <w:t xml:space="preserve"> </w:t>
      </w:r>
      <w:r w:rsidRPr="005115CE">
        <w:t>to</w:t>
      </w:r>
      <w:r w:rsidRPr="005115CE">
        <w:rPr>
          <w:spacing w:val="-2"/>
        </w:rPr>
        <w:t xml:space="preserve"> </w:t>
      </w:r>
      <w:r w:rsidRPr="005115CE">
        <w:t>a</w:t>
      </w:r>
      <w:r w:rsidRPr="005115CE">
        <w:rPr>
          <w:spacing w:val="-4"/>
        </w:rPr>
        <w:t xml:space="preserve"> </w:t>
      </w:r>
      <w:r w:rsidRPr="005115CE">
        <w:t>process,</w:t>
      </w:r>
      <w:r w:rsidRPr="005115CE">
        <w:rPr>
          <w:spacing w:val="-2"/>
        </w:rPr>
        <w:t xml:space="preserve"> </w:t>
      </w:r>
      <w:r w:rsidRPr="005115CE">
        <w:t>order</w:t>
      </w:r>
      <w:r w:rsidRPr="005115CE">
        <w:rPr>
          <w:spacing w:val="-1"/>
        </w:rPr>
        <w:t xml:space="preserve"> </w:t>
      </w:r>
      <w:r w:rsidRPr="005115CE">
        <w:t>or</w:t>
      </w:r>
      <w:r w:rsidRPr="005115CE">
        <w:rPr>
          <w:spacing w:val="-1"/>
        </w:rPr>
        <w:t xml:space="preserve"> </w:t>
      </w:r>
      <w:r w:rsidRPr="005115CE">
        <w:t>document</w:t>
      </w:r>
      <w:r w:rsidRPr="005115CE">
        <w:rPr>
          <w:spacing w:val="-1"/>
        </w:rPr>
        <w:t xml:space="preserve"> </w:t>
      </w:r>
      <w:r w:rsidRPr="005115CE">
        <w:t>that</w:t>
      </w:r>
      <w:r w:rsidRPr="005115CE">
        <w:rPr>
          <w:spacing w:val="-1"/>
        </w:rPr>
        <w:t xml:space="preserve"> </w:t>
      </w:r>
      <w:r w:rsidRPr="005115CE">
        <w:t xml:space="preserve">may be served under section 9 of the </w:t>
      </w:r>
      <w:r w:rsidRPr="005115CE">
        <w:rPr>
          <w:i/>
        </w:rPr>
        <w:t>Service and Execution of Process Act 1992</w:t>
      </w:r>
      <w:r>
        <w:t>.</w:t>
      </w:r>
    </w:p>
    <w:p w14:paraId="2D450258" w14:textId="526594E0" w:rsidR="003F7CE7" w:rsidRDefault="003F7CE7" w:rsidP="00E1642A">
      <w:pPr>
        <w:pStyle w:val="Quote2"/>
      </w:pPr>
      <w:r>
        <w:t>…</w:t>
      </w:r>
    </w:p>
    <w:p w14:paraId="6FF2AC1A" w14:textId="4E625BB8" w:rsidR="00081410" w:rsidRPr="00A85EFD" w:rsidRDefault="003F7CE7" w:rsidP="00DC289E">
      <w:pPr>
        <w:pStyle w:val="Quote1"/>
        <w:ind w:left="1437" w:hanging="700"/>
        <w:rPr>
          <w:szCs w:val="22"/>
        </w:rPr>
      </w:pPr>
      <w:r>
        <w:t>(7)</w:t>
      </w:r>
      <w:r>
        <w:tab/>
      </w:r>
      <w:r w:rsidRPr="005115CE">
        <w:rPr>
          <w:szCs w:val="22"/>
        </w:rPr>
        <w:t>This</w:t>
      </w:r>
      <w:r w:rsidRPr="005115CE">
        <w:rPr>
          <w:spacing w:val="-6"/>
          <w:szCs w:val="22"/>
        </w:rPr>
        <w:t xml:space="preserve"> </w:t>
      </w:r>
      <w:r w:rsidRPr="005115CE">
        <w:rPr>
          <w:szCs w:val="22"/>
        </w:rPr>
        <w:t>section</w:t>
      </w:r>
      <w:r w:rsidRPr="005115CE">
        <w:rPr>
          <w:spacing w:val="-8"/>
          <w:szCs w:val="22"/>
        </w:rPr>
        <w:t xml:space="preserve"> </w:t>
      </w:r>
      <w:r w:rsidRPr="005115CE">
        <w:rPr>
          <w:szCs w:val="22"/>
        </w:rPr>
        <w:t>applies</w:t>
      </w:r>
      <w:r w:rsidRPr="005115CE">
        <w:rPr>
          <w:spacing w:val="-6"/>
          <w:szCs w:val="22"/>
        </w:rPr>
        <w:t xml:space="preserve"> </w:t>
      </w:r>
      <w:r w:rsidRPr="005115CE">
        <w:rPr>
          <w:szCs w:val="22"/>
        </w:rPr>
        <w:t>to</w:t>
      </w:r>
      <w:r w:rsidRPr="005115CE">
        <w:rPr>
          <w:spacing w:val="-8"/>
          <w:szCs w:val="22"/>
        </w:rPr>
        <w:t xml:space="preserve"> </w:t>
      </w:r>
      <w:r w:rsidRPr="005115CE">
        <w:rPr>
          <w:szCs w:val="22"/>
        </w:rPr>
        <w:t>provisions</w:t>
      </w:r>
      <w:r w:rsidRPr="005115CE">
        <w:rPr>
          <w:spacing w:val="-6"/>
          <w:szCs w:val="22"/>
        </w:rPr>
        <w:t xml:space="preserve"> </w:t>
      </w:r>
      <w:r w:rsidRPr="005115CE">
        <w:rPr>
          <w:szCs w:val="22"/>
        </w:rPr>
        <w:t>of</w:t>
      </w:r>
      <w:r w:rsidRPr="005115CE">
        <w:rPr>
          <w:spacing w:val="-5"/>
          <w:szCs w:val="22"/>
        </w:rPr>
        <w:t xml:space="preserve"> </w:t>
      </w:r>
      <w:r w:rsidRPr="005115CE">
        <w:rPr>
          <w:szCs w:val="22"/>
        </w:rPr>
        <w:t>a</w:t>
      </w:r>
      <w:r w:rsidRPr="005115CE">
        <w:rPr>
          <w:spacing w:val="-8"/>
          <w:szCs w:val="22"/>
        </w:rPr>
        <w:t xml:space="preserve"> </w:t>
      </w:r>
      <w:r w:rsidRPr="005115CE">
        <w:rPr>
          <w:szCs w:val="22"/>
        </w:rPr>
        <w:t>law</w:t>
      </w:r>
      <w:r w:rsidRPr="005115CE">
        <w:rPr>
          <w:spacing w:val="-7"/>
          <w:szCs w:val="22"/>
        </w:rPr>
        <w:t xml:space="preserve"> </w:t>
      </w:r>
      <w:r w:rsidRPr="005115CE">
        <w:rPr>
          <w:szCs w:val="22"/>
        </w:rPr>
        <w:t>dealing</w:t>
      </w:r>
      <w:r w:rsidRPr="005115CE">
        <w:rPr>
          <w:spacing w:val="-9"/>
          <w:szCs w:val="22"/>
        </w:rPr>
        <w:t xml:space="preserve"> </w:t>
      </w:r>
      <w:r w:rsidRPr="005115CE">
        <w:rPr>
          <w:szCs w:val="22"/>
        </w:rPr>
        <w:t>with</w:t>
      </w:r>
      <w:r w:rsidRPr="005115CE">
        <w:rPr>
          <w:spacing w:val="-8"/>
          <w:szCs w:val="22"/>
        </w:rPr>
        <w:t xml:space="preserve"> </w:t>
      </w:r>
      <w:r w:rsidRPr="005115CE">
        <w:rPr>
          <w:szCs w:val="22"/>
        </w:rPr>
        <w:t>service</w:t>
      </w:r>
      <w:r w:rsidRPr="005115CE">
        <w:rPr>
          <w:spacing w:val="-5"/>
          <w:szCs w:val="22"/>
        </w:rPr>
        <w:t xml:space="preserve"> </w:t>
      </w:r>
      <w:r w:rsidRPr="005115CE">
        <w:rPr>
          <w:szCs w:val="22"/>
        </w:rPr>
        <w:t>whether</w:t>
      </w:r>
      <w:r>
        <w:rPr>
          <w:spacing w:val="-8"/>
          <w:szCs w:val="22"/>
        </w:rPr>
        <w:t xml:space="preserve"> </w:t>
      </w:r>
      <w:r w:rsidRPr="005115CE">
        <w:rPr>
          <w:szCs w:val="22"/>
        </w:rPr>
        <w:t>it</w:t>
      </w:r>
      <w:r w:rsidRPr="005115CE">
        <w:rPr>
          <w:spacing w:val="-5"/>
          <w:szCs w:val="22"/>
        </w:rPr>
        <w:t xml:space="preserve"> </w:t>
      </w:r>
      <w:r w:rsidRPr="005115CE">
        <w:rPr>
          <w:szCs w:val="22"/>
        </w:rPr>
        <w:t xml:space="preserve">uses the expression “serve” or uses any other similar expression such as “give” or </w:t>
      </w:r>
      <w:r>
        <w:rPr>
          <w:spacing w:val="-2"/>
          <w:szCs w:val="22"/>
        </w:rPr>
        <w:t>“send”</w:t>
      </w:r>
      <w:r>
        <w:t>.</w:t>
      </w:r>
    </w:p>
    <w:p w14:paraId="0E86F0E6" w14:textId="77777777" w:rsidR="001250F2" w:rsidRPr="001250F2" w:rsidRDefault="001250F2" w:rsidP="001250F2">
      <w:pPr>
        <w:pStyle w:val="ParaNumbering"/>
      </w:pPr>
      <w:r w:rsidRPr="001250F2">
        <w:t xml:space="preserve">Section 28A of the </w:t>
      </w:r>
      <w:r w:rsidRPr="001250F2">
        <w:rPr>
          <w:i/>
        </w:rPr>
        <w:t xml:space="preserve">Acts Interpretation Act 1901 </w:t>
      </w:r>
      <w:r w:rsidRPr="001250F2">
        <w:t>(</w:t>
      </w:r>
      <w:proofErr w:type="spellStart"/>
      <w:r w:rsidRPr="001250F2">
        <w:t>Cth</w:t>
      </w:r>
      <w:proofErr w:type="spellEnd"/>
      <w:r w:rsidRPr="001250F2">
        <w:t>) (</w:t>
      </w:r>
      <w:r w:rsidRPr="001250F2">
        <w:rPr>
          <w:rFonts w:ascii="TimesNewRomanPS-BoldItalicMT"/>
          <w:b/>
          <w:i/>
        </w:rPr>
        <w:t>Acts Interpretation Act</w:t>
      </w:r>
      <w:r w:rsidRPr="001250F2">
        <w:rPr>
          <w:b/>
        </w:rPr>
        <w:t>)</w:t>
      </w:r>
      <w:r w:rsidRPr="001250F2">
        <w:rPr>
          <w:b/>
          <w:spacing w:val="40"/>
        </w:rPr>
        <w:t xml:space="preserve"> </w:t>
      </w:r>
      <w:r w:rsidRPr="001250F2">
        <w:t>makes provision for the service of documents and states as follows:</w:t>
      </w:r>
    </w:p>
    <w:p w14:paraId="6965B986" w14:textId="5C5742A7" w:rsidR="00EA24AD" w:rsidRPr="00E1642A" w:rsidRDefault="00EA24AD" w:rsidP="00EA24AD">
      <w:pPr>
        <w:pStyle w:val="Quote1"/>
        <w:rPr>
          <w:b/>
          <w:color w:val="000000" w:themeColor="text1"/>
          <w:lang w:eastAsia="en-AU"/>
        </w:rPr>
      </w:pPr>
      <w:r w:rsidRPr="00E1642A">
        <w:rPr>
          <w:b/>
          <w:color w:val="000000" w:themeColor="text1"/>
          <w:szCs w:val="22"/>
        </w:rPr>
        <w:t>28A</w:t>
      </w:r>
      <w:r w:rsidRPr="00E1642A">
        <w:rPr>
          <w:b/>
          <w:color w:val="000000" w:themeColor="text1"/>
          <w:spacing w:val="-2"/>
          <w:szCs w:val="22"/>
        </w:rPr>
        <w:t xml:space="preserve"> </w:t>
      </w:r>
      <w:r w:rsidRPr="00E1642A">
        <w:rPr>
          <w:b/>
          <w:color w:val="000000" w:themeColor="text1"/>
          <w:szCs w:val="22"/>
        </w:rPr>
        <w:t>Service</w:t>
      </w:r>
      <w:r w:rsidRPr="00E1642A">
        <w:rPr>
          <w:b/>
          <w:color w:val="000000" w:themeColor="text1"/>
          <w:spacing w:val="-2"/>
          <w:szCs w:val="22"/>
        </w:rPr>
        <w:t xml:space="preserve"> </w:t>
      </w:r>
      <w:r w:rsidRPr="00E1642A">
        <w:rPr>
          <w:b/>
          <w:color w:val="000000" w:themeColor="text1"/>
          <w:szCs w:val="22"/>
        </w:rPr>
        <w:t xml:space="preserve">of </w:t>
      </w:r>
      <w:r w:rsidRPr="00E1642A">
        <w:rPr>
          <w:b/>
          <w:color w:val="000000" w:themeColor="text1"/>
          <w:spacing w:val="-2"/>
          <w:szCs w:val="22"/>
        </w:rPr>
        <w:t>documents</w:t>
      </w:r>
    </w:p>
    <w:p w14:paraId="7E8B3187" w14:textId="51E0934B" w:rsidR="00EA24AD" w:rsidRPr="00E1642A" w:rsidRDefault="00EA24AD" w:rsidP="00EA24AD">
      <w:pPr>
        <w:pStyle w:val="Quote1"/>
        <w:ind w:left="1440" w:hanging="703"/>
        <w:rPr>
          <w:color w:val="000000" w:themeColor="text1"/>
        </w:rPr>
      </w:pPr>
      <w:r w:rsidRPr="00E1642A">
        <w:rPr>
          <w:color w:val="000000" w:themeColor="text1"/>
        </w:rPr>
        <w:t>(1)</w:t>
      </w:r>
      <w:r w:rsidRPr="00E1642A">
        <w:rPr>
          <w:color w:val="000000" w:themeColor="text1"/>
        </w:rPr>
        <w:tab/>
      </w:r>
      <w:r w:rsidR="007F5DC0" w:rsidRPr="00E1642A">
        <w:rPr>
          <w:color w:val="000000" w:themeColor="text1"/>
        </w:rPr>
        <w:t>For the purposes of any Act that requires or permits a document to be served</w:t>
      </w:r>
      <w:r w:rsidR="007F5DC0" w:rsidRPr="00E1642A">
        <w:rPr>
          <w:color w:val="000000" w:themeColor="text1"/>
          <w:spacing w:val="-6"/>
        </w:rPr>
        <w:t xml:space="preserve"> </w:t>
      </w:r>
      <w:r w:rsidR="007F5DC0" w:rsidRPr="00E1642A">
        <w:rPr>
          <w:color w:val="000000" w:themeColor="text1"/>
        </w:rPr>
        <w:t>on</w:t>
      </w:r>
      <w:r w:rsidR="007F5DC0" w:rsidRPr="00E1642A">
        <w:rPr>
          <w:color w:val="000000" w:themeColor="text1"/>
          <w:spacing w:val="-6"/>
        </w:rPr>
        <w:t xml:space="preserve"> </w:t>
      </w:r>
      <w:r w:rsidR="007F5DC0" w:rsidRPr="00E1642A">
        <w:rPr>
          <w:color w:val="000000" w:themeColor="text1"/>
        </w:rPr>
        <w:t>a</w:t>
      </w:r>
      <w:r w:rsidR="007F5DC0" w:rsidRPr="00E1642A">
        <w:rPr>
          <w:color w:val="000000" w:themeColor="text1"/>
          <w:spacing w:val="-7"/>
        </w:rPr>
        <w:t xml:space="preserve"> </w:t>
      </w:r>
      <w:r w:rsidR="007F5DC0" w:rsidRPr="00E1642A">
        <w:rPr>
          <w:color w:val="000000" w:themeColor="text1"/>
        </w:rPr>
        <w:t>person,</w:t>
      </w:r>
      <w:r w:rsidR="007F5DC0" w:rsidRPr="00E1642A">
        <w:rPr>
          <w:color w:val="000000" w:themeColor="text1"/>
          <w:spacing w:val="-6"/>
        </w:rPr>
        <w:t xml:space="preserve"> </w:t>
      </w:r>
      <w:r w:rsidR="007F5DC0" w:rsidRPr="00E1642A">
        <w:rPr>
          <w:color w:val="000000" w:themeColor="text1"/>
        </w:rPr>
        <w:t>whether</w:t>
      </w:r>
      <w:r w:rsidR="007F5DC0" w:rsidRPr="00E1642A">
        <w:rPr>
          <w:color w:val="000000" w:themeColor="text1"/>
          <w:spacing w:val="-7"/>
        </w:rPr>
        <w:t xml:space="preserve"> </w:t>
      </w:r>
      <w:r w:rsidR="007F5DC0" w:rsidRPr="00E1642A">
        <w:rPr>
          <w:color w:val="000000" w:themeColor="text1"/>
        </w:rPr>
        <w:t>the</w:t>
      </w:r>
      <w:r w:rsidR="007F5DC0" w:rsidRPr="00E1642A">
        <w:rPr>
          <w:color w:val="000000" w:themeColor="text1"/>
          <w:spacing w:val="-7"/>
        </w:rPr>
        <w:t xml:space="preserve"> </w:t>
      </w:r>
      <w:r w:rsidR="007F5DC0" w:rsidRPr="00E1642A">
        <w:rPr>
          <w:color w:val="000000" w:themeColor="text1"/>
        </w:rPr>
        <w:t>expression</w:t>
      </w:r>
      <w:r w:rsidR="007F5DC0" w:rsidRPr="00E1642A">
        <w:rPr>
          <w:color w:val="000000" w:themeColor="text1"/>
          <w:spacing w:val="-6"/>
        </w:rPr>
        <w:t xml:space="preserve"> </w:t>
      </w:r>
      <w:r w:rsidR="007F5DC0" w:rsidRPr="00E1642A">
        <w:rPr>
          <w:color w:val="000000" w:themeColor="text1"/>
        </w:rPr>
        <w:t>“serve”,</w:t>
      </w:r>
      <w:r w:rsidR="007F5DC0" w:rsidRPr="00E1642A">
        <w:rPr>
          <w:color w:val="000000" w:themeColor="text1"/>
          <w:spacing w:val="-6"/>
        </w:rPr>
        <w:t xml:space="preserve"> </w:t>
      </w:r>
      <w:r w:rsidR="007F5DC0" w:rsidRPr="00E1642A">
        <w:rPr>
          <w:color w:val="000000" w:themeColor="text1"/>
        </w:rPr>
        <w:t>“give”</w:t>
      </w:r>
      <w:r w:rsidR="007F5DC0" w:rsidRPr="00E1642A">
        <w:rPr>
          <w:color w:val="000000" w:themeColor="text1"/>
          <w:spacing w:val="-7"/>
        </w:rPr>
        <w:t xml:space="preserve"> </w:t>
      </w:r>
      <w:r w:rsidR="007F5DC0" w:rsidRPr="00E1642A">
        <w:rPr>
          <w:color w:val="000000" w:themeColor="text1"/>
        </w:rPr>
        <w:t>or</w:t>
      </w:r>
      <w:r w:rsidR="007F5DC0" w:rsidRPr="00E1642A">
        <w:rPr>
          <w:color w:val="000000" w:themeColor="text1"/>
          <w:spacing w:val="-7"/>
        </w:rPr>
        <w:t xml:space="preserve"> </w:t>
      </w:r>
      <w:r w:rsidR="007F5DC0" w:rsidRPr="00E1642A">
        <w:rPr>
          <w:color w:val="000000" w:themeColor="text1"/>
        </w:rPr>
        <w:t>“send”</w:t>
      </w:r>
      <w:r w:rsidR="007F5DC0" w:rsidRPr="00E1642A">
        <w:rPr>
          <w:color w:val="000000" w:themeColor="text1"/>
          <w:spacing w:val="-7"/>
        </w:rPr>
        <w:t xml:space="preserve"> </w:t>
      </w:r>
      <w:r w:rsidR="007F5DC0" w:rsidRPr="00E1642A">
        <w:rPr>
          <w:color w:val="000000" w:themeColor="text1"/>
        </w:rPr>
        <w:t>or any other expression is used, then the document may be served</w:t>
      </w:r>
      <w:r w:rsidRPr="00E1642A">
        <w:rPr>
          <w:color w:val="000000" w:themeColor="text1"/>
        </w:rPr>
        <w:t>:</w:t>
      </w:r>
    </w:p>
    <w:p w14:paraId="595B2073" w14:textId="2B077251" w:rsidR="007F5DC0" w:rsidRPr="00E1642A" w:rsidRDefault="007F5DC0" w:rsidP="007F5DC0">
      <w:pPr>
        <w:pStyle w:val="Quote2"/>
        <w:ind w:left="2160" w:hanging="720"/>
        <w:rPr>
          <w:color w:val="000000" w:themeColor="text1"/>
          <w:spacing w:val="-2"/>
        </w:rPr>
      </w:pPr>
      <w:r w:rsidRPr="00E1642A">
        <w:rPr>
          <w:color w:val="000000" w:themeColor="text1"/>
        </w:rPr>
        <w:t>(a)</w:t>
      </w:r>
      <w:r w:rsidRPr="00E1642A">
        <w:rPr>
          <w:color w:val="000000" w:themeColor="text1"/>
        </w:rPr>
        <w:tab/>
      </w:r>
      <w:proofErr w:type="gramStart"/>
      <w:r w:rsidRPr="00E1642A">
        <w:rPr>
          <w:color w:val="000000" w:themeColor="text1"/>
        </w:rPr>
        <w:t>on</w:t>
      </w:r>
      <w:proofErr w:type="gramEnd"/>
      <w:r w:rsidRPr="00E1642A">
        <w:rPr>
          <w:color w:val="000000" w:themeColor="text1"/>
          <w:spacing w:val="-1"/>
        </w:rPr>
        <w:t xml:space="preserve"> </w:t>
      </w:r>
      <w:r w:rsidRPr="00E1642A">
        <w:rPr>
          <w:color w:val="000000" w:themeColor="text1"/>
        </w:rPr>
        <w:t>a</w:t>
      </w:r>
      <w:r w:rsidRPr="00E1642A">
        <w:rPr>
          <w:color w:val="000000" w:themeColor="text1"/>
          <w:spacing w:val="-2"/>
        </w:rPr>
        <w:t xml:space="preserve"> </w:t>
      </w:r>
      <w:r w:rsidRPr="00E1642A">
        <w:rPr>
          <w:color w:val="000000" w:themeColor="text1"/>
        </w:rPr>
        <w:t>natural</w:t>
      </w:r>
      <w:r w:rsidRPr="00E1642A">
        <w:rPr>
          <w:color w:val="000000" w:themeColor="text1"/>
          <w:spacing w:val="-1"/>
        </w:rPr>
        <w:t xml:space="preserve"> </w:t>
      </w:r>
      <w:r w:rsidRPr="00E1642A">
        <w:rPr>
          <w:color w:val="000000" w:themeColor="text1"/>
          <w:spacing w:val="-2"/>
        </w:rPr>
        <w:t>person:</w:t>
      </w:r>
    </w:p>
    <w:p w14:paraId="2F799D33" w14:textId="34BD17BD" w:rsidR="007F5DC0" w:rsidRPr="00E1642A" w:rsidRDefault="00BD4859" w:rsidP="000E2CD7">
      <w:pPr>
        <w:pStyle w:val="Quote3"/>
        <w:ind w:left="2880" w:hanging="720"/>
      </w:pPr>
      <w:r w:rsidRPr="00E1642A">
        <w:t>(</w:t>
      </w:r>
      <w:proofErr w:type="spellStart"/>
      <w:r w:rsidRPr="00E1642A">
        <w:t>i</w:t>
      </w:r>
      <w:proofErr w:type="spellEnd"/>
      <w:r w:rsidR="007F5DC0" w:rsidRPr="00E1642A">
        <w:t>)</w:t>
      </w:r>
      <w:r w:rsidR="007F5DC0" w:rsidRPr="00E1642A">
        <w:tab/>
      </w:r>
      <w:proofErr w:type="gramStart"/>
      <w:r w:rsidR="007F5DC0" w:rsidRPr="00E1642A">
        <w:t>by</w:t>
      </w:r>
      <w:proofErr w:type="gramEnd"/>
      <w:r w:rsidR="007F5DC0" w:rsidRPr="00E1642A">
        <w:rPr>
          <w:spacing w:val="-8"/>
        </w:rPr>
        <w:t xml:space="preserve"> </w:t>
      </w:r>
      <w:r w:rsidR="007F5DC0" w:rsidRPr="00E1642A">
        <w:t>delivering</w:t>
      </w:r>
      <w:r w:rsidR="007F5DC0" w:rsidRPr="00E1642A">
        <w:rPr>
          <w:spacing w:val="-3"/>
        </w:rPr>
        <w:t xml:space="preserve"> </w:t>
      </w:r>
      <w:r w:rsidR="007F5DC0" w:rsidRPr="00E1642A">
        <w:t>it</w:t>
      </w:r>
      <w:r w:rsidR="007F5DC0" w:rsidRPr="00E1642A">
        <w:rPr>
          <w:spacing w:val="-1"/>
        </w:rPr>
        <w:t xml:space="preserve"> </w:t>
      </w:r>
      <w:r w:rsidR="007F5DC0" w:rsidRPr="00E1642A">
        <w:t>to the</w:t>
      </w:r>
      <w:r w:rsidR="007F5DC0" w:rsidRPr="00E1642A">
        <w:rPr>
          <w:spacing w:val="-2"/>
        </w:rPr>
        <w:t xml:space="preserve"> </w:t>
      </w:r>
      <w:r w:rsidR="007F5DC0" w:rsidRPr="00E1642A">
        <w:t xml:space="preserve">person personally; </w:t>
      </w:r>
      <w:r w:rsidR="007F5DC0" w:rsidRPr="00E1642A">
        <w:rPr>
          <w:spacing w:val="-5"/>
        </w:rPr>
        <w:t>or</w:t>
      </w:r>
    </w:p>
    <w:p w14:paraId="067F8DB6" w14:textId="39980450" w:rsidR="007F5DC0" w:rsidRPr="00E1642A" w:rsidRDefault="00BD4859" w:rsidP="000E2CD7">
      <w:pPr>
        <w:pStyle w:val="Quote3"/>
        <w:ind w:left="2880" w:hanging="720"/>
      </w:pPr>
      <w:r w:rsidRPr="00E1642A">
        <w:t>(ii</w:t>
      </w:r>
      <w:r w:rsidR="007F5DC0" w:rsidRPr="00E1642A">
        <w:t>)</w:t>
      </w:r>
      <w:r w:rsidR="007F5DC0" w:rsidRPr="00E1642A">
        <w:tab/>
        <w:t>by leaving it at, or by sending it by pre‑paid post to, the address of the place of residence or business of the person</w:t>
      </w:r>
      <w:r w:rsidR="007F5DC0" w:rsidRPr="00E1642A">
        <w:rPr>
          <w:spacing w:val="-14"/>
        </w:rPr>
        <w:t xml:space="preserve"> </w:t>
      </w:r>
      <w:r w:rsidR="007F5DC0" w:rsidRPr="00E1642A">
        <w:t>last</w:t>
      </w:r>
      <w:r w:rsidR="007F5DC0" w:rsidRPr="00E1642A">
        <w:rPr>
          <w:spacing w:val="-14"/>
        </w:rPr>
        <w:t xml:space="preserve"> </w:t>
      </w:r>
      <w:r w:rsidR="007F5DC0" w:rsidRPr="00E1642A">
        <w:t>known</w:t>
      </w:r>
      <w:r w:rsidR="007F5DC0" w:rsidRPr="00E1642A">
        <w:rPr>
          <w:spacing w:val="-14"/>
        </w:rPr>
        <w:t xml:space="preserve"> </w:t>
      </w:r>
      <w:r w:rsidR="007F5DC0" w:rsidRPr="00E1642A">
        <w:t>to</w:t>
      </w:r>
      <w:r w:rsidR="007F5DC0" w:rsidRPr="00E1642A">
        <w:rPr>
          <w:spacing w:val="-14"/>
        </w:rPr>
        <w:t xml:space="preserve"> </w:t>
      </w:r>
      <w:r w:rsidR="007F5DC0" w:rsidRPr="00E1642A">
        <w:t>the</w:t>
      </w:r>
      <w:r w:rsidR="007F5DC0" w:rsidRPr="00E1642A">
        <w:rPr>
          <w:spacing w:val="-13"/>
        </w:rPr>
        <w:t xml:space="preserve"> </w:t>
      </w:r>
      <w:r w:rsidR="007F5DC0" w:rsidRPr="00E1642A">
        <w:t>person</w:t>
      </w:r>
      <w:r w:rsidR="007F5DC0" w:rsidRPr="00E1642A">
        <w:rPr>
          <w:spacing w:val="-14"/>
        </w:rPr>
        <w:t xml:space="preserve"> </w:t>
      </w:r>
      <w:r w:rsidR="007F5DC0" w:rsidRPr="00E1642A">
        <w:t>serving</w:t>
      </w:r>
      <w:r w:rsidR="007F5DC0" w:rsidRPr="00E1642A">
        <w:rPr>
          <w:spacing w:val="-15"/>
        </w:rPr>
        <w:t xml:space="preserve"> </w:t>
      </w:r>
      <w:r w:rsidR="007F5DC0" w:rsidRPr="00E1642A">
        <w:t>the</w:t>
      </w:r>
      <w:r w:rsidR="007F5DC0" w:rsidRPr="00E1642A">
        <w:rPr>
          <w:spacing w:val="-14"/>
        </w:rPr>
        <w:t xml:space="preserve"> </w:t>
      </w:r>
      <w:r w:rsidR="007F5DC0" w:rsidRPr="00E1642A">
        <w:t>document;</w:t>
      </w:r>
      <w:r w:rsidR="007F5DC0" w:rsidRPr="00E1642A">
        <w:rPr>
          <w:spacing w:val="-14"/>
        </w:rPr>
        <w:t xml:space="preserve"> </w:t>
      </w:r>
      <w:r w:rsidR="007F5DC0" w:rsidRPr="00E1642A">
        <w:t>or</w:t>
      </w:r>
    </w:p>
    <w:p w14:paraId="17F8B193" w14:textId="34FC91D4" w:rsidR="007F5DC0" w:rsidRPr="00E1642A" w:rsidRDefault="007F5DC0" w:rsidP="007F5DC0">
      <w:pPr>
        <w:pStyle w:val="Quote2"/>
        <w:ind w:left="2160" w:hanging="720"/>
        <w:rPr>
          <w:color w:val="000000" w:themeColor="text1"/>
        </w:rPr>
      </w:pPr>
      <w:r w:rsidRPr="00E1642A">
        <w:rPr>
          <w:color w:val="000000" w:themeColor="text1"/>
        </w:rPr>
        <w:t>(b)</w:t>
      </w:r>
      <w:r w:rsidRPr="00E1642A">
        <w:rPr>
          <w:color w:val="000000" w:themeColor="text1"/>
        </w:rPr>
        <w:tab/>
        <w:t>on a body corporate—by leaving it at, or sending it by pre‑paid post to, the head office, a registered office or a principal office of the body corporate.</w:t>
      </w:r>
    </w:p>
    <w:p w14:paraId="575BE892" w14:textId="2D21ED78" w:rsidR="008F09EC" w:rsidRPr="00E1642A" w:rsidRDefault="008F09EC" w:rsidP="007F5DC0">
      <w:pPr>
        <w:pStyle w:val="Quote2"/>
        <w:ind w:left="2160" w:hanging="720"/>
        <w:rPr>
          <w:color w:val="000000" w:themeColor="text1"/>
        </w:rPr>
      </w:pPr>
      <w:r w:rsidRPr="00E1642A">
        <w:rPr>
          <w:color w:val="000000" w:themeColor="text1"/>
        </w:rPr>
        <w:t>Note:    The </w:t>
      </w:r>
      <w:r w:rsidRPr="00E1642A">
        <w:rPr>
          <w:i/>
          <w:iCs/>
          <w:color w:val="000000" w:themeColor="text1"/>
        </w:rPr>
        <w:t>Electronic Transactions Act 1999</w:t>
      </w:r>
      <w:r w:rsidRPr="00E1642A">
        <w:rPr>
          <w:color w:val="000000" w:themeColor="text1"/>
        </w:rPr>
        <w:t> deals with giving information in writing by means of an electronic communication.</w:t>
      </w:r>
    </w:p>
    <w:p w14:paraId="0B3E2666" w14:textId="067DF457" w:rsidR="00F73E07" w:rsidRPr="00E1642A" w:rsidRDefault="00F73E07" w:rsidP="00F73E07">
      <w:pPr>
        <w:pStyle w:val="Quote1"/>
        <w:ind w:left="1440" w:hanging="703"/>
        <w:rPr>
          <w:color w:val="000000" w:themeColor="text1"/>
        </w:rPr>
      </w:pPr>
      <w:r w:rsidRPr="00E1642A">
        <w:rPr>
          <w:color w:val="000000" w:themeColor="text1"/>
        </w:rPr>
        <w:t>(2)</w:t>
      </w:r>
      <w:r w:rsidRPr="00E1642A">
        <w:rPr>
          <w:color w:val="000000" w:themeColor="text1"/>
        </w:rPr>
        <w:tab/>
        <w:t>Nothing</w:t>
      </w:r>
      <w:r w:rsidRPr="00E1642A">
        <w:rPr>
          <w:color w:val="000000" w:themeColor="text1"/>
          <w:spacing w:val="-4"/>
        </w:rPr>
        <w:t xml:space="preserve"> </w:t>
      </w:r>
      <w:r w:rsidRPr="00E1642A">
        <w:rPr>
          <w:color w:val="000000" w:themeColor="text1"/>
        </w:rPr>
        <w:t xml:space="preserve">in subsection </w:t>
      </w:r>
      <w:r w:rsidRPr="00E1642A">
        <w:rPr>
          <w:color w:val="000000" w:themeColor="text1"/>
          <w:spacing w:val="-4"/>
        </w:rPr>
        <w:t>(1):</w:t>
      </w:r>
    </w:p>
    <w:p w14:paraId="6A53C0F0" w14:textId="33B35093" w:rsidR="00F73E07" w:rsidRPr="00E1642A" w:rsidRDefault="00F73E07" w:rsidP="000E2CD7">
      <w:pPr>
        <w:pStyle w:val="Quote2"/>
        <w:ind w:left="2160" w:hanging="720"/>
      </w:pPr>
      <w:r w:rsidRPr="00E1642A">
        <w:t>(a)</w:t>
      </w:r>
      <w:r w:rsidRPr="00E1642A">
        <w:tab/>
      </w:r>
      <w:r w:rsidR="0035048A" w:rsidRPr="00E1642A">
        <w:t>affects</w:t>
      </w:r>
      <w:r w:rsidR="0035048A" w:rsidRPr="00E1642A">
        <w:rPr>
          <w:spacing w:val="-1"/>
        </w:rPr>
        <w:t xml:space="preserve"> </w:t>
      </w:r>
      <w:r w:rsidR="0035048A" w:rsidRPr="00E1642A">
        <w:t>the</w:t>
      </w:r>
      <w:r w:rsidR="0035048A" w:rsidRPr="00E1642A">
        <w:rPr>
          <w:spacing w:val="-2"/>
        </w:rPr>
        <w:t xml:space="preserve"> </w:t>
      </w:r>
      <w:r w:rsidR="0035048A" w:rsidRPr="00E1642A">
        <w:t>operation</w:t>
      </w:r>
      <w:r w:rsidR="0035048A" w:rsidRPr="00E1642A">
        <w:rPr>
          <w:spacing w:val="-1"/>
        </w:rPr>
        <w:t xml:space="preserve"> </w:t>
      </w:r>
      <w:r w:rsidR="0035048A" w:rsidRPr="00E1642A">
        <w:t>of</w:t>
      </w:r>
      <w:r w:rsidR="0035048A" w:rsidRPr="00E1642A">
        <w:rPr>
          <w:spacing w:val="-2"/>
        </w:rPr>
        <w:t xml:space="preserve"> </w:t>
      </w:r>
      <w:r w:rsidR="0035048A" w:rsidRPr="00E1642A">
        <w:t>any</w:t>
      </w:r>
      <w:r w:rsidR="0035048A" w:rsidRPr="00E1642A">
        <w:rPr>
          <w:spacing w:val="-6"/>
        </w:rPr>
        <w:t xml:space="preserve"> </w:t>
      </w:r>
      <w:r w:rsidR="0035048A" w:rsidRPr="00E1642A">
        <w:t>other</w:t>
      </w:r>
      <w:r w:rsidR="0035048A" w:rsidRPr="00E1642A">
        <w:rPr>
          <w:spacing w:val="-2"/>
        </w:rPr>
        <w:t xml:space="preserve"> </w:t>
      </w:r>
      <w:r w:rsidR="0035048A" w:rsidRPr="00E1642A">
        <w:t>law</w:t>
      </w:r>
      <w:r w:rsidR="0035048A" w:rsidRPr="00E1642A">
        <w:rPr>
          <w:spacing w:val="-2"/>
        </w:rPr>
        <w:t xml:space="preserve"> </w:t>
      </w:r>
      <w:r w:rsidR="0035048A" w:rsidRPr="00E1642A">
        <w:t>of</w:t>
      </w:r>
      <w:r w:rsidR="0035048A" w:rsidRPr="00E1642A">
        <w:rPr>
          <w:spacing w:val="-2"/>
        </w:rPr>
        <w:t xml:space="preserve"> </w:t>
      </w:r>
      <w:r w:rsidR="0035048A" w:rsidRPr="00E1642A">
        <w:t>the</w:t>
      </w:r>
      <w:r w:rsidR="0035048A" w:rsidRPr="00E1642A">
        <w:rPr>
          <w:spacing w:val="-2"/>
        </w:rPr>
        <w:t xml:space="preserve"> </w:t>
      </w:r>
      <w:r w:rsidR="0035048A" w:rsidRPr="00E1642A">
        <w:t>Commonwealth,</w:t>
      </w:r>
      <w:r w:rsidR="0035048A" w:rsidRPr="00E1642A">
        <w:rPr>
          <w:spacing w:val="-1"/>
        </w:rPr>
        <w:t xml:space="preserve"> </w:t>
      </w:r>
      <w:r w:rsidR="0035048A" w:rsidRPr="00E1642A">
        <w:t>or any law of a State or Territory, that authorises the service of a document otherwise than as provided in that subsection; or</w:t>
      </w:r>
    </w:p>
    <w:p w14:paraId="3A7D86DE" w14:textId="30C21960" w:rsidR="00D352D9" w:rsidRPr="00E1642A" w:rsidRDefault="0032259E" w:rsidP="000E2CD7">
      <w:pPr>
        <w:pStyle w:val="Quote2"/>
        <w:ind w:left="2160" w:hanging="720"/>
      </w:pPr>
      <w:r w:rsidRPr="00E1642A">
        <w:t>(b</w:t>
      </w:r>
      <w:r w:rsidR="00D352D9" w:rsidRPr="00E1642A">
        <w:t>)</w:t>
      </w:r>
      <w:r w:rsidR="00D352D9" w:rsidRPr="00E1642A">
        <w:tab/>
      </w:r>
      <w:proofErr w:type="gramStart"/>
      <w:r w:rsidRPr="00E1642A">
        <w:t>affects</w:t>
      </w:r>
      <w:proofErr w:type="gramEnd"/>
      <w:r w:rsidRPr="00E1642A">
        <w:t xml:space="preserve"> the power of a court to authorise service of a document otherwise than as provided in that subsection.</w:t>
      </w:r>
    </w:p>
    <w:p w14:paraId="2FCF4542" w14:textId="5DA471FC" w:rsidR="0023038B" w:rsidRDefault="0023038B" w:rsidP="008438FA">
      <w:pPr>
        <w:pStyle w:val="Heading3"/>
      </w:pPr>
      <w:r>
        <w:lastRenderedPageBreak/>
        <w:t>Could the statutory demand be served by email?</w:t>
      </w:r>
    </w:p>
    <w:p w14:paraId="0A171FC4" w14:textId="3468451D" w:rsidR="008438FA" w:rsidRDefault="008438FA" w:rsidP="006739B6">
      <w:pPr>
        <w:pStyle w:val="ParaNumbering"/>
      </w:pPr>
      <w:r>
        <w:t xml:space="preserve">The question which arises from the combination of the provisions of s 109X of the </w:t>
      </w:r>
      <w:r w:rsidRPr="008438FA">
        <w:rPr>
          <w:i/>
          <w:iCs/>
        </w:rPr>
        <w:t>Corporations Act</w:t>
      </w:r>
      <w:r>
        <w:t xml:space="preserve"> and s 28A of the </w:t>
      </w:r>
      <w:r w:rsidRPr="008438FA">
        <w:rPr>
          <w:i/>
          <w:iCs/>
        </w:rPr>
        <w:t>Acts Interpretation Act</w:t>
      </w:r>
      <w:r>
        <w:t xml:space="preserve"> is whether service of a statutory demand by email satisfies those provisions.</w:t>
      </w:r>
    </w:p>
    <w:p w14:paraId="1456B371" w14:textId="003223D8" w:rsidR="002164D9" w:rsidRDefault="002164D9" w:rsidP="006739B6">
      <w:pPr>
        <w:pStyle w:val="ParaNumbering"/>
      </w:pPr>
      <w:r>
        <w:t xml:space="preserve">Recently, in </w:t>
      </w:r>
      <w:proofErr w:type="spellStart"/>
      <w:r w:rsidRPr="00457A67">
        <w:rPr>
          <w:b/>
          <w:bCs/>
          <w:i/>
          <w:iCs/>
        </w:rPr>
        <w:t>Bioaction</w:t>
      </w:r>
      <w:proofErr w:type="spellEnd"/>
      <w:r w:rsidRPr="00457A67">
        <w:rPr>
          <w:i/>
          <w:iCs/>
        </w:rPr>
        <w:t xml:space="preserve"> </w:t>
      </w:r>
      <w:r w:rsidR="00457A67" w:rsidRPr="00457A67">
        <w:rPr>
          <w:i/>
          <w:iCs/>
        </w:rPr>
        <w:t xml:space="preserve">Pty Ltd v </w:t>
      </w:r>
      <w:proofErr w:type="spellStart"/>
      <w:r w:rsidR="00457A67" w:rsidRPr="00457A67">
        <w:rPr>
          <w:i/>
          <w:iCs/>
        </w:rPr>
        <w:t>Og</w:t>
      </w:r>
      <w:r w:rsidR="008438FA">
        <w:rPr>
          <w:i/>
          <w:iCs/>
        </w:rPr>
        <w:t>b</w:t>
      </w:r>
      <w:r w:rsidR="00457A67" w:rsidRPr="00457A67">
        <w:rPr>
          <w:i/>
          <w:iCs/>
        </w:rPr>
        <w:t>orne</w:t>
      </w:r>
      <w:proofErr w:type="spellEnd"/>
      <w:r w:rsidR="00457A67">
        <w:t xml:space="preserve"> [2022] FCA 436</w:t>
      </w:r>
      <w:r w:rsidR="00F84EC7">
        <w:t>; 159 ACSR 173</w:t>
      </w:r>
      <w:r w:rsidR="00457A67">
        <w:t>, Cheeseman J</w:t>
      </w:r>
      <w:r w:rsidR="005D34BB">
        <w:t>, when dealing with an application under s 459G to set aside a statutory demand</w:t>
      </w:r>
      <w:r w:rsidR="001B211B">
        <w:t xml:space="preserve">, made the following observations in respect of service under the </w:t>
      </w:r>
      <w:r w:rsidR="001B211B" w:rsidRPr="009C0459">
        <w:rPr>
          <w:i/>
          <w:iCs/>
        </w:rPr>
        <w:t>Corporations Act</w:t>
      </w:r>
      <w:r w:rsidR="00073EC3">
        <w:t>:</w:t>
      </w:r>
    </w:p>
    <w:p w14:paraId="0BC038A4" w14:textId="3D4F6ECC" w:rsidR="00813AEA" w:rsidRPr="00994836" w:rsidRDefault="00813AEA" w:rsidP="00813AEA">
      <w:pPr>
        <w:pStyle w:val="Quote1"/>
        <w:ind w:left="1440" w:hanging="703"/>
        <w:rPr>
          <w:lang w:eastAsia="en-GB"/>
        </w:rPr>
      </w:pPr>
      <w:r>
        <w:t>38</w:t>
      </w:r>
      <w:r w:rsidRPr="00994836">
        <w:rPr>
          <w:lang w:eastAsia="en-GB"/>
        </w:rPr>
        <w:tab/>
      </w:r>
      <w:r w:rsidRPr="00073EC3">
        <w:t xml:space="preserve">Provisions which provide for a mode of service of documents on natural persons (s 28A of the </w:t>
      </w:r>
      <w:r w:rsidRPr="00073EC3">
        <w:rPr>
          <w:b/>
          <w:i/>
        </w:rPr>
        <w:t xml:space="preserve">Acts Interpretation Act </w:t>
      </w:r>
      <w:r w:rsidRPr="00073EC3">
        <w:rPr>
          <w:i/>
        </w:rPr>
        <w:t xml:space="preserve">1901 </w:t>
      </w:r>
      <w:r w:rsidRPr="00073EC3">
        <w:t>(</w:t>
      </w:r>
      <w:proofErr w:type="spellStart"/>
      <w:r w:rsidRPr="00073EC3">
        <w:t>Cth</w:t>
      </w:r>
      <w:proofErr w:type="spellEnd"/>
      <w:r w:rsidRPr="00073EC3">
        <w:t xml:space="preserve">)) and companies (s 28A of the Acts Interpretation Act and s 109X of the Corporations Act) are facultative not mandatory. In respect of s 28A of the Acts Interpretation Act see </w:t>
      </w:r>
      <w:r w:rsidRPr="00073EC3">
        <w:rPr>
          <w:i/>
        </w:rPr>
        <w:t>Deputy Commissioner of Taxation v ABW Design and Construction Pty Ltd</w:t>
      </w:r>
      <w:r w:rsidRPr="00073EC3">
        <w:t xml:space="preserve"> [2012] FCA 346; 203 FCR 70 at 76 [20] (Logan J). In respect of s 109X of the Corporations Act see </w:t>
      </w:r>
      <w:proofErr w:type="spellStart"/>
      <w:r w:rsidRPr="00073EC3">
        <w:rPr>
          <w:i/>
        </w:rPr>
        <w:t>Intelogent</w:t>
      </w:r>
      <w:proofErr w:type="spellEnd"/>
      <w:r w:rsidRPr="00073EC3">
        <w:rPr>
          <w:i/>
        </w:rPr>
        <w:t xml:space="preserve"> Pty Ltd v </w:t>
      </w:r>
      <w:proofErr w:type="spellStart"/>
      <w:r w:rsidRPr="00073EC3">
        <w:rPr>
          <w:i/>
        </w:rPr>
        <w:t>Onthego</w:t>
      </w:r>
      <w:proofErr w:type="spellEnd"/>
      <w:r w:rsidRPr="00073EC3">
        <w:rPr>
          <w:i/>
        </w:rPr>
        <w:t xml:space="preserve"> Group Pty Ltd</w:t>
      </w:r>
      <w:r w:rsidRPr="00073EC3">
        <w:t xml:space="preserve"> [2021] FCA 257 at [33] - [38] and the authorities cited therein (Farrell J).</w:t>
      </w:r>
    </w:p>
    <w:p w14:paraId="49CDC119" w14:textId="083F6D62" w:rsidR="00813AEA" w:rsidRPr="00994836" w:rsidRDefault="00342CC0" w:rsidP="00813AEA">
      <w:pPr>
        <w:pStyle w:val="Quote1"/>
        <w:ind w:left="1440" w:hanging="703"/>
        <w:rPr>
          <w:lang w:eastAsia="en-GB"/>
        </w:rPr>
      </w:pPr>
      <w:r>
        <w:t>39</w:t>
      </w:r>
      <w:r w:rsidR="00813AEA" w:rsidRPr="00994836">
        <w:rPr>
          <w:lang w:eastAsia="en-GB"/>
        </w:rPr>
        <w:tab/>
      </w:r>
      <w:r w:rsidR="00813AEA" w:rsidRPr="00073EC3">
        <w:t>Other means of service may be adopted, and if those other means result in the documents arriving at the nominated address within the statutory period then valid service will have been effected. What is critical is the result which is achieved by the plaintiff’s efforts, not the manner by which that result has been achieved</w:t>
      </w:r>
      <w:r w:rsidR="00813AEA">
        <w:t xml:space="preserve"> (citations omitted) …</w:t>
      </w:r>
    </w:p>
    <w:p w14:paraId="6DF502FE" w14:textId="28BBA43B" w:rsidR="001C7854" w:rsidRDefault="00100609">
      <w:pPr>
        <w:pStyle w:val="ParaNumbering"/>
      </w:pPr>
      <w:r>
        <w:t>Relevantly, t</w:t>
      </w:r>
      <w:r w:rsidR="00034ADF">
        <w:t>wo important aspects of t</w:t>
      </w:r>
      <w:r w:rsidR="00402B93">
        <w:t xml:space="preserve">he </w:t>
      </w:r>
      <w:r w:rsidR="00034ADF">
        <w:t xml:space="preserve">2020 </w:t>
      </w:r>
      <w:r w:rsidR="00402B93">
        <w:t xml:space="preserve">Reforms </w:t>
      </w:r>
      <w:r w:rsidR="00034ADF">
        <w:t xml:space="preserve">are reflected in s 600G and in </w:t>
      </w:r>
      <w:proofErr w:type="spellStart"/>
      <w:r w:rsidR="00034ADF">
        <w:t>ss</w:t>
      </w:r>
      <w:proofErr w:type="spellEnd"/>
      <w:r>
        <w:t xml:space="preserve"> 105A and B.</w:t>
      </w:r>
      <w:r w:rsidR="00BB1685">
        <w:t xml:space="preserve"> The latter </w:t>
      </w:r>
      <w:r w:rsidR="00863984">
        <w:t>establish statutory presumptions in respect of the time when</w:t>
      </w:r>
      <w:r w:rsidR="008438FA">
        <w:t>,</w:t>
      </w:r>
      <w:r w:rsidR="00863984">
        <w:t xml:space="preserve"> and the place</w:t>
      </w:r>
      <w:r w:rsidR="008438FA">
        <w:t>,</w:t>
      </w:r>
      <w:r w:rsidR="00863984">
        <w:t xml:space="preserve"> where electronic communications are sent and received.</w:t>
      </w:r>
    </w:p>
    <w:p w14:paraId="66584756" w14:textId="16BE8B41" w:rsidR="00100609" w:rsidRDefault="00100609" w:rsidP="006739B6">
      <w:pPr>
        <w:pStyle w:val="ParaNumbering"/>
      </w:pPr>
      <w:r>
        <w:t>Section 600G provides, relevantly:</w:t>
      </w:r>
    </w:p>
    <w:p w14:paraId="0D572D14" w14:textId="28BCE36A" w:rsidR="00445B91" w:rsidRPr="0072608D" w:rsidRDefault="00445B91" w:rsidP="00445B91">
      <w:pPr>
        <w:pStyle w:val="Quote1"/>
        <w:rPr>
          <w:b/>
          <w:lang w:eastAsia="en-AU"/>
        </w:rPr>
      </w:pPr>
      <w:r>
        <w:rPr>
          <w:b/>
          <w:szCs w:val="22"/>
        </w:rPr>
        <w:t>600G</w:t>
      </w:r>
      <w:r w:rsidRPr="001D3B92">
        <w:rPr>
          <w:b/>
          <w:szCs w:val="22"/>
        </w:rPr>
        <w:t xml:space="preserve"> </w:t>
      </w:r>
      <w:r w:rsidRPr="00906D41">
        <w:rPr>
          <w:b/>
        </w:rPr>
        <w:t>Electronic communication of documents</w:t>
      </w:r>
    </w:p>
    <w:p w14:paraId="64690F43" w14:textId="4E004E6C" w:rsidR="00445B91" w:rsidRDefault="00445B91" w:rsidP="00445B91">
      <w:pPr>
        <w:pStyle w:val="Quote1"/>
        <w:ind w:left="1440" w:hanging="703"/>
      </w:pPr>
      <w:r>
        <w:t>(1)</w:t>
      </w:r>
      <w:r>
        <w:tab/>
        <w:t>… this section applies to any document that is:</w:t>
      </w:r>
    </w:p>
    <w:p w14:paraId="41372AF0" w14:textId="1C33FF44" w:rsidR="00445B91" w:rsidRDefault="00445B91" w:rsidP="00445B91">
      <w:pPr>
        <w:pStyle w:val="Quote2"/>
        <w:ind w:left="2160" w:hanging="720"/>
        <w:rPr>
          <w:spacing w:val="-4"/>
        </w:rPr>
      </w:pPr>
      <w:r>
        <w:t>(a)</w:t>
      </w:r>
      <w:r>
        <w:tab/>
      </w:r>
      <w:proofErr w:type="gramStart"/>
      <w:r>
        <w:t>required</w:t>
      </w:r>
      <w:proofErr w:type="gramEnd"/>
      <w:r>
        <w:t xml:space="preserve"> or permitted to be given to a person (the </w:t>
      </w:r>
      <w:r w:rsidRPr="00E1642A">
        <w:rPr>
          <w:b/>
          <w:i/>
        </w:rPr>
        <w:t>recipient</w:t>
      </w:r>
      <w:r>
        <w:t>); or</w:t>
      </w:r>
    </w:p>
    <w:p w14:paraId="5F8D50DC" w14:textId="77777777" w:rsidR="00445B91" w:rsidRDefault="00445B91" w:rsidP="00E1642A">
      <w:pPr>
        <w:pStyle w:val="Quote2"/>
        <w:ind w:left="720" w:firstLine="720"/>
      </w:pPr>
      <w:r>
        <w:t xml:space="preserve">… </w:t>
      </w:r>
    </w:p>
    <w:p w14:paraId="3F31149C" w14:textId="77777777" w:rsidR="00445B91" w:rsidRDefault="00445B91" w:rsidP="00E1642A">
      <w:pPr>
        <w:pStyle w:val="Quote2"/>
        <w:ind w:left="720" w:firstLine="720"/>
      </w:pPr>
      <w:proofErr w:type="gramStart"/>
      <w:r>
        <w:t>under</w:t>
      </w:r>
      <w:proofErr w:type="gramEnd"/>
      <w:r>
        <w:t>:</w:t>
      </w:r>
    </w:p>
    <w:p w14:paraId="1C1C9502" w14:textId="31189BDD" w:rsidR="00445B91" w:rsidRDefault="0069780C" w:rsidP="00445B91">
      <w:pPr>
        <w:pStyle w:val="Quote2"/>
        <w:ind w:left="2160" w:hanging="720"/>
      </w:pPr>
      <w:r>
        <w:t>(c</w:t>
      </w:r>
      <w:r w:rsidR="00445B91">
        <w:t>)</w:t>
      </w:r>
      <w:r w:rsidR="00445B91">
        <w:tab/>
      </w:r>
      <w:proofErr w:type="gramStart"/>
      <w:r>
        <w:t>this</w:t>
      </w:r>
      <w:proofErr w:type="gramEnd"/>
      <w:r>
        <w:t xml:space="preserve"> Chapter; or</w:t>
      </w:r>
    </w:p>
    <w:p w14:paraId="471B9302" w14:textId="6053CDC8" w:rsidR="0087170B" w:rsidRDefault="0087170B" w:rsidP="00E1642A">
      <w:pPr>
        <w:pStyle w:val="Quote1"/>
        <w:ind w:left="720" w:firstLine="720"/>
      </w:pPr>
      <w:r>
        <w:t>…</w:t>
      </w:r>
    </w:p>
    <w:p w14:paraId="7557057F" w14:textId="77777777" w:rsidR="00B00F40" w:rsidRPr="007E6103" w:rsidRDefault="00B00F40" w:rsidP="00B00F40">
      <w:pPr>
        <w:pStyle w:val="Quote2"/>
        <w:ind w:left="17" w:firstLine="720"/>
        <w:rPr>
          <w:i/>
        </w:rPr>
      </w:pPr>
      <w:r w:rsidRPr="007E6103">
        <w:rPr>
          <w:i/>
        </w:rPr>
        <w:t>Giving a document</w:t>
      </w:r>
    </w:p>
    <w:p w14:paraId="5F7F261F" w14:textId="292B28AC" w:rsidR="00B00F40" w:rsidRDefault="00B00F40" w:rsidP="00B00F40">
      <w:pPr>
        <w:pStyle w:val="Quote1"/>
        <w:ind w:left="1440" w:hanging="703"/>
      </w:pPr>
      <w:r>
        <w:t>(2)</w:t>
      </w:r>
      <w:r>
        <w:tab/>
        <w:t>The document may be given to the recipient by means of an electronic communication.</w:t>
      </w:r>
    </w:p>
    <w:p w14:paraId="3C901D3C" w14:textId="12026961" w:rsidR="002E3310" w:rsidRDefault="002E3310" w:rsidP="002E3310">
      <w:pPr>
        <w:pStyle w:val="Quote1"/>
        <w:ind w:left="1440" w:hanging="703"/>
      </w:pPr>
      <w:r>
        <w:t>(3)</w:t>
      </w:r>
      <w:r>
        <w:tab/>
        <w:t>The document may be given by giving the recipient (by means of an electronic communication or otherwise) sufficient information to allow the recipient to access the document electronically.</w:t>
      </w:r>
    </w:p>
    <w:p w14:paraId="062AC1CB" w14:textId="02D7D2BF" w:rsidR="002E3310" w:rsidRDefault="002E3310" w:rsidP="002E3310">
      <w:pPr>
        <w:pStyle w:val="Quote1"/>
        <w:ind w:left="1440" w:hanging="703"/>
      </w:pPr>
      <w:r>
        <w:lastRenderedPageBreak/>
        <w:t>(4)</w:t>
      </w:r>
      <w:r>
        <w:tab/>
        <w:t>However, an electronic communication or electronic access may only be used if, at the time the electronic communication is used or information about the electronic access is given:</w:t>
      </w:r>
    </w:p>
    <w:p w14:paraId="3E805681" w14:textId="39605B0F" w:rsidR="0023045F" w:rsidRDefault="0023045F" w:rsidP="000E2CD7">
      <w:pPr>
        <w:pStyle w:val="Quote2"/>
        <w:ind w:left="2160" w:hanging="720"/>
        <w:rPr>
          <w:spacing w:val="-4"/>
        </w:rPr>
      </w:pPr>
      <w:r>
        <w:t>(a)</w:t>
      </w:r>
      <w:r>
        <w:tab/>
      </w:r>
      <w:proofErr w:type="gramStart"/>
      <w:r>
        <w:t>it</w:t>
      </w:r>
      <w:proofErr w:type="gramEnd"/>
      <w:r>
        <w:t xml:space="preserve"> is reasonable to expect that the document would be readily accessible so as to be useable for subsequent reference; and</w:t>
      </w:r>
    </w:p>
    <w:p w14:paraId="47BE1634" w14:textId="57F26DAA" w:rsidR="0023045F" w:rsidRDefault="0023045F" w:rsidP="000E2CD7">
      <w:pPr>
        <w:pStyle w:val="Quote2"/>
        <w:ind w:left="2160" w:hanging="720"/>
        <w:rPr>
          <w:spacing w:val="-4"/>
        </w:rPr>
      </w:pPr>
      <w:r>
        <w:t>(b)</w:t>
      </w:r>
      <w:r>
        <w:tab/>
      </w:r>
      <w:proofErr w:type="gramStart"/>
      <w:r>
        <w:t>there</w:t>
      </w:r>
      <w:proofErr w:type="gramEnd"/>
      <w:r>
        <w:t xml:space="preserve"> is a nominated electronic address in relation to the recipient.</w:t>
      </w:r>
    </w:p>
    <w:p w14:paraId="1C84087B" w14:textId="092BBA7F" w:rsidR="00314BBB" w:rsidRDefault="00314BBB" w:rsidP="00C8514E">
      <w:pPr>
        <w:pStyle w:val="ParaNumbering"/>
      </w:pPr>
      <w:r>
        <w:t>Section 105A provides:</w:t>
      </w:r>
    </w:p>
    <w:p w14:paraId="21A7325A" w14:textId="78BDC001" w:rsidR="00DB0A5E" w:rsidRPr="0072608D" w:rsidRDefault="00DB0A5E" w:rsidP="00DB0A5E">
      <w:pPr>
        <w:pStyle w:val="Quote1"/>
        <w:rPr>
          <w:b/>
          <w:lang w:eastAsia="en-AU"/>
        </w:rPr>
      </w:pPr>
      <w:r>
        <w:rPr>
          <w:b/>
        </w:rPr>
        <w:t>105A</w:t>
      </w:r>
      <w:r>
        <w:rPr>
          <w:b/>
          <w:spacing w:val="-6"/>
        </w:rPr>
        <w:t xml:space="preserve"> </w:t>
      </w:r>
      <w:r>
        <w:rPr>
          <w:b/>
        </w:rPr>
        <w:t>When</w:t>
      </w:r>
      <w:r>
        <w:rPr>
          <w:b/>
          <w:spacing w:val="-6"/>
        </w:rPr>
        <w:t xml:space="preserve"> </w:t>
      </w:r>
      <w:r>
        <w:rPr>
          <w:b/>
        </w:rPr>
        <w:t>is</w:t>
      </w:r>
      <w:r>
        <w:rPr>
          <w:b/>
          <w:spacing w:val="-2"/>
        </w:rPr>
        <w:t xml:space="preserve"> </w:t>
      </w:r>
      <w:r>
        <w:rPr>
          <w:b/>
        </w:rPr>
        <w:t>an</w:t>
      </w:r>
      <w:r>
        <w:rPr>
          <w:b/>
          <w:spacing w:val="-6"/>
        </w:rPr>
        <w:t xml:space="preserve"> </w:t>
      </w:r>
      <w:r>
        <w:rPr>
          <w:b/>
        </w:rPr>
        <w:t>electronic</w:t>
      </w:r>
      <w:r>
        <w:rPr>
          <w:b/>
          <w:spacing w:val="-3"/>
        </w:rPr>
        <w:t xml:space="preserve"> </w:t>
      </w:r>
      <w:r>
        <w:rPr>
          <w:b/>
        </w:rPr>
        <w:t>communication</w:t>
      </w:r>
      <w:r>
        <w:rPr>
          <w:b/>
          <w:spacing w:val="-3"/>
        </w:rPr>
        <w:t xml:space="preserve"> </w:t>
      </w:r>
      <w:r w:rsidRPr="00E1642A">
        <w:rPr>
          <w:b/>
          <w:i/>
        </w:rPr>
        <w:t>sent</w:t>
      </w:r>
      <w:r>
        <w:rPr>
          <w:b/>
          <w:spacing w:val="-2"/>
        </w:rPr>
        <w:t xml:space="preserve"> </w:t>
      </w:r>
      <w:r>
        <w:rPr>
          <w:b/>
        </w:rPr>
        <w:t>and</w:t>
      </w:r>
      <w:r>
        <w:rPr>
          <w:b/>
          <w:spacing w:val="-3"/>
        </w:rPr>
        <w:t xml:space="preserve"> </w:t>
      </w:r>
      <w:r w:rsidRPr="00E1642A">
        <w:rPr>
          <w:b/>
          <w:i/>
          <w:spacing w:val="-2"/>
        </w:rPr>
        <w:t>received</w:t>
      </w:r>
    </w:p>
    <w:p w14:paraId="26436BEE" w14:textId="75D45B73" w:rsidR="00DB0A5E" w:rsidRDefault="00DB0A5E" w:rsidP="00DB0A5E">
      <w:pPr>
        <w:pStyle w:val="Quote1"/>
        <w:ind w:left="1440" w:hanging="703"/>
      </w:pPr>
      <w:r>
        <w:t>(1)</w:t>
      </w:r>
      <w:r>
        <w:tab/>
        <w:t>This</w:t>
      </w:r>
      <w:r>
        <w:rPr>
          <w:spacing w:val="-3"/>
        </w:rPr>
        <w:t xml:space="preserve"> </w:t>
      </w:r>
      <w:r>
        <w:t>section</w:t>
      </w:r>
      <w:r>
        <w:rPr>
          <w:spacing w:val="-3"/>
        </w:rPr>
        <w:t xml:space="preserve"> </w:t>
      </w:r>
      <w:r>
        <w:t>applies</w:t>
      </w:r>
      <w:r>
        <w:rPr>
          <w:spacing w:val="-3"/>
        </w:rPr>
        <w:t xml:space="preserve"> </w:t>
      </w:r>
      <w:r>
        <w:t>in</w:t>
      </w:r>
      <w:r>
        <w:rPr>
          <w:spacing w:val="-3"/>
        </w:rPr>
        <w:t xml:space="preserve"> </w:t>
      </w:r>
      <w:r>
        <w:t>relation</w:t>
      </w:r>
      <w:r>
        <w:rPr>
          <w:spacing w:val="-3"/>
        </w:rPr>
        <w:t xml:space="preserve"> </w:t>
      </w:r>
      <w:r>
        <w:t>to</w:t>
      </w:r>
      <w:r>
        <w:rPr>
          <w:spacing w:val="-3"/>
        </w:rPr>
        <w:t xml:space="preserve"> </w:t>
      </w:r>
      <w:r>
        <w:t>an</w:t>
      </w:r>
      <w:r>
        <w:rPr>
          <w:spacing w:val="-3"/>
        </w:rPr>
        <w:t xml:space="preserve"> </w:t>
      </w:r>
      <w:r>
        <w:t>electronic</w:t>
      </w:r>
      <w:r>
        <w:rPr>
          <w:spacing w:val="-3"/>
        </w:rPr>
        <w:t xml:space="preserve"> </w:t>
      </w:r>
      <w:r>
        <w:t>communication</w:t>
      </w:r>
      <w:r>
        <w:rPr>
          <w:spacing w:val="-3"/>
        </w:rPr>
        <w:t xml:space="preserve"> </w:t>
      </w:r>
      <w:r>
        <w:t>unless otherwise agreed between the originator and the addressee of the electronic communication.</w:t>
      </w:r>
    </w:p>
    <w:p w14:paraId="544CDD82" w14:textId="2C663AE9" w:rsidR="00DB0A5E" w:rsidRDefault="00DB0A5E">
      <w:pPr>
        <w:pStyle w:val="Quote1"/>
        <w:ind w:left="1440" w:hanging="703"/>
      </w:pPr>
      <w:r>
        <w:t>(2)</w:t>
      </w:r>
      <w:r>
        <w:tab/>
        <w:t>An</w:t>
      </w:r>
      <w:r>
        <w:rPr>
          <w:spacing w:val="-4"/>
        </w:rPr>
        <w:t xml:space="preserve"> </w:t>
      </w:r>
      <w:r>
        <w:t>electronic</w:t>
      </w:r>
      <w:r>
        <w:rPr>
          <w:spacing w:val="-4"/>
        </w:rPr>
        <w:t xml:space="preserve"> </w:t>
      </w:r>
      <w:r>
        <w:t>communication</w:t>
      </w:r>
      <w:r>
        <w:rPr>
          <w:spacing w:val="-3"/>
        </w:rPr>
        <w:t xml:space="preserve"> </w:t>
      </w:r>
      <w:r>
        <w:t>is</w:t>
      </w:r>
      <w:r>
        <w:rPr>
          <w:spacing w:val="-5"/>
        </w:rPr>
        <w:t xml:space="preserve"> </w:t>
      </w:r>
      <w:r w:rsidRPr="00E1642A">
        <w:rPr>
          <w:b/>
          <w:i/>
          <w:spacing w:val="-4"/>
        </w:rPr>
        <w:t>sent</w:t>
      </w:r>
      <w:r>
        <w:rPr>
          <w:spacing w:val="-4"/>
        </w:rPr>
        <w:t>:</w:t>
      </w:r>
    </w:p>
    <w:p w14:paraId="23DA9E84" w14:textId="26C1811C" w:rsidR="00DB0A5E" w:rsidRDefault="00DB0A5E" w:rsidP="000E2CD7">
      <w:pPr>
        <w:pStyle w:val="Quote2"/>
        <w:ind w:left="2160" w:hanging="720"/>
        <w:rPr>
          <w:spacing w:val="-4"/>
        </w:rPr>
      </w:pPr>
      <w:r>
        <w:t>(a)</w:t>
      </w:r>
      <w:r>
        <w:tab/>
      </w:r>
      <w:proofErr w:type="gramStart"/>
      <w:r>
        <w:t>when</w:t>
      </w:r>
      <w:proofErr w:type="gramEnd"/>
      <w:r>
        <w:t xml:space="preserve"> the electronic communication leaves an information system</w:t>
      </w:r>
      <w:r>
        <w:rPr>
          <w:spacing w:val="-4"/>
        </w:rPr>
        <w:t xml:space="preserve"> </w:t>
      </w:r>
      <w:r>
        <w:t>under the</w:t>
      </w:r>
      <w:r>
        <w:rPr>
          <w:spacing w:val="-2"/>
        </w:rPr>
        <w:t xml:space="preserve"> </w:t>
      </w:r>
      <w:r>
        <w:t>control of</w:t>
      </w:r>
      <w:r>
        <w:rPr>
          <w:spacing w:val="-1"/>
        </w:rPr>
        <w:t xml:space="preserve"> </w:t>
      </w:r>
      <w:r>
        <w:t>the originator or of</w:t>
      </w:r>
      <w:r>
        <w:rPr>
          <w:spacing w:val="-1"/>
        </w:rPr>
        <w:t xml:space="preserve"> </w:t>
      </w:r>
      <w:r>
        <w:t>the party</w:t>
      </w:r>
      <w:r>
        <w:rPr>
          <w:spacing w:val="-2"/>
        </w:rPr>
        <w:t xml:space="preserve"> </w:t>
      </w:r>
      <w:r>
        <w:t>who sent it on behalf of the originator; or</w:t>
      </w:r>
    </w:p>
    <w:p w14:paraId="15000313" w14:textId="58961C37" w:rsidR="00DB0A5E" w:rsidRDefault="00DB0A5E" w:rsidP="000E2CD7">
      <w:pPr>
        <w:pStyle w:val="Quote2"/>
        <w:ind w:left="2160" w:hanging="720"/>
        <w:rPr>
          <w:spacing w:val="-2"/>
        </w:rPr>
      </w:pPr>
      <w:r>
        <w:t>(b)</w:t>
      </w:r>
      <w:r>
        <w:tab/>
      </w:r>
      <w:proofErr w:type="gramStart"/>
      <w:r w:rsidR="002557E7">
        <w:rPr>
          <w:color w:val="000000"/>
          <w:szCs w:val="22"/>
          <w:shd w:val="clear" w:color="auto" w:fill="FFFFFF"/>
        </w:rPr>
        <w:t>if</w:t>
      </w:r>
      <w:proofErr w:type="gramEnd"/>
      <w:r w:rsidR="002557E7">
        <w:rPr>
          <w:color w:val="000000"/>
          <w:szCs w:val="22"/>
          <w:shd w:val="clear" w:color="auto" w:fill="FFFFFF"/>
        </w:rPr>
        <w:t xml:space="preserve"> the electronic communication has not left an information system under the control of the originator or of the party who sent it on behalf of the originator—when the electronic communication is received by the addressee.</w:t>
      </w:r>
    </w:p>
    <w:p w14:paraId="3A277C0C" w14:textId="78030175" w:rsidR="00E469F0" w:rsidRDefault="00E469F0" w:rsidP="00E469F0">
      <w:pPr>
        <w:pStyle w:val="Quote2"/>
        <w:ind w:left="2160" w:hanging="720"/>
      </w:pPr>
      <w:r>
        <w:t>Note:    </w:t>
      </w:r>
      <w:r w:rsidR="00943B4D" w:rsidRPr="00943B4D">
        <w:t>Paragraph (b) would apply to a case where the parties exchange electronic communications through the same information system</w:t>
      </w:r>
      <w:r w:rsidRPr="008F09EC">
        <w:t>.</w:t>
      </w:r>
    </w:p>
    <w:p w14:paraId="7B824F97" w14:textId="1933ECA8" w:rsidR="00943B4D" w:rsidRDefault="00943B4D" w:rsidP="00943B4D">
      <w:pPr>
        <w:pStyle w:val="Quote1"/>
        <w:ind w:left="1440" w:hanging="703"/>
      </w:pPr>
      <w:r>
        <w:t>(3)</w:t>
      </w:r>
      <w:r>
        <w:tab/>
        <w:t>Subsection (2) applies even though the place where the information system supporting an electronic address is located may be different from the place where the electronic communication is taken to have been sent under section 105B.</w:t>
      </w:r>
    </w:p>
    <w:p w14:paraId="513447FE" w14:textId="008E2824" w:rsidR="00943B4D" w:rsidRDefault="00943B4D" w:rsidP="00943B4D">
      <w:pPr>
        <w:pStyle w:val="Quote1"/>
        <w:ind w:left="1440" w:hanging="703"/>
      </w:pPr>
      <w:r>
        <w:t>(4)</w:t>
      </w:r>
      <w:r>
        <w:tab/>
      </w:r>
      <w:r w:rsidR="002557E7" w:rsidRPr="00E1642A">
        <w:rPr>
          <w:b/>
          <w:color w:val="000000"/>
          <w:szCs w:val="22"/>
          <w:shd w:val="clear" w:color="auto" w:fill="FFFFFF"/>
        </w:rPr>
        <w:t>An electronic communication is</w:t>
      </w:r>
      <w:r w:rsidR="00E23158">
        <w:rPr>
          <w:b/>
          <w:color w:val="000000"/>
          <w:szCs w:val="22"/>
          <w:shd w:val="clear" w:color="auto" w:fill="FFFFFF"/>
        </w:rPr>
        <w:t xml:space="preserve"> </w:t>
      </w:r>
      <w:r w:rsidR="002557E7" w:rsidRPr="002557E7">
        <w:rPr>
          <w:b/>
          <w:bCs/>
          <w:i/>
          <w:iCs/>
          <w:color w:val="000000"/>
          <w:szCs w:val="22"/>
          <w:shd w:val="clear" w:color="auto" w:fill="FFFFFF"/>
        </w:rPr>
        <w:t>received</w:t>
      </w:r>
      <w:r w:rsidR="00E23158">
        <w:rPr>
          <w:b/>
          <w:color w:val="000000"/>
          <w:szCs w:val="22"/>
          <w:shd w:val="clear" w:color="auto" w:fill="FFFFFF"/>
        </w:rPr>
        <w:t xml:space="preserve"> </w:t>
      </w:r>
      <w:r w:rsidR="002557E7" w:rsidRPr="00E1642A">
        <w:rPr>
          <w:b/>
          <w:color w:val="000000"/>
          <w:szCs w:val="22"/>
          <w:shd w:val="clear" w:color="auto" w:fill="FFFFFF"/>
        </w:rPr>
        <w:t>when the electronic communication becomes capable of being retrieved by the addressee at the addressee’s nominated electronic address.</w:t>
      </w:r>
    </w:p>
    <w:p w14:paraId="3CA3EB90" w14:textId="768D6871" w:rsidR="00943B4D" w:rsidRDefault="00943B4D" w:rsidP="00943B4D">
      <w:pPr>
        <w:pStyle w:val="Quote1"/>
        <w:ind w:left="1440" w:hanging="703"/>
      </w:pPr>
      <w:r>
        <w:t>(5)</w:t>
      </w:r>
      <w:r>
        <w:tab/>
      </w:r>
      <w:r w:rsidR="00CE34F8" w:rsidRPr="00E1642A">
        <w:rPr>
          <w:b/>
          <w:color w:val="000000"/>
          <w:szCs w:val="22"/>
          <w:shd w:val="clear" w:color="auto" w:fill="FFFFFF"/>
        </w:rPr>
        <w:t>It is to be assumed that an electronic communication is capable of being retrieved by the addressee when it reaches the addressee’s nominated electronic address.</w:t>
      </w:r>
    </w:p>
    <w:p w14:paraId="7790CEF2" w14:textId="7A208AB4" w:rsidR="00943B4D" w:rsidRDefault="00943B4D" w:rsidP="00943B4D">
      <w:pPr>
        <w:pStyle w:val="Quote1"/>
        <w:ind w:left="1440" w:hanging="703"/>
      </w:pPr>
      <w:r>
        <w:t>(6)</w:t>
      </w:r>
      <w:r>
        <w:tab/>
      </w:r>
      <w:r w:rsidRPr="00314BBB">
        <w:rPr>
          <w:szCs w:val="22"/>
        </w:rPr>
        <w:t>Subsection (4) applies even though the place where the information system supporting an electronic address is located may be different from the place where the electronic communication is taken to have</w:t>
      </w:r>
      <w:r>
        <w:rPr>
          <w:szCs w:val="22"/>
        </w:rPr>
        <w:t xml:space="preserve"> been received under section 105B.</w:t>
      </w:r>
    </w:p>
    <w:p w14:paraId="14807D8E" w14:textId="06BE7A08" w:rsidR="0005745C" w:rsidRPr="00385EDD" w:rsidRDefault="0005745C" w:rsidP="00385EDD">
      <w:pPr>
        <w:pStyle w:val="Quote1"/>
      </w:pPr>
      <w:r w:rsidRPr="00385EDD">
        <w:t>(Emphasis added)</w:t>
      </w:r>
    </w:p>
    <w:p w14:paraId="1FD93ABE" w14:textId="3FCC03BE" w:rsidR="00181CCF" w:rsidRDefault="009C552D" w:rsidP="0006312A">
      <w:pPr>
        <w:pStyle w:val="ParaNumbering"/>
      </w:pPr>
      <w:r>
        <w:t>Section 105B provides, relevantly:</w:t>
      </w:r>
    </w:p>
    <w:p w14:paraId="6887D187" w14:textId="2FE52374" w:rsidR="00825A5A" w:rsidRPr="0072608D" w:rsidRDefault="00825A5A" w:rsidP="00825A5A">
      <w:pPr>
        <w:pStyle w:val="Quote1"/>
        <w:rPr>
          <w:b/>
          <w:lang w:eastAsia="en-AU"/>
        </w:rPr>
      </w:pPr>
      <w:r w:rsidRPr="0072608D">
        <w:rPr>
          <w:b/>
          <w:bCs/>
          <w:szCs w:val="22"/>
        </w:rPr>
        <w:t>105B</w:t>
      </w:r>
      <w:r w:rsidRPr="0072608D">
        <w:rPr>
          <w:b/>
          <w:bCs/>
          <w:szCs w:val="22"/>
        </w:rPr>
        <w:tab/>
        <w:t>Place where an electronic communication is sent or received</w:t>
      </w:r>
    </w:p>
    <w:p w14:paraId="3D7E1F8E" w14:textId="3D0855D1" w:rsidR="00825A5A" w:rsidRDefault="00825A5A" w:rsidP="00825A5A">
      <w:pPr>
        <w:pStyle w:val="Quote1"/>
        <w:ind w:left="1440" w:hanging="703"/>
        <w:rPr>
          <w:color w:val="000000"/>
          <w:szCs w:val="22"/>
          <w:shd w:val="clear" w:color="auto" w:fill="FFFFFF"/>
        </w:rPr>
      </w:pPr>
      <w:r>
        <w:t>(1)</w:t>
      </w:r>
      <w:r>
        <w:tab/>
      </w:r>
      <w:r>
        <w:rPr>
          <w:color w:val="000000"/>
          <w:szCs w:val="22"/>
          <w:shd w:val="clear" w:color="auto" w:fill="FFFFFF"/>
        </w:rPr>
        <w:t>This section applies in relation to an electronic communication unless otherwise agreed between the originator and the addressee of the electronic communication.</w:t>
      </w:r>
    </w:p>
    <w:p w14:paraId="03D0FE02" w14:textId="7DE581D2" w:rsidR="00825A5A" w:rsidRDefault="00825A5A" w:rsidP="00825A5A">
      <w:pPr>
        <w:pStyle w:val="Quote1"/>
        <w:ind w:left="1440" w:hanging="703"/>
      </w:pPr>
      <w:r w:rsidRPr="008F6D75">
        <w:rPr>
          <w:spacing w:val="-5"/>
          <w:szCs w:val="22"/>
        </w:rPr>
        <w:lastRenderedPageBreak/>
        <w:t>…</w:t>
      </w:r>
    </w:p>
    <w:p w14:paraId="2A8D5990" w14:textId="63C3B282" w:rsidR="00825A5A" w:rsidRDefault="000E74C9" w:rsidP="00825A5A">
      <w:pPr>
        <w:pStyle w:val="Quote1"/>
        <w:ind w:left="1440" w:hanging="703"/>
      </w:pPr>
      <w:r>
        <w:t>(3</w:t>
      </w:r>
      <w:r w:rsidR="00825A5A">
        <w:t>)</w:t>
      </w:r>
      <w:r w:rsidR="00825A5A">
        <w:tab/>
      </w:r>
      <w:r w:rsidR="00825A5A" w:rsidRPr="0072608D">
        <w:rPr>
          <w:szCs w:val="22"/>
        </w:rPr>
        <w:t>An</w:t>
      </w:r>
      <w:r w:rsidR="00825A5A" w:rsidRPr="0072608D">
        <w:rPr>
          <w:spacing w:val="-4"/>
          <w:szCs w:val="22"/>
        </w:rPr>
        <w:t xml:space="preserve"> </w:t>
      </w:r>
      <w:r w:rsidR="00825A5A" w:rsidRPr="0072608D">
        <w:rPr>
          <w:szCs w:val="22"/>
        </w:rPr>
        <w:t>electronic</w:t>
      </w:r>
      <w:r w:rsidR="00825A5A" w:rsidRPr="0072608D">
        <w:rPr>
          <w:spacing w:val="-3"/>
          <w:szCs w:val="22"/>
        </w:rPr>
        <w:t xml:space="preserve"> </w:t>
      </w:r>
      <w:r w:rsidR="00825A5A" w:rsidRPr="0072608D">
        <w:rPr>
          <w:szCs w:val="22"/>
        </w:rPr>
        <w:t>communication</w:t>
      </w:r>
      <w:r w:rsidR="00825A5A" w:rsidRPr="0072608D">
        <w:rPr>
          <w:spacing w:val="-3"/>
          <w:szCs w:val="22"/>
        </w:rPr>
        <w:t xml:space="preserve"> </w:t>
      </w:r>
      <w:r w:rsidR="00825A5A" w:rsidRPr="0072608D">
        <w:rPr>
          <w:szCs w:val="22"/>
        </w:rPr>
        <w:t>is</w:t>
      </w:r>
      <w:r w:rsidR="00825A5A" w:rsidRPr="0072608D">
        <w:rPr>
          <w:spacing w:val="-4"/>
          <w:szCs w:val="22"/>
        </w:rPr>
        <w:t xml:space="preserve"> </w:t>
      </w:r>
      <w:r w:rsidR="00825A5A" w:rsidRPr="0072608D">
        <w:rPr>
          <w:szCs w:val="22"/>
        </w:rPr>
        <w:t>taken</w:t>
      </w:r>
      <w:r w:rsidR="00825A5A" w:rsidRPr="0072608D">
        <w:rPr>
          <w:spacing w:val="-3"/>
          <w:szCs w:val="22"/>
        </w:rPr>
        <w:t xml:space="preserve"> </w:t>
      </w:r>
      <w:r w:rsidR="00825A5A" w:rsidRPr="0072608D">
        <w:rPr>
          <w:szCs w:val="22"/>
        </w:rPr>
        <w:t>to</w:t>
      </w:r>
      <w:r w:rsidR="00825A5A" w:rsidRPr="0072608D">
        <w:rPr>
          <w:spacing w:val="-3"/>
          <w:szCs w:val="22"/>
        </w:rPr>
        <w:t xml:space="preserve"> </w:t>
      </w:r>
      <w:r w:rsidR="00825A5A" w:rsidRPr="0072608D">
        <w:rPr>
          <w:szCs w:val="22"/>
        </w:rPr>
        <w:t>have</w:t>
      </w:r>
      <w:r w:rsidR="00825A5A" w:rsidRPr="0072608D">
        <w:rPr>
          <w:spacing w:val="-3"/>
          <w:szCs w:val="22"/>
        </w:rPr>
        <w:t xml:space="preserve"> </w:t>
      </w:r>
      <w:r w:rsidR="00825A5A" w:rsidRPr="0072608D">
        <w:rPr>
          <w:szCs w:val="22"/>
        </w:rPr>
        <w:t>been</w:t>
      </w:r>
      <w:r w:rsidR="00825A5A" w:rsidRPr="0072608D">
        <w:rPr>
          <w:spacing w:val="-3"/>
          <w:szCs w:val="22"/>
        </w:rPr>
        <w:t xml:space="preserve"> </w:t>
      </w:r>
      <w:r w:rsidR="00825A5A">
        <w:rPr>
          <w:spacing w:val="-2"/>
          <w:szCs w:val="22"/>
        </w:rPr>
        <w:t>received</w:t>
      </w:r>
      <w:r w:rsidR="00825A5A">
        <w:rPr>
          <w:spacing w:val="-4"/>
        </w:rPr>
        <w:t>:</w:t>
      </w:r>
    </w:p>
    <w:p w14:paraId="0BB1AE06" w14:textId="6FD384FE" w:rsidR="00825A5A" w:rsidRDefault="00825A5A" w:rsidP="000E2CD7">
      <w:pPr>
        <w:pStyle w:val="Quote2"/>
        <w:ind w:left="2160" w:hanging="720"/>
      </w:pPr>
      <w:r>
        <w:t>(a)</w:t>
      </w:r>
      <w:r>
        <w:tab/>
      </w:r>
      <w:r w:rsidR="00F276C5">
        <w:rPr>
          <w:shd w:val="clear" w:color="auto" w:fill="FFFFFF"/>
        </w:rPr>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F523660" w14:textId="6EC78521" w:rsidR="00F467DA" w:rsidRDefault="001F4FB5" w:rsidP="000E2CD7">
      <w:pPr>
        <w:pStyle w:val="Quote2"/>
        <w:ind w:left="2160" w:hanging="720"/>
        <w:rPr>
          <w:shd w:val="clear" w:color="auto" w:fill="FFFFFF"/>
        </w:rPr>
      </w:pPr>
      <w:r>
        <w:t>(b</w:t>
      </w:r>
      <w:r w:rsidR="00F467DA">
        <w:t>)</w:t>
      </w:r>
      <w:r w:rsidR="00F467DA">
        <w:tab/>
      </w:r>
      <w:proofErr w:type="gramStart"/>
      <w:r w:rsidR="00F276C5">
        <w:rPr>
          <w:shd w:val="clear" w:color="auto" w:fill="FFFFFF"/>
        </w:rPr>
        <w:t>if</w:t>
      </w:r>
      <w:proofErr w:type="gramEnd"/>
      <w:r w:rsidR="00F276C5">
        <w:rPr>
          <w:shd w:val="clear" w:color="auto" w:fill="FFFFFF"/>
        </w:rPr>
        <w:t xml:space="preserve"> the addressee has a registered office and paragraph (a) does not apply—at the registered office of the addressee; and</w:t>
      </w:r>
    </w:p>
    <w:p w14:paraId="65E02A69" w14:textId="09D99BDB" w:rsidR="004D057B" w:rsidRDefault="004D057B" w:rsidP="000E2CD7">
      <w:pPr>
        <w:pStyle w:val="Quote2"/>
        <w:ind w:left="2160" w:hanging="720"/>
        <w:rPr>
          <w:spacing w:val="-4"/>
        </w:rPr>
      </w:pPr>
      <w:r>
        <w:t>(</w:t>
      </w:r>
      <w:proofErr w:type="spellStart"/>
      <w:r>
        <w:t>b</w:t>
      </w:r>
      <w:r w:rsidR="004950C8">
        <w:t>a</w:t>
      </w:r>
      <w:proofErr w:type="spellEnd"/>
      <w:r>
        <w:t>)</w:t>
      </w:r>
      <w:r>
        <w:tab/>
      </w:r>
      <w:r w:rsidR="00F276C5">
        <w:rPr>
          <w:shd w:val="clear" w:color="auto" w:fill="FFFFFF"/>
        </w:rPr>
        <w:t>if the addressee has a principal place of business in Australia and neither paragraph (a) nor (b) applies—the address of the addressee’s principal place of business in Australia; and</w:t>
      </w:r>
    </w:p>
    <w:p w14:paraId="466D033C" w14:textId="5E631F2E" w:rsidR="003D60C2" w:rsidRDefault="00886E96" w:rsidP="000E2CD7">
      <w:pPr>
        <w:pStyle w:val="Quote2"/>
        <w:ind w:left="2160" w:hanging="720"/>
        <w:rPr>
          <w:spacing w:val="-2"/>
        </w:rPr>
      </w:pPr>
      <w:r>
        <w:t>(c</w:t>
      </w:r>
      <w:r w:rsidR="003D60C2">
        <w:t>)</w:t>
      </w:r>
      <w:r w:rsidR="003D60C2">
        <w:tab/>
      </w:r>
      <w:proofErr w:type="gramStart"/>
      <w:r w:rsidR="003D60C2">
        <w:rPr>
          <w:shd w:val="clear" w:color="auto" w:fill="FFFFFF"/>
        </w:rPr>
        <w:t>otherwise</w:t>
      </w:r>
      <w:proofErr w:type="gramEnd"/>
      <w:r w:rsidR="003D60C2" w:rsidRPr="001250F2">
        <w:rPr>
          <w:spacing w:val="-2"/>
        </w:rPr>
        <w:t>:</w:t>
      </w:r>
    </w:p>
    <w:p w14:paraId="5F21E33F" w14:textId="09137FCF" w:rsidR="003D60C2" w:rsidRDefault="003D60C2" w:rsidP="000E2CD7">
      <w:pPr>
        <w:pStyle w:val="Quote3"/>
        <w:ind w:left="2880" w:hanging="720"/>
      </w:pPr>
      <w:r>
        <w:t>(</w:t>
      </w:r>
      <w:proofErr w:type="spellStart"/>
      <w:r>
        <w:t>i</w:t>
      </w:r>
      <w:proofErr w:type="spellEnd"/>
      <w:r>
        <w:t>)</w:t>
      </w:r>
      <w:r>
        <w:tab/>
      </w:r>
      <w:proofErr w:type="gramStart"/>
      <w:r>
        <w:rPr>
          <w:shd w:val="clear" w:color="auto" w:fill="FFFFFF"/>
        </w:rPr>
        <w:t>at</w:t>
      </w:r>
      <w:proofErr w:type="gramEnd"/>
      <w:r>
        <w:rPr>
          <w:shd w:val="clear" w:color="auto" w:fill="FFFFFF"/>
        </w:rPr>
        <w:t xml:space="preserve"> the most recent physical address nominated by the addressee to the originator; or</w:t>
      </w:r>
    </w:p>
    <w:p w14:paraId="7E74B029" w14:textId="24B62751" w:rsidR="00AD6636" w:rsidRDefault="003D60C2" w:rsidP="000E2CD7">
      <w:pPr>
        <w:pStyle w:val="Quote3"/>
        <w:ind w:left="2880" w:hanging="720"/>
      </w:pPr>
      <w:r>
        <w:t>(ii)</w:t>
      </w:r>
      <w:r>
        <w:tab/>
      </w:r>
      <w:proofErr w:type="gramStart"/>
      <w:r>
        <w:rPr>
          <w:shd w:val="clear" w:color="auto" w:fill="FFFFFF"/>
        </w:rPr>
        <w:t>if</w:t>
      </w:r>
      <w:proofErr w:type="gramEnd"/>
      <w:r>
        <w:rPr>
          <w:shd w:val="clear" w:color="auto" w:fill="FFFFFF"/>
        </w:rPr>
        <w:t xml:space="preserve"> the addressee has not nominated a physical address as mentioned in subparagraph (</w:t>
      </w:r>
      <w:proofErr w:type="spellStart"/>
      <w:r>
        <w:rPr>
          <w:shd w:val="clear" w:color="auto" w:fill="FFFFFF"/>
        </w:rPr>
        <w:t>i</w:t>
      </w:r>
      <w:proofErr w:type="spellEnd"/>
      <w:r>
        <w:rPr>
          <w:shd w:val="clear" w:color="auto" w:fill="FFFFFF"/>
        </w:rPr>
        <w:t>)—at the addressee’s usual residential address in Australia.</w:t>
      </w:r>
    </w:p>
    <w:p w14:paraId="349A3FD1" w14:textId="41982DD2" w:rsidR="00573124" w:rsidRPr="0006312A" w:rsidRDefault="0006312A">
      <w:pPr>
        <w:pStyle w:val="ParaNumbering"/>
      </w:pPr>
      <w:r w:rsidRPr="0006312A">
        <w:t xml:space="preserve">Section 161 of the </w:t>
      </w:r>
      <w:r w:rsidRPr="0006312A">
        <w:rPr>
          <w:i/>
          <w:iCs/>
        </w:rPr>
        <w:t>Evidence Act 1995</w:t>
      </w:r>
      <w:r w:rsidRPr="0006312A">
        <w:t xml:space="preserve"> (</w:t>
      </w:r>
      <w:proofErr w:type="spellStart"/>
      <w:r w:rsidRPr="0006312A">
        <w:t>Cth</w:t>
      </w:r>
      <w:proofErr w:type="spellEnd"/>
      <w:r w:rsidRPr="0006312A">
        <w:t>) also creates a rebuttable presumption whereby</w:t>
      </w:r>
      <w:r w:rsidRPr="0006312A">
        <w:rPr>
          <w:spacing w:val="-2"/>
        </w:rPr>
        <w:t xml:space="preserve"> </w:t>
      </w:r>
      <w:r w:rsidRPr="0006312A">
        <w:t>an electronic communication of which</w:t>
      </w:r>
      <w:r w:rsidRPr="0006312A">
        <w:rPr>
          <w:spacing w:val="-2"/>
        </w:rPr>
        <w:t xml:space="preserve"> </w:t>
      </w:r>
      <w:r w:rsidRPr="0006312A">
        <w:t>a record is tendered was sent or</w:t>
      </w:r>
      <w:r w:rsidRPr="0006312A">
        <w:rPr>
          <w:spacing w:val="-1"/>
        </w:rPr>
        <w:t xml:space="preserve"> </w:t>
      </w:r>
      <w:r w:rsidRPr="0006312A">
        <w:t>made in the form shown in the record, was sent or made by a person appearing from the record to have sent it, was sent or made on the day and at the time it appears to have been sent</w:t>
      </w:r>
      <w:r w:rsidR="008438FA">
        <w:t>,</w:t>
      </w:r>
      <w:r w:rsidRPr="0006312A">
        <w:t xml:space="preserve"> and was received at the destination to which it appears to have been sent at the</w:t>
      </w:r>
      <w:r w:rsidRPr="0006312A">
        <w:rPr>
          <w:spacing w:val="-3"/>
        </w:rPr>
        <w:t xml:space="preserve"> </w:t>
      </w:r>
      <w:r w:rsidRPr="0006312A">
        <w:t>time</w:t>
      </w:r>
      <w:r w:rsidRPr="0006312A">
        <w:rPr>
          <w:spacing w:val="-3"/>
        </w:rPr>
        <w:t xml:space="preserve"> </w:t>
      </w:r>
      <w:r w:rsidRPr="0006312A">
        <w:t>the</w:t>
      </w:r>
      <w:r w:rsidRPr="0006312A">
        <w:rPr>
          <w:spacing w:val="-3"/>
        </w:rPr>
        <w:t xml:space="preserve"> </w:t>
      </w:r>
      <w:r w:rsidRPr="0006312A">
        <w:t>sending</w:t>
      </w:r>
      <w:r w:rsidRPr="0006312A">
        <w:rPr>
          <w:spacing w:val="-6"/>
        </w:rPr>
        <w:t xml:space="preserve"> </w:t>
      </w:r>
      <w:r w:rsidRPr="0006312A">
        <w:t>of</w:t>
      </w:r>
      <w:r w:rsidRPr="0006312A">
        <w:rPr>
          <w:spacing w:val="-3"/>
        </w:rPr>
        <w:t xml:space="preserve"> </w:t>
      </w:r>
      <w:r w:rsidRPr="0006312A">
        <w:t>the</w:t>
      </w:r>
      <w:r w:rsidRPr="0006312A">
        <w:rPr>
          <w:spacing w:val="-6"/>
        </w:rPr>
        <w:t xml:space="preserve"> </w:t>
      </w:r>
      <w:r w:rsidRPr="0006312A">
        <w:t>communication</w:t>
      </w:r>
      <w:r w:rsidRPr="0006312A">
        <w:rPr>
          <w:spacing w:val="-4"/>
        </w:rPr>
        <w:t xml:space="preserve"> </w:t>
      </w:r>
      <w:r w:rsidRPr="0006312A">
        <w:t>concluded</w:t>
      </w:r>
      <w:r w:rsidRPr="0006312A">
        <w:rPr>
          <w:spacing w:val="-4"/>
        </w:rPr>
        <w:t xml:space="preserve"> </w:t>
      </w:r>
      <w:r w:rsidRPr="0006312A">
        <w:t>as</w:t>
      </w:r>
      <w:r w:rsidRPr="0006312A">
        <w:rPr>
          <w:spacing w:val="-3"/>
        </w:rPr>
        <w:t xml:space="preserve"> </w:t>
      </w:r>
      <w:r w:rsidRPr="0006312A">
        <w:t>shown</w:t>
      </w:r>
      <w:r w:rsidRPr="0006312A">
        <w:rPr>
          <w:spacing w:val="-4"/>
        </w:rPr>
        <w:t xml:space="preserve"> </w:t>
      </w:r>
      <w:r w:rsidRPr="0006312A">
        <w:t>in</w:t>
      </w:r>
      <w:r w:rsidRPr="0006312A">
        <w:rPr>
          <w:spacing w:val="-6"/>
        </w:rPr>
        <w:t xml:space="preserve"> </w:t>
      </w:r>
      <w:r w:rsidRPr="0006312A">
        <w:t>the</w:t>
      </w:r>
      <w:r w:rsidRPr="0006312A">
        <w:rPr>
          <w:spacing w:val="-3"/>
        </w:rPr>
        <w:t xml:space="preserve"> </w:t>
      </w:r>
      <w:r w:rsidRPr="0006312A">
        <w:t>record:</w:t>
      </w:r>
      <w:r w:rsidRPr="0006312A">
        <w:rPr>
          <w:spacing w:val="-3"/>
        </w:rPr>
        <w:t xml:space="preserve"> </w:t>
      </w:r>
      <w:proofErr w:type="spellStart"/>
      <w:r w:rsidRPr="0006312A">
        <w:rPr>
          <w:i/>
        </w:rPr>
        <w:t>Miletich</w:t>
      </w:r>
      <w:proofErr w:type="spellEnd"/>
      <w:r w:rsidRPr="0006312A">
        <w:rPr>
          <w:i/>
        </w:rPr>
        <w:t xml:space="preserve"> v </w:t>
      </w:r>
      <w:proofErr w:type="spellStart"/>
      <w:r w:rsidRPr="0006312A">
        <w:rPr>
          <w:i/>
        </w:rPr>
        <w:t>Murchie</w:t>
      </w:r>
      <w:proofErr w:type="spellEnd"/>
      <w:r w:rsidRPr="0006312A">
        <w:rPr>
          <w:i/>
        </w:rPr>
        <w:t xml:space="preserve"> </w:t>
      </w:r>
      <w:r w:rsidRPr="0006312A">
        <w:t xml:space="preserve">[2012] FCA 1013; 297 ALR 566 </w:t>
      </w:r>
      <w:r>
        <w:t xml:space="preserve">at </w:t>
      </w:r>
      <w:r w:rsidRPr="0006312A">
        <w:t>[100]</w:t>
      </w:r>
      <w:r>
        <w:t xml:space="preserve">; </w:t>
      </w:r>
      <w:proofErr w:type="spellStart"/>
      <w:r w:rsidRPr="00BB144B">
        <w:rPr>
          <w:i/>
          <w:iCs/>
        </w:rPr>
        <w:t>Bioac</w:t>
      </w:r>
      <w:r w:rsidR="00BB144B" w:rsidRPr="00BB144B">
        <w:rPr>
          <w:i/>
          <w:iCs/>
        </w:rPr>
        <w:t>t</w:t>
      </w:r>
      <w:r w:rsidRPr="00BB144B">
        <w:rPr>
          <w:i/>
          <w:iCs/>
        </w:rPr>
        <w:t>ion</w:t>
      </w:r>
      <w:proofErr w:type="spellEnd"/>
      <w:r>
        <w:t xml:space="preserve"> at [55</w:t>
      </w:r>
      <w:r w:rsidR="00BB144B">
        <w:t>].</w:t>
      </w:r>
      <w:r w:rsidRPr="0006312A">
        <w:t xml:space="preserve"> </w:t>
      </w:r>
    </w:p>
    <w:p w14:paraId="67FE5BF5" w14:textId="65DF1561" w:rsidR="00C8514E" w:rsidRDefault="005F1181" w:rsidP="00C8514E">
      <w:pPr>
        <w:pStyle w:val="ParaNumbering"/>
      </w:pPr>
      <w:r>
        <w:t xml:space="preserve">As Cheeseman J explained </w:t>
      </w:r>
      <w:r w:rsidR="00E17685">
        <w:t>(</w:t>
      </w:r>
      <w:proofErr w:type="spellStart"/>
      <w:r w:rsidR="00E17685" w:rsidRPr="00E17685">
        <w:rPr>
          <w:i/>
          <w:iCs/>
        </w:rPr>
        <w:t>Bioaction</w:t>
      </w:r>
      <w:proofErr w:type="spellEnd"/>
      <w:r w:rsidR="00E17685">
        <w:t xml:space="preserve"> at [49]</w:t>
      </w:r>
      <w:r w:rsidR="0010606C">
        <w:t>; see also</w:t>
      </w:r>
      <w:r w:rsidR="005B6D81">
        <w:t xml:space="preserve"> </w:t>
      </w:r>
      <w:r w:rsidR="00F84EC7">
        <w:rPr>
          <w:i/>
        </w:rPr>
        <w:t xml:space="preserve">In the matter of </w:t>
      </w:r>
      <w:r w:rsidR="005B6D81" w:rsidRPr="005B6D81">
        <w:rPr>
          <w:i/>
          <w:iCs/>
        </w:rPr>
        <w:t>Black Tie Holdings Pty Ltd</w:t>
      </w:r>
      <w:r w:rsidR="005B6D81">
        <w:t xml:space="preserve"> [2022] NSWSC 781</w:t>
      </w:r>
      <w:r w:rsidR="00603721">
        <w:t>)</w:t>
      </w:r>
      <w:r w:rsidR="00E17685">
        <w:t>, a</w:t>
      </w:r>
      <w:r w:rsidR="00C8514E">
        <w:t xml:space="preserve">t the same time as s 600G was amended the definitions of “document”, </w:t>
      </w:r>
      <w:r w:rsidR="00C8514E" w:rsidRPr="00906D41">
        <w:t>“electronic communication”</w:t>
      </w:r>
      <w:r w:rsidR="00C8514E">
        <w:t xml:space="preserve"> and “nominated electronic address” in s 9 of Chapter 1, Part 1.2 (Interpretation) of the </w:t>
      </w:r>
      <w:r w:rsidR="00C8514E" w:rsidRPr="00E17685">
        <w:rPr>
          <w:i/>
          <w:iCs/>
        </w:rPr>
        <w:t>Corporations Act</w:t>
      </w:r>
      <w:r w:rsidR="00C8514E">
        <w:t xml:space="preserve"> were </w:t>
      </w:r>
      <w:r w:rsidR="008438FA">
        <w:t xml:space="preserve">also </w:t>
      </w:r>
      <w:r w:rsidR="00C8514E">
        <w:t>amended:</w:t>
      </w:r>
    </w:p>
    <w:p w14:paraId="241AA40A" w14:textId="77777777" w:rsidR="00C8514E" w:rsidRPr="00C94A1A" w:rsidRDefault="00C8514E" w:rsidP="00C8514E">
      <w:pPr>
        <w:pStyle w:val="Quote1"/>
        <w:rPr>
          <w:b/>
        </w:rPr>
      </w:pPr>
      <w:r>
        <w:rPr>
          <w:b/>
        </w:rPr>
        <w:t>Dictionary</w:t>
      </w:r>
    </w:p>
    <w:p w14:paraId="2D13EBE6" w14:textId="77777777" w:rsidR="00C8514E" w:rsidRDefault="00C8514E" w:rsidP="00C8514E">
      <w:pPr>
        <w:pStyle w:val="Quote1"/>
      </w:pPr>
      <w:r w:rsidRPr="00C94A1A">
        <w:t>Unless the contrary intention appears:</w:t>
      </w:r>
    </w:p>
    <w:p w14:paraId="704DAF58" w14:textId="77777777" w:rsidR="00C8514E" w:rsidRPr="00C94A1A" w:rsidRDefault="00C8514E" w:rsidP="00C8514E">
      <w:pPr>
        <w:pStyle w:val="Quote1"/>
      </w:pPr>
      <w:r>
        <w:t>…</w:t>
      </w:r>
    </w:p>
    <w:p w14:paraId="6F4CA62C" w14:textId="77777777" w:rsidR="00C8514E" w:rsidRDefault="00C8514E" w:rsidP="00C8514E">
      <w:pPr>
        <w:pStyle w:val="Quote1"/>
      </w:pPr>
      <w:proofErr w:type="gramStart"/>
      <w:r w:rsidRPr="00C94A1A">
        <w:rPr>
          <w:b/>
          <w:i/>
        </w:rPr>
        <w:t>document</w:t>
      </w:r>
      <w:proofErr w:type="gramEnd"/>
      <w:r>
        <w:t xml:space="preserve"> means any record of information, and includes:</w:t>
      </w:r>
    </w:p>
    <w:p w14:paraId="6A8FD2B4" w14:textId="77777777" w:rsidR="00C8514E" w:rsidRDefault="00C8514E" w:rsidP="00C8514E">
      <w:pPr>
        <w:pStyle w:val="Quote1"/>
      </w:pPr>
      <w:r>
        <w:t>…</w:t>
      </w:r>
    </w:p>
    <w:p w14:paraId="2A9332D0" w14:textId="77777777" w:rsidR="00C8514E" w:rsidRDefault="00C8514E" w:rsidP="00C8514E">
      <w:pPr>
        <w:pStyle w:val="Quote1"/>
        <w:ind w:left="1437" w:hanging="700"/>
      </w:pPr>
      <w:r>
        <w:t xml:space="preserve">(c)  </w:t>
      </w:r>
      <w:r>
        <w:tab/>
      </w:r>
      <w:proofErr w:type="gramStart"/>
      <w:r>
        <w:t>anything</w:t>
      </w:r>
      <w:proofErr w:type="gramEnd"/>
      <w:r>
        <w:t xml:space="preserve"> from which sounds, images or writings can be reproduced with or without the aid of anything else; …</w:t>
      </w:r>
    </w:p>
    <w:p w14:paraId="6C110CDB" w14:textId="77777777" w:rsidR="00C8514E" w:rsidRDefault="00C8514E" w:rsidP="00C8514E">
      <w:pPr>
        <w:pStyle w:val="Quote1"/>
      </w:pPr>
      <w:proofErr w:type="gramStart"/>
      <w:r w:rsidRPr="00806A88">
        <w:rPr>
          <w:b/>
          <w:i/>
        </w:rPr>
        <w:t>electronic</w:t>
      </w:r>
      <w:proofErr w:type="gramEnd"/>
      <w:r w:rsidRPr="00806A88">
        <w:rPr>
          <w:b/>
          <w:i/>
        </w:rPr>
        <w:t xml:space="preserve"> communication</w:t>
      </w:r>
      <w:r>
        <w:t xml:space="preserve"> means:</w:t>
      </w:r>
    </w:p>
    <w:p w14:paraId="65272FB5" w14:textId="77777777" w:rsidR="00C8514E" w:rsidRDefault="00C8514E" w:rsidP="00C8514E">
      <w:pPr>
        <w:pStyle w:val="Quote1"/>
        <w:ind w:left="1440" w:hanging="703"/>
      </w:pPr>
      <w:r>
        <w:lastRenderedPageBreak/>
        <w:t>(a)</w:t>
      </w:r>
      <w:r>
        <w:tab/>
      </w:r>
      <w:proofErr w:type="gramStart"/>
      <w:r>
        <w:t>a</w:t>
      </w:r>
      <w:proofErr w:type="gramEnd"/>
      <w:r>
        <w:t xml:space="preserve"> communication of information in the form of data, text or images by means of guided and/or unguided electromagnetic energy; or</w:t>
      </w:r>
    </w:p>
    <w:p w14:paraId="2B5E203A" w14:textId="77777777" w:rsidR="00C8514E" w:rsidRDefault="00C8514E" w:rsidP="00C8514E">
      <w:pPr>
        <w:pStyle w:val="Quote1"/>
        <w:ind w:left="1440" w:hanging="703"/>
      </w:pPr>
      <w:r>
        <w:t>(b)</w:t>
      </w:r>
      <w:r>
        <w:tab/>
      </w:r>
      <w:proofErr w:type="gramStart"/>
      <w:r>
        <w:t>a</w:t>
      </w:r>
      <w:proofErr w:type="gramEnd"/>
      <w:r>
        <w:t xml:space="preserve"> communication of information in the form of speech by means of guided and/or unguided electromagnetic energy, where the speech is processed at its destination by an automated voice recognition system.</w:t>
      </w:r>
    </w:p>
    <w:p w14:paraId="55071302" w14:textId="77777777" w:rsidR="00C8514E" w:rsidRDefault="00C8514E" w:rsidP="00C8514E">
      <w:pPr>
        <w:pStyle w:val="Quote1"/>
      </w:pPr>
      <w:proofErr w:type="gramStart"/>
      <w:r>
        <w:rPr>
          <w:b/>
          <w:i/>
        </w:rPr>
        <w:t>nominated</w:t>
      </w:r>
      <w:proofErr w:type="gramEnd"/>
      <w:r>
        <w:rPr>
          <w:b/>
          <w:i/>
        </w:rPr>
        <w:t xml:space="preserve"> </w:t>
      </w:r>
      <w:r w:rsidRPr="00806A88">
        <w:rPr>
          <w:b/>
          <w:i/>
        </w:rPr>
        <w:t>electronic address</w:t>
      </w:r>
      <w:r>
        <w:t>, in relation to the addressee of an electronic communication, means:</w:t>
      </w:r>
    </w:p>
    <w:p w14:paraId="0B710793" w14:textId="76C204C8" w:rsidR="00C8514E" w:rsidRDefault="00C8514E" w:rsidP="00C8514E">
      <w:pPr>
        <w:pStyle w:val="Quote1"/>
        <w:ind w:left="1440" w:hanging="703"/>
      </w:pPr>
      <w:r>
        <w:t>(</w:t>
      </w:r>
      <w:proofErr w:type="gramStart"/>
      <w:r>
        <w:t>a</w:t>
      </w:r>
      <w:proofErr w:type="gramEnd"/>
      <w:r>
        <w:t>)</w:t>
      </w:r>
      <w:r>
        <w:tab/>
        <w:t>the most recent electronic address nominated by the addressee to the originator of the electronic communication as the electronic address for receiving electronic communications; or</w:t>
      </w:r>
    </w:p>
    <w:p w14:paraId="0A3C4FB3" w14:textId="77777777" w:rsidR="00C8514E" w:rsidRDefault="00C8514E" w:rsidP="00C8514E">
      <w:pPr>
        <w:pStyle w:val="Quote1"/>
        <w:ind w:left="1440" w:hanging="703"/>
      </w:pPr>
      <w:r>
        <w:t>(b)</w:t>
      </w:r>
      <w:r>
        <w:tab/>
      </w:r>
      <w:proofErr w:type="gramStart"/>
      <w:r>
        <w:t>if</w:t>
      </w:r>
      <w:proofErr w:type="gramEnd"/>
      <w:r>
        <w:t>:</w:t>
      </w:r>
    </w:p>
    <w:p w14:paraId="46CA2978" w14:textId="0C3E6EE3" w:rsidR="00C8514E" w:rsidRDefault="00C8514E" w:rsidP="000E2CD7">
      <w:pPr>
        <w:pStyle w:val="Quote2"/>
        <w:ind w:left="2160" w:hanging="720"/>
      </w:pPr>
      <w:r>
        <w:t>(</w:t>
      </w:r>
      <w:proofErr w:type="spellStart"/>
      <w:r>
        <w:t>i</w:t>
      </w:r>
      <w:proofErr w:type="spellEnd"/>
      <w:r>
        <w:t>)</w:t>
      </w:r>
      <w:r>
        <w:tab/>
        <w:t>the addressee has nominated an electronic address as mentioned in paragraph (a) and the originator knows, or there are reasonable grounds to believe, that the address is not a current electronic address for the addressee; or</w:t>
      </w:r>
    </w:p>
    <w:p w14:paraId="54A5B736" w14:textId="77777777" w:rsidR="00C8514E" w:rsidRDefault="00C8514E" w:rsidP="000E2CD7">
      <w:pPr>
        <w:pStyle w:val="Quote2"/>
        <w:ind w:left="2160" w:hanging="720"/>
      </w:pPr>
      <w:r>
        <w:t>(ii)</w:t>
      </w:r>
      <w:r>
        <w:tab/>
      </w:r>
      <w:proofErr w:type="gramStart"/>
      <w:r>
        <w:t>the</w:t>
      </w:r>
      <w:proofErr w:type="gramEnd"/>
      <w:r>
        <w:t xml:space="preserve"> addressee has not nominated an electronic address as mentioned in paragraph (a);</w:t>
      </w:r>
    </w:p>
    <w:p w14:paraId="74726B8E" w14:textId="5230A240" w:rsidR="00C8514E" w:rsidRDefault="00C8514E" w:rsidP="00E1642A">
      <w:pPr>
        <w:pStyle w:val="Quote2"/>
      </w:pPr>
      <w:proofErr w:type="gramStart"/>
      <w:r>
        <w:t>an</w:t>
      </w:r>
      <w:proofErr w:type="gramEnd"/>
      <w:r>
        <w:t xml:space="preserve"> electronic address that the originator believes on reasonable grounds to be a current electronic address for the addressee for receiving electronic communications.</w:t>
      </w:r>
    </w:p>
    <w:p w14:paraId="649517BA" w14:textId="4BAD256A" w:rsidR="00C8514E" w:rsidRDefault="00603721" w:rsidP="00C8514E">
      <w:pPr>
        <w:pStyle w:val="ParaNumbering"/>
      </w:pPr>
      <w:r>
        <w:t>Further, as Cheeseman J observed (</w:t>
      </w:r>
      <w:proofErr w:type="spellStart"/>
      <w:r w:rsidRPr="009D0233">
        <w:rPr>
          <w:i/>
          <w:iCs/>
        </w:rPr>
        <w:t>Bioaction</w:t>
      </w:r>
      <w:proofErr w:type="spellEnd"/>
      <w:r>
        <w:t xml:space="preserve"> </w:t>
      </w:r>
      <w:r w:rsidR="00483416">
        <w:t>at [50]</w:t>
      </w:r>
      <w:r w:rsidR="009D0233">
        <w:t>)</w:t>
      </w:r>
      <w:r w:rsidR="00483416">
        <w:t>, s</w:t>
      </w:r>
      <w:r w:rsidR="00C8514E">
        <w:t xml:space="preserve"> 600G applies to any document (very broadly defined in s 9) that is required or permitted to be given to a person under Chapter 5 of the </w:t>
      </w:r>
      <w:r w:rsidR="00C8514E" w:rsidRPr="00483416">
        <w:rPr>
          <w:i/>
          <w:iCs/>
        </w:rPr>
        <w:t>Corporations Act</w:t>
      </w:r>
      <w:r w:rsidR="00C8514E">
        <w:t>.</w:t>
      </w:r>
      <w:r w:rsidR="00483416">
        <w:t xml:space="preserve"> That necessarily includes </w:t>
      </w:r>
      <w:r w:rsidR="000E52D4">
        <w:t xml:space="preserve">a statutory demand </w:t>
      </w:r>
      <w:r w:rsidR="008F4986">
        <w:t xml:space="preserve">that is permitted to be given by s 459E, which is contained within Chapter 5, Part 5.4, </w:t>
      </w:r>
      <w:proofErr w:type="gramStart"/>
      <w:r w:rsidR="008F4986">
        <w:t>Div</w:t>
      </w:r>
      <w:r w:rsidR="008438FA">
        <w:t>ision</w:t>
      </w:r>
      <w:proofErr w:type="gramEnd"/>
      <w:r w:rsidR="008F4986">
        <w:t xml:space="preserve"> 2 of the </w:t>
      </w:r>
      <w:r w:rsidR="008F4986" w:rsidRPr="008F4986">
        <w:rPr>
          <w:i/>
          <w:iCs/>
        </w:rPr>
        <w:t>Corporations Act</w:t>
      </w:r>
      <w:r w:rsidR="008F4986">
        <w:t>.</w:t>
      </w:r>
    </w:p>
    <w:p w14:paraId="4C813A16" w14:textId="4C00B0EE" w:rsidR="008438FA" w:rsidRDefault="008438FA" w:rsidP="00C8514E">
      <w:pPr>
        <w:pStyle w:val="ParaNumbering"/>
      </w:pPr>
      <w:r>
        <w:t>In the present circumstances, subject to the answer to the question posed next, the statutory demand could be served by email.</w:t>
      </w:r>
    </w:p>
    <w:p w14:paraId="2337FCFE" w14:textId="5AF4E5FB" w:rsidR="005B59AE" w:rsidRDefault="005B59AE" w:rsidP="008438FA">
      <w:pPr>
        <w:pStyle w:val="Heading3"/>
      </w:pPr>
      <w:r>
        <w:t>Was the email received</w:t>
      </w:r>
      <w:r w:rsidR="000A5D48">
        <w:t xml:space="preserve"> at the Applicant’s nominated electronic address?</w:t>
      </w:r>
    </w:p>
    <w:p w14:paraId="1F9A1A29" w14:textId="1831BC17" w:rsidR="005357EB" w:rsidRDefault="00854164" w:rsidP="00C8514E">
      <w:pPr>
        <w:pStyle w:val="ParaNumbering"/>
      </w:pPr>
      <w:r>
        <w:t xml:space="preserve">The effect of s </w:t>
      </w:r>
      <w:r w:rsidR="00C8514E">
        <w:t xml:space="preserve">600G </w:t>
      </w:r>
      <w:r>
        <w:t>was described by Cheeseman J in this way (</w:t>
      </w:r>
      <w:proofErr w:type="spellStart"/>
      <w:r w:rsidRPr="00A11952">
        <w:rPr>
          <w:i/>
          <w:iCs/>
        </w:rPr>
        <w:t>Bioaction</w:t>
      </w:r>
      <w:proofErr w:type="spellEnd"/>
      <w:r w:rsidRPr="00A11952">
        <w:rPr>
          <w:i/>
          <w:iCs/>
        </w:rPr>
        <w:t xml:space="preserve"> </w:t>
      </w:r>
      <w:r w:rsidR="005357EB">
        <w:t>at [51]</w:t>
      </w:r>
      <w:r w:rsidR="009C552D">
        <w:t>)</w:t>
      </w:r>
      <w:r w:rsidR="005357EB">
        <w:t>:</w:t>
      </w:r>
    </w:p>
    <w:p w14:paraId="1108C119" w14:textId="5828A79C" w:rsidR="00CA0164" w:rsidRPr="000239F2" w:rsidRDefault="00CA0164" w:rsidP="00CA0164">
      <w:pPr>
        <w:pStyle w:val="Quote1"/>
        <w:ind w:left="1440" w:hanging="703"/>
      </w:pPr>
      <w:r>
        <w:t>51</w:t>
      </w:r>
      <w:r w:rsidRPr="000239F2">
        <w:tab/>
      </w:r>
      <w:r w:rsidRPr="0072608D">
        <w:rPr>
          <w:szCs w:val="22"/>
        </w:rPr>
        <w:t xml:space="preserve">Section 600G authorises a document to be given to the recipient by means of an electronic communication (as newly defined in s 9). The giving of the document by electronic communication may be achieved by giving the recipient sufficient information to allow the recipient to access the document electronically: s </w:t>
      </w:r>
      <w:proofErr w:type="gramStart"/>
      <w:r w:rsidRPr="0072608D">
        <w:rPr>
          <w:szCs w:val="22"/>
        </w:rPr>
        <w:t>600G(</w:t>
      </w:r>
      <w:proofErr w:type="gramEnd"/>
      <w:r w:rsidRPr="0072608D">
        <w:rPr>
          <w:szCs w:val="22"/>
        </w:rPr>
        <w:t xml:space="preserve">3). However, electronic communication may only be used if, at the time, it is reasonable to expect the document would be readily accessible so as to be usable for subsequent reference and there is a nominated electronic address (as defined) in relation to the recipient. The definition of nominated electronic address extends to cover the situation where the addressee has not in fact nominated such an address. In that case, the nominated electronic address will be an electronic address which the originator believes on reasonable grounds is a current electronic address for the addressee for receiving electronic communications, even though the addressee has not </w:t>
      </w:r>
      <w:r w:rsidRPr="0072608D">
        <w:rPr>
          <w:szCs w:val="22"/>
        </w:rPr>
        <w:lastRenderedPageBreak/>
        <w:t>nominated that address, or indeed, any address.</w:t>
      </w:r>
    </w:p>
    <w:p w14:paraId="16FE780F" w14:textId="7EB7C853" w:rsidR="00D83369" w:rsidRDefault="00D83369">
      <w:pPr>
        <w:pStyle w:val="ParaNumbering"/>
      </w:pPr>
      <w:r>
        <w:t>Thus, t</w:t>
      </w:r>
      <w:r w:rsidR="00540EC1">
        <w:t>he</w:t>
      </w:r>
      <w:r w:rsidR="00320CB9">
        <w:t xml:space="preserve"> 2020 Reforms remove the requirement for </w:t>
      </w:r>
      <w:r w:rsidR="00425F57">
        <w:t xml:space="preserve">the </w:t>
      </w:r>
      <w:r w:rsidR="00320CB9">
        <w:t xml:space="preserve">consent of the recipient as a condition of </w:t>
      </w:r>
      <w:r w:rsidR="008438FA">
        <w:t xml:space="preserve">serving a document by </w:t>
      </w:r>
      <w:r w:rsidR="00320CB9">
        <w:t>electronic communication</w:t>
      </w:r>
      <w:r>
        <w:t>.</w:t>
      </w:r>
    </w:p>
    <w:p w14:paraId="6089D160" w14:textId="2E1228DE" w:rsidR="00086FBF" w:rsidRDefault="00086FBF" w:rsidP="00086FBF">
      <w:pPr>
        <w:pStyle w:val="ParaNumbering"/>
      </w:pPr>
      <w:r>
        <w:t>It is tolerably clear that the statutory demand was served by two methods:</w:t>
      </w:r>
    </w:p>
    <w:p w14:paraId="2232279E" w14:textId="59C353F8" w:rsidR="00086FBF" w:rsidRDefault="00086FBF" w:rsidP="000E2CD7">
      <w:pPr>
        <w:pStyle w:val="ListNo2"/>
      </w:pPr>
      <w:r>
        <w:t xml:space="preserve">By email to </w:t>
      </w:r>
      <w:r w:rsidRPr="00631DF9">
        <w:t>sandys.swim.school@gmail.com</w:t>
      </w:r>
      <w:r>
        <w:t xml:space="preserve"> (</w:t>
      </w:r>
      <w:r w:rsidR="00E5579F">
        <w:t>A</w:t>
      </w:r>
      <w:r>
        <w:t>pplicant’s email</w:t>
      </w:r>
      <w:r w:rsidR="00E5579F">
        <w:t xml:space="preserve"> address</w:t>
      </w:r>
      <w:r>
        <w:t>) at 4pm on 26 July 2022 for which a delivery receipt was received by Mr Morgan’s solicitors (Affidavit of Melany Karen Dowse 09.09.22 [11] and [12] and Annexure MKD10); and</w:t>
      </w:r>
    </w:p>
    <w:p w14:paraId="7926A6C5" w14:textId="0D0BB387" w:rsidR="00086FBF" w:rsidRDefault="00F84EC7" w:rsidP="000E2CD7">
      <w:pPr>
        <w:pStyle w:val="ListNo2"/>
      </w:pPr>
      <w:r>
        <w:t>By express post to the A</w:t>
      </w:r>
      <w:r w:rsidR="00086FBF">
        <w:t>pplicant’s registered office being Unit 1506, 108 Margaret Street, Brisbane sent on 26 July 2022.</w:t>
      </w:r>
    </w:p>
    <w:p w14:paraId="5AD8D39E" w14:textId="58FEA41C" w:rsidR="00086FBF" w:rsidRDefault="00086FBF" w:rsidP="00086FBF">
      <w:pPr>
        <w:pStyle w:val="ParaNumbering"/>
      </w:pPr>
      <w:r>
        <w:t xml:space="preserve">The </w:t>
      </w:r>
      <w:r w:rsidR="00F84EC7">
        <w:t>A</w:t>
      </w:r>
      <w:r>
        <w:t>pplicant does not deny that service of the statutory demand was effective when he collected it from his mailbox on 30 July 2022 (Affidavit of Alex Brown 16.08.22 [3]). Annexures ASB3 and 4 to that affidavit evidence an express post envelope (with a tracking number ending in 30999) and delivery receipt for an item with the same tracking number indicating it was delivered on 29 July at 2.59pm.</w:t>
      </w:r>
    </w:p>
    <w:p w14:paraId="36ECC69D" w14:textId="59DBD38E" w:rsidR="0051140A" w:rsidRDefault="00086FBF" w:rsidP="00086FBF">
      <w:pPr>
        <w:pStyle w:val="ParaNumbering"/>
      </w:pPr>
      <w:r>
        <w:t xml:space="preserve">Further, the </w:t>
      </w:r>
      <w:r w:rsidR="00F84EC7">
        <w:t>A</w:t>
      </w:r>
      <w:r>
        <w:t xml:space="preserve">pplicant does not deny that the statutory demand was received at the </w:t>
      </w:r>
      <w:r w:rsidR="00F84EC7">
        <w:t>A</w:t>
      </w:r>
      <w:r>
        <w:t>pplicant’s email address on 26 July 2022. He says he did not see the email (Affidavit of Alex Brown 14.10.22 [6]).</w:t>
      </w:r>
      <w:r w:rsidR="003B77A0">
        <w:t xml:space="preserve"> Proof</w:t>
      </w:r>
      <w:r w:rsidR="002F6C20">
        <w:t xml:space="preserve"> of effective service does not require that there be proof that the documents were actually accessed or reviewed or even came to the attention of the addresse</w:t>
      </w:r>
      <w:r w:rsidR="00E4016E">
        <w:t>e</w:t>
      </w:r>
      <w:r w:rsidR="002F6C20">
        <w:t xml:space="preserve"> or anyone else</w:t>
      </w:r>
      <w:r w:rsidR="00E4016E">
        <w:t xml:space="preserve">: </w:t>
      </w:r>
      <w:r w:rsidR="00E4016E" w:rsidRPr="00E4016E">
        <w:rPr>
          <w:i/>
          <w:iCs/>
        </w:rPr>
        <w:t>Corporations Act</w:t>
      </w:r>
      <w:r w:rsidR="00E4016E">
        <w:t xml:space="preserve">, s 105A; </w:t>
      </w:r>
      <w:proofErr w:type="spellStart"/>
      <w:r w:rsidR="00E4016E" w:rsidRPr="00E4016E">
        <w:rPr>
          <w:i/>
          <w:iCs/>
        </w:rPr>
        <w:t>Bioaction</w:t>
      </w:r>
      <w:proofErr w:type="spellEnd"/>
      <w:r w:rsidR="00E4016E">
        <w:t xml:space="preserve"> at [95]).</w:t>
      </w:r>
      <w:r w:rsidR="003556D3">
        <w:t xml:space="preserve"> </w:t>
      </w:r>
      <w:r w:rsidR="00CF2E01">
        <w:t xml:space="preserve">Section </w:t>
      </w:r>
      <w:proofErr w:type="gramStart"/>
      <w:r w:rsidR="00CF2E01">
        <w:t>105A</w:t>
      </w:r>
      <w:r w:rsidR="009E4049">
        <w:t>(</w:t>
      </w:r>
      <w:proofErr w:type="gramEnd"/>
      <w:r w:rsidR="009E4049">
        <w:t xml:space="preserve">4) and (5) </w:t>
      </w:r>
      <w:r w:rsidR="00CF2E01">
        <w:t xml:space="preserve">of the </w:t>
      </w:r>
      <w:r w:rsidR="00CF2E01" w:rsidRPr="009E4049">
        <w:rPr>
          <w:i/>
          <w:iCs/>
        </w:rPr>
        <w:t>Corporations Act</w:t>
      </w:r>
      <w:r w:rsidR="00A00325" w:rsidRPr="009E4049">
        <w:rPr>
          <w:i/>
          <w:iCs/>
        </w:rPr>
        <w:t xml:space="preserve"> </w:t>
      </w:r>
      <w:r w:rsidR="00A00325">
        <w:t>deems the electronic communication to have been received</w:t>
      </w:r>
      <w:r w:rsidR="00F8779A">
        <w:t xml:space="preserve"> when it </w:t>
      </w:r>
      <w:r w:rsidR="00FC0C8B">
        <w:t>reaches the addressee’s nominated electronic address.</w:t>
      </w:r>
      <w:r w:rsidR="00A00325">
        <w:t xml:space="preserve"> </w:t>
      </w:r>
    </w:p>
    <w:p w14:paraId="4B3B3E92" w14:textId="5038F303" w:rsidR="00086FBF" w:rsidRDefault="00712011" w:rsidP="00086FBF">
      <w:pPr>
        <w:pStyle w:val="ParaNumbering"/>
      </w:pPr>
      <w:r>
        <w:t xml:space="preserve">The Applicant’s </w:t>
      </w:r>
      <w:r w:rsidR="003556D3">
        <w:t xml:space="preserve">reliance on </w:t>
      </w:r>
      <w:r w:rsidR="003556D3" w:rsidRPr="00484BE3">
        <w:rPr>
          <w:i/>
          <w:iCs/>
        </w:rPr>
        <w:t xml:space="preserve">Kookaburra Educational Resources Pty Ltd v </w:t>
      </w:r>
      <w:proofErr w:type="spellStart"/>
      <w:r w:rsidR="003556D3" w:rsidRPr="00484BE3">
        <w:rPr>
          <w:i/>
          <w:iCs/>
        </w:rPr>
        <w:t>MacGear</w:t>
      </w:r>
      <w:proofErr w:type="spellEnd"/>
      <w:r w:rsidR="003556D3" w:rsidRPr="00484BE3">
        <w:rPr>
          <w:i/>
          <w:iCs/>
        </w:rPr>
        <w:t xml:space="preserve"> </w:t>
      </w:r>
      <w:r w:rsidR="00D92D7A" w:rsidRPr="00484BE3">
        <w:rPr>
          <w:i/>
          <w:iCs/>
        </w:rPr>
        <w:t>Limited Partnership</w:t>
      </w:r>
      <w:r w:rsidR="00F84EC7">
        <w:rPr>
          <w:i/>
          <w:iCs/>
        </w:rPr>
        <w:t xml:space="preserve"> trading as </w:t>
      </w:r>
      <w:proofErr w:type="spellStart"/>
      <w:r w:rsidR="00F84EC7">
        <w:rPr>
          <w:i/>
          <w:iCs/>
        </w:rPr>
        <w:t>MacGear</w:t>
      </w:r>
      <w:proofErr w:type="spellEnd"/>
      <w:r w:rsidR="00F84EC7">
        <w:rPr>
          <w:i/>
          <w:iCs/>
        </w:rPr>
        <w:t xml:space="preserve"> Australia</w:t>
      </w:r>
      <w:r w:rsidR="00D92D7A">
        <w:t xml:space="preserve"> [2021] FCA 797 at [57] was misconceived, that case being concerned with the question of informal service under the </w:t>
      </w:r>
      <w:r w:rsidR="00D92D7A" w:rsidRPr="00484BE3">
        <w:rPr>
          <w:i/>
          <w:iCs/>
        </w:rPr>
        <w:t xml:space="preserve">Service and Execution of Process Act </w:t>
      </w:r>
      <w:r w:rsidR="00F84EC7">
        <w:rPr>
          <w:i/>
          <w:iCs/>
        </w:rPr>
        <w:t>1992</w:t>
      </w:r>
      <w:r w:rsidR="00484BE3">
        <w:t xml:space="preserve"> (</w:t>
      </w:r>
      <w:proofErr w:type="spellStart"/>
      <w:r w:rsidR="00484BE3">
        <w:t>Cth</w:t>
      </w:r>
      <w:proofErr w:type="spellEnd"/>
      <w:r w:rsidR="00484BE3">
        <w:t>).</w:t>
      </w:r>
      <w:r w:rsidR="00F16B09">
        <w:t xml:space="preserve"> Similarly, no assistance can be gained from </w:t>
      </w:r>
      <w:r w:rsidR="00F16B09" w:rsidRPr="00FF1D14">
        <w:rPr>
          <w:i/>
          <w:iCs/>
        </w:rPr>
        <w:t>Solos Ltd v Aussie Hoops Pty Ltd</w:t>
      </w:r>
      <w:r w:rsidR="00F16B09">
        <w:t xml:space="preserve"> [2022]</w:t>
      </w:r>
      <w:r w:rsidR="00FF1D14">
        <w:t xml:space="preserve"> FCA 1022. There was no issue relating to electronic service; the question to be determined was whether there was sufficient evidence to rebut the presumption that the statutory demand was delivered “in the ordinary course of post”. </w:t>
      </w:r>
    </w:p>
    <w:p w14:paraId="7CF866B9" w14:textId="41040908" w:rsidR="00086FBF" w:rsidRDefault="009D0233" w:rsidP="006739B6">
      <w:pPr>
        <w:pStyle w:val="ParaNumbering"/>
      </w:pPr>
      <w:r>
        <w:t xml:space="preserve">Mr Morgan does not </w:t>
      </w:r>
      <w:r w:rsidR="00A446FC">
        <w:t>contend that</w:t>
      </w:r>
      <w:r w:rsidR="009C617D">
        <w:t>, for the purposes of the statutory demand, the Applicant had expressly nominate</w:t>
      </w:r>
      <w:r w:rsidR="00623E7A">
        <w:t>d</w:t>
      </w:r>
      <w:r w:rsidR="009C617D">
        <w:t xml:space="preserve"> the </w:t>
      </w:r>
      <w:r w:rsidR="00E5579F">
        <w:t>A</w:t>
      </w:r>
      <w:r w:rsidR="009C617D">
        <w:t xml:space="preserve">pplicant’s </w:t>
      </w:r>
      <w:r w:rsidR="00623E7A">
        <w:t>email</w:t>
      </w:r>
      <w:r w:rsidR="00E5579F">
        <w:t xml:space="preserve"> address</w:t>
      </w:r>
      <w:r w:rsidR="00CC7139">
        <w:t xml:space="preserve">. Mr Morgan does contend that </w:t>
      </w:r>
      <w:r w:rsidR="00E5579F">
        <w:t xml:space="preserve">he believed </w:t>
      </w:r>
      <w:r w:rsidR="00E5579F">
        <w:lastRenderedPageBreak/>
        <w:t xml:space="preserve">on reasonable grounds </w:t>
      </w:r>
      <w:r w:rsidR="008438FA">
        <w:t xml:space="preserve">that </w:t>
      </w:r>
      <w:r w:rsidR="00CC7139">
        <w:t xml:space="preserve">the </w:t>
      </w:r>
      <w:r w:rsidR="00E5579F">
        <w:t>A</w:t>
      </w:r>
      <w:r w:rsidR="00CC7139">
        <w:t>pplicant’s email</w:t>
      </w:r>
      <w:r w:rsidR="00E5579F">
        <w:t xml:space="preserve"> address</w:t>
      </w:r>
      <w:r w:rsidR="00623B1C" w:rsidRPr="00623B1C">
        <w:t xml:space="preserve"> </w:t>
      </w:r>
      <w:r w:rsidR="008438FA">
        <w:t xml:space="preserve">was </w:t>
      </w:r>
      <w:r w:rsidR="00623B1C">
        <w:t xml:space="preserve">a current electronic address for the </w:t>
      </w:r>
      <w:r w:rsidR="00E5579F">
        <w:t xml:space="preserve">Applicant </w:t>
      </w:r>
      <w:r w:rsidR="00623B1C">
        <w:t>for receiving electronic communications</w:t>
      </w:r>
      <w:r w:rsidR="00E5579F">
        <w:t xml:space="preserve"> (</w:t>
      </w:r>
      <w:r w:rsidR="00E5579F" w:rsidRPr="00E5579F">
        <w:rPr>
          <w:i/>
          <w:iCs/>
        </w:rPr>
        <w:t>Corporations Act</w:t>
      </w:r>
      <w:r w:rsidR="00E5579F">
        <w:t xml:space="preserve">, </w:t>
      </w:r>
      <w:proofErr w:type="spellStart"/>
      <w:r w:rsidR="00E5579F">
        <w:t>s</w:t>
      </w:r>
      <w:r w:rsidR="00093B44">
        <w:t>s</w:t>
      </w:r>
      <w:proofErr w:type="spellEnd"/>
      <w:r w:rsidR="00093B44">
        <w:t xml:space="preserve"> </w:t>
      </w:r>
      <w:r w:rsidR="00B83F89">
        <w:t>9 and</w:t>
      </w:r>
      <w:r w:rsidR="00E5579F">
        <w:t xml:space="preserve"> 600G(4)(b)</w:t>
      </w:r>
      <w:r w:rsidR="007B6D20">
        <w:t>).</w:t>
      </w:r>
      <w:r w:rsidR="00E5579F">
        <w:t xml:space="preserve"> </w:t>
      </w:r>
    </w:p>
    <w:p w14:paraId="3A74D652" w14:textId="0F1E0C03" w:rsidR="006739B6" w:rsidRDefault="00F83F88" w:rsidP="006739B6">
      <w:pPr>
        <w:pStyle w:val="ParaNumbering"/>
      </w:pPr>
      <w:r>
        <w:t xml:space="preserve">Mr Morgan </w:t>
      </w:r>
      <w:r w:rsidR="00554F0D">
        <w:t xml:space="preserve">relies </w:t>
      </w:r>
      <w:r w:rsidR="00611B80">
        <w:t xml:space="preserve">on the following email correspondence as sufficient </w:t>
      </w:r>
      <w:r w:rsidR="00E83340">
        <w:t xml:space="preserve">to establish that his belief that the Applicant’s email address was a current electronic address for the Applicant for receiving documents </w:t>
      </w:r>
      <w:r w:rsidR="006D2190">
        <w:t>was reasonable:</w:t>
      </w:r>
    </w:p>
    <w:p w14:paraId="3BB5760E" w14:textId="4D06EF9B" w:rsidR="006D2190" w:rsidRDefault="00242F76" w:rsidP="000E2CD7">
      <w:pPr>
        <w:pStyle w:val="FCBullets"/>
      </w:pPr>
      <w:r>
        <w:t>13 December 2021 – service by the Applicant of a Further Amended Statement of Claim on Mr Morgan’s solicitors</w:t>
      </w:r>
      <w:r w:rsidR="004A1B6B">
        <w:t xml:space="preserve"> listing the Applicant’s email address as that for service (Affidavit of </w:t>
      </w:r>
      <w:r w:rsidR="0010012B">
        <w:t>Melany Karen Dowse 09.09.22 [3] and Annexure MKD1)</w:t>
      </w:r>
    </w:p>
    <w:p w14:paraId="39E8470D" w14:textId="437E6649" w:rsidR="0010012B" w:rsidRDefault="0010012B" w:rsidP="000E2CD7">
      <w:pPr>
        <w:pStyle w:val="FCBullets"/>
      </w:pPr>
      <w:r>
        <w:t xml:space="preserve">4 January 2022 </w:t>
      </w:r>
      <w:r w:rsidR="00287C7B">
        <w:t>–</w:t>
      </w:r>
      <w:r>
        <w:t xml:space="preserve"> s</w:t>
      </w:r>
      <w:r w:rsidR="00287C7B">
        <w:t>ervice of Reply by Applicant on Mr Morgan’s solicitors from the Applicant’s email address (Affidavit of Melany Karen Dowse 09.09.22 [4] and Annexure MKD2)</w:t>
      </w:r>
    </w:p>
    <w:p w14:paraId="653E47F8" w14:textId="644393C5" w:rsidR="00287C7B" w:rsidRDefault="00287C7B" w:rsidP="000E2CD7">
      <w:pPr>
        <w:pStyle w:val="FCBullets"/>
      </w:pPr>
      <w:r>
        <w:t xml:space="preserve">1 March 2022 – service </w:t>
      </w:r>
      <w:r w:rsidR="00ED799F">
        <w:t xml:space="preserve">by Mr Morgan’s solicitors on the Applicant of an application for security for costs to the </w:t>
      </w:r>
      <w:r w:rsidR="00EF01BA">
        <w:t>Applicant’s email address and a response from the Applicant</w:t>
      </w:r>
      <w:r w:rsidR="00550BF5">
        <w:t xml:space="preserve"> from the same email address on the same day (Affidavit of Melany Karen Dowse 09.09.22 [5] and Annexure MKD3)</w:t>
      </w:r>
    </w:p>
    <w:p w14:paraId="0D2A95B7" w14:textId="3C148A64" w:rsidR="00550BF5" w:rsidRDefault="00550BF5" w:rsidP="000E2CD7">
      <w:pPr>
        <w:pStyle w:val="FCBullets"/>
      </w:pPr>
      <w:r>
        <w:t>27 June 2022 – letter from Mr Morgan’s solicitors to the Applicant’s email address requesting documents</w:t>
      </w:r>
      <w:r w:rsidR="00E25CA1">
        <w:t xml:space="preserve"> and a response from the Applicant from the same email address the following day (Affidavit of Melany Karen Dowse 09.09.22 [6] and Annexure MKD4)</w:t>
      </w:r>
    </w:p>
    <w:p w14:paraId="5E67244A" w14:textId="0BF64F68" w:rsidR="00E25CA1" w:rsidRDefault="00E25CA1" w:rsidP="000E2CD7">
      <w:pPr>
        <w:pStyle w:val="FCBullets"/>
      </w:pPr>
      <w:r>
        <w:t xml:space="preserve">3 July 2022 – service by the </w:t>
      </w:r>
      <w:r w:rsidR="00ED338D">
        <w:t>A</w:t>
      </w:r>
      <w:r>
        <w:t xml:space="preserve">pplicant </w:t>
      </w:r>
      <w:r w:rsidR="00ED338D">
        <w:t>on Mr Morgan with two applications filed in the District Court of Queensland from the Applicant’s email address</w:t>
      </w:r>
      <w:r w:rsidR="004577A8">
        <w:t xml:space="preserve"> (Affidavit of Melany Karen Dowse 09.09.22 [</w:t>
      </w:r>
      <w:r w:rsidR="00B75AC3">
        <w:t>7</w:t>
      </w:r>
      <w:r w:rsidR="004577A8">
        <w:t>] and Annexure MKD</w:t>
      </w:r>
      <w:r w:rsidR="00B75AC3">
        <w:t>5</w:t>
      </w:r>
      <w:r w:rsidR="004577A8">
        <w:t>)</w:t>
      </w:r>
    </w:p>
    <w:p w14:paraId="332F993E" w14:textId="4E93C98B" w:rsidR="00B75AC3" w:rsidRDefault="004577A8" w:rsidP="000E2CD7">
      <w:pPr>
        <w:pStyle w:val="FCBullets"/>
      </w:pPr>
      <w:r>
        <w:t xml:space="preserve">7 July 2022 – service by the Applicant on Mr Morgan’s solicitors with a further application filed in the District Court of </w:t>
      </w:r>
      <w:r w:rsidR="00B75AC3">
        <w:t>Queensland from the Applicant’s email address (Affidavit of Melany Karen Dowse 09.09.22 [8] and Annexure MKD6)</w:t>
      </w:r>
    </w:p>
    <w:p w14:paraId="722D96C7" w14:textId="48A6477D" w:rsidR="000F1193" w:rsidRDefault="000F1193" w:rsidP="000E2CD7">
      <w:pPr>
        <w:pStyle w:val="FCBullets"/>
      </w:pPr>
      <w:r>
        <w:t>18 July 2022 – service by the Applicant on Mr Morgan’s solicitors with an application filed in the District Court of Queensland from the Applicant’s email address (Affidavit of Melany Karen Dowse 09.09.22 [9] and Annexure MKD7)</w:t>
      </w:r>
      <w:r w:rsidR="00B178BD">
        <w:t>.</w:t>
      </w:r>
    </w:p>
    <w:p w14:paraId="455F9881" w14:textId="46D902CF" w:rsidR="009E5B66" w:rsidRDefault="00C5618D" w:rsidP="006739B6">
      <w:pPr>
        <w:pStyle w:val="ParaNumbering"/>
      </w:pPr>
      <w:r>
        <w:t xml:space="preserve">Further, the </w:t>
      </w:r>
      <w:r w:rsidR="00F1663E">
        <w:t xml:space="preserve">originating application filed in these proceedings by the Applicant </w:t>
      </w:r>
      <w:r w:rsidR="00F555AB">
        <w:t xml:space="preserve">on 19 August 2022 </w:t>
      </w:r>
      <w:r w:rsidR="002C4227">
        <w:t>contains the Applicant’s email ad</w:t>
      </w:r>
      <w:r w:rsidR="00B2731D">
        <w:t>d</w:t>
      </w:r>
      <w:r w:rsidR="002C4227">
        <w:t>ress</w:t>
      </w:r>
      <w:r w:rsidR="00736EFB">
        <w:t xml:space="preserve">, as do </w:t>
      </w:r>
      <w:r w:rsidR="00C81BB6">
        <w:t xml:space="preserve">the other documents filed by the Applicant </w:t>
      </w:r>
      <w:r w:rsidR="00C81BB6">
        <w:lastRenderedPageBreak/>
        <w:t xml:space="preserve">in these proceedings. </w:t>
      </w:r>
      <w:r w:rsidR="008438FA">
        <w:t xml:space="preserve">Indeed, the Applicant served the originating application and the supporting affidavit on Mr Morgan’s solicitors from the Applicant’s email address (Affidavit of Alex Brown 25.08.22, Annexures ASB9 and ASB 10). </w:t>
      </w:r>
      <w:r w:rsidR="00C81BB6">
        <w:t>No other email address for the Applicant appears in the documents</w:t>
      </w:r>
      <w:r w:rsidR="00707BA5">
        <w:t>.</w:t>
      </w:r>
    </w:p>
    <w:p w14:paraId="266DBB56" w14:textId="4F5F2900" w:rsidR="00741763" w:rsidRDefault="00741763" w:rsidP="006739B6">
      <w:pPr>
        <w:pStyle w:val="ParaNumbering"/>
      </w:pPr>
      <w:r>
        <w:t xml:space="preserve">In the circumstances, I am satisfied that Mr Morgan has discharged his onus and that he believed on reasonable grounds that </w:t>
      </w:r>
      <w:r w:rsidR="007241CC">
        <w:t>the Applicant’s email address wa</w:t>
      </w:r>
      <w:r w:rsidR="002341EF">
        <w:t>s a</w:t>
      </w:r>
      <w:r w:rsidR="002341EF" w:rsidRPr="002341EF">
        <w:t xml:space="preserve"> </w:t>
      </w:r>
      <w:r w:rsidR="008438FA">
        <w:t xml:space="preserve">nominated </w:t>
      </w:r>
      <w:r w:rsidR="002341EF">
        <w:t>electronic address for the Applicant for receiving electronic communications.</w:t>
      </w:r>
    </w:p>
    <w:p w14:paraId="60F59CBB" w14:textId="6F643404" w:rsidR="007F2400" w:rsidRDefault="00A86D71" w:rsidP="006739B6">
      <w:pPr>
        <w:pStyle w:val="ParaNumbering"/>
      </w:pPr>
      <w:r>
        <w:t>Consequently, service of the statutory demand on the Applicant was effect</w:t>
      </w:r>
      <w:r w:rsidR="009B08F7">
        <w:t>ed</w:t>
      </w:r>
      <w:r>
        <w:t xml:space="preserve"> </w:t>
      </w:r>
      <w:r w:rsidR="00FE451B">
        <w:t>on 26 July 2022</w:t>
      </w:r>
      <w:r w:rsidR="00A45507">
        <w:t xml:space="preserve"> </w:t>
      </w:r>
      <w:r w:rsidR="008438FA">
        <w:t xml:space="preserve">because of the operation of s 600G and the definition of “nominated electronic address” in s 9 </w:t>
      </w:r>
      <w:r w:rsidR="00A777AC">
        <w:t xml:space="preserve">of the </w:t>
      </w:r>
      <w:r w:rsidR="00A777AC" w:rsidRPr="00A777AC">
        <w:rPr>
          <w:i/>
          <w:iCs/>
        </w:rPr>
        <w:t>Corporations Act</w:t>
      </w:r>
      <w:r w:rsidR="00A45507">
        <w:t xml:space="preserve">. </w:t>
      </w:r>
      <w:r w:rsidR="00806685">
        <w:t>Pursuant to s 105A</w:t>
      </w:r>
      <w:r w:rsidR="00A777AC">
        <w:t xml:space="preserve"> of that Act, </w:t>
      </w:r>
      <w:r w:rsidR="00806685">
        <w:t xml:space="preserve">the statutory demand is deemed to have been received by the Applicant on </w:t>
      </w:r>
      <w:r w:rsidR="007F2400">
        <w:t>26 July 2022.</w:t>
      </w:r>
      <w:r w:rsidR="00FE451B">
        <w:t xml:space="preserve"> </w:t>
      </w:r>
      <w:r w:rsidR="0049044C">
        <w:t xml:space="preserve">Any application to set aside the statutory demand was required to be </w:t>
      </w:r>
      <w:r w:rsidR="00F1574F">
        <w:t>filed by 16 August 2022.</w:t>
      </w:r>
      <w:r w:rsidR="007F2400" w:rsidRPr="007F2400">
        <w:t xml:space="preserve"> </w:t>
      </w:r>
    </w:p>
    <w:p w14:paraId="117A8A7D" w14:textId="40F58018" w:rsidR="002341EF" w:rsidRDefault="007F2400" w:rsidP="006739B6">
      <w:pPr>
        <w:pStyle w:val="ParaNumbering"/>
      </w:pPr>
      <w:r>
        <w:t>The burden of proof lies on the Applicant</w:t>
      </w:r>
      <w:r w:rsidR="0098321A">
        <w:t xml:space="preserve"> </w:t>
      </w:r>
      <w:r>
        <w:t xml:space="preserve">to establish that service </w:t>
      </w:r>
      <w:r w:rsidR="0098321A">
        <w:t xml:space="preserve">of the application to set aside the statutory demand, and the supporting affidavit, </w:t>
      </w:r>
      <w:r>
        <w:t>was effected in a manner satisfying s 459G</w:t>
      </w:r>
      <w:r w:rsidR="0098321A">
        <w:t xml:space="preserve">, </w:t>
      </w:r>
      <w:proofErr w:type="spellStart"/>
      <w:r w:rsidR="00F91D88">
        <w:t>viz</w:t>
      </w:r>
      <w:proofErr w:type="spellEnd"/>
      <w:r w:rsidR="00F91D88">
        <w:t>, that they were filed and served within 21 days</w:t>
      </w:r>
      <w:r>
        <w:t xml:space="preserve">: </w:t>
      </w:r>
      <w:proofErr w:type="spellStart"/>
      <w:r w:rsidRPr="009C552D">
        <w:rPr>
          <w:i/>
        </w:rPr>
        <w:t>Jin</w:t>
      </w:r>
      <w:proofErr w:type="spellEnd"/>
      <w:r w:rsidRPr="009C552D">
        <w:rPr>
          <w:i/>
        </w:rPr>
        <w:t xml:space="preserve"> Xi</w:t>
      </w:r>
      <w:r w:rsidR="00F84EC7">
        <w:rPr>
          <w:i/>
        </w:rPr>
        <w:t>n</w:t>
      </w:r>
      <w:r>
        <w:rPr>
          <w:i/>
        </w:rPr>
        <w:t xml:space="preserve"> Investment &amp; Trade (Australia) Pty Ltd v ISC Property Pty Ltd </w:t>
      </w:r>
      <w:r>
        <w:rPr>
          <w:iCs/>
        </w:rPr>
        <w:t>[2006] NSWSC 7; 24 ACLC 281</w:t>
      </w:r>
      <w:r>
        <w:t xml:space="preserve"> at [6]. </w:t>
      </w:r>
    </w:p>
    <w:p w14:paraId="380D12E2" w14:textId="4E2B231A" w:rsidR="00F91D88" w:rsidRDefault="00F91D88" w:rsidP="006739B6">
      <w:pPr>
        <w:pStyle w:val="ParaNumbering"/>
      </w:pPr>
      <w:r>
        <w:t>The Applicant has not discharged that burden.</w:t>
      </w:r>
    </w:p>
    <w:p w14:paraId="3A9976CF" w14:textId="28521847" w:rsidR="009F69AB" w:rsidRDefault="009F69AB" w:rsidP="008438FA">
      <w:pPr>
        <w:pStyle w:val="Heading2"/>
      </w:pPr>
      <w:r>
        <w:t>What are the consequences of the Registry communications?</w:t>
      </w:r>
    </w:p>
    <w:p w14:paraId="6240AB6D" w14:textId="4A33EF25" w:rsidR="00DD1F90" w:rsidRDefault="0006644C" w:rsidP="006739B6">
      <w:pPr>
        <w:pStyle w:val="ParaNumbering"/>
      </w:pPr>
      <w:r>
        <w:t xml:space="preserve">The Applicant </w:t>
      </w:r>
      <w:r w:rsidR="0049044C">
        <w:t xml:space="preserve">disputed the proposition that the </w:t>
      </w:r>
      <w:r w:rsidR="006739B6">
        <w:t>2</w:t>
      </w:r>
      <w:r w:rsidR="009B08F7">
        <w:t>1</w:t>
      </w:r>
      <w:r w:rsidR="008438FA">
        <w:t xml:space="preserve"> </w:t>
      </w:r>
      <w:r w:rsidR="006739B6">
        <w:t xml:space="preserve">day time limit for service imposed by s 459G(2) and (3) is strict and immutable: </w:t>
      </w:r>
      <w:r w:rsidR="006739B6" w:rsidRPr="00791DB3">
        <w:rPr>
          <w:b/>
          <w:bCs/>
          <w:i/>
        </w:rPr>
        <w:t>David Grant</w:t>
      </w:r>
      <w:r w:rsidR="008E1C3C">
        <w:rPr>
          <w:i/>
        </w:rPr>
        <w:t xml:space="preserve"> &amp; Co Pty Ltd v Westpac Banking Corp</w:t>
      </w:r>
      <w:r w:rsidR="00F84EC7">
        <w:rPr>
          <w:i/>
        </w:rPr>
        <w:t>oration</w:t>
      </w:r>
      <w:r w:rsidR="008E1C3C">
        <w:rPr>
          <w:i/>
        </w:rPr>
        <w:t xml:space="preserve"> </w:t>
      </w:r>
      <w:r w:rsidR="008E1C3C" w:rsidRPr="00422C6C">
        <w:rPr>
          <w:iCs/>
        </w:rPr>
        <w:t>[1995] HCA</w:t>
      </w:r>
      <w:r w:rsidR="00422C6C" w:rsidRPr="00422C6C">
        <w:rPr>
          <w:iCs/>
        </w:rPr>
        <w:t xml:space="preserve"> 43; 184 CLR 265</w:t>
      </w:r>
      <w:r w:rsidR="006739B6" w:rsidRPr="00637A90">
        <w:rPr>
          <w:i/>
        </w:rPr>
        <w:t xml:space="preserve"> </w:t>
      </w:r>
      <w:r w:rsidR="006739B6">
        <w:t>at 278</w:t>
      </w:r>
      <w:r w:rsidR="00474745">
        <w:t xml:space="preserve">. </w:t>
      </w:r>
    </w:p>
    <w:p w14:paraId="6BF3789D" w14:textId="196FDB3F" w:rsidR="00806F83" w:rsidRDefault="00806F83" w:rsidP="006739B6">
      <w:pPr>
        <w:pStyle w:val="ParaNumbering"/>
      </w:pPr>
      <w:r>
        <w:t>The Applicant contends that</w:t>
      </w:r>
      <w:r w:rsidR="00033D2C">
        <w:t xml:space="preserve"> in circumstances where </w:t>
      </w:r>
      <w:r w:rsidR="00BA4A16">
        <w:t>it</w:t>
      </w:r>
      <w:r w:rsidR="00033D2C">
        <w:t xml:space="preserve"> followed the advice of Registry staff that the last day to file </w:t>
      </w:r>
      <w:r w:rsidR="00BA4A16">
        <w:t xml:space="preserve">the </w:t>
      </w:r>
      <w:r w:rsidR="00033D2C">
        <w:t xml:space="preserve">application to set aside the statutory demand was 22 August 2022, </w:t>
      </w:r>
      <w:r w:rsidR="00BA4A16">
        <w:t>it</w:t>
      </w:r>
      <w:r w:rsidR="00EB4BA2">
        <w:t xml:space="preserve"> </w:t>
      </w:r>
      <w:r w:rsidR="00BA4A16">
        <w:t>should not be penalised for following that advice. The difficulty with th</w:t>
      </w:r>
      <w:r w:rsidR="009F6144">
        <w:t xml:space="preserve">is submission is that, by the time the Applicant </w:t>
      </w:r>
      <w:r w:rsidR="00325276">
        <w:t xml:space="preserve">lodged </w:t>
      </w:r>
      <w:r w:rsidR="009F6144">
        <w:t xml:space="preserve">the application and supporting </w:t>
      </w:r>
      <w:r w:rsidR="006D74F5">
        <w:t xml:space="preserve">affidavit at 9:58:48pm </w:t>
      </w:r>
      <w:r w:rsidR="00D01A47">
        <w:t>on 18 August 2022, the time for compliance with s 459G had already passed.</w:t>
      </w:r>
      <w:r w:rsidR="00EA3E53">
        <w:t xml:space="preserve"> </w:t>
      </w:r>
      <w:r w:rsidR="00D63B43">
        <w:t xml:space="preserve">Any advice given by Registry staff, even assuming it to have had the character for which the Applicant contended (which has not been established) was by this time irrelevant. </w:t>
      </w:r>
    </w:p>
    <w:p w14:paraId="6EFAD944" w14:textId="198FDEA3" w:rsidR="00791DB3" w:rsidRDefault="00DD1F90" w:rsidP="006739B6">
      <w:pPr>
        <w:pStyle w:val="ParaNumbering"/>
      </w:pPr>
      <w:r>
        <w:t xml:space="preserve">The Applicant </w:t>
      </w:r>
      <w:r w:rsidR="00F1574F">
        <w:t xml:space="preserve">relied on a decision of Palmer </w:t>
      </w:r>
      <w:r w:rsidR="00432690">
        <w:t xml:space="preserve">J in </w:t>
      </w:r>
      <w:proofErr w:type="spellStart"/>
      <w:r w:rsidR="00432690" w:rsidRPr="000943DA">
        <w:rPr>
          <w:b/>
          <w:bCs/>
          <w:i/>
          <w:iCs/>
        </w:rPr>
        <w:t>Mangraviti</w:t>
      </w:r>
      <w:proofErr w:type="spellEnd"/>
      <w:r w:rsidR="00432690" w:rsidRPr="000943DA">
        <w:rPr>
          <w:i/>
          <w:iCs/>
        </w:rPr>
        <w:t xml:space="preserve"> Pty Ltd</w:t>
      </w:r>
      <w:r w:rsidR="00A034F0" w:rsidRPr="000943DA">
        <w:rPr>
          <w:i/>
          <w:iCs/>
        </w:rPr>
        <w:t>, Joe v Lumley Finance Ltd</w:t>
      </w:r>
      <w:r w:rsidR="00A034F0">
        <w:t xml:space="preserve"> [2010] NSWSC 61 in which </w:t>
      </w:r>
      <w:r w:rsidR="00AA436D">
        <w:t>the statutory demand was set aside</w:t>
      </w:r>
      <w:r w:rsidR="00B47FF3">
        <w:t xml:space="preserve"> on the basis of s </w:t>
      </w:r>
      <w:proofErr w:type="gramStart"/>
      <w:r w:rsidR="00B47FF3">
        <w:t>459J(</w:t>
      </w:r>
      <w:proofErr w:type="gramEnd"/>
      <w:r w:rsidR="00B47FF3">
        <w:t>1)</w:t>
      </w:r>
      <w:r w:rsidR="00F661E4">
        <w:t xml:space="preserve">(b) </w:t>
      </w:r>
      <w:r w:rsidR="00F661E4">
        <w:lastRenderedPageBreak/>
        <w:t xml:space="preserve">of the </w:t>
      </w:r>
      <w:r w:rsidR="00F661E4" w:rsidRPr="00102EF4">
        <w:rPr>
          <w:i/>
          <w:iCs/>
        </w:rPr>
        <w:t>Corporations Act</w:t>
      </w:r>
      <w:r w:rsidR="002832DA">
        <w:t xml:space="preserve">, namely </w:t>
      </w:r>
      <w:r w:rsidR="00616E6C">
        <w:t>that “</w:t>
      </w:r>
      <w:r w:rsidR="00EE0965">
        <w:t xml:space="preserve">because of a defect in the demand, </w:t>
      </w:r>
      <w:r w:rsidR="00616E6C">
        <w:t>substantial injustice will be caused unless the demand is set aside”.</w:t>
      </w:r>
      <w:r w:rsidR="00102EF4">
        <w:t xml:space="preserve"> In that case, the statutory demand had been served </w:t>
      </w:r>
      <w:r w:rsidR="008C3697">
        <w:t>on a vacant office and the sol</w:t>
      </w:r>
      <w:r w:rsidR="00DF2DFC">
        <w:t>i</w:t>
      </w:r>
      <w:r w:rsidR="008C3697">
        <w:t>citors</w:t>
      </w:r>
      <w:r w:rsidR="00D72938">
        <w:t xml:space="preserve"> must have suspected that the demand had not come to the attention of the</w:t>
      </w:r>
      <w:r w:rsidR="00D36A25">
        <w:t xml:space="preserve"> plaintiff by the time the limitation period expired</w:t>
      </w:r>
      <w:r w:rsidR="00DF2DFC">
        <w:t xml:space="preserve">. </w:t>
      </w:r>
      <w:r w:rsidR="008C3697">
        <w:t>Just</w:t>
      </w:r>
      <w:r w:rsidR="00DF2DFC">
        <w:t>i</w:t>
      </w:r>
      <w:r w:rsidR="008C3697">
        <w:t>ce Palmer</w:t>
      </w:r>
      <w:r w:rsidR="00DF2DFC">
        <w:t xml:space="preserve"> </w:t>
      </w:r>
      <w:r w:rsidR="008C3697">
        <w:t xml:space="preserve">held that </w:t>
      </w:r>
      <w:r w:rsidR="00DF2DFC">
        <w:t>such circumstances attracted the principle of</w:t>
      </w:r>
      <w:r w:rsidR="00B6710E">
        <w:t xml:space="preserve"> lack of fair notice. The circumstances of that case differ from the present. First, the Applicant did not rely on s </w:t>
      </w:r>
      <w:proofErr w:type="gramStart"/>
      <w:r w:rsidR="00B6710E">
        <w:t>459J(</w:t>
      </w:r>
      <w:proofErr w:type="gramEnd"/>
      <w:r w:rsidR="00B6710E">
        <w:t>1)(b)</w:t>
      </w:r>
      <w:r w:rsidR="008C3697">
        <w:t xml:space="preserve"> </w:t>
      </w:r>
      <w:r w:rsidR="00B6710E">
        <w:t xml:space="preserve">to set aside the demand; it relied expressly on </w:t>
      </w:r>
      <w:proofErr w:type="spellStart"/>
      <w:r w:rsidR="00B6710E">
        <w:t>ss</w:t>
      </w:r>
      <w:proofErr w:type="spellEnd"/>
      <w:r w:rsidR="00B6710E">
        <w:t xml:space="preserve"> 459H</w:t>
      </w:r>
      <w:r w:rsidR="00F253D5">
        <w:t xml:space="preserve">(1)(a) and (b). Secondly, </w:t>
      </w:r>
      <w:r w:rsidR="00EE0965">
        <w:t>no defect in the demand has been alleged</w:t>
      </w:r>
      <w:r w:rsidR="002B1B0F">
        <w:t xml:space="preserve"> and nor could </w:t>
      </w:r>
      <w:r w:rsidR="008438FA">
        <w:t xml:space="preserve">there be </w:t>
      </w:r>
      <w:r w:rsidR="002B1B0F">
        <w:t xml:space="preserve">in light of </w:t>
      </w:r>
      <w:r w:rsidR="00F253D5">
        <w:t xml:space="preserve">the statutory framework </w:t>
      </w:r>
      <w:r w:rsidR="002B1B0F">
        <w:t xml:space="preserve">which now pertains as to the manner </w:t>
      </w:r>
      <w:r w:rsidR="00F253D5">
        <w:t>in which service may be effected</w:t>
      </w:r>
      <w:r w:rsidR="002B1B0F">
        <w:t>.</w:t>
      </w:r>
      <w:r w:rsidR="00F253D5">
        <w:t xml:space="preserve"> </w:t>
      </w:r>
      <w:r w:rsidR="00791DB3">
        <w:t xml:space="preserve">Thirdly, Palmer J was apparently not referred to the </w:t>
      </w:r>
      <w:r w:rsidR="001A1180">
        <w:t xml:space="preserve">decision of the High Court in </w:t>
      </w:r>
      <w:r w:rsidR="001A1180" w:rsidRPr="00027501">
        <w:rPr>
          <w:i/>
          <w:iCs/>
        </w:rPr>
        <w:t>David Grant</w:t>
      </w:r>
      <w:r w:rsidR="001A1180">
        <w:t>, which was of course binding on him</w:t>
      </w:r>
      <w:r w:rsidR="00B73071">
        <w:t xml:space="preserve">. </w:t>
      </w:r>
      <w:r w:rsidR="00C27993">
        <w:t xml:space="preserve">In that case, the point was made pellucid by </w:t>
      </w:r>
      <w:proofErr w:type="spellStart"/>
      <w:r w:rsidR="00C27993">
        <w:t>Gummow</w:t>
      </w:r>
      <w:proofErr w:type="spellEnd"/>
      <w:r w:rsidR="00C27993">
        <w:t xml:space="preserve"> J at 27</w:t>
      </w:r>
      <w:r w:rsidR="00890090">
        <w:t>6</w:t>
      </w:r>
      <w:r w:rsidR="00A55623">
        <w:t>-7</w:t>
      </w:r>
      <w:r w:rsidR="00C27993">
        <w:t>:</w:t>
      </w:r>
    </w:p>
    <w:p w14:paraId="6DECB264" w14:textId="5718BADD" w:rsidR="00C27993" w:rsidRPr="00385EDD" w:rsidRDefault="00890090" w:rsidP="00385EDD">
      <w:pPr>
        <w:pStyle w:val="Quote1"/>
      </w:pPr>
      <w:r w:rsidRPr="00385EDD">
        <w:t xml:space="preserve">In providing that an application to the court for an order setting aside a statutory demand “may only” be made within the twenty-one day period </w:t>
      </w:r>
      <w:r w:rsidR="00C975E7" w:rsidRPr="00385EDD">
        <w:t>there specified and that an application is made in accordance with s 459G only if, within those twenty-one days, a supporting affidavit is filed and a copy thereof and of the applications are served</w:t>
      </w:r>
      <w:r w:rsidR="00D116B7" w:rsidRPr="00385EDD">
        <w:t>, sub-</w:t>
      </w:r>
      <w:proofErr w:type="spellStart"/>
      <w:r w:rsidR="00D116B7" w:rsidRPr="00385EDD">
        <w:t>ss</w:t>
      </w:r>
      <w:proofErr w:type="spellEnd"/>
      <w:r w:rsidR="00D116B7" w:rsidRPr="00385EDD">
        <w:t xml:space="preserve"> (2) and (3) of s 459 G attach a limitation or condition upon the authority of the court to set aside the demand</w:t>
      </w:r>
      <w:r w:rsidR="00A55623" w:rsidRPr="00385EDD">
        <w:t>.</w:t>
      </w:r>
    </w:p>
    <w:p w14:paraId="6906CDAB" w14:textId="15DA04A0" w:rsidR="006125C3" w:rsidRDefault="006125C3" w:rsidP="006739B6">
      <w:pPr>
        <w:pStyle w:val="ParaNumbering"/>
      </w:pPr>
      <w:r>
        <w:t xml:space="preserve">Further, at 279, </w:t>
      </w:r>
      <w:proofErr w:type="spellStart"/>
      <w:r>
        <w:t>Gummow</w:t>
      </w:r>
      <w:proofErr w:type="spellEnd"/>
      <w:r>
        <w:t xml:space="preserve"> J held:</w:t>
      </w:r>
    </w:p>
    <w:p w14:paraId="5913F8EB" w14:textId="39751FA2" w:rsidR="00305B55" w:rsidRPr="00385EDD" w:rsidRDefault="00087180" w:rsidP="00385EDD">
      <w:pPr>
        <w:pStyle w:val="Quote1"/>
      </w:pPr>
      <w:r w:rsidRPr="00385EDD">
        <w:t xml:space="preserve">If an </w:t>
      </w:r>
      <w:r w:rsidR="008438FA" w:rsidRPr="00385EDD">
        <w:t xml:space="preserve">application for an </w:t>
      </w:r>
      <w:r w:rsidRPr="00385EDD">
        <w:t xml:space="preserve">order setting aside a statutory demand has not been made within </w:t>
      </w:r>
      <w:r w:rsidR="00046134" w:rsidRPr="00385EDD">
        <w:t xml:space="preserve">twenty-one days after </w:t>
      </w:r>
      <w:r w:rsidR="00C376B2" w:rsidRPr="00385EDD">
        <w:t>service of the demand, there is no application under Pt 5.4 before the court. Therefore, there is no</w:t>
      </w:r>
      <w:r w:rsidR="00305B55" w:rsidRPr="00385EDD">
        <w:t xml:space="preserve"> question of such an application being dismissed because of a defect or irregularity in connection with it</w:t>
      </w:r>
      <w:r w:rsidR="00B56367" w:rsidRPr="00385EDD">
        <w:t>.</w:t>
      </w:r>
    </w:p>
    <w:p w14:paraId="57C22CAA" w14:textId="41834207" w:rsidR="00305B55" w:rsidRPr="00385EDD" w:rsidRDefault="00F5608F" w:rsidP="00385EDD">
      <w:pPr>
        <w:pStyle w:val="Quote1"/>
      </w:pPr>
      <w:r w:rsidRPr="00385EDD">
        <w:t>…</w:t>
      </w:r>
    </w:p>
    <w:p w14:paraId="171A49FF" w14:textId="5B8B0AFC" w:rsidR="00F5608F" w:rsidRPr="00385EDD" w:rsidRDefault="00F5608F" w:rsidP="00385EDD">
      <w:pPr>
        <w:pStyle w:val="Quote1"/>
      </w:pPr>
      <w:r w:rsidRPr="00385EDD">
        <w:t>No doubt, in some circumstances, the new Pt 5.4 may appear to operate harshly. But that is a consequence of the legislative scheme which has been adopted to deal with perceived defect</w:t>
      </w:r>
      <w:r w:rsidR="00A74937" w:rsidRPr="00385EDD">
        <w:t>s in the pre-existing procedure in relation to notices of demand.</w:t>
      </w:r>
    </w:p>
    <w:p w14:paraId="1CDBEFF9" w14:textId="05761B96" w:rsidR="00DD1F90" w:rsidRDefault="00634E46" w:rsidP="006739B6">
      <w:pPr>
        <w:pStyle w:val="ParaNumbering"/>
      </w:pPr>
      <w:r w:rsidRPr="000F3A9A">
        <w:rPr>
          <w:i/>
          <w:iCs/>
        </w:rPr>
        <w:t xml:space="preserve">Arcade Badge Embroidery Co Pty Ltd v Deputy Commissioner of </w:t>
      </w:r>
      <w:r w:rsidR="000F3A9A">
        <w:rPr>
          <w:i/>
          <w:iCs/>
        </w:rPr>
        <w:t>T</w:t>
      </w:r>
      <w:r w:rsidRPr="000F3A9A">
        <w:rPr>
          <w:i/>
          <w:iCs/>
        </w:rPr>
        <w:t>axation</w:t>
      </w:r>
      <w:r>
        <w:t xml:space="preserve"> [2005] ACTCA 3</w:t>
      </w:r>
      <w:r w:rsidR="00F84EC7">
        <w:t>; 58 ATR 456</w:t>
      </w:r>
      <w:r w:rsidR="00696B33">
        <w:t>, to which the Applicant also referred,</w:t>
      </w:r>
      <w:r w:rsidR="00767D2D">
        <w:t xml:space="preserve"> was similarly concerned with an application pursuant to s 459J(1)(b)</w:t>
      </w:r>
      <w:r w:rsidR="000F3A9A">
        <w:t xml:space="preserve">. The Court of Appeal held that what was contemplated by the section is </w:t>
      </w:r>
      <w:r w:rsidR="00696B33">
        <w:t>“</w:t>
      </w:r>
      <w:r w:rsidR="000F3A9A">
        <w:t>conduct that may be described as unconscionable, an abuse of process, or which gives rise to substantial injustice”. Nothing in the present case could be said to attract those descriptors.</w:t>
      </w:r>
    </w:p>
    <w:p w14:paraId="624684F4" w14:textId="6CAD512C" w:rsidR="003244D6" w:rsidRDefault="004915C2" w:rsidP="006739B6">
      <w:pPr>
        <w:pStyle w:val="ParaNumbering"/>
      </w:pPr>
      <w:r>
        <w:t>Likewise</w:t>
      </w:r>
      <w:r w:rsidR="00DD1F90">
        <w:t xml:space="preserve">, the Applicant’s reliance on </w:t>
      </w:r>
      <w:proofErr w:type="spellStart"/>
      <w:r w:rsidR="0033369E" w:rsidRPr="00ED6570">
        <w:rPr>
          <w:i/>
          <w:iCs/>
        </w:rPr>
        <w:t>Onebev</w:t>
      </w:r>
      <w:proofErr w:type="spellEnd"/>
      <w:r w:rsidR="0033369E" w:rsidRPr="00ED6570">
        <w:rPr>
          <w:i/>
          <w:iCs/>
        </w:rPr>
        <w:t xml:space="preserve"> v Encore Beverages</w:t>
      </w:r>
      <w:r w:rsidR="0033369E">
        <w:t xml:space="preserve"> [2016] VSC</w:t>
      </w:r>
      <w:r w:rsidR="00430522">
        <w:t xml:space="preserve"> 284</w:t>
      </w:r>
      <w:r w:rsidR="00F84EC7">
        <w:t>; 50 VR 106</w:t>
      </w:r>
      <w:r w:rsidR="00430522">
        <w:t xml:space="preserve"> is of no assistance in circumstances where the</w:t>
      </w:r>
      <w:r w:rsidR="005A599A">
        <w:t xml:space="preserve"> construction of</w:t>
      </w:r>
      <w:r w:rsidR="00430522">
        <w:t xml:space="preserve"> </w:t>
      </w:r>
      <w:r w:rsidR="00F84EC7">
        <w:t xml:space="preserve">the </w:t>
      </w:r>
      <w:r w:rsidR="00430522" w:rsidRPr="00ED6570">
        <w:rPr>
          <w:i/>
          <w:iCs/>
        </w:rPr>
        <w:t xml:space="preserve">Acts Interpretation Act </w:t>
      </w:r>
      <w:r w:rsidR="005A599A">
        <w:t xml:space="preserve">in the context of </w:t>
      </w:r>
      <w:r w:rsidR="00ED6570">
        <w:t>the Court’s Registry being closed on Easter Tuesday was in issue.</w:t>
      </w:r>
    </w:p>
    <w:p w14:paraId="4A828286" w14:textId="5F146D02" w:rsidR="00B975EB" w:rsidRDefault="00B975EB" w:rsidP="008438FA">
      <w:pPr>
        <w:pStyle w:val="Heading1"/>
      </w:pPr>
      <w:r>
        <w:lastRenderedPageBreak/>
        <w:t>Disposition</w:t>
      </w:r>
    </w:p>
    <w:p w14:paraId="0734D732" w14:textId="29E201CC" w:rsidR="006739B6" w:rsidRDefault="00B975EB" w:rsidP="00CD1346">
      <w:pPr>
        <w:pStyle w:val="ParaNumbering"/>
      </w:pPr>
      <w:r>
        <w:t xml:space="preserve">The </w:t>
      </w:r>
      <w:r w:rsidR="00FC2E1C">
        <w:t xml:space="preserve">Applicant </w:t>
      </w:r>
      <w:r w:rsidR="00B06BE7">
        <w:t>has not established that the application was filed and served within the 21</w:t>
      </w:r>
      <w:r w:rsidR="008438FA">
        <w:t xml:space="preserve"> </w:t>
      </w:r>
      <w:r w:rsidR="00B06BE7">
        <w:t xml:space="preserve">day period </w:t>
      </w:r>
      <w:r w:rsidR="00E302DD">
        <w:t xml:space="preserve">required by s 459G of the </w:t>
      </w:r>
      <w:r w:rsidR="00E302DD" w:rsidRPr="009C552D">
        <w:rPr>
          <w:i/>
          <w:iCs/>
        </w:rPr>
        <w:t>Corporations Act</w:t>
      </w:r>
      <w:r w:rsidR="00E302DD">
        <w:t>. Consequently, this Court has no jurisdiction to entertain the application and it must be di</w:t>
      </w:r>
      <w:r w:rsidR="00DD57AA">
        <w:t>s</w:t>
      </w:r>
      <w:r w:rsidR="00E302DD">
        <w:t>missed</w:t>
      </w:r>
      <w:r w:rsidR="00DD57AA">
        <w:t>.</w:t>
      </w:r>
    </w:p>
    <w:p w14:paraId="0BF32B7B" w14:textId="097D14EF" w:rsidR="00DD57AA" w:rsidRDefault="00DD57AA" w:rsidP="00CD1346">
      <w:pPr>
        <w:pStyle w:val="ParaNumbering"/>
      </w:pPr>
      <w:r>
        <w:t>In light of this conclusion, it is not necessary to consider the grounds relied on to set aside the statutory demand, being whether there exists a genuine dispute or a genuine offsetting claim</w:t>
      </w:r>
      <w:r w:rsidR="00B975EB">
        <w:t>.</w:t>
      </w:r>
    </w:p>
    <w:p w14:paraId="2A14A998" w14:textId="77777777" w:rsidR="00385EDD" w:rsidRDefault="00385EDD" w:rsidP="00815065">
      <w:pPr>
        <w:pStyle w:val="BodyText"/>
      </w:pPr>
      <w:bookmarkStart w:id="17" w:name="Certification"/>
    </w:p>
    <w:tbl>
      <w:tblPr>
        <w:tblW w:w="0" w:type="auto"/>
        <w:tblLook w:val="04A0" w:firstRow="1" w:lastRow="0" w:firstColumn="1" w:lastColumn="0" w:noHBand="0" w:noVBand="1"/>
      </w:tblPr>
      <w:tblGrid>
        <w:gridCol w:w="3794"/>
      </w:tblGrid>
      <w:tr w:rsidR="00385EDD" w:rsidRPr="00385EDD" w14:paraId="1E86116E" w14:textId="77777777">
        <w:tc>
          <w:tcPr>
            <w:tcW w:w="3794" w:type="dxa"/>
            <w:shd w:val="clear" w:color="auto" w:fill="auto"/>
          </w:tcPr>
          <w:p w14:paraId="75BAE8E8" w14:textId="1F0575A4" w:rsidR="00385EDD" w:rsidRPr="00385EDD" w:rsidRDefault="00385EDD" w:rsidP="00385EDD">
            <w:pPr>
              <w:pStyle w:val="Normal1linespace"/>
            </w:pPr>
            <w:r w:rsidRPr="00385EDD">
              <w:t xml:space="preserve">I certify that the preceding </w:t>
            </w:r>
            <w:bookmarkStart w:id="18" w:name="NumberWord"/>
            <w:r w:rsidR="009F016A">
              <w:t>fifty-seven</w:t>
            </w:r>
            <w:bookmarkEnd w:id="18"/>
            <w:r w:rsidRPr="00385EDD">
              <w:t xml:space="preserve"> (</w:t>
            </w:r>
            <w:bookmarkStart w:id="19" w:name="NumberNumeral"/>
            <w:r w:rsidR="009F016A">
              <w:t>57</w:t>
            </w:r>
            <w:bookmarkEnd w:id="19"/>
            <w:r w:rsidRPr="00385EDD">
              <w:t xml:space="preserve">) numbered </w:t>
            </w:r>
            <w:bookmarkStart w:id="20" w:name="CertPara"/>
            <w:r w:rsidR="009F016A">
              <w:t>paragraphs are</w:t>
            </w:r>
            <w:bookmarkEnd w:id="20"/>
            <w:r w:rsidRPr="00385EDD">
              <w:t xml:space="preserve"> a true copy of the Reasons for Judgment of </w:t>
            </w:r>
            <w:bookmarkStart w:id="21" w:name="bkHonourable"/>
            <w:r w:rsidRPr="00385EDD">
              <w:t xml:space="preserve">the Honourable </w:t>
            </w:r>
            <w:bookmarkStart w:id="22" w:name="Justice"/>
            <w:bookmarkEnd w:id="21"/>
            <w:r w:rsidR="005E553B">
              <w:t>Justice Sarah C Derrington</w:t>
            </w:r>
            <w:bookmarkEnd w:id="22"/>
            <w:r w:rsidRPr="00385EDD">
              <w:t>.</w:t>
            </w:r>
          </w:p>
        </w:tc>
      </w:tr>
    </w:tbl>
    <w:p w14:paraId="18577A43" w14:textId="77777777" w:rsidR="00385EDD" w:rsidRDefault="00385EDD" w:rsidP="00815065">
      <w:pPr>
        <w:pStyle w:val="BodyText"/>
      </w:pPr>
    </w:p>
    <w:p w14:paraId="6EFA12E3" w14:textId="6BE37DAC" w:rsidR="00385EDD" w:rsidRDefault="00385EDD" w:rsidP="00815065">
      <w:pPr>
        <w:pStyle w:val="BodyText"/>
      </w:pPr>
    </w:p>
    <w:p w14:paraId="210E3A91" w14:textId="0D2BED11" w:rsidR="00385EDD" w:rsidRDefault="00385EDD" w:rsidP="00815065">
      <w:pPr>
        <w:pStyle w:val="BodyText"/>
      </w:pPr>
      <w:r>
        <w:t>Associate:</w:t>
      </w:r>
      <w:r w:rsidR="009A34F3" w:rsidRPr="009A34F3">
        <w:rPr>
          <w:noProof/>
          <w:lang w:eastAsia="en-AU"/>
        </w:rPr>
        <w:t xml:space="preserve"> </w:t>
      </w:r>
      <w:r w:rsidR="003C3D5B">
        <w:rPr>
          <w:noProof/>
          <w:lang w:eastAsia="en-AU"/>
        </w:rPr>
        <w:t xml:space="preserve">   </w:t>
      </w:r>
    </w:p>
    <w:p w14:paraId="39E98ADE" w14:textId="77777777" w:rsidR="00385EDD" w:rsidRDefault="00385EDD" w:rsidP="00815065">
      <w:pPr>
        <w:pStyle w:val="BodyText"/>
      </w:pPr>
    </w:p>
    <w:p w14:paraId="4F813758" w14:textId="5FA07C51" w:rsidR="00385EDD" w:rsidRDefault="00385EDD" w:rsidP="00815065">
      <w:pPr>
        <w:pStyle w:val="BodyText"/>
        <w:tabs>
          <w:tab w:val="left" w:pos="1134"/>
        </w:tabs>
      </w:pPr>
      <w:r>
        <w:t>Dated:</w:t>
      </w:r>
      <w:r>
        <w:tab/>
      </w:r>
      <w:bookmarkStart w:id="23" w:name="CertifyDated"/>
      <w:r w:rsidR="005E553B">
        <w:t>23 December 2022</w:t>
      </w:r>
      <w:bookmarkEnd w:id="23"/>
    </w:p>
    <w:p w14:paraId="2B351CDD" w14:textId="77777777" w:rsidR="00385EDD" w:rsidRDefault="00385EDD" w:rsidP="00815065">
      <w:pPr>
        <w:pStyle w:val="BodyText"/>
      </w:pPr>
    </w:p>
    <w:bookmarkEnd w:id="17"/>
    <w:p w14:paraId="4CCC45CB" w14:textId="77777777" w:rsidR="001F71F3" w:rsidRDefault="001F71F3" w:rsidP="00385EDD">
      <w:pPr>
        <w:pStyle w:val="BodyText"/>
      </w:pPr>
    </w:p>
    <w:sectPr w:rsidR="001F71F3"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3B91" w14:textId="77777777" w:rsidR="00B755E2" w:rsidRDefault="00B755E2">
      <w:pPr>
        <w:spacing w:line="20" w:lineRule="exact"/>
      </w:pPr>
    </w:p>
    <w:p w14:paraId="510707DC" w14:textId="77777777" w:rsidR="00B755E2" w:rsidRDefault="00B755E2"/>
    <w:p w14:paraId="15C56921" w14:textId="77777777" w:rsidR="00B755E2" w:rsidRDefault="00B755E2"/>
  </w:endnote>
  <w:endnote w:type="continuationSeparator" w:id="0">
    <w:p w14:paraId="3B2598F0" w14:textId="77777777" w:rsidR="00B755E2" w:rsidRDefault="00B755E2">
      <w:r>
        <w:t xml:space="preserve"> </w:t>
      </w:r>
    </w:p>
    <w:p w14:paraId="2C6914DE" w14:textId="77777777" w:rsidR="00B755E2" w:rsidRDefault="00B755E2"/>
    <w:p w14:paraId="56524EC8" w14:textId="77777777" w:rsidR="00B755E2" w:rsidRDefault="00B755E2"/>
  </w:endnote>
  <w:endnote w:type="continuationNotice" w:id="1">
    <w:p w14:paraId="112660C7" w14:textId="77777777" w:rsidR="00B755E2" w:rsidRDefault="00B755E2">
      <w:r>
        <w:t xml:space="preserve"> </w:t>
      </w:r>
    </w:p>
    <w:p w14:paraId="085B6AB8" w14:textId="77777777" w:rsidR="00B755E2" w:rsidRDefault="00B755E2"/>
    <w:p w14:paraId="3619BFB4" w14:textId="77777777" w:rsidR="00B755E2" w:rsidRDefault="00B7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01A9" w14:textId="6F97214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5CEA231F" wp14:editId="1D524B15">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4C91D2"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A4EE9">
          <w:rPr>
            <w:bCs/>
            <w:sz w:val="18"/>
            <w:szCs w:val="18"/>
          </w:rPr>
          <w:t>Sandys Swim Pty Ltd v Morgan [2022] FCA 1574</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79F3" w14:textId="749A9F03"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791730E7" wp14:editId="09BC0AA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59D598"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831216538"/>
        <w:placeholder>
          <w:docPart w:val="C01E98A8C5484EDCB669D26A7F05D4A8"/>
        </w:placeholder>
        <w:dataBinding w:prefixMappings="xmlns:ns0='http://schemas.globalmacros.com/FCA'" w:xpath="/ns0:root[1]/ns0:Name[1]" w:storeItemID="{687E7CCB-4AA5-44E7-B148-17BA2B6F57C0}"/>
        <w:text w:multiLine="1"/>
      </w:sdtPr>
      <w:sdtEndPr/>
      <w:sdtContent>
        <w:r w:rsidR="009A4EE9">
          <w:rPr>
            <w:bCs/>
            <w:sz w:val="18"/>
            <w:szCs w:val="18"/>
          </w:rPr>
          <w:t>Sandys Swim Pty Ltd v Morgan [2022] FCA 1574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3D60C2">
      <w:rPr>
        <w:bCs/>
        <w:noProof/>
        <w:sz w:val="20"/>
      </w:rPr>
      <w:t>9</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477D" w14:textId="6244885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0DF252F6" wp14:editId="24655F1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7BFA02"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510263260"/>
        <w:placeholder>
          <w:docPart w:val="A2D20ED11FC9442ABF17205F9B3C97C4"/>
        </w:placeholder>
        <w:dataBinding w:prefixMappings="xmlns:ns0='http://schemas.globalmacros.com/FCA'" w:xpath="/ns0:root[1]/ns0:Name[1]" w:storeItemID="{687E7CCB-4AA5-44E7-B148-17BA2B6F57C0}"/>
        <w:text w:multiLine="1"/>
      </w:sdtPr>
      <w:sdtEndPr/>
      <w:sdtContent>
        <w:r w:rsidR="009A4EE9">
          <w:rPr>
            <w:bCs/>
            <w:sz w:val="18"/>
            <w:szCs w:val="18"/>
          </w:rPr>
          <w:t>Sandys Swim Pty Ltd v Morgan [2022] FCA 1574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5062">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9B34" w14:textId="36CC0C4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0FF70057" wp14:editId="11D4BC09">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361AA3"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9A4EE9">
          <w:rPr>
            <w:bCs/>
            <w:sz w:val="18"/>
            <w:szCs w:val="18"/>
          </w:rPr>
          <w:t>Sandys Swim Pty Ltd v Morgan [2022] FCA 1574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5062">
      <w:rPr>
        <w:bCs/>
        <w:noProof/>
        <w:sz w:val="20"/>
      </w:rPr>
      <w:t>14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2526" w14:textId="0E49C90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293E621D" wp14:editId="5946B8E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4D9340"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9A4EE9">
          <w:rPr>
            <w:bCs/>
            <w:sz w:val="18"/>
            <w:szCs w:val="18"/>
          </w:rPr>
          <w:t>Sandys Swim Pty Ltd v Morgan [2022] FCA 1574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5506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7B49" w14:textId="77777777" w:rsidR="00B755E2" w:rsidRDefault="00B755E2"/>
  </w:footnote>
  <w:footnote w:type="continuationSeparator" w:id="0">
    <w:p w14:paraId="4D6BF167" w14:textId="77777777" w:rsidR="00B755E2" w:rsidRDefault="00B755E2">
      <w:r>
        <w:continuationSeparator/>
      </w:r>
    </w:p>
    <w:p w14:paraId="4118DF53" w14:textId="77777777" w:rsidR="00B755E2" w:rsidRDefault="00B755E2"/>
    <w:p w14:paraId="723C43FF" w14:textId="77777777" w:rsidR="00B755E2" w:rsidRDefault="00B755E2"/>
  </w:footnote>
  <w:footnote w:type="continuationNotice" w:id="1">
    <w:p w14:paraId="4284E393" w14:textId="77777777" w:rsidR="00B755E2" w:rsidRDefault="00B755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9CF8"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4B6B"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8EEA" w14:textId="77777777" w:rsidR="00395B24" w:rsidRDefault="00395B24"/>
  <w:p w14:paraId="0F9FD72C" w14:textId="77777777" w:rsidR="005B4A1D" w:rsidRDefault="005B4A1D"/>
  <w:p w14:paraId="62479AA5" w14:textId="77777777" w:rsidR="005B4A1D" w:rsidRDefault="005B4A1D"/>
  <w:p w14:paraId="65C341D4" w14:textId="77777777" w:rsidR="005B4A1D" w:rsidRDefault="005B4A1D"/>
  <w:p w14:paraId="5D4BC6CE" w14:textId="77777777" w:rsidR="005B4A1D" w:rsidRDefault="005B4A1D"/>
  <w:p w14:paraId="17F4C737" w14:textId="77777777" w:rsidR="005B4A1D" w:rsidRDefault="005B4A1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6BB2" w14:textId="77777777" w:rsidR="005B4A1D" w:rsidRDefault="005B4A1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00A7" w14:textId="77777777" w:rsidR="005B4A1D" w:rsidRDefault="005B4A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661"/>
        </w:tabs>
        <w:ind w:left="661"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81649"/>
    <w:multiLevelType w:val="hybridMultilevel"/>
    <w:tmpl w:val="2D6874C8"/>
    <w:lvl w:ilvl="0" w:tplc="B792CDDA">
      <w:start w:val="1"/>
      <w:numFmt w:val="decimal"/>
      <w:lvlText w:val="(%1)"/>
      <w:lvlJc w:val="left"/>
      <w:pPr>
        <w:ind w:left="2260" w:hanging="704"/>
      </w:pPr>
      <w:rPr>
        <w:rFonts w:ascii="Times New Roman" w:eastAsia="Times New Roman" w:hAnsi="Times New Roman" w:cs="Times New Roman" w:hint="default"/>
        <w:b w:val="0"/>
        <w:bCs w:val="0"/>
        <w:i w:val="0"/>
        <w:iCs w:val="0"/>
        <w:spacing w:val="-1"/>
        <w:w w:val="100"/>
        <w:sz w:val="24"/>
        <w:szCs w:val="24"/>
        <w:lang w:val="en-US" w:eastAsia="en-US" w:bidi="ar-SA"/>
      </w:rPr>
    </w:lvl>
    <w:lvl w:ilvl="1" w:tplc="ADD07A18">
      <w:start w:val="1"/>
      <w:numFmt w:val="lowerLetter"/>
      <w:lvlText w:val="(%2)"/>
      <w:lvlJc w:val="left"/>
      <w:pPr>
        <w:ind w:left="29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843EA620">
      <w:start w:val="1"/>
      <w:numFmt w:val="lowerRoman"/>
      <w:lvlText w:val="(%3)"/>
      <w:lvlJc w:val="left"/>
      <w:pPr>
        <w:ind w:left="37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AE4E659E">
      <w:numFmt w:val="bullet"/>
      <w:lvlText w:val="•"/>
      <w:lvlJc w:val="left"/>
      <w:pPr>
        <w:ind w:left="4500" w:hanging="720"/>
      </w:pPr>
      <w:rPr>
        <w:rFonts w:hint="default"/>
        <w:lang w:val="en-US" w:eastAsia="en-US" w:bidi="ar-SA"/>
      </w:rPr>
    </w:lvl>
    <w:lvl w:ilvl="4" w:tplc="C004F7F0">
      <w:numFmt w:val="bullet"/>
      <w:lvlText w:val="•"/>
      <w:lvlJc w:val="left"/>
      <w:pPr>
        <w:ind w:left="5301" w:hanging="720"/>
      </w:pPr>
      <w:rPr>
        <w:rFonts w:hint="default"/>
        <w:lang w:val="en-US" w:eastAsia="en-US" w:bidi="ar-SA"/>
      </w:rPr>
    </w:lvl>
    <w:lvl w:ilvl="5" w:tplc="6C4CFBAA">
      <w:numFmt w:val="bullet"/>
      <w:lvlText w:val="•"/>
      <w:lvlJc w:val="left"/>
      <w:pPr>
        <w:ind w:left="6102" w:hanging="720"/>
      </w:pPr>
      <w:rPr>
        <w:rFonts w:hint="default"/>
        <w:lang w:val="en-US" w:eastAsia="en-US" w:bidi="ar-SA"/>
      </w:rPr>
    </w:lvl>
    <w:lvl w:ilvl="6" w:tplc="5ADE4E58">
      <w:numFmt w:val="bullet"/>
      <w:lvlText w:val="•"/>
      <w:lvlJc w:val="left"/>
      <w:pPr>
        <w:ind w:left="6903" w:hanging="720"/>
      </w:pPr>
      <w:rPr>
        <w:rFonts w:hint="default"/>
        <w:lang w:val="en-US" w:eastAsia="en-US" w:bidi="ar-SA"/>
      </w:rPr>
    </w:lvl>
    <w:lvl w:ilvl="7" w:tplc="1CA8C1C6">
      <w:numFmt w:val="bullet"/>
      <w:lvlText w:val="•"/>
      <w:lvlJc w:val="left"/>
      <w:pPr>
        <w:ind w:left="7704" w:hanging="720"/>
      </w:pPr>
      <w:rPr>
        <w:rFonts w:hint="default"/>
        <w:lang w:val="en-US" w:eastAsia="en-US" w:bidi="ar-SA"/>
      </w:rPr>
    </w:lvl>
    <w:lvl w:ilvl="8" w:tplc="7B329684">
      <w:numFmt w:val="bullet"/>
      <w:lvlText w:val="•"/>
      <w:lvlJc w:val="left"/>
      <w:pPr>
        <w:ind w:left="8504" w:hanging="720"/>
      </w:pPr>
      <w:rPr>
        <w:rFonts w:hint="default"/>
        <w:lang w:val="en-US" w:eastAsia="en-US" w:bidi="ar-SA"/>
      </w:rPr>
    </w:lvl>
  </w:abstractNum>
  <w:abstractNum w:abstractNumId="11" w15:restartNumberingAfterBreak="0">
    <w:nsid w:val="01943899"/>
    <w:multiLevelType w:val="hybridMultilevel"/>
    <w:tmpl w:val="9DD44DB2"/>
    <w:lvl w:ilvl="0" w:tplc="94A024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05DD1099"/>
    <w:multiLevelType w:val="hybridMultilevel"/>
    <w:tmpl w:val="C6EA7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12685ECE"/>
    <w:multiLevelType w:val="hybridMultilevel"/>
    <w:tmpl w:val="A1301C96"/>
    <w:lvl w:ilvl="0" w:tplc="0622870A">
      <w:start w:val="3"/>
      <w:numFmt w:val="decimal"/>
      <w:lvlText w:val="(%1)"/>
      <w:lvlJc w:val="left"/>
      <w:pPr>
        <w:ind w:left="2980" w:hanging="721"/>
      </w:pPr>
      <w:rPr>
        <w:rFonts w:ascii="Times New Roman" w:eastAsia="Times New Roman" w:hAnsi="Times New Roman" w:cs="Times New Roman" w:hint="default"/>
        <w:b w:val="0"/>
        <w:bCs w:val="0"/>
        <w:i w:val="0"/>
        <w:iCs w:val="0"/>
        <w:w w:val="100"/>
        <w:sz w:val="22"/>
        <w:szCs w:val="22"/>
        <w:lang w:val="en-US" w:eastAsia="en-US" w:bidi="ar-SA"/>
      </w:rPr>
    </w:lvl>
    <w:lvl w:ilvl="1" w:tplc="F1420AA0">
      <w:start w:val="1"/>
      <w:numFmt w:val="lowerLetter"/>
      <w:lvlText w:val="(%2)"/>
      <w:lvlJc w:val="left"/>
      <w:pPr>
        <w:ind w:left="3683" w:hanging="721"/>
      </w:pPr>
      <w:rPr>
        <w:rFonts w:ascii="Times New Roman" w:eastAsia="Times New Roman" w:hAnsi="Times New Roman" w:cs="Times New Roman" w:hint="default"/>
        <w:b w:val="0"/>
        <w:bCs w:val="0"/>
        <w:i w:val="0"/>
        <w:iCs w:val="0"/>
        <w:w w:val="100"/>
        <w:sz w:val="22"/>
        <w:szCs w:val="22"/>
        <w:lang w:val="en-US" w:eastAsia="en-US" w:bidi="ar-SA"/>
      </w:rPr>
    </w:lvl>
    <w:lvl w:ilvl="2" w:tplc="F3521C20">
      <w:start w:val="1"/>
      <w:numFmt w:val="lowerRoman"/>
      <w:lvlText w:val="(%3)"/>
      <w:lvlJc w:val="left"/>
      <w:pPr>
        <w:ind w:left="4403" w:hanging="721"/>
      </w:pPr>
      <w:rPr>
        <w:rFonts w:ascii="Times New Roman" w:eastAsia="Times New Roman" w:hAnsi="Times New Roman" w:cs="Times New Roman" w:hint="default"/>
        <w:b w:val="0"/>
        <w:bCs w:val="0"/>
        <w:i w:val="0"/>
        <w:iCs w:val="0"/>
        <w:w w:val="100"/>
        <w:sz w:val="22"/>
        <w:szCs w:val="22"/>
        <w:lang w:val="en-US" w:eastAsia="en-US" w:bidi="ar-SA"/>
      </w:rPr>
    </w:lvl>
    <w:lvl w:ilvl="3" w:tplc="4AD2DB2E">
      <w:numFmt w:val="bullet"/>
      <w:lvlText w:val="•"/>
      <w:lvlJc w:val="left"/>
      <w:pPr>
        <w:ind w:left="5113" w:hanging="721"/>
      </w:pPr>
      <w:rPr>
        <w:rFonts w:hint="default"/>
        <w:lang w:val="en-US" w:eastAsia="en-US" w:bidi="ar-SA"/>
      </w:rPr>
    </w:lvl>
    <w:lvl w:ilvl="4" w:tplc="35BA878E">
      <w:numFmt w:val="bullet"/>
      <w:lvlText w:val="•"/>
      <w:lvlJc w:val="left"/>
      <w:pPr>
        <w:ind w:left="5826" w:hanging="721"/>
      </w:pPr>
      <w:rPr>
        <w:rFonts w:hint="default"/>
        <w:lang w:val="en-US" w:eastAsia="en-US" w:bidi="ar-SA"/>
      </w:rPr>
    </w:lvl>
    <w:lvl w:ilvl="5" w:tplc="CEC03084">
      <w:numFmt w:val="bullet"/>
      <w:lvlText w:val="•"/>
      <w:lvlJc w:val="left"/>
      <w:pPr>
        <w:ind w:left="6539" w:hanging="721"/>
      </w:pPr>
      <w:rPr>
        <w:rFonts w:hint="default"/>
        <w:lang w:val="en-US" w:eastAsia="en-US" w:bidi="ar-SA"/>
      </w:rPr>
    </w:lvl>
    <w:lvl w:ilvl="6" w:tplc="C4EADCD0">
      <w:numFmt w:val="bullet"/>
      <w:lvlText w:val="•"/>
      <w:lvlJc w:val="left"/>
      <w:pPr>
        <w:ind w:left="7253" w:hanging="721"/>
      </w:pPr>
      <w:rPr>
        <w:rFonts w:hint="default"/>
        <w:lang w:val="en-US" w:eastAsia="en-US" w:bidi="ar-SA"/>
      </w:rPr>
    </w:lvl>
    <w:lvl w:ilvl="7" w:tplc="948C3F70">
      <w:numFmt w:val="bullet"/>
      <w:lvlText w:val="•"/>
      <w:lvlJc w:val="left"/>
      <w:pPr>
        <w:ind w:left="7966" w:hanging="721"/>
      </w:pPr>
      <w:rPr>
        <w:rFonts w:hint="default"/>
        <w:lang w:val="en-US" w:eastAsia="en-US" w:bidi="ar-SA"/>
      </w:rPr>
    </w:lvl>
    <w:lvl w:ilvl="8" w:tplc="23885F6E">
      <w:numFmt w:val="bullet"/>
      <w:lvlText w:val="•"/>
      <w:lvlJc w:val="left"/>
      <w:pPr>
        <w:ind w:left="8679" w:hanging="721"/>
      </w:pPr>
      <w:rPr>
        <w:rFonts w:hint="default"/>
        <w:lang w:val="en-US" w:eastAsia="en-US" w:bidi="ar-SA"/>
      </w:rPr>
    </w:lvl>
  </w:abstractNum>
  <w:abstractNum w:abstractNumId="16"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17C52142"/>
    <w:multiLevelType w:val="hybridMultilevel"/>
    <w:tmpl w:val="484E5F12"/>
    <w:lvl w:ilvl="0" w:tplc="4104A7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9" w15:restartNumberingAfterBreak="0">
    <w:nsid w:val="1E997CBF"/>
    <w:multiLevelType w:val="hybridMultilevel"/>
    <w:tmpl w:val="B75251E8"/>
    <w:lvl w:ilvl="0" w:tplc="D20CCE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FB46656"/>
    <w:multiLevelType w:val="hybridMultilevel"/>
    <w:tmpl w:val="E32A46D4"/>
    <w:lvl w:ilvl="0" w:tplc="89C005DA">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3D1F19"/>
    <w:multiLevelType w:val="hybridMultilevel"/>
    <w:tmpl w:val="52760B12"/>
    <w:lvl w:ilvl="0" w:tplc="05107210">
      <w:start w:val="1"/>
      <w:numFmt w:val="decimal"/>
      <w:lvlText w:val="(%1)"/>
      <w:lvlJc w:val="left"/>
      <w:pPr>
        <w:ind w:left="1919"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tplc="713478E2">
      <w:start w:val="1"/>
      <w:numFmt w:val="lowerLetter"/>
      <w:lvlText w:val="(%2)"/>
      <w:lvlJc w:val="left"/>
      <w:pPr>
        <w:ind w:left="2980" w:hanging="720"/>
      </w:pPr>
      <w:rPr>
        <w:rFonts w:hint="default"/>
        <w:spacing w:val="-1"/>
        <w:w w:val="100"/>
        <w:lang w:val="en-US" w:eastAsia="en-US" w:bidi="ar-SA"/>
      </w:rPr>
    </w:lvl>
    <w:lvl w:ilvl="2" w:tplc="F56AAB34">
      <w:numFmt w:val="bullet"/>
      <w:lvlText w:val="•"/>
      <w:lvlJc w:val="left"/>
      <w:pPr>
        <w:ind w:left="3771" w:hanging="720"/>
      </w:pPr>
      <w:rPr>
        <w:rFonts w:hint="default"/>
        <w:lang w:val="en-US" w:eastAsia="en-US" w:bidi="ar-SA"/>
      </w:rPr>
    </w:lvl>
    <w:lvl w:ilvl="3" w:tplc="9F609D18">
      <w:numFmt w:val="bullet"/>
      <w:lvlText w:val="•"/>
      <w:lvlJc w:val="left"/>
      <w:pPr>
        <w:ind w:left="4563" w:hanging="720"/>
      </w:pPr>
      <w:rPr>
        <w:rFonts w:hint="default"/>
        <w:lang w:val="en-US" w:eastAsia="en-US" w:bidi="ar-SA"/>
      </w:rPr>
    </w:lvl>
    <w:lvl w:ilvl="4" w:tplc="27F07FC4">
      <w:numFmt w:val="bullet"/>
      <w:lvlText w:val="•"/>
      <w:lvlJc w:val="left"/>
      <w:pPr>
        <w:ind w:left="5355" w:hanging="720"/>
      </w:pPr>
      <w:rPr>
        <w:rFonts w:hint="default"/>
        <w:lang w:val="en-US" w:eastAsia="en-US" w:bidi="ar-SA"/>
      </w:rPr>
    </w:lvl>
    <w:lvl w:ilvl="5" w:tplc="E99CBC36">
      <w:numFmt w:val="bullet"/>
      <w:lvlText w:val="•"/>
      <w:lvlJc w:val="left"/>
      <w:pPr>
        <w:ind w:left="6147" w:hanging="720"/>
      </w:pPr>
      <w:rPr>
        <w:rFonts w:hint="default"/>
        <w:lang w:val="en-US" w:eastAsia="en-US" w:bidi="ar-SA"/>
      </w:rPr>
    </w:lvl>
    <w:lvl w:ilvl="6" w:tplc="1D720744">
      <w:numFmt w:val="bullet"/>
      <w:lvlText w:val="•"/>
      <w:lvlJc w:val="left"/>
      <w:pPr>
        <w:ind w:left="6939" w:hanging="720"/>
      </w:pPr>
      <w:rPr>
        <w:rFonts w:hint="default"/>
        <w:lang w:val="en-US" w:eastAsia="en-US" w:bidi="ar-SA"/>
      </w:rPr>
    </w:lvl>
    <w:lvl w:ilvl="7" w:tplc="3BC451AA">
      <w:numFmt w:val="bullet"/>
      <w:lvlText w:val="•"/>
      <w:lvlJc w:val="left"/>
      <w:pPr>
        <w:ind w:left="7730" w:hanging="720"/>
      </w:pPr>
      <w:rPr>
        <w:rFonts w:hint="default"/>
        <w:lang w:val="en-US" w:eastAsia="en-US" w:bidi="ar-SA"/>
      </w:rPr>
    </w:lvl>
    <w:lvl w:ilvl="8" w:tplc="73283478">
      <w:numFmt w:val="bullet"/>
      <w:lvlText w:val="•"/>
      <w:lvlJc w:val="left"/>
      <w:pPr>
        <w:ind w:left="8522" w:hanging="720"/>
      </w:pPr>
      <w:rPr>
        <w:rFonts w:hint="default"/>
        <w:lang w:val="en-US" w:eastAsia="en-US" w:bidi="ar-SA"/>
      </w:rPr>
    </w:lvl>
  </w:abstractNum>
  <w:abstractNum w:abstractNumId="22"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3"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4"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2C590742"/>
    <w:multiLevelType w:val="hybridMultilevel"/>
    <w:tmpl w:val="5BF4F81A"/>
    <w:lvl w:ilvl="0" w:tplc="5EAE9DF2">
      <w:start w:val="1"/>
      <w:numFmt w:val="lowerLetter"/>
      <w:lvlText w:val="(%1)"/>
      <w:lvlJc w:val="left"/>
      <w:pPr>
        <w:ind w:left="1080" w:hanging="360"/>
      </w:pPr>
      <w:rPr>
        <w:rFonts w:ascii="Times New Roman" w:eastAsia="Times New Roman" w:hAnsi="Times New Roman" w:cs="Times New Roman" w:hint="default"/>
        <w:b w:val="0"/>
        <w:bCs w:val="0"/>
        <w:i w:val="0"/>
        <w:iCs w:val="0"/>
        <w:w w:val="100"/>
        <w:sz w:val="22"/>
        <w:szCs w:val="22"/>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CF439D"/>
    <w:multiLevelType w:val="hybridMultilevel"/>
    <w:tmpl w:val="49F24902"/>
    <w:lvl w:ilvl="0" w:tplc="CF42CE64">
      <w:start w:val="1"/>
      <w:numFmt w:val="decimal"/>
      <w:lvlText w:val="(%1)"/>
      <w:lvlJc w:val="left"/>
      <w:pPr>
        <w:ind w:left="1099" w:hanging="39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9" w15:restartNumberingAfterBreak="0">
    <w:nsid w:val="33F62733"/>
    <w:multiLevelType w:val="hybridMultilevel"/>
    <w:tmpl w:val="2E805940"/>
    <w:lvl w:ilvl="0" w:tplc="76700074">
      <w:start w:val="47"/>
      <w:numFmt w:val="decimal"/>
      <w:lvlText w:val="[%1]"/>
      <w:lvlJc w:val="left"/>
      <w:pPr>
        <w:ind w:left="2260" w:hanging="721"/>
      </w:pPr>
      <w:rPr>
        <w:rFonts w:ascii="Times New Roman" w:eastAsia="Times New Roman" w:hAnsi="Times New Roman" w:cs="Times New Roman" w:hint="default"/>
        <w:b w:val="0"/>
        <w:bCs w:val="0"/>
        <w:i w:val="0"/>
        <w:iCs w:val="0"/>
        <w:w w:val="100"/>
        <w:sz w:val="22"/>
        <w:szCs w:val="22"/>
        <w:lang w:val="en-US" w:eastAsia="en-US" w:bidi="ar-SA"/>
      </w:rPr>
    </w:lvl>
    <w:lvl w:ilvl="1" w:tplc="9BEC11BE">
      <w:start w:val="1"/>
      <w:numFmt w:val="decimal"/>
      <w:lvlText w:val="(%2)"/>
      <w:lvlJc w:val="left"/>
      <w:pPr>
        <w:ind w:left="2980" w:hanging="721"/>
      </w:pPr>
      <w:rPr>
        <w:rFonts w:ascii="Times New Roman" w:eastAsia="Times New Roman" w:hAnsi="Times New Roman" w:cs="Times New Roman" w:hint="default"/>
        <w:b w:val="0"/>
        <w:bCs w:val="0"/>
        <w:i w:val="0"/>
        <w:iCs w:val="0"/>
        <w:w w:val="100"/>
        <w:sz w:val="22"/>
        <w:szCs w:val="22"/>
        <w:lang w:val="en-US" w:eastAsia="en-US" w:bidi="ar-SA"/>
      </w:rPr>
    </w:lvl>
    <w:lvl w:ilvl="2" w:tplc="01A0D610">
      <w:start w:val="1"/>
      <w:numFmt w:val="lowerLetter"/>
      <w:lvlText w:val="(%3)"/>
      <w:lvlJc w:val="left"/>
      <w:pPr>
        <w:ind w:left="2963" w:hanging="737"/>
      </w:pPr>
      <w:rPr>
        <w:rFonts w:ascii="Times New Roman" w:eastAsia="Times New Roman" w:hAnsi="Times New Roman" w:cs="Times New Roman" w:hint="default"/>
        <w:b w:val="0"/>
        <w:bCs w:val="0"/>
        <w:i w:val="0"/>
        <w:iCs w:val="0"/>
        <w:w w:val="100"/>
        <w:sz w:val="22"/>
        <w:szCs w:val="22"/>
        <w:lang w:val="en-US" w:eastAsia="en-US" w:bidi="ar-SA"/>
      </w:rPr>
    </w:lvl>
    <w:lvl w:ilvl="3" w:tplc="E5AA683C">
      <w:numFmt w:val="bullet"/>
      <w:lvlText w:val="•"/>
      <w:lvlJc w:val="left"/>
      <w:pPr>
        <w:ind w:left="3680" w:hanging="737"/>
      </w:pPr>
      <w:rPr>
        <w:rFonts w:hint="default"/>
        <w:lang w:val="en-US" w:eastAsia="en-US" w:bidi="ar-SA"/>
      </w:rPr>
    </w:lvl>
    <w:lvl w:ilvl="4" w:tplc="66064B30">
      <w:numFmt w:val="bullet"/>
      <w:lvlText w:val="•"/>
      <w:lvlJc w:val="left"/>
      <w:pPr>
        <w:ind w:left="4598" w:hanging="737"/>
      </w:pPr>
      <w:rPr>
        <w:rFonts w:hint="default"/>
        <w:lang w:val="en-US" w:eastAsia="en-US" w:bidi="ar-SA"/>
      </w:rPr>
    </w:lvl>
    <w:lvl w:ilvl="5" w:tplc="DC68FBAC">
      <w:numFmt w:val="bullet"/>
      <w:lvlText w:val="•"/>
      <w:lvlJc w:val="left"/>
      <w:pPr>
        <w:ind w:left="5516" w:hanging="737"/>
      </w:pPr>
      <w:rPr>
        <w:rFonts w:hint="default"/>
        <w:lang w:val="en-US" w:eastAsia="en-US" w:bidi="ar-SA"/>
      </w:rPr>
    </w:lvl>
    <w:lvl w:ilvl="6" w:tplc="B984863C">
      <w:numFmt w:val="bullet"/>
      <w:lvlText w:val="•"/>
      <w:lvlJc w:val="left"/>
      <w:pPr>
        <w:ind w:left="6434" w:hanging="737"/>
      </w:pPr>
      <w:rPr>
        <w:rFonts w:hint="default"/>
        <w:lang w:val="en-US" w:eastAsia="en-US" w:bidi="ar-SA"/>
      </w:rPr>
    </w:lvl>
    <w:lvl w:ilvl="7" w:tplc="0EC865D2">
      <w:numFmt w:val="bullet"/>
      <w:lvlText w:val="•"/>
      <w:lvlJc w:val="left"/>
      <w:pPr>
        <w:ind w:left="7352" w:hanging="737"/>
      </w:pPr>
      <w:rPr>
        <w:rFonts w:hint="default"/>
        <w:lang w:val="en-US" w:eastAsia="en-US" w:bidi="ar-SA"/>
      </w:rPr>
    </w:lvl>
    <w:lvl w:ilvl="8" w:tplc="B7AE34AA">
      <w:numFmt w:val="bullet"/>
      <w:lvlText w:val="•"/>
      <w:lvlJc w:val="left"/>
      <w:pPr>
        <w:ind w:left="8270" w:hanging="737"/>
      </w:pPr>
      <w:rPr>
        <w:rFonts w:hint="default"/>
        <w:lang w:val="en-US" w:eastAsia="en-US" w:bidi="ar-SA"/>
      </w:rPr>
    </w:lvl>
  </w:abstractNum>
  <w:abstractNum w:abstractNumId="30" w15:restartNumberingAfterBreak="0">
    <w:nsid w:val="45870CA6"/>
    <w:multiLevelType w:val="hybridMultilevel"/>
    <w:tmpl w:val="75DE6A5E"/>
    <w:lvl w:ilvl="0" w:tplc="FEC6B078">
      <w:start w:val="1"/>
      <w:numFmt w:val="lowerLetter"/>
      <w:lvlText w:val="(%1)"/>
      <w:lvlJc w:val="left"/>
      <w:pPr>
        <w:ind w:left="720" w:hanging="360"/>
      </w:pPr>
      <w:rPr>
        <w:rFonts w:ascii="Times New Roman" w:eastAsia="Times New Roman" w:hAnsi="Times New Roman" w:cs="Times New Roman" w:hint="default"/>
        <w:b w:val="0"/>
        <w:bCs w:val="0"/>
        <w:i w:val="0"/>
        <w:iCs w:val="0"/>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CD16BA"/>
    <w:multiLevelType w:val="hybridMultilevel"/>
    <w:tmpl w:val="7BB08C40"/>
    <w:lvl w:ilvl="0" w:tplc="B45CB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5E7AE3"/>
    <w:multiLevelType w:val="hybridMultilevel"/>
    <w:tmpl w:val="462EBA96"/>
    <w:lvl w:ilvl="0" w:tplc="7D0483EC">
      <w:start w:val="47"/>
      <w:numFmt w:val="decimal"/>
      <w:lvlText w:val="[%1]"/>
      <w:lvlJc w:val="left"/>
      <w:pPr>
        <w:ind w:left="2260" w:hanging="721"/>
      </w:pPr>
      <w:rPr>
        <w:rFonts w:ascii="Times New Roman" w:eastAsia="Times New Roman" w:hAnsi="Times New Roman" w:cs="Times New Roman" w:hint="default"/>
        <w:b w:val="0"/>
        <w:bCs w:val="0"/>
        <w:i w:val="0"/>
        <w:iCs w:val="0"/>
        <w:w w:val="100"/>
        <w:sz w:val="22"/>
        <w:szCs w:val="22"/>
        <w:lang w:val="en-US" w:eastAsia="en-US" w:bidi="ar-SA"/>
      </w:rPr>
    </w:lvl>
    <w:lvl w:ilvl="1" w:tplc="54FCB640">
      <w:start w:val="1"/>
      <w:numFmt w:val="decimal"/>
      <w:lvlText w:val="(%2)"/>
      <w:lvlJc w:val="left"/>
      <w:pPr>
        <w:ind w:left="2848" w:hanging="721"/>
      </w:pPr>
      <w:rPr>
        <w:rFonts w:ascii="Times New Roman" w:eastAsia="Times New Roman" w:hAnsi="Times New Roman" w:cs="Times New Roman" w:hint="default"/>
        <w:b w:val="0"/>
        <w:bCs w:val="0"/>
        <w:i w:val="0"/>
        <w:iCs w:val="0"/>
        <w:w w:val="100"/>
        <w:sz w:val="22"/>
        <w:szCs w:val="22"/>
        <w:lang w:val="en-US" w:eastAsia="en-US" w:bidi="ar-SA"/>
      </w:rPr>
    </w:lvl>
    <w:lvl w:ilvl="2" w:tplc="35C06B1E">
      <w:start w:val="1"/>
      <w:numFmt w:val="lowerLetter"/>
      <w:lvlText w:val="(%3)"/>
      <w:lvlJc w:val="left"/>
      <w:pPr>
        <w:ind w:left="2963" w:hanging="737"/>
      </w:pPr>
      <w:rPr>
        <w:rFonts w:ascii="Times New Roman" w:eastAsia="Times New Roman" w:hAnsi="Times New Roman" w:cs="Times New Roman" w:hint="default"/>
        <w:b w:val="0"/>
        <w:bCs w:val="0"/>
        <w:i w:val="0"/>
        <w:iCs w:val="0"/>
        <w:w w:val="100"/>
        <w:sz w:val="22"/>
        <w:szCs w:val="22"/>
        <w:lang w:val="en-US" w:eastAsia="en-US" w:bidi="ar-SA"/>
      </w:rPr>
    </w:lvl>
    <w:lvl w:ilvl="3" w:tplc="E40EA6F4">
      <w:numFmt w:val="bullet"/>
      <w:lvlText w:val="•"/>
      <w:lvlJc w:val="left"/>
      <w:pPr>
        <w:ind w:left="3680" w:hanging="737"/>
      </w:pPr>
      <w:rPr>
        <w:rFonts w:hint="default"/>
        <w:lang w:val="en-US" w:eastAsia="en-US" w:bidi="ar-SA"/>
      </w:rPr>
    </w:lvl>
    <w:lvl w:ilvl="4" w:tplc="749CF9A4">
      <w:numFmt w:val="bullet"/>
      <w:lvlText w:val="•"/>
      <w:lvlJc w:val="left"/>
      <w:pPr>
        <w:ind w:left="4598" w:hanging="737"/>
      </w:pPr>
      <w:rPr>
        <w:rFonts w:hint="default"/>
        <w:lang w:val="en-US" w:eastAsia="en-US" w:bidi="ar-SA"/>
      </w:rPr>
    </w:lvl>
    <w:lvl w:ilvl="5" w:tplc="8C2AA334">
      <w:numFmt w:val="bullet"/>
      <w:lvlText w:val="•"/>
      <w:lvlJc w:val="left"/>
      <w:pPr>
        <w:ind w:left="5516" w:hanging="737"/>
      </w:pPr>
      <w:rPr>
        <w:rFonts w:hint="default"/>
        <w:lang w:val="en-US" w:eastAsia="en-US" w:bidi="ar-SA"/>
      </w:rPr>
    </w:lvl>
    <w:lvl w:ilvl="6" w:tplc="7AC20ACC">
      <w:numFmt w:val="bullet"/>
      <w:lvlText w:val="•"/>
      <w:lvlJc w:val="left"/>
      <w:pPr>
        <w:ind w:left="6434" w:hanging="737"/>
      </w:pPr>
      <w:rPr>
        <w:rFonts w:hint="default"/>
        <w:lang w:val="en-US" w:eastAsia="en-US" w:bidi="ar-SA"/>
      </w:rPr>
    </w:lvl>
    <w:lvl w:ilvl="7" w:tplc="72743A4C">
      <w:numFmt w:val="bullet"/>
      <w:lvlText w:val="•"/>
      <w:lvlJc w:val="left"/>
      <w:pPr>
        <w:ind w:left="7352" w:hanging="737"/>
      </w:pPr>
      <w:rPr>
        <w:rFonts w:hint="default"/>
        <w:lang w:val="en-US" w:eastAsia="en-US" w:bidi="ar-SA"/>
      </w:rPr>
    </w:lvl>
    <w:lvl w:ilvl="8" w:tplc="D60AB854">
      <w:numFmt w:val="bullet"/>
      <w:lvlText w:val="•"/>
      <w:lvlJc w:val="left"/>
      <w:pPr>
        <w:ind w:left="8270" w:hanging="737"/>
      </w:pPr>
      <w:rPr>
        <w:rFonts w:hint="default"/>
        <w:lang w:val="en-US" w:eastAsia="en-US" w:bidi="ar-SA"/>
      </w:rPr>
    </w:lvl>
  </w:abstractNum>
  <w:abstractNum w:abstractNumId="33" w15:restartNumberingAfterBreak="0">
    <w:nsid w:val="48DA1422"/>
    <w:multiLevelType w:val="hybridMultilevel"/>
    <w:tmpl w:val="451E2554"/>
    <w:lvl w:ilvl="0" w:tplc="5468B02E">
      <w:start w:val="1"/>
      <w:numFmt w:val="decimal"/>
      <w:lvlText w:val="(%1)"/>
      <w:lvlJc w:val="left"/>
      <w:pPr>
        <w:ind w:left="1429" w:hanging="720"/>
      </w:pPr>
      <w:rPr>
        <w:rFonts w:hint="default"/>
        <w:spacing w:val="-1"/>
        <w:w w:val="100"/>
        <w:lang w:val="en-US" w:eastAsia="en-US" w:bidi="ar-SA"/>
      </w:rPr>
    </w:lvl>
    <w:lvl w:ilvl="1" w:tplc="5EAE9DF2">
      <w:start w:val="1"/>
      <w:numFmt w:val="lowerLetter"/>
      <w:lvlText w:val="(%2)"/>
      <w:lvlJc w:val="left"/>
      <w:pPr>
        <w:ind w:left="2149" w:hanging="721"/>
      </w:pPr>
      <w:rPr>
        <w:rFonts w:ascii="Times New Roman" w:eastAsia="Times New Roman" w:hAnsi="Times New Roman" w:cs="Times New Roman" w:hint="default"/>
        <w:b w:val="0"/>
        <w:bCs w:val="0"/>
        <w:i w:val="0"/>
        <w:iCs w:val="0"/>
        <w:w w:val="100"/>
        <w:sz w:val="22"/>
        <w:szCs w:val="22"/>
        <w:lang w:val="en-US" w:eastAsia="en-US" w:bidi="ar-SA"/>
      </w:rPr>
    </w:lvl>
    <w:lvl w:ilvl="2" w:tplc="D9A07458">
      <w:numFmt w:val="bullet"/>
      <w:lvlText w:val="•"/>
      <w:lvlJc w:val="left"/>
      <w:pPr>
        <w:ind w:left="2940" w:hanging="721"/>
      </w:pPr>
      <w:rPr>
        <w:rFonts w:hint="default"/>
        <w:lang w:val="en-US" w:eastAsia="en-US" w:bidi="ar-SA"/>
      </w:rPr>
    </w:lvl>
    <w:lvl w:ilvl="3" w:tplc="B86A2952">
      <w:numFmt w:val="bullet"/>
      <w:lvlText w:val="•"/>
      <w:lvlJc w:val="left"/>
      <w:pPr>
        <w:ind w:left="3732" w:hanging="721"/>
      </w:pPr>
      <w:rPr>
        <w:rFonts w:hint="default"/>
        <w:lang w:val="en-US" w:eastAsia="en-US" w:bidi="ar-SA"/>
      </w:rPr>
    </w:lvl>
    <w:lvl w:ilvl="4" w:tplc="76C04058">
      <w:numFmt w:val="bullet"/>
      <w:lvlText w:val="•"/>
      <w:lvlJc w:val="left"/>
      <w:pPr>
        <w:ind w:left="4524" w:hanging="721"/>
      </w:pPr>
      <w:rPr>
        <w:rFonts w:hint="default"/>
        <w:lang w:val="en-US" w:eastAsia="en-US" w:bidi="ar-SA"/>
      </w:rPr>
    </w:lvl>
    <w:lvl w:ilvl="5" w:tplc="ED8E0D62">
      <w:numFmt w:val="bullet"/>
      <w:lvlText w:val="•"/>
      <w:lvlJc w:val="left"/>
      <w:pPr>
        <w:ind w:left="5316" w:hanging="721"/>
      </w:pPr>
      <w:rPr>
        <w:rFonts w:hint="default"/>
        <w:lang w:val="en-US" w:eastAsia="en-US" w:bidi="ar-SA"/>
      </w:rPr>
    </w:lvl>
    <w:lvl w:ilvl="6" w:tplc="A544A7E2">
      <w:numFmt w:val="bullet"/>
      <w:lvlText w:val="•"/>
      <w:lvlJc w:val="left"/>
      <w:pPr>
        <w:ind w:left="6108" w:hanging="721"/>
      </w:pPr>
      <w:rPr>
        <w:rFonts w:hint="default"/>
        <w:lang w:val="en-US" w:eastAsia="en-US" w:bidi="ar-SA"/>
      </w:rPr>
    </w:lvl>
    <w:lvl w:ilvl="7" w:tplc="30628E74">
      <w:numFmt w:val="bullet"/>
      <w:lvlText w:val="•"/>
      <w:lvlJc w:val="left"/>
      <w:pPr>
        <w:ind w:left="6899" w:hanging="721"/>
      </w:pPr>
      <w:rPr>
        <w:rFonts w:hint="default"/>
        <w:lang w:val="en-US" w:eastAsia="en-US" w:bidi="ar-SA"/>
      </w:rPr>
    </w:lvl>
    <w:lvl w:ilvl="8" w:tplc="82045438">
      <w:numFmt w:val="bullet"/>
      <w:lvlText w:val="•"/>
      <w:lvlJc w:val="left"/>
      <w:pPr>
        <w:ind w:left="7691" w:hanging="721"/>
      </w:pPr>
      <w:rPr>
        <w:rFonts w:hint="default"/>
        <w:lang w:val="en-US" w:eastAsia="en-US" w:bidi="ar-SA"/>
      </w:rPr>
    </w:lvl>
  </w:abstractNum>
  <w:abstractNum w:abstractNumId="34" w15:restartNumberingAfterBreak="0">
    <w:nsid w:val="494817A7"/>
    <w:multiLevelType w:val="multilevel"/>
    <w:tmpl w:val="0F0EC90E"/>
    <w:numStyleLink w:val="FCListNo"/>
  </w:abstractNum>
  <w:abstractNum w:abstractNumId="35"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A8B405F"/>
    <w:multiLevelType w:val="hybridMultilevel"/>
    <w:tmpl w:val="9490DB44"/>
    <w:lvl w:ilvl="0" w:tplc="7720A35A">
      <w:start w:val="3"/>
      <w:numFmt w:val="decimal"/>
      <w:lvlText w:val="(%1)"/>
      <w:lvlJc w:val="left"/>
      <w:pPr>
        <w:ind w:left="2980" w:hanging="721"/>
      </w:pPr>
      <w:rPr>
        <w:rFonts w:ascii="Times New Roman" w:eastAsia="Times New Roman" w:hAnsi="Times New Roman" w:cs="Times New Roman" w:hint="default"/>
        <w:b w:val="0"/>
        <w:bCs w:val="0"/>
        <w:i w:val="0"/>
        <w:iCs w:val="0"/>
        <w:w w:val="100"/>
        <w:sz w:val="22"/>
        <w:szCs w:val="22"/>
        <w:lang w:val="en-US" w:eastAsia="en-US" w:bidi="ar-SA"/>
      </w:rPr>
    </w:lvl>
    <w:lvl w:ilvl="1" w:tplc="258A82D6">
      <w:start w:val="1"/>
      <w:numFmt w:val="lowerLetter"/>
      <w:lvlText w:val="(%2)"/>
      <w:lvlJc w:val="left"/>
      <w:pPr>
        <w:ind w:left="3557" w:hanging="721"/>
      </w:pPr>
      <w:rPr>
        <w:rFonts w:ascii="Times New Roman" w:eastAsia="Times New Roman" w:hAnsi="Times New Roman" w:cs="Times New Roman" w:hint="default"/>
        <w:b w:val="0"/>
        <w:bCs w:val="0"/>
        <w:i w:val="0"/>
        <w:iCs w:val="0"/>
        <w:w w:val="100"/>
        <w:sz w:val="22"/>
        <w:szCs w:val="22"/>
        <w:lang w:val="en-US" w:eastAsia="en-US" w:bidi="ar-SA"/>
      </w:rPr>
    </w:lvl>
    <w:lvl w:ilvl="2" w:tplc="AA2E1BC8">
      <w:start w:val="1"/>
      <w:numFmt w:val="lowerRoman"/>
      <w:lvlText w:val="(%3)"/>
      <w:lvlJc w:val="left"/>
      <w:pPr>
        <w:ind w:left="4403" w:hanging="721"/>
      </w:pPr>
      <w:rPr>
        <w:rFonts w:ascii="Times New Roman" w:eastAsia="Times New Roman" w:hAnsi="Times New Roman" w:cs="Times New Roman" w:hint="default"/>
        <w:b w:val="0"/>
        <w:bCs w:val="0"/>
        <w:i w:val="0"/>
        <w:iCs w:val="0"/>
        <w:w w:val="100"/>
        <w:sz w:val="22"/>
        <w:szCs w:val="22"/>
        <w:lang w:val="en-US" w:eastAsia="en-US" w:bidi="ar-SA"/>
      </w:rPr>
    </w:lvl>
    <w:lvl w:ilvl="3" w:tplc="11843644">
      <w:numFmt w:val="bullet"/>
      <w:lvlText w:val="•"/>
      <w:lvlJc w:val="left"/>
      <w:pPr>
        <w:ind w:left="5113" w:hanging="721"/>
      </w:pPr>
      <w:rPr>
        <w:rFonts w:hint="default"/>
        <w:lang w:val="en-US" w:eastAsia="en-US" w:bidi="ar-SA"/>
      </w:rPr>
    </w:lvl>
    <w:lvl w:ilvl="4" w:tplc="26D4DFAE">
      <w:numFmt w:val="bullet"/>
      <w:lvlText w:val="•"/>
      <w:lvlJc w:val="left"/>
      <w:pPr>
        <w:ind w:left="5826" w:hanging="721"/>
      </w:pPr>
      <w:rPr>
        <w:rFonts w:hint="default"/>
        <w:lang w:val="en-US" w:eastAsia="en-US" w:bidi="ar-SA"/>
      </w:rPr>
    </w:lvl>
    <w:lvl w:ilvl="5" w:tplc="ADCA8DAE">
      <w:numFmt w:val="bullet"/>
      <w:lvlText w:val="•"/>
      <w:lvlJc w:val="left"/>
      <w:pPr>
        <w:ind w:left="6539" w:hanging="721"/>
      </w:pPr>
      <w:rPr>
        <w:rFonts w:hint="default"/>
        <w:lang w:val="en-US" w:eastAsia="en-US" w:bidi="ar-SA"/>
      </w:rPr>
    </w:lvl>
    <w:lvl w:ilvl="6" w:tplc="B8A4E51A">
      <w:numFmt w:val="bullet"/>
      <w:lvlText w:val="•"/>
      <w:lvlJc w:val="left"/>
      <w:pPr>
        <w:ind w:left="7253" w:hanging="721"/>
      </w:pPr>
      <w:rPr>
        <w:rFonts w:hint="default"/>
        <w:lang w:val="en-US" w:eastAsia="en-US" w:bidi="ar-SA"/>
      </w:rPr>
    </w:lvl>
    <w:lvl w:ilvl="7" w:tplc="CB180E6E">
      <w:numFmt w:val="bullet"/>
      <w:lvlText w:val="•"/>
      <w:lvlJc w:val="left"/>
      <w:pPr>
        <w:ind w:left="7966" w:hanging="721"/>
      </w:pPr>
      <w:rPr>
        <w:rFonts w:hint="default"/>
        <w:lang w:val="en-US" w:eastAsia="en-US" w:bidi="ar-SA"/>
      </w:rPr>
    </w:lvl>
    <w:lvl w:ilvl="8" w:tplc="0ED69274">
      <w:numFmt w:val="bullet"/>
      <w:lvlText w:val="•"/>
      <w:lvlJc w:val="left"/>
      <w:pPr>
        <w:ind w:left="8679" w:hanging="721"/>
      </w:pPr>
      <w:rPr>
        <w:rFonts w:hint="default"/>
        <w:lang w:val="en-US" w:eastAsia="en-US" w:bidi="ar-SA"/>
      </w:rPr>
    </w:lvl>
  </w:abstractNum>
  <w:abstractNum w:abstractNumId="38"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0" w15:restartNumberingAfterBreak="0">
    <w:nsid w:val="703AAA8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3973818"/>
    <w:multiLevelType w:val="hybridMultilevel"/>
    <w:tmpl w:val="2704265A"/>
    <w:lvl w:ilvl="0" w:tplc="28DE1594">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15:restartNumberingAfterBreak="0">
    <w:nsid w:val="77525287"/>
    <w:multiLevelType w:val="hybridMultilevel"/>
    <w:tmpl w:val="B38CA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357C17"/>
    <w:multiLevelType w:val="hybridMultilevel"/>
    <w:tmpl w:val="9C5AA082"/>
    <w:lvl w:ilvl="0" w:tplc="3DD0DD30">
      <w:start w:val="1"/>
      <w:numFmt w:val="decimal"/>
      <w:lvlText w:val="%1"/>
      <w:lvlJc w:val="left"/>
      <w:pPr>
        <w:ind w:left="820" w:hanging="720"/>
      </w:pPr>
      <w:rPr>
        <w:rFonts w:ascii="Times New Roman" w:eastAsia="Times New Roman" w:hAnsi="Times New Roman" w:cs="Times New Roman" w:hint="default"/>
        <w:b w:val="0"/>
        <w:bCs w:val="0"/>
        <w:i w:val="0"/>
        <w:iCs w:val="0"/>
        <w:w w:val="99"/>
        <w:sz w:val="20"/>
        <w:szCs w:val="20"/>
        <w:lang w:val="en-US" w:eastAsia="en-US" w:bidi="ar-SA"/>
      </w:rPr>
    </w:lvl>
    <w:lvl w:ilvl="1" w:tplc="209422DA">
      <w:start w:val="1"/>
      <w:numFmt w:val="lowerLetter"/>
      <w:lvlText w:val="(%2)"/>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8B46807E">
      <w:start w:val="1"/>
      <w:numFmt w:val="lowerRoman"/>
      <w:lvlText w:val="%3)"/>
      <w:lvlJc w:val="left"/>
      <w:pPr>
        <w:ind w:left="2260" w:hanging="360"/>
      </w:pPr>
      <w:rPr>
        <w:rFonts w:ascii="Times New Roman" w:eastAsia="Times New Roman" w:hAnsi="Times New Roman" w:cs="Times New Roman" w:hint="default"/>
        <w:b w:val="0"/>
        <w:bCs w:val="0"/>
        <w:i w:val="0"/>
        <w:iCs w:val="0"/>
        <w:w w:val="100"/>
        <w:sz w:val="24"/>
        <w:szCs w:val="24"/>
        <w:lang w:val="en-US" w:eastAsia="en-US" w:bidi="ar-SA"/>
      </w:rPr>
    </w:lvl>
    <w:lvl w:ilvl="3" w:tplc="E2488BEE">
      <w:numFmt w:val="bullet"/>
      <w:lvlText w:val="•"/>
      <w:lvlJc w:val="left"/>
      <w:pPr>
        <w:ind w:left="2260" w:hanging="360"/>
      </w:pPr>
      <w:rPr>
        <w:rFonts w:hint="default"/>
        <w:lang w:val="en-US" w:eastAsia="en-US" w:bidi="ar-SA"/>
      </w:rPr>
    </w:lvl>
    <w:lvl w:ilvl="4" w:tplc="89DA13FE">
      <w:numFmt w:val="bullet"/>
      <w:lvlText w:val="•"/>
      <w:lvlJc w:val="left"/>
      <w:pPr>
        <w:ind w:left="2980" w:hanging="360"/>
      </w:pPr>
      <w:rPr>
        <w:rFonts w:hint="default"/>
        <w:lang w:val="en-US" w:eastAsia="en-US" w:bidi="ar-SA"/>
      </w:rPr>
    </w:lvl>
    <w:lvl w:ilvl="5" w:tplc="6D3E47B8">
      <w:numFmt w:val="bullet"/>
      <w:lvlText w:val="•"/>
      <w:lvlJc w:val="left"/>
      <w:pPr>
        <w:ind w:left="4167" w:hanging="360"/>
      </w:pPr>
      <w:rPr>
        <w:rFonts w:hint="default"/>
        <w:lang w:val="en-US" w:eastAsia="en-US" w:bidi="ar-SA"/>
      </w:rPr>
    </w:lvl>
    <w:lvl w:ilvl="6" w:tplc="D2664C60">
      <w:numFmt w:val="bullet"/>
      <w:lvlText w:val="•"/>
      <w:lvlJc w:val="left"/>
      <w:pPr>
        <w:ind w:left="5355" w:hanging="360"/>
      </w:pPr>
      <w:rPr>
        <w:rFonts w:hint="default"/>
        <w:lang w:val="en-US" w:eastAsia="en-US" w:bidi="ar-SA"/>
      </w:rPr>
    </w:lvl>
    <w:lvl w:ilvl="7" w:tplc="85DEF9D6">
      <w:numFmt w:val="bullet"/>
      <w:lvlText w:val="•"/>
      <w:lvlJc w:val="left"/>
      <w:pPr>
        <w:ind w:left="6543" w:hanging="360"/>
      </w:pPr>
      <w:rPr>
        <w:rFonts w:hint="default"/>
        <w:lang w:val="en-US" w:eastAsia="en-US" w:bidi="ar-SA"/>
      </w:rPr>
    </w:lvl>
    <w:lvl w:ilvl="8" w:tplc="25FCB58A">
      <w:numFmt w:val="bullet"/>
      <w:lvlText w:val="•"/>
      <w:lvlJc w:val="left"/>
      <w:pPr>
        <w:ind w:left="7730" w:hanging="360"/>
      </w:pPr>
      <w:rPr>
        <w:rFonts w:hint="default"/>
        <w:lang w:val="en-US" w:eastAsia="en-US" w:bidi="ar-SA"/>
      </w:rPr>
    </w:lvl>
  </w:abstractNum>
  <w:abstractNum w:abstractNumId="4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35"/>
  </w:num>
  <w:num w:numId="14">
    <w:abstractNumId w:val="36"/>
  </w:num>
  <w:num w:numId="15">
    <w:abstractNumId w:val="44"/>
  </w:num>
  <w:num w:numId="16">
    <w:abstractNumId w:val="18"/>
  </w:num>
  <w:num w:numId="17">
    <w:abstractNumId w:val="39"/>
  </w:num>
  <w:num w:numId="18">
    <w:abstractNumId w:val="14"/>
  </w:num>
  <w:num w:numId="19">
    <w:abstractNumId w:val="28"/>
  </w:num>
  <w:num w:numId="20">
    <w:abstractNumId w:val="23"/>
  </w:num>
  <w:num w:numId="21">
    <w:abstractNumId w:val="24"/>
  </w:num>
  <w:num w:numId="22">
    <w:abstractNumId w:val="34"/>
    <w:lvlOverride w:ilvl="1">
      <w:lvl w:ilvl="1">
        <w:start w:val="1"/>
        <w:numFmt w:val="lowerLetter"/>
        <w:pStyle w:val="ListNo2"/>
        <w:lvlText w:val="(%2)"/>
        <w:lvlJc w:val="left"/>
        <w:pPr>
          <w:tabs>
            <w:tab w:val="num" w:pos="1440"/>
          </w:tabs>
          <w:ind w:left="1440" w:hanging="720"/>
        </w:pPr>
        <w:rPr>
          <w:rFonts w:hint="default"/>
        </w:rPr>
      </w:lvl>
    </w:lvlOverride>
  </w:num>
  <w:num w:numId="23">
    <w:abstractNumId w:val="12"/>
  </w:num>
  <w:num w:numId="24">
    <w:abstractNumId w:val="12"/>
  </w:num>
  <w:num w:numId="25">
    <w:abstractNumId w:val="16"/>
  </w:num>
  <w:num w:numId="26">
    <w:abstractNumId w:val="27"/>
  </w:num>
  <w:num w:numId="27">
    <w:abstractNumId w:val="27"/>
  </w:num>
  <w:num w:numId="28">
    <w:abstractNumId w:val="27"/>
  </w:num>
  <w:num w:numId="29">
    <w:abstractNumId w:val="42"/>
  </w:num>
  <w:num w:numId="30">
    <w:abstractNumId w:val="26"/>
  </w:num>
  <w:num w:numId="31">
    <w:abstractNumId w:val="25"/>
  </w:num>
  <w:num w:numId="32">
    <w:abstractNumId w:val="41"/>
  </w:num>
  <w:num w:numId="33">
    <w:abstractNumId w:val="40"/>
  </w:num>
  <w:num w:numId="34">
    <w:abstractNumId w:val="19"/>
  </w:num>
  <w:num w:numId="35">
    <w:abstractNumId w:val="33"/>
  </w:num>
  <w:num w:numId="36">
    <w:abstractNumId w:val="10"/>
  </w:num>
  <w:num w:numId="37">
    <w:abstractNumId w:val="43"/>
  </w:num>
  <w:num w:numId="38">
    <w:abstractNumId w:val="21"/>
  </w:num>
  <w:num w:numId="39">
    <w:abstractNumId w:val="11"/>
  </w:num>
  <w:num w:numId="40">
    <w:abstractNumId w:val="13"/>
  </w:num>
  <w:num w:numId="41">
    <w:abstractNumId w:val="32"/>
  </w:num>
  <w:num w:numId="42">
    <w:abstractNumId w:val="37"/>
  </w:num>
  <w:num w:numId="43">
    <w:abstractNumId w:val="29"/>
  </w:num>
  <w:num w:numId="44">
    <w:abstractNumId w:val="31"/>
  </w:num>
  <w:num w:numId="45">
    <w:abstractNumId w:val="20"/>
  </w:num>
  <w:num w:numId="46">
    <w:abstractNumId w:val="15"/>
  </w:num>
  <w:num w:numId="47">
    <w:abstractNumId w:val="17"/>
  </w:num>
  <w:num w:numId="48">
    <w:abstractNumId w:val="30"/>
  </w:num>
  <w:num w:numId="49">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ACD 42 of 2022"/>
    <w:docVar w:name="Initiators" w:val="(and another named in the Schedule)"/>
    <w:docVar w:name="InTheMatterOf" w:val="Sandy Swim Pty Ltd ABN 73 641 260 451"/>
    <w:docVar w:name="Judgdate" w:val="23 December 2022"/>
    <w:docVar w:name="Judge" w:val="Sarah C Derrington"/>
    <w:docVar w:name="JudgeType" w:val="Justice"/>
    <w:docVar w:name="lstEntryList" w:val="-1"/>
    <w:docVar w:name="NSD" w:val="NSD "/>
    <w:docVar w:name="NumApps" w:val="0"/>
    <w:docVar w:name="NumApps_" w:val="0"/>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Lance Morgan"/>
    <w:docVar w:name="ResState" w:val="Australian Capital Territory"/>
    <w:docVar w:name="SubArea" w:val="Corporations and Corporate Insolvency (C &amp; C)"/>
  </w:docVars>
  <w:rsids>
    <w:rsidRoot w:val="00C56AA4"/>
    <w:rsid w:val="000001C8"/>
    <w:rsid w:val="00000747"/>
    <w:rsid w:val="000071CA"/>
    <w:rsid w:val="000075AB"/>
    <w:rsid w:val="000115C5"/>
    <w:rsid w:val="0001469E"/>
    <w:rsid w:val="00015993"/>
    <w:rsid w:val="00021BB3"/>
    <w:rsid w:val="00021CCB"/>
    <w:rsid w:val="00022289"/>
    <w:rsid w:val="000237E9"/>
    <w:rsid w:val="00027398"/>
    <w:rsid w:val="00027501"/>
    <w:rsid w:val="00030CE7"/>
    <w:rsid w:val="0003201A"/>
    <w:rsid w:val="0003207A"/>
    <w:rsid w:val="00032F9F"/>
    <w:rsid w:val="00033D2C"/>
    <w:rsid w:val="00034ADF"/>
    <w:rsid w:val="00035242"/>
    <w:rsid w:val="000372BD"/>
    <w:rsid w:val="00037893"/>
    <w:rsid w:val="00040168"/>
    <w:rsid w:val="00041C07"/>
    <w:rsid w:val="00045BB7"/>
    <w:rsid w:val="00046134"/>
    <w:rsid w:val="00055719"/>
    <w:rsid w:val="0005641B"/>
    <w:rsid w:val="0005745C"/>
    <w:rsid w:val="0006196A"/>
    <w:rsid w:val="00062E9E"/>
    <w:rsid w:val="0006312A"/>
    <w:rsid w:val="000650F0"/>
    <w:rsid w:val="0006644C"/>
    <w:rsid w:val="000711DE"/>
    <w:rsid w:val="00071FB3"/>
    <w:rsid w:val="00073EC3"/>
    <w:rsid w:val="00077768"/>
    <w:rsid w:val="00081410"/>
    <w:rsid w:val="00081497"/>
    <w:rsid w:val="00082646"/>
    <w:rsid w:val="000831EC"/>
    <w:rsid w:val="00084126"/>
    <w:rsid w:val="00085255"/>
    <w:rsid w:val="00086FBF"/>
    <w:rsid w:val="00087180"/>
    <w:rsid w:val="00093B44"/>
    <w:rsid w:val="000943DA"/>
    <w:rsid w:val="00097750"/>
    <w:rsid w:val="000A2E76"/>
    <w:rsid w:val="000A3141"/>
    <w:rsid w:val="000A3576"/>
    <w:rsid w:val="000A4807"/>
    <w:rsid w:val="000A4BE4"/>
    <w:rsid w:val="000A5D48"/>
    <w:rsid w:val="000A60CE"/>
    <w:rsid w:val="000B0B30"/>
    <w:rsid w:val="000B2B8E"/>
    <w:rsid w:val="000C023E"/>
    <w:rsid w:val="000C3634"/>
    <w:rsid w:val="000C405D"/>
    <w:rsid w:val="000C5195"/>
    <w:rsid w:val="000C62EF"/>
    <w:rsid w:val="000D2137"/>
    <w:rsid w:val="000D34D6"/>
    <w:rsid w:val="000D3FD2"/>
    <w:rsid w:val="000D4B2E"/>
    <w:rsid w:val="000D67C8"/>
    <w:rsid w:val="000D787B"/>
    <w:rsid w:val="000E00BC"/>
    <w:rsid w:val="000E195C"/>
    <w:rsid w:val="000E2CD7"/>
    <w:rsid w:val="000E3FC8"/>
    <w:rsid w:val="000E52D4"/>
    <w:rsid w:val="000E74C9"/>
    <w:rsid w:val="000E7BAE"/>
    <w:rsid w:val="000F1193"/>
    <w:rsid w:val="000F133D"/>
    <w:rsid w:val="000F3A9A"/>
    <w:rsid w:val="0010012B"/>
    <w:rsid w:val="00100609"/>
    <w:rsid w:val="00101CAD"/>
    <w:rsid w:val="00102EF4"/>
    <w:rsid w:val="0010536B"/>
    <w:rsid w:val="0010606C"/>
    <w:rsid w:val="0011145C"/>
    <w:rsid w:val="001128BD"/>
    <w:rsid w:val="0011419D"/>
    <w:rsid w:val="00114B02"/>
    <w:rsid w:val="00116349"/>
    <w:rsid w:val="001176B2"/>
    <w:rsid w:val="001177B9"/>
    <w:rsid w:val="00120C3D"/>
    <w:rsid w:val="0012142C"/>
    <w:rsid w:val="00121706"/>
    <w:rsid w:val="001226C0"/>
    <w:rsid w:val="001236F3"/>
    <w:rsid w:val="001250F2"/>
    <w:rsid w:val="00126EC8"/>
    <w:rsid w:val="0012731C"/>
    <w:rsid w:val="00132054"/>
    <w:rsid w:val="00134964"/>
    <w:rsid w:val="00135155"/>
    <w:rsid w:val="001351B9"/>
    <w:rsid w:val="001520DC"/>
    <w:rsid w:val="00155CD2"/>
    <w:rsid w:val="001666F8"/>
    <w:rsid w:val="00171901"/>
    <w:rsid w:val="001727A4"/>
    <w:rsid w:val="0017376C"/>
    <w:rsid w:val="001738AB"/>
    <w:rsid w:val="00173E54"/>
    <w:rsid w:val="00174DA5"/>
    <w:rsid w:val="001765E0"/>
    <w:rsid w:val="00177759"/>
    <w:rsid w:val="00180BB3"/>
    <w:rsid w:val="00181CCF"/>
    <w:rsid w:val="00184674"/>
    <w:rsid w:val="00184F27"/>
    <w:rsid w:val="00185DD6"/>
    <w:rsid w:val="00185E6B"/>
    <w:rsid w:val="00187BBC"/>
    <w:rsid w:val="00190032"/>
    <w:rsid w:val="00191612"/>
    <w:rsid w:val="001932F3"/>
    <w:rsid w:val="001A1180"/>
    <w:rsid w:val="001A2B40"/>
    <w:rsid w:val="001A4309"/>
    <w:rsid w:val="001A46AE"/>
    <w:rsid w:val="001A6C52"/>
    <w:rsid w:val="001B1053"/>
    <w:rsid w:val="001B14AC"/>
    <w:rsid w:val="001B211B"/>
    <w:rsid w:val="001B7940"/>
    <w:rsid w:val="001C171A"/>
    <w:rsid w:val="001C2FE0"/>
    <w:rsid w:val="001C37CA"/>
    <w:rsid w:val="001C4085"/>
    <w:rsid w:val="001C7854"/>
    <w:rsid w:val="001D09AC"/>
    <w:rsid w:val="001D24B7"/>
    <w:rsid w:val="001D3B92"/>
    <w:rsid w:val="001D4303"/>
    <w:rsid w:val="001D6746"/>
    <w:rsid w:val="001D7150"/>
    <w:rsid w:val="001E0C61"/>
    <w:rsid w:val="001E3B49"/>
    <w:rsid w:val="001E4A05"/>
    <w:rsid w:val="001E6238"/>
    <w:rsid w:val="001E6A19"/>
    <w:rsid w:val="001E7388"/>
    <w:rsid w:val="001F098D"/>
    <w:rsid w:val="001F13DD"/>
    <w:rsid w:val="001F1FF0"/>
    <w:rsid w:val="001F2473"/>
    <w:rsid w:val="001F2DBC"/>
    <w:rsid w:val="001F4FB5"/>
    <w:rsid w:val="001F71F3"/>
    <w:rsid w:val="001F73E8"/>
    <w:rsid w:val="0020262C"/>
    <w:rsid w:val="00202723"/>
    <w:rsid w:val="002060ED"/>
    <w:rsid w:val="00211A3E"/>
    <w:rsid w:val="00213F20"/>
    <w:rsid w:val="00214055"/>
    <w:rsid w:val="00215BCA"/>
    <w:rsid w:val="002160F5"/>
    <w:rsid w:val="002164D9"/>
    <w:rsid w:val="00217AC4"/>
    <w:rsid w:val="00221461"/>
    <w:rsid w:val="00224537"/>
    <w:rsid w:val="0023038B"/>
    <w:rsid w:val="0023045F"/>
    <w:rsid w:val="00230739"/>
    <w:rsid w:val="00230E49"/>
    <w:rsid w:val="002341EF"/>
    <w:rsid w:val="00235258"/>
    <w:rsid w:val="00235956"/>
    <w:rsid w:val="00242F76"/>
    <w:rsid w:val="00243E5E"/>
    <w:rsid w:val="00245D21"/>
    <w:rsid w:val="002467A6"/>
    <w:rsid w:val="00247C9A"/>
    <w:rsid w:val="0025160C"/>
    <w:rsid w:val="002535D0"/>
    <w:rsid w:val="00253664"/>
    <w:rsid w:val="002539B3"/>
    <w:rsid w:val="002543CD"/>
    <w:rsid w:val="002557E7"/>
    <w:rsid w:val="00256336"/>
    <w:rsid w:val="00257C3E"/>
    <w:rsid w:val="002602C2"/>
    <w:rsid w:val="002666C9"/>
    <w:rsid w:val="00270136"/>
    <w:rsid w:val="00270FD7"/>
    <w:rsid w:val="00272E40"/>
    <w:rsid w:val="00273BED"/>
    <w:rsid w:val="002746FC"/>
    <w:rsid w:val="00274F5B"/>
    <w:rsid w:val="00280836"/>
    <w:rsid w:val="00282E1A"/>
    <w:rsid w:val="002832DA"/>
    <w:rsid w:val="002840F1"/>
    <w:rsid w:val="00285922"/>
    <w:rsid w:val="00285A1F"/>
    <w:rsid w:val="00287C7B"/>
    <w:rsid w:val="0029113B"/>
    <w:rsid w:val="002934C0"/>
    <w:rsid w:val="00293E1F"/>
    <w:rsid w:val="0029764C"/>
    <w:rsid w:val="002A1B50"/>
    <w:rsid w:val="002B0E91"/>
    <w:rsid w:val="002B132C"/>
    <w:rsid w:val="002B1B0F"/>
    <w:rsid w:val="002B2231"/>
    <w:rsid w:val="002B24B2"/>
    <w:rsid w:val="002B3F23"/>
    <w:rsid w:val="002B4EB5"/>
    <w:rsid w:val="002B5AF5"/>
    <w:rsid w:val="002B6779"/>
    <w:rsid w:val="002B71C0"/>
    <w:rsid w:val="002B7A34"/>
    <w:rsid w:val="002C31AD"/>
    <w:rsid w:val="002C4227"/>
    <w:rsid w:val="002C5DFB"/>
    <w:rsid w:val="002C6410"/>
    <w:rsid w:val="002C7385"/>
    <w:rsid w:val="002D2DBB"/>
    <w:rsid w:val="002D37D8"/>
    <w:rsid w:val="002D54A6"/>
    <w:rsid w:val="002E2062"/>
    <w:rsid w:val="002E3310"/>
    <w:rsid w:val="002E3779"/>
    <w:rsid w:val="002E53C6"/>
    <w:rsid w:val="002E5BF9"/>
    <w:rsid w:val="002E6A7A"/>
    <w:rsid w:val="002F1E49"/>
    <w:rsid w:val="002F2EF5"/>
    <w:rsid w:val="002F4E9C"/>
    <w:rsid w:val="002F6C20"/>
    <w:rsid w:val="002F6E15"/>
    <w:rsid w:val="00302B33"/>
    <w:rsid w:val="00302F4E"/>
    <w:rsid w:val="00305B55"/>
    <w:rsid w:val="0030744D"/>
    <w:rsid w:val="0031256C"/>
    <w:rsid w:val="00314BBB"/>
    <w:rsid w:val="00314D6C"/>
    <w:rsid w:val="003158EE"/>
    <w:rsid w:val="00316D2A"/>
    <w:rsid w:val="00320CB9"/>
    <w:rsid w:val="0032259E"/>
    <w:rsid w:val="00322A7C"/>
    <w:rsid w:val="00322EEC"/>
    <w:rsid w:val="00323061"/>
    <w:rsid w:val="003244D6"/>
    <w:rsid w:val="00325276"/>
    <w:rsid w:val="0033217E"/>
    <w:rsid w:val="0033369E"/>
    <w:rsid w:val="003402D3"/>
    <w:rsid w:val="0034068E"/>
    <w:rsid w:val="00342CC0"/>
    <w:rsid w:val="00343ABC"/>
    <w:rsid w:val="003463FE"/>
    <w:rsid w:val="003472FC"/>
    <w:rsid w:val="00347D41"/>
    <w:rsid w:val="0035048A"/>
    <w:rsid w:val="003519E1"/>
    <w:rsid w:val="003554B3"/>
    <w:rsid w:val="003556D3"/>
    <w:rsid w:val="00356632"/>
    <w:rsid w:val="00357C7E"/>
    <w:rsid w:val="00361153"/>
    <w:rsid w:val="003653B6"/>
    <w:rsid w:val="00370327"/>
    <w:rsid w:val="00373FED"/>
    <w:rsid w:val="00374CC4"/>
    <w:rsid w:val="003774B2"/>
    <w:rsid w:val="00380F2D"/>
    <w:rsid w:val="00381609"/>
    <w:rsid w:val="003845A9"/>
    <w:rsid w:val="003850C9"/>
    <w:rsid w:val="00385EDD"/>
    <w:rsid w:val="00390883"/>
    <w:rsid w:val="003922F8"/>
    <w:rsid w:val="00395B24"/>
    <w:rsid w:val="003A2D38"/>
    <w:rsid w:val="003A5B48"/>
    <w:rsid w:val="003A7ECC"/>
    <w:rsid w:val="003B2C72"/>
    <w:rsid w:val="003B58B4"/>
    <w:rsid w:val="003B5F04"/>
    <w:rsid w:val="003B77A0"/>
    <w:rsid w:val="003C1333"/>
    <w:rsid w:val="003C20FF"/>
    <w:rsid w:val="003C3D22"/>
    <w:rsid w:val="003C3D5B"/>
    <w:rsid w:val="003C550A"/>
    <w:rsid w:val="003C6055"/>
    <w:rsid w:val="003C6DD8"/>
    <w:rsid w:val="003D2650"/>
    <w:rsid w:val="003D560C"/>
    <w:rsid w:val="003D5C00"/>
    <w:rsid w:val="003D60C2"/>
    <w:rsid w:val="003E3154"/>
    <w:rsid w:val="003E5650"/>
    <w:rsid w:val="003E5874"/>
    <w:rsid w:val="003E72D3"/>
    <w:rsid w:val="003F193E"/>
    <w:rsid w:val="003F242C"/>
    <w:rsid w:val="003F34F1"/>
    <w:rsid w:val="003F413C"/>
    <w:rsid w:val="003F7CE7"/>
    <w:rsid w:val="00402B93"/>
    <w:rsid w:val="004031D8"/>
    <w:rsid w:val="00405060"/>
    <w:rsid w:val="004104B6"/>
    <w:rsid w:val="0041096A"/>
    <w:rsid w:val="00411AE8"/>
    <w:rsid w:val="00413B74"/>
    <w:rsid w:val="00422C6C"/>
    <w:rsid w:val="00424DBA"/>
    <w:rsid w:val="00425189"/>
    <w:rsid w:val="00425F57"/>
    <w:rsid w:val="00427BBE"/>
    <w:rsid w:val="00430522"/>
    <w:rsid w:val="00432690"/>
    <w:rsid w:val="004342F3"/>
    <w:rsid w:val="00435C5F"/>
    <w:rsid w:val="00436155"/>
    <w:rsid w:val="00436460"/>
    <w:rsid w:val="00436BB3"/>
    <w:rsid w:val="00441E98"/>
    <w:rsid w:val="004443EE"/>
    <w:rsid w:val="00445B91"/>
    <w:rsid w:val="00450F3A"/>
    <w:rsid w:val="004532F7"/>
    <w:rsid w:val="00455DD4"/>
    <w:rsid w:val="004577A8"/>
    <w:rsid w:val="00457A67"/>
    <w:rsid w:val="00464D51"/>
    <w:rsid w:val="00466FDF"/>
    <w:rsid w:val="00472027"/>
    <w:rsid w:val="00474745"/>
    <w:rsid w:val="00475B5A"/>
    <w:rsid w:val="0048010F"/>
    <w:rsid w:val="004804CF"/>
    <w:rsid w:val="00483314"/>
    <w:rsid w:val="00483416"/>
    <w:rsid w:val="00484962"/>
    <w:rsid w:val="00484BE3"/>
    <w:rsid w:val="00484F6D"/>
    <w:rsid w:val="00484FB7"/>
    <w:rsid w:val="0048554D"/>
    <w:rsid w:val="0049044C"/>
    <w:rsid w:val="004915C2"/>
    <w:rsid w:val="0049338A"/>
    <w:rsid w:val="0049417F"/>
    <w:rsid w:val="004950C8"/>
    <w:rsid w:val="00496D41"/>
    <w:rsid w:val="004A1709"/>
    <w:rsid w:val="004A1B6B"/>
    <w:rsid w:val="004A37FE"/>
    <w:rsid w:val="004A6602"/>
    <w:rsid w:val="004B3EFA"/>
    <w:rsid w:val="004B545C"/>
    <w:rsid w:val="004C2A87"/>
    <w:rsid w:val="004C4D7B"/>
    <w:rsid w:val="004C4ED3"/>
    <w:rsid w:val="004C667B"/>
    <w:rsid w:val="004C7ECD"/>
    <w:rsid w:val="004D057B"/>
    <w:rsid w:val="004D0A07"/>
    <w:rsid w:val="004D2EA5"/>
    <w:rsid w:val="004D32A6"/>
    <w:rsid w:val="004D53E5"/>
    <w:rsid w:val="004D7950"/>
    <w:rsid w:val="004E051C"/>
    <w:rsid w:val="004E428C"/>
    <w:rsid w:val="004E5485"/>
    <w:rsid w:val="004E6DC4"/>
    <w:rsid w:val="004F21C1"/>
    <w:rsid w:val="004F3B82"/>
    <w:rsid w:val="004F7144"/>
    <w:rsid w:val="00501A12"/>
    <w:rsid w:val="0050309C"/>
    <w:rsid w:val="0051140A"/>
    <w:rsid w:val="005115CE"/>
    <w:rsid w:val="0051327C"/>
    <w:rsid w:val="0051346D"/>
    <w:rsid w:val="00513EAE"/>
    <w:rsid w:val="0051434F"/>
    <w:rsid w:val="00516806"/>
    <w:rsid w:val="00516F0E"/>
    <w:rsid w:val="0052098C"/>
    <w:rsid w:val="00521528"/>
    <w:rsid w:val="00523620"/>
    <w:rsid w:val="00525A49"/>
    <w:rsid w:val="005262D1"/>
    <w:rsid w:val="00527D20"/>
    <w:rsid w:val="00530876"/>
    <w:rsid w:val="00535613"/>
    <w:rsid w:val="005357EB"/>
    <w:rsid w:val="005359EB"/>
    <w:rsid w:val="00540EC1"/>
    <w:rsid w:val="0054254A"/>
    <w:rsid w:val="00542630"/>
    <w:rsid w:val="0054309B"/>
    <w:rsid w:val="0054500B"/>
    <w:rsid w:val="005466B5"/>
    <w:rsid w:val="00546B5D"/>
    <w:rsid w:val="00550447"/>
    <w:rsid w:val="00550BF5"/>
    <w:rsid w:val="0055302A"/>
    <w:rsid w:val="00554314"/>
    <w:rsid w:val="00554F0D"/>
    <w:rsid w:val="005567B4"/>
    <w:rsid w:val="00562829"/>
    <w:rsid w:val="005629B3"/>
    <w:rsid w:val="00562B9F"/>
    <w:rsid w:val="00563397"/>
    <w:rsid w:val="00567D52"/>
    <w:rsid w:val="0057128A"/>
    <w:rsid w:val="005724F6"/>
    <w:rsid w:val="00573124"/>
    <w:rsid w:val="00573AC4"/>
    <w:rsid w:val="005801FC"/>
    <w:rsid w:val="00585BA9"/>
    <w:rsid w:val="00586CF2"/>
    <w:rsid w:val="00587359"/>
    <w:rsid w:val="00591139"/>
    <w:rsid w:val="005915F3"/>
    <w:rsid w:val="00595016"/>
    <w:rsid w:val="00595B7E"/>
    <w:rsid w:val="00597AAE"/>
    <w:rsid w:val="005A222C"/>
    <w:rsid w:val="005A4DF8"/>
    <w:rsid w:val="005A599A"/>
    <w:rsid w:val="005A7399"/>
    <w:rsid w:val="005A78C8"/>
    <w:rsid w:val="005B1426"/>
    <w:rsid w:val="005B42DE"/>
    <w:rsid w:val="005B4A1D"/>
    <w:rsid w:val="005B59AE"/>
    <w:rsid w:val="005B6D81"/>
    <w:rsid w:val="005C0A8E"/>
    <w:rsid w:val="005C1767"/>
    <w:rsid w:val="005C185C"/>
    <w:rsid w:val="005C42EF"/>
    <w:rsid w:val="005D34BB"/>
    <w:rsid w:val="005E02F5"/>
    <w:rsid w:val="005E0510"/>
    <w:rsid w:val="005E06FD"/>
    <w:rsid w:val="005E176E"/>
    <w:rsid w:val="005E218E"/>
    <w:rsid w:val="005E35A0"/>
    <w:rsid w:val="005E553B"/>
    <w:rsid w:val="005F0D1B"/>
    <w:rsid w:val="005F1181"/>
    <w:rsid w:val="005F1865"/>
    <w:rsid w:val="006007BD"/>
    <w:rsid w:val="006013C8"/>
    <w:rsid w:val="0060270D"/>
    <w:rsid w:val="00603721"/>
    <w:rsid w:val="00604342"/>
    <w:rsid w:val="00604611"/>
    <w:rsid w:val="00604D26"/>
    <w:rsid w:val="00611555"/>
    <w:rsid w:val="00611586"/>
    <w:rsid w:val="00611B80"/>
    <w:rsid w:val="006125C3"/>
    <w:rsid w:val="00612D26"/>
    <w:rsid w:val="00615855"/>
    <w:rsid w:val="00616E6C"/>
    <w:rsid w:val="00620DA8"/>
    <w:rsid w:val="00621887"/>
    <w:rsid w:val="00623203"/>
    <w:rsid w:val="00623B1C"/>
    <w:rsid w:val="00623E7A"/>
    <w:rsid w:val="00624520"/>
    <w:rsid w:val="006271F5"/>
    <w:rsid w:val="00631DF9"/>
    <w:rsid w:val="00632300"/>
    <w:rsid w:val="00632BB7"/>
    <w:rsid w:val="00634E46"/>
    <w:rsid w:val="0063538B"/>
    <w:rsid w:val="00635417"/>
    <w:rsid w:val="00635B36"/>
    <w:rsid w:val="00636871"/>
    <w:rsid w:val="0063759F"/>
    <w:rsid w:val="00640EE1"/>
    <w:rsid w:val="00640F4E"/>
    <w:rsid w:val="00643DE0"/>
    <w:rsid w:val="0064437D"/>
    <w:rsid w:val="00644E85"/>
    <w:rsid w:val="006516D8"/>
    <w:rsid w:val="00652C52"/>
    <w:rsid w:val="0066063F"/>
    <w:rsid w:val="00662BB0"/>
    <w:rsid w:val="00663878"/>
    <w:rsid w:val="0066693F"/>
    <w:rsid w:val="00667773"/>
    <w:rsid w:val="00670743"/>
    <w:rsid w:val="006739B6"/>
    <w:rsid w:val="00680A85"/>
    <w:rsid w:val="00681ADF"/>
    <w:rsid w:val="00690EE2"/>
    <w:rsid w:val="00693854"/>
    <w:rsid w:val="00694BEB"/>
    <w:rsid w:val="00695B1B"/>
    <w:rsid w:val="00696B33"/>
    <w:rsid w:val="006971F8"/>
    <w:rsid w:val="0069780C"/>
    <w:rsid w:val="006A0E20"/>
    <w:rsid w:val="006A24E3"/>
    <w:rsid w:val="006A5695"/>
    <w:rsid w:val="006B0439"/>
    <w:rsid w:val="006B3904"/>
    <w:rsid w:val="006B5B7D"/>
    <w:rsid w:val="006C1C16"/>
    <w:rsid w:val="006C5B46"/>
    <w:rsid w:val="006C5E1D"/>
    <w:rsid w:val="006C6E39"/>
    <w:rsid w:val="006C7D5D"/>
    <w:rsid w:val="006D0ECF"/>
    <w:rsid w:val="006D2190"/>
    <w:rsid w:val="006D292C"/>
    <w:rsid w:val="006D3D5B"/>
    <w:rsid w:val="006D4C92"/>
    <w:rsid w:val="006D4EB6"/>
    <w:rsid w:val="006D74F5"/>
    <w:rsid w:val="006D7FBC"/>
    <w:rsid w:val="006E111E"/>
    <w:rsid w:val="006E2132"/>
    <w:rsid w:val="006E35BF"/>
    <w:rsid w:val="006E62F2"/>
    <w:rsid w:val="006E7850"/>
    <w:rsid w:val="006F19D8"/>
    <w:rsid w:val="006F46D6"/>
    <w:rsid w:val="006F4BBB"/>
    <w:rsid w:val="007018FF"/>
    <w:rsid w:val="007028D9"/>
    <w:rsid w:val="00707218"/>
    <w:rsid w:val="00707BA5"/>
    <w:rsid w:val="00710479"/>
    <w:rsid w:val="00710D04"/>
    <w:rsid w:val="00712011"/>
    <w:rsid w:val="00712B1D"/>
    <w:rsid w:val="00713123"/>
    <w:rsid w:val="00715751"/>
    <w:rsid w:val="007171BA"/>
    <w:rsid w:val="00717616"/>
    <w:rsid w:val="0072085E"/>
    <w:rsid w:val="00722548"/>
    <w:rsid w:val="00722DA9"/>
    <w:rsid w:val="007241CC"/>
    <w:rsid w:val="00732456"/>
    <w:rsid w:val="007325D9"/>
    <w:rsid w:val="0073413F"/>
    <w:rsid w:val="0073583B"/>
    <w:rsid w:val="007360CA"/>
    <w:rsid w:val="00736EFB"/>
    <w:rsid w:val="00741763"/>
    <w:rsid w:val="0074667B"/>
    <w:rsid w:val="007470BD"/>
    <w:rsid w:val="0075290C"/>
    <w:rsid w:val="00760EC0"/>
    <w:rsid w:val="007613FA"/>
    <w:rsid w:val="007674A3"/>
    <w:rsid w:val="00767D2D"/>
    <w:rsid w:val="007711BD"/>
    <w:rsid w:val="0078003A"/>
    <w:rsid w:val="00780771"/>
    <w:rsid w:val="00781550"/>
    <w:rsid w:val="00791DB3"/>
    <w:rsid w:val="007929CF"/>
    <w:rsid w:val="00797BA8"/>
    <w:rsid w:val="007A081D"/>
    <w:rsid w:val="007A1852"/>
    <w:rsid w:val="007A49E7"/>
    <w:rsid w:val="007A4A81"/>
    <w:rsid w:val="007A4B52"/>
    <w:rsid w:val="007A6F28"/>
    <w:rsid w:val="007B03C6"/>
    <w:rsid w:val="007B0DB1"/>
    <w:rsid w:val="007B5673"/>
    <w:rsid w:val="007B6D20"/>
    <w:rsid w:val="007B7238"/>
    <w:rsid w:val="007B76FF"/>
    <w:rsid w:val="007C3BF6"/>
    <w:rsid w:val="007C67B3"/>
    <w:rsid w:val="007C74AB"/>
    <w:rsid w:val="007D0FD2"/>
    <w:rsid w:val="007D2903"/>
    <w:rsid w:val="007D2EF8"/>
    <w:rsid w:val="007D561F"/>
    <w:rsid w:val="007D7FD2"/>
    <w:rsid w:val="007E13D9"/>
    <w:rsid w:val="007E2AEC"/>
    <w:rsid w:val="007E41BE"/>
    <w:rsid w:val="007E4DB6"/>
    <w:rsid w:val="007E5D11"/>
    <w:rsid w:val="007E6733"/>
    <w:rsid w:val="007E7CD4"/>
    <w:rsid w:val="007F12AC"/>
    <w:rsid w:val="007F2400"/>
    <w:rsid w:val="007F3DA5"/>
    <w:rsid w:val="007F4501"/>
    <w:rsid w:val="007F5DC0"/>
    <w:rsid w:val="007F60DF"/>
    <w:rsid w:val="00801800"/>
    <w:rsid w:val="00801861"/>
    <w:rsid w:val="00801B5B"/>
    <w:rsid w:val="00805A30"/>
    <w:rsid w:val="00806685"/>
    <w:rsid w:val="00806F83"/>
    <w:rsid w:val="008071C9"/>
    <w:rsid w:val="00813AEA"/>
    <w:rsid w:val="008216E7"/>
    <w:rsid w:val="00822709"/>
    <w:rsid w:val="00824A68"/>
    <w:rsid w:val="00825A5A"/>
    <w:rsid w:val="00825BE6"/>
    <w:rsid w:val="008276B4"/>
    <w:rsid w:val="00831927"/>
    <w:rsid w:val="008325A4"/>
    <w:rsid w:val="00837288"/>
    <w:rsid w:val="00841BD3"/>
    <w:rsid w:val="0084273D"/>
    <w:rsid w:val="008438FA"/>
    <w:rsid w:val="00844E3F"/>
    <w:rsid w:val="00845A83"/>
    <w:rsid w:val="00846BB9"/>
    <w:rsid w:val="00850C2B"/>
    <w:rsid w:val="0085285F"/>
    <w:rsid w:val="00853059"/>
    <w:rsid w:val="00854164"/>
    <w:rsid w:val="0086104F"/>
    <w:rsid w:val="00863984"/>
    <w:rsid w:val="008649D5"/>
    <w:rsid w:val="008712BB"/>
    <w:rsid w:val="0087170B"/>
    <w:rsid w:val="008830E7"/>
    <w:rsid w:val="00886E96"/>
    <w:rsid w:val="00890090"/>
    <w:rsid w:val="00890EDE"/>
    <w:rsid w:val="00892B38"/>
    <w:rsid w:val="008964F8"/>
    <w:rsid w:val="008A1741"/>
    <w:rsid w:val="008A2484"/>
    <w:rsid w:val="008A296A"/>
    <w:rsid w:val="008A34C1"/>
    <w:rsid w:val="008A52F3"/>
    <w:rsid w:val="008C26D9"/>
    <w:rsid w:val="008C3697"/>
    <w:rsid w:val="008C6D50"/>
    <w:rsid w:val="008C7167"/>
    <w:rsid w:val="008C7503"/>
    <w:rsid w:val="008D1617"/>
    <w:rsid w:val="008D330F"/>
    <w:rsid w:val="008D48C1"/>
    <w:rsid w:val="008E1C3C"/>
    <w:rsid w:val="008E485D"/>
    <w:rsid w:val="008E5620"/>
    <w:rsid w:val="008E6315"/>
    <w:rsid w:val="008F0480"/>
    <w:rsid w:val="008F07FC"/>
    <w:rsid w:val="008F09EC"/>
    <w:rsid w:val="008F11E0"/>
    <w:rsid w:val="008F3EA7"/>
    <w:rsid w:val="008F3EF8"/>
    <w:rsid w:val="008F4986"/>
    <w:rsid w:val="008F6D75"/>
    <w:rsid w:val="008F78BC"/>
    <w:rsid w:val="008F7B63"/>
    <w:rsid w:val="008F7D6A"/>
    <w:rsid w:val="00900C21"/>
    <w:rsid w:val="00901C86"/>
    <w:rsid w:val="00903603"/>
    <w:rsid w:val="009054CB"/>
    <w:rsid w:val="00911E5C"/>
    <w:rsid w:val="00911F8D"/>
    <w:rsid w:val="00912F94"/>
    <w:rsid w:val="009171BC"/>
    <w:rsid w:val="0092497E"/>
    <w:rsid w:val="0092590B"/>
    <w:rsid w:val="00925BF3"/>
    <w:rsid w:val="00925E60"/>
    <w:rsid w:val="009264B3"/>
    <w:rsid w:val="00931E4C"/>
    <w:rsid w:val="00932387"/>
    <w:rsid w:val="0093266D"/>
    <w:rsid w:val="009365E0"/>
    <w:rsid w:val="00942BA2"/>
    <w:rsid w:val="009432B7"/>
    <w:rsid w:val="00943B4D"/>
    <w:rsid w:val="00944C86"/>
    <w:rsid w:val="00945864"/>
    <w:rsid w:val="00946541"/>
    <w:rsid w:val="00946976"/>
    <w:rsid w:val="00947C02"/>
    <w:rsid w:val="00950BE6"/>
    <w:rsid w:val="00957DE8"/>
    <w:rsid w:val="00960ECB"/>
    <w:rsid w:val="009615D6"/>
    <w:rsid w:val="009641FD"/>
    <w:rsid w:val="00964D54"/>
    <w:rsid w:val="00967395"/>
    <w:rsid w:val="00967855"/>
    <w:rsid w:val="00971CD1"/>
    <w:rsid w:val="00972382"/>
    <w:rsid w:val="00974709"/>
    <w:rsid w:val="009801AE"/>
    <w:rsid w:val="00980736"/>
    <w:rsid w:val="00981A39"/>
    <w:rsid w:val="00981A89"/>
    <w:rsid w:val="00982D56"/>
    <w:rsid w:val="0098321A"/>
    <w:rsid w:val="00983DBF"/>
    <w:rsid w:val="00987097"/>
    <w:rsid w:val="00991123"/>
    <w:rsid w:val="00991CAB"/>
    <w:rsid w:val="009A34F3"/>
    <w:rsid w:val="009A3A9C"/>
    <w:rsid w:val="009A4EE9"/>
    <w:rsid w:val="009B046C"/>
    <w:rsid w:val="009B08F7"/>
    <w:rsid w:val="009B096F"/>
    <w:rsid w:val="009B13FA"/>
    <w:rsid w:val="009B1E2D"/>
    <w:rsid w:val="009C0459"/>
    <w:rsid w:val="009C552D"/>
    <w:rsid w:val="009C59FB"/>
    <w:rsid w:val="009C617D"/>
    <w:rsid w:val="009C6F3B"/>
    <w:rsid w:val="009D0233"/>
    <w:rsid w:val="009D1389"/>
    <w:rsid w:val="009D1467"/>
    <w:rsid w:val="009D30B9"/>
    <w:rsid w:val="009D328D"/>
    <w:rsid w:val="009D40C3"/>
    <w:rsid w:val="009E4049"/>
    <w:rsid w:val="009E4FA6"/>
    <w:rsid w:val="009E5B66"/>
    <w:rsid w:val="009E7D93"/>
    <w:rsid w:val="009F016A"/>
    <w:rsid w:val="009F3C34"/>
    <w:rsid w:val="009F462C"/>
    <w:rsid w:val="009F5C33"/>
    <w:rsid w:val="009F6144"/>
    <w:rsid w:val="009F69AB"/>
    <w:rsid w:val="009F7BD3"/>
    <w:rsid w:val="00A00325"/>
    <w:rsid w:val="00A016C8"/>
    <w:rsid w:val="00A026F0"/>
    <w:rsid w:val="00A034F0"/>
    <w:rsid w:val="00A03EAC"/>
    <w:rsid w:val="00A04DBB"/>
    <w:rsid w:val="00A07EA0"/>
    <w:rsid w:val="00A11952"/>
    <w:rsid w:val="00A11CA6"/>
    <w:rsid w:val="00A20945"/>
    <w:rsid w:val="00A20C49"/>
    <w:rsid w:val="00A22932"/>
    <w:rsid w:val="00A269CA"/>
    <w:rsid w:val="00A26EAD"/>
    <w:rsid w:val="00A27738"/>
    <w:rsid w:val="00A336EE"/>
    <w:rsid w:val="00A33F46"/>
    <w:rsid w:val="00A3427E"/>
    <w:rsid w:val="00A359AC"/>
    <w:rsid w:val="00A40E6B"/>
    <w:rsid w:val="00A40F83"/>
    <w:rsid w:val="00A410FB"/>
    <w:rsid w:val="00A41413"/>
    <w:rsid w:val="00A431E6"/>
    <w:rsid w:val="00A436E8"/>
    <w:rsid w:val="00A440E7"/>
    <w:rsid w:val="00A446FC"/>
    <w:rsid w:val="00A45507"/>
    <w:rsid w:val="00A45FB1"/>
    <w:rsid w:val="00A46A0F"/>
    <w:rsid w:val="00A46CCC"/>
    <w:rsid w:val="00A47996"/>
    <w:rsid w:val="00A5197B"/>
    <w:rsid w:val="00A51CFE"/>
    <w:rsid w:val="00A5204D"/>
    <w:rsid w:val="00A55623"/>
    <w:rsid w:val="00A56E77"/>
    <w:rsid w:val="00A60676"/>
    <w:rsid w:val="00A607F0"/>
    <w:rsid w:val="00A61605"/>
    <w:rsid w:val="00A65F97"/>
    <w:rsid w:val="00A71FD4"/>
    <w:rsid w:val="00A73B04"/>
    <w:rsid w:val="00A74937"/>
    <w:rsid w:val="00A76C13"/>
    <w:rsid w:val="00A777AC"/>
    <w:rsid w:val="00A77B34"/>
    <w:rsid w:val="00A84FD0"/>
    <w:rsid w:val="00A852D9"/>
    <w:rsid w:val="00A856CE"/>
    <w:rsid w:val="00A85EFD"/>
    <w:rsid w:val="00A86D71"/>
    <w:rsid w:val="00A92E79"/>
    <w:rsid w:val="00A950B6"/>
    <w:rsid w:val="00A95D45"/>
    <w:rsid w:val="00AA3EA8"/>
    <w:rsid w:val="00AA436D"/>
    <w:rsid w:val="00AB1B22"/>
    <w:rsid w:val="00AB41C1"/>
    <w:rsid w:val="00AB4CF2"/>
    <w:rsid w:val="00AB5CD9"/>
    <w:rsid w:val="00AB6CCA"/>
    <w:rsid w:val="00AC175E"/>
    <w:rsid w:val="00AC223F"/>
    <w:rsid w:val="00AC33B1"/>
    <w:rsid w:val="00AD0C80"/>
    <w:rsid w:val="00AD12A8"/>
    <w:rsid w:val="00AD6636"/>
    <w:rsid w:val="00AD7FBB"/>
    <w:rsid w:val="00AE023F"/>
    <w:rsid w:val="00AE514B"/>
    <w:rsid w:val="00AF3577"/>
    <w:rsid w:val="00AF35F9"/>
    <w:rsid w:val="00AF65C0"/>
    <w:rsid w:val="00B00F40"/>
    <w:rsid w:val="00B02247"/>
    <w:rsid w:val="00B0424C"/>
    <w:rsid w:val="00B05C7D"/>
    <w:rsid w:val="00B06BE7"/>
    <w:rsid w:val="00B13018"/>
    <w:rsid w:val="00B14436"/>
    <w:rsid w:val="00B14F7A"/>
    <w:rsid w:val="00B15D57"/>
    <w:rsid w:val="00B16347"/>
    <w:rsid w:val="00B178BD"/>
    <w:rsid w:val="00B17D6E"/>
    <w:rsid w:val="00B21ADC"/>
    <w:rsid w:val="00B22B8B"/>
    <w:rsid w:val="00B2435E"/>
    <w:rsid w:val="00B25791"/>
    <w:rsid w:val="00B2731D"/>
    <w:rsid w:val="00B32E07"/>
    <w:rsid w:val="00B346C3"/>
    <w:rsid w:val="00B4005C"/>
    <w:rsid w:val="00B4227E"/>
    <w:rsid w:val="00B4471C"/>
    <w:rsid w:val="00B44A69"/>
    <w:rsid w:val="00B451A6"/>
    <w:rsid w:val="00B47FF3"/>
    <w:rsid w:val="00B53129"/>
    <w:rsid w:val="00B5372D"/>
    <w:rsid w:val="00B56367"/>
    <w:rsid w:val="00B56D6E"/>
    <w:rsid w:val="00B60810"/>
    <w:rsid w:val="00B60BA0"/>
    <w:rsid w:val="00B64347"/>
    <w:rsid w:val="00B65DC6"/>
    <w:rsid w:val="00B6710E"/>
    <w:rsid w:val="00B67AC2"/>
    <w:rsid w:val="00B722DE"/>
    <w:rsid w:val="00B73071"/>
    <w:rsid w:val="00B73389"/>
    <w:rsid w:val="00B751E3"/>
    <w:rsid w:val="00B755E2"/>
    <w:rsid w:val="00B75AC3"/>
    <w:rsid w:val="00B75BA6"/>
    <w:rsid w:val="00B76C44"/>
    <w:rsid w:val="00B8184A"/>
    <w:rsid w:val="00B82283"/>
    <w:rsid w:val="00B828D8"/>
    <w:rsid w:val="00B83F87"/>
    <w:rsid w:val="00B83F89"/>
    <w:rsid w:val="00B840E2"/>
    <w:rsid w:val="00B87CDC"/>
    <w:rsid w:val="00B90A80"/>
    <w:rsid w:val="00B910C1"/>
    <w:rsid w:val="00B92F60"/>
    <w:rsid w:val="00B975EB"/>
    <w:rsid w:val="00BA2CA4"/>
    <w:rsid w:val="00BA2EFA"/>
    <w:rsid w:val="00BA3DBC"/>
    <w:rsid w:val="00BA4A16"/>
    <w:rsid w:val="00BA6933"/>
    <w:rsid w:val="00BA707A"/>
    <w:rsid w:val="00BB144B"/>
    <w:rsid w:val="00BB1685"/>
    <w:rsid w:val="00BB1AFB"/>
    <w:rsid w:val="00BB27AE"/>
    <w:rsid w:val="00BB2DA2"/>
    <w:rsid w:val="00BB3072"/>
    <w:rsid w:val="00BB497A"/>
    <w:rsid w:val="00BB56DC"/>
    <w:rsid w:val="00BC5913"/>
    <w:rsid w:val="00BD4859"/>
    <w:rsid w:val="00BE183D"/>
    <w:rsid w:val="00BE716A"/>
    <w:rsid w:val="00BF24C2"/>
    <w:rsid w:val="00BF2922"/>
    <w:rsid w:val="00BF5D7A"/>
    <w:rsid w:val="00BF6C86"/>
    <w:rsid w:val="00BF7C22"/>
    <w:rsid w:val="00C01C2E"/>
    <w:rsid w:val="00C02D33"/>
    <w:rsid w:val="00C0395D"/>
    <w:rsid w:val="00C04B53"/>
    <w:rsid w:val="00C1232C"/>
    <w:rsid w:val="00C17005"/>
    <w:rsid w:val="00C1706D"/>
    <w:rsid w:val="00C263D4"/>
    <w:rsid w:val="00C27993"/>
    <w:rsid w:val="00C27C6B"/>
    <w:rsid w:val="00C31711"/>
    <w:rsid w:val="00C3594D"/>
    <w:rsid w:val="00C36442"/>
    <w:rsid w:val="00C376B2"/>
    <w:rsid w:val="00C400CE"/>
    <w:rsid w:val="00C410FD"/>
    <w:rsid w:val="00C457DE"/>
    <w:rsid w:val="00C47DD3"/>
    <w:rsid w:val="00C5316F"/>
    <w:rsid w:val="00C53562"/>
    <w:rsid w:val="00C539FB"/>
    <w:rsid w:val="00C5618D"/>
    <w:rsid w:val="00C56AA4"/>
    <w:rsid w:val="00C66AA3"/>
    <w:rsid w:val="00C66E57"/>
    <w:rsid w:val="00C724D7"/>
    <w:rsid w:val="00C74150"/>
    <w:rsid w:val="00C75594"/>
    <w:rsid w:val="00C75D29"/>
    <w:rsid w:val="00C81BB6"/>
    <w:rsid w:val="00C8514E"/>
    <w:rsid w:val="00C85982"/>
    <w:rsid w:val="00C860F5"/>
    <w:rsid w:val="00C9242E"/>
    <w:rsid w:val="00C975E7"/>
    <w:rsid w:val="00CA0164"/>
    <w:rsid w:val="00CA0466"/>
    <w:rsid w:val="00CA246D"/>
    <w:rsid w:val="00CA50D9"/>
    <w:rsid w:val="00CB3054"/>
    <w:rsid w:val="00CB5636"/>
    <w:rsid w:val="00CB5F30"/>
    <w:rsid w:val="00CC13DC"/>
    <w:rsid w:val="00CC3EE5"/>
    <w:rsid w:val="00CC6E47"/>
    <w:rsid w:val="00CC7139"/>
    <w:rsid w:val="00CD07F7"/>
    <w:rsid w:val="00CD1346"/>
    <w:rsid w:val="00CD793A"/>
    <w:rsid w:val="00CE34F8"/>
    <w:rsid w:val="00CE40E0"/>
    <w:rsid w:val="00CE425C"/>
    <w:rsid w:val="00CE58AC"/>
    <w:rsid w:val="00CF2E01"/>
    <w:rsid w:val="00CF3AD0"/>
    <w:rsid w:val="00CF5A80"/>
    <w:rsid w:val="00D01A47"/>
    <w:rsid w:val="00D045EE"/>
    <w:rsid w:val="00D05091"/>
    <w:rsid w:val="00D10CA6"/>
    <w:rsid w:val="00D10F21"/>
    <w:rsid w:val="00D116B7"/>
    <w:rsid w:val="00D134CF"/>
    <w:rsid w:val="00D1573B"/>
    <w:rsid w:val="00D20538"/>
    <w:rsid w:val="00D2312E"/>
    <w:rsid w:val="00D24806"/>
    <w:rsid w:val="00D27F8B"/>
    <w:rsid w:val="00D303B3"/>
    <w:rsid w:val="00D30F31"/>
    <w:rsid w:val="00D34040"/>
    <w:rsid w:val="00D344BC"/>
    <w:rsid w:val="00D34E69"/>
    <w:rsid w:val="00D352D9"/>
    <w:rsid w:val="00D36A25"/>
    <w:rsid w:val="00D36C78"/>
    <w:rsid w:val="00D375EE"/>
    <w:rsid w:val="00D44C67"/>
    <w:rsid w:val="00D46418"/>
    <w:rsid w:val="00D55062"/>
    <w:rsid w:val="00D55AE8"/>
    <w:rsid w:val="00D56056"/>
    <w:rsid w:val="00D5717F"/>
    <w:rsid w:val="00D6085F"/>
    <w:rsid w:val="00D62699"/>
    <w:rsid w:val="00D63B43"/>
    <w:rsid w:val="00D70E50"/>
    <w:rsid w:val="00D72938"/>
    <w:rsid w:val="00D76259"/>
    <w:rsid w:val="00D778E9"/>
    <w:rsid w:val="00D812BF"/>
    <w:rsid w:val="00D82620"/>
    <w:rsid w:val="00D82B96"/>
    <w:rsid w:val="00D83369"/>
    <w:rsid w:val="00D83CCD"/>
    <w:rsid w:val="00D85707"/>
    <w:rsid w:val="00D92D7A"/>
    <w:rsid w:val="00D9725F"/>
    <w:rsid w:val="00DA01B1"/>
    <w:rsid w:val="00DA0965"/>
    <w:rsid w:val="00DA11A2"/>
    <w:rsid w:val="00DA14ED"/>
    <w:rsid w:val="00DA26D6"/>
    <w:rsid w:val="00DA36E8"/>
    <w:rsid w:val="00DB0A5E"/>
    <w:rsid w:val="00DB2EF1"/>
    <w:rsid w:val="00DB3DE1"/>
    <w:rsid w:val="00DB5DA0"/>
    <w:rsid w:val="00DB6106"/>
    <w:rsid w:val="00DB716C"/>
    <w:rsid w:val="00DC289E"/>
    <w:rsid w:val="00DC5473"/>
    <w:rsid w:val="00DC5C85"/>
    <w:rsid w:val="00DC767D"/>
    <w:rsid w:val="00DC7C5D"/>
    <w:rsid w:val="00DD1F90"/>
    <w:rsid w:val="00DD4236"/>
    <w:rsid w:val="00DD427E"/>
    <w:rsid w:val="00DD44F1"/>
    <w:rsid w:val="00DD5103"/>
    <w:rsid w:val="00DD57AA"/>
    <w:rsid w:val="00DD6957"/>
    <w:rsid w:val="00DD6E7A"/>
    <w:rsid w:val="00DD718D"/>
    <w:rsid w:val="00DE13DF"/>
    <w:rsid w:val="00DE3067"/>
    <w:rsid w:val="00DF2DFC"/>
    <w:rsid w:val="00DF3EEE"/>
    <w:rsid w:val="00DF75E1"/>
    <w:rsid w:val="00E027BC"/>
    <w:rsid w:val="00E0414A"/>
    <w:rsid w:val="00E045BE"/>
    <w:rsid w:val="00E07797"/>
    <w:rsid w:val="00E10F0D"/>
    <w:rsid w:val="00E14EA5"/>
    <w:rsid w:val="00E1642A"/>
    <w:rsid w:val="00E17685"/>
    <w:rsid w:val="00E2070E"/>
    <w:rsid w:val="00E21133"/>
    <w:rsid w:val="00E23158"/>
    <w:rsid w:val="00E23194"/>
    <w:rsid w:val="00E2327E"/>
    <w:rsid w:val="00E23577"/>
    <w:rsid w:val="00E25CA1"/>
    <w:rsid w:val="00E266EF"/>
    <w:rsid w:val="00E302DD"/>
    <w:rsid w:val="00E31FA3"/>
    <w:rsid w:val="00E326A8"/>
    <w:rsid w:val="00E347CE"/>
    <w:rsid w:val="00E4016E"/>
    <w:rsid w:val="00E40A97"/>
    <w:rsid w:val="00E469F0"/>
    <w:rsid w:val="00E47428"/>
    <w:rsid w:val="00E50648"/>
    <w:rsid w:val="00E5579F"/>
    <w:rsid w:val="00E56C8E"/>
    <w:rsid w:val="00E5716B"/>
    <w:rsid w:val="00E57F1F"/>
    <w:rsid w:val="00E63225"/>
    <w:rsid w:val="00E66B9F"/>
    <w:rsid w:val="00E67FCE"/>
    <w:rsid w:val="00E705B4"/>
    <w:rsid w:val="00E70A6A"/>
    <w:rsid w:val="00E710D6"/>
    <w:rsid w:val="00E73DA4"/>
    <w:rsid w:val="00E75120"/>
    <w:rsid w:val="00E76E45"/>
    <w:rsid w:val="00E777C9"/>
    <w:rsid w:val="00E80B68"/>
    <w:rsid w:val="00E81DA6"/>
    <w:rsid w:val="00E83340"/>
    <w:rsid w:val="00E84212"/>
    <w:rsid w:val="00E9086C"/>
    <w:rsid w:val="00E90AAA"/>
    <w:rsid w:val="00E91A0F"/>
    <w:rsid w:val="00E9316A"/>
    <w:rsid w:val="00E94A71"/>
    <w:rsid w:val="00E94CBF"/>
    <w:rsid w:val="00EA03CE"/>
    <w:rsid w:val="00EA23E5"/>
    <w:rsid w:val="00EA24AD"/>
    <w:rsid w:val="00EA3E53"/>
    <w:rsid w:val="00EA4E2E"/>
    <w:rsid w:val="00EB2417"/>
    <w:rsid w:val="00EB2CCB"/>
    <w:rsid w:val="00EB4BA2"/>
    <w:rsid w:val="00EB61D0"/>
    <w:rsid w:val="00EB6787"/>
    <w:rsid w:val="00EB6F78"/>
    <w:rsid w:val="00EB7A25"/>
    <w:rsid w:val="00EC06CE"/>
    <w:rsid w:val="00EC0F3E"/>
    <w:rsid w:val="00EC57A7"/>
    <w:rsid w:val="00EC5CFA"/>
    <w:rsid w:val="00ED0817"/>
    <w:rsid w:val="00ED338D"/>
    <w:rsid w:val="00ED6570"/>
    <w:rsid w:val="00ED799F"/>
    <w:rsid w:val="00ED7DD9"/>
    <w:rsid w:val="00EE0965"/>
    <w:rsid w:val="00EE11E1"/>
    <w:rsid w:val="00EE445B"/>
    <w:rsid w:val="00EF01BA"/>
    <w:rsid w:val="00EF3113"/>
    <w:rsid w:val="00EF3BCA"/>
    <w:rsid w:val="00EF3F84"/>
    <w:rsid w:val="00EF673C"/>
    <w:rsid w:val="00F018FC"/>
    <w:rsid w:val="00F1574F"/>
    <w:rsid w:val="00F1663E"/>
    <w:rsid w:val="00F16B09"/>
    <w:rsid w:val="00F176AC"/>
    <w:rsid w:val="00F253D5"/>
    <w:rsid w:val="00F26F28"/>
    <w:rsid w:val="00F276C5"/>
    <w:rsid w:val="00F27714"/>
    <w:rsid w:val="00F320FF"/>
    <w:rsid w:val="00F3276E"/>
    <w:rsid w:val="00F33D3C"/>
    <w:rsid w:val="00F357B2"/>
    <w:rsid w:val="00F35D57"/>
    <w:rsid w:val="00F37A91"/>
    <w:rsid w:val="00F408A0"/>
    <w:rsid w:val="00F41A4D"/>
    <w:rsid w:val="00F45CF5"/>
    <w:rsid w:val="00F467DA"/>
    <w:rsid w:val="00F47DB0"/>
    <w:rsid w:val="00F50C3F"/>
    <w:rsid w:val="00F50E34"/>
    <w:rsid w:val="00F51AFB"/>
    <w:rsid w:val="00F53EF7"/>
    <w:rsid w:val="00F54AB9"/>
    <w:rsid w:val="00F54BF2"/>
    <w:rsid w:val="00F555AB"/>
    <w:rsid w:val="00F5608F"/>
    <w:rsid w:val="00F60C47"/>
    <w:rsid w:val="00F661E4"/>
    <w:rsid w:val="00F73E07"/>
    <w:rsid w:val="00F76D3E"/>
    <w:rsid w:val="00F775AC"/>
    <w:rsid w:val="00F83F88"/>
    <w:rsid w:val="00F84EC7"/>
    <w:rsid w:val="00F86E13"/>
    <w:rsid w:val="00F875C5"/>
    <w:rsid w:val="00F8779A"/>
    <w:rsid w:val="00F8792F"/>
    <w:rsid w:val="00F91D88"/>
    <w:rsid w:val="00F9214D"/>
    <w:rsid w:val="00F92355"/>
    <w:rsid w:val="00F93963"/>
    <w:rsid w:val="00F94291"/>
    <w:rsid w:val="00FA298A"/>
    <w:rsid w:val="00FA5B66"/>
    <w:rsid w:val="00FB002C"/>
    <w:rsid w:val="00FB0B9C"/>
    <w:rsid w:val="00FB0EE8"/>
    <w:rsid w:val="00FB214B"/>
    <w:rsid w:val="00FB30EB"/>
    <w:rsid w:val="00FB7982"/>
    <w:rsid w:val="00FC0734"/>
    <w:rsid w:val="00FC0C8B"/>
    <w:rsid w:val="00FC0FC5"/>
    <w:rsid w:val="00FC2E1C"/>
    <w:rsid w:val="00FC588F"/>
    <w:rsid w:val="00FC6879"/>
    <w:rsid w:val="00FD43C2"/>
    <w:rsid w:val="00FD57CC"/>
    <w:rsid w:val="00FE1B30"/>
    <w:rsid w:val="00FE2A08"/>
    <w:rsid w:val="00FE451B"/>
    <w:rsid w:val="00FE7B44"/>
    <w:rsid w:val="00FF0B66"/>
    <w:rsid w:val="00FF1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EBAC4"/>
  <w15:docId w15:val="{28CC843C-72C7-0443-B773-3E75140B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6739B6"/>
    <w:rPr>
      <w:b/>
      <w:sz w:val="24"/>
      <w:szCs w:val="24"/>
      <w:lang w:eastAsia="en-US"/>
    </w:rPr>
  </w:style>
  <w:style w:type="character" w:customStyle="1" w:styleId="UnresolvedMention1">
    <w:name w:val="Unresolved Mention1"/>
    <w:basedOn w:val="DefaultParagraphFont"/>
    <w:uiPriority w:val="99"/>
    <w:semiHidden/>
    <w:unhideWhenUsed/>
    <w:rsid w:val="0086104F"/>
    <w:rPr>
      <w:color w:val="605E5C"/>
      <w:shd w:val="clear" w:color="auto" w:fill="E1DFDD"/>
    </w:rPr>
  </w:style>
  <w:style w:type="paragraph" w:customStyle="1" w:styleId="Default">
    <w:name w:val="Default"/>
    <w:rsid w:val="003E5650"/>
    <w:pPr>
      <w:autoSpaceDE w:val="0"/>
      <w:autoSpaceDN w:val="0"/>
      <w:adjustRightInd w:val="0"/>
    </w:pPr>
    <w:rPr>
      <w:color w:val="000000"/>
      <w:sz w:val="24"/>
      <w:szCs w:val="24"/>
      <w:lang w:val="en-GB"/>
    </w:rPr>
  </w:style>
  <w:style w:type="paragraph" w:styleId="ListParagraph">
    <w:name w:val="List Paragraph"/>
    <w:basedOn w:val="Normal"/>
    <w:uiPriority w:val="1"/>
    <w:qFormat/>
    <w:rsid w:val="005115CE"/>
    <w:pPr>
      <w:widowControl w:val="0"/>
      <w:autoSpaceDE w:val="0"/>
      <w:autoSpaceDN w:val="0"/>
      <w:spacing w:line="240" w:lineRule="auto"/>
      <w:ind w:left="820" w:hanging="720"/>
    </w:pPr>
    <w:rPr>
      <w:rFonts w:eastAsia="Times New Roman"/>
      <w:sz w:val="22"/>
      <w:szCs w:val="22"/>
      <w:lang w:val="en-US"/>
    </w:rPr>
  </w:style>
  <w:style w:type="paragraph" w:customStyle="1" w:styleId="TableParagraph">
    <w:name w:val="Table Paragraph"/>
    <w:basedOn w:val="Normal"/>
    <w:uiPriority w:val="1"/>
    <w:qFormat/>
    <w:rsid w:val="00314BBB"/>
    <w:pPr>
      <w:widowControl w:val="0"/>
      <w:autoSpaceDE w:val="0"/>
      <w:autoSpaceDN w:val="0"/>
      <w:spacing w:before="133" w:line="240" w:lineRule="auto"/>
      <w:ind w:left="50"/>
      <w:jc w:val="left"/>
    </w:pPr>
    <w:rPr>
      <w:rFonts w:eastAsia="Times New Roman"/>
      <w:sz w:val="22"/>
      <w:szCs w:val="22"/>
      <w:lang w:val="en-US"/>
    </w:rPr>
  </w:style>
  <w:style w:type="character" w:customStyle="1" w:styleId="charsectno">
    <w:name w:val="charsectno"/>
    <w:basedOn w:val="DefaultParagraphFont"/>
    <w:rsid w:val="008F6D75"/>
  </w:style>
  <w:style w:type="character" w:customStyle="1" w:styleId="Quote1Char">
    <w:name w:val="Quote1 Char"/>
    <w:basedOn w:val="DefaultParagraphFont"/>
    <w:link w:val="Quote1"/>
    <w:locked/>
    <w:rsid w:val="00CA0164"/>
    <w:rPr>
      <w:sz w:val="22"/>
      <w:lang w:eastAsia="en-US"/>
    </w:rPr>
  </w:style>
  <w:style w:type="paragraph" w:styleId="Revision">
    <w:name w:val="Revision"/>
    <w:hidden/>
    <w:uiPriority w:val="99"/>
    <w:semiHidden/>
    <w:rsid w:val="00A277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10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AA4A2C7B9478C806620452AFD7E39"/>
        <w:category>
          <w:name w:val="General"/>
          <w:gallery w:val="placeholder"/>
        </w:category>
        <w:types>
          <w:type w:val="bbPlcHdr"/>
        </w:types>
        <w:behaviors>
          <w:behavior w:val="content"/>
        </w:behaviors>
        <w:guid w:val="{6AAA49EC-321A-4BD4-8218-8334AF51B0FE}"/>
      </w:docPartPr>
      <w:docPartBody>
        <w:p w:rsidR="007C030F" w:rsidRDefault="007C030F">
          <w:pPr>
            <w:pStyle w:val="2DDAA4A2C7B9478C806620452AFD7E39"/>
          </w:pPr>
          <w:r>
            <w:rPr>
              <w:rStyle w:val="PlaceholderText"/>
            </w:rPr>
            <w:t>MNC Text</w:t>
          </w:r>
        </w:p>
      </w:docPartBody>
    </w:docPart>
    <w:docPart>
      <w:docPartPr>
        <w:name w:val="C01E98A8C5484EDCB669D26A7F05D4A8"/>
        <w:category>
          <w:name w:val="General"/>
          <w:gallery w:val="placeholder"/>
        </w:category>
        <w:types>
          <w:type w:val="bbPlcHdr"/>
        </w:types>
        <w:behaviors>
          <w:behavior w:val="content"/>
        </w:behaviors>
        <w:guid w:val="{452BEF47-6FD2-4AD1-8D1B-34197CD81105}"/>
      </w:docPartPr>
      <w:docPartBody>
        <w:p w:rsidR="007C030F" w:rsidRDefault="007C030F">
          <w:pPr>
            <w:pStyle w:val="C01E98A8C5484EDCB669D26A7F05D4A8"/>
          </w:pPr>
          <w:r w:rsidRPr="005C44BE">
            <w:rPr>
              <w:rStyle w:val="PlaceholderText"/>
            </w:rPr>
            <w:t>Click or tap here to enter text.</w:t>
          </w:r>
        </w:p>
      </w:docPartBody>
    </w:docPart>
    <w:docPart>
      <w:docPartPr>
        <w:name w:val="A2D20ED11FC9442ABF17205F9B3C97C4"/>
        <w:category>
          <w:name w:val="General"/>
          <w:gallery w:val="placeholder"/>
        </w:category>
        <w:types>
          <w:type w:val="bbPlcHdr"/>
        </w:types>
        <w:behaviors>
          <w:behavior w:val="content"/>
        </w:behaviors>
        <w:guid w:val="{A76485A8-FE2C-4DC1-9C26-47B795E69A2A}"/>
      </w:docPartPr>
      <w:docPartBody>
        <w:p w:rsidR="007C030F" w:rsidRDefault="007C030F">
          <w:pPr>
            <w:pStyle w:val="A2D20ED11FC9442ABF17205F9B3C97C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0F"/>
    <w:rsid w:val="001A7692"/>
    <w:rsid w:val="00233B4E"/>
    <w:rsid w:val="007C030F"/>
    <w:rsid w:val="009F66A5"/>
    <w:rsid w:val="00C70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30F"/>
    <w:rPr>
      <w:color w:val="808080"/>
    </w:rPr>
  </w:style>
  <w:style w:type="paragraph" w:customStyle="1" w:styleId="2DDAA4A2C7B9478C806620452AFD7E39">
    <w:name w:val="2DDAA4A2C7B9478C806620452AFD7E39"/>
  </w:style>
  <w:style w:type="paragraph" w:customStyle="1" w:styleId="C01E98A8C5484EDCB669D26A7F05D4A8">
    <w:name w:val="C01E98A8C5484EDCB669D26A7F05D4A8"/>
  </w:style>
  <w:style w:type="paragraph" w:customStyle="1" w:styleId="A2D20ED11FC9442ABF17205F9B3C97C4">
    <w:name w:val="A2D20ED11FC9442ABF17205F9B3C9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7" ma:contentTypeDescription="Create a new document." ma:contentTypeScope="" ma:versionID="d917cd4a28a9d992484231e8d56725dd">
  <xsd:schema xmlns:xsd="http://www.w3.org/2001/XMLSchema" xmlns:xs="http://www.w3.org/2001/XMLSchema" xmlns:p="http://schemas.microsoft.com/office/2006/metadata/properties" xmlns:ns3="9cb67157-2a84-4d71-9bf6-5197b63f335a" xmlns:ns4="84bcf370-1fc0-4423-ab46-412737d5c97d" targetNamespace="http://schemas.microsoft.com/office/2006/metadata/properties" ma:root="true" ma:fieldsID="54525c8af6a7fe789ab31159608a9c4d" ns3:_="" ns4:_="">
    <xsd:import namespace="9cb67157-2a84-4d71-9bf6-5197b63f335a"/>
    <xsd:import namespace="84bcf370-1fc0-4423-ab46-412737d5c9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cf370-1fc0-4423-ab46-412737d5c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Sandys Swim Pty Ltd v Morgan [2022] FCA 1574</Name>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4487-9847-4476-8434-4171B15E977C}">
  <ds:schemaRefs>
    <ds:schemaRef ds:uri="http://schemas.microsoft.com/sharepoint/v3/contenttype/forms"/>
  </ds:schemaRefs>
</ds:datastoreItem>
</file>

<file path=customXml/itemProps2.xml><?xml version="1.0" encoding="utf-8"?>
<ds:datastoreItem xmlns:ds="http://schemas.openxmlformats.org/officeDocument/2006/customXml" ds:itemID="{16EFF93B-E9C2-4A3C-BCCB-FAC7D384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7157-2a84-4d71-9bf6-5197b63f335a"/>
    <ds:schemaRef ds:uri="84bcf370-1fc0-4423-ab46-412737d5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EE6B81AA-907D-43C0-8B1C-4D38EF42D6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bcf370-1fc0-4423-ab46-412737d5c97d"/>
    <ds:schemaRef ds:uri="9cb67157-2a84-4d71-9bf6-5197b63f335a"/>
    <ds:schemaRef ds:uri="http://www.w3.org/XML/1998/namespace"/>
    <ds:schemaRef ds:uri="http://purl.org/dc/dcmitype/"/>
  </ds:schemaRefs>
</ds:datastoreItem>
</file>

<file path=customXml/itemProps5.xml><?xml version="1.0" encoding="utf-8"?>
<ds:datastoreItem xmlns:ds="http://schemas.openxmlformats.org/officeDocument/2006/customXml" ds:itemID="{8BFCCF7A-58A8-4CC1-A182-5AF98C03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17</Pages>
  <Words>5607</Words>
  <Characters>27981</Characters>
  <Application>Microsoft Office Word</Application>
  <DocSecurity>0</DocSecurity>
  <Lines>595</Lines>
  <Paragraphs>284</Paragraphs>
  <ScaleCrop>false</ScaleCrop>
  <HeadingPairs>
    <vt:vector size="2" baseType="variant">
      <vt:variant>
        <vt:lpstr>Title</vt:lpstr>
      </vt:variant>
      <vt:variant>
        <vt:i4>1</vt:i4>
      </vt:variant>
    </vt:vector>
  </HeadingPairs>
  <TitlesOfParts>
    <vt:vector size="1" baseType="lpstr">
      <vt:lpstr>Sandys Swim Pty Ltd v Morgan [2022] FCA 1574 </vt:lpstr>
    </vt:vector>
  </TitlesOfParts>
  <Company>Federal Court of Australia</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Sandys Swim Pty Ltd v Morgan [2022] FCA 1574</dc:title>
  <dc:subject/>
  <dc:creator>Federal Court of Australia</dc:creator>
  <cp:keywords/>
  <dc:description/>
  <cp:lastModifiedBy>Federal Court of Australia</cp:lastModifiedBy>
  <cp:revision>4</cp:revision>
  <cp:lastPrinted>2022-12-22T05:41:00Z</cp:lastPrinted>
  <dcterms:created xsi:type="dcterms:W3CDTF">2022-12-23T00:52:00Z</dcterms:created>
  <dcterms:modified xsi:type="dcterms:W3CDTF">2022-12-23T01:17:00Z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Australian Capital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0x01010089038CD8FC737549AA49F52A6CDD024B</vt:lpwstr>
  </property>
</Properties>
</file>