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E93" w14:textId="01375097" w:rsidR="00395B24" w:rsidRDefault="00B6500C" w:rsidP="00A22932">
      <w:pPr>
        <w:pStyle w:val="CourtTitle"/>
      </w:pPr>
      <w:r>
        <w:rPr>
          <w:caps w:val="0"/>
        </w:rPr>
        <w:t>FEDERAL COURT OF AUSTRALIA</w:t>
      </w:r>
    </w:p>
    <w:p w14:paraId="5C27F2E8" w14:textId="77777777" w:rsidR="004D7950" w:rsidRDefault="004D7950">
      <w:pPr>
        <w:pStyle w:val="NormalHeadings"/>
        <w:jc w:val="center"/>
        <w:rPr>
          <w:sz w:val="32"/>
        </w:rPr>
      </w:pPr>
    </w:p>
    <w:bookmarkStart w:id="0" w:name="MNC"/>
    <w:p w14:paraId="039E9383" w14:textId="5A4608D4" w:rsidR="00374CC4" w:rsidRDefault="007413DF" w:rsidP="001A2B40">
      <w:pPr>
        <w:pStyle w:val="MNC"/>
      </w:pPr>
      <w:sdt>
        <w:sdtPr>
          <w:alias w:val="MNC"/>
          <w:tag w:val="MNC"/>
          <w:id w:val="343289786"/>
          <w:lock w:val="sdtLocked"/>
          <w:placeholder>
            <w:docPart w:val="58C006876DDB45518293564410814C37"/>
          </w:placeholder>
          <w:dataBinding w:prefixMappings="xmlns:ns0='http://schemas.globalmacros.com/FCA'" w:xpath="/ns0:root[1]/ns0:Name[1]" w:storeItemID="{687E7CCB-4AA5-44E7-B148-17BA2B6F57C0}"/>
          <w:text w:multiLine="1"/>
        </w:sdtPr>
        <w:sdtEndPr/>
        <w:sdtContent>
          <w:r w:rsidR="00774AED">
            <w:t xml:space="preserve">Watson &amp; Co Superannuation Pty Ltd v Dixon Advisory and Superannuation Services Ltd (Settlement Approval) [2024] FCA 386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64AF5CF8" w14:textId="77777777" w:rsidTr="00723A96">
        <w:tc>
          <w:tcPr>
            <w:tcW w:w="3084" w:type="dxa"/>
            <w:shd w:val="clear" w:color="auto" w:fill="auto"/>
          </w:tcPr>
          <w:p w14:paraId="29CD90E0" w14:textId="77777777" w:rsidR="00395B24" w:rsidRDefault="002C7385" w:rsidP="00663878">
            <w:pPr>
              <w:pStyle w:val="Normal1linespace"/>
              <w:widowControl w:val="0"/>
              <w:jc w:val="left"/>
            </w:pPr>
            <w:r>
              <w:t>File number(s):</w:t>
            </w:r>
          </w:p>
        </w:tc>
        <w:tc>
          <w:tcPr>
            <w:tcW w:w="5989" w:type="dxa"/>
            <w:shd w:val="clear" w:color="auto" w:fill="auto"/>
          </w:tcPr>
          <w:p w14:paraId="2A83A6B6" w14:textId="1A284662" w:rsidR="008F3A1D" w:rsidRDefault="00B874E9" w:rsidP="00A53E24">
            <w:pPr>
              <w:pStyle w:val="Normal1linespace"/>
              <w:jc w:val="left"/>
            </w:pPr>
            <w:r>
              <w:fldChar w:fldCharType="begin" w:fldLock="1"/>
            </w:r>
            <w:r>
              <w:instrText xml:space="preserve"> REF  FileNo  \* MERGEFORMAT </w:instrText>
            </w:r>
            <w:r>
              <w:fldChar w:fldCharType="separate"/>
            </w:r>
            <w:r w:rsidR="0070410A">
              <w:t>VID 769 of 2021</w:t>
            </w:r>
          </w:p>
          <w:p w14:paraId="4E3BBC30" w14:textId="207E193F" w:rsidR="00395B24" w:rsidRPr="00A53E24" w:rsidRDefault="006778CA" w:rsidP="00A53E24">
            <w:pPr>
              <w:pStyle w:val="Normal1linespace"/>
              <w:jc w:val="left"/>
            </w:pPr>
            <w:r>
              <w:t xml:space="preserve">VID 383 </w:t>
            </w:r>
            <w:r w:rsidR="00723A96">
              <w:t>of</w:t>
            </w:r>
            <w:r>
              <w:t xml:space="preserve"> 2023</w:t>
            </w:r>
            <w:r w:rsidR="00B874E9">
              <w:fldChar w:fldCharType="end"/>
            </w:r>
          </w:p>
        </w:tc>
      </w:tr>
      <w:tr w:rsidR="00395B24" w14:paraId="07F63767" w14:textId="77777777" w:rsidTr="00723A96">
        <w:tc>
          <w:tcPr>
            <w:tcW w:w="3084" w:type="dxa"/>
            <w:shd w:val="clear" w:color="auto" w:fill="auto"/>
          </w:tcPr>
          <w:p w14:paraId="368E86A3" w14:textId="77777777" w:rsidR="00395B24" w:rsidRDefault="00395B24" w:rsidP="00663878">
            <w:pPr>
              <w:pStyle w:val="Normal1linespace"/>
              <w:widowControl w:val="0"/>
              <w:jc w:val="left"/>
            </w:pPr>
          </w:p>
        </w:tc>
        <w:tc>
          <w:tcPr>
            <w:tcW w:w="5989" w:type="dxa"/>
            <w:shd w:val="clear" w:color="auto" w:fill="auto"/>
          </w:tcPr>
          <w:p w14:paraId="14CFEE50" w14:textId="77777777" w:rsidR="00395B24" w:rsidRDefault="00395B24" w:rsidP="00663878">
            <w:pPr>
              <w:pStyle w:val="Normal1linespace"/>
              <w:widowControl w:val="0"/>
              <w:jc w:val="left"/>
            </w:pPr>
          </w:p>
        </w:tc>
      </w:tr>
      <w:tr w:rsidR="00395B24" w14:paraId="6DE849EA" w14:textId="77777777" w:rsidTr="00723A96">
        <w:tc>
          <w:tcPr>
            <w:tcW w:w="3084" w:type="dxa"/>
            <w:shd w:val="clear" w:color="auto" w:fill="auto"/>
          </w:tcPr>
          <w:p w14:paraId="0BB810B6"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F65C2A0" w14:textId="46BDAD1B" w:rsidR="00395B24" w:rsidRDefault="00931BD9" w:rsidP="00663878">
            <w:pPr>
              <w:pStyle w:val="Normal1linespace"/>
              <w:widowControl w:val="0"/>
              <w:jc w:val="left"/>
              <w:rPr>
                <w:b/>
              </w:rPr>
            </w:pPr>
            <w:r>
              <w:rPr>
                <w:b/>
              </w:rPr>
              <w:t xml:space="preserve">THAWLEY J </w:t>
            </w:r>
          </w:p>
        </w:tc>
      </w:tr>
      <w:tr w:rsidR="00395B24" w14:paraId="1D1BCE7A" w14:textId="77777777" w:rsidTr="00723A96">
        <w:tc>
          <w:tcPr>
            <w:tcW w:w="3084" w:type="dxa"/>
            <w:shd w:val="clear" w:color="auto" w:fill="auto"/>
          </w:tcPr>
          <w:p w14:paraId="03689564" w14:textId="77777777" w:rsidR="00395B24" w:rsidRDefault="00395B24" w:rsidP="00663878">
            <w:pPr>
              <w:pStyle w:val="Normal1linespace"/>
              <w:widowControl w:val="0"/>
              <w:jc w:val="left"/>
            </w:pPr>
          </w:p>
        </w:tc>
        <w:tc>
          <w:tcPr>
            <w:tcW w:w="5989" w:type="dxa"/>
            <w:shd w:val="clear" w:color="auto" w:fill="auto"/>
          </w:tcPr>
          <w:p w14:paraId="5E37C8B6" w14:textId="77777777" w:rsidR="00395B24" w:rsidRDefault="00395B24" w:rsidP="00663878">
            <w:pPr>
              <w:pStyle w:val="Normal1linespace"/>
              <w:widowControl w:val="0"/>
              <w:jc w:val="left"/>
            </w:pPr>
          </w:p>
        </w:tc>
      </w:tr>
      <w:tr w:rsidR="00395B24" w14:paraId="05CDCD08" w14:textId="77777777" w:rsidTr="00723A96">
        <w:tc>
          <w:tcPr>
            <w:tcW w:w="3084" w:type="dxa"/>
            <w:shd w:val="clear" w:color="auto" w:fill="auto"/>
          </w:tcPr>
          <w:p w14:paraId="4ECCE86C" w14:textId="77777777" w:rsidR="00395B24" w:rsidRDefault="002C7385" w:rsidP="00663878">
            <w:pPr>
              <w:pStyle w:val="Normal1linespace"/>
              <w:widowControl w:val="0"/>
              <w:jc w:val="left"/>
            </w:pPr>
            <w:r>
              <w:t>Date of judgment:</w:t>
            </w:r>
          </w:p>
        </w:tc>
        <w:tc>
          <w:tcPr>
            <w:tcW w:w="5989" w:type="dxa"/>
            <w:shd w:val="clear" w:color="auto" w:fill="auto"/>
          </w:tcPr>
          <w:p w14:paraId="25FD69BA" w14:textId="57C044EB" w:rsidR="00395B24" w:rsidRDefault="0070410A" w:rsidP="00663878">
            <w:pPr>
              <w:pStyle w:val="Normal1linespace"/>
              <w:widowControl w:val="0"/>
              <w:jc w:val="left"/>
            </w:pPr>
            <w:bookmarkStart w:id="1" w:name="JudgmentDate"/>
            <w:bookmarkEnd w:id="1"/>
            <w:r>
              <w:t>1</w:t>
            </w:r>
            <w:r w:rsidR="00387201">
              <w:t>7</w:t>
            </w:r>
            <w:r>
              <w:t xml:space="preserve"> April 2024</w:t>
            </w:r>
          </w:p>
        </w:tc>
      </w:tr>
      <w:tr w:rsidR="00395B24" w14:paraId="0856EC9D" w14:textId="77777777" w:rsidTr="00723A96">
        <w:tc>
          <w:tcPr>
            <w:tcW w:w="3084" w:type="dxa"/>
            <w:shd w:val="clear" w:color="auto" w:fill="auto"/>
          </w:tcPr>
          <w:p w14:paraId="433F51D2" w14:textId="77777777" w:rsidR="00395B24" w:rsidRDefault="00395B24" w:rsidP="00663878">
            <w:pPr>
              <w:pStyle w:val="Normal1linespace"/>
              <w:widowControl w:val="0"/>
              <w:jc w:val="left"/>
            </w:pPr>
          </w:p>
        </w:tc>
        <w:tc>
          <w:tcPr>
            <w:tcW w:w="5989" w:type="dxa"/>
            <w:shd w:val="clear" w:color="auto" w:fill="auto"/>
          </w:tcPr>
          <w:p w14:paraId="6F32BBAE" w14:textId="77777777" w:rsidR="00395B24" w:rsidRDefault="00395B24" w:rsidP="00663878">
            <w:pPr>
              <w:pStyle w:val="Normal1linespace"/>
              <w:widowControl w:val="0"/>
              <w:jc w:val="left"/>
            </w:pPr>
          </w:p>
        </w:tc>
      </w:tr>
      <w:tr w:rsidR="00395B24" w14:paraId="2F61ECAB" w14:textId="77777777" w:rsidTr="00723A96">
        <w:tc>
          <w:tcPr>
            <w:tcW w:w="3084" w:type="dxa"/>
            <w:shd w:val="clear" w:color="auto" w:fill="auto"/>
          </w:tcPr>
          <w:p w14:paraId="09BFF3D1" w14:textId="77777777" w:rsidR="00395B24" w:rsidRDefault="002C7385" w:rsidP="00663878">
            <w:pPr>
              <w:pStyle w:val="Normal1linespace"/>
              <w:widowControl w:val="0"/>
              <w:jc w:val="left"/>
            </w:pPr>
            <w:r>
              <w:t>Catchwords:</w:t>
            </w:r>
          </w:p>
        </w:tc>
        <w:tc>
          <w:tcPr>
            <w:tcW w:w="5989" w:type="dxa"/>
            <w:shd w:val="clear" w:color="auto" w:fill="auto"/>
          </w:tcPr>
          <w:p w14:paraId="330747CC" w14:textId="2E6B514A" w:rsidR="00055678" w:rsidRDefault="00A07393" w:rsidP="00663878">
            <w:pPr>
              <w:pStyle w:val="Normal1linespace"/>
              <w:widowControl w:val="0"/>
              <w:jc w:val="left"/>
            </w:pPr>
            <w:bookmarkStart w:id="2" w:name="Catchwords"/>
            <w:r>
              <w:rPr>
                <w:b/>
                <w:bCs/>
              </w:rPr>
              <w:t xml:space="preserve">REPRESENTATIVE PROCEEDINGS </w:t>
            </w:r>
            <w:r>
              <w:t>–</w:t>
            </w:r>
            <w:r w:rsidR="008E7306">
              <w:t xml:space="preserve"> settlement approval – where proposed settlement amount represents substantially all </w:t>
            </w:r>
            <w:r w:rsidR="00B33754">
              <w:t xml:space="preserve">of </w:t>
            </w:r>
            <w:r w:rsidR="008E7306">
              <w:t xml:space="preserve">the funds </w:t>
            </w:r>
            <w:r w:rsidR="00055678">
              <w:t xml:space="preserve">that the respondents have available to satisfy judgment – </w:t>
            </w:r>
            <w:r w:rsidR="006721E9">
              <w:t xml:space="preserve">where settlement deed seeks to preserve ability of group members to make claims to the Australian Financial Complaints Authority – </w:t>
            </w:r>
            <w:r w:rsidR="00055678">
              <w:t>settlement approved</w:t>
            </w:r>
          </w:p>
          <w:p w14:paraId="0F9CE0DD" w14:textId="77777777" w:rsidR="00122FEB" w:rsidRDefault="00122FEB" w:rsidP="00663878">
            <w:pPr>
              <w:pStyle w:val="Normal1linespace"/>
              <w:widowControl w:val="0"/>
              <w:jc w:val="left"/>
            </w:pPr>
          </w:p>
          <w:p w14:paraId="356F4AC8" w14:textId="77777777" w:rsidR="00C14244" w:rsidRDefault="006721E9" w:rsidP="00663878">
            <w:pPr>
              <w:pStyle w:val="Normal1linespace"/>
              <w:widowControl w:val="0"/>
              <w:jc w:val="left"/>
            </w:pPr>
            <w:r>
              <w:rPr>
                <w:b/>
                <w:bCs/>
              </w:rPr>
              <w:t>COSTS</w:t>
            </w:r>
            <w:r w:rsidR="00122FEB">
              <w:rPr>
                <w:b/>
                <w:bCs/>
              </w:rPr>
              <w:t xml:space="preserve"> </w:t>
            </w:r>
            <w:r w:rsidR="00122FEB">
              <w:t xml:space="preserve">– whether costs incurred by litigation funder </w:t>
            </w:r>
            <w:r w:rsidR="00AC28BD">
              <w:t xml:space="preserve">in stayed proceedings should be ordered in relation to settlement in this proceeding – where only some work </w:t>
            </w:r>
            <w:r w:rsidR="00845097">
              <w:t>of enduring benefit – limited costs awarded</w:t>
            </w:r>
          </w:p>
          <w:p w14:paraId="27A6CBC7" w14:textId="77777777" w:rsidR="00C14244" w:rsidRDefault="00C14244" w:rsidP="00663878">
            <w:pPr>
              <w:pStyle w:val="Normal1linespace"/>
              <w:widowControl w:val="0"/>
              <w:jc w:val="left"/>
            </w:pPr>
          </w:p>
          <w:p w14:paraId="23F955EB" w14:textId="0F8FED6D" w:rsidR="00395B24" w:rsidRDefault="00C14244" w:rsidP="00663878">
            <w:pPr>
              <w:pStyle w:val="Normal1linespace"/>
              <w:widowControl w:val="0"/>
              <w:jc w:val="left"/>
            </w:pPr>
            <w:r>
              <w:rPr>
                <w:b/>
                <w:bCs/>
              </w:rPr>
              <w:t>INSOLVENCY</w:t>
            </w:r>
            <w:r>
              <w:t xml:space="preserve"> – application by deed administrators for directions under s 90-15 of Div 90 of Sch 2 (</w:t>
            </w:r>
            <w:r>
              <w:rPr>
                <w:i/>
                <w:iCs/>
              </w:rPr>
              <w:t>Insolvency Practice Schedule (Corporations)</w:t>
            </w:r>
            <w:r>
              <w:t>)</w:t>
            </w:r>
            <w:r w:rsidR="00D3465E">
              <w:t xml:space="preserve"> to the </w:t>
            </w:r>
            <w:r w:rsidR="00D3465E">
              <w:rPr>
                <w:i/>
                <w:iCs/>
              </w:rPr>
              <w:t>Corporations Act (2001)</w:t>
            </w:r>
            <w:r w:rsidR="00D3465E">
              <w:t xml:space="preserve"> (</w:t>
            </w:r>
            <w:proofErr w:type="spellStart"/>
            <w:r w:rsidR="00D3465E">
              <w:t>Cth</w:t>
            </w:r>
            <w:proofErr w:type="spellEnd"/>
            <w:r w:rsidR="00D3465E">
              <w:t>) – where application made in connection with approval of a settlement in representative proceedings – application for direction granted</w:t>
            </w:r>
            <w:r w:rsidR="00715751">
              <w:t xml:space="preserve"> </w:t>
            </w:r>
            <w:bookmarkEnd w:id="2"/>
          </w:p>
        </w:tc>
      </w:tr>
      <w:tr w:rsidR="00395B24" w14:paraId="7EC3F7A6" w14:textId="77777777" w:rsidTr="00723A96">
        <w:tc>
          <w:tcPr>
            <w:tcW w:w="3084" w:type="dxa"/>
            <w:shd w:val="clear" w:color="auto" w:fill="auto"/>
          </w:tcPr>
          <w:p w14:paraId="5AC11CDC" w14:textId="77777777" w:rsidR="00395B24" w:rsidRDefault="00395B24" w:rsidP="00663878">
            <w:pPr>
              <w:pStyle w:val="Normal1linespace"/>
              <w:widowControl w:val="0"/>
              <w:jc w:val="left"/>
            </w:pPr>
          </w:p>
        </w:tc>
        <w:tc>
          <w:tcPr>
            <w:tcW w:w="5989" w:type="dxa"/>
            <w:shd w:val="clear" w:color="auto" w:fill="auto"/>
          </w:tcPr>
          <w:p w14:paraId="3D7CFB5D" w14:textId="77777777" w:rsidR="00395B24" w:rsidRDefault="00395B24" w:rsidP="00663878">
            <w:pPr>
              <w:pStyle w:val="Normal1linespace"/>
              <w:widowControl w:val="0"/>
              <w:jc w:val="left"/>
            </w:pPr>
          </w:p>
        </w:tc>
      </w:tr>
      <w:tr w:rsidR="00395B24" w14:paraId="2B40E3F6" w14:textId="77777777" w:rsidTr="00723A96">
        <w:tc>
          <w:tcPr>
            <w:tcW w:w="3084" w:type="dxa"/>
            <w:shd w:val="clear" w:color="auto" w:fill="auto"/>
          </w:tcPr>
          <w:p w14:paraId="3F00857A" w14:textId="77777777" w:rsidR="00395B24" w:rsidRDefault="002C7385" w:rsidP="00663878">
            <w:pPr>
              <w:pStyle w:val="Normal1linespace"/>
              <w:widowControl w:val="0"/>
              <w:jc w:val="left"/>
            </w:pPr>
            <w:r>
              <w:t>Legislation:</w:t>
            </w:r>
          </w:p>
        </w:tc>
        <w:tc>
          <w:tcPr>
            <w:tcW w:w="5989" w:type="dxa"/>
            <w:shd w:val="clear" w:color="auto" w:fill="auto"/>
          </w:tcPr>
          <w:p w14:paraId="7A880F87" w14:textId="16C0DFD6" w:rsidR="00CB65C1" w:rsidRDefault="00CB65C1" w:rsidP="00CB65C1">
            <w:pPr>
              <w:pStyle w:val="CasesLegislationAppealFrom"/>
              <w:spacing w:after="60"/>
              <w:rPr>
                <w:i/>
                <w:szCs w:val="24"/>
              </w:rPr>
            </w:pPr>
            <w:bookmarkStart w:id="3" w:name="Legislation"/>
            <w:r w:rsidRPr="002E4C56">
              <w:rPr>
                <w:i/>
                <w:iCs/>
              </w:rPr>
              <w:t xml:space="preserve">Australian Securities and Investments Commission Act 2001 </w:t>
            </w:r>
            <w:r w:rsidRPr="002E4C56">
              <w:t>(</w:t>
            </w:r>
            <w:proofErr w:type="spellStart"/>
            <w:r w:rsidRPr="002E4C56">
              <w:t>Cth</w:t>
            </w:r>
            <w:proofErr w:type="spellEnd"/>
            <w:r>
              <w:t>)</w:t>
            </w:r>
          </w:p>
          <w:p w14:paraId="62E726FA" w14:textId="686EB7A4" w:rsidR="00CB65C1" w:rsidRDefault="00CB65C1" w:rsidP="00CB65C1">
            <w:pPr>
              <w:pStyle w:val="CasesLegislationAppealFrom"/>
              <w:spacing w:after="60"/>
              <w:rPr>
                <w:szCs w:val="24"/>
              </w:rPr>
            </w:pPr>
            <w:r w:rsidRPr="002E4C56">
              <w:rPr>
                <w:i/>
                <w:szCs w:val="24"/>
              </w:rPr>
              <w:t xml:space="preserve">Corporations Act 2001 </w:t>
            </w:r>
            <w:r w:rsidRPr="002E4C56">
              <w:rPr>
                <w:szCs w:val="24"/>
              </w:rPr>
              <w:t>(</w:t>
            </w:r>
            <w:proofErr w:type="spellStart"/>
            <w:r w:rsidRPr="002E4C56">
              <w:rPr>
                <w:szCs w:val="24"/>
              </w:rPr>
              <w:t>Cth</w:t>
            </w:r>
            <w:proofErr w:type="spellEnd"/>
            <w:r w:rsidRPr="002E4C56">
              <w:rPr>
                <w:szCs w:val="24"/>
              </w:rPr>
              <w:t>)</w:t>
            </w:r>
          </w:p>
          <w:p w14:paraId="6AAD1F71" w14:textId="58C0436A" w:rsidR="00CB65C1" w:rsidRDefault="00CB65C1" w:rsidP="00CB65C1">
            <w:pPr>
              <w:pStyle w:val="CasesLegislationAppealFrom"/>
              <w:spacing w:after="60"/>
              <w:rPr>
                <w:lang w:val="en-US"/>
              </w:rPr>
            </w:pPr>
            <w:r w:rsidRPr="00E93EC8">
              <w:rPr>
                <w:i/>
                <w:iCs/>
                <w:lang w:val="en-US"/>
              </w:rPr>
              <w:t xml:space="preserve">Federal Court of Australia Act 1976 </w:t>
            </w:r>
            <w:r w:rsidRPr="00E93EC8">
              <w:rPr>
                <w:lang w:val="en-US"/>
              </w:rPr>
              <w:t>(</w:t>
            </w:r>
            <w:proofErr w:type="spellStart"/>
            <w:r w:rsidRPr="00E93EC8">
              <w:rPr>
                <w:lang w:val="en-US"/>
              </w:rPr>
              <w:t>Cth</w:t>
            </w:r>
            <w:proofErr w:type="spellEnd"/>
            <w:r w:rsidRPr="00E93EC8">
              <w:rPr>
                <w:lang w:val="en-US"/>
              </w:rPr>
              <w:t>)</w:t>
            </w:r>
          </w:p>
          <w:p w14:paraId="725D3E9A" w14:textId="59D359FA" w:rsidR="00CB65C1" w:rsidRDefault="00CB65C1" w:rsidP="00CB65C1">
            <w:pPr>
              <w:pStyle w:val="CasesLegislationAppealFrom"/>
              <w:spacing w:after="60"/>
              <w:rPr>
                <w:iCs/>
                <w:lang w:val="en-US"/>
              </w:rPr>
            </w:pPr>
            <w:r w:rsidRPr="002E4C56">
              <w:rPr>
                <w:i/>
                <w:lang w:val="en-US"/>
              </w:rPr>
              <w:t xml:space="preserve">Corporations Amendment (Litigation Funding) Regulations 2020 </w:t>
            </w:r>
            <w:r w:rsidRPr="002E4C56">
              <w:rPr>
                <w:iCs/>
                <w:lang w:val="en-US"/>
              </w:rPr>
              <w:t>(</w:t>
            </w:r>
            <w:proofErr w:type="spellStart"/>
            <w:r w:rsidRPr="002E4C56">
              <w:rPr>
                <w:iCs/>
                <w:lang w:val="en-US"/>
              </w:rPr>
              <w:t>Cth</w:t>
            </w:r>
            <w:proofErr w:type="spellEnd"/>
            <w:r w:rsidRPr="002E4C56">
              <w:rPr>
                <w:iCs/>
                <w:lang w:val="en-US"/>
              </w:rPr>
              <w:t>)</w:t>
            </w:r>
          </w:p>
          <w:p w14:paraId="5FDC66EA" w14:textId="78EA3CA7" w:rsidR="00CB65C1" w:rsidRDefault="00CB65C1" w:rsidP="00CB65C1">
            <w:pPr>
              <w:pStyle w:val="CasesLegislationAppealFrom"/>
              <w:spacing w:after="60"/>
              <w:rPr>
                <w:lang w:val="en-US"/>
              </w:rPr>
            </w:pPr>
            <w:r w:rsidRPr="002E4C56">
              <w:rPr>
                <w:i/>
                <w:iCs/>
              </w:rPr>
              <w:t xml:space="preserve">Corporations Regulations 2001 </w:t>
            </w:r>
            <w:r w:rsidRPr="002E4C56">
              <w:t>(</w:t>
            </w:r>
            <w:proofErr w:type="spellStart"/>
            <w:r w:rsidRPr="002E4C56">
              <w:t>Cth</w:t>
            </w:r>
            <w:proofErr w:type="spellEnd"/>
            <w:r w:rsidRPr="002E4C56">
              <w:t>)</w:t>
            </w:r>
          </w:p>
          <w:p w14:paraId="1409E4F3" w14:textId="76E39FD3" w:rsidR="00395B24" w:rsidRPr="00CB65C1" w:rsidRDefault="00CB65C1" w:rsidP="00CB65C1">
            <w:pPr>
              <w:pStyle w:val="CasesLegislationAppealFrom"/>
              <w:spacing w:after="60"/>
              <w:rPr>
                <w:lang w:val="en-US"/>
              </w:rPr>
            </w:pPr>
            <w:r w:rsidRPr="00E93EC8">
              <w:rPr>
                <w:i/>
                <w:szCs w:val="24"/>
              </w:rPr>
              <w:t>Insolvency Practice Schedule (Corporations)</w:t>
            </w:r>
          </w:p>
          <w:p w14:paraId="120D8200" w14:textId="0BE59861" w:rsidR="00CB65C1" w:rsidRPr="00E93EC8" w:rsidRDefault="00CB65C1" w:rsidP="00CB65C1">
            <w:pPr>
              <w:pStyle w:val="CasesLegislationAppealFrom"/>
              <w:spacing w:after="60"/>
              <w:rPr>
                <w:i/>
                <w:iCs/>
                <w:szCs w:val="24"/>
              </w:rPr>
            </w:pPr>
            <w:r w:rsidRPr="00E93EC8">
              <w:rPr>
                <w:i/>
                <w:iCs/>
                <w:szCs w:val="24"/>
              </w:rPr>
              <w:t>Legal Profession Uniform Law (NSW)</w:t>
            </w:r>
            <w:bookmarkEnd w:id="3"/>
          </w:p>
        </w:tc>
      </w:tr>
      <w:tr w:rsidR="00395B24" w14:paraId="38AB6562" w14:textId="77777777" w:rsidTr="00723A96">
        <w:tc>
          <w:tcPr>
            <w:tcW w:w="3084" w:type="dxa"/>
            <w:shd w:val="clear" w:color="auto" w:fill="auto"/>
          </w:tcPr>
          <w:p w14:paraId="7376236A" w14:textId="77777777" w:rsidR="00395B24" w:rsidRDefault="00395B24" w:rsidP="00663878">
            <w:pPr>
              <w:pStyle w:val="Normal1linespace"/>
              <w:widowControl w:val="0"/>
              <w:jc w:val="left"/>
            </w:pPr>
          </w:p>
        </w:tc>
        <w:tc>
          <w:tcPr>
            <w:tcW w:w="5989" w:type="dxa"/>
            <w:shd w:val="clear" w:color="auto" w:fill="auto"/>
          </w:tcPr>
          <w:p w14:paraId="16398B8D" w14:textId="77777777" w:rsidR="00395B24" w:rsidRDefault="00395B24" w:rsidP="00663878">
            <w:pPr>
              <w:pStyle w:val="Normal1linespace"/>
              <w:widowControl w:val="0"/>
              <w:jc w:val="left"/>
            </w:pPr>
          </w:p>
        </w:tc>
      </w:tr>
      <w:tr w:rsidR="00395B24" w14:paraId="35CCA5F3" w14:textId="77777777" w:rsidTr="00723A96">
        <w:tc>
          <w:tcPr>
            <w:tcW w:w="3084" w:type="dxa"/>
            <w:shd w:val="clear" w:color="auto" w:fill="auto"/>
          </w:tcPr>
          <w:p w14:paraId="225D2D2E" w14:textId="77777777" w:rsidR="00395B24" w:rsidRDefault="002C7385" w:rsidP="00663878">
            <w:pPr>
              <w:pStyle w:val="Normal1linespace"/>
              <w:widowControl w:val="0"/>
              <w:jc w:val="left"/>
            </w:pPr>
            <w:r>
              <w:t>Cases cited:</w:t>
            </w:r>
          </w:p>
        </w:tc>
        <w:tc>
          <w:tcPr>
            <w:tcW w:w="5989" w:type="dxa"/>
            <w:shd w:val="clear" w:color="auto" w:fill="auto"/>
          </w:tcPr>
          <w:p w14:paraId="17374528" w14:textId="77777777" w:rsidR="00CB65C1" w:rsidRPr="00CB65C1" w:rsidRDefault="00CB65C1" w:rsidP="00723A96">
            <w:pPr>
              <w:pStyle w:val="CasesLegislationAppealFrom"/>
              <w:widowControl/>
              <w:spacing w:after="60"/>
              <w:rPr>
                <w:lang w:val="en-US"/>
              </w:rPr>
            </w:pPr>
            <w:bookmarkStart w:id="4" w:name="Cases_Cited"/>
            <w:r w:rsidRPr="00E93EC8">
              <w:rPr>
                <w:i/>
                <w:iCs/>
                <w:lang w:val="en-US"/>
              </w:rPr>
              <w:t xml:space="preserve">Algeri, in the matter of Gem Management Group Pty Ltd (in </w:t>
            </w:r>
            <w:proofErr w:type="spellStart"/>
            <w:r w:rsidRPr="00E93EC8">
              <w:rPr>
                <w:i/>
                <w:iCs/>
                <w:lang w:val="en-US"/>
              </w:rPr>
              <w:t>liq</w:t>
            </w:r>
            <w:proofErr w:type="spellEnd"/>
            <w:r w:rsidRPr="00E93EC8">
              <w:rPr>
                <w:i/>
                <w:iCs/>
                <w:lang w:val="en-US"/>
              </w:rPr>
              <w:t xml:space="preserve">) </w:t>
            </w:r>
            <w:r w:rsidRPr="00E93EC8">
              <w:rPr>
                <w:lang w:val="en-US"/>
              </w:rPr>
              <w:t>[2022] FCA 1229</w:t>
            </w:r>
          </w:p>
          <w:p w14:paraId="3E64BE83" w14:textId="77777777" w:rsidR="00CB65C1" w:rsidRPr="00CB65C1" w:rsidRDefault="00CB65C1" w:rsidP="00723A96">
            <w:pPr>
              <w:pStyle w:val="CasesLegislationAppealFrom"/>
              <w:widowControl/>
              <w:spacing w:after="60"/>
            </w:pPr>
            <w:r w:rsidRPr="00E93EC8">
              <w:rPr>
                <w:i/>
                <w:iCs/>
              </w:rPr>
              <w:t>Australian Securities and Investments Commission v Dixon Advisory &amp; Superannuation Services Ltd</w:t>
            </w:r>
            <w:r w:rsidRPr="00E93EC8">
              <w:t xml:space="preserve"> [2022] FCA 1105</w:t>
            </w:r>
          </w:p>
          <w:p w14:paraId="39ED7D29" w14:textId="77777777" w:rsidR="00CB65C1" w:rsidRPr="00CB65C1" w:rsidRDefault="00CB65C1" w:rsidP="00723A96">
            <w:pPr>
              <w:pStyle w:val="CasesLegislationAppealFrom"/>
              <w:widowControl/>
              <w:spacing w:after="60"/>
              <w:rPr>
                <w:iCs/>
                <w:lang w:val="en-US"/>
              </w:rPr>
            </w:pPr>
            <w:r w:rsidRPr="00E93EC8">
              <w:rPr>
                <w:i/>
                <w:lang w:val="en-US"/>
              </w:rPr>
              <w:lastRenderedPageBreak/>
              <w:t xml:space="preserve">Australian Securities and Investments Commission v </w:t>
            </w:r>
            <w:r w:rsidRPr="00E93EC8">
              <w:rPr>
                <w:bCs/>
                <w:i/>
                <w:lang w:val="en-US"/>
              </w:rPr>
              <w:t>Letten</w:t>
            </w:r>
            <w:r w:rsidRPr="00E93EC8">
              <w:rPr>
                <w:b/>
                <w:i/>
                <w:lang w:val="en-US"/>
              </w:rPr>
              <w:t xml:space="preserve"> </w:t>
            </w:r>
            <w:r w:rsidRPr="00E93EC8">
              <w:rPr>
                <w:i/>
                <w:lang w:val="en-US"/>
              </w:rPr>
              <w:t xml:space="preserve">(No 7) </w:t>
            </w:r>
            <w:r w:rsidRPr="00E93EC8">
              <w:rPr>
                <w:iCs/>
                <w:lang w:val="en-US"/>
              </w:rPr>
              <w:t>[2010] FCA 1231; 190 FCR 59</w:t>
            </w:r>
          </w:p>
          <w:p w14:paraId="66E75201" w14:textId="77777777" w:rsidR="00CB65C1" w:rsidRPr="00CB65C1" w:rsidRDefault="00CB65C1" w:rsidP="00723A96">
            <w:pPr>
              <w:pStyle w:val="CasesLegislationAppealFrom"/>
              <w:widowControl/>
              <w:spacing w:after="60"/>
            </w:pPr>
            <w:r w:rsidRPr="00E93EC8">
              <w:rPr>
                <w:i/>
                <w:iCs/>
              </w:rPr>
              <w:t xml:space="preserve">Blairgowrie Trading Ltd v </w:t>
            </w:r>
            <w:proofErr w:type="spellStart"/>
            <w:r w:rsidRPr="00E93EC8">
              <w:rPr>
                <w:i/>
                <w:iCs/>
              </w:rPr>
              <w:t>Allco</w:t>
            </w:r>
            <w:proofErr w:type="spellEnd"/>
            <w:r w:rsidRPr="00E93EC8">
              <w:rPr>
                <w:i/>
                <w:iCs/>
              </w:rPr>
              <w:t xml:space="preserve"> Finance Group Ltd (Receivers &amp; Managers Appointed) (in </w:t>
            </w:r>
            <w:proofErr w:type="spellStart"/>
            <w:r w:rsidRPr="00E93EC8">
              <w:rPr>
                <w:i/>
                <w:iCs/>
              </w:rPr>
              <w:t>liq</w:t>
            </w:r>
            <w:proofErr w:type="spellEnd"/>
            <w:r w:rsidRPr="00E93EC8">
              <w:rPr>
                <w:i/>
                <w:iCs/>
              </w:rPr>
              <w:t>) (No 3)</w:t>
            </w:r>
            <w:r w:rsidRPr="00E93EC8">
              <w:t> [2017] FCA 330; 343 ALR 476</w:t>
            </w:r>
          </w:p>
          <w:p w14:paraId="5341CE79" w14:textId="77777777" w:rsidR="00CB65C1" w:rsidRPr="00CB65C1" w:rsidRDefault="00CB65C1" w:rsidP="00723A96">
            <w:pPr>
              <w:pStyle w:val="CasesLegislationAppealFrom"/>
              <w:widowControl/>
              <w:spacing w:after="60"/>
              <w:rPr>
                <w:szCs w:val="24"/>
                <w:lang w:val="en-US"/>
              </w:rPr>
            </w:pPr>
            <w:r w:rsidRPr="00E93EC8">
              <w:rPr>
                <w:i/>
                <w:szCs w:val="24"/>
                <w:lang w:val="en-US"/>
              </w:rPr>
              <w:t xml:space="preserve">Camilleri v The Trust Company (Nominees) Ltd </w:t>
            </w:r>
            <w:r w:rsidRPr="00E93EC8">
              <w:rPr>
                <w:szCs w:val="24"/>
                <w:lang w:val="en-US"/>
              </w:rPr>
              <w:t>[2015] FCA 1468</w:t>
            </w:r>
          </w:p>
          <w:p w14:paraId="1E9AD731" w14:textId="77777777" w:rsidR="00CB65C1" w:rsidRPr="00CB65C1" w:rsidRDefault="00CB65C1" w:rsidP="00723A96">
            <w:pPr>
              <w:pStyle w:val="CasesLegislationAppealFrom"/>
              <w:widowControl/>
              <w:spacing w:after="60"/>
            </w:pPr>
            <w:r w:rsidRPr="00E93EC8">
              <w:rPr>
                <w:i/>
                <w:iCs/>
              </w:rPr>
              <w:t>Camping Warehouse v Downer EDI (Approval of Settlement)</w:t>
            </w:r>
            <w:r w:rsidRPr="00E93EC8">
              <w:t xml:space="preserve"> [2016] VSC 784</w:t>
            </w:r>
          </w:p>
          <w:p w14:paraId="353E4779" w14:textId="77777777" w:rsidR="00CB65C1" w:rsidRPr="00CB65C1" w:rsidRDefault="00CB65C1" w:rsidP="00723A96">
            <w:pPr>
              <w:pStyle w:val="CasesLegislationAppealFrom"/>
              <w:widowControl/>
              <w:spacing w:after="60"/>
            </w:pPr>
            <w:r w:rsidRPr="00E93EC8">
              <w:rPr>
                <w:i/>
                <w:iCs/>
              </w:rPr>
              <w:t>Elliott-Carde v McDonald’s Australia Limited</w:t>
            </w:r>
            <w:r w:rsidRPr="00E93EC8">
              <w:t xml:space="preserve"> [2023] FCAFC 162</w:t>
            </w:r>
          </w:p>
          <w:p w14:paraId="3148AA2D" w14:textId="77777777" w:rsidR="00CB65C1" w:rsidRPr="00CB65C1" w:rsidRDefault="00CB65C1" w:rsidP="00723A96">
            <w:pPr>
              <w:pStyle w:val="CasesLegislationAppealFrom"/>
              <w:widowControl/>
              <w:spacing w:after="60"/>
            </w:pPr>
            <w:r w:rsidRPr="00E93EC8">
              <w:rPr>
                <w:i/>
                <w:iCs/>
              </w:rPr>
              <w:t>Ewok Pty Ltd as trustee for the E &amp; E Magee Superannuation Fund v Wellard Limited</w:t>
            </w:r>
            <w:r w:rsidRPr="00E93EC8">
              <w:t xml:space="preserve"> [2024] FCA 296</w:t>
            </w:r>
          </w:p>
          <w:p w14:paraId="4BB5432F" w14:textId="77777777" w:rsidR="00CB65C1" w:rsidRPr="00CB65C1" w:rsidRDefault="00CB65C1" w:rsidP="00723A96">
            <w:pPr>
              <w:pStyle w:val="CasesLegislationAppealFrom"/>
              <w:widowControl/>
              <w:spacing w:after="60"/>
              <w:rPr>
                <w:szCs w:val="24"/>
              </w:rPr>
            </w:pPr>
            <w:r w:rsidRPr="00E93EC8">
              <w:rPr>
                <w:i/>
                <w:iCs/>
                <w:szCs w:val="24"/>
              </w:rPr>
              <w:t>Fowkes v Boston Scientific Corporation</w:t>
            </w:r>
            <w:r w:rsidRPr="00E93EC8">
              <w:rPr>
                <w:szCs w:val="24"/>
              </w:rPr>
              <w:t xml:space="preserve"> [2023] FCA 230</w:t>
            </w:r>
          </w:p>
          <w:p w14:paraId="03DF3CD1" w14:textId="77777777" w:rsidR="00CB65C1" w:rsidRPr="00CB65C1" w:rsidRDefault="00CB65C1" w:rsidP="00723A96">
            <w:pPr>
              <w:pStyle w:val="CasesLegislationAppealFrom"/>
              <w:widowControl/>
              <w:spacing w:after="60"/>
              <w:rPr>
                <w:lang w:val="en-US"/>
              </w:rPr>
            </w:pPr>
            <w:r w:rsidRPr="00E93EC8">
              <w:rPr>
                <w:i/>
                <w:iCs/>
              </w:rPr>
              <w:t xml:space="preserve">Georges v Seaborn International (Trustee), in the matter of </w:t>
            </w:r>
            <w:proofErr w:type="spellStart"/>
            <w:r w:rsidRPr="00E93EC8">
              <w:rPr>
                <w:i/>
                <w:iCs/>
              </w:rPr>
              <w:t>Sonray</w:t>
            </w:r>
            <w:proofErr w:type="spellEnd"/>
            <w:r w:rsidRPr="00E93EC8">
              <w:rPr>
                <w:i/>
                <w:iCs/>
              </w:rPr>
              <w:t xml:space="preserve"> Capital Markets Pty Ltd (in </w:t>
            </w:r>
            <w:proofErr w:type="spellStart"/>
            <w:r w:rsidRPr="00E93EC8">
              <w:rPr>
                <w:i/>
                <w:iCs/>
              </w:rPr>
              <w:t>liq</w:t>
            </w:r>
            <w:proofErr w:type="spellEnd"/>
            <w:r w:rsidRPr="00E93EC8">
              <w:rPr>
                <w:i/>
                <w:iCs/>
              </w:rPr>
              <w:t xml:space="preserve">) </w:t>
            </w:r>
            <w:r w:rsidRPr="00E93EC8">
              <w:rPr>
                <w:lang w:val="en-US"/>
              </w:rPr>
              <w:t>[2012] FCA 75; 288 ALR 240</w:t>
            </w:r>
          </w:p>
          <w:p w14:paraId="262CD021" w14:textId="662EB1F0" w:rsidR="00CB65C1" w:rsidRPr="001C5674" w:rsidRDefault="00CB65C1" w:rsidP="00723A96">
            <w:pPr>
              <w:pStyle w:val="CasesLegislationAppealFrom"/>
              <w:widowControl/>
              <w:spacing w:after="60"/>
            </w:pPr>
            <w:r w:rsidRPr="00E93EC8">
              <w:rPr>
                <w:i/>
                <w:iCs/>
                <w:szCs w:val="28"/>
              </w:rPr>
              <w:t>Kosen-</w:t>
            </w:r>
            <w:proofErr w:type="spellStart"/>
            <w:r w:rsidRPr="00E93EC8">
              <w:rPr>
                <w:i/>
                <w:iCs/>
                <w:szCs w:val="28"/>
              </w:rPr>
              <w:t>Rufu</w:t>
            </w:r>
            <w:proofErr w:type="spellEnd"/>
            <w:r w:rsidRPr="00E93EC8">
              <w:rPr>
                <w:i/>
                <w:iCs/>
                <w:szCs w:val="28"/>
              </w:rPr>
              <w:t xml:space="preserve"> Pty Ltd v Dixon Advisory and Superannuation Services Ltd </w:t>
            </w:r>
            <w:r w:rsidRPr="00E93EC8">
              <w:rPr>
                <w:szCs w:val="28"/>
              </w:rPr>
              <w:t>[2022] FCA 573</w:t>
            </w:r>
            <w:r w:rsidRPr="00CB65C1" w:rsidDel="00CB65C1">
              <w:t xml:space="preserve"> </w:t>
            </w:r>
          </w:p>
          <w:p w14:paraId="2039504A" w14:textId="77777777" w:rsidR="00CB65C1" w:rsidRPr="00CB65C1" w:rsidRDefault="00CB65C1" w:rsidP="00723A96">
            <w:pPr>
              <w:pStyle w:val="CasesLegislationAppealFrom"/>
              <w:widowControl/>
              <w:spacing w:after="60"/>
            </w:pPr>
            <w:r w:rsidRPr="00E93EC8">
              <w:rPr>
                <w:i/>
                <w:iCs/>
              </w:rPr>
              <w:t>LCM Funding Pty Ltd v Stanwell Corporation Limited</w:t>
            </w:r>
            <w:r w:rsidRPr="00E93EC8">
              <w:t xml:space="preserve"> [2022] FCAFC 103; 160 ACSR 530</w:t>
            </w:r>
          </w:p>
          <w:p w14:paraId="51C9F99A" w14:textId="77777777" w:rsidR="00CB65C1" w:rsidRPr="00CB65C1" w:rsidRDefault="00CB65C1" w:rsidP="00723A96">
            <w:pPr>
              <w:pStyle w:val="CasesLegislationAppealFrom"/>
              <w:widowControl/>
              <w:spacing w:after="60"/>
            </w:pPr>
            <w:r w:rsidRPr="00E93EC8">
              <w:rPr>
                <w:i/>
                <w:iCs/>
              </w:rPr>
              <w:t xml:space="preserve">Lee v Bank of Queensland Ltd </w:t>
            </w:r>
            <w:r w:rsidRPr="00E93EC8">
              <w:t>[2014] FCA 1376; 103 ACSR 436</w:t>
            </w:r>
          </w:p>
          <w:p w14:paraId="4C79772A" w14:textId="77777777" w:rsidR="00CB65C1" w:rsidRDefault="00CB65C1" w:rsidP="00723A96">
            <w:pPr>
              <w:pStyle w:val="CasesLegislationAppealFrom"/>
              <w:widowControl/>
              <w:spacing w:after="60"/>
            </w:pPr>
            <w:proofErr w:type="spellStart"/>
            <w:r w:rsidRPr="00E93EC8">
              <w:rPr>
                <w:i/>
                <w:iCs/>
              </w:rPr>
              <w:t>Modtech</w:t>
            </w:r>
            <w:proofErr w:type="spellEnd"/>
            <w:r w:rsidRPr="00E93EC8">
              <w:rPr>
                <w:i/>
                <w:iCs/>
              </w:rPr>
              <w:t xml:space="preserve"> Engineering Pty Limited v GPT Management Holdings Limited</w:t>
            </w:r>
            <w:r w:rsidRPr="00E93EC8">
              <w:t xml:space="preserve"> [2013] FCA 626</w:t>
            </w:r>
          </w:p>
          <w:p w14:paraId="491ADB5F" w14:textId="265EA235" w:rsidR="00C763F0" w:rsidRPr="00CB65C1" w:rsidRDefault="00C763F0" w:rsidP="00723A96">
            <w:pPr>
              <w:pStyle w:val="CasesLegislationAppealFrom"/>
              <w:widowControl/>
              <w:spacing w:after="60"/>
            </w:pPr>
            <w:r w:rsidRPr="00E93EC8">
              <w:rPr>
                <w:i/>
                <w:iCs/>
              </w:rPr>
              <w:t xml:space="preserve">Perera v </w:t>
            </w:r>
            <w:proofErr w:type="spellStart"/>
            <w:r w:rsidRPr="00E93EC8">
              <w:rPr>
                <w:i/>
                <w:iCs/>
              </w:rPr>
              <w:t>GetSwift</w:t>
            </w:r>
            <w:proofErr w:type="spellEnd"/>
            <w:r w:rsidRPr="00E93EC8">
              <w:rPr>
                <w:i/>
                <w:iCs/>
              </w:rPr>
              <w:t xml:space="preserve"> Limited</w:t>
            </w:r>
            <w:r w:rsidRPr="00E93EC8">
              <w:t xml:space="preserve"> [2018] FCA 732; 263 FCR 1</w:t>
            </w:r>
          </w:p>
          <w:p w14:paraId="4AD903F3" w14:textId="426F9F38" w:rsidR="00CB65C1" w:rsidRPr="00CB65C1" w:rsidRDefault="00CB65C1" w:rsidP="00723A96">
            <w:pPr>
              <w:pStyle w:val="CasesLegislationAppealFrom"/>
              <w:widowControl/>
              <w:spacing w:after="60"/>
            </w:pPr>
            <w:r w:rsidRPr="00E93EC8">
              <w:rPr>
                <w:i/>
                <w:iCs/>
              </w:rPr>
              <w:t xml:space="preserve">Perera v </w:t>
            </w:r>
            <w:proofErr w:type="spellStart"/>
            <w:r w:rsidRPr="00E93EC8">
              <w:rPr>
                <w:i/>
                <w:iCs/>
              </w:rPr>
              <w:t>GetSwift</w:t>
            </w:r>
            <w:proofErr w:type="spellEnd"/>
            <w:r w:rsidRPr="00E93EC8">
              <w:rPr>
                <w:i/>
                <w:iCs/>
              </w:rPr>
              <w:t xml:space="preserve"> Limited (No 2)</w:t>
            </w:r>
            <w:r w:rsidRPr="00E93EC8">
              <w:t xml:space="preserve"> [2018] FCA 909</w:t>
            </w:r>
          </w:p>
          <w:p w14:paraId="027968C2" w14:textId="77777777" w:rsidR="00CB65C1" w:rsidRPr="00CB65C1" w:rsidRDefault="00CB65C1" w:rsidP="00723A96">
            <w:pPr>
              <w:pStyle w:val="CasesLegislationAppealFrom"/>
              <w:widowControl/>
              <w:spacing w:after="60"/>
            </w:pPr>
            <w:r w:rsidRPr="00E93EC8">
              <w:rPr>
                <w:i/>
                <w:iCs/>
                <w:szCs w:val="24"/>
              </w:rPr>
              <w:t>Petersen Superannuation Fund Pty Ltd v Bank of Queensland Limited (No 3)</w:t>
            </w:r>
            <w:r w:rsidRPr="00E93EC8">
              <w:rPr>
                <w:szCs w:val="24"/>
              </w:rPr>
              <w:t xml:space="preserve"> </w:t>
            </w:r>
            <w:r w:rsidRPr="00E93EC8">
              <w:t>[2018] FCA 1842; 132 ACSR 258</w:t>
            </w:r>
          </w:p>
          <w:p w14:paraId="06B48809" w14:textId="77777777" w:rsidR="00CB65C1" w:rsidRPr="00CB65C1" w:rsidRDefault="00CB65C1" w:rsidP="00723A96">
            <w:pPr>
              <w:pStyle w:val="CasesLegislationAppealFrom"/>
              <w:widowControl/>
              <w:spacing w:after="60"/>
            </w:pPr>
            <w:proofErr w:type="spellStart"/>
            <w:r w:rsidRPr="00E93EC8">
              <w:rPr>
                <w:i/>
                <w:iCs/>
              </w:rPr>
              <w:t>Petrusevski</w:t>
            </w:r>
            <w:proofErr w:type="spellEnd"/>
            <w:r w:rsidRPr="00E93EC8">
              <w:rPr>
                <w:i/>
                <w:iCs/>
              </w:rPr>
              <w:t xml:space="preserve"> v Bulldogs Rugby League Club Ltd </w:t>
            </w:r>
            <w:r w:rsidRPr="00E93EC8">
              <w:t>[2004] FCA 1712</w:t>
            </w:r>
          </w:p>
          <w:p w14:paraId="56D38588" w14:textId="77777777" w:rsidR="00CB65C1" w:rsidRPr="00CB65C1" w:rsidRDefault="00CB65C1" w:rsidP="00723A96">
            <w:pPr>
              <w:pStyle w:val="CasesLegislationAppealFrom"/>
              <w:widowControl/>
              <w:spacing w:after="60"/>
              <w:rPr>
                <w:iCs/>
                <w:lang w:val="en-US"/>
              </w:rPr>
            </w:pPr>
            <w:r w:rsidRPr="00E93EC8">
              <w:rPr>
                <w:i/>
                <w:lang w:val="en-US"/>
              </w:rPr>
              <w:t xml:space="preserve">Re Halifax Investments Services Pty Ltd (in </w:t>
            </w:r>
            <w:proofErr w:type="spellStart"/>
            <w:r w:rsidRPr="00E93EC8">
              <w:rPr>
                <w:i/>
                <w:lang w:val="en-US"/>
              </w:rPr>
              <w:t>liq</w:t>
            </w:r>
            <w:proofErr w:type="spellEnd"/>
            <w:r w:rsidRPr="00E93EC8">
              <w:rPr>
                <w:i/>
                <w:lang w:val="en-US"/>
              </w:rPr>
              <w:t xml:space="preserve">)) </w:t>
            </w:r>
            <w:r w:rsidRPr="00E93EC8">
              <w:rPr>
                <w:iCs/>
                <w:lang w:val="en-US"/>
              </w:rPr>
              <w:t>[2020] FCA 533; 144 ACSR 292</w:t>
            </w:r>
          </w:p>
          <w:p w14:paraId="0BB68F16" w14:textId="77777777" w:rsidR="00CB65C1" w:rsidRPr="00CB65C1" w:rsidRDefault="00CB65C1" w:rsidP="00723A96">
            <w:pPr>
              <w:pStyle w:val="CasesLegislationAppealFrom"/>
              <w:widowControl/>
              <w:spacing w:after="60"/>
            </w:pPr>
            <w:r w:rsidRPr="00E93EC8">
              <w:rPr>
                <w:i/>
                <w:iCs/>
              </w:rPr>
              <w:t xml:space="preserve">Stott v Australian Securities and Investment Commission </w:t>
            </w:r>
            <w:r w:rsidRPr="00E93EC8">
              <w:t>[2021] FCA 1222</w:t>
            </w:r>
          </w:p>
          <w:p w14:paraId="60F31169" w14:textId="0DBF6EA4" w:rsidR="001C5674" w:rsidRDefault="001C5674" w:rsidP="00723A96">
            <w:pPr>
              <w:pStyle w:val="CasesLegislationAppealFrom"/>
              <w:widowControl/>
              <w:spacing w:after="60"/>
              <w:rPr>
                <w:i/>
                <w:iCs/>
                <w:spacing w:val="-2"/>
                <w:szCs w:val="24"/>
              </w:rPr>
            </w:pPr>
            <w:r w:rsidRPr="002E4C56">
              <w:rPr>
                <w:i/>
                <w:iCs/>
                <w:spacing w:val="-2"/>
                <w:szCs w:val="24"/>
              </w:rPr>
              <w:t>Watson &amp; Co Superannuation Pty Ltd v Dixon Advisory and Superannuation Services Ltd</w:t>
            </w:r>
            <w:r w:rsidRPr="002E4C56">
              <w:rPr>
                <w:spacing w:val="-2"/>
                <w:szCs w:val="24"/>
              </w:rPr>
              <w:t xml:space="preserve"> [2022] FCA 1273 </w:t>
            </w:r>
            <w:r w:rsidRPr="00CB65C1" w:rsidDel="00CB65C1">
              <w:t xml:space="preserve">  </w:t>
            </w:r>
          </w:p>
          <w:p w14:paraId="759BFDA1" w14:textId="25F27158" w:rsidR="00CB65C1" w:rsidRPr="00CB65C1" w:rsidRDefault="00CB65C1" w:rsidP="00723A96">
            <w:pPr>
              <w:pStyle w:val="CasesLegislationAppealFrom"/>
              <w:widowControl/>
              <w:spacing w:after="60"/>
              <w:rPr>
                <w:spacing w:val="-2"/>
                <w:szCs w:val="24"/>
              </w:rPr>
            </w:pPr>
            <w:r w:rsidRPr="00E93EC8">
              <w:rPr>
                <w:i/>
                <w:iCs/>
                <w:spacing w:val="-2"/>
                <w:szCs w:val="24"/>
              </w:rPr>
              <w:t>Watson &amp; Co Superannuation Pty Ltd v Dixon Advisory and Superannuation Services Ltd (No 2)</w:t>
            </w:r>
            <w:r w:rsidRPr="00E93EC8">
              <w:rPr>
                <w:spacing w:val="-2"/>
                <w:szCs w:val="24"/>
              </w:rPr>
              <w:t xml:space="preserve"> [2022] FCA 1504</w:t>
            </w:r>
          </w:p>
          <w:p w14:paraId="6B9B099C" w14:textId="40F884BA" w:rsidR="00CB65C1" w:rsidRPr="00CB65C1" w:rsidRDefault="00CB65C1" w:rsidP="00723A96">
            <w:pPr>
              <w:pStyle w:val="CasesLegislationAppealFrom"/>
              <w:widowControl/>
              <w:spacing w:after="60"/>
            </w:pPr>
            <w:r w:rsidRPr="00E93EC8">
              <w:rPr>
                <w:i/>
                <w:iCs/>
                <w:spacing w:val="-2"/>
                <w:szCs w:val="24"/>
              </w:rPr>
              <w:t>Watson &amp; Co Superannuation Pty Ltd v Dixon Advisory and Superannuation Services Ltd (No 3)</w:t>
            </w:r>
            <w:r w:rsidRPr="00E93EC8">
              <w:rPr>
                <w:spacing w:val="-2"/>
                <w:szCs w:val="24"/>
              </w:rPr>
              <w:t xml:space="preserve"> [2023] FCA 988</w:t>
            </w:r>
            <w:bookmarkEnd w:id="4"/>
          </w:p>
        </w:tc>
      </w:tr>
      <w:tr w:rsidR="00A53E24" w14:paraId="50CDDC97" w14:textId="77777777" w:rsidTr="00723A96">
        <w:tc>
          <w:tcPr>
            <w:tcW w:w="3084" w:type="dxa"/>
            <w:shd w:val="clear" w:color="auto" w:fill="auto"/>
          </w:tcPr>
          <w:p w14:paraId="1E777BF9" w14:textId="77777777" w:rsidR="00A53E24" w:rsidRDefault="00A53E24" w:rsidP="00AB038E">
            <w:pPr>
              <w:pStyle w:val="Normal1linespace"/>
              <w:widowControl w:val="0"/>
            </w:pPr>
          </w:p>
        </w:tc>
        <w:tc>
          <w:tcPr>
            <w:tcW w:w="5989" w:type="dxa"/>
            <w:shd w:val="clear" w:color="auto" w:fill="auto"/>
          </w:tcPr>
          <w:p w14:paraId="68DBBC26" w14:textId="77777777" w:rsidR="00A53E24" w:rsidRDefault="00A53E24" w:rsidP="00AB038E">
            <w:pPr>
              <w:pStyle w:val="Normal1linespace"/>
              <w:widowControl w:val="0"/>
              <w:jc w:val="left"/>
            </w:pPr>
          </w:p>
        </w:tc>
      </w:tr>
      <w:tr w:rsidR="00A53E24" w14:paraId="0D570735" w14:textId="77777777" w:rsidTr="00723A96">
        <w:tc>
          <w:tcPr>
            <w:tcW w:w="3084" w:type="dxa"/>
            <w:shd w:val="clear" w:color="auto" w:fill="auto"/>
          </w:tcPr>
          <w:p w14:paraId="04945E15" w14:textId="77777777" w:rsidR="00A53E24" w:rsidRDefault="00A53E24" w:rsidP="00501A12">
            <w:pPr>
              <w:pStyle w:val="Normal1linespace"/>
              <w:widowControl w:val="0"/>
            </w:pPr>
            <w:r>
              <w:t>Division:</w:t>
            </w:r>
          </w:p>
        </w:tc>
        <w:tc>
          <w:tcPr>
            <w:tcW w:w="5989" w:type="dxa"/>
            <w:shd w:val="clear" w:color="auto" w:fill="auto"/>
          </w:tcPr>
          <w:p w14:paraId="4AE9FB35" w14:textId="61886C23" w:rsidR="00A53E24" w:rsidRPr="00F17599" w:rsidRDefault="00DB0F30" w:rsidP="00501A12">
            <w:pPr>
              <w:pStyle w:val="Normal1linespace"/>
              <w:widowControl w:val="0"/>
              <w:jc w:val="left"/>
            </w:pPr>
            <w:r>
              <w:t>General Division</w:t>
            </w:r>
          </w:p>
        </w:tc>
      </w:tr>
      <w:tr w:rsidR="00A53E24" w14:paraId="0F35B18E" w14:textId="77777777" w:rsidTr="00723A96">
        <w:tc>
          <w:tcPr>
            <w:tcW w:w="3084" w:type="dxa"/>
            <w:shd w:val="clear" w:color="auto" w:fill="auto"/>
          </w:tcPr>
          <w:p w14:paraId="5EBC45C2" w14:textId="77777777" w:rsidR="00A53E24" w:rsidRDefault="00A53E24" w:rsidP="00501A12">
            <w:pPr>
              <w:pStyle w:val="Normal1linespace"/>
              <w:widowControl w:val="0"/>
            </w:pPr>
            <w:bookmarkStart w:id="5" w:name="Registry_rows" w:colFirst="0" w:colLast="1"/>
          </w:p>
        </w:tc>
        <w:tc>
          <w:tcPr>
            <w:tcW w:w="5989" w:type="dxa"/>
            <w:shd w:val="clear" w:color="auto" w:fill="auto"/>
          </w:tcPr>
          <w:p w14:paraId="77CD0495" w14:textId="77777777" w:rsidR="00A53E24" w:rsidRDefault="00A53E24" w:rsidP="00501A12">
            <w:pPr>
              <w:pStyle w:val="Normal1linespace"/>
              <w:widowControl w:val="0"/>
              <w:jc w:val="left"/>
            </w:pPr>
          </w:p>
        </w:tc>
      </w:tr>
      <w:tr w:rsidR="00A53E24" w14:paraId="4472B983" w14:textId="77777777" w:rsidTr="00723A96">
        <w:tc>
          <w:tcPr>
            <w:tcW w:w="3084" w:type="dxa"/>
            <w:shd w:val="clear" w:color="auto" w:fill="auto"/>
          </w:tcPr>
          <w:p w14:paraId="19E95DF2" w14:textId="77777777" w:rsidR="00A53E24" w:rsidRDefault="00A53E24" w:rsidP="00501A12">
            <w:pPr>
              <w:pStyle w:val="Normal1linespace"/>
              <w:widowControl w:val="0"/>
            </w:pPr>
            <w:r>
              <w:t>Registry:</w:t>
            </w:r>
          </w:p>
        </w:tc>
        <w:tc>
          <w:tcPr>
            <w:tcW w:w="5989" w:type="dxa"/>
            <w:shd w:val="clear" w:color="auto" w:fill="auto"/>
          </w:tcPr>
          <w:p w14:paraId="28C5B9B9" w14:textId="23922838" w:rsidR="00A53E24" w:rsidRPr="00F17599" w:rsidRDefault="00CC3CE4" w:rsidP="00501A12">
            <w:pPr>
              <w:pStyle w:val="Normal1linespace"/>
              <w:widowControl w:val="0"/>
              <w:jc w:val="left"/>
            </w:pPr>
            <w:r>
              <w:t xml:space="preserve">Victoria </w:t>
            </w:r>
          </w:p>
        </w:tc>
      </w:tr>
      <w:tr w:rsidR="00A53E24" w14:paraId="0E4DE155" w14:textId="77777777" w:rsidTr="00723A96">
        <w:tc>
          <w:tcPr>
            <w:tcW w:w="3084" w:type="dxa"/>
            <w:shd w:val="clear" w:color="auto" w:fill="auto"/>
          </w:tcPr>
          <w:p w14:paraId="1CB3D064" w14:textId="77777777" w:rsidR="00A53E24" w:rsidRDefault="00A53E24" w:rsidP="00501A12">
            <w:pPr>
              <w:pStyle w:val="Normal1linespace"/>
              <w:widowControl w:val="0"/>
            </w:pPr>
            <w:bookmarkStart w:id="6" w:name="NPARow" w:colFirst="0" w:colLast="1"/>
            <w:bookmarkEnd w:id="5"/>
          </w:p>
        </w:tc>
        <w:tc>
          <w:tcPr>
            <w:tcW w:w="5989" w:type="dxa"/>
            <w:shd w:val="clear" w:color="auto" w:fill="auto"/>
          </w:tcPr>
          <w:p w14:paraId="394E5CE0" w14:textId="77777777" w:rsidR="00A53E24" w:rsidRPr="00F17599" w:rsidRDefault="00A53E24" w:rsidP="00501A12">
            <w:pPr>
              <w:pStyle w:val="Normal1linespace"/>
              <w:widowControl w:val="0"/>
              <w:jc w:val="left"/>
              <w:rPr>
                <w:b/>
              </w:rPr>
            </w:pPr>
          </w:p>
        </w:tc>
      </w:tr>
      <w:tr w:rsidR="00A53E24" w14:paraId="2168B30D" w14:textId="77777777" w:rsidTr="00723A96">
        <w:tc>
          <w:tcPr>
            <w:tcW w:w="3084" w:type="dxa"/>
            <w:shd w:val="clear" w:color="auto" w:fill="auto"/>
          </w:tcPr>
          <w:p w14:paraId="5CCA3931" w14:textId="77777777" w:rsidR="00A53E24" w:rsidRDefault="00A53E24" w:rsidP="00501A12">
            <w:pPr>
              <w:pStyle w:val="Normal1linespace"/>
              <w:widowControl w:val="0"/>
            </w:pPr>
            <w:r>
              <w:t>National Practice Area:</w:t>
            </w:r>
          </w:p>
        </w:tc>
        <w:tc>
          <w:tcPr>
            <w:tcW w:w="5989" w:type="dxa"/>
            <w:shd w:val="clear" w:color="auto" w:fill="auto"/>
          </w:tcPr>
          <w:p w14:paraId="5500F94C" w14:textId="391DBD31" w:rsidR="00A53E24" w:rsidRPr="00F17599" w:rsidRDefault="00CC3CE4" w:rsidP="00AB038E">
            <w:pPr>
              <w:pStyle w:val="Normal1linespace"/>
              <w:widowControl w:val="0"/>
              <w:jc w:val="left"/>
              <w:rPr>
                <w:b/>
              </w:rPr>
            </w:pPr>
            <w:r>
              <w:t xml:space="preserve">Commercial and Corporations </w:t>
            </w:r>
          </w:p>
        </w:tc>
      </w:tr>
      <w:tr w:rsidR="00A53E24" w14:paraId="5BCE1178" w14:textId="77777777" w:rsidTr="00723A96">
        <w:tc>
          <w:tcPr>
            <w:tcW w:w="3084" w:type="dxa"/>
            <w:shd w:val="clear" w:color="auto" w:fill="auto"/>
          </w:tcPr>
          <w:p w14:paraId="48A9B66A" w14:textId="77777777" w:rsidR="00A53E24" w:rsidRDefault="00A53E24" w:rsidP="00501A12">
            <w:pPr>
              <w:pStyle w:val="Normal1linespace"/>
              <w:widowControl w:val="0"/>
            </w:pPr>
            <w:bookmarkStart w:id="7" w:name="SubAreaRow" w:colFirst="0" w:colLast="1"/>
            <w:bookmarkEnd w:id="6"/>
          </w:p>
        </w:tc>
        <w:tc>
          <w:tcPr>
            <w:tcW w:w="5989" w:type="dxa"/>
            <w:shd w:val="clear" w:color="auto" w:fill="auto"/>
          </w:tcPr>
          <w:p w14:paraId="31C7DF4B" w14:textId="77777777" w:rsidR="00A53E24" w:rsidRDefault="00A53E24" w:rsidP="00AB038E">
            <w:pPr>
              <w:pStyle w:val="Normal1linespace"/>
              <w:widowControl w:val="0"/>
              <w:jc w:val="left"/>
            </w:pPr>
          </w:p>
        </w:tc>
      </w:tr>
      <w:tr w:rsidR="00A53E24" w14:paraId="326EE6B6" w14:textId="77777777" w:rsidTr="00723A96">
        <w:tc>
          <w:tcPr>
            <w:tcW w:w="3084" w:type="dxa"/>
            <w:shd w:val="clear" w:color="auto" w:fill="auto"/>
          </w:tcPr>
          <w:p w14:paraId="0B80FE8A" w14:textId="77777777" w:rsidR="00A53E24" w:rsidRDefault="00A53E24" w:rsidP="00501A12">
            <w:pPr>
              <w:pStyle w:val="Normal1linespace"/>
              <w:widowControl w:val="0"/>
            </w:pPr>
            <w:r>
              <w:t>Sub-area:</w:t>
            </w:r>
          </w:p>
        </w:tc>
        <w:tc>
          <w:tcPr>
            <w:tcW w:w="5989" w:type="dxa"/>
            <w:shd w:val="clear" w:color="auto" w:fill="auto"/>
          </w:tcPr>
          <w:p w14:paraId="6EB1B4B8" w14:textId="0272C8EF" w:rsidR="00A53E24" w:rsidRPr="00837288" w:rsidRDefault="003C0E0E" w:rsidP="00723A96">
            <w:pPr>
              <w:pStyle w:val="Normal1linespace"/>
              <w:jc w:val="left"/>
            </w:pPr>
            <w:r>
              <w:t>Regulator and Consumer Protection</w:t>
            </w:r>
          </w:p>
        </w:tc>
      </w:tr>
      <w:bookmarkEnd w:id="7"/>
      <w:tr w:rsidR="00A53E24" w14:paraId="5750F25A" w14:textId="77777777" w:rsidTr="00723A96">
        <w:tc>
          <w:tcPr>
            <w:tcW w:w="3084" w:type="dxa"/>
            <w:shd w:val="clear" w:color="auto" w:fill="auto"/>
          </w:tcPr>
          <w:p w14:paraId="55CA593C" w14:textId="77777777" w:rsidR="00A53E24" w:rsidRDefault="00A53E24" w:rsidP="00501A12">
            <w:pPr>
              <w:pStyle w:val="Normal1linespace"/>
              <w:widowControl w:val="0"/>
            </w:pPr>
          </w:p>
        </w:tc>
        <w:tc>
          <w:tcPr>
            <w:tcW w:w="5989" w:type="dxa"/>
            <w:shd w:val="clear" w:color="auto" w:fill="auto"/>
          </w:tcPr>
          <w:p w14:paraId="4ECE3195" w14:textId="77777777" w:rsidR="00A53E24" w:rsidRDefault="00A53E24" w:rsidP="00501A12">
            <w:pPr>
              <w:pStyle w:val="Normal1linespace"/>
              <w:widowControl w:val="0"/>
              <w:jc w:val="left"/>
            </w:pPr>
          </w:p>
        </w:tc>
      </w:tr>
      <w:tr w:rsidR="00A53E24" w14:paraId="4DF3DB20" w14:textId="77777777" w:rsidTr="00723A96">
        <w:tc>
          <w:tcPr>
            <w:tcW w:w="3084" w:type="dxa"/>
            <w:shd w:val="clear" w:color="auto" w:fill="auto"/>
          </w:tcPr>
          <w:p w14:paraId="576E3CA3" w14:textId="77777777" w:rsidR="00A53E24" w:rsidRDefault="00A53E24" w:rsidP="00501A12">
            <w:pPr>
              <w:pStyle w:val="Normal1linespace"/>
              <w:widowControl w:val="0"/>
            </w:pPr>
            <w:r>
              <w:t>Number of paragraphs:</w:t>
            </w:r>
          </w:p>
        </w:tc>
        <w:tc>
          <w:tcPr>
            <w:tcW w:w="5989" w:type="dxa"/>
            <w:shd w:val="clear" w:color="auto" w:fill="auto"/>
          </w:tcPr>
          <w:p w14:paraId="3B19202B" w14:textId="72E5DD71" w:rsidR="00A53E24" w:rsidRDefault="00723A96" w:rsidP="00501A12">
            <w:pPr>
              <w:pStyle w:val="Normal1linespace"/>
              <w:widowControl w:val="0"/>
              <w:jc w:val="left"/>
            </w:pPr>
            <w:bookmarkStart w:id="8" w:name="PlaceCategoryParagraphs"/>
            <w:r>
              <w:t>21</w:t>
            </w:r>
            <w:r w:rsidR="00EB4E56">
              <w:t>5</w:t>
            </w:r>
            <w:bookmarkEnd w:id="8"/>
          </w:p>
        </w:tc>
      </w:tr>
      <w:tr w:rsidR="00A53E24" w14:paraId="63844332" w14:textId="77777777" w:rsidTr="00723A96">
        <w:tc>
          <w:tcPr>
            <w:tcW w:w="3084" w:type="dxa"/>
            <w:shd w:val="clear" w:color="auto" w:fill="auto"/>
          </w:tcPr>
          <w:p w14:paraId="28C85F90" w14:textId="77777777" w:rsidR="00A53E24" w:rsidRDefault="00A53E24" w:rsidP="00A53E24">
            <w:pPr>
              <w:pStyle w:val="Normal1linespace"/>
              <w:widowControl w:val="0"/>
              <w:jc w:val="left"/>
            </w:pPr>
          </w:p>
        </w:tc>
        <w:tc>
          <w:tcPr>
            <w:tcW w:w="5989" w:type="dxa"/>
            <w:shd w:val="clear" w:color="auto" w:fill="auto"/>
          </w:tcPr>
          <w:p w14:paraId="2A06D774" w14:textId="77777777" w:rsidR="00A53E24" w:rsidRDefault="00A53E24" w:rsidP="00A53E24">
            <w:pPr>
              <w:pStyle w:val="Normal1linespace"/>
              <w:widowControl w:val="0"/>
              <w:jc w:val="left"/>
            </w:pPr>
          </w:p>
        </w:tc>
      </w:tr>
      <w:tr w:rsidR="00A53E24" w14:paraId="39E550F9" w14:textId="77777777" w:rsidTr="00723A96">
        <w:tc>
          <w:tcPr>
            <w:tcW w:w="3084" w:type="dxa"/>
            <w:shd w:val="clear" w:color="auto" w:fill="auto"/>
          </w:tcPr>
          <w:p w14:paraId="6412CEFF" w14:textId="32929B56" w:rsidR="00A53E24" w:rsidRPr="00231538" w:rsidRDefault="00A53E24" w:rsidP="00A53E24">
            <w:pPr>
              <w:pStyle w:val="Normal1linespace"/>
              <w:widowControl w:val="0"/>
              <w:jc w:val="left"/>
            </w:pPr>
            <w:bookmarkStart w:id="9" w:name="CounselDate" w:colFirst="0" w:colLast="2"/>
            <w:r w:rsidRPr="00231538">
              <w:t>Date of hearing:</w:t>
            </w:r>
          </w:p>
        </w:tc>
        <w:tc>
          <w:tcPr>
            <w:tcW w:w="5989" w:type="dxa"/>
            <w:shd w:val="clear" w:color="auto" w:fill="auto"/>
          </w:tcPr>
          <w:p w14:paraId="409BF3D0" w14:textId="53698277" w:rsidR="00A53E24" w:rsidRPr="00231538" w:rsidRDefault="00231538" w:rsidP="00A53E24">
            <w:pPr>
              <w:pStyle w:val="Normal1linespace"/>
              <w:widowControl w:val="0"/>
              <w:jc w:val="left"/>
            </w:pPr>
            <w:bookmarkStart w:id="10" w:name="HearingDate"/>
            <w:r w:rsidRPr="00D22A81">
              <w:t>3 April 2024; 17 April 2024</w:t>
            </w:r>
            <w:bookmarkEnd w:id="10"/>
          </w:p>
        </w:tc>
      </w:tr>
      <w:tr w:rsidR="00A53E24" w14:paraId="316C4DFB" w14:textId="77777777" w:rsidTr="00723A96">
        <w:tc>
          <w:tcPr>
            <w:tcW w:w="3084" w:type="dxa"/>
            <w:shd w:val="clear" w:color="auto" w:fill="auto"/>
          </w:tcPr>
          <w:p w14:paraId="2D603534" w14:textId="77777777" w:rsidR="00A53E24" w:rsidRDefault="00A53E24" w:rsidP="00A53E24">
            <w:pPr>
              <w:pStyle w:val="Normal1linespace"/>
              <w:widowControl w:val="0"/>
              <w:jc w:val="left"/>
            </w:pPr>
          </w:p>
        </w:tc>
        <w:tc>
          <w:tcPr>
            <w:tcW w:w="5989" w:type="dxa"/>
            <w:shd w:val="clear" w:color="auto" w:fill="auto"/>
          </w:tcPr>
          <w:p w14:paraId="5EE5D013" w14:textId="77777777" w:rsidR="00A53E24" w:rsidRDefault="00A53E24" w:rsidP="00A53E24">
            <w:pPr>
              <w:pStyle w:val="Normal1linespace"/>
              <w:widowControl w:val="0"/>
              <w:jc w:val="left"/>
            </w:pPr>
          </w:p>
        </w:tc>
      </w:tr>
      <w:tr w:rsidR="008F3A1D" w14:paraId="6B0F3B75" w14:textId="77777777" w:rsidTr="00723A96">
        <w:tc>
          <w:tcPr>
            <w:tcW w:w="3084" w:type="dxa"/>
            <w:shd w:val="clear" w:color="auto" w:fill="auto"/>
          </w:tcPr>
          <w:p w14:paraId="352336CC" w14:textId="45D65E57" w:rsidR="008F3A1D" w:rsidRDefault="008F3A1D" w:rsidP="00A53E24">
            <w:pPr>
              <w:pStyle w:val="Normal1linespace"/>
              <w:widowControl w:val="0"/>
              <w:jc w:val="left"/>
            </w:pPr>
            <w:r>
              <w:t>Counsel for the applicant</w:t>
            </w:r>
          </w:p>
        </w:tc>
        <w:tc>
          <w:tcPr>
            <w:tcW w:w="5989" w:type="dxa"/>
            <w:shd w:val="clear" w:color="auto" w:fill="auto"/>
          </w:tcPr>
          <w:p w14:paraId="22F9FA97" w14:textId="6742FC9E" w:rsidR="008F3A1D" w:rsidRDefault="008F3A1D" w:rsidP="00A53E24">
            <w:pPr>
              <w:pStyle w:val="Normal1linespace"/>
              <w:widowControl w:val="0"/>
              <w:jc w:val="left"/>
            </w:pPr>
            <w:r>
              <w:t>Mr L Armstrong KC and Mr S Hibble</w:t>
            </w:r>
          </w:p>
        </w:tc>
      </w:tr>
      <w:tr w:rsidR="008F3A1D" w14:paraId="7B24EC64" w14:textId="77777777" w:rsidTr="00723A96">
        <w:tc>
          <w:tcPr>
            <w:tcW w:w="3084" w:type="dxa"/>
            <w:shd w:val="clear" w:color="auto" w:fill="auto"/>
          </w:tcPr>
          <w:p w14:paraId="1D0CE00A" w14:textId="77777777" w:rsidR="008F3A1D" w:rsidRDefault="008F3A1D" w:rsidP="00A53E24">
            <w:pPr>
              <w:pStyle w:val="Normal1linespace"/>
              <w:widowControl w:val="0"/>
              <w:jc w:val="left"/>
            </w:pPr>
          </w:p>
        </w:tc>
        <w:tc>
          <w:tcPr>
            <w:tcW w:w="5989" w:type="dxa"/>
            <w:shd w:val="clear" w:color="auto" w:fill="auto"/>
          </w:tcPr>
          <w:p w14:paraId="11FB9236" w14:textId="77777777" w:rsidR="008F3A1D" w:rsidRDefault="008F3A1D" w:rsidP="00A53E24">
            <w:pPr>
              <w:pStyle w:val="Normal1linespace"/>
              <w:widowControl w:val="0"/>
              <w:jc w:val="left"/>
            </w:pPr>
          </w:p>
        </w:tc>
      </w:tr>
      <w:tr w:rsidR="008F3A1D" w14:paraId="3F0489C9" w14:textId="77777777" w:rsidTr="00723A96">
        <w:tc>
          <w:tcPr>
            <w:tcW w:w="3084" w:type="dxa"/>
            <w:shd w:val="clear" w:color="auto" w:fill="auto"/>
          </w:tcPr>
          <w:p w14:paraId="5BE2E397" w14:textId="1CFFCA9D" w:rsidR="008F3A1D" w:rsidRDefault="008F3A1D" w:rsidP="00A53E24">
            <w:pPr>
              <w:pStyle w:val="Normal1linespace"/>
              <w:widowControl w:val="0"/>
              <w:jc w:val="left"/>
            </w:pPr>
            <w:r>
              <w:t>Solicitor for the applicant</w:t>
            </w:r>
          </w:p>
        </w:tc>
        <w:tc>
          <w:tcPr>
            <w:tcW w:w="5989" w:type="dxa"/>
            <w:shd w:val="clear" w:color="auto" w:fill="auto"/>
          </w:tcPr>
          <w:p w14:paraId="2A41F298" w14:textId="42A499C4" w:rsidR="008F3A1D" w:rsidRDefault="008F3A1D" w:rsidP="00A53E24">
            <w:pPr>
              <w:pStyle w:val="Normal1linespace"/>
              <w:widowControl w:val="0"/>
              <w:jc w:val="left"/>
            </w:pPr>
            <w:r>
              <w:t>Shine Lawyers</w:t>
            </w:r>
          </w:p>
        </w:tc>
      </w:tr>
      <w:tr w:rsidR="008F3A1D" w14:paraId="07A7AEF1" w14:textId="77777777" w:rsidTr="00723A96">
        <w:tc>
          <w:tcPr>
            <w:tcW w:w="3084" w:type="dxa"/>
            <w:shd w:val="clear" w:color="auto" w:fill="auto"/>
          </w:tcPr>
          <w:p w14:paraId="0A5FCAFB" w14:textId="77777777" w:rsidR="008F3A1D" w:rsidRDefault="008F3A1D" w:rsidP="00A53E24">
            <w:pPr>
              <w:pStyle w:val="Normal1linespace"/>
              <w:widowControl w:val="0"/>
              <w:jc w:val="left"/>
            </w:pPr>
          </w:p>
        </w:tc>
        <w:tc>
          <w:tcPr>
            <w:tcW w:w="5989" w:type="dxa"/>
            <w:shd w:val="clear" w:color="auto" w:fill="auto"/>
          </w:tcPr>
          <w:p w14:paraId="17FAB2BD" w14:textId="77777777" w:rsidR="008F3A1D" w:rsidRDefault="008F3A1D" w:rsidP="00A53E24">
            <w:pPr>
              <w:pStyle w:val="Normal1linespace"/>
              <w:widowControl w:val="0"/>
              <w:jc w:val="left"/>
            </w:pPr>
          </w:p>
        </w:tc>
      </w:tr>
      <w:tr w:rsidR="008F3A1D" w14:paraId="6BC7A6D4" w14:textId="77777777" w:rsidTr="00723A96">
        <w:tc>
          <w:tcPr>
            <w:tcW w:w="3084" w:type="dxa"/>
            <w:shd w:val="clear" w:color="auto" w:fill="auto"/>
          </w:tcPr>
          <w:p w14:paraId="248C41AC" w14:textId="1D6D9FC9" w:rsidR="008F3A1D" w:rsidRDefault="008F3A1D" w:rsidP="00A53E24">
            <w:pPr>
              <w:pStyle w:val="Normal1linespace"/>
              <w:widowControl w:val="0"/>
              <w:jc w:val="left"/>
            </w:pPr>
            <w:r>
              <w:t>Counsel for the first respondent</w:t>
            </w:r>
            <w:r w:rsidR="00723A96">
              <w:t xml:space="preserve"> and the </w:t>
            </w:r>
            <w:r w:rsidR="00015EB0">
              <w:t>d</w:t>
            </w:r>
            <w:r w:rsidR="00723A96">
              <w:t xml:space="preserve">eed </w:t>
            </w:r>
            <w:r w:rsidR="00015EB0">
              <w:t>a</w:t>
            </w:r>
            <w:r w:rsidR="00723A96">
              <w:t>dministrators</w:t>
            </w:r>
          </w:p>
        </w:tc>
        <w:tc>
          <w:tcPr>
            <w:tcW w:w="5989" w:type="dxa"/>
            <w:shd w:val="clear" w:color="auto" w:fill="auto"/>
          </w:tcPr>
          <w:p w14:paraId="33C01A8F" w14:textId="78606700" w:rsidR="008F3A1D" w:rsidRDefault="008F3A1D" w:rsidP="00A53E24">
            <w:pPr>
              <w:pStyle w:val="Normal1linespace"/>
              <w:widowControl w:val="0"/>
              <w:jc w:val="left"/>
            </w:pPr>
            <w:r>
              <w:t>Mr H Austin KC and Ms N Papaleo</w:t>
            </w:r>
          </w:p>
        </w:tc>
      </w:tr>
      <w:tr w:rsidR="008F3A1D" w14:paraId="401D5011" w14:textId="77777777" w:rsidTr="00723A96">
        <w:tc>
          <w:tcPr>
            <w:tcW w:w="3084" w:type="dxa"/>
            <w:shd w:val="clear" w:color="auto" w:fill="auto"/>
          </w:tcPr>
          <w:p w14:paraId="184E77CE" w14:textId="77777777" w:rsidR="008F3A1D" w:rsidRDefault="008F3A1D" w:rsidP="00A53E24">
            <w:pPr>
              <w:pStyle w:val="Normal1linespace"/>
              <w:widowControl w:val="0"/>
              <w:jc w:val="left"/>
            </w:pPr>
          </w:p>
        </w:tc>
        <w:tc>
          <w:tcPr>
            <w:tcW w:w="5989" w:type="dxa"/>
            <w:shd w:val="clear" w:color="auto" w:fill="auto"/>
          </w:tcPr>
          <w:p w14:paraId="1556DB07" w14:textId="77777777" w:rsidR="008F3A1D" w:rsidRDefault="008F3A1D" w:rsidP="00A53E24">
            <w:pPr>
              <w:pStyle w:val="Normal1linespace"/>
              <w:widowControl w:val="0"/>
              <w:jc w:val="left"/>
            </w:pPr>
          </w:p>
        </w:tc>
      </w:tr>
      <w:tr w:rsidR="008F3A1D" w14:paraId="1577F59E" w14:textId="77777777" w:rsidTr="00723A96">
        <w:tc>
          <w:tcPr>
            <w:tcW w:w="3084" w:type="dxa"/>
            <w:shd w:val="clear" w:color="auto" w:fill="auto"/>
          </w:tcPr>
          <w:p w14:paraId="59A74380" w14:textId="14569C50" w:rsidR="008F3A1D" w:rsidRDefault="008F3A1D" w:rsidP="00A53E24">
            <w:pPr>
              <w:pStyle w:val="Normal1linespace"/>
              <w:widowControl w:val="0"/>
              <w:jc w:val="left"/>
            </w:pPr>
            <w:r>
              <w:t>Solicitor for the first respondent</w:t>
            </w:r>
            <w:r w:rsidR="00BF383D">
              <w:t xml:space="preserve"> and the </w:t>
            </w:r>
            <w:r w:rsidR="00015EB0">
              <w:t>d</w:t>
            </w:r>
            <w:r w:rsidR="00BF383D">
              <w:t xml:space="preserve">eed </w:t>
            </w:r>
            <w:r w:rsidR="00015EB0">
              <w:t>a</w:t>
            </w:r>
            <w:r w:rsidR="00BF383D">
              <w:t>dministrators</w:t>
            </w:r>
          </w:p>
        </w:tc>
        <w:tc>
          <w:tcPr>
            <w:tcW w:w="5989" w:type="dxa"/>
            <w:shd w:val="clear" w:color="auto" w:fill="auto"/>
          </w:tcPr>
          <w:p w14:paraId="00D5645D" w14:textId="6C076401" w:rsidR="008F3A1D" w:rsidRDefault="008F3A1D" w:rsidP="00A53E24">
            <w:pPr>
              <w:pStyle w:val="Normal1linespace"/>
              <w:widowControl w:val="0"/>
              <w:jc w:val="left"/>
            </w:pPr>
            <w:r>
              <w:t>Clayton Utz</w:t>
            </w:r>
          </w:p>
        </w:tc>
      </w:tr>
      <w:tr w:rsidR="008F3A1D" w14:paraId="6E9F25E6" w14:textId="77777777" w:rsidTr="00723A96">
        <w:tc>
          <w:tcPr>
            <w:tcW w:w="3084" w:type="dxa"/>
            <w:shd w:val="clear" w:color="auto" w:fill="auto"/>
          </w:tcPr>
          <w:p w14:paraId="408B35CD" w14:textId="77777777" w:rsidR="008F3A1D" w:rsidRDefault="008F3A1D" w:rsidP="00A53E24">
            <w:pPr>
              <w:pStyle w:val="Normal1linespace"/>
              <w:widowControl w:val="0"/>
              <w:jc w:val="left"/>
            </w:pPr>
          </w:p>
        </w:tc>
        <w:tc>
          <w:tcPr>
            <w:tcW w:w="5989" w:type="dxa"/>
            <w:shd w:val="clear" w:color="auto" w:fill="auto"/>
          </w:tcPr>
          <w:p w14:paraId="379BC9F2" w14:textId="77777777" w:rsidR="008F3A1D" w:rsidRDefault="008F3A1D" w:rsidP="00A53E24">
            <w:pPr>
              <w:pStyle w:val="Normal1linespace"/>
              <w:widowControl w:val="0"/>
              <w:jc w:val="left"/>
            </w:pPr>
          </w:p>
        </w:tc>
      </w:tr>
      <w:tr w:rsidR="008F3A1D" w14:paraId="317F7E46" w14:textId="77777777" w:rsidTr="00723A96">
        <w:tc>
          <w:tcPr>
            <w:tcW w:w="3084" w:type="dxa"/>
            <w:shd w:val="clear" w:color="auto" w:fill="auto"/>
          </w:tcPr>
          <w:p w14:paraId="1B952CA7" w14:textId="06F0649F" w:rsidR="008F3A1D" w:rsidRDefault="008F3A1D" w:rsidP="00A53E24">
            <w:pPr>
              <w:pStyle w:val="Normal1linespace"/>
              <w:widowControl w:val="0"/>
              <w:jc w:val="left"/>
            </w:pPr>
            <w:r>
              <w:t>Counsel for the second respondent</w:t>
            </w:r>
          </w:p>
        </w:tc>
        <w:tc>
          <w:tcPr>
            <w:tcW w:w="5989" w:type="dxa"/>
            <w:shd w:val="clear" w:color="auto" w:fill="auto"/>
          </w:tcPr>
          <w:p w14:paraId="44DEC6DA" w14:textId="0B679814" w:rsidR="008F3A1D" w:rsidRDefault="008F3A1D" w:rsidP="00A53E24">
            <w:pPr>
              <w:pStyle w:val="Normal1linespace"/>
              <w:widowControl w:val="0"/>
              <w:jc w:val="left"/>
            </w:pPr>
            <w:r>
              <w:t>Dr M Rush KC and Ms Papaelia</w:t>
            </w:r>
          </w:p>
        </w:tc>
      </w:tr>
      <w:tr w:rsidR="008F3A1D" w14:paraId="2CC1EEBF" w14:textId="77777777" w:rsidTr="00723A96">
        <w:tc>
          <w:tcPr>
            <w:tcW w:w="3084" w:type="dxa"/>
            <w:shd w:val="clear" w:color="auto" w:fill="auto"/>
          </w:tcPr>
          <w:p w14:paraId="54AF3B41" w14:textId="77777777" w:rsidR="008F3A1D" w:rsidRDefault="008F3A1D" w:rsidP="00A53E24">
            <w:pPr>
              <w:pStyle w:val="Normal1linespace"/>
              <w:widowControl w:val="0"/>
              <w:jc w:val="left"/>
            </w:pPr>
          </w:p>
        </w:tc>
        <w:tc>
          <w:tcPr>
            <w:tcW w:w="5989" w:type="dxa"/>
            <w:shd w:val="clear" w:color="auto" w:fill="auto"/>
          </w:tcPr>
          <w:p w14:paraId="6180FEF5" w14:textId="77777777" w:rsidR="008F3A1D" w:rsidRDefault="008F3A1D" w:rsidP="00A53E24">
            <w:pPr>
              <w:pStyle w:val="Normal1linespace"/>
              <w:widowControl w:val="0"/>
              <w:jc w:val="left"/>
            </w:pPr>
          </w:p>
        </w:tc>
      </w:tr>
      <w:tr w:rsidR="008F3A1D" w14:paraId="596B3E93" w14:textId="77777777" w:rsidTr="00723A96">
        <w:tc>
          <w:tcPr>
            <w:tcW w:w="3084" w:type="dxa"/>
            <w:shd w:val="clear" w:color="auto" w:fill="auto"/>
          </w:tcPr>
          <w:p w14:paraId="0E9BA666" w14:textId="4BB35783" w:rsidR="008F3A1D" w:rsidRDefault="008F3A1D" w:rsidP="00A53E24">
            <w:pPr>
              <w:pStyle w:val="Normal1linespace"/>
              <w:widowControl w:val="0"/>
              <w:jc w:val="left"/>
            </w:pPr>
            <w:r>
              <w:t>Solicitor for the second respondent</w:t>
            </w:r>
          </w:p>
        </w:tc>
        <w:tc>
          <w:tcPr>
            <w:tcW w:w="5989" w:type="dxa"/>
            <w:shd w:val="clear" w:color="auto" w:fill="auto"/>
          </w:tcPr>
          <w:p w14:paraId="044B5792" w14:textId="75380155" w:rsidR="008F3A1D" w:rsidRDefault="008F3A1D" w:rsidP="00A53E24">
            <w:pPr>
              <w:pStyle w:val="Normal1linespace"/>
              <w:widowControl w:val="0"/>
              <w:jc w:val="left"/>
            </w:pPr>
            <w:r>
              <w:t>Herbert Smith Freehills</w:t>
            </w:r>
          </w:p>
        </w:tc>
      </w:tr>
      <w:tr w:rsidR="008F3A1D" w14:paraId="40FCBE24" w14:textId="77777777" w:rsidTr="00723A96">
        <w:tc>
          <w:tcPr>
            <w:tcW w:w="3084" w:type="dxa"/>
            <w:shd w:val="clear" w:color="auto" w:fill="auto"/>
          </w:tcPr>
          <w:p w14:paraId="4F8A033B" w14:textId="77777777" w:rsidR="008F3A1D" w:rsidRDefault="008F3A1D" w:rsidP="00A53E24">
            <w:pPr>
              <w:pStyle w:val="Normal1linespace"/>
              <w:widowControl w:val="0"/>
              <w:jc w:val="left"/>
            </w:pPr>
          </w:p>
        </w:tc>
        <w:tc>
          <w:tcPr>
            <w:tcW w:w="5989" w:type="dxa"/>
            <w:shd w:val="clear" w:color="auto" w:fill="auto"/>
          </w:tcPr>
          <w:p w14:paraId="7CAAD6BB" w14:textId="77777777" w:rsidR="008F3A1D" w:rsidRDefault="008F3A1D" w:rsidP="00A53E24">
            <w:pPr>
              <w:pStyle w:val="Normal1linespace"/>
              <w:widowControl w:val="0"/>
              <w:jc w:val="left"/>
            </w:pPr>
          </w:p>
        </w:tc>
      </w:tr>
      <w:tr w:rsidR="008F3A1D" w14:paraId="3EB6E0EC" w14:textId="77777777" w:rsidTr="00723A96">
        <w:tc>
          <w:tcPr>
            <w:tcW w:w="3084" w:type="dxa"/>
            <w:shd w:val="clear" w:color="auto" w:fill="auto"/>
          </w:tcPr>
          <w:p w14:paraId="5FD71240" w14:textId="1C9E65F0" w:rsidR="008F3A1D" w:rsidRDefault="008F3A1D" w:rsidP="00A53E24">
            <w:pPr>
              <w:pStyle w:val="Normal1linespace"/>
              <w:widowControl w:val="0"/>
              <w:jc w:val="left"/>
            </w:pPr>
            <w:r>
              <w:t>Solicitor for the third respondent</w:t>
            </w:r>
          </w:p>
        </w:tc>
        <w:tc>
          <w:tcPr>
            <w:tcW w:w="5989" w:type="dxa"/>
            <w:shd w:val="clear" w:color="auto" w:fill="auto"/>
          </w:tcPr>
          <w:p w14:paraId="58E40594" w14:textId="30CF87A7" w:rsidR="008F3A1D" w:rsidRDefault="008F3A1D" w:rsidP="00A53E24">
            <w:pPr>
              <w:pStyle w:val="Normal1linespace"/>
              <w:widowControl w:val="0"/>
              <w:jc w:val="left"/>
            </w:pPr>
            <w:r>
              <w:t>Mr J Biggs</w:t>
            </w:r>
          </w:p>
        </w:tc>
      </w:tr>
      <w:tr w:rsidR="008F3A1D" w14:paraId="4B190BDD" w14:textId="77777777" w:rsidTr="00723A96">
        <w:tc>
          <w:tcPr>
            <w:tcW w:w="3084" w:type="dxa"/>
            <w:shd w:val="clear" w:color="auto" w:fill="auto"/>
          </w:tcPr>
          <w:p w14:paraId="4AF75E68" w14:textId="77777777" w:rsidR="008F3A1D" w:rsidRDefault="008F3A1D" w:rsidP="00A53E24">
            <w:pPr>
              <w:pStyle w:val="Normal1linespace"/>
              <w:widowControl w:val="0"/>
              <w:jc w:val="left"/>
            </w:pPr>
          </w:p>
        </w:tc>
        <w:tc>
          <w:tcPr>
            <w:tcW w:w="5989" w:type="dxa"/>
            <w:shd w:val="clear" w:color="auto" w:fill="auto"/>
          </w:tcPr>
          <w:p w14:paraId="0EED927A" w14:textId="77777777" w:rsidR="008F3A1D" w:rsidRDefault="008F3A1D" w:rsidP="00A53E24">
            <w:pPr>
              <w:pStyle w:val="Normal1linespace"/>
              <w:widowControl w:val="0"/>
              <w:jc w:val="left"/>
            </w:pPr>
          </w:p>
        </w:tc>
      </w:tr>
      <w:tr w:rsidR="008F3A1D" w14:paraId="3AB8DDD7" w14:textId="77777777" w:rsidTr="00723A96">
        <w:tc>
          <w:tcPr>
            <w:tcW w:w="3084" w:type="dxa"/>
            <w:shd w:val="clear" w:color="auto" w:fill="auto"/>
          </w:tcPr>
          <w:p w14:paraId="65F8CE56" w14:textId="0DB00007" w:rsidR="008F3A1D" w:rsidRDefault="008F3A1D" w:rsidP="00A53E24">
            <w:pPr>
              <w:pStyle w:val="Normal1linespace"/>
              <w:widowControl w:val="0"/>
              <w:jc w:val="left"/>
            </w:pPr>
            <w:r>
              <w:t>Counsel for Balance Legal Capital II UK Limited</w:t>
            </w:r>
          </w:p>
        </w:tc>
        <w:tc>
          <w:tcPr>
            <w:tcW w:w="5989" w:type="dxa"/>
            <w:shd w:val="clear" w:color="auto" w:fill="auto"/>
          </w:tcPr>
          <w:p w14:paraId="1510A5E4" w14:textId="298D4572" w:rsidR="008F3A1D" w:rsidRDefault="008F3A1D" w:rsidP="00A53E24">
            <w:pPr>
              <w:pStyle w:val="Normal1linespace"/>
              <w:widowControl w:val="0"/>
              <w:jc w:val="left"/>
            </w:pPr>
            <w:r>
              <w:t>Mr W A D Edwards KC and Mr T Bagley</w:t>
            </w:r>
          </w:p>
        </w:tc>
      </w:tr>
      <w:tr w:rsidR="008F3A1D" w14:paraId="1E4CC6F9" w14:textId="77777777" w:rsidTr="00723A96">
        <w:tc>
          <w:tcPr>
            <w:tcW w:w="3084" w:type="dxa"/>
            <w:shd w:val="clear" w:color="auto" w:fill="auto"/>
          </w:tcPr>
          <w:p w14:paraId="21426924" w14:textId="77777777" w:rsidR="008F3A1D" w:rsidRDefault="008F3A1D" w:rsidP="00A53E24">
            <w:pPr>
              <w:pStyle w:val="Normal1linespace"/>
              <w:widowControl w:val="0"/>
              <w:jc w:val="left"/>
            </w:pPr>
          </w:p>
        </w:tc>
        <w:tc>
          <w:tcPr>
            <w:tcW w:w="5989" w:type="dxa"/>
            <w:shd w:val="clear" w:color="auto" w:fill="auto"/>
          </w:tcPr>
          <w:p w14:paraId="0BC84D5E" w14:textId="77777777" w:rsidR="008F3A1D" w:rsidRDefault="008F3A1D" w:rsidP="00A53E24">
            <w:pPr>
              <w:pStyle w:val="Normal1linespace"/>
              <w:widowControl w:val="0"/>
              <w:jc w:val="left"/>
            </w:pPr>
          </w:p>
        </w:tc>
      </w:tr>
    </w:tbl>
    <w:p w14:paraId="5C484849" w14:textId="77777777" w:rsidR="00B17D6E" w:rsidRDefault="00B17D6E">
      <w:pPr>
        <w:pStyle w:val="Normal1linespace"/>
      </w:pPr>
      <w:bookmarkStart w:id="11" w:name="CompletionTable"/>
      <w:bookmarkEnd w:id="9"/>
    </w:p>
    <w:bookmarkEnd w:id="11"/>
    <w:p w14:paraId="5C09FB46" w14:textId="77777777" w:rsidR="007470BD" w:rsidRDefault="007470BD">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631205" w14:paraId="52EC4892" w14:textId="77777777" w:rsidTr="00615AAC">
        <w:tc>
          <w:tcPr>
            <w:tcW w:w="3050" w:type="dxa"/>
            <w:shd w:val="clear" w:color="auto" w:fill="auto"/>
          </w:tcPr>
          <w:p w14:paraId="0E700416" w14:textId="77777777" w:rsidR="00631205" w:rsidRPr="00223FB4" w:rsidRDefault="00631205" w:rsidP="00615AAC">
            <w:pPr>
              <w:pStyle w:val="Normal1linespace"/>
              <w:jc w:val="left"/>
              <w:rPr>
                <w:b/>
              </w:rPr>
            </w:pPr>
            <w:r w:rsidRPr="00223FB4">
              <w:rPr>
                <w:b/>
              </w:rPr>
              <w:t>Table of Corrections</w:t>
            </w:r>
          </w:p>
        </w:tc>
        <w:tc>
          <w:tcPr>
            <w:tcW w:w="5989" w:type="dxa"/>
            <w:shd w:val="clear" w:color="auto" w:fill="auto"/>
          </w:tcPr>
          <w:p w14:paraId="7A5967B3" w14:textId="77777777" w:rsidR="00631205" w:rsidRDefault="00631205" w:rsidP="00615AAC">
            <w:pPr>
              <w:pStyle w:val="Normal1linespace"/>
              <w:widowControl w:val="0"/>
              <w:jc w:val="left"/>
              <w:rPr>
                <w:b/>
              </w:rPr>
            </w:pPr>
          </w:p>
        </w:tc>
      </w:tr>
      <w:tr w:rsidR="00631205" w14:paraId="497330A0" w14:textId="77777777" w:rsidTr="00615AAC">
        <w:tc>
          <w:tcPr>
            <w:tcW w:w="3050" w:type="dxa"/>
            <w:shd w:val="clear" w:color="auto" w:fill="auto"/>
          </w:tcPr>
          <w:p w14:paraId="4DA8DD55" w14:textId="77777777" w:rsidR="00631205" w:rsidRDefault="00631205" w:rsidP="00615AAC">
            <w:pPr>
              <w:pStyle w:val="Normal1linespace"/>
              <w:widowControl w:val="0"/>
              <w:jc w:val="left"/>
            </w:pPr>
          </w:p>
        </w:tc>
        <w:tc>
          <w:tcPr>
            <w:tcW w:w="5989" w:type="dxa"/>
            <w:shd w:val="clear" w:color="auto" w:fill="auto"/>
          </w:tcPr>
          <w:p w14:paraId="623FECFA" w14:textId="77777777" w:rsidR="00631205" w:rsidRDefault="00631205" w:rsidP="00615AAC">
            <w:pPr>
              <w:pStyle w:val="Normal1linespace"/>
              <w:widowControl w:val="0"/>
              <w:jc w:val="left"/>
            </w:pPr>
          </w:p>
        </w:tc>
      </w:tr>
      <w:tr w:rsidR="00631205" w14:paraId="31B1E43B" w14:textId="77777777" w:rsidTr="00615AAC">
        <w:tc>
          <w:tcPr>
            <w:tcW w:w="3050" w:type="dxa"/>
            <w:shd w:val="clear" w:color="auto" w:fill="auto"/>
          </w:tcPr>
          <w:p w14:paraId="631D42FD" w14:textId="3E1B42AF" w:rsidR="00631205" w:rsidRDefault="00631205" w:rsidP="00615AAC">
            <w:pPr>
              <w:pStyle w:val="Normal1linespace"/>
              <w:widowControl w:val="0"/>
              <w:jc w:val="left"/>
            </w:pPr>
            <w:bookmarkStart w:id="12" w:name="SelectMe"/>
            <w:bookmarkEnd w:id="12"/>
            <w:r>
              <w:t>19 April 2024</w:t>
            </w:r>
          </w:p>
        </w:tc>
        <w:tc>
          <w:tcPr>
            <w:tcW w:w="5989" w:type="dxa"/>
            <w:shd w:val="clear" w:color="auto" w:fill="auto"/>
          </w:tcPr>
          <w:p w14:paraId="749FCE15" w14:textId="6481E015" w:rsidR="00631205" w:rsidRDefault="00631205" w:rsidP="00615AAC">
            <w:pPr>
              <w:pStyle w:val="Normal1linespace"/>
              <w:widowControl w:val="0"/>
              <w:jc w:val="left"/>
            </w:pPr>
            <w:r>
              <w:t>In the Annexure to the orders in VID 769 of 2021, the word “Proposed” in the heading has been removed</w:t>
            </w:r>
          </w:p>
        </w:tc>
      </w:tr>
      <w:tr w:rsidR="00631205" w14:paraId="10CA30E2" w14:textId="77777777" w:rsidTr="00615AAC">
        <w:tc>
          <w:tcPr>
            <w:tcW w:w="3050" w:type="dxa"/>
            <w:shd w:val="clear" w:color="auto" w:fill="auto"/>
          </w:tcPr>
          <w:p w14:paraId="1880D820" w14:textId="77777777" w:rsidR="00631205" w:rsidRDefault="00631205" w:rsidP="00615AAC">
            <w:pPr>
              <w:pStyle w:val="Normal1linespace"/>
              <w:widowControl w:val="0"/>
              <w:jc w:val="left"/>
            </w:pPr>
          </w:p>
        </w:tc>
        <w:tc>
          <w:tcPr>
            <w:tcW w:w="5989" w:type="dxa"/>
            <w:shd w:val="clear" w:color="auto" w:fill="auto"/>
          </w:tcPr>
          <w:p w14:paraId="21F00A5C" w14:textId="77777777" w:rsidR="00631205" w:rsidRDefault="00631205" w:rsidP="00615AAC">
            <w:pPr>
              <w:pStyle w:val="Normal1linespace"/>
              <w:widowControl w:val="0"/>
              <w:jc w:val="left"/>
            </w:pPr>
          </w:p>
        </w:tc>
      </w:tr>
      <w:tr w:rsidR="00631205" w14:paraId="1D5E317C" w14:textId="77777777" w:rsidTr="00615AAC">
        <w:tc>
          <w:tcPr>
            <w:tcW w:w="3050" w:type="dxa"/>
            <w:shd w:val="clear" w:color="auto" w:fill="auto"/>
          </w:tcPr>
          <w:p w14:paraId="6960B6C1" w14:textId="77777777" w:rsidR="00631205" w:rsidRDefault="00631205" w:rsidP="00615AAC">
            <w:pPr>
              <w:pStyle w:val="Normal1linespace"/>
              <w:widowControl w:val="0"/>
              <w:jc w:val="left"/>
            </w:pPr>
          </w:p>
        </w:tc>
        <w:tc>
          <w:tcPr>
            <w:tcW w:w="5989" w:type="dxa"/>
            <w:shd w:val="clear" w:color="auto" w:fill="auto"/>
          </w:tcPr>
          <w:p w14:paraId="3E4FFB08" w14:textId="79F37ED4" w:rsidR="00631205" w:rsidRDefault="00631205" w:rsidP="00615AAC">
            <w:pPr>
              <w:pStyle w:val="Normal1linespace"/>
              <w:widowControl w:val="0"/>
              <w:jc w:val="left"/>
            </w:pPr>
            <w:r>
              <w:t xml:space="preserve">In the Annexure to the orders in VID 769 of 2021, the “Withdrawal of </w:t>
            </w:r>
            <w:proofErr w:type="spellStart"/>
            <w:r>
              <w:t>Opt</w:t>
            </w:r>
            <w:proofErr w:type="spellEnd"/>
            <w:r>
              <w:t xml:space="preserve"> Out Notice”</w:t>
            </w:r>
            <w:r w:rsidR="000D3230">
              <w:t xml:space="preserve"> form</w:t>
            </w:r>
            <w:r>
              <w:t xml:space="preserve"> has been included</w:t>
            </w:r>
          </w:p>
        </w:tc>
      </w:tr>
    </w:tbl>
    <w:p w14:paraId="2BFFC687" w14:textId="77777777" w:rsidR="00631205" w:rsidRDefault="00631205">
      <w:pPr>
        <w:pStyle w:val="Normal1linespace"/>
      </w:pPr>
    </w:p>
    <w:p w14:paraId="05F995B5" w14:textId="77777777" w:rsidR="00E94CBF" w:rsidRDefault="00E94CBF">
      <w:pPr>
        <w:pStyle w:val="Normal1linespace"/>
      </w:pPr>
    </w:p>
    <w:p w14:paraId="52F0FC19"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02041F8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A474D19" w14:textId="77777777" w:rsidTr="00E81DA6">
        <w:tc>
          <w:tcPr>
            <w:tcW w:w="6912" w:type="dxa"/>
            <w:gridSpan w:val="2"/>
          </w:tcPr>
          <w:p w14:paraId="733A4CB7" w14:textId="77777777" w:rsidR="00A46CCC" w:rsidRPr="001765E0" w:rsidRDefault="00A46CCC" w:rsidP="00525A49">
            <w:pPr>
              <w:pStyle w:val="NormalHeadings"/>
            </w:pPr>
          </w:p>
        </w:tc>
        <w:tc>
          <w:tcPr>
            <w:tcW w:w="2330" w:type="dxa"/>
          </w:tcPr>
          <w:p w14:paraId="2E27DC9D" w14:textId="4AFE4F83" w:rsidR="00A46CCC" w:rsidRDefault="000174DD" w:rsidP="00F92355">
            <w:pPr>
              <w:pStyle w:val="NormalHeadings"/>
              <w:jc w:val="right"/>
            </w:pPr>
            <w:bookmarkStart w:id="13" w:name="FileNo"/>
            <w:r>
              <w:t>VID 769 of 2021</w:t>
            </w:r>
            <w:bookmarkEnd w:id="13"/>
          </w:p>
        </w:tc>
      </w:tr>
      <w:tr w:rsidR="00A76C13" w14:paraId="5184866C" w14:textId="77777777" w:rsidTr="00AB038E">
        <w:tc>
          <w:tcPr>
            <w:tcW w:w="9242" w:type="dxa"/>
            <w:gridSpan w:val="3"/>
          </w:tcPr>
          <w:p w14:paraId="2C659EA9" w14:textId="58E57650" w:rsidR="00A76C13" w:rsidRPr="00A76C13" w:rsidRDefault="00A53E24" w:rsidP="00A53E24">
            <w:pPr>
              <w:pStyle w:val="NormalHeadings"/>
              <w:jc w:val="left"/>
            </w:pPr>
            <w:bookmarkStart w:id="14" w:name="InTheMatterOf"/>
            <w:r>
              <w:t xml:space="preserve"> </w:t>
            </w:r>
            <w:bookmarkEnd w:id="14"/>
          </w:p>
        </w:tc>
      </w:tr>
      <w:tr w:rsidR="00A46CCC" w14:paraId="77456919" w14:textId="77777777" w:rsidTr="00AB038E">
        <w:trPr>
          <w:trHeight w:val="386"/>
        </w:trPr>
        <w:tc>
          <w:tcPr>
            <w:tcW w:w="2376" w:type="dxa"/>
          </w:tcPr>
          <w:p w14:paraId="6425AC95" w14:textId="77777777" w:rsidR="00A46CCC" w:rsidRDefault="00A46CCC" w:rsidP="00AB038E">
            <w:pPr>
              <w:pStyle w:val="NormalHeadings"/>
              <w:jc w:val="left"/>
              <w:rPr>
                <w:caps/>
                <w:szCs w:val="24"/>
              </w:rPr>
            </w:pPr>
            <w:bookmarkStart w:id="15" w:name="Parties"/>
            <w:r>
              <w:rPr>
                <w:caps/>
                <w:szCs w:val="24"/>
              </w:rPr>
              <w:t>BETWEEN:</w:t>
            </w:r>
          </w:p>
        </w:tc>
        <w:tc>
          <w:tcPr>
            <w:tcW w:w="6866" w:type="dxa"/>
            <w:gridSpan w:val="2"/>
          </w:tcPr>
          <w:p w14:paraId="42E1CB98" w14:textId="77777777" w:rsidR="005646FB" w:rsidRPr="005646FB" w:rsidRDefault="005646FB" w:rsidP="005646FB">
            <w:pPr>
              <w:pStyle w:val="Default"/>
              <w:rPr>
                <w:b/>
                <w:bCs/>
                <w:caps/>
              </w:rPr>
            </w:pPr>
            <w:bookmarkStart w:id="16" w:name="Applicant"/>
            <w:bookmarkEnd w:id="16"/>
            <w:r w:rsidRPr="005646FB">
              <w:rPr>
                <w:b/>
                <w:bCs/>
              </w:rPr>
              <w:t>WATSON &amp; CO SUPERANNUATION PTY LTD</w:t>
            </w:r>
          </w:p>
          <w:p w14:paraId="6B4C6CB8" w14:textId="77777777" w:rsidR="005646FB" w:rsidRPr="005646FB" w:rsidRDefault="005646FB" w:rsidP="007E4B06">
            <w:pPr>
              <w:pStyle w:val="PartyType"/>
            </w:pPr>
            <w:r w:rsidRPr="005646FB">
              <w:t xml:space="preserve">Applicant </w:t>
            </w:r>
          </w:p>
          <w:p w14:paraId="145AB7AF" w14:textId="75F8C0BD" w:rsidR="00A46CCC" w:rsidRPr="005646FB" w:rsidRDefault="00A46CCC" w:rsidP="00A53E24">
            <w:pPr>
              <w:pStyle w:val="NormalHeadings"/>
              <w:jc w:val="left"/>
              <w:rPr>
                <w:szCs w:val="24"/>
              </w:rPr>
            </w:pPr>
          </w:p>
        </w:tc>
      </w:tr>
      <w:tr w:rsidR="00A46CCC" w14:paraId="70B5CEB1" w14:textId="77777777" w:rsidTr="00AB038E">
        <w:trPr>
          <w:trHeight w:val="386"/>
        </w:trPr>
        <w:tc>
          <w:tcPr>
            <w:tcW w:w="2376" w:type="dxa"/>
          </w:tcPr>
          <w:p w14:paraId="3CDDCA96" w14:textId="77777777" w:rsidR="00A46CCC" w:rsidRDefault="00A46CCC" w:rsidP="00AB038E">
            <w:pPr>
              <w:pStyle w:val="NormalHeadings"/>
              <w:jc w:val="left"/>
              <w:rPr>
                <w:caps/>
                <w:szCs w:val="24"/>
              </w:rPr>
            </w:pPr>
            <w:r>
              <w:rPr>
                <w:caps/>
                <w:szCs w:val="24"/>
              </w:rPr>
              <w:t>AND:</w:t>
            </w:r>
          </w:p>
        </w:tc>
        <w:tc>
          <w:tcPr>
            <w:tcW w:w="6866" w:type="dxa"/>
            <w:gridSpan w:val="2"/>
          </w:tcPr>
          <w:p w14:paraId="17BE97C1" w14:textId="711ABD29" w:rsidR="00393AE3" w:rsidRPr="00393AE3" w:rsidRDefault="00393AE3" w:rsidP="00393AE3">
            <w:pPr>
              <w:pStyle w:val="NormalHeadings"/>
              <w:rPr>
                <w:bCs/>
              </w:rPr>
            </w:pPr>
            <w:bookmarkStart w:id="17" w:name="Respondent"/>
            <w:bookmarkEnd w:id="17"/>
            <w:r w:rsidRPr="00393AE3">
              <w:t>DIXON ADVISORY AND SUPERANNUATION SERVICES LTD (ACN 103 071 665)</w:t>
            </w:r>
            <w:r w:rsidRPr="00393AE3">
              <w:rPr>
                <w:bCs/>
              </w:rPr>
              <w:t xml:space="preserve"> </w:t>
            </w:r>
            <w:r w:rsidR="00073CCD" w:rsidRPr="00926FB0">
              <w:rPr>
                <w:bCs/>
              </w:rPr>
              <w:t>(SUBJECT TO DEED OF COMPANY ARRANGEMENT)</w:t>
            </w:r>
          </w:p>
          <w:p w14:paraId="170E4F94" w14:textId="2DEDD36C" w:rsidR="00A46CCC" w:rsidRDefault="00393AE3" w:rsidP="007E4B06">
            <w:pPr>
              <w:pStyle w:val="PartyType"/>
              <w:rPr>
                <w:b/>
              </w:rPr>
            </w:pPr>
            <w:r w:rsidRPr="00393AE3">
              <w:t>Respondent</w:t>
            </w:r>
          </w:p>
          <w:p w14:paraId="71CA6BDE" w14:textId="77777777" w:rsidR="0071375D" w:rsidRPr="0071375D" w:rsidRDefault="0071375D" w:rsidP="0071375D">
            <w:pPr>
              <w:pStyle w:val="Default"/>
            </w:pPr>
          </w:p>
          <w:p w14:paraId="16C73ED1" w14:textId="0A60DDB3" w:rsidR="0071375D" w:rsidRPr="0071375D" w:rsidRDefault="0071375D" w:rsidP="0071375D">
            <w:pPr>
              <w:pStyle w:val="Default"/>
              <w:rPr>
                <w:b/>
                <w:bCs/>
              </w:rPr>
            </w:pPr>
            <w:r w:rsidRPr="0071375D">
              <w:rPr>
                <w:b/>
                <w:bCs/>
              </w:rPr>
              <w:t>E&amp;P FINANCIAL GROUP LIMITED (ACN 609 913 457)</w:t>
            </w:r>
          </w:p>
          <w:p w14:paraId="51AAE628" w14:textId="0459F984" w:rsidR="0071375D" w:rsidRDefault="0071375D" w:rsidP="007E4B06">
            <w:pPr>
              <w:pStyle w:val="PartyType"/>
            </w:pPr>
            <w:r>
              <w:t>Second Respondent</w:t>
            </w:r>
          </w:p>
          <w:p w14:paraId="6740B6A6" w14:textId="77777777" w:rsidR="0071375D" w:rsidRPr="0071375D" w:rsidRDefault="0071375D" w:rsidP="0071375D">
            <w:pPr>
              <w:pStyle w:val="Default"/>
            </w:pPr>
          </w:p>
          <w:p w14:paraId="76A817E0" w14:textId="52524B03" w:rsidR="0071375D" w:rsidRPr="0071375D" w:rsidRDefault="0071375D" w:rsidP="0071375D">
            <w:pPr>
              <w:pStyle w:val="Default"/>
              <w:rPr>
                <w:b/>
                <w:bCs/>
              </w:rPr>
            </w:pPr>
            <w:r w:rsidRPr="0071375D">
              <w:rPr>
                <w:b/>
                <w:bCs/>
              </w:rPr>
              <w:t>ALAN COCHRANE DIXON</w:t>
            </w:r>
          </w:p>
          <w:p w14:paraId="65E9E7B1" w14:textId="77777777" w:rsidR="0071375D" w:rsidRDefault="0071375D" w:rsidP="007E4B06">
            <w:pPr>
              <w:pStyle w:val="PartyType"/>
            </w:pPr>
            <w:r w:rsidRPr="0071375D">
              <w:t>Third Respondent</w:t>
            </w:r>
          </w:p>
          <w:p w14:paraId="34A3C8B3" w14:textId="77777777" w:rsidR="0071375D" w:rsidRPr="0071375D" w:rsidRDefault="0071375D" w:rsidP="0071375D">
            <w:pPr>
              <w:pStyle w:val="Default"/>
            </w:pPr>
          </w:p>
          <w:p w14:paraId="4219566F" w14:textId="66D3C999" w:rsidR="0071375D" w:rsidRPr="0071375D" w:rsidRDefault="0071375D" w:rsidP="0071375D">
            <w:pPr>
              <w:pStyle w:val="Default"/>
              <w:rPr>
                <w:b/>
                <w:bCs/>
              </w:rPr>
            </w:pPr>
            <w:r w:rsidRPr="0071375D">
              <w:rPr>
                <w:b/>
                <w:bCs/>
              </w:rPr>
              <w:t>CHRISTOPHER MATTHEW BROWN</w:t>
            </w:r>
          </w:p>
          <w:p w14:paraId="51826FCA" w14:textId="77777777" w:rsidR="0071375D" w:rsidRDefault="0071375D" w:rsidP="007E4B06">
            <w:pPr>
              <w:pStyle w:val="PartyType"/>
            </w:pPr>
            <w:r w:rsidRPr="0071375D">
              <w:t>Fourth Respondent</w:t>
            </w:r>
          </w:p>
          <w:p w14:paraId="23B1A28D" w14:textId="0F2A5A7C" w:rsidR="0071375D" w:rsidRPr="0071375D" w:rsidRDefault="0071375D" w:rsidP="0071375D">
            <w:pPr>
              <w:pStyle w:val="Default"/>
            </w:pPr>
          </w:p>
        </w:tc>
      </w:tr>
    </w:tbl>
    <w:p w14:paraId="09C7437B"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325F984A" w14:textId="77777777">
        <w:tc>
          <w:tcPr>
            <w:tcW w:w="2376" w:type="dxa"/>
          </w:tcPr>
          <w:p w14:paraId="3C747DCE"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C0B238C" w14:textId="5A634473" w:rsidR="00395B24" w:rsidRDefault="0071375D">
            <w:pPr>
              <w:pStyle w:val="NormalHeadings"/>
              <w:jc w:val="left"/>
              <w:rPr>
                <w:caps/>
                <w:szCs w:val="24"/>
              </w:rPr>
            </w:pPr>
            <w:bookmarkStart w:id="20" w:name="Judge"/>
            <w:r>
              <w:rPr>
                <w:caps/>
                <w:szCs w:val="24"/>
              </w:rPr>
              <w:t>thawley j</w:t>
            </w:r>
            <w:bookmarkEnd w:id="20"/>
          </w:p>
        </w:tc>
      </w:tr>
      <w:tr w:rsidR="00395B24" w14:paraId="29CC702A" w14:textId="77777777">
        <w:tc>
          <w:tcPr>
            <w:tcW w:w="2376" w:type="dxa"/>
          </w:tcPr>
          <w:p w14:paraId="18620DFA" w14:textId="77777777" w:rsidR="00395B24" w:rsidRDefault="002C7385">
            <w:pPr>
              <w:pStyle w:val="NormalHeadings"/>
              <w:spacing w:after="120"/>
              <w:jc w:val="left"/>
              <w:rPr>
                <w:caps/>
                <w:szCs w:val="24"/>
              </w:rPr>
            </w:pPr>
            <w:r>
              <w:rPr>
                <w:caps/>
                <w:szCs w:val="24"/>
              </w:rPr>
              <w:t>DATE OF ORDER:</w:t>
            </w:r>
          </w:p>
        </w:tc>
        <w:tc>
          <w:tcPr>
            <w:tcW w:w="6866" w:type="dxa"/>
          </w:tcPr>
          <w:p w14:paraId="04BEE10D" w14:textId="13756943" w:rsidR="00395B24" w:rsidRDefault="00961789">
            <w:pPr>
              <w:pStyle w:val="NormalHeadings"/>
              <w:jc w:val="left"/>
              <w:rPr>
                <w:caps/>
                <w:szCs w:val="24"/>
              </w:rPr>
            </w:pPr>
            <w:bookmarkStart w:id="21" w:name="Judgment_Dated"/>
            <w:bookmarkEnd w:id="21"/>
            <w:r>
              <w:rPr>
                <w:caps/>
                <w:szCs w:val="24"/>
              </w:rPr>
              <w:t>17 April 2024</w:t>
            </w:r>
          </w:p>
        </w:tc>
      </w:tr>
    </w:tbl>
    <w:p w14:paraId="22F7B6D4" w14:textId="77777777" w:rsidR="00395B24" w:rsidRDefault="00395B24">
      <w:pPr>
        <w:pStyle w:val="NormalHeadings"/>
        <w:rPr>
          <w:b w:val="0"/>
        </w:rPr>
      </w:pPr>
    </w:p>
    <w:p w14:paraId="142DA601" w14:textId="77777777" w:rsidR="008D1617" w:rsidRDefault="008D1617">
      <w:pPr>
        <w:pStyle w:val="NormalHeadings"/>
        <w:rPr>
          <w:b w:val="0"/>
        </w:rPr>
      </w:pPr>
    </w:p>
    <w:p w14:paraId="063F83BA" w14:textId="353A94AA" w:rsidR="00F71798" w:rsidRDefault="002C7385" w:rsidP="00E93EC8">
      <w:pPr>
        <w:pStyle w:val="NormalHeadings"/>
        <w:spacing w:line="360" w:lineRule="auto"/>
      </w:pPr>
      <w:r>
        <w:t>THE COURT ORDERS THAT:</w:t>
      </w:r>
    </w:p>
    <w:p w14:paraId="3E38761A" w14:textId="63EE2DE9" w:rsidR="00705B41" w:rsidRPr="00705B41" w:rsidRDefault="00705B41" w:rsidP="00243E5E">
      <w:pPr>
        <w:pStyle w:val="NormalHeadings"/>
        <w:rPr>
          <w:i/>
          <w:iCs/>
        </w:rPr>
      </w:pPr>
      <w:r>
        <w:rPr>
          <w:i/>
          <w:iCs/>
        </w:rPr>
        <w:t>Distribution of further notice</w:t>
      </w:r>
    </w:p>
    <w:p w14:paraId="45BA9E16" w14:textId="77777777" w:rsidR="00705B41" w:rsidRDefault="00705B41" w:rsidP="00243E5E">
      <w:pPr>
        <w:pStyle w:val="NormalHeadings"/>
      </w:pPr>
    </w:p>
    <w:p w14:paraId="113F1ED4" w14:textId="32A967D1" w:rsidR="007B2735" w:rsidRPr="00537A0B" w:rsidRDefault="00B6500C" w:rsidP="00B6500C">
      <w:pPr>
        <w:pStyle w:val="Order1"/>
        <w:numPr>
          <w:ilvl w:val="0"/>
          <w:numId w:val="0"/>
        </w:numPr>
        <w:tabs>
          <w:tab w:val="left" w:pos="1287"/>
        </w:tabs>
        <w:ind w:left="1287" w:hanging="720"/>
        <w:rPr>
          <w:lang w:eastAsia="en-GB"/>
        </w:rPr>
      </w:pPr>
      <w:r w:rsidRPr="00537A0B">
        <w:rPr>
          <w:lang w:eastAsia="en-GB"/>
        </w:rPr>
        <w:t>1.</w:t>
      </w:r>
      <w:r w:rsidRPr="00537A0B">
        <w:rPr>
          <w:lang w:eastAsia="en-GB"/>
        </w:rPr>
        <w:tab/>
      </w:r>
      <w:r w:rsidR="007B2735" w:rsidRPr="00537A0B">
        <w:rPr>
          <w:lang w:eastAsia="en-GB"/>
        </w:rPr>
        <w:t xml:space="preserve">Pursuant to s 33X of the </w:t>
      </w:r>
      <w:r w:rsidR="007B2735" w:rsidRPr="00537A0B">
        <w:rPr>
          <w:i/>
          <w:iCs/>
          <w:lang w:eastAsia="en-GB"/>
        </w:rPr>
        <w:t>Federal Court of Australia Act 1976 (</w:t>
      </w:r>
      <w:proofErr w:type="spellStart"/>
      <w:r w:rsidR="007B2735" w:rsidRPr="00537A0B">
        <w:rPr>
          <w:i/>
          <w:iCs/>
          <w:lang w:eastAsia="en-GB"/>
        </w:rPr>
        <w:t>Cth</w:t>
      </w:r>
      <w:proofErr w:type="spellEnd"/>
      <w:r w:rsidR="007B2735" w:rsidRPr="00537A0B">
        <w:rPr>
          <w:i/>
          <w:iCs/>
          <w:lang w:eastAsia="en-GB"/>
        </w:rPr>
        <w:t>)</w:t>
      </w:r>
      <w:r w:rsidR="007B2735" w:rsidRPr="00537A0B">
        <w:rPr>
          <w:lang w:eastAsia="en-GB"/>
        </w:rPr>
        <w:t xml:space="preserve"> (</w:t>
      </w:r>
      <w:r w:rsidR="007B2735" w:rsidRPr="00537A0B">
        <w:rPr>
          <w:b/>
          <w:bCs/>
          <w:lang w:eastAsia="en-GB"/>
        </w:rPr>
        <w:t>FCA Act</w:t>
      </w:r>
      <w:r w:rsidR="007B2735" w:rsidRPr="00537A0B">
        <w:rPr>
          <w:lang w:eastAsia="en-GB"/>
        </w:rPr>
        <w:t>), the ‘</w:t>
      </w:r>
      <w:r w:rsidR="007B2735" w:rsidRPr="00537A0B">
        <w:rPr>
          <w:i/>
          <w:iCs/>
          <w:lang w:eastAsia="en-GB"/>
        </w:rPr>
        <w:t>Notice to Group Members who Opted Out</w:t>
      </w:r>
      <w:r w:rsidR="007B2735" w:rsidRPr="00537A0B">
        <w:rPr>
          <w:lang w:eastAsia="en-GB"/>
        </w:rPr>
        <w:t>’ set out in the annexure to these orders (</w:t>
      </w:r>
      <w:r w:rsidR="007B2735" w:rsidRPr="00537A0B">
        <w:rPr>
          <w:b/>
          <w:bCs/>
          <w:lang w:eastAsia="en-GB"/>
        </w:rPr>
        <w:t>Notice</w:t>
      </w:r>
      <w:r w:rsidR="007B2735" w:rsidRPr="00537A0B">
        <w:rPr>
          <w:lang w:eastAsia="en-GB"/>
        </w:rPr>
        <w:t>) is approved for distribution to persons who, according to the Court’s records, filed a</w:t>
      </w:r>
      <w:r w:rsidR="007B2735">
        <w:rPr>
          <w:lang w:eastAsia="en-GB"/>
        </w:rPr>
        <w:t>n</w:t>
      </w:r>
      <w:r w:rsidR="007B2735" w:rsidRPr="00537A0B">
        <w:rPr>
          <w:lang w:eastAsia="en-GB"/>
        </w:rPr>
        <w:t xml:space="preserve"> </w:t>
      </w:r>
      <w:proofErr w:type="spellStart"/>
      <w:r w:rsidR="007B2735">
        <w:rPr>
          <w:lang w:eastAsia="en-GB"/>
        </w:rPr>
        <w:t>Opt</w:t>
      </w:r>
      <w:proofErr w:type="spellEnd"/>
      <w:r w:rsidR="007B2735" w:rsidRPr="00537A0B">
        <w:rPr>
          <w:lang w:eastAsia="en-GB"/>
        </w:rPr>
        <w:t xml:space="preserve"> Out in the Proceeding (</w:t>
      </w:r>
      <w:r w:rsidR="007B2735" w:rsidRPr="00537A0B">
        <w:rPr>
          <w:b/>
          <w:bCs/>
          <w:lang w:eastAsia="en-GB"/>
        </w:rPr>
        <w:t>Opted Out Group Members</w:t>
      </w:r>
      <w:r w:rsidR="007B2735" w:rsidRPr="00537A0B">
        <w:rPr>
          <w:lang w:eastAsia="en-GB"/>
        </w:rPr>
        <w:t xml:space="preserve">).  </w:t>
      </w:r>
    </w:p>
    <w:p w14:paraId="75327608" w14:textId="54393B6B" w:rsidR="001A6C52" w:rsidRDefault="00B6500C" w:rsidP="00B6500C">
      <w:pPr>
        <w:pStyle w:val="Order1"/>
        <w:numPr>
          <w:ilvl w:val="0"/>
          <w:numId w:val="0"/>
        </w:numPr>
        <w:tabs>
          <w:tab w:val="left" w:pos="1287"/>
        </w:tabs>
        <w:ind w:left="1287" w:hanging="720"/>
      </w:pPr>
      <w:r>
        <w:t>2.</w:t>
      </w:r>
      <w:r>
        <w:tab/>
      </w:r>
      <w:r w:rsidR="007B2735" w:rsidRPr="00537A0B">
        <w:rPr>
          <w:lang w:eastAsia="en-GB"/>
        </w:rPr>
        <w:t xml:space="preserve">The </w:t>
      </w:r>
      <w:r w:rsidR="006764B0">
        <w:rPr>
          <w:lang w:eastAsia="en-GB"/>
        </w:rPr>
        <w:t>a</w:t>
      </w:r>
      <w:r w:rsidR="007B2735" w:rsidRPr="00537A0B">
        <w:rPr>
          <w:lang w:eastAsia="en-GB"/>
        </w:rPr>
        <w:t>pplicant’s solicitor shall, by no later than 4:00pm on 19 April 2024, send the Notice as a ‘</w:t>
      </w:r>
      <w:r w:rsidR="00BC16C0">
        <w:rPr>
          <w:lang w:eastAsia="en-GB"/>
        </w:rPr>
        <w:t>PDF</w:t>
      </w:r>
      <w:r w:rsidR="007B2735" w:rsidRPr="00537A0B">
        <w:rPr>
          <w:lang w:eastAsia="en-GB"/>
        </w:rPr>
        <w:t xml:space="preserve">’ attachment to an email to each Opted Out Group Member, with the covering email to read: “Please see attached Notice provided to you pursuant to orders of the Federal Court of Australia, regarding the class action against Dixon Advisory </w:t>
      </w:r>
      <w:r w:rsidR="007B2735">
        <w:rPr>
          <w:lang w:eastAsia="en-GB"/>
        </w:rPr>
        <w:t xml:space="preserve">&amp; </w:t>
      </w:r>
      <w:r w:rsidR="007B2735" w:rsidRPr="00537A0B">
        <w:rPr>
          <w:lang w:eastAsia="en-GB"/>
        </w:rPr>
        <w:t xml:space="preserve">Superannuation Services </w:t>
      </w:r>
      <w:r w:rsidR="007B2735">
        <w:rPr>
          <w:lang w:eastAsia="en-GB"/>
        </w:rPr>
        <w:t xml:space="preserve">Pty Ltd </w:t>
      </w:r>
      <w:r w:rsidR="007B2735" w:rsidRPr="00537A0B">
        <w:rPr>
          <w:lang w:eastAsia="en-GB"/>
        </w:rPr>
        <w:t>and others.  It is important that you read the notice as it may affect your legal rights.”</w:t>
      </w:r>
    </w:p>
    <w:p w14:paraId="060B6C1D" w14:textId="229789BE" w:rsidR="00BC16C0" w:rsidRDefault="00BC16C0" w:rsidP="008F3A1D">
      <w:pPr>
        <w:pStyle w:val="Order1"/>
        <w:keepNext/>
        <w:numPr>
          <w:ilvl w:val="0"/>
          <w:numId w:val="0"/>
        </w:numPr>
        <w:rPr>
          <w:lang w:eastAsia="en-GB"/>
        </w:rPr>
      </w:pPr>
      <w:r>
        <w:rPr>
          <w:b/>
          <w:bCs/>
          <w:i/>
          <w:iCs/>
          <w:lang w:eastAsia="en-GB"/>
        </w:rPr>
        <w:lastRenderedPageBreak/>
        <w:t>Leave to withdraw the Notice of Opting Out</w:t>
      </w:r>
    </w:p>
    <w:p w14:paraId="28ABD304" w14:textId="023AB6E2" w:rsidR="0076675A" w:rsidRPr="00537A0B" w:rsidRDefault="00B6500C" w:rsidP="00B6500C">
      <w:pPr>
        <w:pStyle w:val="Order1"/>
        <w:numPr>
          <w:ilvl w:val="0"/>
          <w:numId w:val="0"/>
        </w:numPr>
        <w:tabs>
          <w:tab w:val="left" w:pos="1287"/>
        </w:tabs>
        <w:ind w:left="1287" w:hanging="720"/>
        <w:rPr>
          <w:lang w:eastAsia="en-GB"/>
        </w:rPr>
      </w:pPr>
      <w:bookmarkStart w:id="22" w:name="_Ref164088812"/>
      <w:r w:rsidRPr="00537A0B">
        <w:rPr>
          <w:lang w:eastAsia="en-GB"/>
        </w:rPr>
        <w:t>3.</w:t>
      </w:r>
      <w:r w:rsidRPr="00537A0B">
        <w:rPr>
          <w:lang w:eastAsia="en-GB"/>
        </w:rPr>
        <w:tab/>
      </w:r>
      <w:r w:rsidR="0076675A">
        <w:rPr>
          <w:lang w:eastAsia="en-GB"/>
        </w:rPr>
        <w:t>Pursuant to s 33ZF of the FCA Act, l</w:t>
      </w:r>
      <w:r w:rsidR="0076675A" w:rsidRPr="00537A0B">
        <w:rPr>
          <w:lang w:eastAsia="en-GB"/>
        </w:rPr>
        <w:t xml:space="preserve">eave be granted to the Opted Out Group Members to withdraw their Notice of Opting Out by filing a completed </w:t>
      </w:r>
      <w:r w:rsidR="0076675A">
        <w:rPr>
          <w:lang w:eastAsia="en-GB"/>
        </w:rPr>
        <w:t>‘</w:t>
      </w:r>
      <w:r w:rsidR="0076675A" w:rsidRPr="00C67B0A">
        <w:rPr>
          <w:i/>
          <w:iCs/>
          <w:lang w:eastAsia="en-GB"/>
        </w:rPr>
        <w:t xml:space="preserve">Withdrawal of </w:t>
      </w:r>
      <w:proofErr w:type="spellStart"/>
      <w:r w:rsidR="0076675A" w:rsidRPr="00C67B0A">
        <w:rPr>
          <w:i/>
          <w:iCs/>
          <w:lang w:eastAsia="en-GB"/>
        </w:rPr>
        <w:t>Opt</w:t>
      </w:r>
      <w:proofErr w:type="spellEnd"/>
      <w:r w:rsidR="0076675A" w:rsidRPr="00C67B0A">
        <w:rPr>
          <w:i/>
          <w:iCs/>
          <w:lang w:eastAsia="en-GB"/>
        </w:rPr>
        <w:t xml:space="preserve"> Out Notice</w:t>
      </w:r>
      <w:r w:rsidR="0076675A">
        <w:rPr>
          <w:lang w:eastAsia="en-GB"/>
        </w:rPr>
        <w:t>’ (</w:t>
      </w:r>
      <w:r w:rsidR="0076675A">
        <w:rPr>
          <w:b/>
          <w:bCs/>
          <w:lang w:eastAsia="en-GB"/>
        </w:rPr>
        <w:t>Withdrawal Notice</w:t>
      </w:r>
      <w:r w:rsidR="0076675A">
        <w:rPr>
          <w:lang w:eastAsia="en-GB"/>
        </w:rPr>
        <w:t>)</w:t>
      </w:r>
      <w:r w:rsidR="0076675A" w:rsidRPr="00537A0B">
        <w:rPr>
          <w:lang w:eastAsia="en-GB"/>
        </w:rPr>
        <w:t xml:space="preserve"> with the Registry of the Court by 4</w:t>
      </w:r>
      <w:r w:rsidR="0076675A">
        <w:rPr>
          <w:lang w:eastAsia="en-GB"/>
        </w:rPr>
        <w:t>:00</w:t>
      </w:r>
      <w:r w:rsidR="0076675A" w:rsidRPr="00537A0B">
        <w:rPr>
          <w:lang w:eastAsia="en-GB"/>
        </w:rPr>
        <w:t>pm on 8 May 2024.</w:t>
      </w:r>
      <w:bookmarkEnd w:id="22"/>
      <w:r w:rsidR="0076675A" w:rsidRPr="00537A0B">
        <w:rPr>
          <w:lang w:eastAsia="en-GB"/>
        </w:rPr>
        <w:t xml:space="preserve"> </w:t>
      </w:r>
    </w:p>
    <w:p w14:paraId="591526A2" w14:textId="4DA9B2BC" w:rsidR="00BC16C0" w:rsidRDefault="00B6500C" w:rsidP="00B6500C">
      <w:pPr>
        <w:pStyle w:val="Order1"/>
        <w:numPr>
          <w:ilvl w:val="0"/>
          <w:numId w:val="0"/>
        </w:numPr>
        <w:tabs>
          <w:tab w:val="left" w:pos="1287"/>
        </w:tabs>
        <w:ind w:left="1287" w:hanging="720"/>
      </w:pPr>
      <w:r>
        <w:t>4.</w:t>
      </w:r>
      <w:r>
        <w:tab/>
      </w:r>
      <w:r w:rsidR="0076675A" w:rsidRPr="00537A0B">
        <w:rPr>
          <w:lang w:eastAsia="en-GB"/>
        </w:rPr>
        <w:t xml:space="preserve">If any of the parties receive a notice purporting to be a </w:t>
      </w:r>
      <w:r w:rsidR="0076675A">
        <w:rPr>
          <w:lang w:eastAsia="en-GB"/>
        </w:rPr>
        <w:t xml:space="preserve">Withdrawal </w:t>
      </w:r>
      <w:r w:rsidR="0076675A" w:rsidRPr="00537A0B">
        <w:rPr>
          <w:lang w:eastAsia="en-GB"/>
        </w:rPr>
        <w:t>Notice by 4:00pm on 8 May 2024, the notice shall be filed with the Court by 9 May 2024 and</w:t>
      </w:r>
      <w:r w:rsidR="0076675A">
        <w:rPr>
          <w:lang w:eastAsia="en-GB"/>
        </w:rPr>
        <w:t>,</w:t>
      </w:r>
      <w:r w:rsidR="0076675A" w:rsidRPr="00537A0B">
        <w:rPr>
          <w:lang w:eastAsia="en-GB"/>
        </w:rPr>
        <w:t xml:space="preserve"> upon such filing, that notice will be treated as having been received by the Court on the date that it was received by the relevant party.</w:t>
      </w:r>
    </w:p>
    <w:p w14:paraId="34B4E3CE" w14:textId="2667AD1D" w:rsidR="008A2358" w:rsidRDefault="008A2358" w:rsidP="008A2358">
      <w:pPr>
        <w:pStyle w:val="Order1"/>
        <w:numPr>
          <w:ilvl w:val="0"/>
          <w:numId w:val="0"/>
        </w:numPr>
        <w:rPr>
          <w:lang w:eastAsia="en-GB"/>
        </w:rPr>
      </w:pPr>
      <w:r>
        <w:rPr>
          <w:b/>
          <w:bCs/>
          <w:i/>
          <w:iCs/>
          <w:lang w:eastAsia="en-GB"/>
        </w:rPr>
        <w:t>Confidentiality</w:t>
      </w:r>
    </w:p>
    <w:p w14:paraId="1873981F" w14:textId="0D388DEF" w:rsidR="00E14892" w:rsidRPr="00537A0B" w:rsidRDefault="00B6500C" w:rsidP="00B6500C">
      <w:pPr>
        <w:pStyle w:val="Order1"/>
        <w:numPr>
          <w:ilvl w:val="0"/>
          <w:numId w:val="0"/>
        </w:numPr>
        <w:tabs>
          <w:tab w:val="left" w:pos="1287"/>
        </w:tabs>
        <w:ind w:left="1287" w:hanging="720"/>
        <w:rPr>
          <w:lang w:eastAsia="en-GB"/>
        </w:rPr>
      </w:pPr>
      <w:r w:rsidRPr="00537A0B">
        <w:rPr>
          <w:lang w:eastAsia="en-GB"/>
        </w:rPr>
        <w:t>5.</w:t>
      </w:r>
      <w:r w:rsidRPr="00537A0B">
        <w:rPr>
          <w:lang w:eastAsia="en-GB"/>
        </w:rPr>
        <w:tab/>
      </w:r>
      <w:r w:rsidR="006764B0">
        <w:rPr>
          <w:lang w:eastAsia="en-GB"/>
        </w:rPr>
        <w:t>Unless otherwise ordered, t</w:t>
      </w:r>
      <w:r w:rsidR="00E14892" w:rsidRPr="00537A0B">
        <w:rPr>
          <w:lang w:eastAsia="en-GB"/>
        </w:rPr>
        <w:t xml:space="preserve">he orders made on 8 April 2024, and order 1 of the orders of the Court made on 3 April 2024 (limited to the items referred to below), continue until </w:t>
      </w:r>
      <w:bookmarkStart w:id="23" w:name="_Ref164152837"/>
      <w:r w:rsidR="006764B0">
        <w:rPr>
          <w:lang w:eastAsia="en-GB"/>
        </w:rPr>
        <w:t>17 April 2029</w:t>
      </w:r>
      <w:r w:rsidR="00E14892" w:rsidRPr="00537A0B">
        <w:rPr>
          <w:lang w:eastAsia="en-GB"/>
        </w:rPr>
        <w:t>:</w:t>
      </w:r>
      <w:bookmarkEnd w:id="23"/>
    </w:p>
    <w:p w14:paraId="259F9AEE" w14:textId="56441723" w:rsidR="00E14892" w:rsidRPr="00537A0B" w:rsidRDefault="00B6500C" w:rsidP="00B6500C">
      <w:pPr>
        <w:pStyle w:val="Order2"/>
        <w:numPr>
          <w:ilvl w:val="0"/>
          <w:numId w:val="0"/>
        </w:numPr>
        <w:tabs>
          <w:tab w:val="left" w:pos="2007"/>
        </w:tabs>
        <w:ind w:left="2007" w:hanging="720"/>
        <w:rPr>
          <w:lang w:eastAsia="en-GB"/>
        </w:rPr>
      </w:pPr>
      <w:r w:rsidRPr="00537A0B">
        <w:rPr>
          <w:lang w:eastAsia="en-GB"/>
        </w:rPr>
        <w:t>(a)</w:t>
      </w:r>
      <w:r w:rsidRPr="00537A0B">
        <w:rPr>
          <w:lang w:eastAsia="en-GB"/>
        </w:rPr>
        <w:tab/>
      </w:r>
      <w:r w:rsidR="00E14892" w:rsidRPr="00537A0B">
        <w:rPr>
          <w:lang w:eastAsia="en-GB"/>
        </w:rPr>
        <w:t>Schedule 1:</w:t>
      </w:r>
    </w:p>
    <w:p w14:paraId="770762BE" w14:textId="6BC74237"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t>(</w:t>
      </w:r>
      <w:proofErr w:type="spellStart"/>
      <w:r w:rsidRPr="00537A0B">
        <w:rPr>
          <w:lang w:eastAsia="en-GB"/>
        </w:rPr>
        <w:t>i</w:t>
      </w:r>
      <w:proofErr w:type="spellEnd"/>
      <w:r w:rsidRPr="00537A0B">
        <w:rPr>
          <w:lang w:eastAsia="en-GB"/>
        </w:rPr>
        <w:t>)</w:t>
      </w:r>
      <w:r w:rsidRPr="00537A0B">
        <w:rPr>
          <w:lang w:eastAsia="en-GB"/>
        </w:rPr>
        <w:tab/>
      </w:r>
      <w:r w:rsidR="00E14892" w:rsidRPr="00537A0B">
        <w:rPr>
          <w:lang w:eastAsia="en-GB"/>
        </w:rPr>
        <w:t xml:space="preserve">items 1, 2 and 3 in respect of the Affidavit of Vicky </w:t>
      </w:r>
      <w:proofErr w:type="spellStart"/>
      <w:r w:rsidR="00E14892" w:rsidRPr="00537A0B">
        <w:rPr>
          <w:lang w:eastAsia="en-GB"/>
        </w:rPr>
        <w:t>Antzoulatos</w:t>
      </w:r>
      <w:proofErr w:type="spellEnd"/>
      <w:r w:rsidR="00E14892" w:rsidRPr="00537A0B">
        <w:rPr>
          <w:lang w:eastAsia="en-GB"/>
        </w:rPr>
        <w:t xml:space="preserve"> dated 13 February 2024; </w:t>
      </w:r>
    </w:p>
    <w:p w14:paraId="7163FB65" w14:textId="445E2BE8"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t>(ii)</w:t>
      </w:r>
      <w:r w:rsidRPr="00537A0B">
        <w:rPr>
          <w:lang w:eastAsia="en-GB"/>
        </w:rPr>
        <w:tab/>
      </w:r>
      <w:r w:rsidR="00E14892" w:rsidRPr="00537A0B">
        <w:rPr>
          <w:lang w:eastAsia="en-GB"/>
        </w:rPr>
        <w:t xml:space="preserve">item 1 in respect of the Confidential Exhibit VA-4 to the Affidavit of Vicky </w:t>
      </w:r>
      <w:proofErr w:type="spellStart"/>
      <w:r w:rsidR="00E14892" w:rsidRPr="00537A0B">
        <w:rPr>
          <w:lang w:eastAsia="en-GB"/>
        </w:rPr>
        <w:t>Antzoulatos</w:t>
      </w:r>
      <w:proofErr w:type="spellEnd"/>
      <w:r w:rsidR="00E14892" w:rsidRPr="00537A0B">
        <w:rPr>
          <w:lang w:eastAsia="en-GB"/>
        </w:rPr>
        <w:t xml:space="preserve"> dated 13 February 2024;</w:t>
      </w:r>
    </w:p>
    <w:p w14:paraId="23B052F2" w14:textId="6C48EAA2"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t>(iii)</w:t>
      </w:r>
      <w:r w:rsidRPr="00537A0B">
        <w:rPr>
          <w:lang w:eastAsia="en-GB"/>
        </w:rPr>
        <w:tab/>
      </w:r>
      <w:r w:rsidR="00E14892" w:rsidRPr="00537A0B">
        <w:rPr>
          <w:lang w:eastAsia="en-GB"/>
        </w:rPr>
        <w:t xml:space="preserve">item 1 in respect of the Confidential Exhibit VA-5 to the Affidavit of Vicky </w:t>
      </w:r>
      <w:proofErr w:type="spellStart"/>
      <w:r w:rsidR="00E14892" w:rsidRPr="00537A0B">
        <w:rPr>
          <w:lang w:eastAsia="en-GB"/>
        </w:rPr>
        <w:t>Antzoulatos</w:t>
      </w:r>
      <w:proofErr w:type="spellEnd"/>
      <w:r w:rsidR="00E14892" w:rsidRPr="00537A0B">
        <w:rPr>
          <w:lang w:eastAsia="en-GB"/>
        </w:rPr>
        <w:t xml:space="preserve"> dated 13 February 2024;</w:t>
      </w:r>
    </w:p>
    <w:p w14:paraId="3E6ACE21" w14:textId="0A68A9DB"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t>(iv)</w:t>
      </w:r>
      <w:r w:rsidRPr="00537A0B">
        <w:rPr>
          <w:lang w:eastAsia="en-GB"/>
        </w:rPr>
        <w:tab/>
      </w:r>
      <w:r w:rsidR="00E14892" w:rsidRPr="00537A0B">
        <w:rPr>
          <w:lang w:eastAsia="en-GB"/>
        </w:rPr>
        <w:t xml:space="preserve">item 1 in respect of the Confidential Exhibit VA-7 to the Affidavit of Vicky </w:t>
      </w:r>
      <w:proofErr w:type="spellStart"/>
      <w:r w:rsidR="00E14892" w:rsidRPr="00537A0B">
        <w:rPr>
          <w:lang w:eastAsia="en-GB"/>
        </w:rPr>
        <w:t>Antzoulatos</w:t>
      </w:r>
      <w:proofErr w:type="spellEnd"/>
      <w:r w:rsidR="00E14892" w:rsidRPr="00537A0B">
        <w:rPr>
          <w:lang w:eastAsia="en-GB"/>
        </w:rPr>
        <w:t xml:space="preserve"> dated 13 February 2024;</w:t>
      </w:r>
    </w:p>
    <w:p w14:paraId="22729504" w14:textId="333EC718"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t>(v)</w:t>
      </w:r>
      <w:r w:rsidRPr="00537A0B">
        <w:rPr>
          <w:lang w:eastAsia="en-GB"/>
        </w:rPr>
        <w:tab/>
      </w:r>
      <w:r w:rsidR="00E14892" w:rsidRPr="00537A0B">
        <w:rPr>
          <w:lang w:eastAsia="en-GB"/>
        </w:rPr>
        <w:t xml:space="preserve">items 2, 3 and 4 in respect of the Confidential Exhibit VA-8 to the Affidavit of Vicky </w:t>
      </w:r>
      <w:proofErr w:type="spellStart"/>
      <w:r w:rsidR="00E14892" w:rsidRPr="00537A0B">
        <w:rPr>
          <w:lang w:eastAsia="en-GB"/>
        </w:rPr>
        <w:t>Antzoulatos</w:t>
      </w:r>
      <w:proofErr w:type="spellEnd"/>
      <w:r w:rsidR="00E14892" w:rsidRPr="00537A0B">
        <w:rPr>
          <w:lang w:eastAsia="en-GB"/>
        </w:rPr>
        <w:t xml:space="preserve"> dated 13 February 2024;</w:t>
      </w:r>
    </w:p>
    <w:p w14:paraId="20CB89CE" w14:textId="337F3C73" w:rsidR="00E14892" w:rsidRPr="00537A0B" w:rsidRDefault="00B6500C" w:rsidP="00B6500C">
      <w:pPr>
        <w:pStyle w:val="Order2"/>
        <w:numPr>
          <w:ilvl w:val="0"/>
          <w:numId w:val="0"/>
        </w:numPr>
        <w:tabs>
          <w:tab w:val="left" w:pos="2007"/>
        </w:tabs>
        <w:ind w:left="2007" w:hanging="720"/>
        <w:rPr>
          <w:lang w:eastAsia="en-GB"/>
        </w:rPr>
      </w:pPr>
      <w:r w:rsidRPr="00537A0B">
        <w:rPr>
          <w:lang w:eastAsia="en-GB"/>
        </w:rPr>
        <w:t>(b)</w:t>
      </w:r>
      <w:r w:rsidRPr="00537A0B">
        <w:rPr>
          <w:lang w:eastAsia="en-GB"/>
        </w:rPr>
        <w:tab/>
      </w:r>
      <w:r w:rsidR="00E14892" w:rsidRPr="00537A0B">
        <w:rPr>
          <w:lang w:eastAsia="en-GB"/>
        </w:rPr>
        <w:t>Schedule 2:</w:t>
      </w:r>
    </w:p>
    <w:p w14:paraId="3B726506" w14:textId="3C917696"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t>(</w:t>
      </w:r>
      <w:proofErr w:type="spellStart"/>
      <w:r w:rsidRPr="00537A0B">
        <w:rPr>
          <w:lang w:eastAsia="en-GB"/>
        </w:rPr>
        <w:t>i</w:t>
      </w:r>
      <w:proofErr w:type="spellEnd"/>
      <w:r w:rsidRPr="00537A0B">
        <w:rPr>
          <w:lang w:eastAsia="en-GB"/>
        </w:rPr>
        <w:t>)</w:t>
      </w:r>
      <w:r w:rsidRPr="00537A0B">
        <w:rPr>
          <w:lang w:eastAsia="en-GB"/>
        </w:rPr>
        <w:tab/>
      </w:r>
      <w:r w:rsidR="00E14892" w:rsidRPr="00537A0B">
        <w:rPr>
          <w:lang w:eastAsia="en-GB"/>
        </w:rPr>
        <w:t>item 1 in respect of the Confidential Exhibit RG-6 to the Affidavit of Rebecca Louise Gill dated 5 March 2024 and filed in proceeding number VID383/2023,</w:t>
      </w:r>
    </w:p>
    <w:p w14:paraId="2E9A7212" w14:textId="44138992" w:rsidR="00E14892" w:rsidRPr="00537A0B" w:rsidRDefault="00B6500C" w:rsidP="00B6500C">
      <w:pPr>
        <w:pStyle w:val="Order2"/>
        <w:numPr>
          <w:ilvl w:val="0"/>
          <w:numId w:val="0"/>
        </w:numPr>
        <w:tabs>
          <w:tab w:val="left" w:pos="2007"/>
        </w:tabs>
        <w:ind w:left="2007" w:hanging="720"/>
        <w:rPr>
          <w:lang w:eastAsia="en-GB"/>
        </w:rPr>
      </w:pPr>
      <w:r w:rsidRPr="00537A0B">
        <w:rPr>
          <w:lang w:eastAsia="en-GB"/>
        </w:rPr>
        <w:t>(c)</w:t>
      </w:r>
      <w:r w:rsidRPr="00537A0B">
        <w:rPr>
          <w:lang w:eastAsia="en-GB"/>
        </w:rPr>
        <w:tab/>
      </w:r>
      <w:r w:rsidR="00E14892" w:rsidRPr="00537A0B">
        <w:rPr>
          <w:lang w:eastAsia="en-GB"/>
        </w:rPr>
        <w:t xml:space="preserve">Schedule </w:t>
      </w:r>
      <w:r w:rsidR="00E14892">
        <w:rPr>
          <w:lang w:eastAsia="en-GB"/>
        </w:rPr>
        <w:t>3</w:t>
      </w:r>
      <w:r w:rsidR="00E14892" w:rsidRPr="00537A0B">
        <w:rPr>
          <w:lang w:eastAsia="en-GB"/>
        </w:rPr>
        <w:t>:</w:t>
      </w:r>
    </w:p>
    <w:p w14:paraId="7616DCAD" w14:textId="0E007EF7" w:rsidR="00E14892" w:rsidRDefault="00B6500C" w:rsidP="00B6500C">
      <w:pPr>
        <w:pStyle w:val="Order3"/>
        <w:numPr>
          <w:ilvl w:val="0"/>
          <w:numId w:val="0"/>
        </w:numPr>
        <w:tabs>
          <w:tab w:val="left" w:pos="2007"/>
        </w:tabs>
        <w:ind w:left="2727" w:hanging="720"/>
        <w:rPr>
          <w:lang w:eastAsia="en-GB"/>
        </w:rPr>
      </w:pPr>
      <w:r>
        <w:rPr>
          <w:lang w:eastAsia="en-GB"/>
        </w:rPr>
        <w:t>(</w:t>
      </w:r>
      <w:proofErr w:type="spellStart"/>
      <w:r>
        <w:rPr>
          <w:lang w:eastAsia="en-GB"/>
        </w:rPr>
        <w:t>i</w:t>
      </w:r>
      <w:proofErr w:type="spellEnd"/>
      <w:r>
        <w:rPr>
          <w:lang w:eastAsia="en-GB"/>
        </w:rPr>
        <w:t>)</w:t>
      </w:r>
      <w:r>
        <w:rPr>
          <w:lang w:eastAsia="en-GB"/>
        </w:rPr>
        <w:tab/>
      </w:r>
      <w:r w:rsidR="00E14892" w:rsidRPr="00537A0B">
        <w:rPr>
          <w:lang w:eastAsia="en-GB"/>
        </w:rPr>
        <w:t xml:space="preserve">item 1 in respect of the Confidential Exhibit </w:t>
      </w:r>
      <w:r w:rsidR="00E14892">
        <w:rPr>
          <w:lang w:eastAsia="en-GB"/>
        </w:rPr>
        <w:t>VA</w:t>
      </w:r>
      <w:r w:rsidR="00E14892" w:rsidRPr="00537A0B">
        <w:rPr>
          <w:lang w:eastAsia="en-GB"/>
        </w:rPr>
        <w:t xml:space="preserve">-6 to the Affidavit of Vicky </w:t>
      </w:r>
      <w:proofErr w:type="spellStart"/>
      <w:r w:rsidR="00E14892" w:rsidRPr="00537A0B">
        <w:rPr>
          <w:lang w:eastAsia="en-GB"/>
        </w:rPr>
        <w:t>Antzoulatos</w:t>
      </w:r>
      <w:proofErr w:type="spellEnd"/>
      <w:r w:rsidR="00E14892" w:rsidRPr="00537A0B">
        <w:rPr>
          <w:lang w:eastAsia="en-GB"/>
        </w:rPr>
        <w:t xml:space="preserve"> dated 13 February 2024</w:t>
      </w:r>
      <w:r w:rsidR="00E14892">
        <w:rPr>
          <w:lang w:eastAsia="en-GB"/>
        </w:rPr>
        <w:t>;</w:t>
      </w:r>
    </w:p>
    <w:p w14:paraId="661CC544" w14:textId="28DBA974" w:rsidR="00E14892" w:rsidRPr="00537A0B" w:rsidRDefault="00B6500C" w:rsidP="00B6500C">
      <w:pPr>
        <w:pStyle w:val="Order3"/>
        <w:numPr>
          <w:ilvl w:val="0"/>
          <w:numId w:val="0"/>
        </w:numPr>
        <w:tabs>
          <w:tab w:val="left" w:pos="2007"/>
        </w:tabs>
        <w:ind w:left="2727" w:hanging="720"/>
        <w:rPr>
          <w:lang w:eastAsia="en-GB"/>
        </w:rPr>
      </w:pPr>
      <w:r w:rsidRPr="00537A0B">
        <w:rPr>
          <w:lang w:eastAsia="en-GB"/>
        </w:rPr>
        <w:lastRenderedPageBreak/>
        <w:t>(ii)</w:t>
      </w:r>
      <w:r w:rsidRPr="00537A0B">
        <w:rPr>
          <w:lang w:eastAsia="en-GB"/>
        </w:rPr>
        <w:tab/>
      </w:r>
      <w:r w:rsidR="00E14892" w:rsidRPr="00537A0B">
        <w:rPr>
          <w:lang w:eastAsia="en-GB"/>
        </w:rPr>
        <w:t xml:space="preserve">item 1 in respect of the Confidential Exhibit </w:t>
      </w:r>
      <w:r w:rsidR="00E14892">
        <w:rPr>
          <w:lang w:eastAsia="en-GB"/>
        </w:rPr>
        <w:t>VA</w:t>
      </w:r>
      <w:r w:rsidR="00E14892" w:rsidRPr="00537A0B">
        <w:rPr>
          <w:lang w:eastAsia="en-GB"/>
        </w:rPr>
        <w:t>-</w:t>
      </w:r>
      <w:r w:rsidR="00E14892">
        <w:rPr>
          <w:lang w:eastAsia="en-GB"/>
        </w:rPr>
        <w:t>11</w:t>
      </w:r>
      <w:r w:rsidR="00E14892" w:rsidRPr="00537A0B">
        <w:rPr>
          <w:lang w:eastAsia="en-GB"/>
        </w:rPr>
        <w:t xml:space="preserve"> to the Affidavit of Vicky </w:t>
      </w:r>
      <w:proofErr w:type="spellStart"/>
      <w:r w:rsidR="00E14892" w:rsidRPr="00537A0B">
        <w:rPr>
          <w:lang w:eastAsia="en-GB"/>
        </w:rPr>
        <w:t>Antzoulatos</w:t>
      </w:r>
      <w:proofErr w:type="spellEnd"/>
      <w:r w:rsidR="00E14892" w:rsidRPr="00537A0B">
        <w:rPr>
          <w:lang w:eastAsia="en-GB"/>
        </w:rPr>
        <w:t xml:space="preserve"> dated </w:t>
      </w:r>
      <w:r w:rsidR="00E14892">
        <w:rPr>
          <w:lang w:eastAsia="en-GB"/>
        </w:rPr>
        <w:t xml:space="preserve">3 April </w:t>
      </w:r>
      <w:r w:rsidR="00E14892" w:rsidRPr="00537A0B">
        <w:rPr>
          <w:lang w:eastAsia="en-GB"/>
        </w:rPr>
        <w:t>2024</w:t>
      </w:r>
      <w:r w:rsidR="00E14892">
        <w:rPr>
          <w:lang w:eastAsia="en-GB"/>
        </w:rPr>
        <w:t>;</w:t>
      </w:r>
    </w:p>
    <w:p w14:paraId="3DD5CDE0" w14:textId="3C9E8832" w:rsidR="008A2358" w:rsidRDefault="00B6500C" w:rsidP="00B6500C">
      <w:pPr>
        <w:pStyle w:val="Order1"/>
        <w:numPr>
          <w:ilvl w:val="0"/>
          <w:numId w:val="0"/>
        </w:numPr>
        <w:tabs>
          <w:tab w:val="left" w:pos="1287"/>
        </w:tabs>
        <w:ind w:left="1287" w:hanging="720"/>
      </w:pPr>
      <w:r>
        <w:t>6.</w:t>
      </w:r>
      <w:r>
        <w:tab/>
      </w:r>
      <w:r w:rsidR="00E14892" w:rsidRPr="00537A0B">
        <w:rPr>
          <w:lang w:eastAsia="en-GB"/>
        </w:rPr>
        <w:t xml:space="preserve">Order 1 of the orders made on 3 April 2024, so far as it addressed items not referred to in order </w:t>
      </w:r>
      <w:r w:rsidR="00E14892" w:rsidRPr="00537A0B">
        <w:rPr>
          <w:lang w:eastAsia="en-GB"/>
        </w:rPr>
        <w:fldChar w:fldCharType="begin"/>
      </w:r>
      <w:r w:rsidR="00E14892" w:rsidRPr="00537A0B">
        <w:rPr>
          <w:lang w:eastAsia="en-GB"/>
        </w:rPr>
        <w:instrText xml:space="preserve"> REF _Ref164152837 \w \h </w:instrText>
      </w:r>
      <w:r w:rsidR="00E14892">
        <w:rPr>
          <w:lang w:eastAsia="en-GB"/>
        </w:rPr>
        <w:instrText xml:space="preserve"> \* MERGEFORMAT </w:instrText>
      </w:r>
      <w:r w:rsidR="00E14892" w:rsidRPr="00537A0B">
        <w:rPr>
          <w:lang w:eastAsia="en-GB"/>
        </w:rPr>
      </w:r>
      <w:r w:rsidR="00E14892" w:rsidRPr="00537A0B">
        <w:rPr>
          <w:lang w:eastAsia="en-GB"/>
        </w:rPr>
        <w:fldChar w:fldCharType="separate"/>
      </w:r>
      <w:r w:rsidR="00DB0F30">
        <w:rPr>
          <w:lang w:eastAsia="en-GB"/>
        </w:rPr>
        <w:t>5</w:t>
      </w:r>
      <w:r w:rsidR="00E14892" w:rsidRPr="00537A0B">
        <w:rPr>
          <w:lang w:eastAsia="en-GB"/>
        </w:rPr>
        <w:fldChar w:fldCharType="end"/>
      </w:r>
      <w:r w:rsidR="00E14892" w:rsidRPr="00537A0B">
        <w:rPr>
          <w:lang w:eastAsia="en-GB"/>
        </w:rPr>
        <w:t xml:space="preserve"> above, is vacated.</w:t>
      </w:r>
    </w:p>
    <w:p w14:paraId="528A0A17" w14:textId="08AA657F" w:rsidR="00E14892" w:rsidRDefault="00E14892" w:rsidP="00E14892">
      <w:pPr>
        <w:pStyle w:val="Order1"/>
        <w:numPr>
          <w:ilvl w:val="0"/>
          <w:numId w:val="0"/>
        </w:numPr>
        <w:rPr>
          <w:lang w:eastAsia="en-GB"/>
        </w:rPr>
      </w:pPr>
      <w:r>
        <w:rPr>
          <w:b/>
          <w:bCs/>
          <w:i/>
          <w:iCs/>
          <w:lang w:eastAsia="en-GB"/>
        </w:rPr>
        <w:t>Settlement Approval</w:t>
      </w:r>
    </w:p>
    <w:p w14:paraId="4AE2FD70" w14:textId="4376B8DB" w:rsidR="00F213E9" w:rsidRPr="00537A0B" w:rsidRDefault="00B6500C" w:rsidP="00B6500C">
      <w:pPr>
        <w:pStyle w:val="Order1"/>
        <w:numPr>
          <w:ilvl w:val="0"/>
          <w:numId w:val="0"/>
        </w:numPr>
        <w:tabs>
          <w:tab w:val="left" w:pos="1287"/>
        </w:tabs>
        <w:ind w:left="1287" w:hanging="720"/>
        <w:rPr>
          <w:lang w:eastAsia="en-GB"/>
        </w:rPr>
      </w:pPr>
      <w:r w:rsidRPr="00537A0B">
        <w:rPr>
          <w:lang w:eastAsia="en-GB"/>
        </w:rPr>
        <w:t>7.</w:t>
      </w:r>
      <w:r w:rsidRPr="00537A0B">
        <w:rPr>
          <w:lang w:eastAsia="en-GB"/>
        </w:rPr>
        <w:tab/>
      </w:r>
      <w:r w:rsidR="00F213E9" w:rsidRPr="00537A0B">
        <w:rPr>
          <w:lang w:eastAsia="en-GB"/>
        </w:rPr>
        <w:t xml:space="preserve">Pursuant to s 33V of the </w:t>
      </w:r>
      <w:r w:rsidR="00F213E9" w:rsidRPr="009C14BB">
        <w:rPr>
          <w:lang w:eastAsia="en-GB"/>
        </w:rPr>
        <w:t>FCA Act</w:t>
      </w:r>
      <w:r w:rsidR="00F213E9" w:rsidRPr="00537A0B">
        <w:rPr>
          <w:lang w:eastAsia="en-GB"/>
        </w:rPr>
        <w:t xml:space="preserve">, the Court authorises the </w:t>
      </w:r>
      <w:r w:rsidR="00F213E9">
        <w:rPr>
          <w:lang w:eastAsia="en-GB"/>
        </w:rPr>
        <w:t>a</w:t>
      </w:r>
      <w:r w:rsidR="00F213E9" w:rsidRPr="00537A0B">
        <w:rPr>
          <w:lang w:eastAsia="en-GB"/>
        </w:rPr>
        <w:t xml:space="preserve">pplicant </w:t>
      </w:r>
      <w:proofErr w:type="spellStart"/>
      <w:r w:rsidR="00F213E9" w:rsidRPr="00537A0B">
        <w:rPr>
          <w:i/>
          <w:iCs/>
          <w:lang w:eastAsia="en-GB"/>
        </w:rPr>
        <w:t>nunc</w:t>
      </w:r>
      <w:proofErr w:type="spellEnd"/>
      <w:r w:rsidR="00F213E9" w:rsidRPr="00537A0B">
        <w:rPr>
          <w:i/>
          <w:iCs/>
          <w:lang w:eastAsia="en-GB"/>
        </w:rPr>
        <w:t xml:space="preserve"> pro </w:t>
      </w:r>
      <w:proofErr w:type="spellStart"/>
      <w:r w:rsidR="00F213E9" w:rsidRPr="00537A0B">
        <w:rPr>
          <w:i/>
          <w:iCs/>
          <w:lang w:eastAsia="en-GB"/>
        </w:rPr>
        <w:t>tunc</w:t>
      </w:r>
      <w:proofErr w:type="spellEnd"/>
      <w:r w:rsidR="00F213E9" w:rsidRPr="00537A0B">
        <w:rPr>
          <w:lang w:eastAsia="en-GB"/>
        </w:rPr>
        <w:t xml:space="preserve"> to enter into and give effect to the releases and covenants set out in clauses 5 and 20 of the Settlement Deed dated 14 November 2023 (being part of Confidential Exhibit VA4 to the Confidential Affidavit of Vicky </w:t>
      </w:r>
      <w:proofErr w:type="spellStart"/>
      <w:r w:rsidR="00F213E9" w:rsidRPr="00537A0B">
        <w:rPr>
          <w:lang w:eastAsia="en-GB"/>
        </w:rPr>
        <w:t>Antzoulatos</w:t>
      </w:r>
      <w:proofErr w:type="spellEnd"/>
      <w:r w:rsidR="00F213E9" w:rsidRPr="00537A0B">
        <w:rPr>
          <w:lang w:eastAsia="en-GB"/>
        </w:rPr>
        <w:t xml:space="preserve"> sworn 30 November 2023) (</w:t>
      </w:r>
      <w:r w:rsidR="00F213E9" w:rsidRPr="00537A0B">
        <w:rPr>
          <w:b/>
          <w:bCs/>
          <w:lang w:eastAsia="en-GB"/>
        </w:rPr>
        <w:t>Settlement Deed</w:t>
      </w:r>
      <w:r w:rsidR="00F213E9" w:rsidRPr="00537A0B">
        <w:rPr>
          <w:lang w:eastAsia="en-GB"/>
        </w:rPr>
        <w:t>)</w:t>
      </w:r>
      <w:r w:rsidR="00F213E9">
        <w:rPr>
          <w:lang w:eastAsia="en-GB"/>
        </w:rPr>
        <w:t xml:space="preserve"> </w:t>
      </w:r>
      <w:r w:rsidR="00F213E9" w:rsidRPr="00537A0B">
        <w:rPr>
          <w:lang w:eastAsia="en-GB"/>
        </w:rPr>
        <w:t>for and on behalf of those persons who, as at 9 May 2024, are Group Members in the Proceeding.</w:t>
      </w:r>
    </w:p>
    <w:p w14:paraId="01218071" w14:textId="24B4B454" w:rsidR="00F213E9" w:rsidRPr="00537A0B" w:rsidRDefault="00B6500C" w:rsidP="00B6500C">
      <w:pPr>
        <w:pStyle w:val="Order1"/>
        <w:numPr>
          <w:ilvl w:val="0"/>
          <w:numId w:val="0"/>
        </w:numPr>
        <w:tabs>
          <w:tab w:val="left" w:pos="1287"/>
        </w:tabs>
        <w:ind w:left="1287" w:hanging="720"/>
        <w:rPr>
          <w:lang w:eastAsia="en-GB"/>
        </w:rPr>
      </w:pPr>
      <w:r w:rsidRPr="00537A0B">
        <w:rPr>
          <w:lang w:eastAsia="en-GB"/>
        </w:rPr>
        <w:t>8.</w:t>
      </w:r>
      <w:r w:rsidRPr="00537A0B">
        <w:rPr>
          <w:lang w:eastAsia="en-GB"/>
        </w:rPr>
        <w:tab/>
      </w:r>
      <w:r w:rsidR="00F213E9" w:rsidRPr="00537A0B">
        <w:rPr>
          <w:lang w:eastAsia="en-GB"/>
        </w:rPr>
        <w:t>Pursuant to s 33V of the FCA Act:</w:t>
      </w:r>
    </w:p>
    <w:p w14:paraId="7D491EDA" w14:textId="43DA31C9" w:rsidR="00F213E9" w:rsidRPr="00537A0B" w:rsidRDefault="00B6500C" w:rsidP="00B6500C">
      <w:pPr>
        <w:pStyle w:val="Order2"/>
        <w:numPr>
          <w:ilvl w:val="0"/>
          <w:numId w:val="0"/>
        </w:numPr>
        <w:tabs>
          <w:tab w:val="left" w:pos="2007"/>
        </w:tabs>
        <w:ind w:left="2007" w:hanging="720"/>
        <w:rPr>
          <w:lang w:eastAsia="en-GB"/>
        </w:rPr>
      </w:pPr>
      <w:r w:rsidRPr="00537A0B">
        <w:rPr>
          <w:lang w:eastAsia="en-GB"/>
        </w:rPr>
        <w:t>(a)</w:t>
      </w:r>
      <w:r w:rsidRPr="00537A0B">
        <w:rPr>
          <w:lang w:eastAsia="en-GB"/>
        </w:rPr>
        <w:tab/>
      </w:r>
      <w:r w:rsidR="00F213E9" w:rsidRPr="00537A0B">
        <w:rPr>
          <w:lang w:eastAsia="en-GB"/>
        </w:rPr>
        <w:t xml:space="preserve">the settlement of this </w:t>
      </w:r>
      <w:r w:rsidR="00F213E9" w:rsidRPr="003E4A1E">
        <w:rPr>
          <w:lang w:eastAsia="en-GB"/>
        </w:rPr>
        <w:t xml:space="preserve">proceeding </w:t>
      </w:r>
      <w:r w:rsidR="00F213E9" w:rsidRPr="00537A0B">
        <w:rPr>
          <w:lang w:eastAsia="en-GB"/>
        </w:rPr>
        <w:t>be approved, on the terms set out in the Settlement Deed; and</w:t>
      </w:r>
    </w:p>
    <w:p w14:paraId="6C8DC2A4" w14:textId="67A86FE9" w:rsidR="00F43EC5" w:rsidRDefault="00B6500C" w:rsidP="00B6500C">
      <w:pPr>
        <w:pStyle w:val="Order2"/>
        <w:numPr>
          <w:ilvl w:val="0"/>
          <w:numId w:val="0"/>
        </w:numPr>
        <w:tabs>
          <w:tab w:val="left" w:pos="2007"/>
        </w:tabs>
        <w:ind w:left="2007" w:hanging="720"/>
      </w:pPr>
      <w:r>
        <w:t>(b)</w:t>
      </w:r>
      <w:r>
        <w:tab/>
      </w:r>
      <w:r w:rsidR="00F213E9" w:rsidRPr="00537A0B">
        <w:rPr>
          <w:lang w:eastAsia="en-GB"/>
        </w:rPr>
        <w:t xml:space="preserve">the </w:t>
      </w:r>
      <w:r w:rsidR="00F213E9" w:rsidRPr="003E4A1E">
        <w:rPr>
          <w:lang w:eastAsia="en-GB"/>
        </w:rPr>
        <w:t xml:space="preserve">Settlement Sum </w:t>
      </w:r>
      <w:r w:rsidR="00F213E9" w:rsidRPr="00537A0B">
        <w:rPr>
          <w:lang w:eastAsia="en-GB"/>
        </w:rPr>
        <w:t>be distributed in accordance with the deed of company arrangement (</w:t>
      </w:r>
      <w:r w:rsidR="00F213E9" w:rsidRPr="00537A0B">
        <w:rPr>
          <w:b/>
          <w:bCs/>
          <w:lang w:eastAsia="en-GB"/>
        </w:rPr>
        <w:t>DOCA</w:t>
      </w:r>
      <w:r w:rsidR="00F213E9" w:rsidRPr="00537A0B">
        <w:rPr>
          <w:lang w:eastAsia="en-GB"/>
        </w:rPr>
        <w:t>)</w:t>
      </w:r>
      <w:r w:rsidR="00F213E9">
        <w:rPr>
          <w:lang w:eastAsia="en-GB"/>
        </w:rPr>
        <w:t xml:space="preserve"> </w:t>
      </w:r>
      <w:r w:rsidR="00F213E9" w:rsidRPr="00537A0B">
        <w:rPr>
          <w:lang w:eastAsia="en-GB"/>
        </w:rPr>
        <w:t>in respect of DASS dated 16 December 2022 (as amended)</w:t>
      </w:r>
      <w:r w:rsidR="00F43EC5">
        <w:rPr>
          <w:lang w:eastAsia="en-GB"/>
        </w:rPr>
        <w:t>.</w:t>
      </w:r>
    </w:p>
    <w:p w14:paraId="61EC0F2F" w14:textId="48269C7B" w:rsidR="004B0C34" w:rsidRPr="00537A0B" w:rsidRDefault="00B6500C" w:rsidP="00B6500C">
      <w:pPr>
        <w:pStyle w:val="Order1"/>
        <w:numPr>
          <w:ilvl w:val="0"/>
          <w:numId w:val="0"/>
        </w:numPr>
        <w:tabs>
          <w:tab w:val="left" w:pos="1287"/>
        </w:tabs>
        <w:ind w:left="1287" w:hanging="720"/>
        <w:rPr>
          <w:lang w:eastAsia="en-GB"/>
        </w:rPr>
      </w:pPr>
      <w:bookmarkStart w:id="24" w:name="_Ref162523932"/>
      <w:r w:rsidRPr="00537A0B">
        <w:rPr>
          <w:lang w:eastAsia="en-GB"/>
        </w:rPr>
        <w:t>9.</w:t>
      </w:r>
      <w:r w:rsidRPr="00537A0B">
        <w:rPr>
          <w:lang w:eastAsia="en-GB"/>
        </w:rPr>
        <w:tab/>
      </w:r>
      <w:r w:rsidR="004B0C34" w:rsidRPr="00537A0B">
        <w:rPr>
          <w:lang w:eastAsia="en-GB"/>
        </w:rPr>
        <w:t xml:space="preserve">Pursuant to s 33ZB of the FCA Act, the persons affected and bound by the settlement of this proceeding are:  </w:t>
      </w:r>
    </w:p>
    <w:p w14:paraId="380F7BBB" w14:textId="6F6671BF" w:rsidR="004B0C34" w:rsidRPr="00537A0B" w:rsidRDefault="00B6500C" w:rsidP="00B6500C">
      <w:pPr>
        <w:pStyle w:val="Order2"/>
        <w:numPr>
          <w:ilvl w:val="0"/>
          <w:numId w:val="0"/>
        </w:numPr>
        <w:tabs>
          <w:tab w:val="left" w:pos="2007"/>
        </w:tabs>
        <w:ind w:left="2007" w:hanging="720"/>
        <w:rPr>
          <w:lang w:eastAsia="en-GB"/>
        </w:rPr>
      </w:pPr>
      <w:r w:rsidRPr="00537A0B">
        <w:rPr>
          <w:lang w:eastAsia="en-GB"/>
        </w:rPr>
        <w:t>(a)</w:t>
      </w:r>
      <w:r w:rsidRPr="00537A0B">
        <w:rPr>
          <w:lang w:eastAsia="en-GB"/>
        </w:rPr>
        <w:tab/>
      </w:r>
      <w:r w:rsidR="004B0C34" w:rsidRPr="00537A0B">
        <w:rPr>
          <w:lang w:eastAsia="en-GB"/>
        </w:rPr>
        <w:t xml:space="preserve">the </w:t>
      </w:r>
      <w:r w:rsidR="006764B0">
        <w:rPr>
          <w:lang w:eastAsia="en-GB"/>
        </w:rPr>
        <w:t>a</w:t>
      </w:r>
      <w:r w:rsidR="004B0C34" w:rsidRPr="00537A0B">
        <w:rPr>
          <w:lang w:eastAsia="en-GB"/>
        </w:rPr>
        <w:t xml:space="preserve">pplicant, DASS, </w:t>
      </w:r>
      <w:r w:rsidR="004B0C34">
        <w:rPr>
          <w:lang w:eastAsia="en-GB"/>
        </w:rPr>
        <w:t xml:space="preserve">the </w:t>
      </w:r>
      <w:r w:rsidR="006764B0">
        <w:rPr>
          <w:lang w:eastAsia="en-GB"/>
        </w:rPr>
        <w:t>s</w:t>
      </w:r>
      <w:r w:rsidR="004B0C34">
        <w:rPr>
          <w:lang w:eastAsia="en-GB"/>
        </w:rPr>
        <w:t xml:space="preserve">econd </w:t>
      </w:r>
      <w:r w:rsidR="006764B0">
        <w:rPr>
          <w:lang w:eastAsia="en-GB"/>
        </w:rPr>
        <w:t>r</w:t>
      </w:r>
      <w:r w:rsidR="004B0C34">
        <w:rPr>
          <w:lang w:eastAsia="en-GB"/>
        </w:rPr>
        <w:t>espondent</w:t>
      </w:r>
      <w:r w:rsidR="004B0C34" w:rsidRPr="00537A0B">
        <w:rPr>
          <w:lang w:eastAsia="en-GB"/>
        </w:rPr>
        <w:t xml:space="preserve">, the </w:t>
      </w:r>
      <w:r w:rsidR="006764B0">
        <w:rPr>
          <w:lang w:eastAsia="en-GB"/>
        </w:rPr>
        <w:t>t</w:t>
      </w:r>
      <w:r w:rsidR="004B0C34" w:rsidRPr="00537A0B">
        <w:rPr>
          <w:lang w:eastAsia="en-GB"/>
        </w:rPr>
        <w:t xml:space="preserve">hird </w:t>
      </w:r>
      <w:r w:rsidR="006764B0">
        <w:rPr>
          <w:lang w:eastAsia="en-GB"/>
        </w:rPr>
        <w:t>r</w:t>
      </w:r>
      <w:r w:rsidR="004B0C34" w:rsidRPr="00537A0B">
        <w:rPr>
          <w:lang w:eastAsia="en-GB"/>
        </w:rPr>
        <w:t xml:space="preserve">espondent, the </w:t>
      </w:r>
      <w:r w:rsidR="006764B0">
        <w:rPr>
          <w:lang w:eastAsia="en-GB"/>
        </w:rPr>
        <w:t>f</w:t>
      </w:r>
      <w:r w:rsidR="004B0C34" w:rsidRPr="00537A0B">
        <w:rPr>
          <w:lang w:eastAsia="en-GB"/>
        </w:rPr>
        <w:t xml:space="preserve">ourth </w:t>
      </w:r>
      <w:r w:rsidR="006764B0">
        <w:rPr>
          <w:lang w:eastAsia="en-GB"/>
        </w:rPr>
        <w:t>r</w:t>
      </w:r>
      <w:r w:rsidR="004B0C34" w:rsidRPr="00537A0B">
        <w:rPr>
          <w:lang w:eastAsia="en-GB"/>
        </w:rPr>
        <w:t xml:space="preserve">espondent and those persons who, as at 9 May 2024, are Group Members in the Proceeding; </w:t>
      </w:r>
    </w:p>
    <w:p w14:paraId="450A7FDD" w14:textId="114DC40A" w:rsidR="004B0C34" w:rsidRPr="00537A0B" w:rsidRDefault="00B6500C" w:rsidP="00B6500C">
      <w:pPr>
        <w:pStyle w:val="Order2"/>
        <w:numPr>
          <w:ilvl w:val="0"/>
          <w:numId w:val="0"/>
        </w:numPr>
        <w:tabs>
          <w:tab w:val="left" w:pos="2007"/>
        </w:tabs>
        <w:ind w:left="2007" w:hanging="720"/>
        <w:rPr>
          <w:lang w:eastAsia="en-GB"/>
        </w:rPr>
      </w:pPr>
      <w:r w:rsidRPr="00537A0B">
        <w:rPr>
          <w:lang w:eastAsia="en-GB"/>
        </w:rPr>
        <w:t>(b)</w:t>
      </w:r>
      <w:r w:rsidRPr="00537A0B">
        <w:rPr>
          <w:lang w:eastAsia="en-GB"/>
        </w:rPr>
        <w:tab/>
      </w:r>
      <w:r w:rsidR="004B0C34" w:rsidRPr="00537A0B">
        <w:rPr>
          <w:lang w:eastAsia="en-GB"/>
        </w:rPr>
        <w:t>each of:</w:t>
      </w:r>
    </w:p>
    <w:p w14:paraId="3ED80D56" w14:textId="3C5E862A" w:rsidR="004B0C34" w:rsidRPr="00537A0B" w:rsidRDefault="00B6500C" w:rsidP="00B6500C">
      <w:pPr>
        <w:pStyle w:val="Order3"/>
        <w:numPr>
          <w:ilvl w:val="0"/>
          <w:numId w:val="0"/>
        </w:numPr>
        <w:tabs>
          <w:tab w:val="left" w:pos="2007"/>
        </w:tabs>
        <w:ind w:left="2727" w:hanging="720"/>
        <w:rPr>
          <w:lang w:eastAsia="en-GB"/>
        </w:rPr>
      </w:pPr>
      <w:r w:rsidRPr="00537A0B">
        <w:rPr>
          <w:lang w:eastAsia="en-GB"/>
        </w:rPr>
        <w:t>(</w:t>
      </w:r>
      <w:proofErr w:type="spellStart"/>
      <w:r w:rsidRPr="00537A0B">
        <w:rPr>
          <w:lang w:eastAsia="en-GB"/>
        </w:rPr>
        <w:t>i</w:t>
      </w:r>
      <w:proofErr w:type="spellEnd"/>
      <w:r w:rsidRPr="00537A0B">
        <w:rPr>
          <w:lang w:eastAsia="en-GB"/>
        </w:rPr>
        <w:t>)</w:t>
      </w:r>
      <w:r w:rsidRPr="00537A0B">
        <w:rPr>
          <w:lang w:eastAsia="en-GB"/>
        </w:rPr>
        <w:tab/>
      </w:r>
      <w:r w:rsidR="004B0C34" w:rsidRPr="00537A0B">
        <w:rPr>
          <w:lang w:eastAsia="en-GB"/>
        </w:rPr>
        <w:t>Stephen Longley, Craig Crosbie and Rebecca Gill each in their capacity as joint and several deed administrators of DASS (</w:t>
      </w:r>
      <w:r w:rsidR="004B0C34" w:rsidRPr="009C14BB">
        <w:rPr>
          <w:b/>
          <w:bCs/>
          <w:lang w:eastAsia="en-GB"/>
        </w:rPr>
        <w:t>Deed Administrators</w:t>
      </w:r>
      <w:r w:rsidR="004B0C34" w:rsidRPr="00537A0B">
        <w:rPr>
          <w:lang w:eastAsia="en-GB"/>
        </w:rPr>
        <w:t>)</w:t>
      </w:r>
      <w:r w:rsidR="004B0C34">
        <w:rPr>
          <w:lang w:eastAsia="en-GB"/>
        </w:rPr>
        <w:t>;</w:t>
      </w:r>
      <w:r w:rsidR="004B0C34" w:rsidRPr="00537A0B">
        <w:rPr>
          <w:lang w:eastAsia="en-GB"/>
        </w:rPr>
        <w:t xml:space="preserve"> </w:t>
      </w:r>
    </w:p>
    <w:p w14:paraId="01848419" w14:textId="1FCDFC8E" w:rsidR="004B0C34" w:rsidRPr="00537A0B" w:rsidRDefault="00B6500C" w:rsidP="00B6500C">
      <w:pPr>
        <w:pStyle w:val="Order3"/>
        <w:numPr>
          <w:ilvl w:val="0"/>
          <w:numId w:val="0"/>
        </w:numPr>
        <w:tabs>
          <w:tab w:val="left" w:pos="2007"/>
        </w:tabs>
        <w:ind w:left="2727" w:hanging="720"/>
        <w:rPr>
          <w:lang w:eastAsia="en-GB"/>
        </w:rPr>
      </w:pPr>
      <w:r w:rsidRPr="00537A0B">
        <w:rPr>
          <w:lang w:eastAsia="en-GB"/>
        </w:rPr>
        <w:t>(ii)</w:t>
      </w:r>
      <w:r w:rsidRPr="00537A0B">
        <w:rPr>
          <w:lang w:eastAsia="en-GB"/>
        </w:rPr>
        <w:tab/>
      </w:r>
      <w:r w:rsidR="004B0C34" w:rsidRPr="00537A0B">
        <w:rPr>
          <w:lang w:eastAsia="en-GB"/>
        </w:rPr>
        <w:t>Shine Lawyers Pty Ltd</w:t>
      </w:r>
      <w:r w:rsidR="004B0C34">
        <w:rPr>
          <w:lang w:eastAsia="en-GB"/>
        </w:rPr>
        <w:t>;</w:t>
      </w:r>
      <w:r w:rsidR="004B0C34" w:rsidRPr="00537A0B">
        <w:rPr>
          <w:lang w:eastAsia="en-GB"/>
        </w:rPr>
        <w:t xml:space="preserve"> </w:t>
      </w:r>
    </w:p>
    <w:p w14:paraId="53CC5D1E" w14:textId="7B7DAFCB" w:rsidR="004B0C34" w:rsidRPr="00537A0B" w:rsidRDefault="00B6500C" w:rsidP="00B6500C">
      <w:pPr>
        <w:pStyle w:val="Order3"/>
        <w:numPr>
          <w:ilvl w:val="0"/>
          <w:numId w:val="0"/>
        </w:numPr>
        <w:tabs>
          <w:tab w:val="left" w:pos="2007"/>
        </w:tabs>
        <w:ind w:left="2727" w:hanging="720"/>
        <w:rPr>
          <w:lang w:eastAsia="en-GB"/>
        </w:rPr>
      </w:pPr>
      <w:r w:rsidRPr="00537A0B">
        <w:rPr>
          <w:lang w:eastAsia="en-GB"/>
        </w:rPr>
        <w:t>(iii)</w:t>
      </w:r>
      <w:r w:rsidRPr="00537A0B">
        <w:rPr>
          <w:lang w:eastAsia="en-GB"/>
        </w:rPr>
        <w:tab/>
      </w:r>
      <w:r w:rsidR="004B0C34" w:rsidRPr="00537A0B">
        <w:rPr>
          <w:lang w:eastAsia="en-GB"/>
        </w:rPr>
        <w:t>Berkshire Hathaway Speciality Insurance Company (Inc. In Nebraska, USA. Liability is limited) (ABN 84 600 643 034)) and XL Insurance Company SE (Australia Branch) (ARBN 083 570 441); and</w:t>
      </w:r>
    </w:p>
    <w:p w14:paraId="621D1DEA" w14:textId="7D4FDA7C" w:rsidR="004B0C34" w:rsidRPr="00537A0B" w:rsidRDefault="00B6500C" w:rsidP="00B6500C">
      <w:pPr>
        <w:pStyle w:val="Order3"/>
        <w:numPr>
          <w:ilvl w:val="0"/>
          <w:numId w:val="0"/>
        </w:numPr>
        <w:tabs>
          <w:tab w:val="left" w:pos="2007"/>
        </w:tabs>
        <w:ind w:left="2727" w:hanging="720"/>
        <w:rPr>
          <w:lang w:eastAsia="en-GB"/>
        </w:rPr>
      </w:pPr>
      <w:r w:rsidRPr="00537A0B">
        <w:rPr>
          <w:lang w:eastAsia="en-GB"/>
        </w:rPr>
        <w:lastRenderedPageBreak/>
        <w:t>(iv)</w:t>
      </w:r>
      <w:r w:rsidRPr="00537A0B">
        <w:rPr>
          <w:lang w:eastAsia="en-GB"/>
        </w:rPr>
        <w:tab/>
      </w:r>
      <w:r w:rsidR="004B0C34" w:rsidRPr="00537A0B">
        <w:rPr>
          <w:lang w:eastAsia="en-GB"/>
        </w:rPr>
        <w:t>Balance Legal Capital II UK Ltd (</w:t>
      </w:r>
      <w:r w:rsidR="004B0C34" w:rsidRPr="00537A0B">
        <w:rPr>
          <w:b/>
          <w:bCs/>
          <w:lang w:eastAsia="en-GB"/>
        </w:rPr>
        <w:t>Balance</w:t>
      </w:r>
      <w:r w:rsidR="004B0C34" w:rsidRPr="00537A0B">
        <w:rPr>
          <w:lang w:eastAsia="en-GB"/>
        </w:rPr>
        <w:t xml:space="preserve">), a company registered in the United Kingdom which has provided litigation funding to the </w:t>
      </w:r>
      <w:r w:rsidR="006764B0">
        <w:rPr>
          <w:lang w:eastAsia="en-GB"/>
        </w:rPr>
        <w:t>a</w:t>
      </w:r>
      <w:r w:rsidR="004B0C34" w:rsidRPr="00537A0B">
        <w:rPr>
          <w:lang w:eastAsia="en-GB"/>
        </w:rPr>
        <w:t>pplicant</w:t>
      </w:r>
      <w:r w:rsidR="006764B0">
        <w:rPr>
          <w:lang w:eastAsia="en-GB"/>
        </w:rPr>
        <w:t>s</w:t>
      </w:r>
      <w:r w:rsidR="004B0C34" w:rsidRPr="00537A0B">
        <w:rPr>
          <w:lang w:eastAsia="en-GB"/>
        </w:rPr>
        <w:t xml:space="preserve"> in proceeding </w:t>
      </w:r>
      <w:r w:rsidR="004B0C34" w:rsidRPr="00537A0B">
        <w:rPr>
          <w:i/>
          <w:iCs/>
          <w:lang w:eastAsia="en-GB"/>
        </w:rPr>
        <w:t>Kosen-</w:t>
      </w:r>
      <w:proofErr w:type="spellStart"/>
      <w:r w:rsidR="004B0C34" w:rsidRPr="00537A0B">
        <w:rPr>
          <w:i/>
          <w:iCs/>
          <w:lang w:eastAsia="en-GB"/>
        </w:rPr>
        <w:t>rufu</w:t>
      </w:r>
      <w:proofErr w:type="spellEnd"/>
      <w:r w:rsidR="004B0C34" w:rsidRPr="00537A0B">
        <w:rPr>
          <w:i/>
          <w:iCs/>
          <w:lang w:eastAsia="en-GB"/>
        </w:rPr>
        <w:t xml:space="preserve"> Pty Ltd &amp; Anor v Dixon Advisory and Superannuation Services Ltd &amp; </w:t>
      </w:r>
      <w:proofErr w:type="spellStart"/>
      <w:r w:rsidR="004B0C34" w:rsidRPr="00537A0B">
        <w:rPr>
          <w:i/>
          <w:iCs/>
          <w:lang w:eastAsia="en-GB"/>
        </w:rPr>
        <w:t>Ors</w:t>
      </w:r>
      <w:proofErr w:type="spellEnd"/>
      <w:r w:rsidR="004B0C34" w:rsidRPr="00537A0B">
        <w:rPr>
          <w:i/>
          <w:iCs/>
          <w:lang w:eastAsia="en-GB"/>
        </w:rPr>
        <w:t xml:space="preserve"> </w:t>
      </w:r>
      <w:r w:rsidR="004B0C34" w:rsidRPr="00537A0B">
        <w:rPr>
          <w:lang w:eastAsia="en-GB"/>
        </w:rPr>
        <w:t>(VID 640/2021) (</w:t>
      </w:r>
      <w:r w:rsidR="004B0C34" w:rsidRPr="00537A0B">
        <w:rPr>
          <w:b/>
          <w:bCs/>
          <w:lang w:eastAsia="en-GB"/>
        </w:rPr>
        <w:t>Kosen-</w:t>
      </w:r>
      <w:proofErr w:type="spellStart"/>
      <w:r w:rsidR="006764B0">
        <w:rPr>
          <w:b/>
          <w:bCs/>
          <w:lang w:eastAsia="en-GB"/>
        </w:rPr>
        <w:t>R</w:t>
      </w:r>
      <w:r w:rsidR="004B0C34" w:rsidRPr="00537A0B">
        <w:rPr>
          <w:b/>
          <w:bCs/>
          <w:lang w:eastAsia="en-GB"/>
        </w:rPr>
        <w:t>ufu</w:t>
      </w:r>
      <w:proofErr w:type="spellEnd"/>
      <w:r w:rsidR="004B0C34" w:rsidRPr="00537A0B">
        <w:rPr>
          <w:b/>
          <w:bCs/>
          <w:lang w:eastAsia="en-GB"/>
        </w:rPr>
        <w:t xml:space="preserve"> Proceeding</w:t>
      </w:r>
      <w:r w:rsidR="004B0C34" w:rsidRPr="00537A0B">
        <w:rPr>
          <w:lang w:eastAsia="en-GB"/>
        </w:rPr>
        <w:t>).</w:t>
      </w:r>
    </w:p>
    <w:bookmarkEnd w:id="24"/>
    <w:p w14:paraId="224023C4" w14:textId="748568A7" w:rsidR="00E14892" w:rsidRDefault="004B0C34" w:rsidP="004B0C34">
      <w:pPr>
        <w:pStyle w:val="Order1"/>
        <w:numPr>
          <w:ilvl w:val="0"/>
          <w:numId w:val="0"/>
        </w:numPr>
      </w:pPr>
      <w:r>
        <w:rPr>
          <w:b/>
          <w:bCs/>
          <w:i/>
          <w:iCs/>
        </w:rPr>
        <w:t>Appointment of Administrator</w:t>
      </w:r>
    </w:p>
    <w:p w14:paraId="17D8395C" w14:textId="4028EE6E" w:rsidR="001D402F" w:rsidRPr="00537A0B" w:rsidRDefault="00B6500C" w:rsidP="00B6500C">
      <w:pPr>
        <w:pStyle w:val="Order1"/>
        <w:numPr>
          <w:ilvl w:val="0"/>
          <w:numId w:val="0"/>
        </w:numPr>
        <w:tabs>
          <w:tab w:val="left" w:pos="1287"/>
        </w:tabs>
        <w:ind w:left="1287" w:hanging="720"/>
        <w:rPr>
          <w:lang w:eastAsia="en-GB"/>
        </w:rPr>
      </w:pPr>
      <w:r w:rsidRPr="00537A0B">
        <w:rPr>
          <w:lang w:eastAsia="en-GB"/>
        </w:rPr>
        <w:t>10.</w:t>
      </w:r>
      <w:r w:rsidRPr="00537A0B">
        <w:rPr>
          <w:lang w:eastAsia="en-GB"/>
        </w:rPr>
        <w:tab/>
      </w:r>
      <w:r w:rsidR="001D402F" w:rsidRPr="00537A0B">
        <w:rPr>
          <w:lang w:eastAsia="en-GB"/>
        </w:rPr>
        <w:t xml:space="preserve">Pursuant to ss 33V and 33ZF of the FCA Act, the Deed Administrators be appointed jointly and severally as Administrators of the Settlement to act in accordance with the </w:t>
      </w:r>
      <w:r w:rsidR="001D402F" w:rsidRPr="00723A96">
        <w:rPr>
          <w:lang w:eastAsia="en-GB"/>
        </w:rPr>
        <w:t>DOCA</w:t>
      </w:r>
      <w:r w:rsidR="001D402F" w:rsidRPr="00537A0B">
        <w:rPr>
          <w:lang w:eastAsia="en-GB"/>
        </w:rPr>
        <w:t xml:space="preserve">, subject to any direction of the Court, and to have the powers and immunities conferred by the DOCA on the Deed Administrators. </w:t>
      </w:r>
    </w:p>
    <w:p w14:paraId="2F6BF28E" w14:textId="6E013A5D" w:rsidR="004B0C34" w:rsidRDefault="00B6500C" w:rsidP="00B6500C">
      <w:pPr>
        <w:pStyle w:val="Order1"/>
        <w:numPr>
          <w:ilvl w:val="0"/>
          <w:numId w:val="0"/>
        </w:numPr>
        <w:tabs>
          <w:tab w:val="left" w:pos="1287"/>
        </w:tabs>
        <w:ind w:left="1287" w:hanging="720"/>
      </w:pPr>
      <w:r>
        <w:t>11.</w:t>
      </w:r>
      <w:r>
        <w:tab/>
      </w:r>
      <w:r w:rsidR="001D402F" w:rsidRPr="00537A0B">
        <w:rPr>
          <w:lang w:eastAsia="en-GB"/>
        </w:rPr>
        <w:t>Pursuant to s 33V of the FCA Act and for the purposes of the DOCA, the Court approves the following to be deducted from the settlement sum in accordance with the terms of the DOCA and the Settlement Deed:</w:t>
      </w:r>
    </w:p>
    <w:p w14:paraId="2B3CC648" w14:textId="15F4DE4F" w:rsidR="001D402F" w:rsidRDefault="00B6500C" w:rsidP="00B6500C">
      <w:pPr>
        <w:pStyle w:val="Order2"/>
        <w:numPr>
          <w:ilvl w:val="0"/>
          <w:numId w:val="0"/>
        </w:numPr>
        <w:tabs>
          <w:tab w:val="left" w:pos="2007"/>
        </w:tabs>
        <w:ind w:left="2007" w:hanging="720"/>
      </w:pPr>
      <w:r>
        <w:t>(a)</w:t>
      </w:r>
      <w:r>
        <w:tab/>
      </w:r>
      <w:r w:rsidR="00FD2CEF" w:rsidRPr="00FD2CEF">
        <w:t xml:space="preserve">the </w:t>
      </w:r>
      <w:r w:rsidR="005E445C">
        <w:t>a</w:t>
      </w:r>
      <w:r w:rsidR="00FD2CEF" w:rsidRPr="00FD2CEF">
        <w:t>pplicant’s legal costs and disbursements and other costs in the sum of</w:t>
      </w:r>
      <w:r w:rsidR="00FD2CEF">
        <w:t xml:space="preserve"> $</w:t>
      </w:r>
      <w:r w:rsidR="006050D3">
        <w:t>2,781,554</w:t>
      </w:r>
      <w:r w:rsidR="00AA0215">
        <w:t>.70</w:t>
      </w:r>
      <w:r w:rsidR="00891876">
        <w:t>.</w:t>
      </w:r>
    </w:p>
    <w:p w14:paraId="71AFAFD7" w14:textId="14A19599" w:rsidR="00EB699E" w:rsidRPr="00537A0B" w:rsidRDefault="00B6500C" w:rsidP="00B6500C">
      <w:pPr>
        <w:pStyle w:val="Order2"/>
        <w:numPr>
          <w:ilvl w:val="0"/>
          <w:numId w:val="0"/>
        </w:numPr>
        <w:tabs>
          <w:tab w:val="left" w:pos="2007"/>
        </w:tabs>
        <w:ind w:left="2007" w:hanging="720"/>
        <w:rPr>
          <w:lang w:eastAsia="en-GB"/>
        </w:rPr>
      </w:pPr>
      <w:r w:rsidRPr="00537A0B">
        <w:rPr>
          <w:lang w:eastAsia="en-GB"/>
        </w:rPr>
        <w:t>(b)</w:t>
      </w:r>
      <w:r w:rsidRPr="00537A0B">
        <w:rPr>
          <w:lang w:eastAsia="en-GB"/>
        </w:rPr>
        <w:tab/>
      </w:r>
      <w:r w:rsidR="00EB699E" w:rsidRPr="00537A0B">
        <w:rPr>
          <w:lang w:eastAsia="en-GB"/>
        </w:rPr>
        <w:t>the sum of $20,000 as reimbursement payment to the Lead Applicant, in respect of the reasonable claim for the compensation for the time and inconvenience incurred in prosecuting the proceeding on behalf of Group Members as a whole; and</w:t>
      </w:r>
    </w:p>
    <w:p w14:paraId="58F1C347" w14:textId="1AADB265" w:rsidR="00891876" w:rsidRDefault="00B6500C" w:rsidP="00B6500C">
      <w:pPr>
        <w:pStyle w:val="Order2"/>
        <w:numPr>
          <w:ilvl w:val="0"/>
          <w:numId w:val="0"/>
        </w:numPr>
        <w:tabs>
          <w:tab w:val="left" w:pos="2007"/>
        </w:tabs>
        <w:ind w:left="2007" w:hanging="720"/>
      </w:pPr>
      <w:r>
        <w:t>(c)</w:t>
      </w:r>
      <w:r>
        <w:tab/>
      </w:r>
      <w:r w:rsidR="00EB699E" w:rsidRPr="00537A0B">
        <w:rPr>
          <w:lang w:eastAsia="en-GB"/>
        </w:rPr>
        <w:t xml:space="preserve">the costs and disbursements incurred by </w:t>
      </w:r>
      <w:r w:rsidR="0014394D">
        <w:rPr>
          <w:lang w:eastAsia="en-GB"/>
        </w:rPr>
        <w:t>Balance in connection with</w:t>
      </w:r>
      <w:r w:rsidR="00EB699E" w:rsidRPr="00537A0B">
        <w:rPr>
          <w:lang w:eastAsia="en-GB"/>
        </w:rPr>
        <w:t xml:space="preserve"> the </w:t>
      </w:r>
      <w:r w:rsidR="00EB699E" w:rsidRPr="009C14BB">
        <w:rPr>
          <w:lang w:eastAsia="en-GB"/>
        </w:rPr>
        <w:t>Kosen-</w:t>
      </w:r>
      <w:proofErr w:type="spellStart"/>
      <w:r w:rsidR="00EB699E">
        <w:rPr>
          <w:lang w:eastAsia="en-GB"/>
        </w:rPr>
        <w:t>R</w:t>
      </w:r>
      <w:r w:rsidR="00EB699E" w:rsidRPr="009C14BB">
        <w:rPr>
          <w:lang w:eastAsia="en-GB"/>
        </w:rPr>
        <w:t>ufu</w:t>
      </w:r>
      <w:proofErr w:type="spellEnd"/>
      <w:r w:rsidR="00EB699E" w:rsidRPr="009C14BB">
        <w:rPr>
          <w:lang w:eastAsia="en-GB"/>
        </w:rPr>
        <w:t xml:space="preserve"> Proceeding</w:t>
      </w:r>
      <w:r w:rsidR="00EB699E" w:rsidRPr="00537A0B">
        <w:rPr>
          <w:i/>
          <w:iCs/>
          <w:lang w:eastAsia="en-GB"/>
        </w:rPr>
        <w:t xml:space="preserve"> </w:t>
      </w:r>
      <w:r w:rsidR="00EB699E" w:rsidRPr="00537A0B">
        <w:rPr>
          <w:lang w:eastAsia="en-GB"/>
        </w:rPr>
        <w:t>in the sum of</w:t>
      </w:r>
      <w:r w:rsidR="00DF3501">
        <w:rPr>
          <w:lang w:eastAsia="en-GB"/>
        </w:rPr>
        <w:t xml:space="preserve"> $</w:t>
      </w:r>
      <w:r w:rsidR="00F55454">
        <w:rPr>
          <w:lang w:eastAsia="en-GB"/>
        </w:rPr>
        <w:t>126,797.55.</w:t>
      </w:r>
    </w:p>
    <w:p w14:paraId="3F1DD27A" w14:textId="402382AD" w:rsidR="00F55454" w:rsidRDefault="00F55454" w:rsidP="00F55454">
      <w:pPr>
        <w:pStyle w:val="Order2"/>
        <w:numPr>
          <w:ilvl w:val="0"/>
          <w:numId w:val="0"/>
        </w:numPr>
        <w:rPr>
          <w:lang w:eastAsia="en-GB"/>
        </w:rPr>
      </w:pPr>
      <w:r>
        <w:rPr>
          <w:b/>
          <w:bCs/>
          <w:i/>
          <w:iCs/>
          <w:lang w:eastAsia="en-GB"/>
        </w:rPr>
        <w:t>Consequential orders</w:t>
      </w:r>
    </w:p>
    <w:p w14:paraId="332AE0C3" w14:textId="4C84B8AD" w:rsidR="006D0758" w:rsidRPr="00537A0B" w:rsidRDefault="00B6500C" w:rsidP="00B6500C">
      <w:pPr>
        <w:pStyle w:val="Order1"/>
        <w:numPr>
          <w:ilvl w:val="0"/>
          <w:numId w:val="0"/>
        </w:numPr>
        <w:tabs>
          <w:tab w:val="left" w:pos="1287"/>
        </w:tabs>
        <w:ind w:left="1287" w:hanging="720"/>
        <w:rPr>
          <w:lang w:eastAsia="en-GB"/>
        </w:rPr>
      </w:pPr>
      <w:r w:rsidRPr="00537A0B">
        <w:rPr>
          <w:lang w:eastAsia="en-GB"/>
        </w:rPr>
        <w:t>12.</w:t>
      </w:r>
      <w:r w:rsidRPr="00537A0B">
        <w:rPr>
          <w:lang w:eastAsia="en-GB"/>
        </w:rPr>
        <w:tab/>
      </w:r>
      <w:r w:rsidR="006D0758" w:rsidRPr="00537A0B">
        <w:rPr>
          <w:lang w:eastAsia="en-GB"/>
        </w:rPr>
        <w:t xml:space="preserve">Pursuant to s 33ZF of the FCA Act </w:t>
      </w:r>
      <w:r w:rsidR="006D0758">
        <w:rPr>
          <w:lang w:eastAsia="en-GB"/>
        </w:rPr>
        <w:t xml:space="preserve">upon the giving of notices by </w:t>
      </w:r>
      <w:r w:rsidR="006D0758" w:rsidRPr="00537A0B">
        <w:rPr>
          <w:lang w:eastAsia="en-GB"/>
        </w:rPr>
        <w:t xml:space="preserve">the Deed Administrators </w:t>
      </w:r>
      <w:r w:rsidR="006D0758">
        <w:rPr>
          <w:lang w:eastAsia="en-GB"/>
        </w:rPr>
        <w:t xml:space="preserve">and the solicitors for the </w:t>
      </w:r>
      <w:r w:rsidR="005E445C">
        <w:rPr>
          <w:lang w:eastAsia="en-GB"/>
        </w:rPr>
        <w:t>a</w:t>
      </w:r>
      <w:r w:rsidR="006D0758">
        <w:rPr>
          <w:lang w:eastAsia="en-GB"/>
        </w:rPr>
        <w:t>pplicant pursuant to clause 3(d) of the Settlement Deed</w:t>
      </w:r>
      <w:r w:rsidR="006D0758" w:rsidRPr="00537A0B">
        <w:rPr>
          <w:lang w:eastAsia="en-GB"/>
        </w:rPr>
        <w:t>:</w:t>
      </w:r>
    </w:p>
    <w:p w14:paraId="0EFD78FA" w14:textId="281F1C12" w:rsidR="006D0758" w:rsidRPr="00525290" w:rsidRDefault="00B6500C" w:rsidP="00B6500C">
      <w:pPr>
        <w:pStyle w:val="Order2"/>
        <w:numPr>
          <w:ilvl w:val="0"/>
          <w:numId w:val="0"/>
        </w:numPr>
        <w:tabs>
          <w:tab w:val="left" w:pos="2007"/>
        </w:tabs>
        <w:ind w:left="2007" w:hanging="720"/>
        <w:rPr>
          <w:rFonts w:eastAsia="Times New Roman"/>
          <w:szCs w:val="24"/>
          <w:lang w:eastAsia="en-GB"/>
        </w:rPr>
      </w:pPr>
      <w:r w:rsidRPr="00525290">
        <w:rPr>
          <w:rFonts w:eastAsia="Times New Roman"/>
          <w:szCs w:val="24"/>
          <w:lang w:eastAsia="en-GB"/>
        </w:rPr>
        <w:t>(a)</w:t>
      </w:r>
      <w:r w:rsidRPr="00525290">
        <w:rPr>
          <w:rFonts w:eastAsia="Times New Roman"/>
          <w:szCs w:val="24"/>
          <w:lang w:eastAsia="en-GB"/>
        </w:rPr>
        <w:tab/>
      </w:r>
      <w:r w:rsidR="006D0758" w:rsidRPr="00525290">
        <w:rPr>
          <w:rFonts w:eastAsia="Times New Roman"/>
          <w:szCs w:val="24"/>
          <w:lang w:eastAsia="en-GB"/>
        </w:rPr>
        <w:t>the proceeding:</w:t>
      </w:r>
    </w:p>
    <w:p w14:paraId="2D16C405" w14:textId="7EDABA04" w:rsidR="006D0758" w:rsidRPr="00525290" w:rsidRDefault="00B6500C" w:rsidP="00B6500C">
      <w:pPr>
        <w:pStyle w:val="Order3"/>
        <w:numPr>
          <w:ilvl w:val="0"/>
          <w:numId w:val="0"/>
        </w:numPr>
        <w:tabs>
          <w:tab w:val="left" w:pos="2007"/>
        </w:tabs>
        <w:ind w:left="2727" w:hanging="720"/>
        <w:rPr>
          <w:rFonts w:eastAsia="Times New Roman"/>
          <w:szCs w:val="24"/>
          <w:lang w:eastAsia="en-GB"/>
        </w:rPr>
      </w:pPr>
      <w:r w:rsidRPr="00525290">
        <w:rPr>
          <w:rFonts w:eastAsia="Times New Roman"/>
          <w:szCs w:val="24"/>
          <w:lang w:eastAsia="en-GB"/>
        </w:rPr>
        <w:t>(</w:t>
      </w:r>
      <w:proofErr w:type="spellStart"/>
      <w:r w:rsidRPr="00525290">
        <w:rPr>
          <w:rFonts w:eastAsia="Times New Roman"/>
          <w:szCs w:val="24"/>
          <w:lang w:eastAsia="en-GB"/>
        </w:rPr>
        <w:t>i</w:t>
      </w:r>
      <w:proofErr w:type="spellEnd"/>
      <w:r w:rsidRPr="00525290">
        <w:rPr>
          <w:rFonts w:eastAsia="Times New Roman"/>
          <w:szCs w:val="24"/>
          <w:lang w:eastAsia="en-GB"/>
        </w:rPr>
        <w:t>)</w:t>
      </w:r>
      <w:r w:rsidRPr="00525290">
        <w:rPr>
          <w:rFonts w:eastAsia="Times New Roman"/>
          <w:szCs w:val="24"/>
          <w:lang w:eastAsia="en-GB"/>
        </w:rPr>
        <w:tab/>
      </w:r>
      <w:r w:rsidR="006D0758" w:rsidRPr="00525290">
        <w:rPr>
          <w:rFonts w:eastAsia="Times New Roman"/>
          <w:szCs w:val="24"/>
          <w:lang w:eastAsia="en-GB"/>
        </w:rPr>
        <w:t>against DASS is permanently stayed;</w:t>
      </w:r>
    </w:p>
    <w:p w14:paraId="5D6ACC4E" w14:textId="17C5159C" w:rsidR="006D0758" w:rsidRPr="00525290" w:rsidRDefault="00B6500C" w:rsidP="00B6500C">
      <w:pPr>
        <w:pStyle w:val="Order3"/>
        <w:numPr>
          <w:ilvl w:val="0"/>
          <w:numId w:val="0"/>
        </w:numPr>
        <w:tabs>
          <w:tab w:val="left" w:pos="2007"/>
        </w:tabs>
        <w:ind w:left="2727" w:hanging="720"/>
        <w:rPr>
          <w:rFonts w:eastAsia="Times New Roman"/>
          <w:szCs w:val="24"/>
          <w:lang w:eastAsia="en-GB"/>
        </w:rPr>
      </w:pPr>
      <w:r w:rsidRPr="00525290">
        <w:rPr>
          <w:rFonts w:eastAsia="Times New Roman"/>
          <w:szCs w:val="24"/>
          <w:lang w:eastAsia="en-GB"/>
        </w:rPr>
        <w:t>(ii)</w:t>
      </w:r>
      <w:r w:rsidRPr="00525290">
        <w:rPr>
          <w:rFonts w:eastAsia="Times New Roman"/>
          <w:szCs w:val="24"/>
          <w:lang w:eastAsia="en-GB"/>
        </w:rPr>
        <w:tab/>
      </w:r>
      <w:r w:rsidR="006D0758" w:rsidRPr="00525290">
        <w:rPr>
          <w:rFonts w:eastAsia="Times New Roman"/>
          <w:szCs w:val="24"/>
          <w:lang w:eastAsia="en-GB"/>
        </w:rPr>
        <w:t xml:space="preserve">against the </w:t>
      </w:r>
      <w:r w:rsidR="005E445C">
        <w:rPr>
          <w:rFonts w:eastAsia="Times New Roman"/>
          <w:szCs w:val="24"/>
          <w:lang w:eastAsia="en-GB"/>
        </w:rPr>
        <w:t>s</w:t>
      </w:r>
      <w:r w:rsidR="006D0758" w:rsidRPr="00525290">
        <w:rPr>
          <w:rFonts w:eastAsia="Times New Roman"/>
          <w:szCs w:val="24"/>
          <w:lang w:eastAsia="en-GB"/>
        </w:rPr>
        <w:t xml:space="preserve">econd to </w:t>
      </w:r>
      <w:r w:rsidR="005E445C">
        <w:rPr>
          <w:rFonts w:eastAsia="Times New Roman"/>
          <w:szCs w:val="24"/>
          <w:lang w:eastAsia="en-GB"/>
        </w:rPr>
        <w:t>f</w:t>
      </w:r>
      <w:r w:rsidR="006D0758" w:rsidRPr="00525290">
        <w:rPr>
          <w:rFonts w:eastAsia="Times New Roman"/>
          <w:szCs w:val="24"/>
          <w:lang w:eastAsia="en-GB"/>
        </w:rPr>
        <w:t xml:space="preserve">ourth </w:t>
      </w:r>
      <w:r w:rsidR="005E445C">
        <w:rPr>
          <w:rFonts w:eastAsia="Times New Roman"/>
          <w:szCs w:val="24"/>
          <w:lang w:eastAsia="en-GB"/>
        </w:rPr>
        <w:t>r</w:t>
      </w:r>
      <w:r w:rsidR="006D0758" w:rsidRPr="00525290">
        <w:rPr>
          <w:rFonts w:eastAsia="Times New Roman"/>
          <w:szCs w:val="24"/>
          <w:lang w:eastAsia="en-GB"/>
        </w:rPr>
        <w:t>espondents is dismissed; and</w:t>
      </w:r>
    </w:p>
    <w:p w14:paraId="652CBA07" w14:textId="61AF2902" w:rsidR="006D0758" w:rsidRPr="00525290" w:rsidRDefault="00B6500C" w:rsidP="00B6500C">
      <w:pPr>
        <w:pStyle w:val="Order2"/>
        <w:numPr>
          <w:ilvl w:val="0"/>
          <w:numId w:val="0"/>
        </w:numPr>
        <w:tabs>
          <w:tab w:val="left" w:pos="2007"/>
        </w:tabs>
        <w:ind w:left="2007" w:hanging="720"/>
        <w:rPr>
          <w:rFonts w:eastAsia="Times New Roman"/>
          <w:szCs w:val="24"/>
          <w:lang w:eastAsia="en-GB"/>
        </w:rPr>
      </w:pPr>
      <w:r w:rsidRPr="00525290">
        <w:rPr>
          <w:rFonts w:eastAsia="Times New Roman"/>
          <w:szCs w:val="24"/>
          <w:lang w:eastAsia="en-GB"/>
        </w:rPr>
        <w:t>(b)</w:t>
      </w:r>
      <w:r w:rsidRPr="00525290">
        <w:rPr>
          <w:rFonts w:eastAsia="Times New Roman"/>
          <w:szCs w:val="24"/>
          <w:lang w:eastAsia="en-GB"/>
        </w:rPr>
        <w:tab/>
      </w:r>
      <w:r w:rsidR="006D0758" w:rsidRPr="00525290">
        <w:rPr>
          <w:rFonts w:eastAsia="Times New Roman"/>
          <w:szCs w:val="24"/>
          <w:lang w:eastAsia="en-GB"/>
        </w:rPr>
        <w:t>the Kosen-</w:t>
      </w:r>
      <w:proofErr w:type="spellStart"/>
      <w:r w:rsidR="005E445C">
        <w:rPr>
          <w:rFonts w:eastAsia="Times New Roman"/>
          <w:szCs w:val="24"/>
          <w:lang w:eastAsia="en-GB"/>
        </w:rPr>
        <w:t>R</w:t>
      </w:r>
      <w:r w:rsidR="006D0758" w:rsidRPr="00525290">
        <w:rPr>
          <w:rFonts w:eastAsia="Times New Roman"/>
          <w:szCs w:val="24"/>
          <w:lang w:eastAsia="en-GB"/>
        </w:rPr>
        <w:t>ufu</w:t>
      </w:r>
      <w:proofErr w:type="spellEnd"/>
      <w:r w:rsidR="006D0758" w:rsidRPr="00525290">
        <w:rPr>
          <w:rFonts w:eastAsia="Times New Roman"/>
          <w:szCs w:val="24"/>
          <w:lang w:eastAsia="en-GB"/>
        </w:rPr>
        <w:t xml:space="preserve"> Proceeding:</w:t>
      </w:r>
    </w:p>
    <w:p w14:paraId="7FE99BBF" w14:textId="7B1EA50F" w:rsidR="006D0758" w:rsidRPr="00525290" w:rsidRDefault="00B6500C" w:rsidP="00B6500C">
      <w:pPr>
        <w:pStyle w:val="Order3"/>
        <w:numPr>
          <w:ilvl w:val="0"/>
          <w:numId w:val="0"/>
        </w:numPr>
        <w:tabs>
          <w:tab w:val="left" w:pos="2007"/>
        </w:tabs>
        <w:ind w:left="2727" w:hanging="720"/>
        <w:rPr>
          <w:rFonts w:eastAsia="Times New Roman"/>
          <w:szCs w:val="24"/>
          <w:lang w:eastAsia="en-GB"/>
        </w:rPr>
      </w:pPr>
      <w:r w:rsidRPr="00525290">
        <w:rPr>
          <w:rFonts w:eastAsia="Times New Roman"/>
          <w:szCs w:val="24"/>
          <w:lang w:eastAsia="en-GB"/>
        </w:rPr>
        <w:t>(</w:t>
      </w:r>
      <w:proofErr w:type="spellStart"/>
      <w:r w:rsidRPr="00525290">
        <w:rPr>
          <w:rFonts w:eastAsia="Times New Roman"/>
          <w:szCs w:val="24"/>
          <w:lang w:eastAsia="en-GB"/>
        </w:rPr>
        <w:t>i</w:t>
      </w:r>
      <w:proofErr w:type="spellEnd"/>
      <w:r w:rsidRPr="00525290">
        <w:rPr>
          <w:rFonts w:eastAsia="Times New Roman"/>
          <w:szCs w:val="24"/>
          <w:lang w:eastAsia="en-GB"/>
        </w:rPr>
        <w:t>)</w:t>
      </w:r>
      <w:r w:rsidRPr="00525290">
        <w:rPr>
          <w:rFonts w:eastAsia="Times New Roman"/>
          <w:szCs w:val="24"/>
          <w:lang w:eastAsia="en-GB"/>
        </w:rPr>
        <w:tab/>
      </w:r>
      <w:r w:rsidR="006D0758" w:rsidRPr="00525290">
        <w:rPr>
          <w:rFonts w:eastAsia="Times New Roman"/>
          <w:szCs w:val="24"/>
          <w:lang w:eastAsia="en-GB"/>
        </w:rPr>
        <w:t>against DASS is permanently stayed; and</w:t>
      </w:r>
    </w:p>
    <w:p w14:paraId="4008DC3B" w14:textId="5BB64916" w:rsidR="006D0758" w:rsidRPr="00525290" w:rsidRDefault="00B6500C" w:rsidP="00B6500C">
      <w:pPr>
        <w:pStyle w:val="Order3"/>
        <w:numPr>
          <w:ilvl w:val="0"/>
          <w:numId w:val="0"/>
        </w:numPr>
        <w:tabs>
          <w:tab w:val="left" w:pos="2007"/>
        </w:tabs>
        <w:ind w:left="2727" w:hanging="720"/>
        <w:rPr>
          <w:rFonts w:eastAsia="Times New Roman"/>
          <w:szCs w:val="24"/>
          <w:lang w:eastAsia="en-GB"/>
        </w:rPr>
      </w:pPr>
      <w:r w:rsidRPr="00525290">
        <w:rPr>
          <w:rFonts w:eastAsia="Times New Roman"/>
          <w:szCs w:val="24"/>
          <w:lang w:eastAsia="en-GB"/>
        </w:rPr>
        <w:t>(ii)</w:t>
      </w:r>
      <w:r w:rsidRPr="00525290">
        <w:rPr>
          <w:rFonts w:eastAsia="Times New Roman"/>
          <w:szCs w:val="24"/>
          <w:lang w:eastAsia="en-GB"/>
        </w:rPr>
        <w:tab/>
      </w:r>
      <w:r w:rsidR="006D0758" w:rsidRPr="00525290">
        <w:rPr>
          <w:rFonts w:eastAsia="Times New Roman"/>
          <w:szCs w:val="24"/>
          <w:lang w:eastAsia="en-GB"/>
        </w:rPr>
        <w:t xml:space="preserve">against the </w:t>
      </w:r>
      <w:r w:rsidR="005E445C">
        <w:rPr>
          <w:rFonts w:eastAsia="Times New Roman"/>
          <w:szCs w:val="24"/>
          <w:lang w:eastAsia="en-GB"/>
        </w:rPr>
        <w:t>s</w:t>
      </w:r>
      <w:r w:rsidR="006D0758" w:rsidRPr="00525290">
        <w:rPr>
          <w:rFonts w:eastAsia="Times New Roman"/>
          <w:szCs w:val="24"/>
          <w:lang w:eastAsia="en-GB"/>
        </w:rPr>
        <w:t xml:space="preserve">econd and </w:t>
      </w:r>
      <w:r w:rsidR="005E445C">
        <w:rPr>
          <w:rFonts w:eastAsia="Times New Roman"/>
          <w:szCs w:val="24"/>
          <w:lang w:eastAsia="en-GB"/>
        </w:rPr>
        <w:t>t</w:t>
      </w:r>
      <w:r w:rsidR="006D0758" w:rsidRPr="00525290">
        <w:rPr>
          <w:rFonts w:eastAsia="Times New Roman"/>
          <w:szCs w:val="24"/>
          <w:lang w:eastAsia="en-GB"/>
        </w:rPr>
        <w:t xml:space="preserve">hird </w:t>
      </w:r>
      <w:r w:rsidR="005E445C">
        <w:rPr>
          <w:rFonts w:eastAsia="Times New Roman"/>
          <w:szCs w:val="24"/>
          <w:lang w:eastAsia="en-GB"/>
        </w:rPr>
        <w:t>r</w:t>
      </w:r>
      <w:r w:rsidR="006D0758" w:rsidRPr="00525290">
        <w:rPr>
          <w:rFonts w:eastAsia="Times New Roman"/>
          <w:szCs w:val="24"/>
          <w:lang w:eastAsia="en-GB"/>
        </w:rPr>
        <w:t>espondents is dismissed,</w:t>
      </w:r>
    </w:p>
    <w:p w14:paraId="2EF5A85D" w14:textId="77777777" w:rsidR="006D0758" w:rsidRPr="00525290" w:rsidRDefault="006D0758" w:rsidP="00774AED">
      <w:pPr>
        <w:spacing w:before="120" w:after="120"/>
        <w:ind w:left="1276"/>
        <w:rPr>
          <w:rFonts w:eastAsia="Times New Roman"/>
          <w:szCs w:val="24"/>
          <w:lang w:eastAsia="en-GB"/>
        </w:rPr>
      </w:pPr>
      <w:r w:rsidRPr="00525290">
        <w:rPr>
          <w:rFonts w:eastAsia="Times New Roman"/>
          <w:szCs w:val="24"/>
          <w:lang w:eastAsia="en-GB"/>
        </w:rPr>
        <w:lastRenderedPageBreak/>
        <w:t>with no order as to costs, but without prejudice to:</w:t>
      </w:r>
    </w:p>
    <w:p w14:paraId="4FB6A823" w14:textId="3FCDF82A" w:rsidR="004B4EEA" w:rsidRDefault="00B6500C" w:rsidP="00B6500C">
      <w:pPr>
        <w:pStyle w:val="Order2"/>
        <w:numPr>
          <w:ilvl w:val="0"/>
          <w:numId w:val="0"/>
        </w:numPr>
        <w:tabs>
          <w:tab w:val="left" w:pos="2007"/>
        </w:tabs>
        <w:ind w:left="2007" w:hanging="720"/>
      </w:pPr>
      <w:r>
        <w:t>(c)</w:t>
      </w:r>
      <w:r>
        <w:tab/>
      </w:r>
      <w:r w:rsidR="000E77C3">
        <w:t>t</w:t>
      </w:r>
      <w:r w:rsidR="000E77C3" w:rsidRPr="000E77C3">
        <w:t>he rights of the parties and Group Members to relist the matter for the purpose of seeking orders consequential to or in connection with</w:t>
      </w:r>
      <w:r w:rsidR="000E77C3">
        <w:t xml:space="preserve"> the Settlement Deed; and</w:t>
      </w:r>
    </w:p>
    <w:p w14:paraId="2BE702F3" w14:textId="6704D78C" w:rsidR="001A6C52" w:rsidRDefault="00B6500C" w:rsidP="00B6500C">
      <w:pPr>
        <w:pStyle w:val="Order2"/>
        <w:numPr>
          <w:ilvl w:val="0"/>
          <w:numId w:val="0"/>
        </w:numPr>
        <w:tabs>
          <w:tab w:val="left" w:pos="2007"/>
        </w:tabs>
        <w:ind w:left="2007" w:hanging="720"/>
      </w:pPr>
      <w:r>
        <w:t>(d)</w:t>
      </w:r>
      <w:r>
        <w:tab/>
      </w:r>
      <w:r w:rsidR="006A735F" w:rsidRPr="006A735F">
        <w:t>the right of the Deed Administrators to refer any issues relating to the deed administration of DASS to the Court for direction or determination in accordance with the terms of the DOCA or the Settlement Deed.</w:t>
      </w:r>
    </w:p>
    <w:p w14:paraId="5868E96F" w14:textId="77777777" w:rsidR="00A431E6" w:rsidRDefault="00A431E6" w:rsidP="001A6C52">
      <w:pPr>
        <w:pStyle w:val="BodyText"/>
      </w:pPr>
    </w:p>
    <w:p w14:paraId="4BD03A44" w14:textId="7D2088ED" w:rsidR="0050309C" w:rsidRDefault="00A53E24" w:rsidP="004D53E5">
      <w:pPr>
        <w:pStyle w:val="SingleSpace"/>
      </w:pPr>
      <w:bookmarkStart w:id="25" w:name="OrdersStatement"/>
      <w:r>
        <w:t>Note:</w:t>
      </w:r>
      <w:r>
        <w:tab/>
        <w:t xml:space="preserve">Entry of orders is dealt with in Rule 39.32 of the </w:t>
      </w:r>
      <w:r>
        <w:rPr>
          <w:i/>
        </w:rPr>
        <w:t>Federal Court Rules 2011</w:t>
      </w:r>
      <w:r>
        <w:t>.</w:t>
      </w:r>
      <w:bookmarkEnd w:id="25"/>
    </w:p>
    <w:p w14:paraId="0E580E9C" w14:textId="77777777" w:rsidR="00E23577" w:rsidRDefault="00E23577" w:rsidP="002B0E91">
      <w:pPr>
        <w:pStyle w:val="BodyText"/>
      </w:pPr>
    </w:p>
    <w:p w14:paraId="71CC9F47" w14:textId="77777777" w:rsidR="00395B24" w:rsidRDefault="00395B24">
      <w:pPr>
        <w:pStyle w:val="NormalHeadings"/>
        <w:spacing w:before="240" w:after="120"/>
        <w:rPr>
          <w:b w:val="0"/>
        </w:rPr>
      </w:pPr>
    </w:p>
    <w:p w14:paraId="4B3C92A2" w14:textId="77777777" w:rsidR="005E445C" w:rsidRDefault="005E445C">
      <w:pPr>
        <w:spacing w:line="240" w:lineRule="auto"/>
        <w:jc w:val="left"/>
        <w:rPr>
          <w:b/>
        </w:rPr>
      </w:pPr>
      <w:r>
        <w:rPr>
          <w:b/>
        </w:rPr>
        <w:br w:type="page"/>
      </w:r>
    </w:p>
    <w:p w14:paraId="336C4CFA" w14:textId="77777777" w:rsidR="005E445C" w:rsidRPr="005E445C" w:rsidRDefault="005E445C" w:rsidP="00E93EC8">
      <w:pPr>
        <w:spacing w:line="240" w:lineRule="auto"/>
        <w:jc w:val="center"/>
        <w:rPr>
          <w:b/>
          <w:bCs/>
        </w:rPr>
      </w:pPr>
      <w:r w:rsidRPr="005E445C">
        <w:rPr>
          <w:b/>
          <w:bCs/>
        </w:rPr>
        <w:lastRenderedPageBreak/>
        <w:t>ANNEXURE</w:t>
      </w:r>
    </w:p>
    <w:p w14:paraId="5CD1E53D" w14:textId="77777777" w:rsidR="005E445C" w:rsidRPr="005E445C" w:rsidRDefault="005E445C" w:rsidP="00E93EC8">
      <w:pPr>
        <w:spacing w:line="240" w:lineRule="auto"/>
        <w:rPr>
          <w:b/>
          <w:lang w:val="en-US"/>
        </w:rPr>
      </w:pPr>
    </w:p>
    <w:p w14:paraId="7B544DDE" w14:textId="117E540E" w:rsidR="005E445C" w:rsidRPr="00624543" w:rsidRDefault="005E445C" w:rsidP="00E93EC8">
      <w:pPr>
        <w:jc w:val="center"/>
        <w:rPr>
          <w:b/>
          <w:bCs/>
          <w:szCs w:val="24"/>
          <w:lang w:val="en-US"/>
        </w:rPr>
      </w:pPr>
      <w:bookmarkStart w:id="26" w:name="24.04.15_Proposed_Notice_to_Group_Member"/>
      <w:bookmarkEnd w:id="26"/>
      <w:r w:rsidRPr="00624543">
        <w:rPr>
          <w:b/>
          <w:bCs/>
          <w:szCs w:val="24"/>
          <w:lang w:val="en-US"/>
        </w:rPr>
        <w:t>Notice to Group Members who opted-out</w:t>
      </w:r>
    </w:p>
    <w:p w14:paraId="6C3C2F63" w14:textId="77777777" w:rsidR="005E445C" w:rsidRPr="00624543" w:rsidRDefault="005E445C" w:rsidP="00E93EC8">
      <w:pPr>
        <w:jc w:val="center"/>
        <w:rPr>
          <w:b/>
          <w:bCs/>
          <w:szCs w:val="24"/>
          <w:lang w:val="en-US"/>
        </w:rPr>
      </w:pPr>
      <w:r w:rsidRPr="00624543">
        <w:rPr>
          <w:b/>
          <w:bCs/>
          <w:szCs w:val="24"/>
          <w:lang w:val="en-US"/>
        </w:rPr>
        <w:t>WHY IS THIS NOTICE IMPORTANT?</w:t>
      </w:r>
    </w:p>
    <w:p w14:paraId="5BF2DEFA" w14:textId="623A05FE" w:rsidR="005E445C" w:rsidRPr="00E93EC8" w:rsidRDefault="00B6500C" w:rsidP="00B6500C">
      <w:pPr>
        <w:spacing w:line="240" w:lineRule="auto"/>
        <w:ind w:left="567" w:hanging="567"/>
        <w:rPr>
          <w:bCs/>
          <w:szCs w:val="24"/>
        </w:rPr>
      </w:pPr>
      <w:r w:rsidRPr="00E93EC8">
        <w:rPr>
          <w:w w:val="99"/>
          <w:sz w:val="22"/>
          <w:szCs w:val="22"/>
          <w:lang w:val="en-US"/>
        </w:rPr>
        <w:t>1.</w:t>
      </w:r>
      <w:r w:rsidRPr="00E93EC8">
        <w:rPr>
          <w:w w:val="99"/>
          <w:sz w:val="22"/>
          <w:szCs w:val="22"/>
          <w:lang w:val="en-US"/>
        </w:rPr>
        <w:tab/>
      </w:r>
      <w:r w:rsidR="005E445C" w:rsidRPr="00E93EC8">
        <w:rPr>
          <w:bCs/>
          <w:szCs w:val="24"/>
        </w:rPr>
        <w:t>This notice is being sent to you because:</w:t>
      </w:r>
    </w:p>
    <w:p w14:paraId="0F60F9F6" w14:textId="2A282C58" w:rsidR="005E445C" w:rsidRPr="00E93EC8" w:rsidRDefault="00B6500C" w:rsidP="00B6500C">
      <w:pPr>
        <w:tabs>
          <w:tab w:val="left" w:pos="1134"/>
        </w:tabs>
        <w:spacing w:line="240" w:lineRule="auto"/>
        <w:ind w:left="1134" w:hanging="567"/>
        <w:rPr>
          <w:bCs/>
          <w:szCs w:val="24"/>
        </w:rPr>
      </w:pPr>
      <w:r w:rsidRPr="00E93EC8">
        <w:rPr>
          <w:bCs/>
          <w:szCs w:val="24"/>
          <w:lang w:val="en-US"/>
        </w:rPr>
        <w:t>(a)</w:t>
      </w:r>
      <w:r w:rsidRPr="00E93EC8">
        <w:rPr>
          <w:bCs/>
          <w:szCs w:val="24"/>
          <w:lang w:val="en-US"/>
        </w:rPr>
        <w:tab/>
      </w:r>
      <w:r w:rsidR="005E445C" w:rsidRPr="00E93EC8">
        <w:rPr>
          <w:bCs/>
          <w:szCs w:val="24"/>
        </w:rPr>
        <w:t>you were previously a ‘group member’ in the class action against Dixon Advisory and Superannuation Services (</w:t>
      </w:r>
      <w:r w:rsidR="005E445C" w:rsidRPr="00624543">
        <w:rPr>
          <w:b/>
          <w:szCs w:val="24"/>
        </w:rPr>
        <w:t>DASS</w:t>
      </w:r>
      <w:r w:rsidR="005E445C" w:rsidRPr="00E93EC8">
        <w:rPr>
          <w:bCs/>
          <w:szCs w:val="24"/>
        </w:rPr>
        <w:t xml:space="preserve">) and other respondents, but </w:t>
      </w:r>
    </w:p>
    <w:p w14:paraId="1661FD61" w14:textId="3284C28B" w:rsidR="005E445C" w:rsidRPr="00E93EC8" w:rsidRDefault="00B6500C" w:rsidP="00B6500C">
      <w:pPr>
        <w:tabs>
          <w:tab w:val="left" w:pos="1134"/>
        </w:tabs>
        <w:spacing w:line="240" w:lineRule="auto"/>
        <w:ind w:left="1134" w:hanging="567"/>
        <w:rPr>
          <w:bCs/>
          <w:szCs w:val="24"/>
        </w:rPr>
      </w:pPr>
      <w:r w:rsidRPr="00E93EC8">
        <w:rPr>
          <w:bCs/>
          <w:szCs w:val="24"/>
          <w:lang w:val="en-US"/>
        </w:rPr>
        <w:t>(b)</w:t>
      </w:r>
      <w:r w:rsidRPr="00E93EC8">
        <w:rPr>
          <w:bCs/>
          <w:szCs w:val="24"/>
          <w:lang w:val="en-US"/>
        </w:rPr>
        <w:tab/>
      </w:r>
      <w:r w:rsidR="005E445C" w:rsidRPr="00E93EC8">
        <w:rPr>
          <w:bCs/>
          <w:szCs w:val="24"/>
        </w:rPr>
        <w:t>according to the Court’s records you filed an ‘opt out notice’ in the Proceeding.</w:t>
      </w:r>
    </w:p>
    <w:p w14:paraId="48422FC1" w14:textId="2DF887F6" w:rsidR="005E445C" w:rsidRPr="00E93EC8" w:rsidRDefault="00B6500C" w:rsidP="00B6500C">
      <w:pPr>
        <w:spacing w:line="240" w:lineRule="auto"/>
        <w:ind w:left="567" w:hanging="567"/>
        <w:rPr>
          <w:bCs/>
          <w:szCs w:val="24"/>
        </w:rPr>
      </w:pPr>
      <w:r w:rsidRPr="00E93EC8">
        <w:rPr>
          <w:w w:val="99"/>
          <w:sz w:val="22"/>
          <w:szCs w:val="22"/>
          <w:lang w:val="en-US"/>
        </w:rPr>
        <w:t>2.</w:t>
      </w:r>
      <w:r w:rsidRPr="00E93EC8">
        <w:rPr>
          <w:w w:val="99"/>
          <w:sz w:val="22"/>
          <w:szCs w:val="22"/>
          <w:lang w:val="en-US"/>
        </w:rPr>
        <w:tab/>
      </w:r>
      <w:r w:rsidR="005E445C" w:rsidRPr="00E93EC8">
        <w:rPr>
          <w:bCs/>
          <w:szCs w:val="24"/>
        </w:rPr>
        <w:t>On 3 April 2024, the Federal Court of Australia conducted a hearing to decide whether to approve the proposed settlement of the class action.</w:t>
      </w:r>
    </w:p>
    <w:p w14:paraId="2E2EDDD3" w14:textId="288FC154" w:rsidR="005E445C" w:rsidRPr="00E93EC8" w:rsidRDefault="00B6500C" w:rsidP="00B6500C">
      <w:pPr>
        <w:spacing w:line="240" w:lineRule="auto"/>
        <w:ind w:left="567" w:hanging="567"/>
        <w:rPr>
          <w:bCs/>
          <w:szCs w:val="24"/>
        </w:rPr>
      </w:pPr>
      <w:r w:rsidRPr="00E93EC8">
        <w:rPr>
          <w:w w:val="99"/>
          <w:sz w:val="22"/>
          <w:szCs w:val="22"/>
          <w:lang w:val="en-US"/>
        </w:rPr>
        <w:t>3.</w:t>
      </w:r>
      <w:r w:rsidRPr="00E93EC8">
        <w:rPr>
          <w:w w:val="99"/>
          <w:sz w:val="22"/>
          <w:szCs w:val="22"/>
          <w:lang w:val="en-US"/>
        </w:rPr>
        <w:tab/>
      </w:r>
      <w:r w:rsidR="005E445C" w:rsidRPr="00E93EC8">
        <w:rPr>
          <w:bCs/>
          <w:szCs w:val="24"/>
        </w:rPr>
        <w:t>During that hearing, the Court made enquiries of the parties as to the effect that the proposed settlement might have on the rights of the Applicant and Group Members to apply to the Australian Financial Complaints Authority (</w:t>
      </w:r>
      <w:r w:rsidR="005E445C" w:rsidRPr="00624543">
        <w:rPr>
          <w:b/>
          <w:szCs w:val="24"/>
        </w:rPr>
        <w:t>AFCA</w:t>
      </w:r>
      <w:r w:rsidR="005E445C" w:rsidRPr="00E93EC8">
        <w:rPr>
          <w:bCs/>
          <w:szCs w:val="24"/>
        </w:rPr>
        <w:t xml:space="preserve">) seeking compensation for the losses that were the subject of the class action.  </w:t>
      </w:r>
    </w:p>
    <w:p w14:paraId="5700B1E8" w14:textId="010B462C" w:rsidR="005E445C" w:rsidRPr="00E93EC8" w:rsidRDefault="00B6500C" w:rsidP="00B6500C">
      <w:pPr>
        <w:spacing w:line="240" w:lineRule="auto"/>
        <w:ind w:left="567" w:hanging="567"/>
        <w:rPr>
          <w:bCs/>
          <w:szCs w:val="24"/>
        </w:rPr>
      </w:pPr>
      <w:r w:rsidRPr="00E93EC8">
        <w:rPr>
          <w:w w:val="99"/>
          <w:sz w:val="22"/>
          <w:szCs w:val="22"/>
          <w:lang w:val="en-US"/>
        </w:rPr>
        <w:t>4.</w:t>
      </w:r>
      <w:r w:rsidRPr="00E93EC8">
        <w:rPr>
          <w:w w:val="99"/>
          <w:sz w:val="22"/>
          <w:szCs w:val="22"/>
          <w:lang w:val="en-US"/>
        </w:rPr>
        <w:tab/>
      </w:r>
      <w:r w:rsidR="005E445C" w:rsidRPr="00E93EC8">
        <w:rPr>
          <w:bCs/>
          <w:szCs w:val="24"/>
        </w:rPr>
        <w:t>The Court adjourned the settlement approval hearing to allow for correspondence to be sent to AFCA seeking clarification as to AFCA’s interpretation of the rules governing the complaint resolution scheme it administers.</w:t>
      </w:r>
    </w:p>
    <w:p w14:paraId="50B5EB58" w14:textId="16E5982A" w:rsidR="005E445C" w:rsidRPr="00E93EC8" w:rsidRDefault="00B6500C" w:rsidP="00B6500C">
      <w:pPr>
        <w:spacing w:line="240" w:lineRule="auto"/>
        <w:ind w:left="567" w:hanging="567"/>
        <w:rPr>
          <w:bCs/>
          <w:szCs w:val="24"/>
        </w:rPr>
      </w:pPr>
      <w:r w:rsidRPr="00E93EC8">
        <w:rPr>
          <w:w w:val="99"/>
          <w:sz w:val="22"/>
          <w:szCs w:val="22"/>
          <w:lang w:val="en-US"/>
        </w:rPr>
        <w:t>5.</w:t>
      </w:r>
      <w:r w:rsidRPr="00E93EC8">
        <w:rPr>
          <w:w w:val="99"/>
          <w:sz w:val="22"/>
          <w:szCs w:val="22"/>
          <w:lang w:val="en-US"/>
        </w:rPr>
        <w:tab/>
      </w:r>
      <w:r w:rsidR="005E445C" w:rsidRPr="00E93EC8">
        <w:rPr>
          <w:bCs/>
          <w:szCs w:val="24"/>
        </w:rPr>
        <w:t xml:space="preserve">Following the further correspondence required by the Court, AFCA has now stated that: </w:t>
      </w:r>
    </w:p>
    <w:p w14:paraId="6E12758B" w14:textId="43686488" w:rsidR="005E445C" w:rsidRPr="00E93EC8" w:rsidRDefault="00B6500C" w:rsidP="00B6500C">
      <w:pPr>
        <w:tabs>
          <w:tab w:val="left" w:pos="1134"/>
        </w:tabs>
        <w:spacing w:line="240" w:lineRule="auto"/>
        <w:ind w:left="1134" w:hanging="567"/>
        <w:rPr>
          <w:bCs/>
          <w:szCs w:val="24"/>
        </w:rPr>
      </w:pPr>
      <w:r w:rsidRPr="00E93EC8">
        <w:rPr>
          <w:bCs/>
          <w:szCs w:val="24"/>
          <w:lang w:val="en-US"/>
        </w:rPr>
        <w:t>(a)</w:t>
      </w:r>
      <w:r w:rsidRPr="00E93EC8">
        <w:rPr>
          <w:bCs/>
          <w:szCs w:val="24"/>
          <w:lang w:val="en-US"/>
        </w:rPr>
        <w:tab/>
      </w:r>
      <w:r w:rsidR="005E445C" w:rsidRPr="00E93EC8">
        <w:rPr>
          <w:bCs/>
          <w:szCs w:val="24"/>
        </w:rPr>
        <w:t>it does not consider that the settlement of the class action, in accordance with and as contemplated by the Settlement Deed, would, in and of itself alone, require AFCA to exclude Group Members’ complaints against DASS in relation to matters that were also the subject of the class action; and</w:t>
      </w:r>
    </w:p>
    <w:p w14:paraId="553448E2" w14:textId="40421D3C" w:rsidR="005E445C" w:rsidRPr="00E93EC8" w:rsidRDefault="00B6500C" w:rsidP="00B6500C">
      <w:pPr>
        <w:tabs>
          <w:tab w:val="left" w:pos="1134"/>
        </w:tabs>
        <w:spacing w:line="240" w:lineRule="auto"/>
        <w:ind w:left="1134" w:hanging="567"/>
        <w:rPr>
          <w:bCs/>
          <w:szCs w:val="24"/>
        </w:rPr>
      </w:pPr>
      <w:r w:rsidRPr="00E93EC8">
        <w:rPr>
          <w:bCs/>
          <w:szCs w:val="24"/>
          <w:lang w:val="en-US"/>
        </w:rPr>
        <w:t>(b)</w:t>
      </w:r>
      <w:r w:rsidRPr="00E93EC8">
        <w:rPr>
          <w:bCs/>
          <w:szCs w:val="24"/>
          <w:lang w:val="en-US"/>
        </w:rPr>
        <w:tab/>
      </w:r>
      <w:r w:rsidR="005E445C" w:rsidRPr="00E93EC8">
        <w:rPr>
          <w:bCs/>
          <w:szCs w:val="24"/>
        </w:rPr>
        <w:t>each relevant complaint will be assessed by AFCA in accordance with the rules governing the scheme it administers, and in light of its specific circumstances.</w:t>
      </w:r>
    </w:p>
    <w:p w14:paraId="51DCFBD0" w14:textId="77777777" w:rsidR="005E445C" w:rsidRPr="00624543" w:rsidRDefault="005E445C" w:rsidP="00E93EC8">
      <w:pPr>
        <w:spacing w:line="240" w:lineRule="auto"/>
        <w:rPr>
          <w:b/>
          <w:szCs w:val="24"/>
        </w:rPr>
      </w:pPr>
    </w:p>
    <w:p w14:paraId="25B5421E" w14:textId="77777777" w:rsidR="005E445C" w:rsidRPr="00624543" w:rsidRDefault="005E445C" w:rsidP="00E93EC8">
      <w:pPr>
        <w:spacing w:line="240" w:lineRule="auto"/>
        <w:rPr>
          <w:b/>
          <w:bCs/>
          <w:szCs w:val="24"/>
          <w:lang w:val="en-US"/>
        </w:rPr>
      </w:pPr>
      <w:r w:rsidRPr="00624543">
        <w:rPr>
          <w:b/>
          <w:bCs/>
          <w:szCs w:val="24"/>
          <w:lang w:val="en-US"/>
        </w:rPr>
        <w:t>WHAT DO I NEED TO DO?</w:t>
      </w:r>
    </w:p>
    <w:p w14:paraId="35B62D6D" w14:textId="2F4D36F5" w:rsidR="005E445C" w:rsidRPr="00E93EC8" w:rsidRDefault="00B6500C" w:rsidP="00B6500C">
      <w:pPr>
        <w:spacing w:line="240" w:lineRule="auto"/>
        <w:ind w:left="567" w:hanging="567"/>
        <w:rPr>
          <w:bCs/>
          <w:szCs w:val="24"/>
        </w:rPr>
      </w:pPr>
      <w:r w:rsidRPr="00E93EC8">
        <w:rPr>
          <w:w w:val="99"/>
          <w:sz w:val="22"/>
          <w:szCs w:val="22"/>
          <w:lang w:val="en-US"/>
        </w:rPr>
        <w:t>6.</w:t>
      </w:r>
      <w:r w:rsidRPr="00E93EC8">
        <w:rPr>
          <w:w w:val="99"/>
          <w:sz w:val="22"/>
          <w:szCs w:val="22"/>
          <w:lang w:val="en-US"/>
        </w:rPr>
        <w:tab/>
      </w:r>
      <w:r w:rsidR="005E445C" w:rsidRPr="00E93EC8">
        <w:rPr>
          <w:bCs/>
          <w:szCs w:val="24"/>
        </w:rPr>
        <w:t>The Court has received evidence indicating that some persons who were formerly group members have ‘opted out’ of the class action because they were concerned that the proposed settlement might prevent them from being able to claim compensation under the scheme administered by AFCA.</w:t>
      </w:r>
    </w:p>
    <w:p w14:paraId="28F96EBD" w14:textId="34B56E17" w:rsidR="005E445C" w:rsidRPr="00E93EC8" w:rsidRDefault="00B6500C" w:rsidP="00B6500C">
      <w:pPr>
        <w:spacing w:line="240" w:lineRule="auto"/>
        <w:ind w:left="567" w:hanging="567"/>
        <w:rPr>
          <w:bCs/>
          <w:szCs w:val="24"/>
        </w:rPr>
      </w:pPr>
      <w:r w:rsidRPr="00E93EC8">
        <w:rPr>
          <w:w w:val="99"/>
          <w:sz w:val="22"/>
          <w:szCs w:val="22"/>
          <w:lang w:val="en-US"/>
        </w:rPr>
        <w:t>7.</w:t>
      </w:r>
      <w:r w:rsidRPr="00E93EC8">
        <w:rPr>
          <w:w w:val="99"/>
          <w:sz w:val="22"/>
          <w:szCs w:val="22"/>
          <w:lang w:val="en-US"/>
        </w:rPr>
        <w:tab/>
      </w:r>
      <w:r w:rsidR="005E445C" w:rsidRPr="00E93EC8">
        <w:rPr>
          <w:bCs/>
          <w:szCs w:val="24"/>
        </w:rPr>
        <w:t>Now that AFCA has clarified its interpretation of the rules governing the scheme it administers, persons who opted out because of those concerns may wish to ‘withdraw’ their decisions to opt out, and ask to be re-admitted as Group Members and be able to claim some compensation under the class action settlement, while separately making claims to AFCA.</w:t>
      </w:r>
    </w:p>
    <w:p w14:paraId="041A0EB9" w14:textId="558D9C63" w:rsidR="005E445C" w:rsidRPr="00E93EC8" w:rsidRDefault="00B6500C" w:rsidP="00B6500C">
      <w:pPr>
        <w:spacing w:line="240" w:lineRule="auto"/>
        <w:ind w:left="567" w:hanging="567"/>
        <w:rPr>
          <w:bCs/>
          <w:szCs w:val="24"/>
        </w:rPr>
      </w:pPr>
      <w:r w:rsidRPr="00E93EC8">
        <w:rPr>
          <w:w w:val="99"/>
          <w:sz w:val="22"/>
          <w:szCs w:val="22"/>
          <w:lang w:val="en-US"/>
        </w:rPr>
        <w:t>8.</w:t>
      </w:r>
      <w:r w:rsidRPr="00E93EC8">
        <w:rPr>
          <w:w w:val="99"/>
          <w:sz w:val="22"/>
          <w:szCs w:val="22"/>
          <w:lang w:val="en-US"/>
        </w:rPr>
        <w:tab/>
      </w:r>
      <w:r w:rsidR="005E445C" w:rsidRPr="00E93EC8">
        <w:rPr>
          <w:bCs/>
          <w:szCs w:val="24"/>
        </w:rPr>
        <w:t>The purpose of this notice is to give the persons who opted out a chance to withdraw their ‘opt out notice’ and be re-admitted as Group Members in the class action.</w:t>
      </w:r>
    </w:p>
    <w:p w14:paraId="76B37C50" w14:textId="030E4584" w:rsidR="005E445C" w:rsidRPr="00E93EC8" w:rsidRDefault="00B6500C" w:rsidP="00B6500C">
      <w:pPr>
        <w:spacing w:line="240" w:lineRule="auto"/>
        <w:ind w:left="567" w:hanging="567"/>
        <w:rPr>
          <w:bCs/>
          <w:szCs w:val="24"/>
        </w:rPr>
      </w:pPr>
      <w:r w:rsidRPr="00E93EC8">
        <w:rPr>
          <w:w w:val="99"/>
          <w:sz w:val="22"/>
          <w:szCs w:val="22"/>
          <w:lang w:val="en-US"/>
        </w:rPr>
        <w:t>9.</w:t>
      </w:r>
      <w:r w:rsidRPr="00E93EC8">
        <w:rPr>
          <w:w w:val="99"/>
          <w:sz w:val="22"/>
          <w:szCs w:val="22"/>
          <w:lang w:val="en-US"/>
        </w:rPr>
        <w:tab/>
      </w:r>
      <w:r w:rsidR="005E445C" w:rsidRPr="00E93EC8">
        <w:rPr>
          <w:bCs/>
          <w:szCs w:val="24"/>
        </w:rPr>
        <w:t>If you filed an ‘opt out notice’ you now need to decide between two options.</w:t>
      </w:r>
    </w:p>
    <w:p w14:paraId="5EB4F03D" w14:textId="77777777" w:rsidR="005E445C" w:rsidRPr="00624543" w:rsidRDefault="005E445C" w:rsidP="00E93EC8">
      <w:pPr>
        <w:spacing w:line="240" w:lineRule="auto"/>
        <w:rPr>
          <w:b/>
          <w:szCs w:val="24"/>
          <w:lang w:val="en-US"/>
        </w:rPr>
      </w:pPr>
    </w:p>
    <w:p w14:paraId="5E7132A5" w14:textId="77777777" w:rsidR="005E445C" w:rsidRPr="00624543" w:rsidRDefault="005E445C" w:rsidP="00E93EC8">
      <w:pPr>
        <w:spacing w:line="240" w:lineRule="auto"/>
        <w:rPr>
          <w:b/>
          <w:szCs w:val="24"/>
        </w:rPr>
      </w:pPr>
      <w:r w:rsidRPr="00624543">
        <w:rPr>
          <w:b/>
          <w:szCs w:val="24"/>
        </w:rPr>
        <w:t>Option 1 – Withdraw your Opt-Out Notice</w:t>
      </w:r>
    </w:p>
    <w:p w14:paraId="37B0BFA8" w14:textId="643C9433" w:rsidR="005E445C" w:rsidRPr="00E93EC8" w:rsidRDefault="00B6500C" w:rsidP="00B6500C">
      <w:pPr>
        <w:spacing w:line="240" w:lineRule="auto"/>
        <w:ind w:left="567" w:hanging="567"/>
        <w:rPr>
          <w:bCs/>
          <w:szCs w:val="24"/>
        </w:rPr>
      </w:pPr>
      <w:r w:rsidRPr="00E93EC8">
        <w:rPr>
          <w:w w:val="99"/>
          <w:sz w:val="22"/>
          <w:szCs w:val="22"/>
          <w:lang w:val="en-US"/>
        </w:rPr>
        <w:t>10.</w:t>
      </w:r>
      <w:r w:rsidRPr="00E93EC8">
        <w:rPr>
          <w:w w:val="99"/>
          <w:sz w:val="22"/>
          <w:szCs w:val="22"/>
          <w:lang w:val="en-US"/>
        </w:rPr>
        <w:tab/>
      </w:r>
      <w:r w:rsidR="005E445C" w:rsidRPr="00E93EC8">
        <w:rPr>
          <w:bCs/>
          <w:szCs w:val="24"/>
        </w:rPr>
        <w:t xml:space="preserve">If you want to re-join the class action as a Group Member, you need to complete the ‘Notice of Withdrawal of </w:t>
      </w:r>
      <w:proofErr w:type="spellStart"/>
      <w:r w:rsidR="005E445C" w:rsidRPr="00E93EC8">
        <w:rPr>
          <w:bCs/>
          <w:szCs w:val="24"/>
        </w:rPr>
        <w:t>Opt</w:t>
      </w:r>
      <w:proofErr w:type="spellEnd"/>
      <w:r w:rsidR="005E445C" w:rsidRPr="00E93EC8">
        <w:rPr>
          <w:bCs/>
          <w:szCs w:val="24"/>
        </w:rPr>
        <w:t xml:space="preserve"> Out’ below.</w:t>
      </w:r>
    </w:p>
    <w:p w14:paraId="12B55019" w14:textId="77FDF212" w:rsidR="005E445C" w:rsidRPr="00E93EC8" w:rsidRDefault="00B6500C" w:rsidP="00B6500C">
      <w:pPr>
        <w:spacing w:line="240" w:lineRule="auto"/>
        <w:ind w:left="567" w:hanging="567"/>
        <w:rPr>
          <w:bCs/>
          <w:szCs w:val="24"/>
        </w:rPr>
      </w:pPr>
      <w:r w:rsidRPr="00E93EC8">
        <w:rPr>
          <w:w w:val="99"/>
          <w:sz w:val="22"/>
          <w:szCs w:val="22"/>
          <w:lang w:val="en-US"/>
        </w:rPr>
        <w:t>11.</w:t>
      </w:r>
      <w:r w:rsidRPr="00E93EC8">
        <w:rPr>
          <w:w w:val="99"/>
          <w:sz w:val="22"/>
          <w:szCs w:val="22"/>
          <w:lang w:val="en-US"/>
        </w:rPr>
        <w:tab/>
      </w:r>
      <w:r w:rsidR="005E445C" w:rsidRPr="00E93EC8">
        <w:rPr>
          <w:bCs/>
          <w:szCs w:val="24"/>
        </w:rPr>
        <w:t xml:space="preserve">You must ensure that your ‘Notice of Withdrawal of </w:t>
      </w:r>
      <w:proofErr w:type="spellStart"/>
      <w:r w:rsidR="005E445C" w:rsidRPr="00E93EC8">
        <w:rPr>
          <w:bCs/>
          <w:szCs w:val="24"/>
        </w:rPr>
        <w:t>Opt</w:t>
      </w:r>
      <w:proofErr w:type="spellEnd"/>
      <w:r w:rsidR="005E445C" w:rsidRPr="00E93EC8">
        <w:rPr>
          <w:bCs/>
          <w:szCs w:val="24"/>
        </w:rPr>
        <w:t xml:space="preserve"> Out’ reaches the Federal Court, at the address shown on the notice, before 4:00pm on 8 May 2024. Provided you meet that deadline, you will be re-admitted as a Group Member and be included in the settlement of the class action.</w:t>
      </w:r>
    </w:p>
    <w:p w14:paraId="50CE8E2C" w14:textId="77777777" w:rsidR="005E445C" w:rsidRPr="00E93EC8" w:rsidRDefault="005E445C" w:rsidP="00E93EC8">
      <w:pPr>
        <w:spacing w:line="240" w:lineRule="auto"/>
        <w:rPr>
          <w:bCs/>
          <w:szCs w:val="24"/>
          <w:lang w:val="en-US"/>
        </w:rPr>
      </w:pPr>
    </w:p>
    <w:p w14:paraId="1F310594" w14:textId="77777777" w:rsidR="005E445C" w:rsidRPr="00624543" w:rsidRDefault="005E445C" w:rsidP="00E93EC8">
      <w:pPr>
        <w:spacing w:line="240" w:lineRule="auto"/>
        <w:rPr>
          <w:b/>
          <w:bCs/>
          <w:szCs w:val="24"/>
          <w:lang w:val="en-US"/>
        </w:rPr>
      </w:pPr>
      <w:r w:rsidRPr="00624543">
        <w:rPr>
          <w:b/>
          <w:bCs/>
          <w:szCs w:val="24"/>
          <w:lang w:val="en-US"/>
        </w:rPr>
        <w:t>Option 2 – do nothing</w:t>
      </w:r>
    </w:p>
    <w:p w14:paraId="36AFBF34" w14:textId="259248C2" w:rsidR="005E445C" w:rsidRPr="00E93EC8" w:rsidRDefault="00B6500C" w:rsidP="00B6500C">
      <w:pPr>
        <w:spacing w:line="240" w:lineRule="auto"/>
        <w:ind w:left="567" w:hanging="567"/>
        <w:rPr>
          <w:bCs/>
          <w:szCs w:val="24"/>
        </w:rPr>
      </w:pPr>
      <w:r w:rsidRPr="00E93EC8">
        <w:rPr>
          <w:w w:val="99"/>
          <w:sz w:val="22"/>
          <w:szCs w:val="22"/>
          <w:lang w:val="en-US"/>
        </w:rPr>
        <w:lastRenderedPageBreak/>
        <w:t>12.</w:t>
      </w:r>
      <w:r w:rsidRPr="00E93EC8">
        <w:rPr>
          <w:w w:val="99"/>
          <w:sz w:val="22"/>
          <w:szCs w:val="22"/>
          <w:lang w:val="en-US"/>
        </w:rPr>
        <w:tab/>
      </w:r>
      <w:r w:rsidR="005E445C" w:rsidRPr="00E93EC8">
        <w:rPr>
          <w:bCs/>
          <w:szCs w:val="24"/>
        </w:rPr>
        <w:t>If you do nothing, then your earlier decision to opt out will remain in force. You will not be a Group Member and your rights against the respondents to the class action will not be affected by the settlement of the class action. The effect of opt out was explained to you in the notice that you were sent in 2023.</w:t>
      </w:r>
    </w:p>
    <w:p w14:paraId="0F470FD3" w14:textId="77777777" w:rsidR="005E445C" w:rsidRPr="00E93EC8" w:rsidRDefault="005E445C" w:rsidP="00E93EC8">
      <w:pPr>
        <w:spacing w:line="240" w:lineRule="auto"/>
        <w:rPr>
          <w:bCs/>
          <w:szCs w:val="24"/>
          <w:lang w:val="en-US"/>
        </w:rPr>
      </w:pPr>
    </w:p>
    <w:p w14:paraId="3436D4A4" w14:textId="77777777" w:rsidR="005E445C" w:rsidRPr="00624543" w:rsidRDefault="005E445C" w:rsidP="00E93EC8">
      <w:pPr>
        <w:spacing w:line="240" w:lineRule="auto"/>
        <w:rPr>
          <w:b/>
          <w:bCs/>
          <w:szCs w:val="24"/>
          <w:lang w:val="en-US"/>
        </w:rPr>
      </w:pPr>
      <w:r w:rsidRPr="00624543">
        <w:rPr>
          <w:b/>
          <w:bCs/>
          <w:szCs w:val="24"/>
          <w:lang w:val="en-US"/>
        </w:rPr>
        <w:t>More information</w:t>
      </w:r>
    </w:p>
    <w:p w14:paraId="3FB7332E" w14:textId="77777777" w:rsidR="00631205" w:rsidRDefault="00B6500C" w:rsidP="00B6500C">
      <w:pPr>
        <w:ind w:left="567" w:hanging="567"/>
        <w:rPr>
          <w:bCs/>
          <w:szCs w:val="24"/>
        </w:rPr>
      </w:pPr>
      <w:r w:rsidRPr="00624543">
        <w:rPr>
          <w:rFonts w:eastAsia="Times New Roman"/>
          <w:w w:val="99"/>
          <w:sz w:val="22"/>
          <w:szCs w:val="22"/>
          <w:lang w:val="en-US"/>
        </w:rPr>
        <w:t>13.</w:t>
      </w:r>
      <w:r w:rsidRPr="00624543">
        <w:rPr>
          <w:rFonts w:eastAsia="Times New Roman"/>
          <w:w w:val="99"/>
          <w:sz w:val="22"/>
          <w:szCs w:val="22"/>
          <w:lang w:val="en-US"/>
        </w:rPr>
        <w:tab/>
      </w:r>
      <w:r w:rsidR="005E445C" w:rsidRPr="00B6500C">
        <w:rPr>
          <w:bCs/>
          <w:szCs w:val="24"/>
        </w:rPr>
        <w:t xml:space="preserve">If you previously filed an </w:t>
      </w:r>
      <w:proofErr w:type="spellStart"/>
      <w:r w:rsidR="005E445C" w:rsidRPr="00B6500C">
        <w:rPr>
          <w:bCs/>
          <w:szCs w:val="24"/>
        </w:rPr>
        <w:t>Opt</w:t>
      </w:r>
      <w:proofErr w:type="spellEnd"/>
      <w:r w:rsidR="005E445C" w:rsidRPr="00B6500C">
        <w:rPr>
          <w:bCs/>
          <w:szCs w:val="24"/>
        </w:rPr>
        <w:t xml:space="preserve"> Out Notice, and you are not sure whether to withdraw it or not, you can contact the Applicant’s lawyers in the class action, Shine, at the address below for more information. Alternatively, you might wish to obtain independent legal advice. Do not contact the Court as the Court staff are not permitted to give you legal advice.</w:t>
      </w:r>
    </w:p>
    <w:p w14:paraId="33286D98" w14:textId="77777777" w:rsidR="00631205" w:rsidRDefault="00631205">
      <w:pPr>
        <w:spacing w:line="240" w:lineRule="auto"/>
        <w:jc w:val="left"/>
        <w:rPr>
          <w:bCs/>
          <w:szCs w:val="24"/>
        </w:rPr>
      </w:pPr>
      <w:r>
        <w:rPr>
          <w:bCs/>
          <w:szCs w:val="24"/>
        </w:rPr>
        <w:br w:type="page"/>
      </w:r>
    </w:p>
    <w:p w14:paraId="3CA45A77" w14:textId="77777777" w:rsidR="00631205" w:rsidRDefault="00631205" w:rsidP="00631205">
      <w:pPr>
        <w:jc w:val="center"/>
        <w:rPr>
          <w:b/>
        </w:rPr>
      </w:pPr>
      <w:r>
        <w:rPr>
          <w:b/>
        </w:rPr>
        <w:lastRenderedPageBreak/>
        <w:t>WITHDRAWAL OF OPT OUT NOTICE</w:t>
      </w:r>
    </w:p>
    <w:p w14:paraId="47521D41" w14:textId="77777777" w:rsidR="00631205" w:rsidRPr="00631205" w:rsidRDefault="00631205" w:rsidP="00631205">
      <w:pPr>
        <w:jc w:val="center"/>
        <w:rPr>
          <w:b/>
          <w:sz w:val="16"/>
          <w:szCs w:val="12"/>
        </w:rPr>
      </w:pPr>
    </w:p>
    <w:p w14:paraId="0C453B6C" w14:textId="77777777" w:rsidR="00631205" w:rsidRDefault="00631205" w:rsidP="00631205">
      <w:pPr>
        <w:jc w:val="center"/>
        <w:rPr>
          <w:b/>
        </w:rPr>
      </w:pPr>
      <w:r>
        <w:rPr>
          <w:b/>
        </w:rPr>
        <w:t>“Dixon Advisory Class Action”</w:t>
      </w:r>
    </w:p>
    <w:p w14:paraId="0E935455" w14:textId="77777777" w:rsidR="00631205" w:rsidRPr="00631205" w:rsidRDefault="00631205" w:rsidP="00631205">
      <w:pPr>
        <w:jc w:val="center"/>
        <w:rPr>
          <w:bCs/>
          <w:sz w:val="16"/>
          <w:szCs w:val="12"/>
        </w:rPr>
      </w:pPr>
    </w:p>
    <w:p w14:paraId="112A32B0" w14:textId="77777777" w:rsidR="00631205" w:rsidRDefault="00631205" w:rsidP="00631205">
      <w:pPr>
        <w:jc w:val="center"/>
        <w:rPr>
          <w:bCs/>
        </w:rPr>
      </w:pPr>
      <w:r>
        <w:rPr>
          <w:bCs/>
        </w:rPr>
        <w:t>Federal Court of Australia VID769 of 2021</w:t>
      </w:r>
    </w:p>
    <w:p w14:paraId="0A7DD29C" w14:textId="77777777" w:rsidR="00631205" w:rsidRDefault="00631205" w:rsidP="00631205">
      <w:pPr>
        <w:rPr>
          <w:bCs/>
        </w:rPr>
      </w:pPr>
    </w:p>
    <w:p w14:paraId="180551DD" w14:textId="77777777" w:rsidR="00631205" w:rsidRPr="00537A0B" w:rsidRDefault="00631205" w:rsidP="00631205">
      <w:pPr>
        <w:tabs>
          <w:tab w:val="left" w:pos="1636"/>
        </w:tabs>
        <w:spacing w:line="276" w:lineRule="auto"/>
        <w:ind w:left="237"/>
      </w:pPr>
      <w:r w:rsidRPr="00537A0B">
        <w:rPr>
          <w:b/>
        </w:rPr>
        <w:t>By</w:t>
      </w:r>
      <w:r w:rsidRPr="00537A0B">
        <w:rPr>
          <w:b/>
          <w:spacing w:val="-7"/>
        </w:rPr>
        <w:t xml:space="preserve"> </w:t>
      </w:r>
      <w:r w:rsidRPr="00537A0B">
        <w:rPr>
          <w:b/>
          <w:spacing w:val="-2"/>
        </w:rPr>
        <w:t>post</w:t>
      </w:r>
      <w:r w:rsidRPr="00537A0B">
        <w:rPr>
          <w:spacing w:val="-2"/>
        </w:rPr>
        <w:t>:</w:t>
      </w:r>
      <w:r w:rsidRPr="00537A0B">
        <w:tab/>
      </w:r>
      <w:r w:rsidRPr="00537A0B">
        <w:rPr>
          <w:position w:val="1"/>
        </w:rPr>
        <w:t>The</w:t>
      </w:r>
      <w:r w:rsidRPr="00537A0B">
        <w:rPr>
          <w:spacing w:val="-6"/>
          <w:position w:val="1"/>
        </w:rPr>
        <w:t xml:space="preserve"> </w:t>
      </w:r>
      <w:r w:rsidRPr="00537A0B">
        <w:rPr>
          <w:spacing w:val="-2"/>
          <w:position w:val="1"/>
        </w:rPr>
        <w:t>Registrar</w:t>
      </w:r>
    </w:p>
    <w:p w14:paraId="1F223EB0" w14:textId="77777777" w:rsidR="00631205" w:rsidRPr="00537A0B" w:rsidRDefault="00631205" w:rsidP="00631205">
      <w:pPr>
        <w:pStyle w:val="BodyText"/>
        <w:spacing w:line="276" w:lineRule="auto"/>
        <w:ind w:left="1636" w:right="4728"/>
      </w:pPr>
      <w:r w:rsidRPr="00537A0B">
        <w:t>Federal</w:t>
      </w:r>
      <w:r w:rsidRPr="00537A0B">
        <w:rPr>
          <w:spacing w:val="-12"/>
        </w:rPr>
        <w:t xml:space="preserve"> </w:t>
      </w:r>
      <w:r w:rsidRPr="00537A0B">
        <w:t>Court</w:t>
      </w:r>
      <w:r w:rsidRPr="00537A0B">
        <w:rPr>
          <w:spacing w:val="-11"/>
        </w:rPr>
        <w:t xml:space="preserve"> </w:t>
      </w:r>
      <w:r w:rsidRPr="00537A0B">
        <w:t>of</w:t>
      </w:r>
      <w:r w:rsidRPr="00537A0B">
        <w:rPr>
          <w:spacing w:val="-16"/>
        </w:rPr>
        <w:t xml:space="preserve"> </w:t>
      </w:r>
      <w:r w:rsidRPr="00537A0B">
        <w:t>Australia Victorian District Registry</w:t>
      </w:r>
    </w:p>
    <w:p w14:paraId="7FCBB0A3" w14:textId="77777777" w:rsidR="00631205" w:rsidRPr="00537A0B" w:rsidRDefault="00631205" w:rsidP="00631205">
      <w:pPr>
        <w:pStyle w:val="BodyText"/>
        <w:spacing w:line="276" w:lineRule="auto"/>
        <w:ind w:left="1636"/>
      </w:pPr>
      <w:r w:rsidRPr="00537A0B">
        <w:t>305</w:t>
      </w:r>
      <w:r w:rsidRPr="00537A0B">
        <w:rPr>
          <w:spacing w:val="-16"/>
        </w:rPr>
        <w:t xml:space="preserve"> </w:t>
      </w:r>
      <w:r w:rsidRPr="00537A0B">
        <w:t>William St,</w:t>
      </w:r>
      <w:r w:rsidRPr="00537A0B">
        <w:rPr>
          <w:spacing w:val="-5"/>
        </w:rPr>
        <w:t xml:space="preserve"> </w:t>
      </w:r>
      <w:r w:rsidRPr="00537A0B">
        <w:t>Melbourne,</w:t>
      </w:r>
      <w:r w:rsidRPr="00537A0B">
        <w:rPr>
          <w:spacing w:val="1"/>
        </w:rPr>
        <w:t xml:space="preserve"> </w:t>
      </w:r>
      <w:r w:rsidRPr="00537A0B">
        <w:t>VIC,</w:t>
      </w:r>
      <w:r w:rsidRPr="00537A0B">
        <w:rPr>
          <w:spacing w:val="-6"/>
        </w:rPr>
        <w:t xml:space="preserve"> </w:t>
      </w:r>
      <w:r w:rsidRPr="00537A0B">
        <w:rPr>
          <w:spacing w:val="-4"/>
        </w:rPr>
        <w:t>3000</w:t>
      </w:r>
    </w:p>
    <w:p w14:paraId="44446117" w14:textId="77777777" w:rsidR="00631205" w:rsidRPr="00537A0B" w:rsidRDefault="00631205" w:rsidP="00631205">
      <w:pPr>
        <w:pStyle w:val="BodyText"/>
        <w:spacing w:before="132" w:line="240" w:lineRule="auto"/>
      </w:pPr>
    </w:p>
    <w:p w14:paraId="0E4D7D36" w14:textId="20FFB465" w:rsidR="00631205" w:rsidRPr="00537A0B" w:rsidRDefault="00631205" w:rsidP="00631205">
      <w:pPr>
        <w:tabs>
          <w:tab w:val="left" w:pos="1686"/>
        </w:tabs>
        <w:ind w:left="226"/>
      </w:pPr>
      <w:r w:rsidRPr="00537A0B">
        <w:rPr>
          <w:b/>
        </w:rPr>
        <w:t>By</w:t>
      </w:r>
      <w:r w:rsidRPr="00537A0B">
        <w:rPr>
          <w:b/>
          <w:spacing w:val="3"/>
        </w:rPr>
        <w:t xml:space="preserve"> </w:t>
      </w:r>
      <w:r w:rsidRPr="00537A0B">
        <w:rPr>
          <w:b/>
          <w:spacing w:val="-2"/>
        </w:rPr>
        <w:t>email</w:t>
      </w:r>
      <w:r w:rsidRPr="00537A0B">
        <w:rPr>
          <w:spacing w:val="-2"/>
        </w:rPr>
        <w:t>:</w:t>
      </w:r>
      <w:r w:rsidRPr="00537A0B">
        <w:tab/>
      </w:r>
      <w:hyperlink r:id="rId10">
        <w:r w:rsidRPr="00631205">
          <w:rPr>
            <w:rStyle w:val="Hyperlink"/>
            <w:bCs/>
          </w:rPr>
          <w:t>vicreg@fedcourt.gov.au</w:t>
        </w:r>
      </w:hyperlink>
    </w:p>
    <w:p w14:paraId="4DC92987" w14:textId="77777777" w:rsidR="00631205" w:rsidRPr="00537A0B" w:rsidRDefault="00631205" w:rsidP="00631205">
      <w:pPr>
        <w:spacing w:before="194" w:line="422" w:lineRule="auto"/>
        <w:ind w:left="226" w:right="97"/>
      </w:pPr>
      <w:r w:rsidRPr="00537A0B">
        <w:t xml:space="preserve">The person </w:t>
      </w:r>
      <w:hyperlink r:id="rId11">
        <w:r w:rsidRPr="00537A0B">
          <w:t>identified below gives</w:t>
        </w:r>
      </w:hyperlink>
      <w:r w:rsidRPr="00537A0B">
        <w:t xml:space="preserve"> notice</w:t>
      </w:r>
      <w:r w:rsidRPr="00537A0B">
        <w:rPr>
          <w:spacing w:val="-1"/>
        </w:rPr>
        <w:t xml:space="preserve"> </w:t>
      </w:r>
      <w:r w:rsidRPr="00537A0B">
        <w:t xml:space="preserve">that the person </w:t>
      </w:r>
      <w:r w:rsidRPr="00537A0B">
        <w:rPr>
          <w:b/>
        </w:rPr>
        <w:t xml:space="preserve">wishes to withdraw the opt out notice </w:t>
      </w:r>
      <w:r w:rsidRPr="00537A0B">
        <w:t>previously lodged this class action.</w:t>
      </w:r>
    </w:p>
    <w:p w14:paraId="394B00A0" w14:textId="77777777" w:rsidR="00631205" w:rsidRPr="00537A0B" w:rsidRDefault="00631205" w:rsidP="00631205">
      <w:pPr>
        <w:pStyle w:val="BodyText"/>
        <w:spacing w:before="10" w:after="1"/>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913"/>
      </w:tblGrid>
      <w:tr w:rsidR="00631205" w:rsidRPr="00537A0B" w14:paraId="3DF6DF43" w14:textId="77777777" w:rsidTr="007D3D0F">
        <w:trPr>
          <w:trHeight w:val="1027"/>
        </w:trPr>
        <w:tc>
          <w:tcPr>
            <w:tcW w:w="4106" w:type="dxa"/>
          </w:tcPr>
          <w:p w14:paraId="0D63D923" w14:textId="77777777" w:rsidR="00631205" w:rsidRPr="00537A0B" w:rsidRDefault="00631205" w:rsidP="007D3D0F">
            <w:pPr>
              <w:pStyle w:val="TableParagraph"/>
              <w:spacing w:before="239" w:line="259" w:lineRule="auto"/>
              <w:ind w:right="162"/>
            </w:pPr>
            <w:r w:rsidRPr="00537A0B">
              <w:t>Name</w:t>
            </w:r>
            <w:r w:rsidRPr="00537A0B">
              <w:rPr>
                <w:spacing w:val="-12"/>
              </w:rPr>
              <w:t xml:space="preserve"> </w:t>
            </w:r>
            <w:r w:rsidRPr="00537A0B">
              <w:t>of</w:t>
            </w:r>
            <w:r w:rsidRPr="00537A0B">
              <w:rPr>
                <w:spacing w:val="-9"/>
              </w:rPr>
              <w:t xml:space="preserve"> </w:t>
            </w:r>
            <w:r w:rsidRPr="00537A0B">
              <w:t>group</w:t>
            </w:r>
            <w:r w:rsidRPr="00537A0B">
              <w:rPr>
                <w:spacing w:val="-6"/>
              </w:rPr>
              <w:t xml:space="preserve"> </w:t>
            </w:r>
            <w:r w:rsidRPr="00537A0B">
              <w:t>member</w:t>
            </w:r>
            <w:r w:rsidRPr="00537A0B">
              <w:rPr>
                <w:spacing w:val="-6"/>
              </w:rPr>
              <w:t xml:space="preserve"> </w:t>
            </w:r>
            <w:r w:rsidRPr="00537A0B">
              <w:t>(including name of SMSF and beneficiaries)</w:t>
            </w:r>
          </w:p>
        </w:tc>
        <w:tc>
          <w:tcPr>
            <w:tcW w:w="4913" w:type="dxa"/>
          </w:tcPr>
          <w:p w14:paraId="4A8DD37A" w14:textId="77777777" w:rsidR="00631205" w:rsidRPr="00537A0B" w:rsidRDefault="00631205" w:rsidP="007D3D0F">
            <w:pPr>
              <w:pStyle w:val="TableParagraph"/>
              <w:rPr>
                <w:sz w:val="20"/>
              </w:rPr>
            </w:pPr>
          </w:p>
        </w:tc>
      </w:tr>
      <w:tr w:rsidR="00631205" w:rsidRPr="00537A0B" w14:paraId="5EE29D37" w14:textId="77777777" w:rsidTr="007D3D0F">
        <w:trPr>
          <w:trHeight w:val="753"/>
        </w:trPr>
        <w:tc>
          <w:tcPr>
            <w:tcW w:w="4106" w:type="dxa"/>
          </w:tcPr>
          <w:p w14:paraId="42DFF56A" w14:textId="77777777" w:rsidR="00631205" w:rsidRPr="00537A0B" w:rsidRDefault="00631205" w:rsidP="007D3D0F">
            <w:pPr>
              <w:pStyle w:val="TableParagraph"/>
              <w:spacing w:before="246"/>
            </w:pPr>
            <w:r w:rsidRPr="00537A0B">
              <w:t>Postal</w:t>
            </w:r>
            <w:r w:rsidRPr="00537A0B">
              <w:rPr>
                <w:spacing w:val="-4"/>
              </w:rPr>
              <w:t xml:space="preserve"> </w:t>
            </w:r>
            <w:r w:rsidRPr="00537A0B">
              <w:t>address</w:t>
            </w:r>
            <w:r w:rsidRPr="00537A0B">
              <w:rPr>
                <w:spacing w:val="-1"/>
              </w:rPr>
              <w:t xml:space="preserve"> </w:t>
            </w:r>
            <w:r w:rsidRPr="00537A0B">
              <w:t>of</w:t>
            </w:r>
            <w:r w:rsidRPr="00537A0B">
              <w:rPr>
                <w:spacing w:val="-9"/>
              </w:rPr>
              <w:t xml:space="preserve"> </w:t>
            </w:r>
            <w:r w:rsidRPr="00537A0B">
              <w:t>group</w:t>
            </w:r>
            <w:r w:rsidRPr="00537A0B">
              <w:rPr>
                <w:spacing w:val="-6"/>
              </w:rPr>
              <w:t xml:space="preserve"> </w:t>
            </w:r>
            <w:r w:rsidRPr="00537A0B">
              <w:rPr>
                <w:spacing w:val="-2"/>
              </w:rPr>
              <w:t>member</w:t>
            </w:r>
          </w:p>
        </w:tc>
        <w:tc>
          <w:tcPr>
            <w:tcW w:w="4913" w:type="dxa"/>
          </w:tcPr>
          <w:p w14:paraId="24D6C8D0" w14:textId="77777777" w:rsidR="00631205" w:rsidRPr="00537A0B" w:rsidRDefault="00631205" w:rsidP="007D3D0F">
            <w:pPr>
              <w:pStyle w:val="TableParagraph"/>
              <w:rPr>
                <w:sz w:val="20"/>
              </w:rPr>
            </w:pPr>
          </w:p>
        </w:tc>
      </w:tr>
      <w:tr w:rsidR="00631205" w:rsidRPr="00537A0B" w14:paraId="3F946AD1" w14:textId="77777777" w:rsidTr="007D3D0F">
        <w:trPr>
          <w:trHeight w:val="753"/>
        </w:trPr>
        <w:tc>
          <w:tcPr>
            <w:tcW w:w="4106" w:type="dxa"/>
          </w:tcPr>
          <w:p w14:paraId="36B63606" w14:textId="77777777" w:rsidR="00631205" w:rsidRPr="00537A0B" w:rsidRDefault="00631205" w:rsidP="007D3D0F">
            <w:pPr>
              <w:pStyle w:val="TableParagraph"/>
              <w:spacing w:before="246"/>
            </w:pPr>
            <w:r w:rsidRPr="00537A0B">
              <w:t>Name</w:t>
            </w:r>
            <w:r w:rsidRPr="00537A0B">
              <w:rPr>
                <w:spacing w:val="-9"/>
              </w:rPr>
              <w:t xml:space="preserve"> </w:t>
            </w:r>
            <w:r w:rsidRPr="00537A0B">
              <w:t>of</w:t>
            </w:r>
            <w:r w:rsidRPr="00537A0B">
              <w:rPr>
                <w:spacing w:val="-5"/>
              </w:rPr>
              <w:t xml:space="preserve"> </w:t>
            </w:r>
            <w:r w:rsidRPr="00537A0B">
              <w:t>person</w:t>
            </w:r>
            <w:r w:rsidRPr="00537A0B">
              <w:rPr>
                <w:spacing w:val="-2"/>
              </w:rPr>
              <w:t xml:space="preserve"> </w:t>
            </w:r>
            <w:r w:rsidRPr="00537A0B">
              <w:t>providing</w:t>
            </w:r>
            <w:r w:rsidRPr="00537A0B">
              <w:rPr>
                <w:spacing w:val="-2"/>
              </w:rPr>
              <w:t xml:space="preserve"> </w:t>
            </w:r>
            <w:r w:rsidRPr="00537A0B">
              <w:t>this</w:t>
            </w:r>
            <w:r w:rsidRPr="00537A0B">
              <w:rPr>
                <w:spacing w:val="-4"/>
              </w:rPr>
              <w:t xml:space="preserve"> form</w:t>
            </w:r>
          </w:p>
        </w:tc>
        <w:tc>
          <w:tcPr>
            <w:tcW w:w="4913" w:type="dxa"/>
          </w:tcPr>
          <w:p w14:paraId="0743655E" w14:textId="77777777" w:rsidR="00631205" w:rsidRPr="00537A0B" w:rsidRDefault="00631205" w:rsidP="007D3D0F">
            <w:pPr>
              <w:pStyle w:val="TableParagraph"/>
              <w:rPr>
                <w:sz w:val="20"/>
              </w:rPr>
            </w:pPr>
          </w:p>
        </w:tc>
      </w:tr>
      <w:tr w:rsidR="00631205" w:rsidRPr="00537A0B" w14:paraId="6DDA85F0" w14:textId="77777777" w:rsidTr="007D3D0F">
        <w:trPr>
          <w:trHeight w:val="753"/>
        </w:trPr>
        <w:tc>
          <w:tcPr>
            <w:tcW w:w="4106" w:type="dxa"/>
          </w:tcPr>
          <w:p w14:paraId="3BD29916" w14:textId="77777777" w:rsidR="00631205" w:rsidRPr="00537A0B" w:rsidRDefault="00631205" w:rsidP="007D3D0F">
            <w:pPr>
              <w:pStyle w:val="TableParagraph"/>
              <w:spacing w:before="246"/>
            </w:pPr>
            <w:r w:rsidRPr="00537A0B">
              <w:rPr>
                <w:spacing w:val="-2"/>
              </w:rPr>
              <w:t>Telephone</w:t>
            </w:r>
            <w:r w:rsidRPr="00537A0B">
              <w:rPr>
                <w:spacing w:val="2"/>
              </w:rPr>
              <w:t xml:space="preserve"> </w:t>
            </w:r>
            <w:r w:rsidRPr="00537A0B">
              <w:rPr>
                <w:spacing w:val="-2"/>
              </w:rPr>
              <w:t>contact</w:t>
            </w:r>
          </w:p>
        </w:tc>
        <w:tc>
          <w:tcPr>
            <w:tcW w:w="4913" w:type="dxa"/>
          </w:tcPr>
          <w:p w14:paraId="1947AD92" w14:textId="77777777" w:rsidR="00631205" w:rsidRPr="00537A0B" w:rsidRDefault="00631205" w:rsidP="007D3D0F">
            <w:pPr>
              <w:pStyle w:val="TableParagraph"/>
              <w:rPr>
                <w:sz w:val="20"/>
              </w:rPr>
            </w:pPr>
          </w:p>
        </w:tc>
      </w:tr>
      <w:tr w:rsidR="00631205" w:rsidRPr="00537A0B" w14:paraId="47FAA15B" w14:textId="77777777" w:rsidTr="007D3D0F">
        <w:trPr>
          <w:trHeight w:val="760"/>
        </w:trPr>
        <w:tc>
          <w:tcPr>
            <w:tcW w:w="4106" w:type="dxa"/>
          </w:tcPr>
          <w:p w14:paraId="73514876" w14:textId="77777777" w:rsidR="00631205" w:rsidRPr="00537A0B" w:rsidRDefault="00631205" w:rsidP="007D3D0F">
            <w:pPr>
              <w:pStyle w:val="TableParagraph"/>
              <w:spacing w:before="246"/>
            </w:pPr>
            <w:r w:rsidRPr="00537A0B">
              <w:t>Email</w:t>
            </w:r>
            <w:r w:rsidRPr="00537A0B">
              <w:rPr>
                <w:spacing w:val="3"/>
              </w:rPr>
              <w:t xml:space="preserve"> </w:t>
            </w:r>
            <w:r w:rsidRPr="00537A0B">
              <w:rPr>
                <w:spacing w:val="-2"/>
              </w:rPr>
              <w:t>address</w:t>
            </w:r>
          </w:p>
        </w:tc>
        <w:tc>
          <w:tcPr>
            <w:tcW w:w="4913" w:type="dxa"/>
          </w:tcPr>
          <w:p w14:paraId="1055D5E0" w14:textId="77777777" w:rsidR="00631205" w:rsidRPr="00537A0B" w:rsidRDefault="00631205" w:rsidP="007D3D0F">
            <w:pPr>
              <w:pStyle w:val="TableParagraph"/>
              <w:rPr>
                <w:sz w:val="20"/>
              </w:rPr>
            </w:pPr>
          </w:p>
        </w:tc>
      </w:tr>
    </w:tbl>
    <w:p w14:paraId="0D37E59A" w14:textId="77777777" w:rsidR="00631205" w:rsidRPr="00537A0B" w:rsidRDefault="00631205" w:rsidP="00631205">
      <w:pPr>
        <w:pStyle w:val="BodyText"/>
      </w:pPr>
    </w:p>
    <w:p w14:paraId="346FFCC5" w14:textId="77777777" w:rsidR="00631205" w:rsidRPr="00537A0B" w:rsidRDefault="00631205" w:rsidP="00631205">
      <w:pPr>
        <w:pStyle w:val="BodyText"/>
        <w:spacing w:before="93"/>
      </w:pPr>
    </w:p>
    <w:p w14:paraId="4740D168" w14:textId="77777777" w:rsidR="00631205" w:rsidRPr="00537A0B" w:rsidRDefault="00631205" w:rsidP="00631205">
      <w:pPr>
        <w:pStyle w:val="BodyText"/>
        <w:tabs>
          <w:tab w:val="right" w:pos="4312"/>
        </w:tabs>
        <w:ind w:left="220"/>
      </w:pPr>
      <w:r w:rsidRPr="00537A0B">
        <w:rPr>
          <w:spacing w:val="-2"/>
        </w:rPr>
        <w:t>Date:</w:t>
      </w:r>
      <w:r w:rsidRPr="00537A0B">
        <w:tab/>
      </w:r>
      <w:r w:rsidRPr="00537A0B">
        <w:rPr>
          <w:spacing w:val="-4"/>
        </w:rPr>
        <w:t>2024</w:t>
      </w:r>
    </w:p>
    <w:p w14:paraId="1CAE5355" w14:textId="77777777" w:rsidR="00631205" w:rsidRPr="00537A0B" w:rsidRDefault="00631205" w:rsidP="00631205">
      <w:pPr>
        <w:pStyle w:val="BodyText"/>
        <w:tabs>
          <w:tab w:val="left" w:pos="1661"/>
        </w:tabs>
        <w:spacing w:before="251"/>
        <w:ind w:left="220"/>
      </w:pPr>
      <w:r w:rsidRPr="00537A0B">
        <w:t>Signed</w:t>
      </w:r>
      <w:r w:rsidRPr="00537A0B">
        <w:rPr>
          <w:spacing w:val="-4"/>
        </w:rPr>
        <w:t xml:space="preserve"> </w:t>
      </w:r>
      <w:r w:rsidRPr="00537A0B">
        <w:rPr>
          <w:spacing w:val="-5"/>
        </w:rPr>
        <w:t>by:</w:t>
      </w:r>
      <w:r w:rsidRPr="00537A0B">
        <w:ta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rPr>
          <w:spacing w:val="-10"/>
        </w:rPr>
        <w:t>.</w:t>
      </w:r>
    </w:p>
    <w:p w14:paraId="66BFA178" w14:textId="77777777" w:rsidR="00631205" w:rsidRPr="00537A0B" w:rsidRDefault="00631205" w:rsidP="00631205">
      <w:pPr>
        <w:pStyle w:val="BodyText"/>
        <w:tabs>
          <w:tab w:val="left" w:pos="1661"/>
        </w:tabs>
        <w:spacing w:before="252"/>
        <w:ind w:left="220"/>
      </w:pPr>
      <w:r w:rsidRPr="00537A0B">
        <w:t>Print</w:t>
      </w:r>
      <w:r w:rsidRPr="00537A0B">
        <w:rPr>
          <w:spacing w:val="-1"/>
        </w:rPr>
        <w:t xml:space="preserve"> </w:t>
      </w:r>
      <w:r w:rsidRPr="00537A0B">
        <w:rPr>
          <w:spacing w:val="-2"/>
        </w:rPr>
        <w:t>name:</w:t>
      </w:r>
      <w:r w:rsidRPr="00537A0B">
        <w:ta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1"/>
        </w:rPr>
        <w:t xml:space="preserve"> </w:t>
      </w:r>
      <w:r w:rsidRPr="00537A0B">
        <w:t>.</w:t>
      </w:r>
      <w:r w:rsidRPr="00537A0B">
        <w:rPr>
          <w:spacing w:val="-2"/>
        </w:rPr>
        <w:t xml:space="preserve"> </w:t>
      </w:r>
      <w:r w:rsidRPr="00537A0B">
        <w:t>.</w:t>
      </w:r>
      <w:r w:rsidRPr="00537A0B">
        <w:rPr>
          <w:spacing w:val="-1"/>
        </w:rPr>
        <w:t xml:space="preserve"> </w:t>
      </w:r>
      <w:r w:rsidRPr="00537A0B">
        <w:t>.</w:t>
      </w:r>
      <w:r w:rsidRPr="00537A0B">
        <w:rPr>
          <w:spacing w:val="-2"/>
        </w:rPr>
        <w:t xml:space="preserve"> </w:t>
      </w:r>
      <w:r w:rsidRPr="00537A0B">
        <w:rPr>
          <w:spacing w:val="-10"/>
        </w:rPr>
        <w:t>.</w:t>
      </w:r>
    </w:p>
    <w:p w14:paraId="63352A39" w14:textId="5020843C" w:rsidR="00C15609" w:rsidRPr="00B6500C" w:rsidRDefault="00C15609" w:rsidP="00631205">
      <w:pPr>
        <w:rPr>
          <w:bCs/>
        </w:rPr>
      </w:pPr>
      <w:r w:rsidRPr="00B6500C">
        <w:rPr>
          <w:bCs/>
        </w:rPr>
        <w:br w:type="page"/>
      </w:r>
    </w:p>
    <w:p w14:paraId="4F25DA2F" w14:textId="77777777" w:rsidR="00C15609" w:rsidRPr="00045BB7" w:rsidRDefault="00C15609" w:rsidP="00C15609">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C15609" w14:paraId="359A4CB2" w14:textId="77777777" w:rsidTr="00835C28">
        <w:tc>
          <w:tcPr>
            <w:tcW w:w="6912" w:type="dxa"/>
            <w:gridSpan w:val="2"/>
          </w:tcPr>
          <w:p w14:paraId="7A302765" w14:textId="77777777" w:rsidR="00C15609" w:rsidRPr="001765E0" w:rsidRDefault="00C15609" w:rsidP="00835C28">
            <w:pPr>
              <w:pStyle w:val="NormalHeadings"/>
            </w:pPr>
          </w:p>
        </w:tc>
        <w:tc>
          <w:tcPr>
            <w:tcW w:w="2330" w:type="dxa"/>
          </w:tcPr>
          <w:p w14:paraId="2464443B" w14:textId="1CE8D4A2" w:rsidR="00C15609" w:rsidRDefault="000174DD" w:rsidP="00835C28">
            <w:pPr>
              <w:pStyle w:val="NormalHeadings"/>
              <w:jc w:val="right"/>
            </w:pPr>
            <w:r>
              <w:t xml:space="preserve">VID 383 of </w:t>
            </w:r>
            <w:r w:rsidR="003C47F5">
              <w:t>2023</w:t>
            </w:r>
          </w:p>
        </w:tc>
      </w:tr>
      <w:tr w:rsidR="00C15609" w14:paraId="0BD512B3" w14:textId="77777777" w:rsidTr="00835C28">
        <w:tc>
          <w:tcPr>
            <w:tcW w:w="9242" w:type="dxa"/>
            <w:gridSpan w:val="3"/>
          </w:tcPr>
          <w:p w14:paraId="481D3A4E" w14:textId="77777777" w:rsidR="00C15609" w:rsidRDefault="00A602D8" w:rsidP="00835C28">
            <w:pPr>
              <w:pStyle w:val="NormalHeadings"/>
              <w:jc w:val="left"/>
            </w:pPr>
            <w:r w:rsidRPr="00A602D8">
              <w:t>IN THE MATTER OF DIXON ADVISORY &amp; SUPERANNUATION SERVICES PTY LTD (SUBJECT TO DEED OF COMPANY ARRANGEMENT) ACN 103 071 665</w:t>
            </w:r>
          </w:p>
          <w:p w14:paraId="7B7D2A84" w14:textId="332BDCBD" w:rsidR="00D216F5" w:rsidRPr="00A76C13" w:rsidRDefault="00D216F5" w:rsidP="00835C28">
            <w:pPr>
              <w:pStyle w:val="NormalHeadings"/>
              <w:jc w:val="left"/>
            </w:pPr>
          </w:p>
        </w:tc>
      </w:tr>
      <w:tr w:rsidR="00C15609" w14:paraId="267FCF64" w14:textId="77777777" w:rsidTr="00835C28">
        <w:trPr>
          <w:trHeight w:val="386"/>
        </w:trPr>
        <w:tc>
          <w:tcPr>
            <w:tcW w:w="2376" w:type="dxa"/>
          </w:tcPr>
          <w:p w14:paraId="083B238A" w14:textId="77777777" w:rsidR="00C15609" w:rsidRDefault="00C15609" w:rsidP="00835C28">
            <w:pPr>
              <w:pStyle w:val="NormalHeadings"/>
              <w:jc w:val="left"/>
              <w:rPr>
                <w:caps/>
                <w:szCs w:val="24"/>
              </w:rPr>
            </w:pPr>
            <w:r>
              <w:rPr>
                <w:caps/>
                <w:szCs w:val="24"/>
              </w:rPr>
              <w:t>BETWEEN:</w:t>
            </w:r>
          </w:p>
        </w:tc>
        <w:tc>
          <w:tcPr>
            <w:tcW w:w="6866" w:type="dxa"/>
            <w:gridSpan w:val="2"/>
          </w:tcPr>
          <w:p w14:paraId="7B7154DA" w14:textId="3FB5E606" w:rsidR="00C15609" w:rsidRDefault="00926FB0" w:rsidP="00835C28">
            <w:pPr>
              <w:pStyle w:val="NormalHeadings"/>
              <w:jc w:val="left"/>
              <w:rPr>
                <w:b w:val="0"/>
                <w:bCs/>
              </w:rPr>
            </w:pPr>
            <w:r w:rsidRPr="00926FB0">
              <w:rPr>
                <w:bCs/>
              </w:rPr>
              <w:t xml:space="preserve">STEPHEN GRAHAM LONGLEY, CRAIG DAVID CROSBIE AND REBECCA LOUISE GILL IN THEIR CAPACITY AS JOINT AND SEVERAL DEED ADMINISTRATORS OF DIXON ADVISORY &amp; SUPERANNUATION SERVICES PTY LTD (SUBJECT TO DEED OF COMPANY ARRANGEMENT) </w:t>
            </w:r>
            <w:r w:rsidR="00F14183">
              <w:rPr>
                <w:bCs/>
              </w:rPr>
              <w:t>(</w:t>
            </w:r>
            <w:r w:rsidRPr="00926FB0">
              <w:rPr>
                <w:bCs/>
              </w:rPr>
              <w:t xml:space="preserve">ACN </w:t>
            </w:r>
            <w:r w:rsidRPr="00926FB0">
              <w:t>103 071 665</w:t>
            </w:r>
            <w:r w:rsidR="00F14183">
              <w:t>)</w:t>
            </w:r>
          </w:p>
          <w:p w14:paraId="5E795008" w14:textId="77777777" w:rsidR="00926FB0" w:rsidRDefault="00531205" w:rsidP="007E4B06">
            <w:pPr>
              <w:pStyle w:val="PartyType"/>
              <w:rPr>
                <w:b/>
              </w:rPr>
            </w:pPr>
            <w:r>
              <w:t>First Plaintiffs</w:t>
            </w:r>
          </w:p>
          <w:p w14:paraId="1357743B" w14:textId="77777777" w:rsidR="00531205" w:rsidRDefault="00531205" w:rsidP="00835C28">
            <w:pPr>
              <w:pStyle w:val="NormalHeadings"/>
              <w:jc w:val="left"/>
              <w:rPr>
                <w:b w:val="0"/>
                <w:bCs/>
              </w:rPr>
            </w:pPr>
          </w:p>
          <w:p w14:paraId="3E9CF887" w14:textId="645145CE" w:rsidR="00531205" w:rsidRDefault="00825AC7" w:rsidP="00835C28">
            <w:pPr>
              <w:pStyle w:val="NormalHeadings"/>
              <w:jc w:val="left"/>
              <w:rPr>
                <w:b w:val="0"/>
                <w:bCs/>
              </w:rPr>
            </w:pPr>
            <w:r w:rsidRPr="00825AC7">
              <w:t>DIXON ADVISORY &amp; SUPERANNUATION SERVICE</w:t>
            </w:r>
            <w:r w:rsidR="00F14183">
              <w:t>S</w:t>
            </w:r>
            <w:r w:rsidRPr="00825AC7">
              <w:t xml:space="preserve"> PTY LTD (SUBJECT TO DEED OF COMPANY ARRANGEMENT) </w:t>
            </w:r>
            <w:r w:rsidR="00F14183">
              <w:t>(</w:t>
            </w:r>
            <w:r w:rsidRPr="00825AC7">
              <w:t>ACN 103 071 665</w:t>
            </w:r>
            <w:r w:rsidR="00F14183">
              <w:t>)</w:t>
            </w:r>
          </w:p>
          <w:p w14:paraId="5FCF15AF" w14:textId="1CEFE061" w:rsidR="00825AC7" w:rsidRPr="00825AC7" w:rsidRDefault="00825AC7" w:rsidP="007E4B06">
            <w:pPr>
              <w:pStyle w:val="PartyType"/>
              <w:rPr>
                <w:b/>
              </w:rPr>
            </w:pPr>
            <w:r>
              <w:t>Second Plaintiff</w:t>
            </w:r>
          </w:p>
        </w:tc>
      </w:tr>
      <w:tr w:rsidR="00C15609" w14:paraId="2A4D5AAB" w14:textId="77777777" w:rsidTr="00835C28">
        <w:trPr>
          <w:trHeight w:val="386"/>
        </w:trPr>
        <w:tc>
          <w:tcPr>
            <w:tcW w:w="2376" w:type="dxa"/>
          </w:tcPr>
          <w:p w14:paraId="1043E9A0" w14:textId="77777777" w:rsidR="00C15609" w:rsidRDefault="00C15609" w:rsidP="00835C28">
            <w:pPr>
              <w:pStyle w:val="NormalHeadings"/>
              <w:jc w:val="left"/>
              <w:rPr>
                <w:caps/>
                <w:szCs w:val="24"/>
              </w:rPr>
            </w:pPr>
            <w:r>
              <w:rPr>
                <w:caps/>
                <w:szCs w:val="24"/>
              </w:rPr>
              <w:t>AND:</w:t>
            </w:r>
          </w:p>
        </w:tc>
        <w:tc>
          <w:tcPr>
            <w:tcW w:w="6866" w:type="dxa"/>
            <w:gridSpan w:val="2"/>
          </w:tcPr>
          <w:p w14:paraId="18665EBE" w14:textId="77777777" w:rsidR="00C15609" w:rsidRPr="006555B4" w:rsidRDefault="00C15609" w:rsidP="00835C28">
            <w:pPr>
              <w:pStyle w:val="NormalHeadings"/>
              <w:jc w:val="left"/>
            </w:pPr>
          </w:p>
        </w:tc>
      </w:tr>
    </w:tbl>
    <w:p w14:paraId="749C1C13" w14:textId="77777777" w:rsidR="00C15609" w:rsidRDefault="00C15609" w:rsidP="00C15609">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C15609" w14:paraId="28279C29" w14:textId="77777777" w:rsidTr="00835C28">
        <w:tc>
          <w:tcPr>
            <w:tcW w:w="2376" w:type="dxa"/>
          </w:tcPr>
          <w:p w14:paraId="23EDE975" w14:textId="77777777" w:rsidR="00C15609" w:rsidRDefault="00C15609" w:rsidP="00835C28">
            <w:pPr>
              <w:pStyle w:val="NormalHeadings"/>
              <w:spacing w:after="120"/>
              <w:jc w:val="left"/>
              <w:rPr>
                <w:caps/>
                <w:szCs w:val="24"/>
              </w:rPr>
            </w:pPr>
            <w:r>
              <w:rPr>
                <w:caps/>
                <w:szCs w:val="24"/>
              </w:rPr>
              <w:t>order made by:</w:t>
            </w:r>
          </w:p>
        </w:tc>
        <w:tc>
          <w:tcPr>
            <w:tcW w:w="6866" w:type="dxa"/>
          </w:tcPr>
          <w:p w14:paraId="7921FE59" w14:textId="454AFAA7" w:rsidR="00C15609" w:rsidRDefault="00D216F5" w:rsidP="00835C28">
            <w:pPr>
              <w:pStyle w:val="NormalHeadings"/>
              <w:jc w:val="left"/>
              <w:rPr>
                <w:caps/>
                <w:szCs w:val="24"/>
              </w:rPr>
            </w:pPr>
            <w:r>
              <w:rPr>
                <w:caps/>
                <w:szCs w:val="24"/>
              </w:rPr>
              <w:t>THAWLEY J</w:t>
            </w:r>
          </w:p>
        </w:tc>
      </w:tr>
      <w:tr w:rsidR="00C15609" w14:paraId="4E38950B" w14:textId="77777777" w:rsidTr="00835C28">
        <w:tc>
          <w:tcPr>
            <w:tcW w:w="2376" w:type="dxa"/>
          </w:tcPr>
          <w:p w14:paraId="129EA63E" w14:textId="77777777" w:rsidR="00C15609" w:rsidRDefault="00C15609" w:rsidP="00835C28">
            <w:pPr>
              <w:pStyle w:val="NormalHeadings"/>
              <w:spacing w:after="120"/>
              <w:jc w:val="left"/>
              <w:rPr>
                <w:caps/>
                <w:szCs w:val="24"/>
              </w:rPr>
            </w:pPr>
            <w:r>
              <w:rPr>
                <w:caps/>
                <w:szCs w:val="24"/>
              </w:rPr>
              <w:t>DATE OF ORDER:</w:t>
            </w:r>
          </w:p>
        </w:tc>
        <w:tc>
          <w:tcPr>
            <w:tcW w:w="6866" w:type="dxa"/>
          </w:tcPr>
          <w:p w14:paraId="6B5C47BA" w14:textId="273CFEF2" w:rsidR="00C15609" w:rsidRDefault="006C515F" w:rsidP="00835C28">
            <w:pPr>
              <w:pStyle w:val="NormalHeadings"/>
              <w:jc w:val="left"/>
              <w:rPr>
                <w:caps/>
                <w:szCs w:val="24"/>
              </w:rPr>
            </w:pPr>
            <w:r>
              <w:rPr>
                <w:caps/>
                <w:szCs w:val="24"/>
              </w:rPr>
              <w:t>17 April 2024</w:t>
            </w:r>
          </w:p>
        </w:tc>
      </w:tr>
    </w:tbl>
    <w:p w14:paraId="6BBAA52E" w14:textId="77777777" w:rsidR="00C15609" w:rsidRDefault="00C15609" w:rsidP="00C15609">
      <w:pPr>
        <w:pStyle w:val="NormalHeadings"/>
        <w:rPr>
          <w:b w:val="0"/>
        </w:rPr>
      </w:pPr>
    </w:p>
    <w:p w14:paraId="725FBBE9" w14:textId="77777777" w:rsidR="00C15609" w:rsidRDefault="00C15609" w:rsidP="00C15609">
      <w:pPr>
        <w:pStyle w:val="NormalHeadings"/>
        <w:rPr>
          <w:b w:val="0"/>
        </w:rPr>
      </w:pPr>
    </w:p>
    <w:p w14:paraId="7C1BC330" w14:textId="62D967E4" w:rsidR="00855DCB" w:rsidRDefault="00C15609" w:rsidP="00E93EC8">
      <w:pPr>
        <w:pStyle w:val="NormalHeadings"/>
        <w:spacing w:line="360" w:lineRule="auto"/>
      </w:pPr>
      <w:r>
        <w:t>THE COURT ORDERS THAT:</w:t>
      </w:r>
    </w:p>
    <w:p w14:paraId="3935E750" w14:textId="1788558F" w:rsidR="0054621D" w:rsidRDefault="006764B0" w:rsidP="006764B0">
      <w:pPr>
        <w:pStyle w:val="Order1"/>
        <w:numPr>
          <w:ilvl w:val="0"/>
          <w:numId w:val="0"/>
        </w:numPr>
      </w:pPr>
      <w:r>
        <w:rPr>
          <w:b/>
          <w:bCs/>
          <w:i/>
          <w:iCs/>
        </w:rPr>
        <w:t>Definitions</w:t>
      </w:r>
    </w:p>
    <w:p w14:paraId="5B6A755F" w14:textId="5CC4F39D" w:rsidR="006764B0" w:rsidRPr="006764B0" w:rsidRDefault="00B6500C" w:rsidP="00B6500C">
      <w:pPr>
        <w:pStyle w:val="Order1"/>
        <w:numPr>
          <w:ilvl w:val="0"/>
          <w:numId w:val="0"/>
        </w:numPr>
        <w:tabs>
          <w:tab w:val="left" w:pos="1287"/>
        </w:tabs>
        <w:ind w:left="1287" w:hanging="720"/>
      </w:pPr>
      <w:r w:rsidRPr="006764B0">
        <w:t>1.</w:t>
      </w:r>
      <w:r w:rsidRPr="006764B0">
        <w:tab/>
      </w:r>
      <w:r w:rsidR="006764B0" w:rsidRPr="006764B0">
        <w:t xml:space="preserve">For the purposes of these orders:  </w:t>
      </w:r>
    </w:p>
    <w:p w14:paraId="50274F7E" w14:textId="677A6015" w:rsidR="006764B0" w:rsidRDefault="00B6500C" w:rsidP="00B6500C">
      <w:pPr>
        <w:pStyle w:val="Order2"/>
        <w:numPr>
          <w:ilvl w:val="0"/>
          <w:numId w:val="0"/>
        </w:numPr>
        <w:tabs>
          <w:tab w:val="left" w:pos="2007"/>
        </w:tabs>
        <w:ind w:left="2007" w:hanging="720"/>
      </w:pPr>
      <w:r>
        <w:t>(a)</w:t>
      </w:r>
      <w:r>
        <w:tab/>
      </w:r>
      <w:r w:rsidR="006764B0" w:rsidRPr="006764B0">
        <w:rPr>
          <w:b/>
          <w:bCs/>
        </w:rPr>
        <w:t xml:space="preserve">Actual Loss Approach </w:t>
      </w:r>
      <w:r w:rsidR="006764B0" w:rsidRPr="006764B0">
        <w:t>means the quantification of loss by reference only to the loss of capital invested by former clients of Dixon Advisory &amp; Superannuation Services Pty Ltd (subject to deed of company arrangement) (ACN 103 071 665 (</w:t>
      </w:r>
      <w:r w:rsidR="006764B0" w:rsidRPr="006764B0">
        <w:rPr>
          <w:b/>
        </w:rPr>
        <w:t>Company</w:t>
      </w:r>
      <w:r w:rsidR="006764B0" w:rsidRPr="006764B0">
        <w:t xml:space="preserve">);  </w:t>
      </w:r>
    </w:p>
    <w:p w14:paraId="5730C0E9" w14:textId="08D4D19E" w:rsidR="006764B0" w:rsidRPr="006764B0" w:rsidRDefault="00B6500C" w:rsidP="00B6500C">
      <w:pPr>
        <w:pStyle w:val="Order2"/>
        <w:numPr>
          <w:ilvl w:val="0"/>
          <w:numId w:val="0"/>
        </w:numPr>
        <w:tabs>
          <w:tab w:val="left" w:pos="2007"/>
        </w:tabs>
        <w:ind w:left="2007" w:hanging="720"/>
      </w:pPr>
      <w:r w:rsidRPr="006764B0">
        <w:t>(b)</w:t>
      </w:r>
      <w:r w:rsidRPr="006764B0">
        <w:tab/>
      </w:r>
      <w:r w:rsidR="006764B0" w:rsidRPr="006764B0">
        <w:rPr>
          <w:b/>
          <w:bCs/>
          <w:iCs/>
        </w:rPr>
        <w:t xml:space="preserve">Claim </w:t>
      </w:r>
      <w:r w:rsidR="006764B0" w:rsidRPr="006764B0">
        <w:rPr>
          <w:iCs/>
        </w:rPr>
        <w:t xml:space="preserve">means: </w:t>
      </w:r>
    </w:p>
    <w:p w14:paraId="0DB351E5" w14:textId="01F75717" w:rsidR="006764B0" w:rsidRPr="006764B0" w:rsidRDefault="00B6500C" w:rsidP="00B6500C">
      <w:pPr>
        <w:pStyle w:val="Order3"/>
        <w:numPr>
          <w:ilvl w:val="0"/>
          <w:numId w:val="0"/>
        </w:numPr>
        <w:tabs>
          <w:tab w:val="left" w:pos="2007"/>
        </w:tabs>
        <w:ind w:left="2727" w:hanging="720"/>
      </w:pPr>
      <w:r w:rsidRPr="006764B0">
        <w:t>(</w:t>
      </w:r>
      <w:proofErr w:type="spellStart"/>
      <w:r w:rsidRPr="006764B0">
        <w:t>i</w:t>
      </w:r>
      <w:proofErr w:type="spellEnd"/>
      <w:r w:rsidRPr="006764B0">
        <w:t>)</w:t>
      </w:r>
      <w:r w:rsidRPr="006764B0">
        <w:tab/>
      </w:r>
      <w:r w:rsidR="006764B0" w:rsidRPr="006764B0">
        <w:rPr>
          <w:bCs/>
          <w:iCs/>
        </w:rPr>
        <w:t xml:space="preserve">claims for losses incurred by former clients of the </w:t>
      </w:r>
      <w:r w:rsidR="006764B0" w:rsidRPr="006764B0">
        <w:rPr>
          <w:iCs/>
        </w:rPr>
        <w:t>Company</w:t>
      </w:r>
      <w:r w:rsidR="006764B0" w:rsidRPr="006764B0">
        <w:rPr>
          <w:bCs/>
          <w:iCs/>
        </w:rPr>
        <w:t>; and</w:t>
      </w:r>
    </w:p>
    <w:p w14:paraId="0FE62416" w14:textId="2B76A727" w:rsidR="006764B0" w:rsidRPr="006764B0" w:rsidRDefault="00B6500C" w:rsidP="00B6500C">
      <w:pPr>
        <w:pStyle w:val="Order3"/>
        <w:numPr>
          <w:ilvl w:val="0"/>
          <w:numId w:val="0"/>
        </w:numPr>
        <w:tabs>
          <w:tab w:val="left" w:pos="2007"/>
        </w:tabs>
        <w:ind w:left="2727" w:hanging="720"/>
      </w:pPr>
      <w:r w:rsidRPr="006764B0">
        <w:t>(ii)</w:t>
      </w:r>
      <w:r w:rsidRPr="006764B0">
        <w:tab/>
      </w:r>
      <w:r w:rsidR="006764B0" w:rsidRPr="006764B0">
        <w:t xml:space="preserve">any other claim to receive a dividend out of the available assets of the Company (including by creditors who were not former clients of the Company) which can be established pursuant to the proof of claim process conducted under </w:t>
      </w:r>
      <w:r w:rsidR="000C5DBD">
        <w:t>order</w:t>
      </w:r>
      <w:r w:rsidR="006764B0" w:rsidRPr="006764B0">
        <w:t xml:space="preserve"> 4 below; </w:t>
      </w:r>
    </w:p>
    <w:p w14:paraId="0B03126C" w14:textId="0DB9C992" w:rsidR="006764B0" w:rsidRPr="006764B0" w:rsidRDefault="00B6500C" w:rsidP="00B6500C">
      <w:pPr>
        <w:pStyle w:val="Order2"/>
        <w:numPr>
          <w:ilvl w:val="0"/>
          <w:numId w:val="0"/>
        </w:numPr>
        <w:tabs>
          <w:tab w:val="left" w:pos="2007"/>
        </w:tabs>
        <w:ind w:left="2007" w:hanging="720"/>
      </w:pPr>
      <w:r w:rsidRPr="006764B0">
        <w:t>(c)</w:t>
      </w:r>
      <w:r w:rsidRPr="006764B0">
        <w:tab/>
      </w:r>
      <w:r w:rsidR="006764B0" w:rsidRPr="006764B0">
        <w:rPr>
          <w:b/>
          <w:bCs/>
        </w:rPr>
        <w:t>Claimants</w:t>
      </w:r>
      <w:r w:rsidR="006764B0" w:rsidRPr="006764B0">
        <w:t xml:space="preserve"> means any person who has a Claim, including Former Client Claimants (as defined below); </w:t>
      </w:r>
    </w:p>
    <w:p w14:paraId="0FE67614" w14:textId="039BDEAA" w:rsidR="006764B0" w:rsidRPr="006764B0" w:rsidRDefault="00B6500C" w:rsidP="00B6500C">
      <w:pPr>
        <w:pStyle w:val="Order2"/>
        <w:numPr>
          <w:ilvl w:val="0"/>
          <w:numId w:val="0"/>
        </w:numPr>
        <w:tabs>
          <w:tab w:val="left" w:pos="2007"/>
        </w:tabs>
        <w:ind w:left="2007" w:hanging="720"/>
      </w:pPr>
      <w:r w:rsidRPr="006764B0">
        <w:lastRenderedPageBreak/>
        <w:t>(d)</w:t>
      </w:r>
      <w:r w:rsidRPr="006764B0">
        <w:tab/>
      </w:r>
      <w:r w:rsidR="006764B0" w:rsidRPr="006764B0">
        <w:rPr>
          <w:b/>
          <w:bCs/>
        </w:rPr>
        <w:t xml:space="preserve">Deed Administrators </w:t>
      </w:r>
      <w:r w:rsidR="006764B0" w:rsidRPr="006764B0">
        <w:t xml:space="preserve">means the First Plaintiffs; </w:t>
      </w:r>
    </w:p>
    <w:p w14:paraId="174CA3A0" w14:textId="1B54144F" w:rsidR="006764B0" w:rsidRPr="006764B0" w:rsidRDefault="00B6500C" w:rsidP="00B6500C">
      <w:pPr>
        <w:pStyle w:val="Order2"/>
        <w:numPr>
          <w:ilvl w:val="0"/>
          <w:numId w:val="0"/>
        </w:numPr>
        <w:tabs>
          <w:tab w:val="left" w:pos="2007"/>
        </w:tabs>
        <w:ind w:left="2007" w:hanging="720"/>
      </w:pPr>
      <w:r w:rsidRPr="006764B0">
        <w:t>(e)</w:t>
      </w:r>
      <w:r w:rsidRPr="006764B0">
        <w:tab/>
      </w:r>
      <w:r w:rsidR="006764B0" w:rsidRPr="006764B0">
        <w:rPr>
          <w:b/>
        </w:rPr>
        <w:t xml:space="preserve">Deed Fund </w:t>
      </w:r>
      <w:r w:rsidR="006764B0" w:rsidRPr="006764B0">
        <w:rPr>
          <w:bCs/>
        </w:rPr>
        <w:t xml:space="preserve">has the meaning attributed to that phrase in the deed of company arrangement executed in respect of the Second Plaintiff / Company; </w:t>
      </w:r>
    </w:p>
    <w:p w14:paraId="722DFA1A" w14:textId="6A215202" w:rsidR="006764B0" w:rsidRPr="006764B0" w:rsidRDefault="00B6500C" w:rsidP="00B6500C">
      <w:pPr>
        <w:pStyle w:val="Order2"/>
        <w:numPr>
          <w:ilvl w:val="0"/>
          <w:numId w:val="0"/>
        </w:numPr>
        <w:tabs>
          <w:tab w:val="left" w:pos="2007"/>
        </w:tabs>
        <w:ind w:left="2007" w:hanging="720"/>
      </w:pPr>
      <w:r w:rsidRPr="006764B0">
        <w:t>(f)</w:t>
      </w:r>
      <w:r w:rsidRPr="006764B0">
        <w:tab/>
      </w:r>
      <w:r w:rsidR="006764B0" w:rsidRPr="006764B0">
        <w:rPr>
          <w:b/>
          <w:bCs/>
        </w:rPr>
        <w:t xml:space="preserve">Former Client Claimants </w:t>
      </w:r>
      <w:r w:rsidR="006764B0" w:rsidRPr="006764B0">
        <w:t xml:space="preserve">means former clients of the Company who have suffered losses (as assessed by reference to the Actual Loss Approach) by reason of financial advice received from the Company; </w:t>
      </w:r>
    </w:p>
    <w:p w14:paraId="68E0B480" w14:textId="6720A330" w:rsidR="006764B0" w:rsidRPr="006764B0" w:rsidRDefault="00B6500C" w:rsidP="00B6500C">
      <w:pPr>
        <w:pStyle w:val="Order2"/>
        <w:numPr>
          <w:ilvl w:val="0"/>
          <w:numId w:val="0"/>
        </w:numPr>
        <w:tabs>
          <w:tab w:val="left" w:pos="2007"/>
        </w:tabs>
        <w:ind w:left="2007" w:hanging="720"/>
      </w:pPr>
      <w:r w:rsidRPr="006764B0">
        <w:t>(g)</w:t>
      </w:r>
      <w:r w:rsidRPr="006764B0">
        <w:tab/>
      </w:r>
      <w:r w:rsidR="006764B0" w:rsidRPr="006764B0">
        <w:rPr>
          <w:b/>
          <w:bCs/>
        </w:rPr>
        <w:t xml:space="preserve">IPS </w:t>
      </w:r>
      <w:r w:rsidR="006764B0" w:rsidRPr="006764B0">
        <w:t>means</w:t>
      </w:r>
      <w:r w:rsidR="006764B0" w:rsidRPr="006764B0">
        <w:rPr>
          <w:b/>
          <w:bCs/>
        </w:rPr>
        <w:t xml:space="preserve"> </w:t>
      </w:r>
      <w:r w:rsidR="006764B0" w:rsidRPr="006764B0">
        <w:t xml:space="preserve">the </w:t>
      </w:r>
      <w:r w:rsidR="006764B0" w:rsidRPr="006764B0">
        <w:rPr>
          <w:i/>
        </w:rPr>
        <w:t>Insolvency Practice Schedule (Corporations)</w:t>
      </w:r>
      <w:r w:rsidR="006764B0" w:rsidRPr="006764B0">
        <w:t xml:space="preserve">; </w:t>
      </w:r>
    </w:p>
    <w:p w14:paraId="0F79727D" w14:textId="073DC0F8" w:rsidR="006764B0" w:rsidRPr="006764B0" w:rsidRDefault="00B6500C" w:rsidP="00B6500C">
      <w:pPr>
        <w:pStyle w:val="Order2"/>
        <w:numPr>
          <w:ilvl w:val="0"/>
          <w:numId w:val="0"/>
        </w:numPr>
        <w:tabs>
          <w:tab w:val="left" w:pos="2007"/>
        </w:tabs>
        <w:ind w:left="2007" w:hanging="720"/>
      </w:pPr>
      <w:r w:rsidRPr="006764B0">
        <w:t>(h)</w:t>
      </w:r>
      <w:r w:rsidRPr="006764B0">
        <w:tab/>
      </w:r>
      <w:r w:rsidR="006764B0" w:rsidRPr="006764B0">
        <w:rPr>
          <w:b/>
        </w:rPr>
        <w:t xml:space="preserve">March 2024 Gill Affidavit </w:t>
      </w:r>
      <w:r w:rsidR="006764B0" w:rsidRPr="006764B0">
        <w:rPr>
          <w:bCs/>
        </w:rPr>
        <w:t>means</w:t>
      </w:r>
      <w:r w:rsidR="006764B0" w:rsidRPr="006764B0">
        <w:rPr>
          <w:b/>
        </w:rPr>
        <w:t xml:space="preserve"> </w:t>
      </w:r>
      <w:r w:rsidR="006764B0" w:rsidRPr="006764B0">
        <w:rPr>
          <w:bCs/>
        </w:rPr>
        <w:t xml:space="preserve">the affidavit of Rebecca Louise Gill affirmed on 5 March 2024; and </w:t>
      </w:r>
    </w:p>
    <w:p w14:paraId="402832DE" w14:textId="0B98FD65" w:rsidR="006764B0" w:rsidRPr="006764B0" w:rsidRDefault="00B6500C" w:rsidP="00B6500C">
      <w:pPr>
        <w:pStyle w:val="Order2"/>
        <w:numPr>
          <w:ilvl w:val="0"/>
          <w:numId w:val="0"/>
        </w:numPr>
        <w:tabs>
          <w:tab w:val="left" w:pos="2007"/>
        </w:tabs>
        <w:ind w:left="2007" w:hanging="720"/>
      </w:pPr>
      <w:r w:rsidRPr="006764B0">
        <w:t>(</w:t>
      </w:r>
      <w:proofErr w:type="spellStart"/>
      <w:r w:rsidRPr="006764B0">
        <w:t>i</w:t>
      </w:r>
      <w:proofErr w:type="spellEnd"/>
      <w:r w:rsidRPr="006764B0">
        <w:t>)</w:t>
      </w:r>
      <w:r w:rsidRPr="006764B0">
        <w:tab/>
      </w:r>
      <w:r w:rsidR="006764B0" w:rsidRPr="006764B0">
        <w:rPr>
          <w:b/>
        </w:rPr>
        <w:t xml:space="preserve">Materiality Threshold </w:t>
      </w:r>
      <w:r w:rsidR="006764B0" w:rsidRPr="006764B0">
        <w:rPr>
          <w:bCs/>
        </w:rPr>
        <w:t>means the thresholds described in the confidential exhibit to the March 2024 Gill Affidavit (</w:t>
      </w:r>
      <w:r w:rsidR="006764B0" w:rsidRPr="006764B0">
        <w:rPr>
          <w:b/>
        </w:rPr>
        <w:t>Confidential Exhibit</w:t>
      </w:r>
      <w:r w:rsidR="006764B0" w:rsidRPr="006764B0">
        <w:rPr>
          <w:bCs/>
        </w:rPr>
        <w:t xml:space="preserve">). </w:t>
      </w:r>
    </w:p>
    <w:p w14:paraId="47165779" w14:textId="3AF5629C" w:rsidR="00317FC7" w:rsidRDefault="00317FC7" w:rsidP="00317FC7">
      <w:pPr>
        <w:pStyle w:val="Order1"/>
        <w:numPr>
          <w:ilvl w:val="0"/>
          <w:numId w:val="0"/>
        </w:numPr>
      </w:pPr>
      <w:r>
        <w:rPr>
          <w:b/>
          <w:bCs/>
          <w:i/>
          <w:iCs/>
        </w:rPr>
        <w:t>Distribution of available funds</w:t>
      </w:r>
    </w:p>
    <w:p w14:paraId="280E23EB" w14:textId="6B85EB19" w:rsidR="00763667" w:rsidRPr="005E445C" w:rsidRDefault="00B6500C" w:rsidP="00B6500C">
      <w:pPr>
        <w:pStyle w:val="Order1"/>
        <w:numPr>
          <w:ilvl w:val="0"/>
          <w:numId w:val="0"/>
        </w:numPr>
        <w:tabs>
          <w:tab w:val="left" w:pos="1287"/>
        </w:tabs>
        <w:ind w:left="1287" w:hanging="720"/>
      </w:pPr>
      <w:r w:rsidRPr="005E445C">
        <w:t>2.</w:t>
      </w:r>
      <w:r w:rsidRPr="005E445C">
        <w:tab/>
      </w:r>
      <w:r w:rsidR="00763667" w:rsidRPr="005E445C">
        <w:t xml:space="preserve">Pursuant to </w:t>
      </w:r>
      <w:proofErr w:type="spellStart"/>
      <w:r w:rsidR="00763667" w:rsidRPr="005E445C">
        <w:t>s</w:t>
      </w:r>
      <w:proofErr w:type="spellEnd"/>
      <w:r w:rsidR="00763667" w:rsidRPr="005E445C">
        <w:t xml:space="preserve"> 90-15 of the IPS, the Deed Administrators are justified and acting reasonably in using the Creditor Portal to administer the adjudication and distribution process set out in orders 3 to 8 of these orders.</w:t>
      </w:r>
    </w:p>
    <w:p w14:paraId="4184C391" w14:textId="3E2BA6EF" w:rsidR="00763667" w:rsidRPr="00763667" w:rsidRDefault="00B6500C" w:rsidP="00B6500C">
      <w:pPr>
        <w:pStyle w:val="Order1"/>
        <w:numPr>
          <w:ilvl w:val="0"/>
          <w:numId w:val="0"/>
        </w:numPr>
        <w:tabs>
          <w:tab w:val="left" w:pos="1287"/>
        </w:tabs>
        <w:ind w:left="1287" w:hanging="720"/>
      </w:pPr>
      <w:bookmarkStart w:id="27" w:name="_Hlk160457470"/>
      <w:r w:rsidRPr="00763667">
        <w:t>3.</w:t>
      </w:r>
      <w:r w:rsidRPr="00763667">
        <w:tab/>
      </w:r>
      <w:r w:rsidR="00763667" w:rsidRPr="00763667">
        <w:t xml:space="preserve">Pursuant to </w:t>
      </w:r>
      <w:proofErr w:type="spellStart"/>
      <w:r w:rsidR="00763667" w:rsidRPr="00763667">
        <w:t>s</w:t>
      </w:r>
      <w:proofErr w:type="spellEnd"/>
      <w:r w:rsidR="00763667" w:rsidRPr="00763667">
        <w:t xml:space="preserve"> 90-15 of the IPS and subject to </w:t>
      </w:r>
      <w:r w:rsidR="0054621D">
        <w:t>order</w:t>
      </w:r>
      <w:r w:rsidR="0054621D" w:rsidRPr="00763667">
        <w:t xml:space="preserve"> </w:t>
      </w:r>
      <w:r w:rsidR="00763667" w:rsidRPr="00763667">
        <w:t xml:space="preserve">5 below, the Deed Administrators are justified and acting reasonably in making distributions out of the Deed Fund to Claimants on the basis that: </w:t>
      </w:r>
    </w:p>
    <w:p w14:paraId="1D4F594F" w14:textId="7E87E365" w:rsidR="00763667" w:rsidRPr="00763667" w:rsidRDefault="00B6500C" w:rsidP="00B6500C">
      <w:pPr>
        <w:pStyle w:val="Order2"/>
        <w:numPr>
          <w:ilvl w:val="0"/>
          <w:numId w:val="0"/>
        </w:numPr>
        <w:tabs>
          <w:tab w:val="left" w:pos="2007"/>
        </w:tabs>
        <w:ind w:left="2007" w:hanging="720"/>
      </w:pPr>
      <w:r w:rsidRPr="00763667">
        <w:t>(a)</w:t>
      </w:r>
      <w:r w:rsidRPr="00763667">
        <w:tab/>
      </w:r>
      <w:r w:rsidR="00763667" w:rsidRPr="00763667">
        <w:t>the losses suffered by Former Client Claimants are to be quantified by adopting the Actual Loss Approach; and</w:t>
      </w:r>
    </w:p>
    <w:p w14:paraId="0821F80E" w14:textId="6BE3001A" w:rsidR="00763667" w:rsidRPr="00763667" w:rsidRDefault="00B6500C" w:rsidP="00B6500C">
      <w:pPr>
        <w:pStyle w:val="Order2"/>
        <w:numPr>
          <w:ilvl w:val="0"/>
          <w:numId w:val="0"/>
        </w:numPr>
        <w:tabs>
          <w:tab w:val="left" w:pos="2007"/>
        </w:tabs>
        <w:ind w:left="2007" w:hanging="720"/>
      </w:pPr>
      <w:r w:rsidRPr="00763667">
        <w:t>(b)</w:t>
      </w:r>
      <w:r w:rsidRPr="00763667">
        <w:tab/>
      </w:r>
      <w:r w:rsidR="00763667" w:rsidRPr="00763667">
        <w:t xml:space="preserve">any dividends to be paid to Former Client Claimants will be those as determined by the Deed Administrators, calculated by reference to the amount of their respective Claims as quantified in accordance with </w:t>
      </w:r>
      <w:r w:rsidR="000C5DBD">
        <w:t>order</w:t>
      </w:r>
      <w:r w:rsidR="00763667" w:rsidRPr="00763667">
        <w:t xml:space="preserve"> 3(a). </w:t>
      </w:r>
    </w:p>
    <w:bookmarkEnd w:id="27"/>
    <w:p w14:paraId="71C2005C" w14:textId="43B0ACD3" w:rsidR="00360B74" w:rsidRPr="00360B74" w:rsidRDefault="00B6500C" w:rsidP="00B6500C">
      <w:pPr>
        <w:pStyle w:val="Order1"/>
        <w:numPr>
          <w:ilvl w:val="0"/>
          <w:numId w:val="0"/>
        </w:numPr>
        <w:tabs>
          <w:tab w:val="left" w:pos="1287"/>
        </w:tabs>
        <w:ind w:left="1287" w:hanging="720"/>
      </w:pPr>
      <w:r w:rsidRPr="00360B74">
        <w:t>4.</w:t>
      </w:r>
      <w:r w:rsidRPr="00360B74">
        <w:tab/>
      </w:r>
      <w:r w:rsidR="00360B74" w:rsidRPr="00360B74">
        <w:t xml:space="preserve">Pursuant to </w:t>
      </w:r>
      <w:proofErr w:type="spellStart"/>
      <w:r w:rsidR="00360B74" w:rsidRPr="00360B74">
        <w:t>s</w:t>
      </w:r>
      <w:proofErr w:type="spellEnd"/>
      <w:r w:rsidR="00360B74" w:rsidRPr="00360B74">
        <w:t xml:space="preserve"> 90-15 of the IPS, the Deed Administrators are justified and acting reasonably, for the purposes of effecting the distribution of the Deed Fund, in conducting a proof of claim process in the following manner: </w:t>
      </w:r>
    </w:p>
    <w:p w14:paraId="3A94BA57" w14:textId="38A8ED9F" w:rsidR="00360B74" w:rsidRPr="00360B74" w:rsidRDefault="00B6500C" w:rsidP="00B6500C">
      <w:pPr>
        <w:pStyle w:val="Order2"/>
        <w:numPr>
          <w:ilvl w:val="0"/>
          <w:numId w:val="0"/>
        </w:numPr>
        <w:tabs>
          <w:tab w:val="left" w:pos="2007"/>
        </w:tabs>
        <w:ind w:left="2007" w:hanging="720"/>
        <w:rPr>
          <w:iCs/>
        </w:rPr>
      </w:pPr>
      <w:r w:rsidRPr="00360B74">
        <w:rPr>
          <w:iCs/>
        </w:rPr>
        <w:t>(a)</w:t>
      </w:r>
      <w:r w:rsidRPr="00360B74">
        <w:rPr>
          <w:iCs/>
        </w:rPr>
        <w:tab/>
      </w:r>
      <w:r w:rsidR="00360B74" w:rsidRPr="00360B74">
        <w:rPr>
          <w:iCs/>
        </w:rPr>
        <w:t>the Deed Administrators shall give notice of their intention (</w:t>
      </w:r>
      <w:r w:rsidR="00360B74" w:rsidRPr="00360B74">
        <w:rPr>
          <w:b/>
          <w:bCs/>
          <w:iCs/>
        </w:rPr>
        <w:t>Notice of Intention</w:t>
      </w:r>
      <w:r w:rsidR="00360B74" w:rsidRPr="00360B74">
        <w:rPr>
          <w:iCs/>
        </w:rPr>
        <w:t xml:space="preserve">) to declare a dividend not more than 8 months before the intended date: </w:t>
      </w:r>
    </w:p>
    <w:p w14:paraId="76BD6B40" w14:textId="06BA6B09" w:rsidR="00360B74" w:rsidRPr="00360B74" w:rsidRDefault="00B6500C" w:rsidP="00B6500C">
      <w:pPr>
        <w:pStyle w:val="Order3"/>
        <w:numPr>
          <w:ilvl w:val="0"/>
          <w:numId w:val="0"/>
        </w:numPr>
        <w:tabs>
          <w:tab w:val="left" w:pos="2007"/>
        </w:tabs>
        <w:ind w:left="2727" w:hanging="720"/>
        <w:rPr>
          <w:bCs/>
          <w:iCs/>
        </w:rPr>
      </w:pPr>
      <w:r w:rsidRPr="00360B74">
        <w:rPr>
          <w:bCs/>
          <w:iCs/>
        </w:rPr>
        <w:lastRenderedPageBreak/>
        <w:t>(</w:t>
      </w:r>
      <w:proofErr w:type="spellStart"/>
      <w:r w:rsidRPr="00360B74">
        <w:rPr>
          <w:bCs/>
          <w:iCs/>
        </w:rPr>
        <w:t>i</w:t>
      </w:r>
      <w:proofErr w:type="spellEnd"/>
      <w:r w:rsidRPr="00360B74">
        <w:rPr>
          <w:bCs/>
          <w:iCs/>
        </w:rPr>
        <w:t>)</w:t>
      </w:r>
      <w:r w:rsidRPr="00360B74">
        <w:rPr>
          <w:bCs/>
          <w:iCs/>
        </w:rPr>
        <w:tab/>
      </w:r>
      <w:r w:rsidR="00360B74" w:rsidRPr="00360B74">
        <w:rPr>
          <w:bCs/>
          <w:iCs/>
        </w:rPr>
        <w:t>by lodging a notice with ASIC in accordance with sub</w:t>
      </w:r>
      <w:r w:rsidR="000C5698">
        <w:rPr>
          <w:bCs/>
          <w:iCs/>
        </w:rPr>
        <w:t>-</w:t>
      </w:r>
      <w:r w:rsidR="00360B74" w:rsidRPr="00360B74">
        <w:rPr>
          <w:bCs/>
          <w:iCs/>
        </w:rPr>
        <w:t xml:space="preserve">reg 5.6.75(4) of the </w:t>
      </w:r>
      <w:r w:rsidR="00360B74" w:rsidRPr="00360B74">
        <w:rPr>
          <w:bCs/>
          <w:i/>
        </w:rPr>
        <w:t xml:space="preserve">Corporations Regulations 2001 </w:t>
      </w:r>
      <w:r w:rsidR="00360B74" w:rsidRPr="00360B74">
        <w:rPr>
          <w:bCs/>
          <w:iCs/>
        </w:rPr>
        <w:t>(</w:t>
      </w:r>
      <w:proofErr w:type="spellStart"/>
      <w:r w:rsidR="00360B74" w:rsidRPr="00360B74">
        <w:rPr>
          <w:bCs/>
          <w:iCs/>
        </w:rPr>
        <w:t>Cth</w:t>
      </w:r>
      <w:proofErr w:type="spellEnd"/>
      <w:r w:rsidR="00360B74" w:rsidRPr="00360B74">
        <w:rPr>
          <w:bCs/>
          <w:iCs/>
        </w:rPr>
        <w:t>); and</w:t>
      </w:r>
    </w:p>
    <w:p w14:paraId="5BC879AC" w14:textId="4A785DFC" w:rsidR="00360B74" w:rsidRPr="00360B74" w:rsidRDefault="00B6500C" w:rsidP="00B6500C">
      <w:pPr>
        <w:pStyle w:val="Order3"/>
        <w:numPr>
          <w:ilvl w:val="0"/>
          <w:numId w:val="0"/>
        </w:numPr>
        <w:tabs>
          <w:tab w:val="left" w:pos="2007"/>
        </w:tabs>
        <w:ind w:left="2727" w:hanging="720"/>
        <w:rPr>
          <w:bCs/>
          <w:iCs/>
        </w:rPr>
      </w:pPr>
      <w:r w:rsidRPr="00360B74">
        <w:rPr>
          <w:bCs/>
          <w:iCs/>
        </w:rPr>
        <w:t>(ii)</w:t>
      </w:r>
      <w:r w:rsidRPr="00360B74">
        <w:rPr>
          <w:bCs/>
          <w:iCs/>
        </w:rPr>
        <w:tab/>
      </w:r>
      <w:r w:rsidR="00360B74" w:rsidRPr="00360B74">
        <w:rPr>
          <w:bCs/>
          <w:iCs/>
        </w:rPr>
        <w:t>by notice sent to each Former Client Claimant and to each other person who has asserted a Claim or who the Deed Administrators otherwise consider may have a claim (</w:t>
      </w:r>
      <w:r w:rsidR="00360B74" w:rsidRPr="00360B74">
        <w:rPr>
          <w:b/>
          <w:iCs/>
        </w:rPr>
        <w:t>Notified Persons</w:t>
      </w:r>
      <w:r w:rsidR="00360B74" w:rsidRPr="00360B74">
        <w:rPr>
          <w:bCs/>
          <w:iCs/>
        </w:rPr>
        <w:t xml:space="preserve">); </w:t>
      </w:r>
    </w:p>
    <w:p w14:paraId="156B63AB" w14:textId="5382580A" w:rsidR="00DB6A07" w:rsidRPr="00DB6A07" w:rsidRDefault="00B6500C" w:rsidP="00B6500C">
      <w:pPr>
        <w:pStyle w:val="Order2"/>
        <w:numPr>
          <w:ilvl w:val="0"/>
          <w:numId w:val="0"/>
        </w:numPr>
        <w:tabs>
          <w:tab w:val="left" w:pos="2007"/>
        </w:tabs>
        <w:ind w:left="2007" w:hanging="720"/>
        <w:rPr>
          <w:iCs/>
        </w:rPr>
      </w:pPr>
      <w:r w:rsidRPr="00DB6A07">
        <w:rPr>
          <w:iCs/>
        </w:rPr>
        <w:t>(b)</w:t>
      </w:r>
      <w:r w:rsidRPr="00DB6A07">
        <w:rPr>
          <w:iCs/>
        </w:rPr>
        <w:tab/>
      </w:r>
      <w:r w:rsidR="00DB6A07" w:rsidRPr="00DB6A07">
        <w:rPr>
          <w:iCs/>
        </w:rPr>
        <w:t xml:space="preserve">in their Notice of Intention, the Deed Administrators shall call for proofs of claim by notice to each of the Notified Persons;  </w:t>
      </w:r>
    </w:p>
    <w:p w14:paraId="53DB5D07" w14:textId="4F5D90A1" w:rsidR="00DB6A07" w:rsidRPr="00DB6A07" w:rsidRDefault="00B6500C" w:rsidP="00B6500C">
      <w:pPr>
        <w:pStyle w:val="Order2"/>
        <w:numPr>
          <w:ilvl w:val="0"/>
          <w:numId w:val="0"/>
        </w:numPr>
        <w:tabs>
          <w:tab w:val="left" w:pos="2007"/>
        </w:tabs>
        <w:ind w:left="2007" w:hanging="720"/>
        <w:rPr>
          <w:iCs/>
        </w:rPr>
      </w:pPr>
      <w:r w:rsidRPr="00DB6A07">
        <w:rPr>
          <w:iCs/>
        </w:rPr>
        <w:t>(c)</w:t>
      </w:r>
      <w:r w:rsidRPr="00DB6A07">
        <w:rPr>
          <w:iCs/>
        </w:rPr>
        <w:tab/>
      </w:r>
      <w:r w:rsidR="00DB6A07" w:rsidRPr="00DB6A07">
        <w:rPr>
          <w:iCs/>
        </w:rPr>
        <w:t xml:space="preserve">for the purposes of </w:t>
      </w:r>
      <w:r w:rsidR="0054621D">
        <w:rPr>
          <w:iCs/>
        </w:rPr>
        <w:t>orders</w:t>
      </w:r>
      <w:r w:rsidR="00DB6A07" w:rsidRPr="00DB6A07">
        <w:rPr>
          <w:iCs/>
        </w:rPr>
        <w:t xml:space="preserve"> </w:t>
      </w:r>
      <w:r w:rsidR="005E445C">
        <w:rPr>
          <w:iCs/>
        </w:rPr>
        <w:t>4</w:t>
      </w:r>
      <w:r w:rsidR="00DB6A07" w:rsidRPr="00DB6A07">
        <w:rPr>
          <w:iCs/>
        </w:rPr>
        <w:t xml:space="preserve">(a)(ii) and </w:t>
      </w:r>
      <w:r w:rsidR="005E445C">
        <w:rPr>
          <w:iCs/>
        </w:rPr>
        <w:t>4</w:t>
      </w:r>
      <w:r w:rsidR="00DB6A07" w:rsidRPr="00DB6A07">
        <w:rPr>
          <w:iCs/>
        </w:rPr>
        <w:t>(b), notice is to be given as follows:</w:t>
      </w:r>
    </w:p>
    <w:p w14:paraId="218CC171" w14:textId="006C21E9" w:rsidR="00DB6A07" w:rsidRPr="00DB6A07" w:rsidRDefault="00B6500C" w:rsidP="00B6500C">
      <w:pPr>
        <w:pStyle w:val="Order3"/>
        <w:numPr>
          <w:ilvl w:val="0"/>
          <w:numId w:val="0"/>
        </w:numPr>
        <w:tabs>
          <w:tab w:val="left" w:pos="2007"/>
        </w:tabs>
        <w:ind w:left="2727" w:hanging="720"/>
      </w:pPr>
      <w:r w:rsidRPr="00DB6A07">
        <w:t>(</w:t>
      </w:r>
      <w:proofErr w:type="spellStart"/>
      <w:r w:rsidRPr="00DB6A07">
        <w:t>i</w:t>
      </w:r>
      <w:proofErr w:type="spellEnd"/>
      <w:r w:rsidRPr="00DB6A07">
        <w:t>)</w:t>
      </w:r>
      <w:r w:rsidRPr="00DB6A07">
        <w:tab/>
      </w:r>
      <w:r w:rsidR="00DB6A07" w:rsidRPr="00DB6A07">
        <w:t xml:space="preserve">where the Deed Administrators have an email address for a creditor, by notifying that creditor via email; </w:t>
      </w:r>
    </w:p>
    <w:p w14:paraId="2FE5D51B" w14:textId="5D437854" w:rsidR="00DB6A07" w:rsidRPr="00DB6A07" w:rsidRDefault="00B6500C" w:rsidP="00B6500C">
      <w:pPr>
        <w:pStyle w:val="Order3"/>
        <w:numPr>
          <w:ilvl w:val="0"/>
          <w:numId w:val="0"/>
        </w:numPr>
        <w:tabs>
          <w:tab w:val="left" w:pos="2007"/>
        </w:tabs>
        <w:ind w:left="2727" w:hanging="720"/>
      </w:pPr>
      <w:r w:rsidRPr="00DB6A07">
        <w:t>(ii)</w:t>
      </w:r>
      <w:r w:rsidRPr="00DB6A07">
        <w:tab/>
      </w:r>
      <w:r w:rsidR="00DB6A07" w:rsidRPr="00DB6A07">
        <w:t>where the Deed Administrators do not have an email address for a creditor but have a postal address, by notifying that creditor via post;</w:t>
      </w:r>
    </w:p>
    <w:p w14:paraId="1F2D4A79" w14:textId="27AE1AB6" w:rsidR="00DB6A07" w:rsidRPr="00DB6A07" w:rsidRDefault="00B6500C" w:rsidP="00B6500C">
      <w:pPr>
        <w:pStyle w:val="Order3"/>
        <w:numPr>
          <w:ilvl w:val="0"/>
          <w:numId w:val="0"/>
        </w:numPr>
        <w:tabs>
          <w:tab w:val="left" w:pos="2007"/>
        </w:tabs>
        <w:ind w:left="2727" w:hanging="720"/>
      </w:pPr>
      <w:r w:rsidRPr="00DB6A07">
        <w:t>(iii)</w:t>
      </w:r>
      <w:r w:rsidRPr="00DB6A07">
        <w:tab/>
      </w:r>
      <w:r w:rsidR="00DB6A07" w:rsidRPr="00DB6A07">
        <w:t>where the creditor has an account on the Creditor Portal, by issuing a notice on the Creditor Portal; and</w:t>
      </w:r>
    </w:p>
    <w:p w14:paraId="278EB962" w14:textId="77FC5DF9" w:rsidR="00DB6A07" w:rsidRPr="00DB6A07" w:rsidRDefault="00B6500C" w:rsidP="00B6500C">
      <w:pPr>
        <w:pStyle w:val="Order3"/>
        <w:numPr>
          <w:ilvl w:val="0"/>
          <w:numId w:val="0"/>
        </w:numPr>
        <w:tabs>
          <w:tab w:val="left" w:pos="2007"/>
        </w:tabs>
        <w:ind w:left="2727" w:hanging="720"/>
      </w:pPr>
      <w:r w:rsidRPr="00DB6A07">
        <w:t>(iv)</w:t>
      </w:r>
      <w:r w:rsidRPr="00DB6A07">
        <w:tab/>
      </w:r>
      <w:r w:rsidR="00DB6A07" w:rsidRPr="00DB6A07">
        <w:t>by publishing a notice on the website maintained by the Deed</w:t>
      </w:r>
      <w:r w:rsidR="00364DBA">
        <w:t xml:space="preserve"> </w:t>
      </w:r>
      <w:r w:rsidR="00DB6A07" w:rsidRPr="00DB6A07">
        <w:t>Administrators</w:t>
      </w:r>
      <w:r w:rsidR="00364DBA">
        <w:t> </w:t>
      </w:r>
      <w:r w:rsidR="00DB6A07" w:rsidRPr="00DB6A07">
        <w:t>at</w:t>
      </w:r>
      <w:r w:rsidR="00364DBA">
        <w:t>:</w:t>
      </w:r>
      <w:r w:rsidR="00DB6A07" w:rsidRPr="00DB6A07">
        <w:t xml:space="preserve"> https://insolvency.pwc.com.au/singleEntityCases/dixon-advisory-superannuation-services-pty-ltd/casePage. </w:t>
      </w:r>
    </w:p>
    <w:p w14:paraId="296AABA3" w14:textId="17356F52" w:rsidR="00DB6A07" w:rsidRPr="00DB6A07" w:rsidRDefault="00B6500C" w:rsidP="00B6500C">
      <w:pPr>
        <w:pStyle w:val="Order2"/>
        <w:numPr>
          <w:ilvl w:val="0"/>
          <w:numId w:val="0"/>
        </w:numPr>
        <w:tabs>
          <w:tab w:val="left" w:pos="2007"/>
        </w:tabs>
        <w:ind w:left="2007" w:hanging="720"/>
        <w:rPr>
          <w:iCs/>
        </w:rPr>
      </w:pPr>
      <w:r w:rsidRPr="00DB6A07">
        <w:rPr>
          <w:iCs/>
        </w:rPr>
        <w:t>(d)</w:t>
      </w:r>
      <w:r w:rsidRPr="00DB6A07">
        <w:rPr>
          <w:iCs/>
        </w:rPr>
        <w:tab/>
      </w:r>
      <w:r w:rsidR="00DB6A07" w:rsidRPr="00DB6A07">
        <w:rPr>
          <w:iCs/>
        </w:rPr>
        <w:t xml:space="preserve">the Notice of Intention is to specify a date not less than 60 days after the date of the Notice of Intention for all Claimants to submit a proof of claim; </w:t>
      </w:r>
    </w:p>
    <w:p w14:paraId="51325DC8" w14:textId="3AA641C1" w:rsidR="006408BF" w:rsidRDefault="00B6500C" w:rsidP="00B6500C">
      <w:pPr>
        <w:pStyle w:val="Order2"/>
        <w:numPr>
          <w:ilvl w:val="0"/>
          <w:numId w:val="0"/>
        </w:numPr>
        <w:tabs>
          <w:tab w:val="left" w:pos="2007"/>
        </w:tabs>
        <w:ind w:left="2007" w:hanging="720"/>
      </w:pPr>
      <w:r>
        <w:t>(e)</w:t>
      </w:r>
      <w:r>
        <w:tab/>
      </w:r>
      <w:r w:rsidR="006408BF">
        <w:t>by 4</w:t>
      </w:r>
      <w:r w:rsidR="0054621D">
        <w:t>:00</w:t>
      </w:r>
      <w:r w:rsidR="006408BF">
        <w:t xml:space="preserve">pm on the day that falls 5 months after the date specified in the Notice of Intention, the Deed Administrators shall, in writing to each Claimant: </w:t>
      </w:r>
    </w:p>
    <w:p w14:paraId="1444B2E0" w14:textId="021354BB" w:rsidR="006408BF" w:rsidRDefault="00B6500C" w:rsidP="00B6500C">
      <w:pPr>
        <w:pStyle w:val="Order3"/>
        <w:numPr>
          <w:ilvl w:val="0"/>
          <w:numId w:val="0"/>
        </w:numPr>
        <w:tabs>
          <w:tab w:val="left" w:pos="2007"/>
        </w:tabs>
        <w:ind w:left="2727" w:hanging="720"/>
      </w:pPr>
      <w:r>
        <w:t>(</w:t>
      </w:r>
      <w:proofErr w:type="spellStart"/>
      <w:r>
        <w:t>i</w:t>
      </w:r>
      <w:proofErr w:type="spellEnd"/>
      <w:r>
        <w:t>)</w:t>
      </w:r>
      <w:r>
        <w:tab/>
      </w:r>
      <w:r w:rsidR="006408BF">
        <w:t xml:space="preserve">admit all or part of the proof of claim submitted by the Claimant; </w:t>
      </w:r>
    </w:p>
    <w:p w14:paraId="2A8F0076" w14:textId="3C28BE25" w:rsidR="006408BF" w:rsidRDefault="00B6500C" w:rsidP="00B6500C">
      <w:pPr>
        <w:pStyle w:val="Order3"/>
        <w:numPr>
          <w:ilvl w:val="0"/>
          <w:numId w:val="0"/>
        </w:numPr>
        <w:tabs>
          <w:tab w:val="left" w:pos="2007"/>
        </w:tabs>
        <w:ind w:left="2727" w:hanging="720"/>
      </w:pPr>
      <w:r>
        <w:t>(ii)</w:t>
      </w:r>
      <w:r>
        <w:tab/>
      </w:r>
      <w:r w:rsidR="006408BF">
        <w:t>reject all or part of the proof of claim submitted by the Claimant; or</w:t>
      </w:r>
    </w:p>
    <w:p w14:paraId="4B11747A" w14:textId="56E2216A" w:rsidR="006408BF" w:rsidRDefault="00B6500C" w:rsidP="00B6500C">
      <w:pPr>
        <w:pStyle w:val="Order3"/>
        <w:numPr>
          <w:ilvl w:val="0"/>
          <w:numId w:val="0"/>
        </w:numPr>
        <w:tabs>
          <w:tab w:val="left" w:pos="2007"/>
        </w:tabs>
        <w:ind w:left="2727" w:hanging="720"/>
      </w:pPr>
      <w:r>
        <w:t>(iii)</w:t>
      </w:r>
      <w:r>
        <w:tab/>
      </w:r>
      <w:r w:rsidR="006408BF">
        <w:t>require further evidence in support of the proof of claim submitted by the Claimant within 28 days (</w:t>
      </w:r>
      <w:r w:rsidR="006408BF" w:rsidRPr="00807226">
        <w:rPr>
          <w:b/>
          <w:bCs/>
        </w:rPr>
        <w:t>Request for Further Evidence</w:t>
      </w:r>
      <w:r w:rsidR="006408BF">
        <w:t>);</w:t>
      </w:r>
    </w:p>
    <w:p w14:paraId="1DAF05BD" w14:textId="701E5650" w:rsidR="009A2435" w:rsidRDefault="00B6500C" w:rsidP="00B6500C">
      <w:pPr>
        <w:pStyle w:val="Order2"/>
        <w:numPr>
          <w:ilvl w:val="0"/>
          <w:numId w:val="0"/>
        </w:numPr>
        <w:tabs>
          <w:tab w:val="left" w:pos="2007"/>
        </w:tabs>
        <w:ind w:left="2007" w:hanging="720"/>
      </w:pPr>
      <w:r>
        <w:lastRenderedPageBreak/>
        <w:t>(f)</w:t>
      </w:r>
      <w:r>
        <w:tab/>
      </w:r>
      <w:r w:rsidR="009A2435">
        <w:t>if the Deed Administrators make a Request for Further Evidence to a Claimant, the Deed Administrators must, in writing, deal with the proof of debt or claim:</w:t>
      </w:r>
    </w:p>
    <w:p w14:paraId="5E7BE778" w14:textId="0CC15674" w:rsidR="009A2435" w:rsidRDefault="00B6500C" w:rsidP="00B6500C">
      <w:pPr>
        <w:pStyle w:val="Order3"/>
        <w:numPr>
          <w:ilvl w:val="0"/>
          <w:numId w:val="0"/>
        </w:numPr>
        <w:tabs>
          <w:tab w:val="left" w:pos="2007"/>
        </w:tabs>
        <w:ind w:left="2727" w:hanging="720"/>
      </w:pPr>
      <w:r>
        <w:t>(</w:t>
      </w:r>
      <w:proofErr w:type="spellStart"/>
      <w:r>
        <w:t>i</w:t>
      </w:r>
      <w:proofErr w:type="spellEnd"/>
      <w:r>
        <w:t>)</w:t>
      </w:r>
      <w:r>
        <w:tab/>
      </w:r>
      <w:r w:rsidR="009A2435">
        <w:t xml:space="preserve">within 14 days of the day on which the Deed Administrators receive a sufficient written answer to their Request for Further Evidence; or </w:t>
      </w:r>
    </w:p>
    <w:p w14:paraId="526BCF31" w14:textId="252B64A8" w:rsidR="009A2435" w:rsidRDefault="00B6500C" w:rsidP="00B6500C">
      <w:pPr>
        <w:pStyle w:val="Order3"/>
        <w:numPr>
          <w:ilvl w:val="0"/>
          <w:numId w:val="0"/>
        </w:numPr>
        <w:tabs>
          <w:tab w:val="left" w:pos="2007"/>
        </w:tabs>
        <w:ind w:left="2727" w:hanging="720"/>
      </w:pPr>
      <w:r>
        <w:t>(ii)</w:t>
      </w:r>
      <w:r>
        <w:tab/>
      </w:r>
      <w:r w:rsidR="009A2435">
        <w:t>if the Claimant fails to respond to the Request for Further Evidence, within 14 days after the date by which they were required to respond;</w:t>
      </w:r>
    </w:p>
    <w:p w14:paraId="35531501" w14:textId="2FF355B2" w:rsidR="00B31042" w:rsidRDefault="00B6500C" w:rsidP="00B6500C">
      <w:pPr>
        <w:pStyle w:val="Order2"/>
        <w:numPr>
          <w:ilvl w:val="0"/>
          <w:numId w:val="0"/>
        </w:numPr>
        <w:tabs>
          <w:tab w:val="left" w:pos="2007"/>
        </w:tabs>
        <w:ind w:left="2007" w:hanging="720"/>
      </w:pPr>
      <w:r>
        <w:t>(g)</w:t>
      </w:r>
      <w:r>
        <w:tab/>
      </w:r>
      <w:r w:rsidR="00B31042">
        <w:t xml:space="preserve">within 14 days after the Deed Administrators have rejected all or part of a proof of claim, the Deed Administrators must: </w:t>
      </w:r>
    </w:p>
    <w:p w14:paraId="4F599177" w14:textId="6B517B47" w:rsidR="00B31042" w:rsidRDefault="00B6500C" w:rsidP="00B6500C">
      <w:pPr>
        <w:pStyle w:val="Order3"/>
        <w:numPr>
          <w:ilvl w:val="0"/>
          <w:numId w:val="0"/>
        </w:numPr>
        <w:tabs>
          <w:tab w:val="left" w:pos="2007"/>
        </w:tabs>
        <w:ind w:left="2727" w:hanging="720"/>
      </w:pPr>
      <w:r>
        <w:t>(</w:t>
      </w:r>
      <w:proofErr w:type="spellStart"/>
      <w:r>
        <w:t>i</w:t>
      </w:r>
      <w:proofErr w:type="spellEnd"/>
      <w:r>
        <w:t>)</w:t>
      </w:r>
      <w:r>
        <w:tab/>
      </w:r>
      <w:r w:rsidR="00B31042">
        <w:t xml:space="preserve">notify the Claimant of the grounds for that rejection in writing; and </w:t>
      </w:r>
    </w:p>
    <w:p w14:paraId="3A2E74B9" w14:textId="031F8582" w:rsidR="00B31042" w:rsidRDefault="00B6500C" w:rsidP="00B6500C">
      <w:pPr>
        <w:pStyle w:val="Order3"/>
        <w:numPr>
          <w:ilvl w:val="0"/>
          <w:numId w:val="0"/>
        </w:numPr>
        <w:tabs>
          <w:tab w:val="left" w:pos="2007"/>
        </w:tabs>
        <w:ind w:left="2727" w:hanging="720"/>
      </w:pPr>
      <w:r>
        <w:t>(ii)</w:t>
      </w:r>
      <w:r>
        <w:tab/>
      </w:r>
      <w:r w:rsidR="00B31042">
        <w:t xml:space="preserve">give notice to the Claimant at the same time: </w:t>
      </w:r>
    </w:p>
    <w:p w14:paraId="2340A5AA" w14:textId="14AB1A60" w:rsidR="00B31042" w:rsidRDefault="00B6500C" w:rsidP="00B6500C">
      <w:pPr>
        <w:pStyle w:val="Order4"/>
        <w:numPr>
          <w:ilvl w:val="0"/>
          <w:numId w:val="0"/>
        </w:numPr>
        <w:tabs>
          <w:tab w:val="left" w:pos="2727"/>
        </w:tabs>
        <w:ind w:left="3447" w:hanging="720"/>
      </w:pPr>
      <w:r>
        <w:t>A.</w:t>
      </w:r>
      <w:r>
        <w:tab/>
      </w:r>
      <w:r w:rsidR="00B31042">
        <w:t xml:space="preserve">that the Claimant may appeal to the Court against the rejection within the time specified in the notice, being within 14 days after service of the notice, or such further period as the Court allows; and  </w:t>
      </w:r>
    </w:p>
    <w:p w14:paraId="0220370A" w14:textId="1252FC70" w:rsidR="00B31042" w:rsidRDefault="00B6500C" w:rsidP="00B6500C">
      <w:pPr>
        <w:pStyle w:val="Order4"/>
        <w:numPr>
          <w:ilvl w:val="0"/>
          <w:numId w:val="0"/>
        </w:numPr>
        <w:tabs>
          <w:tab w:val="left" w:pos="2727"/>
        </w:tabs>
        <w:ind w:left="3447" w:hanging="720"/>
      </w:pPr>
      <w:r>
        <w:t>B.</w:t>
      </w:r>
      <w:r>
        <w:tab/>
      </w:r>
      <w:r w:rsidR="00B31042">
        <w:t xml:space="preserve">that unless the Claimant appeals in accordance with sub-paragraph A above, the amount of his, her or its </w:t>
      </w:r>
      <w:r w:rsidR="00855DCB">
        <w:t>c</w:t>
      </w:r>
      <w:r w:rsidR="00B31042">
        <w:t xml:space="preserve">laim will be assessed in accordance with the Deed Administrators’ endorsement on the Claimant’s proof. </w:t>
      </w:r>
    </w:p>
    <w:p w14:paraId="0DEF621C" w14:textId="3B3F9C11" w:rsidR="00326E93" w:rsidRPr="00326E93" w:rsidRDefault="00B6500C" w:rsidP="00B6500C">
      <w:pPr>
        <w:pStyle w:val="Order1"/>
        <w:numPr>
          <w:ilvl w:val="0"/>
          <w:numId w:val="0"/>
        </w:numPr>
        <w:tabs>
          <w:tab w:val="left" w:pos="1287"/>
        </w:tabs>
        <w:ind w:left="1287" w:hanging="720"/>
      </w:pPr>
      <w:r w:rsidRPr="00326E93">
        <w:t>5.</w:t>
      </w:r>
      <w:r w:rsidRPr="00326E93">
        <w:tab/>
      </w:r>
      <w:r w:rsidR="00326E93" w:rsidRPr="00326E93">
        <w:t xml:space="preserve">Pursuant to </w:t>
      </w:r>
      <w:proofErr w:type="spellStart"/>
      <w:r w:rsidR="00326E93" w:rsidRPr="00326E93">
        <w:t>s</w:t>
      </w:r>
      <w:proofErr w:type="spellEnd"/>
      <w:r w:rsidR="00326E93" w:rsidRPr="00326E93">
        <w:t xml:space="preserve"> 90-15 of the </w:t>
      </w:r>
      <w:r w:rsidR="00326E93" w:rsidRPr="00326E93">
        <w:rPr>
          <w:bCs/>
        </w:rPr>
        <w:t>IPS</w:t>
      </w:r>
      <w:r w:rsidR="00326E93" w:rsidRPr="00326E93">
        <w:t xml:space="preserve">, the </w:t>
      </w:r>
      <w:r w:rsidR="00326E93" w:rsidRPr="00326E93">
        <w:rPr>
          <w:bCs/>
        </w:rPr>
        <w:t>Deed Administrators</w:t>
      </w:r>
      <w:r w:rsidR="00326E93" w:rsidRPr="00326E93">
        <w:t xml:space="preserve"> are justified and acting reasonably in proceeding on the basis that any review of Claims by Former Client Claimants is to be undertaken in accordance with the Materiality Thresholds.</w:t>
      </w:r>
    </w:p>
    <w:p w14:paraId="33937456" w14:textId="0EE67C6A" w:rsidR="00326E93" w:rsidRPr="00326E93" w:rsidRDefault="00B6500C" w:rsidP="00B6500C">
      <w:pPr>
        <w:pStyle w:val="Order1"/>
        <w:numPr>
          <w:ilvl w:val="0"/>
          <w:numId w:val="0"/>
        </w:numPr>
        <w:tabs>
          <w:tab w:val="left" w:pos="1287"/>
        </w:tabs>
        <w:ind w:left="1287" w:hanging="720"/>
      </w:pPr>
      <w:r w:rsidRPr="00326E93">
        <w:t>6.</w:t>
      </w:r>
      <w:r w:rsidRPr="00326E93">
        <w:tab/>
      </w:r>
      <w:r w:rsidR="00326E93" w:rsidRPr="00326E93">
        <w:t xml:space="preserve">Pursuant to </w:t>
      </w:r>
      <w:proofErr w:type="spellStart"/>
      <w:r w:rsidR="00326E93" w:rsidRPr="00326E93">
        <w:t>s</w:t>
      </w:r>
      <w:proofErr w:type="spellEnd"/>
      <w:r w:rsidR="00326E93" w:rsidRPr="00326E93">
        <w:t xml:space="preserve"> 90-15 of the </w:t>
      </w:r>
      <w:r w:rsidR="00326E93" w:rsidRPr="00326E93">
        <w:rPr>
          <w:bCs/>
        </w:rPr>
        <w:t>IPS</w:t>
      </w:r>
      <w:r w:rsidR="00326E93" w:rsidRPr="00326E93">
        <w:t xml:space="preserve">, the </w:t>
      </w:r>
      <w:r w:rsidR="00326E93" w:rsidRPr="00326E93">
        <w:rPr>
          <w:bCs/>
        </w:rPr>
        <w:t>Deed Administrators</w:t>
      </w:r>
      <w:r w:rsidR="00326E93" w:rsidRPr="00326E93">
        <w:t xml:space="preserve"> are justified and acting reasonably in accepting Claims by Former Client Claimants where evidence of the following nature has been provided: </w:t>
      </w:r>
    </w:p>
    <w:p w14:paraId="3AE2C881" w14:textId="17DCDBBC" w:rsidR="00326E93" w:rsidRPr="00326E93" w:rsidRDefault="00B6500C" w:rsidP="00B6500C">
      <w:pPr>
        <w:pStyle w:val="Order2"/>
        <w:numPr>
          <w:ilvl w:val="0"/>
          <w:numId w:val="0"/>
        </w:numPr>
        <w:tabs>
          <w:tab w:val="left" w:pos="2007"/>
        </w:tabs>
        <w:ind w:left="2007" w:hanging="720"/>
        <w:rPr>
          <w:iCs/>
        </w:rPr>
      </w:pPr>
      <w:r w:rsidRPr="00326E93">
        <w:rPr>
          <w:iCs/>
        </w:rPr>
        <w:t>(a)</w:t>
      </w:r>
      <w:r w:rsidRPr="00326E93">
        <w:rPr>
          <w:iCs/>
        </w:rPr>
        <w:tab/>
      </w:r>
      <w:r w:rsidR="00326E93" w:rsidRPr="00326E93">
        <w:rPr>
          <w:iCs/>
        </w:rPr>
        <w:t xml:space="preserve">documents created by the E&amp;P </w:t>
      </w:r>
      <w:r w:rsidR="00326E93">
        <w:rPr>
          <w:iCs/>
        </w:rPr>
        <w:t>G</w:t>
      </w:r>
      <w:r w:rsidR="00326E93" w:rsidRPr="00326E93">
        <w:rPr>
          <w:iCs/>
        </w:rPr>
        <w:t xml:space="preserve">roup, including portfolio and transactions statements, holding summaries, buy/sell statements or unit/share certificates; </w:t>
      </w:r>
    </w:p>
    <w:p w14:paraId="2932DEB9" w14:textId="12C482DC" w:rsidR="00326E93" w:rsidRPr="00326E93" w:rsidRDefault="00B6500C" w:rsidP="00B6500C">
      <w:pPr>
        <w:pStyle w:val="Order2"/>
        <w:numPr>
          <w:ilvl w:val="0"/>
          <w:numId w:val="0"/>
        </w:numPr>
        <w:tabs>
          <w:tab w:val="left" w:pos="2007"/>
        </w:tabs>
        <w:ind w:left="2007" w:hanging="720"/>
        <w:rPr>
          <w:iCs/>
        </w:rPr>
      </w:pPr>
      <w:r w:rsidRPr="00326E93">
        <w:rPr>
          <w:iCs/>
        </w:rPr>
        <w:lastRenderedPageBreak/>
        <w:t>(b)</w:t>
      </w:r>
      <w:r w:rsidRPr="00326E93">
        <w:rPr>
          <w:iCs/>
        </w:rPr>
        <w:tab/>
      </w:r>
      <w:r w:rsidR="00326E93" w:rsidRPr="00326E93">
        <w:rPr>
          <w:iCs/>
        </w:rPr>
        <w:t xml:space="preserve">workings prepared by Client Claimants provided they are supported by bank statements and/or other documents created by the E&amp;P </w:t>
      </w:r>
      <w:r w:rsidR="00326E93">
        <w:rPr>
          <w:iCs/>
        </w:rPr>
        <w:t>Group</w:t>
      </w:r>
      <w:r w:rsidR="00326E93" w:rsidRPr="00326E93">
        <w:rPr>
          <w:iCs/>
        </w:rPr>
        <w:t xml:space="preserve">; </w:t>
      </w:r>
    </w:p>
    <w:p w14:paraId="1F971B3A" w14:textId="38EA6229" w:rsidR="00326E93" w:rsidRPr="00326E93" w:rsidRDefault="00B6500C" w:rsidP="00B6500C">
      <w:pPr>
        <w:pStyle w:val="Order2"/>
        <w:numPr>
          <w:ilvl w:val="0"/>
          <w:numId w:val="0"/>
        </w:numPr>
        <w:tabs>
          <w:tab w:val="left" w:pos="2007"/>
        </w:tabs>
        <w:ind w:left="2007" w:hanging="720"/>
        <w:rPr>
          <w:iCs/>
        </w:rPr>
      </w:pPr>
      <w:r w:rsidRPr="00326E93">
        <w:rPr>
          <w:iCs/>
        </w:rPr>
        <w:t>(c)</w:t>
      </w:r>
      <w:r w:rsidRPr="00326E93">
        <w:rPr>
          <w:iCs/>
        </w:rPr>
        <w:tab/>
      </w:r>
      <w:r w:rsidR="00326E93" w:rsidRPr="00326E93">
        <w:rPr>
          <w:iCs/>
        </w:rPr>
        <w:t>a statutory declaration supported by bank statements; and/or</w:t>
      </w:r>
    </w:p>
    <w:p w14:paraId="02FC4682" w14:textId="16C905A6" w:rsidR="00326E93" w:rsidRPr="00326E93" w:rsidRDefault="00B6500C" w:rsidP="00B6500C">
      <w:pPr>
        <w:pStyle w:val="Order2"/>
        <w:numPr>
          <w:ilvl w:val="0"/>
          <w:numId w:val="0"/>
        </w:numPr>
        <w:tabs>
          <w:tab w:val="left" w:pos="2007"/>
        </w:tabs>
        <w:ind w:left="2007" w:hanging="720"/>
        <w:rPr>
          <w:iCs/>
        </w:rPr>
      </w:pPr>
      <w:r w:rsidRPr="00326E93">
        <w:rPr>
          <w:iCs/>
        </w:rPr>
        <w:t>(d)</w:t>
      </w:r>
      <w:r w:rsidRPr="00326E93">
        <w:rPr>
          <w:iCs/>
        </w:rPr>
        <w:tab/>
      </w:r>
      <w:r w:rsidR="00326E93" w:rsidRPr="00326E93">
        <w:rPr>
          <w:iCs/>
        </w:rPr>
        <w:t xml:space="preserve">any other evidence the Deed Administrators reasonably consider is sufficient to prove the Claim. </w:t>
      </w:r>
    </w:p>
    <w:p w14:paraId="677C403A" w14:textId="5114673A" w:rsidR="005D0C72" w:rsidRDefault="00B6500C" w:rsidP="00B6500C">
      <w:pPr>
        <w:pStyle w:val="Order1"/>
        <w:numPr>
          <w:ilvl w:val="0"/>
          <w:numId w:val="0"/>
        </w:numPr>
        <w:tabs>
          <w:tab w:val="left" w:pos="1287"/>
        </w:tabs>
        <w:ind w:left="1287" w:hanging="720"/>
      </w:pPr>
      <w:r>
        <w:t>7.</w:t>
      </w:r>
      <w:r>
        <w:tab/>
      </w:r>
      <w:r w:rsidR="005D0C72">
        <w:t xml:space="preserve">Pursuant to </w:t>
      </w:r>
      <w:proofErr w:type="spellStart"/>
      <w:r w:rsidR="005D0C72">
        <w:t>s</w:t>
      </w:r>
      <w:proofErr w:type="spellEnd"/>
      <w:r w:rsidR="005D0C72">
        <w:t xml:space="preserve"> 90-15 of the IPS, the Deed Administrators are justified and acting reasonably in proceeding on the basis that any review of Claims by Former Client Claimants is to be undertaken in accordance with the scenarios described at [68] of the Affidavit of Rebecca Gill dated </w:t>
      </w:r>
      <w:r w:rsidR="00601EE4">
        <w:t>5</w:t>
      </w:r>
      <w:r w:rsidR="00BE4DD5">
        <w:t xml:space="preserve"> March 2024</w:t>
      </w:r>
      <w:r w:rsidR="005D0C72">
        <w:t>.</w:t>
      </w:r>
    </w:p>
    <w:p w14:paraId="67A4D162" w14:textId="688F0089" w:rsidR="00317FC7" w:rsidRDefault="00B6500C" w:rsidP="00B6500C">
      <w:pPr>
        <w:pStyle w:val="Order1"/>
        <w:numPr>
          <w:ilvl w:val="0"/>
          <w:numId w:val="0"/>
        </w:numPr>
        <w:tabs>
          <w:tab w:val="left" w:pos="1287"/>
        </w:tabs>
        <w:ind w:left="1287" w:hanging="720"/>
      </w:pPr>
      <w:r>
        <w:t>8.</w:t>
      </w:r>
      <w:r>
        <w:tab/>
      </w:r>
      <w:r w:rsidR="005D0C72">
        <w:t xml:space="preserve">Pursuant to </w:t>
      </w:r>
      <w:proofErr w:type="spellStart"/>
      <w:r w:rsidR="005D0C72">
        <w:t>s</w:t>
      </w:r>
      <w:proofErr w:type="spellEnd"/>
      <w:r w:rsidR="005D0C72">
        <w:t xml:space="preserve"> 90-15 of the IPS, a Claimant may appeal against the Deed Administrators’ rejection of their proof of claim within the period specified under </w:t>
      </w:r>
      <w:r w:rsidR="00FD5EE0">
        <w:t xml:space="preserve">order </w:t>
      </w:r>
      <w:r w:rsidR="005D0C72">
        <w:t>4(g)(ii) or any further period allowed by the Court.</w:t>
      </w:r>
    </w:p>
    <w:p w14:paraId="093B360C" w14:textId="56B6B927" w:rsidR="00341110" w:rsidRDefault="00341110" w:rsidP="00341110">
      <w:pPr>
        <w:pStyle w:val="Order1"/>
        <w:numPr>
          <w:ilvl w:val="0"/>
          <w:numId w:val="0"/>
        </w:numPr>
      </w:pPr>
      <w:r>
        <w:rPr>
          <w:b/>
          <w:bCs/>
          <w:i/>
          <w:iCs/>
        </w:rPr>
        <w:t>Confidentiality</w:t>
      </w:r>
    </w:p>
    <w:p w14:paraId="2C632743" w14:textId="078DDE1F" w:rsidR="00042A32" w:rsidRPr="00042A32" w:rsidRDefault="00B6500C" w:rsidP="00B6500C">
      <w:pPr>
        <w:pStyle w:val="Order1"/>
        <w:numPr>
          <w:ilvl w:val="0"/>
          <w:numId w:val="0"/>
        </w:numPr>
        <w:tabs>
          <w:tab w:val="left" w:pos="1287"/>
        </w:tabs>
        <w:ind w:left="1287" w:hanging="720"/>
      </w:pPr>
      <w:r w:rsidRPr="00042A32">
        <w:t>9.</w:t>
      </w:r>
      <w:r w:rsidRPr="00042A32">
        <w:tab/>
      </w:r>
      <w:r w:rsidR="005E445C">
        <w:t>Unless otherwise ordered, p</w:t>
      </w:r>
      <w:r w:rsidR="00042A32" w:rsidRPr="00042A32">
        <w:t xml:space="preserve">ursuant to s 37AF of the </w:t>
      </w:r>
      <w:r w:rsidR="00042A32" w:rsidRPr="00042A32">
        <w:rPr>
          <w:i/>
          <w:iCs/>
        </w:rPr>
        <w:t>Federal Court of Australia Act 1976</w:t>
      </w:r>
      <w:r w:rsidR="00042A32" w:rsidRPr="00042A32">
        <w:t xml:space="preserve"> (</w:t>
      </w:r>
      <w:proofErr w:type="spellStart"/>
      <w:r w:rsidR="00042A32" w:rsidRPr="00042A32">
        <w:t>Cth</w:t>
      </w:r>
      <w:proofErr w:type="spellEnd"/>
      <w:r w:rsidR="00042A32" w:rsidRPr="00042A32">
        <w:t xml:space="preserve">), </w:t>
      </w:r>
      <w:r w:rsidR="00637412">
        <w:t>on the grou</w:t>
      </w:r>
      <w:r w:rsidR="00434F43">
        <w:t xml:space="preserve">nd in s 37AG(1)(a), </w:t>
      </w:r>
      <w:r w:rsidR="00042A32" w:rsidRPr="00042A32">
        <w:t xml:space="preserve">the Confidential Exhibit is to be marked “confidential” and not made available for inspection until </w:t>
      </w:r>
      <w:r w:rsidR="005E445C">
        <w:t>17 April 2029</w:t>
      </w:r>
      <w:r w:rsidR="00042A32">
        <w:t>.</w:t>
      </w:r>
    </w:p>
    <w:p w14:paraId="644EBE97" w14:textId="1D482DDC" w:rsidR="00042A32" w:rsidRDefault="00042A32" w:rsidP="00042A32">
      <w:pPr>
        <w:pStyle w:val="Order1"/>
        <w:numPr>
          <w:ilvl w:val="0"/>
          <w:numId w:val="0"/>
        </w:numPr>
      </w:pPr>
      <w:r>
        <w:rPr>
          <w:b/>
          <w:bCs/>
          <w:i/>
          <w:iCs/>
        </w:rPr>
        <w:t>General</w:t>
      </w:r>
    </w:p>
    <w:p w14:paraId="17F707F3" w14:textId="445B8F1B" w:rsidR="00F14183" w:rsidRPr="00F14183" w:rsidRDefault="00B6500C" w:rsidP="00B6500C">
      <w:pPr>
        <w:pStyle w:val="Order1"/>
        <w:numPr>
          <w:ilvl w:val="0"/>
          <w:numId w:val="0"/>
        </w:numPr>
        <w:tabs>
          <w:tab w:val="left" w:pos="1287"/>
        </w:tabs>
        <w:ind w:left="1287" w:hanging="720"/>
      </w:pPr>
      <w:r w:rsidRPr="00F14183">
        <w:t>10.</w:t>
      </w:r>
      <w:r w:rsidRPr="00F14183">
        <w:tab/>
      </w:r>
      <w:r w:rsidR="00F14183" w:rsidRPr="00F14183">
        <w:t xml:space="preserve">The Deed Administrators are to provide a copy of these orders to the creditors of </w:t>
      </w:r>
      <w:r w:rsidR="000F3E7E">
        <w:t>DASS</w:t>
      </w:r>
      <w:r w:rsidR="00F14183" w:rsidRPr="00F14183">
        <w:t xml:space="preserve"> within 5 business days as follows: </w:t>
      </w:r>
    </w:p>
    <w:p w14:paraId="7AF8B1BE" w14:textId="576477FA" w:rsidR="00F14183" w:rsidRPr="00F14183" w:rsidRDefault="00B6500C" w:rsidP="00B6500C">
      <w:pPr>
        <w:pStyle w:val="Order2"/>
        <w:numPr>
          <w:ilvl w:val="0"/>
          <w:numId w:val="0"/>
        </w:numPr>
        <w:tabs>
          <w:tab w:val="left" w:pos="2007"/>
        </w:tabs>
        <w:ind w:left="2007" w:hanging="720"/>
      </w:pPr>
      <w:r w:rsidRPr="00F14183">
        <w:t>(a)</w:t>
      </w:r>
      <w:r w:rsidRPr="00F14183">
        <w:tab/>
      </w:r>
      <w:r w:rsidR="00F14183" w:rsidRPr="00F14183">
        <w:t xml:space="preserve">where the Deed Administrators have an email address for a creditor, by notifying that creditor via email; </w:t>
      </w:r>
    </w:p>
    <w:p w14:paraId="31C7B644" w14:textId="03866F32" w:rsidR="00F14183" w:rsidRPr="00F14183" w:rsidRDefault="00B6500C" w:rsidP="00B6500C">
      <w:pPr>
        <w:pStyle w:val="Order2"/>
        <w:numPr>
          <w:ilvl w:val="0"/>
          <w:numId w:val="0"/>
        </w:numPr>
        <w:tabs>
          <w:tab w:val="left" w:pos="2007"/>
        </w:tabs>
        <w:ind w:left="2007" w:hanging="720"/>
      </w:pPr>
      <w:r w:rsidRPr="00F14183">
        <w:t>(b)</w:t>
      </w:r>
      <w:r w:rsidRPr="00F14183">
        <w:tab/>
      </w:r>
      <w:r w:rsidR="00F14183" w:rsidRPr="00F14183">
        <w:t>where the Deed Administrators do not have an email address for a creditor but have a postal address, by notifying that creditor via post; and</w:t>
      </w:r>
    </w:p>
    <w:p w14:paraId="55A82C70" w14:textId="26902920" w:rsidR="00F14183" w:rsidRPr="00F14183" w:rsidRDefault="00B6500C" w:rsidP="00B6500C">
      <w:pPr>
        <w:pStyle w:val="Order2"/>
        <w:numPr>
          <w:ilvl w:val="0"/>
          <w:numId w:val="0"/>
        </w:numPr>
        <w:tabs>
          <w:tab w:val="left" w:pos="2007"/>
        </w:tabs>
        <w:ind w:left="2007" w:hanging="720"/>
      </w:pPr>
      <w:r w:rsidRPr="00F14183">
        <w:t>(c)</w:t>
      </w:r>
      <w:r w:rsidRPr="00F14183">
        <w:tab/>
      </w:r>
      <w:r w:rsidR="00F14183" w:rsidRPr="00F14183">
        <w:t>by publishing them on the website maintained by the Deed Administrators at</w:t>
      </w:r>
      <w:r w:rsidR="00F14183">
        <w:t> </w:t>
      </w:r>
      <w:r w:rsidR="00F14183" w:rsidRPr="00F14183">
        <w:t xml:space="preserve">https://insolvency.pwc.com.au/singleEntityCases/dixon-advisory-superannuation-services-pty-ltd/casePage. </w:t>
      </w:r>
    </w:p>
    <w:p w14:paraId="2FBDA772" w14:textId="6D2B05F3" w:rsidR="00F14183" w:rsidRPr="00F14183" w:rsidRDefault="00B6500C" w:rsidP="00B6500C">
      <w:pPr>
        <w:pStyle w:val="Order1"/>
        <w:numPr>
          <w:ilvl w:val="0"/>
          <w:numId w:val="0"/>
        </w:numPr>
        <w:tabs>
          <w:tab w:val="left" w:pos="1287"/>
        </w:tabs>
        <w:ind w:left="1287" w:hanging="720"/>
      </w:pPr>
      <w:r w:rsidRPr="00F14183">
        <w:t>11.</w:t>
      </w:r>
      <w:r w:rsidRPr="00F14183">
        <w:tab/>
      </w:r>
      <w:r w:rsidR="00F14183" w:rsidRPr="00F14183">
        <w:t xml:space="preserve">Any person on demonstrating sufficient interest has liberty to apply on 5 business days’ notice to the Deed Administrators in relation to these orders, specifying the relief sought. </w:t>
      </w:r>
    </w:p>
    <w:p w14:paraId="19CD8354" w14:textId="212A41CC" w:rsidR="00F14183" w:rsidRPr="00F14183" w:rsidRDefault="00B6500C" w:rsidP="00B6500C">
      <w:pPr>
        <w:pStyle w:val="Order1"/>
        <w:numPr>
          <w:ilvl w:val="0"/>
          <w:numId w:val="0"/>
        </w:numPr>
        <w:tabs>
          <w:tab w:val="left" w:pos="1287"/>
        </w:tabs>
        <w:ind w:left="1287" w:hanging="720"/>
      </w:pPr>
      <w:r w:rsidRPr="00F14183">
        <w:t>12.</w:t>
      </w:r>
      <w:r w:rsidRPr="00F14183">
        <w:tab/>
      </w:r>
      <w:r w:rsidR="00F14183" w:rsidRPr="00F14183">
        <w:t xml:space="preserve">The Deed Administrators have liberty to apply. </w:t>
      </w:r>
    </w:p>
    <w:p w14:paraId="51620A49" w14:textId="0485EEE4" w:rsidR="00B31042" w:rsidRPr="00317FC7" w:rsidRDefault="00B6500C" w:rsidP="00B6500C">
      <w:pPr>
        <w:pStyle w:val="Order1"/>
        <w:numPr>
          <w:ilvl w:val="0"/>
          <w:numId w:val="0"/>
        </w:numPr>
        <w:tabs>
          <w:tab w:val="left" w:pos="1287"/>
        </w:tabs>
        <w:ind w:left="1287" w:hanging="720"/>
      </w:pPr>
      <w:r w:rsidRPr="00317FC7">
        <w:lastRenderedPageBreak/>
        <w:t>13.</w:t>
      </w:r>
      <w:r w:rsidRPr="00317FC7">
        <w:tab/>
      </w:r>
      <w:r w:rsidR="00F14183" w:rsidRPr="00F14183">
        <w:t>The Deed Administrators’ costs and expenses incidental to this application be costs in the deed administration of</w:t>
      </w:r>
      <w:r w:rsidR="000F3E7E">
        <w:t xml:space="preserve"> DASS</w:t>
      </w:r>
      <w:r w:rsidR="00F14183" w:rsidRPr="00F14183">
        <w:t xml:space="preserve">. </w:t>
      </w:r>
    </w:p>
    <w:p w14:paraId="50E8764E" w14:textId="77777777" w:rsidR="00C15609" w:rsidRDefault="00C15609" w:rsidP="00C15609">
      <w:pPr>
        <w:pStyle w:val="BodyText"/>
      </w:pPr>
    </w:p>
    <w:p w14:paraId="010F6DE0" w14:textId="77777777" w:rsidR="00C15609" w:rsidRDefault="00C15609" w:rsidP="00C15609">
      <w:pPr>
        <w:pStyle w:val="SingleSpace"/>
      </w:pPr>
      <w:r>
        <w:t>Note:</w:t>
      </w:r>
      <w:r>
        <w:tab/>
        <w:t xml:space="preserve">Entry of orders is dealt with in Rule 39.32 of the </w:t>
      </w:r>
      <w:r>
        <w:rPr>
          <w:i/>
        </w:rPr>
        <w:t>Federal Court Rules 2011</w:t>
      </w:r>
      <w:r>
        <w:t>.</w:t>
      </w:r>
    </w:p>
    <w:p w14:paraId="47F6CE31" w14:textId="77777777" w:rsidR="00C15609" w:rsidRDefault="00C15609" w:rsidP="00C15609">
      <w:pPr>
        <w:pStyle w:val="BodyText"/>
      </w:pPr>
    </w:p>
    <w:p w14:paraId="0018C37F" w14:textId="56B58CA1" w:rsidR="00C15609" w:rsidRDefault="00C15609">
      <w:pPr>
        <w:spacing w:line="240" w:lineRule="auto"/>
        <w:jc w:val="left"/>
      </w:pPr>
      <w:r>
        <w:rPr>
          <w:b/>
        </w:rPr>
        <w:br w:type="page"/>
      </w:r>
    </w:p>
    <w:p w14:paraId="0DE0ED5F" w14:textId="77777777" w:rsidR="00C15609" w:rsidRDefault="00C15609">
      <w:pPr>
        <w:pStyle w:val="NormalHeadings"/>
        <w:spacing w:before="240" w:after="120"/>
        <w:rPr>
          <w:b w:val="0"/>
        </w:rPr>
        <w:sectPr w:rsidR="00C15609" w:rsidSect="0092590B">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fmt="lowerRoman" w:start="1"/>
          <w:cols w:space="720"/>
          <w:noEndnote/>
          <w:titlePg/>
        </w:sectPr>
      </w:pPr>
    </w:p>
    <w:p w14:paraId="09A1A55A" w14:textId="77777777" w:rsidR="00484F6D" w:rsidRPr="00045BB7" w:rsidRDefault="00484F6D" w:rsidP="00045BB7">
      <w:pPr>
        <w:pStyle w:val="NormalHeadings"/>
        <w:spacing w:line="480" w:lineRule="auto"/>
        <w:jc w:val="center"/>
        <w:rPr>
          <w:sz w:val="28"/>
          <w:szCs w:val="28"/>
        </w:rPr>
      </w:pPr>
      <w:bookmarkStart w:id="28" w:name="ReasonsPage"/>
      <w:bookmarkEnd w:id="28"/>
      <w:r w:rsidRPr="00045BB7">
        <w:rPr>
          <w:sz w:val="28"/>
          <w:szCs w:val="28"/>
        </w:rPr>
        <w:lastRenderedPageBreak/>
        <w:t>REASONS FOR JUDGMENT</w:t>
      </w:r>
    </w:p>
    <w:p w14:paraId="19511C9A" w14:textId="0FE1C511" w:rsidR="00694BEB" w:rsidRPr="006F5323" w:rsidRDefault="00AB5CDA" w:rsidP="005E0510">
      <w:pPr>
        <w:pStyle w:val="NormalHeadings"/>
        <w:spacing w:line="360" w:lineRule="auto"/>
        <w:jc w:val="left"/>
        <w:rPr>
          <w:sz w:val="28"/>
          <w:szCs w:val="28"/>
        </w:rPr>
      </w:pPr>
      <w:r>
        <w:rPr>
          <w:sz w:val="28"/>
          <w:szCs w:val="28"/>
        </w:rPr>
        <w:t>THAWLEY J:</w:t>
      </w:r>
    </w:p>
    <w:p w14:paraId="57C30E8B" w14:textId="2898ED83" w:rsidR="00CD1346" w:rsidRPr="006F5323" w:rsidRDefault="00B6500C" w:rsidP="00867E82">
      <w:pPr>
        <w:pStyle w:val="Heading1"/>
      </w:pPr>
      <w:r>
        <w:rPr>
          <w:caps w:val="0"/>
        </w:rPr>
        <w:t>I</w:t>
      </w:r>
      <w:r w:rsidRPr="006F5323">
        <w:rPr>
          <w:caps w:val="0"/>
        </w:rPr>
        <w:t>NTRODUCTION</w:t>
      </w:r>
    </w:p>
    <w:p w14:paraId="4D36EA49" w14:textId="726D5256" w:rsidR="00AF22FD" w:rsidRPr="00AF22FD" w:rsidRDefault="00B6500C" w:rsidP="00B6500C">
      <w:pPr>
        <w:pStyle w:val="ParaNumbering"/>
        <w:numPr>
          <w:ilvl w:val="0"/>
          <w:numId w:val="0"/>
        </w:numPr>
        <w:ind w:hanging="720"/>
        <w:rPr>
          <w:i/>
          <w:szCs w:val="24"/>
          <w:lang w:val="en-US"/>
        </w:rPr>
      </w:pPr>
      <w:r w:rsidRPr="00AF22FD">
        <w:rPr>
          <w:iCs/>
          <w:sz w:val="20"/>
          <w:szCs w:val="24"/>
          <w:lang w:val="en-US"/>
        </w:rPr>
        <w:t>1</w:t>
      </w:r>
      <w:r w:rsidRPr="00AF22FD">
        <w:rPr>
          <w:iCs/>
          <w:sz w:val="20"/>
          <w:szCs w:val="24"/>
          <w:lang w:val="en-US"/>
        </w:rPr>
        <w:tab/>
      </w:r>
      <w:r w:rsidR="006013A5">
        <w:rPr>
          <w:iCs/>
          <w:szCs w:val="24"/>
          <w:lang w:val="en-US"/>
        </w:rPr>
        <w:t xml:space="preserve">These reasons </w:t>
      </w:r>
      <w:r w:rsidR="00445319">
        <w:rPr>
          <w:iCs/>
          <w:szCs w:val="24"/>
          <w:lang w:val="en-US"/>
        </w:rPr>
        <w:t>concern</w:t>
      </w:r>
      <w:r w:rsidR="0040371D">
        <w:rPr>
          <w:iCs/>
          <w:szCs w:val="24"/>
          <w:lang w:val="en-US"/>
        </w:rPr>
        <w:t xml:space="preserve"> </w:t>
      </w:r>
      <w:r w:rsidR="00445319">
        <w:rPr>
          <w:iCs/>
          <w:szCs w:val="24"/>
          <w:lang w:val="en-US"/>
        </w:rPr>
        <w:t>three</w:t>
      </w:r>
      <w:r w:rsidR="0040371D">
        <w:rPr>
          <w:iCs/>
          <w:szCs w:val="24"/>
          <w:lang w:val="en-US"/>
        </w:rPr>
        <w:t xml:space="preserve"> </w:t>
      </w:r>
      <w:r w:rsidR="00445319">
        <w:rPr>
          <w:iCs/>
          <w:szCs w:val="24"/>
          <w:lang w:val="en-US"/>
        </w:rPr>
        <w:t xml:space="preserve">applications in two </w:t>
      </w:r>
      <w:r w:rsidR="0040371D">
        <w:rPr>
          <w:iCs/>
          <w:szCs w:val="24"/>
          <w:lang w:val="en-US"/>
        </w:rPr>
        <w:t>proceedings in the Court</w:t>
      </w:r>
      <w:r w:rsidR="00AF22FD">
        <w:rPr>
          <w:iCs/>
          <w:szCs w:val="24"/>
          <w:lang w:val="en-US"/>
        </w:rPr>
        <w:t>:</w:t>
      </w:r>
    </w:p>
    <w:p w14:paraId="4A851D33" w14:textId="02903C7E" w:rsidR="00F81010" w:rsidRPr="00F81010" w:rsidRDefault="00B6500C" w:rsidP="00B6500C">
      <w:pPr>
        <w:pStyle w:val="ListNo1"/>
        <w:numPr>
          <w:ilvl w:val="0"/>
          <w:numId w:val="0"/>
        </w:numPr>
        <w:tabs>
          <w:tab w:val="left" w:pos="720"/>
        </w:tabs>
        <w:ind w:left="720" w:hanging="720"/>
        <w:rPr>
          <w:iCs/>
          <w:lang w:val="en-US"/>
        </w:rPr>
      </w:pPr>
      <w:r w:rsidRPr="00F81010">
        <w:rPr>
          <w:iCs/>
          <w:lang w:val="en-US"/>
        </w:rPr>
        <w:t>(1)</w:t>
      </w:r>
      <w:r w:rsidRPr="00F81010">
        <w:rPr>
          <w:iCs/>
          <w:lang w:val="en-US"/>
        </w:rPr>
        <w:tab/>
      </w:r>
      <w:r w:rsidR="00414128">
        <w:rPr>
          <w:iCs/>
          <w:lang w:val="en-US"/>
        </w:rPr>
        <w:t>The first proceeding</w:t>
      </w:r>
      <w:r w:rsidR="005332A0">
        <w:rPr>
          <w:iCs/>
          <w:lang w:val="en-US"/>
        </w:rPr>
        <w:t xml:space="preserve">, referred to as the </w:t>
      </w:r>
      <w:r w:rsidR="005332A0">
        <w:rPr>
          <w:b/>
          <w:bCs/>
          <w:iCs/>
          <w:lang w:val="en-US"/>
        </w:rPr>
        <w:t xml:space="preserve">Watson </w:t>
      </w:r>
      <w:r w:rsidR="005738C5">
        <w:rPr>
          <w:b/>
          <w:bCs/>
          <w:iCs/>
          <w:lang w:val="en-US"/>
        </w:rPr>
        <w:t>Proceeding</w:t>
      </w:r>
      <w:r w:rsidR="005332A0">
        <w:rPr>
          <w:iCs/>
          <w:lang w:val="en-US"/>
        </w:rPr>
        <w:t xml:space="preserve">, is a class action </w:t>
      </w:r>
      <w:r w:rsidR="005332A0">
        <w:rPr>
          <w:lang w:val="en-US"/>
        </w:rPr>
        <w:t xml:space="preserve">brought </w:t>
      </w:r>
      <w:r w:rsidR="005332A0" w:rsidRPr="00107882">
        <w:rPr>
          <w:lang w:val="en-US"/>
        </w:rPr>
        <w:t xml:space="preserve">under Part IVA </w:t>
      </w:r>
      <w:r w:rsidR="005332A0">
        <w:rPr>
          <w:lang w:val="en-US"/>
        </w:rPr>
        <w:t xml:space="preserve">of the </w:t>
      </w:r>
      <w:r w:rsidR="005332A0" w:rsidRPr="00CB65C1">
        <w:rPr>
          <w:i/>
          <w:iCs/>
          <w:lang w:val="en-US"/>
        </w:rPr>
        <w:t xml:space="preserve">Federal Court of Australia Act 1976 </w:t>
      </w:r>
      <w:r w:rsidR="00AF22FD" w:rsidRPr="00CB65C1">
        <w:rPr>
          <w:lang w:val="en-US"/>
        </w:rPr>
        <w:t>(</w:t>
      </w:r>
      <w:proofErr w:type="spellStart"/>
      <w:r w:rsidR="00AF22FD" w:rsidRPr="00CB65C1">
        <w:rPr>
          <w:lang w:val="en-US"/>
        </w:rPr>
        <w:t>Cth</w:t>
      </w:r>
      <w:proofErr w:type="spellEnd"/>
      <w:r w:rsidR="00AF22FD" w:rsidRPr="00CB65C1">
        <w:rPr>
          <w:lang w:val="en-US"/>
        </w:rPr>
        <w:t>)</w:t>
      </w:r>
      <w:r w:rsidR="005332A0">
        <w:rPr>
          <w:lang w:val="en-US"/>
        </w:rPr>
        <w:t xml:space="preserve"> Act</w:t>
      </w:r>
      <w:r w:rsidR="00AF22FD" w:rsidRPr="00AF22FD">
        <w:rPr>
          <w:lang w:val="en-US"/>
        </w:rPr>
        <w:t xml:space="preserve"> </w:t>
      </w:r>
      <w:r w:rsidR="00216DA8" w:rsidRPr="00107882">
        <w:rPr>
          <w:lang w:val="en-US"/>
        </w:rPr>
        <w:t>(</w:t>
      </w:r>
      <w:r w:rsidR="00216DA8">
        <w:rPr>
          <w:b/>
          <w:bCs/>
          <w:lang w:val="en-US"/>
        </w:rPr>
        <w:t>FCA Act</w:t>
      </w:r>
      <w:r w:rsidR="00216DA8" w:rsidRPr="00107882">
        <w:rPr>
          <w:lang w:val="en-US"/>
        </w:rPr>
        <w:t>)</w:t>
      </w:r>
      <w:r w:rsidR="00216DA8">
        <w:rPr>
          <w:lang w:val="en-US"/>
        </w:rPr>
        <w:t xml:space="preserve"> </w:t>
      </w:r>
      <w:r w:rsidR="00AF22FD" w:rsidRPr="00107882">
        <w:rPr>
          <w:lang w:val="en-US"/>
        </w:rPr>
        <w:t>against Dixon Advisory and Superannuation Services Ltd (</w:t>
      </w:r>
      <w:r w:rsidR="00AF22FD" w:rsidRPr="00107882">
        <w:rPr>
          <w:b/>
          <w:lang w:val="en-US"/>
        </w:rPr>
        <w:t>DASS</w:t>
      </w:r>
      <w:r w:rsidR="00AF22FD" w:rsidRPr="00107882">
        <w:rPr>
          <w:lang w:val="en-US"/>
        </w:rPr>
        <w:t>)</w:t>
      </w:r>
      <w:r w:rsidR="00AF22FD">
        <w:rPr>
          <w:lang w:val="en-US"/>
        </w:rPr>
        <w:t>,</w:t>
      </w:r>
      <w:r w:rsidR="00AF22FD" w:rsidRPr="00107882">
        <w:rPr>
          <w:lang w:val="en-US"/>
        </w:rPr>
        <w:t xml:space="preserve"> </w:t>
      </w:r>
      <w:r w:rsidR="00AF22FD" w:rsidRPr="002F1433">
        <w:rPr>
          <w:b/>
          <w:bCs/>
          <w:lang w:val="en-US"/>
        </w:rPr>
        <w:t>E&amp;P</w:t>
      </w:r>
      <w:r w:rsidR="00AF22FD" w:rsidRPr="00107882">
        <w:rPr>
          <w:lang w:val="en-US"/>
        </w:rPr>
        <w:t xml:space="preserve"> Financial Group Limited</w:t>
      </w:r>
      <w:r w:rsidR="00BD3665">
        <w:rPr>
          <w:lang w:val="en-US"/>
        </w:rPr>
        <w:t>,</w:t>
      </w:r>
      <w:r w:rsidR="00AF22FD">
        <w:rPr>
          <w:lang w:val="en-US"/>
        </w:rPr>
        <w:t xml:space="preserve"> and</w:t>
      </w:r>
      <w:r w:rsidR="00AF22FD" w:rsidRPr="00107882">
        <w:rPr>
          <w:lang w:val="en-US"/>
        </w:rPr>
        <w:t xml:space="preserve"> </w:t>
      </w:r>
      <w:proofErr w:type="spellStart"/>
      <w:r w:rsidR="00AF22FD">
        <w:rPr>
          <w:lang w:val="en-US"/>
        </w:rPr>
        <w:t>Mr</w:t>
      </w:r>
      <w:proofErr w:type="spellEnd"/>
      <w:r w:rsidR="00AF22FD">
        <w:rPr>
          <w:lang w:val="en-US"/>
        </w:rPr>
        <w:t> </w:t>
      </w:r>
      <w:r w:rsidR="00AF22FD" w:rsidRPr="00107882">
        <w:rPr>
          <w:lang w:val="en-US"/>
        </w:rPr>
        <w:t xml:space="preserve">Alan Cochrane </w:t>
      </w:r>
      <w:r w:rsidR="00AF22FD" w:rsidRPr="00F16017">
        <w:rPr>
          <w:lang w:val="en-US"/>
        </w:rPr>
        <w:t>Dixon</w:t>
      </w:r>
      <w:r w:rsidR="00AF22FD" w:rsidRPr="00107882">
        <w:rPr>
          <w:lang w:val="en-US"/>
        </w:rPr>
        <w:t xml:space="preserve"> and </w:t>
      </w:r>
      <w:proofErr w:type="spellStart"/>
      <w:r w:rsidR="00AF22FD">
        <w:rPr>
          <w:lang w:val="en-US"/>
        </w:rPr>
        <w:t>Mr</w:t>
      </w:r>
      <w:proofErr w:type="spellEnd"/>
      <w:r w:rsidR="00AF22FD">
        <w:rPr>
          <w:lang w:val="en-US"/>
        </w:rPr>
        <w:t xml:space="preserve"> </w:t>
      </w:r>
      <w:r w:rsidR="00AF22FD" w:rsidRPr="00107882">
        <w:rPr>
          <w:lang w:val="en-US"/>
        </w:rPr>
        <w:t xml:space="preserve">Christopher Matthew </w:t>
      </w:r>
      <w:r w:rsidR="00AF22FD" w:rsidRPr="00F16017">
        <w:rPr>
          <w:lang w:val="en-US"/>
        </w:rPr>
        <w:t>Brown</w:t>
      </w:r>
      <w:r w:rsidR="00AF22FD">
        <w:rPr>
          <w:lang w:val="en-US"/>
        </w:rPr>
        <w:t xml:space="preserve">, </w:t>
      </w:r>
      <w:r w:rsidR="00AF22FD" w:rsidRPr="00107882">
        <w:rPr>
          <w:lang w:val="en-US"/>
        </w:rPr>
        <w:t xml:space="preserve">who </w:t>
      </w:r>
      <w:r w:rsidR="00AF22FD">
        <w:rPr>
          <w:lang w:val="en-US"/>
        </w:rPr>
        <w:t>were – amongst other things –</w:t>
      </w:r>
      <w:r w:rsidR="00AF22FD" w:rsidRPr="00107882">
        <w:rPr>
          <w:lang w:val="en-US"/>
        </w:rPr>
        <w:t xml:space="preserve"> former</w:t>
      </w:r>
      <w:r w:rsidR="00AF22FD">
        <w:rPr>
          <w:lang w:val="en-US"/>
        </w:rPr>
        <w:t xml:space="preserve"> </w:t>
      </w:r>
      <w:r w:rsidR="00AF22FD" w:rsidRPr="00107882">
        <w:rPr>
          <w:lang w:val="en-US"/>
        </w:rPr>
        <w:t>director</w:t>
      </w:r>
      <w:r w:rsidR="00AF22FD">
        <w:rPr>
          <w:lang w:val="en-US"/>
        </w:rPr>
        <w:t>s</w:t>
      </w:r>
      <w:r w:rsidR="00AF22FD" w:rsidRPr="00107882">
        <w:rPr>
          <w:lang w:val="en-US"/>
        </w:rPr>
        <w:t xml:space="preserve"> of DASS</w:t>
      </w:r>
      <w:r w:rsidR="00AF22FD">
        <w:rPr>
          <w:lang w:val="en-US"/>
        </w:rPr>
        <w:t>.</w:t>
      </w:r>
      <w:r w:rsidR="0009383E">
        <w:rPr>
          <w:lang w:val="en-US"/>
        </w:rPr>
        <w:t xml:space="preserve"> In this proceeding</w:t>
      </w:r>
      <w:r w:rsidR="00F81010">
        <w:rPr>
          <w:lang w:val="en-US"/>
        </w:rPr>
        <w:t>:</w:t>
      </w:r>
    </w:p>
    <w:p w14:paraId="7BDA963A" w14:textId="260E02DA" w:rsidR="00F81010" w:rsidRPr="00F81010" w:rsidRDefault="00B6500C" w:rsidP="00B6500C">
      <w:pPr>
        <w:pStyle w:val="ListNo2"/>
        <w:numPr>
          <w:ilvl w:val="0"/>
          <w:numId w:val="0"/>
        </w:numPr>
        <w:tabs>
          <w:tab w:val="left" w:pos="1440"/>
        </w:tabs>
        <w:ind w:left="1440" w:hanging="720"/>
        <w:rPr>
          <w:iCs/>
          <w:lang w:val="en-US"/>
        </w:rPr>
      </w:pPr>
      <w:r w:rsidRPr="00F81010">
        <w:rPr>
          <w:iCs/>
          <w:lang w:val="en-US"/>
        </w:rPr>
        <w:t>(a)</w:t>
      </w:r>
      <w:r w:rsidRPr="00F81010">
        <w:rPr>
          <w:iCs/>
          <w:lang w:val="en-US"/>
        </w:rPr>
        <w:tab/>
      </w:r>
      <w:r w:rsidR="0009383E">
        <w:rPr>
          <w:lang w:val="en-US"/>
        </w:rPr>
        <w:t xml:space="preserve">the </w:t>
      </w:r>
      <w:r w:rsidR="00216DA8">
        <w:rPr>
          <w:lang w:val="en-US"/>
        </w:rPr>
        <w:t xml:space="preserve">applicant applies for settlement approval under s 33V </w:t>
      </w:r>
      <w:r w:rsidR="00216DA8" w:rsidRPr="00107882">
        <w:rPr>
          <w:lang w:val="en-US"/>
        </w:rPr>
        <w:t>of the</w:t>
      </w:r>
      <w:r w:rsidR="00216DA8">
        <w:rPr>
          <w:lang w:val="en-US"/>
        </w:rPr>
        <w:t xml:space="preserve"> FCA Act</w:t>
      </w:r>
      <w:r w:rsidR="00F81010">
        <w:rPr>
          <w:lang w:val="en-US"/>
        </w:rPr>
        <w:t>; and</w:t>
      </w:r>
    </w:p>
    <w:p w14:paraId="56A0DDDE" w14:textId="5A706CE2" w:rsidR="006013A5" w:rsidRPr="00216DA8" w:rsidRDefault="00B6500C" w:rsidP="00B6500C">
      <w:pPr>
        <w:pStyle w:val="ListNo2"/>
        <w:numPr>
          <w:ilvl w:val="0"/>
          <w:numId w:val="0"/>
        </w:numPr>
        <w:tabs>
          <w:tab w:val="left" w:pos="1440"/>
        </w:tabs>
        <w:ind w:left="1440" w:hanging="720"/>
        <w:rPr>
          <w:iCs/>
          <w:lang w:val="en-US"/>
        </w:rPr>
      </w:pPr>
      <w:r w:rsidRPr="00216DA8">
        <w:rPr>
          <w:iCs/>
          <w:lang w:val="en-US"/>
        </w:rPr>
        <w:t>(b)</w:t>
      </w:r>
      <w:r w:rsidRPr="00216DA8">
        <w:rPr>
          <w:iCs/>
          <w:lang w:val="en-US"/>
        </w:rPr>
        <w:tab/>
      </w:r>
      <w:r w:rsidR="00C30DFE">
        <w:rPr>
          <w:b/>
        </w:rPr>
        <w:t xml:space="preserve">Balance </w:t>
      </w:r>
      <w:r w:rsidR="00C30DFE">
        <w:t>Legal Capital II UK Ltd</w:t>
      </w:r>
      <w:r w:rsidR="00F5457D">
        <w:t xml:space="preserve">, </w:t>
      </w:r>
      <w:r w:rsidR="00F51DE9">
        <w:t>a company registered in the United Kingdom engaged in litigation funding,</w:t>
      </w:r>
      <w:r w:rsidR="008E0C03">
        <w:t xml:space="preserve"> </w:t>
      </w:r>
      <w:r w:rsidR="00F34B52">
        <w:t xml:space="preserve">applies for approval of part of the legal costs that it paid </w:t>
      </w:r>
      <w:r w:rsidR="00080978">
        <w:t xml:space="preserve">in relation to </w:t>
      </w:r>
      <w:r w:rsidR="00F34B52">
        <w:t xml:space="preserve">a competing class action which was stayed </w:t>
      </w:r>
      <w:r w:rsidR="00F534EF">
        <w:t>in 202</w:t>
      </w:r>
      <w:r w:rsidR="00080978">
        <w:t>2</w:t>
      </w:r>
      <w:r w:rsidR="00F534EF">
        <w:t xml:space="preserve"> </w:t>
      </w:r>
      <w:r w:rsidR="00F34B52">
        <w:t xml:space="preserve">and which is referred to as the </w:t>
      </w:r>
      <w:r w:rsidR="005738C5">
        <w:rPr>
          <w:b/>
          <w:bCs/>
        </w:rPr>
        <w:t>Kosen-</w:t>
      </w:r>
      <w:proofErr w:type="spellStart"/>
      <w:r w:rsidR="005738C5">
        <w:rPr>
          <w:b/>
          <w:bCs/>
        </w:rPr>
        <w:t>Rufu</w:t>
      </w:r>
      <w:proofErr w:type="spellEnd"/>
      <w:r w:rsidR="005738C5">
        <w:rPr>
          <w:b/>
          <w:bCs/>
        </w:rPr>
        <w:t xml:space="preserve"> Proceeding</w:t>
      </w:r>
      <w:r w:rsidR="00216DA8">
        <w:rPr>
          <w:lang w:val="en-US"/>
        </w:rPr>
        <w:t>.</w:t>
      </w:r>
    </w:p>
    <w:p w14:paraId="6196BF8E" w14:textId="3C5D180D" w:rsidR="00414128" w:rsidRPr="00EE47BF" w:rsidRDefault="00B6500C" w:rsidP="00B6500C">
      <w:pPr>
        <w:pStyle w:val="ListNo1"/>
        <w:numPr>
          <w:ilvl w:val="0"/>
          <w:numId w:val="0"/>
        </w:numPr>
        <w:tabs>
          <w:tab w:val="left" w:pos="720"/>
        </w:tabs>
        <w:ind w:left="720" w:hanging="720"/>
        <w:rPr>
          <w:iCs/>
          <w:szCs w:val="24"/>
          <w:lang w:val="en-US"/>
        </w:rPr>
      </w:pPr>
      <w:r w:rsidRPr="00EE47BF">
        <w:rPr>
          <w:iCs/>
          <w:szCs w:val="24"/>
          <w:lang w:val="en-US"/>
        </w:rPr>
        <w:t>(2)</w:t>
      </w:r>
      <w:r w:rsidRPr="00EE47BF">
        <w:rPr>
          <w:iCs/>
          <w:szCs w:val="24"/>
          <w:lang w:val="en-US"/>
        </w:rPr>
        <w:tab/>
      </w:r>
      <w:r w:rsidR="00776DA4" w:rsidRPr="00EE47BF">
        <w:rPr>
          <w:iCs/>
          <w:szCs w:val="24"/>
          <w:lang w:val="en-US"/>
        </w:rPr>
        <w:t xml:space="preserve">The second proceeding </w:t>
      </w:r>
      <w:r w:rsidR="004C0EE6" w:rsidRPr="00EE47BF">
        <w:rPr>
          <w:iCs/>
          <w:szCs w:val="24"/>
          <w:lang w:val="en-US"/>
        </w:rPr>
        <w:t xml:space="preserve">is an </w:t>
      </w:r>
      <w:r w:rsidR="004C0EE6" w:rsidRPr="00EE47BF">
        <w:rPr>
          <w:szCs w:val="24"/>
        </w:rPr>
        <w:t xml:space="preserve">application for directions and orders under s 90-15 of the </w:t>
      </w:r>
      <w:r w:rsidR="004C0EE6" w:rsidRPr="00CB65C1">
        <w:rPr>
          <w:i/>
          <w:szCs w:val="24"/>
        </w:rPr>
        <w:t>Insolvency Practice Schedule (Corporations)</w:t>
      </w:r>
      <w:r w:rsidR="004C0EE6" w:rsidRPr="00EE47BF">
        <w:rPr>
          <w:i/>
          <w:szCs w:val="24"/>
        </w:rPr>
        <w:t xml:space="preserve"> </w:t>
      </w:r>
      <w:r w:rsidR="004C0EE6" w:rsidRPr="00EE47BF">
        <w:rPr>
          <w:szCs w:val="24"/>
        </w:rPr>
        <w:t>(</w:t>
      </w:r>
      <w:r w:rsidR="004C0EE6" w:rsidRPr="00EE47BF">
        <w:rPr>
          <w:b/>
          <w:szCs w:val="24"/>
        </w:rPr>
        <w:t>IPS</w:t>
      </w:r>
      <w:r w:rsidR="004C0EE6" w:rsidRPr="00EE47BF">
        <w:rPr>
          <w:szCs w:val="24"/>
        </w:rPr>
        <w:t xml:space="preserve">), being Schedule 2 to the </w:t>
      </w:r>
      <w:r w:rsidR="004C0EE6" w:rsidRPr="00CB65C1">
        <w:rPr>
          <w:b/>
          <w:bCs/>
          <w:i/>
          <w:szCs w:val="24"/>
        </w:rPr>
        <w:t>Corporations Act</w:t>
      </w:r>
      <w:r w:rsidR="004C0EE6" w:rsidRPr="00CB65C1">
        <w:rPr>
          <w:i/>
          <w:szCs w:val="24"/>
        </w:rPr>
        <w:t xml:space="preserve"> 2001 </w:t>
      </w:r>
      <w:r w:rsidR="004C0EE6" w:rsidRPr="00CB65C1">
        <w:rPr>
          <w:szCs w:val="24"/>
        </w:rPr>
        <w:t>(</w:t>
      </w:r>
      <w:proofErr w:type="spellStart"/>
      <w:r w:rsidR="004C0EE6" w:rsidRPr="00CB65C1">
        <w:rPr>
          <w:szCs w:val="24"/>
        </w:rPr>
        <w:t>Cth</w:t>
      </w:r>
      <w:proofErr w:type="spellEnd"/>
      <w:r w:rsidR="004C0EE6" w:rsidRPr="00CB65C1">
        <w:rPr>
          <w:szCs w:val="24"/>
        </w:rPr>
        <w:t>)</w:t>
      </w:r>
      <w:r w:rsidR="004C0EE6" w:rsidRPr="00EE47BF">
        <w:rPr>
          <w:szCs w:val="24"/>
        </w:rPr>
        <w:t>. The first plaintiff</w:t>
      </w:r>
      <w:r w:rsidR="00EE47BF">
        <w:rPr>
          <w:szCs w:val="24"/>
        </w:rPr>
        <w:t>s</w:t>
      </w:r>
      <w:r w:rsidR="004C0EE6" w:rsidRPr="00EE47BF">
        <w:rPr>
          <w:szCs w:val="24"/>
        </w:rPr>
        <w:t xml:space="preserve"> in this proceeding were appointed as </w:t>
      </w:r>
      <w:r w:rsidR="00065006">
        <w:rPr>
          <w:szCs w:val="24"/>
        </w:rPr>
        <w:t xml:space="preserve">the </w:t>
      </w:r>
      <w:r w:rsidR="00065006" w:rsidRPr="00F16017">
        <w:rPr>
          <w:b/>
          <w:bCs/>
          <w:szCs w:val="24"/>
        </w:rPr>
        <w:t>D</w:t>
      </w:r>
      <w:r w:rsidR="004C0EE6" w:rsidRPr="00F16017">
        <w:rPr>
          <w:b/>
          <w:bCs/>
          <w:szCs w:val="24"/>
        </w:rPr>
        <w:t xml:space="preserve">eed </w:t>
      </w:r>
      <w:r w:rsidR="00065006" w:rsidRPr="00F16017">
        <w:rPr>
          <w:b/>
          <w:bCs/>
          <w:szCs w:val="24"/>
        </w:rPr>
        <w:t>A</w:t>
      </w:r>
      <w:r w:rsidR="004C0EE6" w:rsidRPr="00F16017">
        <w:rPr>
          <w:b/>
          <w:bCs/>
          <w:szCs w:val="24"/>
        </w:rPr>
        <w:t>dministrators</w:t>
      </w:r>
      <w:r w:rsidR="004C0EE6" w:rsidRPr="00EE47BF">
        <w:rPr>
          <w:szCs w:val="24"/>
        </w:rPr>
        <w:t xml:space="preserve"> of </w:t>
      </w:r>
      <w:r w:rsidR="0009383E" w:rsidRPr="00EE47BF">
        <w:rPr>
          <w:szCs w:val="24"/>
        </w:rPr>
        <w:t xml:space="preserve">DASS </w:t>
      </w:r>
      <w:r w:rsidR="004C0EE6" w:rsidRPr="00EE47BF">
        <w:rPr>
          <w:szCs w:val="24"/>
        </w:rPr>
        <w:t>by a deed of company arrangement executed on 16</w:t>
      </w:r>
      <w:r w:rsidR="00806138">
        <w:rPr>
          <w:spacing w:val="-1"/>
          <w:szCs w:val="24"/>
        </w:rPr>
        <w:t> </w:t>
      </w:r>
      <w:r w:rsidR="004C0EE6" w:rsidRPr="00EE47BF">
        <w:rPr>
          <w:szCs w:val="24"/>
        </w:rPr>
        <w:t>December 2022 (</w:t>
      </w:r>
      <w:r w:rsidR="004C0EE6" w:rsidRPr="00EE47BF">
        <w:rPr>
          <w:b/>
          <w:szCs w:val="24"/>
        </w:rPr>
        <w:t>DOCA</w:t>
      </w:r>
      <w:r w:rsidR="004C0EE6" w:rsidRPr="00EE47BF">
        <w:rPr>
          <w:szCs w:val="24"/>
        </w:rPr>
        <w:t xml:space="preserve">). </w:t>
      </w:r>
      <w:r w:rsidR="0009383E" w:rsidRPr="00EE47BF">
        <w:rPr>
          <w:szCs w:val="24"/>
        </w:rPr>
        <w:t>Before</w:t>
      </w:r>
      <w:r w:rsidR="004C0EE6" w:rsidRPr="00EE47BF">
        <w:rPr>
          <w:szCs w:val="24"/>
        </w:rPr>
        <w:t xml:space="preserve"> that point, </w:t>
      </w:r>
      <w:r w:rsidR="0009383E" w:rsidRPr="00EE47BF">
        <w:rPr>
          <w:szCs w:val="24"/>
        </w:rPr>
        <w:t xml:space="preserve">Mr </w:t>
      </w:r>
      <w:r w:rsidR="004C0EE6" w:rsidRPr="00EE47BF">
        <w:rPr>
          <w:szCs w:val="24"/>
        </w:rPr>
        <w:t xml:space="preserve">Stephen Longley and </w:t>
      </w:r>
      <w:r w:rsidR="0009383E" w:rsidRPr="00EE47BF">
        <w:rPr>
          <w:szCs w:val="24"/>
        </w:rPr>
        <w:t xml:space="preserve">Mr </w:t>
      </w:r>
      <w:r w:rsidR="004C0EE6" w:rsidRPr="00EE47BF">
        <w:rPr>
          <w:szCs w:val="24"/>
        </w:rPr>
        <w:t xml:space="preserve">Craig Crosbie had been </w:t>
      </w:r>
      <w:r w:rsidR="0009383E" w:rsidRPr="00EE47BF">
        <w:rPr>
          <w:szCs w:val="24"/>
        </w:rPr>
        <w:t>DASS</w:t>
      </w:r>
      <w:r w:rsidR="00CD113A">
        <w:rPr>
          <w:szCs w:val="24"/>
        </w:rPr>
        <w:t>’</w:t>
      </w:r>
      <w:r w:rsidR="004C0EE6" w:rsidRPr="00EE47BF">
        <w:rPr>
          <w:szCs w:val="24"/>
        </w:rPr>
        <w:t xml:space="preserve">s joint and several administrators. </w:t>
      </w:r>
    </w:p>
    <w:p w14:paraId="3FBFAE9A" w14:textId="680C5671" w:rsidR="00BB5064" w:rsidRDefault="00B6500C" w:rsidP="00B6500C">
      <w:pPr>
        <w:pStyle w:val="ParaNumbering"/>
        <w:numPr>
          <w:ilvl w:val="0"/>
          <w:numId w:val="0"/>
        </w:numPr>
        <w:ind w:hanging="720"/>
      </w:pPr>
      <w:r>
        <w:rPr>
          <w:iCs/>
          <w:sz w:val="20"/>
        </w:rPr>
        <w:t>2</w:t>
      </w:r>
      <w:r>
        <w:rPr>
          <w:iCs/>
          <w:sz w:val="20"/>
        </w:rPr>
        <w:tab/>
      </w:r>
      <w:r w:rsidR="00D16C4A">
        <w:t>DASS</w:t>
      </w:r>
      <w:r w:rsidR="00D16C4A" w:rsidRPr="00D575C9">
        <w:t xml:space="preserve"> was a financial services provider within the E</w:t>
      </w:r>
      <w:r w:rsidR="00A61C31">
        <w:t>&amp;</w:t>
      </w:r>
      <w:r w:rsidR="00D16C4A" w:rsidRPr="00D575C9">
        <w:t>P</w:t>
      </w:r>
      <w:r w:rsidR="00D16C4A">
        <w:t xml:space="preserve"> </w:t>
      </w:r>
      <w:r w:rsidR="005C7DB2">
        <w:t>G</w:t>
      </w:r>
      <w:r w:rsidR="005C7DB2" w:rsidRPr="00D575C9">
        <w:t xml:space="preserve">roup </w:t>
      </w:r>
      <w:r w:rsidR="00D16C4A" w:rsidRPr="00D575C9">
        <w:t>of companies</w:t>
      </w:r>
      <w:r w:rsidR="00270CDF">
        <w:t xml:space="preserve"> (</w:t>
      </w:r>
      <w:r w:rsidR="00270CDF">
        <w:rPr>
          <w:b/>
          <w:bCs/>
        </w:rPr>
        <w:t>E&amp;P Group</w:t>
      </w:r>
      <w:r w:rsidR="00270CDF">
        <w:t>)</w:t>
      </w:r>
      <w:r w:rsidR="00D16C4A" w:rsidRPr="00D575C9">
        <w:t>. From about 2011, it gave advice to its clients to invest in</w:t>
      </w:r>
      <w:r w:rsidR="00D16C4A">
        <w:t xml:space="preserve"> </w:t>
      </w:r>
      <w:r w:rsidR="00CE482B">
        <w:t xml:space="preserve">the </w:t>
      </w:r>
      <w:r w:rsidR="00CE482B" w:rsidRPr="00107882">
        <w:rPr>
          <w:szCs w:val="24"/>
        </w:rPr>
        <w:t>US Masters Residential Property Fund</w:t>
      </w:r>
      <w:r w:rsidR="00CE482B">
        <w:t xml:space="preserve"> (</w:t>
      </w:r>
      <w:r w:rsidR="00D16C4A" w:rsidRPr="00CE482B">
        <w:rPr>
          <w:b/>
          <w:bCs/>
        </w:rPr>
        <w:t>URF</w:t>
      </w:r>
      <w:r w:rsidR="00CE482B">
        <w:t>)</w:t>
      </w:r>
      <w:r w:rsidR="00D16C4A">
        <w:t>,</w:t>
      </w:r>
      <w:r w:rsidR="00D16C4A" w:rsidRPr="00D575C9">
        <w:t xml:space="preserve"> a US-based property investment and development fund</w:t>
      </w:r>
      <w:r w:rsidR="00E867B6" w:rsidRPr="0032237C">
        <w:rPr>
          <w:spacing w:val="-5"/>
          <w:szCs w:val="24"/>
        </w:rPr>
        <w:t xml:space="preserve"> </w:t>
      </w:r>
      <w:r w:rsidR="00E867B6" w:rsidRPr="0032237C">
        <w:rPr>
          <w:szCs w:val="24"/>
        </w:rPr>
        <w:t>focused</w:t>
      </w:r>
      <w:r w:rsidR="00E867B6" w:rsidRPr="0032237C">
        <w:rPr>
          <w:spacing w:val="-3"/>
          <w:szCs w:val="24"/>
        </w:rPr>
        <w:t xml:space="preserve"> </w:t>
      </w:r>
      <w:r w:rsidR="00E867B6" w:rsidRPr="0032237C">
        <w:rPr>
          <w:szCs w:val="24"/>
        </w:rPr>
        <w:t>on</w:t>
      </w:r>
      <w:r w:rsidR="00E867B6" w:rsidRPr="0032237C">
        <w:rPr>
          <w:spacing w:val="-4"/>
          <w:szCs w:val="24"/>
        </w:rPr>
        <w:t xml:space="preserve"> </w:t>
      </w:r>
      <w:r w:rsidR="00E867B6" w:rsidRPr="0032237C">
        <w:rPr>
          <w:szCs w:val="24"/>
        </w:rPr>
        <w:t>residential</w:t>
      </w:r>
      <w:r w:rsidR="00E867B6" w:rsidRPr="0032237C">
        <w:rPr>
          <w:spacing w:val="-3"/>
          <w:szCs w:val="24"/>
        </w:rPr>
        <w:t xml:space="preserve"> </w:t>
      </w:r>
      <w:r w:rsidR="00E867B6" w:rsidRPr="0032237C">
        <w:rPr>
          <w:szCs w:val="24"/>
        </w:rPr>
        <w:t>property</w:t>
      </w:r>
      <w:r w:rsidR="00C2355F">
        <w:rPr>
          <w:szCs w:val="24"/>
        </w:rPr>
        <w:t>,</w:t>
      </w:r>
      <w:r w:rsidR="00E867B6" w:rsidRPr="0032237C">
        <w:rPr>
          <w:spacing w:val="-4"/>
          <w:szCs w:val="24"/>
        </w:rPr>
        <w:t xml:space="preserve"> </w:t>
      </w:r>
      <w:r w:rsidR="00E867B6" w:rsidRPr="0032237C">
        <w:rPr>
          <w:szCs w:val="24"/>
        </w:rPr>
        <w:t>primarily</w:t>
      </w:r>
      <w:r w:rsidR="00E867B6" w:rsidRPr="0032237C">
        <w:rPr>
          <w:spacing w:val="-4"/>
          <w:szCs w:val="24"/>
        </w:rPr>
        <w:t xml:space="preserve"> </w:t>
      </w:r>
      <w:r w:rsidR="00E867B6">
        <w:rPr>
          <w:spacing w:val="-4"/>
          <w:szCs w:val="24"/>
        </w:rPr>
        <w:t xml:space="preserve">in </w:t>
      </w:r>
      <w:r w:rsidR="00E867B6" w:rsidRPr="0032237C">
        <w:rPr>
          <w:szCs w:val="24"/>
        </w:rPr>
        <w:t>New</w:t>
      </w:r>
      <w:r w:rsidR="00E867B6" w:rsidRPr="0032237C">
        <w:rPr>
          <w:spacing w:val="-13"/>
          <w:szCs w:val="24"/>
        </w:rPr>
        <w:t xml:space="preserve"> </w:t>
      </w:r>
      <w:r w:rsidR="00E867B6" w:rsidRPr="0032237C">
        <w:rPr>
          <w:spacing w:val="-2"/>
          <w:szCs w:val="24"/>
        </w:rPr>
        <w:t>York.</w:t>
      </w:r>
      <w:r w:rsidR="00E867B6">
        <w:rPr>
          <w:spacing w:val="-2"/>
          <w:szCs w:val="24"/>
        </w:rPr>
        <w:t xml:space="preserve"> </w:t>
      </w:r>
      <w:r w:rsidR="00D16C4A" w:rsidRPr="00D575C9">
        <w:t>At the same time it gave that advice, however, other companies in the E</w:t>
      </w:r>
      <w:r w:rsidR="00C80977">
        <w:t>&amp;</w:t>
      </w:r>
      <w:r w:rsidR="00D16C4A" w:rsidRPr="00D575C9">
        <w:t xml:space="preserve">P </w:t>
      </w:r>
      <w:r w:rsidR="00270CDF">
        <w:t>G</w:t>
      </w:r>
      <w:r w:rsidR="00D16C4A" w:rsidRPr="00D575C9">
        <w:t>roup were being paid fees for managing the URF</w:t>
      </w:r>
      <w:r w:rsidR="00CD113A">
        <w:t>’</w:t>
      </w:r>
      <w:r w:rsidR="00D16C4A" w:rsidRPr="00D575C9">
        <w:t xml:space="preserve">s assets and renovating its properties. </w:t>
      </w:r>
      <w:r w:rsidR="00D16C4A">
        <w:t>T</w:t>
      </w:r>
      <w:r w:rsidR="00D16C4A" w:rsidRPr="00D575C9">
        <w:t xml:space="preserve">his gave rise to an apparent conflict of interest for </w:t>
      </w:r>
      <w:r w:rsidR="00D16C4A">
        <w:t>DASS.</w:t>
      </w:r>
      <w:r w:rsidR="00C80977">
        <w:t xml:space="preserve"> </w:t>
      </w:r>
    </w:p>
    <w:p w14:paraId="16418386" w14:textId="1DCD4CE9" w:rsidR="006013CC" w:rsidRDefault="00B6500C" w:rsidP="00B6500C">
      <w:pPr>
        <w:pStyle w:val="ParaNumbering"/>
        <w:numPr>
          <w:ilvl w:val="0"/>
          <w:numId w:val="0"/>
        </w:numPr>
        <w:ind w:hanging="720"/>
      </w:pPr>
      <w:r>
        <w:rPr>
          <w:iCs/>
          <w:sz w:val="20"/>
        </w:rPr>
        <w:t>3</w:t>
      </w:r>
      <w:r>
        <w:rPr>
          <w:iCs/>
          <w:sz w:val="20"/>
        </w:rPr>
        <w:tab/>
      </w:r>
      <w:r w:rsidR="00D16C4A" w:rsidRPr="00D575C9">
        <w:t xml:space="preserve">The URF did not perform well. Its share price declined from </w:t>
      </w:r>
      <w:r w:rsidR="006F35B4">
        <w:t xml:space="preserve">a peak of </w:t>
      </w:r>
      <w:r w:rsidR="00D16C4A" w:rsidRPr="00D575C9">
        <w:t>$2.33 in September</w:t>
      </w:r>
      <w:r w:rsidR="00BF3143">
        <w:t> </w:t>
      </w:r>
      <w:r w:rsidR="00D16C4A" w:rsidRPr="00D575C9">
        <w:t>2015 to</w:t>
      </w:r>
      <w:r w:rsidR="00D16C4A">
        <w:t xml:space="preserve"> </w:t>
      </w:r>
      <w:r w:rsidR="00D16C4A" w:rsidRPr="00D575C9">
        <w:t xml:space="preserve">$0.185 in March 2020. </w:t>
      </w:r>
    </w:p>
    <w:p w14:paraId="5123B2F8" w14:textId="4F3E22E3" w:rsidR="00D16C4A" w:rsidRPr="00D575C9" w:rsidRDefault="00B6500C" w:rsidP="00B6500C">
      <w:pPr>
        <w:pStyle w:val="ParaNumbering"/>
        <w:numPr>
          <w:ilvl w:val="0"/>
          <w:numId w:val="0"/>
        </w:numPr>
        <w:ind w:hanging="720"/>
      </w:pPr>
      <w:r w:rsidRPr="00D575C9">
        <w:rPr>
          <w:iCs/>
          <w:sz w:val="20"/>
        </w:rPr>
        <w:t>4</w:t>
      </w:r>
      <w:r w:rsidRPr="00D575C9">
        <w:rPr>
          <w:iCs/>
          <w:sz w:val="20"/>
        </w:rPr>
        <w:tab/>
      </w:r>
      <w:r w:rsidR="006F35B4">
        <w:t>URF</w:t>
      </w:r>
      <w:r w:rsidR="00CD113A">
        <w:t>’</w:t>
      </w:r>
      <w:r w:rsidR="006F35B4">
        <w:t>s</w:t>
      </w:r>
      <w:r w:rsidR="00D16C4A" w:rsidRPr="00D575C9">
        <w:t xml:space="preserve"> performance, combined with concerns about the potential conflict of interest issues, resulted in the commencement of a proceeding by ASIC against </w:t>
      </w:r>
      <w:r w:rsidR="00D16C4A">
        <w:t xml:space="preserve">DASS </w:t>
      </w:r>
      <w:r w:rsidR="00D16C4A" w:rsidRPr="00D575C9">
        <w:t xml:space="preserve">alleging various </w:t>
      </w:r>
      <w:r w:rsidR="00D16C4A" w:rsidRPr="00D575C9">
        <w:lastRenderedPageBreak/>
        <w:t>contraventions of the Corporations Act relating to the provision of financial services, including a failure to act in the best interests of its clients</w:t>
      </w:r>
      <w:r w:rsidR="0002748C">
        <w:t xml:space="preserve"> (</w:t>
      </w:r>
      <w:r w:rsidR="0002748C">
        <w:rPr>
          <w:b/>
          <w:bCs/>
        </w:rPr>
        <w:t>ASIC Proceeding</w:t>
      </w:r>
      <w:r w:rsidR="0002748C">
        <w:t>)</w:t>
      </w:r>
      <w:r w:rsidR="00D16C4A" w:rsidRPr="00D575C9">
        <w:t xml:space="preserve">. </w:t>
      </w:r>
      <w:r w:rsidR="00D16C4A">
        <w:t xml:space="preserve">In addition to the </w:t>
      </w:r>
      <w:r w:rsidR="006F35B4">
        <w:t>Watson Proceeding and the Kosen-</w:t>
      </w:r>
      <w:proofErr w:type="spellStart"/>
      <w:r w:rsidR="006F35B4">
        <w:t>Rufu</w:t>
      </w:r>
      <w:proofErr w:type="spellEnd"/>
      <w:r w:rsidR="006F35B4">
        <w:t xml:space="preserve"> Proceeding, former clients </w:t>
      </w:r>
      <w:r w:rsidR="00D16C4A" w:rsidRPr="00D575C9">
        <w:t>have lodged many complaints with the Australian Financial Complaints Authority (</w:t>
      </w:r>
      <w:r w:rsidR="00D16C4A" w:rsidRPr="006F35B4">
        <w:rPr>
          <w:b/>
          <w:bCs/>
        </w:rPr>
        <w:t>AFCA</w:t>
      </w:r>
      <w:r w:rsidR="00D16C4A" w:rsidRPr="00D575C9">
        <w:t>).</w:t>
      </w:r>
    </w:p>
    <w:p w14:paraId="0042DEB5" w14:textId="55AFAAF3" w:rsidR="003D6C0D" w:rsidRDefault="00B6500C" w:rsidP="00B6500C">
      <w:pPr>
        <w:pStyle w:val="ParaNumbering"/>
        <w:numPr>
          <w:ilvl w:val="0"/>
          <w:numId w:val="0"/>
        </w:numPr>
        <w:ind w:hanging="720"/>
      </w:pPr>
      <w:r>
        <w:rPr>
          <w:iCs/>
          <w:sz w:val="20"/>
        </w:rPr>
        <w:t>5</w:t>
      </w:r>
      <w:r>
        <w:rPr>
          <w:iCs/>
          <w:sz w:val="20"/>
        </w:rPr>
        <w:tab/>
      </w:r>
      <w:r w:rsidR="00C91913">
        <w:t xml:space="preserve">A settlement has been agreed in the </w:t>
      </w:r>
      <w:r w:rsidR="004E5EB0">
        <w:t>Watson Proceeding.</w:t>
      </w:r>
      <w:r w:rsidR="00F224E8" w:rsidRPr="00F224E8">
        <w:t xml:space="preserve"> The funds payable by way of the proposed settlement are intended to flow into the deed fund under the DOCA and</w:t>
      </w:r>
      <w:r w:rsidR="00262F03">
        <w:t xml:space="preserve">, </w:t>
      </w:r>
      <w:r w:rsidR="00F224E8" w:rsidRPr="00F224E8">
        <w:t>after certain costs and expenses are first paid out</w:t>
      </w:r>
      <w:r w:rsidR="001B639C">
        <w:t xml:space="preserve"> (including any amount to be paid to Balance)</w:t>
      </w:r>
      <w:r w:rsidR="00262F03">
        <w:t>, the settlement funds are to</w:t>
      </w:r>
      <w:r w:rsidR="00F224E8" w:rsidRPr="00F224E8">
        <w:t xml:space="preserve"> be distributed to group members and </w:t>
      </w:r>
      <w:r w:rsidR="00262F03">
        <w:t>DASS</w:t>
      </w:r>
      <w:r w:rsidR="00CD113A">
        <w:t>’</w:t>
      </w:r>
      <w:r w:rsidR="00F224E8" w:rsidRPr="00F224E8">
        <w:t xml:space="preserve"> general creditors. </w:t>
      </w:r>
      <w:r w:rsidR="00262F03">
        <w:t xml:space="preserve">The group members </w:t>
      </w:r>
      <w:r w:rsidR="00262F03" w:rsidRPr="00F224E8">
        <w:t xml:space="preserve">constitute the vast majority of </w:t>
      </w:r>
      <w:r w:rsidR="00262F03">
        <w:t>DASS</w:t>
      </w:r>
      <w:r w:rsidR="00CD113A">
        <w:t>’</w:t>
      </w:r>
      <w:r w:rsidR="00262F03" w:rsidRPr="00F224E8">
        <w:t xml:space="preserve"> creditors</w:t>
      </w:r>
      <w:r w:rsidR="00262F03">
        <w:t>.</w:t>
      </w:r>
      <w:r w:rsidR="00262F03" w:rsidRPr="00F224E8">
        <w:t xml:space="preserve"> </w:t>
      </w:r>
    </w:p>
    <w:p w14:paraId="017E7426" w14:textId="7B646626" w:rsidR="00A53E24" w:rsidRDefault="00B6500C" w:rsidP="00B6500C">
      <w:pPr>
        <w:pStyle w:val="ParaNumbering"/>
        <w:numPr>
          <w:ilvl w:val="0"/>
          <w:numId w:val="0"/>
        </w:numPr>
        <w:ind w:hanging="720"/>
      </w:pPr>
      <w:r>
        <w:rPr>
          <w:iCs/>
          <w:sz w:val="20"/>
        </w:rPr>
        <w:t>6</w:t>
      </w:r>
      <w:r>
        <w:rPr>
          <w:iCs/>
          <w:sz w:val="20"/>
        </w:rPr>
        <w:tab/>
      </w:r>
      <w:r w:rsidR="00F224E8" w:rsidRPr="00F224E8">
        <w:t xml:space="preserve">The Deed Administrators seek orders approving their proposed process for the adjudication of claims to be made by </w:t>
      </w:r>
      <w:r w:rsidR="00262F03">
        <w:t>DASS</w:t>
      </w:r>
      <w:r w:rsidR="00CD113A">
        <w:t>’</w:t>
      </w:r>
      <w:r w:rsidR="00F224E8" w:rsidRPr="00F224E8">
        <w:t xml:space="preserve"> creditors and the distribution of the deed fund once those claims have been assessed.</w:t>
      </w:r>
    </w:p>
    <w:p w14:paraId="767A7D10" w14:textId="6A0C77FF" w:rsidR="00801C46" w:rsidRDefault="00B6500C" w:rsidP="00B6500C">
      <w:pPr>
        <w:pStyle w:val="ParaNumbering"/>
        <w:numPr>
          <w:ilvl w:val="0"/>
          <w:numId w:val="0"/>
        </w:numPr>
        <w:ind w:hanging="720"/>
      </w:pPr>
      <w:r>
        <w:rPr>
          <w:iCs/>
          <w:sz w:val="20"/>
        </w:rPr>
        <w:t>7</w:t>
      </w:r>
      <w:r>
        <w:rPr>
          <w:iCs/>
          <w:sz w:val="20"/>
        </w:rPr>
        <w:tab/>
      </w:r>
      <w:r w:rsidR="009E4272">
        <w:t>Balance</w:t>
      </w:r>
      <w:r w:rsidR="00CD113A">
        <w:t>’</w:t>
      </w:r>
      <w:r w:rsidR="009E4272">
        <w:t xml:space="preserve">s application </w:t>
      </w:r>
      <w:r w:rsidR="00647DC6">
        <w:t xml:space="preserve">for payment of legal costs </w:t>
      </w:r>
      <w:r w:rsidR="009E4272">
        <w:t>is made under s 33V(2) of the FCA Act. The</w:t>
      </w:r>
      <w:r w:rsidR="00647DC6">
        <w:t xml:space="preserve"> application arises in the following way. </w:t>
      </w:r>
      <w:r w:rsidR="009E4272" w:rsidRPr="00647DC6">
        <w:rPr>
          <w:b/>
          <w:bCs/>
        </w:rPr>
        <w:t>Shine</w:t>
      </w:r>
      <w:r w:rsidR="009E4272" w:rsidRPr="00B56D6C">
        <w:t xml:space="preserve"> </w:t>
      </w:r>
      <w:r w:rsidR="009E4272">
        <w:t xml:space="preserve">Lawyers </w:t>
      </w:r>
      <w:r w:rsidR="00647DC6">
        <w:t xml:space="preserve">– who represent the applicant in the Watson Proceeding – </w:t>
      </w:r>
      <w:r w:rsidR="009E4272" w:rsidRPr="00B56D6C">
        <w:t>had</w:t>
      </w:r>
      <w:r w:rsidR="00647DC6">
        <w:t xml:space="preserve"> </w:t>
      </w:r>
      <w:r w:rsidR="009E4272" w:rsidRPr="00B56D6C">
        <w:t xml:space="preserve">been investigating </w:t>
      </w:r>
      <w:r w:rsidR="00647DC6">
        <w:t>a</w:t>
      </w:r>
      <w:r w:rsidR="009E4272" w:rsidRPr="00B56D6C">
        <w:t xml:space="preserve"> </w:t>
      </w:r>
      <w:r w:rsidR="009E4272">
        <w:t xml:space="preserve">potential class action </w:t>
      </w:r>
      <w:r w:rsidR="009E4272" w:rsidRPr="00B56D6C">
        <w:t xml:space="preserve">since </w:t>
      </w:r>
      <w:r w:rsidR="009E4272">
        <w:t xml:space="preserve">about June 2019. Balance was approached in early 2021 for potential funding of a class action arising from the same circumstances as </w:t>
      </w:r>
      <w:r w:rsidR="00647DC6">
        <w:t>were</w:t>
      </w:r>
      <w:r w:rsidR="009E4272">
        <w:t xml:space="preserve"> then being investigated by Shine. Balance provide</w:t>
      </w:r>
      <w:r w:rsidR="003D08F3">
        <w:t>d</w:t>
      </w:r>
      <w:r w:rsidR="009E4272">
        <w:t xml:space="preserve"> </w:t>
      </w:r>
      <w:r w:rsidR="00434CF6">
        <w:t xml:space="preserve">funding </w:t>
      </w:r>
      <w:r w:rsidR="009E4272">
        <w:t>support</w:t>
      </w:r>
      <w:r w:rsidR="003D08F3">
        <w:t xml:space="preserve">, </w:t>
      </w:r>
      <w:r w:rsidR="009E6576">
        <w:t>including by paying Piper Alderman to conduct a class action.</w:t>
      </w:r>
      <w:r w:rsidR="009E4272">
        <w:t xml:space="preserve"> </w:t>
      </w:r>
    </w:p>
    <w:p w14:paraId="79672F20" w14:textId="7B57956D" w:rsidR="009E4272" w:rsidRDefault="00B6500C" w:rsidP="00B6500C">
      <w:pPr>
        <w:pStyle w:val="ParaNumbering"/>
        <w:numPr>
          <w:ilvl w:val="0"/>
          <w:numId w:val="0"/>
        </w:numPr>
        <w:ind w:hanging="720"/>
      </w:pPr>
      <w:r>
        <w:rPr>
          <w:iCs/>
          <w:sz w:val="20"/>
        </w:rPr>
        <w:t>8</w:t>
      </w:r>
      <w:r>
        <w:rPr>
          <w:iCs/>
          <w:sz w:val="20"/>
        </w:rPr>
        <w:tab/>
      </w:r>
      <w:r w:rsidR="00801C46">
        <w:t>Piper Alderman commenced the</w:t>
      </w:r>
      <w:r w:rsidR="009E4272">
        <w:t xml:space="preserve"> </w:t>
      </w:r>
      <w:r w:rsidR="009E4272" w:rsidRPr="00B56D6C">
        <w:t>Kosen-</w:t>
      </w:r>
      <w:proofErr w:type="spellStart"/>
      <w:r w:rsidR="009E4272">
        <w:t>R</w:t>
      </w:r>
      <w:r w:rsidR="009E4272" w:rsidRPr="00B56D6C">
        <w:t>ufu</w:t>
      </w:r>
      <w:proofErr w:type="spellEnd"/>
      <w:r w:rsidR="009E4272" w:rsidRPr="00B56D6C">
        <w:t xml:space="preserve"> </w:t>
      </w:r>
      <w:r w:rsidR="009E4272">
        <w:t xml:space="preserve">Proceeding </w:t>
      </w:r>
      <w:r w:rsidR="009E4272" w:rsidRPr="00B56D6C">
        <w:t xml:space="preserve">on </w:t>
      </w:r>
      <w:r w:rsidR="009E4272">
        <w:t>1</w:t>
      </w:r>
      <w:r w:rsidR="009E4272" w:rsidRPr="00B56D6C">
        <w:t xml:space="preserve"> November 2021 and </w:t>
      </w:r>
      <w:r w:rsidR="00801C46">
        <w:t xml:space="preserve">Shine commenced </w:t>
      </w:r>
      <w:r w:rsidR="009E4272">
        <w:t>the Watson Proceeding</w:t>
      </w:r>
      <w:r w:rsidR="009E4272" w:rsidRPr="00B56D6C">
        <w:t xml:space="preserve"> on 2</w:t>
      </w:r>
      <w:r w:rsidR="009E4272">
        <w:t>2</w:t>
      </w:r>
      <w:r w:rsidR="009E4272" w:rsidRPr="00B56D6C">
        <w:t xml:space="preserve"> December 2021. </w:t>
      </w:r>
      <w:r w:rsidR="009E4272" w:rsidRPr="00F01CD2">
        <w:rPr>
          <w:szCs w:val="28"/>
        </w:rPr>
        <w:t>The applicant in the Watson Proceeding applied to have the Kosen-</w:t>
      </w:r>
      <w:proofErr w:type="spellStart"/>
      <w:r w:rsidR="009E4272" w:rsidRPr="00F01CD2">
        <w:rPr>
          <w:szCs w:val="28"/>
        </w:rPr>
        <w:t>Rufu</w:t>
      </w:r>
      <w:proofErr w:type="spellEnd"/>
      <w:r w:rsidR="009E4272" w:rsidRPr="00F01CD2">
        <w:rPr>
          <w:szCs w:val="28"/>
        </w:rPr>
        <w:t xml:space="preserve"> Proceeding stayed</w:t>
      </w:r>
      <w:r w:rsidR="00BF3143">
        <w:rPr>
          <w:szCs w:val="28"/>
        </w:rPr>
        <w:t xml:space="preserve"> (the </w:t>
      </w:r>
      <w:r w:rsidR="00BF3143">
        <w:rPr>
          <w:b/>
          <w:bCs/>
          <w:szCs w:val="28"/>
        </w:rPr>
        <w:t>carriage motion</w:t>
      </w:r>
      <w:r w:rsidR="00BF3143">
        <w:rPr>
          <w:szCs w:val="28"/>
        </w:rPr>
        <w:t>)</w:t>
      </w:r>
      <w:r w:rsidR="009E4272" w:rsidRPr="00F01CD2">
        <w:rPr>
          <w:szCs w:val="28"/>
        </w:rPr>
        <w:t>. After hearing the carriage motion, the Kosen-</w:t>
      </w:r>
      <w:proofErr w:type="spellStart"/>
      <w:r w:rsidR="009E4272" w:rsidRPr="00F01CD2">
        <w:rPr>
          <w:szCs w:val="28"/>
        </w:rPr>
        <w:t>Rufu</w:t>
      </w:r>
      <w:proofErr w:type="spellEnd"/>
      <w:r w:rsidR="009E4272" w:rsidRPr="00F01CD2">
        <w:rPr>
          <w:szCs w:val="28"/>
        </w:rPr>
        <w:t xml:space="preserve"> Proceeding w</w:t>
      </w:r>
      <w:r w:rsidR="00ED0B09" w:rsidRPr="00F01CD2">
        <w:rPr>
          <w:szCs w:val="28"/>
        </w:rPr>
        <w:t>as</w:t>
      </w:r>
      <w:r w:rsidR="009E4272" w:rsidRPr="00F01CD2">
        <w:rPr>
          <w:szCs w:val="28"/>
        </w:rPr>
        <w:t xml:space="preserve"> stayed: </w:t>
      </w:r>
      <w:r w:rsidR="009E4272" w:rsidRPr="00CB65C1">
        <w:rPr>
          <w:i/>
          <w:iCs/>
          <w:szCs w:val="28"/>
        </w:rPr>
        <w:t>Kosen-</w:t>
      </w:r>
      <w:proofErr w:type="spellStart"/>
      <w:r w:rsidR="009E4272" w:rsidRPr="00CB65C1">
        <w:rPr>
          <w:i/>
          <w:iCs/>
          <w:szCs w:val="28"/>
        </w:rPr>
        <w:t>Rufu</w:t>
      </w:r>
      <w:proofErr w:type="spellEnd"/>
      <w:r w:rsidR="009E4272" w:rsidRPr="00CB65C1">
        <w:rPr>
          <w:i/>
          <w:iCs/>
          <w:szCs w:val="28"/>
        </w:rPr>
        <w:t xml:space="preserve"> Pty Ltd v Dixon Advisory and Superannuation Services Ltd </w:t>
      </w:r>
      <w:r w:rsidR="009E4272" w:rsidRPr="00CB65C1">
        <w:rPr>
          <w:szCs w:val="28"/>
        </w:rPr>
        <w:t>[2022] FCA 573</w:t>
      </w:r>
      <w:r w:rsidR="00414C73" w:rsidRPr="00F01CD2">
        <w:rPr>
          <w:szCs w:val="28"/>
        </w:rPr>
        <w:t xml:space="preserve">. </w:t>
      </w:r>
      <w:r w:rsidR="00F13187" w:rsidRPr="00F01CD2">
        <w:rPr>
          <w:szCs w:val="28"/>
        </w:rPr>
        <w:t xml:space="preserve">Orders staying the proceeding were made on 15 June 2022 and </w:t>
      </w:r>
      <w:r w:rsidR="00D35076" w:rsidRPr="00F01CD2">
        <w:rPr>
          <w:szCs w:val="28"/>
        </w:rPr>
        <w:t xml:space="preserve">Balance was granted liberty to apply in the Watson Proceeding </w:t>
      </w:r>
      <w:r w:rsidR="00FF4060" w:rsidRPr="00F01CD2">
        <w:rPr>
          <w:szCs w:val="28"/>
        </w:rPr>
        <w:t xml:space="preserve">in respect of </w:t>
      </w:r>
      <w:r w:rsidR="000D315F" w:rsidRPr="00F01CD2">
        <w:rPr>
          <w:szCs w:val="28"/>
        </w:rPr>
        <w:t>costs.</w:t>
      </w:r>
      <w:r w:rsidR="00F01CD2">
        <w:rPr>
          <w:szCs w:val="28"/>
        </w:rPr>
        <w:t xml:space="preserve"> </w:t>
      </w:r>
      <w:r w:rsidR="001B6BB9">
        <w:t xml:space="preserve">Balance </w:t>
      </w:r>
      <w:r w:rsidR="00F01CD2">
        <w:t xml:space="preserve">now </w:t>
      </w:r>
      <w:r w:rsidR="001B6BB9">
        <w:t xml:space="preserve">seeks a part of the costs and disbursements </w:t>
      </w:r>
      <w:r w:rsidR="00F01CD2">
        <w:t xml:space="preserve">it </w:t>
      </w:r>
      <w:r w:rsidR="001B6BB9">
        <w:t>paid.</w:t>
      </w:r>
    </w:p>
    <w:p w14:paraId="4BABCCA6" w14:textId="2BA88734" w:rsidR="00F01CD2" w:rsidRDefault="00B6500C" w:rsidP="00B6500C">
      <w:pPr>
        <w:pStyle w:val="ParaNumbering"/>
        <w:numPr>
          <w:ilvl w:val="0"/>
          <w:numId w:val="0"/>
        </w:numPr>
        <w:ind w:hanging="720"/>
      </w:pPr>
      <w:r>
        <w:rPr>
          <w:iCs/>
          <w:sz w:val="20"/>
        </w:rPr>
        <w:t>9</w:t>
      </w:r>
      <w:r>
        <w:rPr>
          <w:iCs/>
          <w:sz w:val="20"/>
        </w:rPr>
        <w:tab/>
      </w:r>
      <w:r w:rsidR="00F01CD2">
        <w:t>It is convenient to deal first with the settlement approval</w:t>
      </w:r>
      <w:r w:rsidR="00C73822">
        <w:t xml:space="preserve"> (which includes </w:t>
      </w:r>
      <w:r w:rsidR="00C92805">
        <w:t>addressing the costs of Shine in the Watson Proceeding)</w:t>
      </w:r>
      <w:r w:rsidR="00F01CD2">
        <w:t xml:space="preserve">, </w:t>
      </w:r>
      <w:r w:rsidR="00FE3302">
        <w:t>secondly with the Deed Administrators</w:t>
      </w:r>
      <w:r w:rsidR="00CD113A">
        <w:t>’</w:t>
      </w:r>
      <w:r w:rsidR="00FE3302">
        <w:t xml:space="preserve"> application for directions and thirdly with Balance</w:t>
      </w:r>
      <w:r w:rsidR="00CD113A">
        <w:t>’</w:t>
      </w:r>
      <w:r w:rsidR="00FE3302">
        <w:t xml:space="preserve">s </w:t>
      </w:r>
      <w:r w:rsidR="00C73822">
        <w:t>application for costs.</w:t>
      </w:r>
    </w:p>
    <w:p w14:paraId="03DB1D72" w14:textId="5F88108A" w:rsidR="009E4272" w:rsidRDefault="00B6500C" w:rsidP="009E4272">
      <w:pPr>
        <w:pStyle w:val="Heading1"/>
      </w:pPr>
      <w:r>
        <w:rPr>
          <w:caps w:val="0"/>
        </w:rPr>
        <w:t>SETTLEMENT APPROVAL</w:t>
      </w:r>
    </w:p>
    <w:p w14:paraId="0192FC3A" w14:textId="11BD7119" w:rsidR="00A53E24" w:rsidRPr="00107882" w:rsidRDefault="00B6500C" w:rsidP="00B6500C">
      <w:pPr>
        <w:pStyle w:val="ParaNumbering"/>
        <w:numPr>
          <w:ilvl w:val="0"/>
          <w:numId w:val="0"/>
        </w:numPr>
        <w:ind w:hanging="720"/>
        <w:rPr>
          <w:szCs w:val="24"/>
        </w:rPr>
      </w:pPr>
      <w:r w:rsidRPr="00107882">
        <w:rPr>
          <w:iCs/>
          <w:sz w:val="20"/>
          <w:szCs w:val="24"/>
        </w:rPr>
        <w:t>10</w:t>
      </w:r>
      <w:r w:rsidRPr="00107882">
        <w:rPr>
          <w:iCs/>
          <w:sz w:val="20"/>
          <w:szCs w:val="24"/>
        </w:rPr>
        <w:tab/>
      </w:r>
      <w:r w:rsidR="00A53E24" w:rsidRPr="00107882">
        <w:rPr>
          <w:szCs w:val="24"/>
        </w:rPr>
        <w:t>The</w:t>
      </w:r>
      <w:r w:rsidR="00A53E24" w:rsidRPr="00107882">
        <w:rPr>
          <w:spacing w:val="-5"/>
          <w:szCs w:val="24"/>
        </w:rPr>
        <w:t xml:space="preserve"> </w:t>
      </w:r>
      <w:r w:rsidR="00A53E24" w:rsidRPr="00107882">
        <w:rPr>
          <w:szCs w:val="24"/>
        </w:rPr>
        <w:t>group</w:t>
      </w:r>
      <w:r w:rsidR="00A53E24" w:rsidRPr="00107882">
        <w:rPr>
          <w:spacing w:val="-4"/>
          <w:szCs w:val="24"/>
        </w:rPr>
        <w:t xml:space="preserve"> </w:t>
      </w:r>
      <w:r w:rsidR="00A53E24" w:rsidRPr="00107882">
        <w:rPr>
          <w:szCs w:val="24"/>
        </w:rPr>
        <w:t>members</w:t>
      </w:r>
      <w:r w:rsidR="00A53E24" w:rsidRPr="00107882">
        <w:rPr>
          <w:spacing w:val="-4"/>
          <w:szCs w:val="24"/>
        </w:rPr>
        <w:t xml:space="preserve"> </w:t>
      </w:r>
      <w:r w:rsidR="00A53E24" w:rsidRPr="00107882">
        <w:rPr>
          <w:szCs w:val="24"/>
        </w:rPr>
        <w:t>comprise</w:t>
      </w:r>
      <w:r w:rsidR="00A53E24" w:rsidRPr="00107882">
        <w:rPr>
          <w:spacing w:val="-5"/>
          <w:szCs w:val="24"/>
        </w:rPr>
        <w:t xml:space="preserve"> </w:t>
      </w:r>
      <w:r w:rsidR="00A53E24" w:rsidRPr="00107882">
        <w:rPr>
          <w:szCs w:val="24"/>
        </w:rPr>
        <w:t>all</w:t>
      </w:r>
      <w:r w:rsidR="00A53E24" w:rsidRPr="00107882">
        <w:rPr>
          <w:spacing w:val="-3"/>
          <w:szCs w:val="24"/>
        </w:rPr>
        <w:t xml:space="preserve"> </w:t>
      </w:r>
      <w:r w:rsidR="00A53E24" w:rsidRPr="00107882">
        <w:rPr>
          <w:szCs w:val="24"/>
        </w:rPr>
        <w:t>persons</w:t>
      </w:r>
      <w:r w:rsidR="00A53E24" w:rsidRPr="00107882">
        <w:rPr>
          <w:spacing w:val="-4"/>
          <w:szCs w:val="24"/>
        </w:rPr>
        <w:t xml:space="preserve"> who:</w:t>
      </w:r>
    </w:p>
    <w:p w14:paraId="7459243F" w14:textId="0846732E" w:rsidR="00A53E24" w:rsidRPr="00107882" w:rsidRDefault="00B6500C" w:rsidP="00B6500C">
      <w:pPr>
        <w:pStyle w:val="FCBullets"/>
        <w:numPr>
          <w:ilvl w:val="0"/>
          <w:numId w:val="0"/>
        </w:numPr>
        <w:tabs>
          <w:tab w:val="left" w:pos="720"/>
        </w:tabs>
        <w:ind w:left="720" w:hanging="720"/>
        <w:rPr>
          <w:szCs w:val="24"/>
        </w:rPr>
      </w:pPr>
      <w:r w:rsidRPr="00107882">
        <w:rPr>
          <w:rFonts w:ascii="Symbol" w:hAnsi="Symbol"/>
          <w:szCs w:val="24"/>
        </w:rPr>
        <w:lastRenderedPageBreak/>
        <w:t></w:t>
      </w:r>
      <w:r w:rsidRPr="00107882">
        <w:rPr>
          <w:rFonts w:ascii="Symbol" w:hAnsi="Symbol"/>
          <w:szCs w:val="24"/>
        </w:rPr>
        <w:tab/>
      </w:r>
      <w:r w:rsidR="00A53E24" w:rsidRPr="00107882">
        <w:rPr>
          <w:szCs w:val="24"/>
        </w:rPr>
        <w:t>at any time during the period from 15 April 2011 to 23 December 2021 (</w:t>
      </w:r>
      <w:r w:rsidR="00A53E24" w:rsidRPr="00107882">
        <w:rPr>
          <w:b/>
          <w:szCs w:val="24"/>
        </w:rPr>
        <w:t>Relevant Period</w:t>
      </w:r>
      <w:r w:rsidR="00A53E24" w:rsidRPr="00107882">
        <w:rPr>
          <w:szCs w:val="24"/>
        </w:rPr>
        <w:t>) were, within the meaning of s 761G of the</w:t>
      </w:r>
      <w:r w:rsidR="00A53E24" w:rsidRPr="00262F03">
        <w:rPr>
          <w:bCs/>
          <w:szCs w:val="24"/>
        </w:rPr>
        <w:t xml:space="preserve"> Corporations Act</w:t>
      </w:r>
      <w:r w:rsidR="00A53E24" w:rsidRPr="00107882">
        <w:rPr>
          <w:szCs w:val="24"/>
        </w:rPr>
        <w:t>, retail clients (including, where the retail clients were self-managed</w:t>
      </w:r>
      <w:r w:rsidR="00A53E24" w:rsidRPr="00107882">
        <w:rPr>
          <w:spacing w:val="-5"/>
          <w:szCs w:val="24"/>
        </w:rPr>
        <w:t xml:space="preserve"> </w:t>
      </w:r>
      <w:r w:rsidR="00A53E24" w:rsidRPr="00107882">
        <w:rPr>
          <w:szCs w:val="24"/>
        </w:rPr>
        <w:t>superannuation</w:t>
      </w:r>
      <w:r w:rsidR="00A53E24" w:rsidRPr="00107882">
        <w:rPr>
          <w:spacing w:val="-5"/>
          <w:szCs w:val="24"/>
        </w:rPr>
        <w:t xml:space="preserve"> </w:t>
      </w:r>
      <w:r w:rsidR="00A53E24" w:rsidRPr="00107882">
        <w:rPr>
          <w:szCs w:val="24"/>
        </w:rPr>
        <w:t>funds</w:t>
      </w:r>
      <w:r w:rsidR="00A53E24" w:rsidRPr="00107882">
        <w:rPr>
          <w:spacing w:val="-3"/>
          <w:szCs w:val="24"/>
        </w:rPr>
        <w:t xml:space="preserve"> </w:t>
      </w:r>
      <w:r w:rsidR="00A53E24" w:rsidRPr="00107882">
        <w:rPr>
          <w:szCs w:val="24"/>
        </w:rPr>
        <w:t>that</w:t>
      </w:r>
      <w:r w:rsidR="00A53E24" w:rsidRPr="00107882">
        <w:rPr>
          <w:spacing w:val="-4"/>
          <w:szCs w:val="24"/>
        </w:rPr>
        <w:t xml:space="preserve"> </w:t>
      </w:r>
      <w:r w:rsidR="00A53E24" w:rsidRPr="00107882">
        <w:rPr>
          <w:szCs w:val="24"/>
        </w:rPr>
        <w:t>existed</w:t>
      </w:r>
      <w:r w:rsidR="00A53E24" w:rsidRPr="00107882">
        <w:rPr>
          <w:spacing w:val="-3"/>
          <w:szCs w:val="24"/>
        </w:rPr>
        <w:t xml:space="preserve"> </w:t>
      </w:r>
      <w:r w:rsidR="00A53E24" w:rsidRPr="00107882">
        <w:rPr>
          <w:szCs w:val="24"/>
        </w:rPr>
        <w:t>during</w:t>
      </w:r>
      <w:r w:rsidR="00A53E24" w:rsidRPr="00107882">
        <w:rPr>
          <w:spacing w:val="-5"/>
          <w:szCs w:val="24"/>
        </w:rPr>
        <w:t xml:space="preserve"> </w:t>
      </w:r>
      <w:r w:rsidR="00A53E24" w:rsidRPr="00107882">
        <w:rPr>
          <w:szCs w:val="24"/>
        </w:rPr>
        <w:t>the</w:t>
      </w:r>
      <w:r w:rsidR="00A53E24" w:rsidRPr="00107882">
        <w:rPr>
          <w:spacing w:val="-4"/>
          <w:szCs w:val="24"/>
        </w:rPr>
        <w:t xml:space="preserve"> </w:t>
      </w:r>
      <w:r w:rsidR="00A53E24" w:rsidRPr="00107882">
        <w:rPr>
          <w:szCs w:val="24"/>
        </w:rPr>
        <w:t>Relevant</w:t>
      </w:r>
      <w:r w:rsidR="00A53E24" w:rsidRPr="00107882">
        <w:rPr>
          <w:spacing w:val="-2"/>
          <w:szCs w:val="24"/>
        </w:rPr>
        <w:t xml:space="preserve"> </w:t>
      </w:r>
      <w:r w:rsidR="00A53E24" w:rsidRPr="00107882">
        <w:rPr>
          <w:szCs w:val="24"/>
        </w:rPr>
        <w:t>Period</w:t>
      </w:r>
      <w:r w:rsidR="00A53E24" w:rsidRPr="00107882">
        <w:rPr>
          <w:spacing w:val="-3"/>
          <w:szCs w:val="24"/>
        </w:rPr>
        <w:t xml:space="preserve"> </w:t>
      </w:r>
      <w:r w:rsidR="00A53E24" w:rsidRPr="00107882">
        <w:rPr>
          <w:szCs w:val="24"/>
        </w:rPr>
        <w:t>but</w:t>
      </w:r>
      <w:r w:rsidR="00A53E24" w:rsidRPr="00107882">
        <w:rPr>
          <w:spacing w:val="-2"/>
          <w:szCs w:val="24"/>
        </w:rPr>
        <w:t xml:space="preserve"> </w:t>
      </w:r>
      <w:r w:rsidR="00A53E24" w:rsidRPr="00107882">
        <w:rPr>
          <w:szCs w:val="24"/>
        </w:rPr>
        <w:t>which</w:t>
      </w:r>
      <w:r w:rsidR="00A53E24" w:rsidRPr="00107882">
        <w:rPr>
          <w:spacing w:val="-5"/>
          <w:szCs w:val="24"/>
        </w:rPr>
        <w:t xml:space="preserve"> </w:t>
      </w:r>
      <w:r w:rsidR="00A53E24" w:rsidRPr="00107882">
        <w:rPr>
          <w:szCs w:val="24"/>
        </w:rPr>
        <w:t>have since closed, the beneficiaries of those self-managed superannuation funds during the Relevant Period) of the financial advisory business carried on by DASS; and</w:t>
      </w:r>
    </w:p>
    <w:p w14:paraId="63E81462" w14:textId="3518822B" w:rsidR="00A53E24" w:rsidRPr="00107882" w:rsidRDefault="00B6500C" w:rsidP="00B6500C">
      <w:pPr>
        <w:pStyle w:val="FCBullets"/>
        <w:numPr>
          <w:ilvl w:val="0"/>
          <w:numId w:val="0"/>
        </w:numPr>
        <w:tabs>
          <w:tab w:val="left" w:pos="720"/>
        </w:tabs>
        <w:ind w:left="720" w:hanging="720"/>
        <w:rPr>
          <w:szCs w:val="24"/>
        </w:rPr>
      </w:pPr>
      <w:r w:rsidRPr="00107882">
        <w:rPr>
          <w:rFonts w:ascii="Symbol" w:hAnsi="Symbol"/>
          <w:szCs w:val="24"/>
        </w:rPr>
        <w:t></w:t>
      </w:r>
      <w:r w:rsidRPr="00107882">
        <w:rPr>
          <w:rFonts w:ascii="Symbol" w:hAnsi="Symbol"/>
          <w:szCs w:val="24"/>
        </w:rPr>
        <w:tab/>
      </w:r>
      <w:r w:rsidR="00A53E24" w:rsidRPr="00107882">
        <w:rPr>
          <w:szCs w:val="24"/>
        </w:rPr>
        <w:t>on</w:t>
      </w:r>
      <w:r w:rsidR="00A53E24" w:rsidRPr="00107882">
        <w:rPr>
          <w:spacing w:val="-3"/>
          <w:szCs w:val="24"/>
        </w:rPr>
        <w:t xml:space="preserve"> </w:t>
      </w:r>
      <w:r w:rsidR="00A53E24" w:rsidRPr="00107882">
        <w:rPr>
          <w:szCs w:val="24"/>
        </w:rPr>
        <w:t>or</w:t>
      </w:r>
      <w:r w:rsidR="00A53E24" w:rsidRPr="00107882">
        <w:rPr>
          <w:spacing w:val="-2"/>
          <w:szCs w:val="24"/>
        </w:rPr>
        <w:t xml:space="preserve"> </w:t>
      </w:r>
      <w:r w:rsidR="00A53E24" w:rsidRPr="00107882">
        <w:rPr>
          <w:szCs w:val="24"/>
        </w:rPr>
        <w:t>after</w:t>
      </w:r>
      <w:r w:rsidR="00A53E24" w:rsidRPr="00107882">
        <w:rPr>
          <w:spacing w:val="-2"/>
          <w:szCs w:val="24"/>
        </w:rPr>
        <w:t xml:space="preserve"> </w:t>
      </w:r>
      <w:r w:rsidR="00A53E24" w:rsidRPr="00107882">
        <w:rPr>
          <w:szCs w:val="24"/>
        </w:rPr>
        <w:t>22</w:t>
      </w:r>
      <w:r w:rsidR="00A53E24" w:rsidRPr="00107882">
        <w:rPr>
          <w:spacing w:val="-3"/>
          <w:szCs w:val="24"/>
        </w:rPr>
        <w:t xml:space="preserve"> </w:t>
      </w:r>
      <w:r w:rsidR="00A53E24" w:rsidRPr="00107882">
        <w:rPr>
          <w:szCs w:val="24"/>
        </w:rPr>
        <w:t>December</w:t>
      </w:r>
      <w:r w:rsidR="00A53E24" w:rsidRPr="00107882">
        <w:rPr>
          <w:spacing w:val="-2"/>
          <w:szCs w:val="24"/>
        </w:rPr>
        <w:t xml:space="preserve"> </w:t>
      </w:r>
      <w:r w:rsidR="00A53E24" w:rsidRPr="00107882">
        <w:rPr>
          <w:szCs w:val="24"/>
        </w:rPr>
        <w:t>2005,</w:t>
      </w:r>
      <w:r w:rsidR="00A53E24" w:rsidRPr="00107882">
        <w:rPr>
          <w:spacing w:val="-3"/>
          <w:szCs w:val="24"/>
        </w:rPr>
        <w:t xml:space="preserve"> </w:t>
      </w:r>
      <w:r w:rsidR="00A53E24" w:rsidRPr="00107882">
        <w:rPr>
          <w:szCs w:val="24"/>
        </w:rPr>
        <w:t>while</w:t>
      </w:r>
      <w:r w:rsidR="00A53E24" w:rsidRPr="00107882">
        <w:rPr>
          <w:spacing w:val="-3"/>
          <w:szCs w:val="24"/>
        </w:rPr>
        <w:t xml:space="preserve"> </w:t>
      </w:r>
      <w:r w:rsidR="00A53E24" w:rsidRPr="00107882">
        <w:rPr>
          <w:szCs w:val="24"/>
        </w:rPr>
        <w:t>a</w:t>
      </w:r>
      <w:r w:rsidR="00A53E24" w:rsidRPr="00107882">
        <w:rPr>
          <w:spacing w:val="-4"/>
          <w:szCs w:val="24"/>
        </w:rPr>
        <w:t xml:space="preserve"> </w:t>
      </w:r>
      <w:r w:rsidR="00A53E24" w:rsidRPr="00107882">
        <w:rPr>
          <w:szCs w:val="24"/>
        </w:rPr>
        <w:t>client</w:t>
      </w:r>
      <w:r w:rsidR="00A53E24" w:rsidRPr="00107882">
        <w:rPr>
          <w:spacing w:val="-2"/>
          <w:szCs w:val="24"/>
        </w:rPr>
        <w:t xml:space="preserve"> </w:t>
      </w:r>
      <w:r w:rsidR="00A53E24" w:rsidRPr="00107882">
        <w:rPr>
          <w:szCs w:val="24"/>
        </w:rPr>
        <w:t>of DASS, held or acquired</w:t>
      </w:r>
      <w:r w:rsidR="00A53E24" w:rsidRPr="00107882">
        <w:rPr>
          <w:spacing w:val="-1"/>
          <w:szCs w:val="24"/>
        </w:rPr>
        <w:t xml:space="preserve"> </w:t>
      </w:r>
      <w:r w:rsidR="00A53E24" w:rsidRPr="00107882">
        <w:rPr>
          <w:szCs w:val="24"/>
        </w:rPr>
        <w:t>interests in</w:t>
      </w:r>
      <w:r w:rsidR="00A53E24" w:rsidRPr="00107882">
        <w:rPr>
          <w:spacing w:val="-1"/>
          <w:szCs w:val="24"/>
        </w:rPr>
        <w:t xml:space="preserve"> </w:t>
      </w:r>
      <w:r w:rsidR="00A53E24" w:rsidRPr="00107882">
        <w:rPr>
          <w:szCs w:val="24"/>
        </w:rPr>
        <w:t xml:space="preserve">the </w:t>
      </w:r>
      <w:r w:rsidR="00FB5F68" w:rsidRPr="00CE482B">
        <w:rPr>
          <w:szCs w:val="24"/>
        </w:rPr>
        <w:t>URF</w:t>
      </w:r>
      <w:r w:rsidR="00A53E24" w:rsidRPr="00107882">
        <w:rPr>
          <w:szCs w:val="24"/>
        </w:rPr>
        <w:t>.</w:t>
      </w:r>
      <w:r w:rsidR="003B102F">
        <w:rPr>
          <w:szCs w:val="24"/>
        </w:rPr>
        <w:t xml:space="preserve"> W</w:t>
      </w:r>
      <w:r w:rsidR="003B102F" w:rsidRPr="00107882">
        <w:rPr>
          <w:szCs w:val="24"/>
        </w:rPr>
        <w:t>here</w:t>
      </w:r>
      <w:r w:rsidR="003B102F" w:rsidRPr="00107882">
        <w:rPr>
          <w:spacing w:val="-4"/>
          <w:szCs w:val="24"/>
        </w:rPr>
        <w:t xml:space="preserve"> </w:t>
      </w:r>
      <w:r w:rsidR="003B102F" w:rsidRPr="00107882">
        <w:rPr>
          <w:szCs w:val="24"/>
        </w:rPr>
        <w:t>the</w:t>
      </w:r>
      <w:r w:rsidR="003B102F" w:rsidRPr="00107882">
        <w:rPr>
          <w:spacing w:val="-5"/>
          <w:szCs w:val="24"/>
        </w:rPr>
        <w:t xml:space="preserve"> </w:t>
      </w:r>
      <w:r w:rsidR="003B102F" w:rsidRPr="00107882">
        <w:rPr>
          <w:szCs w:val="24"/>
        </w:rPr>
        <w:t>client</w:t>
      </w:r>
      <w:r w:rsidR="003B102F" w:rsidRPr="00107882">
        <w:rPr>
          <w:spacing w:val="-2"/>
          <w:szCs w:val="24"/>
        </w:rPr>
        <w:t xml:space="preserve"> </w:t>
      </w:r>
      <w:r w:rsidR="003B102F" w:rsidRPr="00107882">
        <w:rPr>
          <w:szCs w:val="24"/>
        </w:rPr>
        <w:t>was</w:t>
      </w:r>
      <w:r w:rsidR="003B102F" w:rsidRPr="00107882">
        <w:rPr>
          <w:spacing w:val="-4"/>
          <w:szCs w:val="24"/>
        </w:rPr>
        <w:t xml:space="preserve"> </w:t>
      </w:r>
      <w:r w:rsidR="003B102F" w:rsidRPr="00107882">
        <w:rPr>
          <w:szCs w:val="24"/>
        </w:rPr>
        <w:t>a</w:t>
      </w:r>
      <w:r w:rsidR="003B102F" w:rsidRPr="00107882">
        <w:rPr>
          <w:spacing w:val="-3"/>
          <w:szCs w:val="24"/>
        </w:rPr>
        <w:t xml:space="preserve"> </w:t>
      </w:r>
      <w:r w:rsidR="003B102F" w:rsidRPr="00107882">
        <w:rPr>
          <w:szCs w:val="24"/>
        </w:rPr>
        <w:t>self-managed</w:t>
      </w:r>
      <w:r w:rsidR="003B102F" w:rsidRPr="00107882">
        <w:rPr>
          <w:spacing w:val="-6"/>
          <w:szCs w:val="24"/>
        </w:rPr>
        <w:t xml:space="preserve"> </w:t>
      </w:r>
      <w:r w:rsidR="003B102F" w:rsidRPr="00107882">
        <w:rPr>
          <w:szCs w:val="24"/>
        </w:rPr>
        <w:t>superannuation</w:t>
      </w:r>
      <w:r w:rsidR="003B102F" w:rsidRPr="00107882">
        <w:rPr>
          <w:spacing w:val="-6"/>
          <w:szCs w:val="24"/>
        </w:rPr>
        <w:t xml:space="preserve"> </w:t>
      </w:r>
      <w:r w:rsidR="003B102F" w:rsidRPr="00107882">
        <w:rPr>
          <w:szCs w:val="24"/>
        </w:rPr>
        <w:t>fund</w:t>
      </w:r>
      <w:r w:rsidR="003B102F" w:rsidRPr="00107882">
        <w:rPr>
          <w:spacing w:val="-3"/>
          <w:szCs w:val="24"/>
        </w:rPr>
        <w:t xml:space="preserve"> </w:t>
      </w:r>
      <w:r w:rsidR="003B102F" w:rsidRPr="00107882">
        <w:rPr>
          <w:szCs w:val="24"/>
        </w:rPr>
        <w:t>that</w:t>
      </w:r>
      <w:r w:rsidR="003B102F" w:rsidRPr="00107882">
        <w:rPr>
          <w:spacing w:val="-2"/>
          <w:szCs w:val="24"/>
        </w:rPr>
        <w:t xml:space="preserve"> </w:t>
      </w:r>
      <w:r w:rsidR="003B102F" w:rsidRPr="00107882">
        <w:rPr>
          <w:szCs w:val="24"/>
        </w:rPr>
        <w:t>existed</w:t>
      </w:r>
      <w:r w:rsidR="003B102F" w:rsidRPr="00107882">
        <w:rPr>
          <w:spacing w:val="-6"/>
          <w:szCs w:val="24"/>
        </w:rPr>
        <w:t xml:space="preserve"> </w:t>
      </w:r>
      <w:r w:rsidR="003B102F" w:rsidRPr="00107882">
        <w:rPr>
          <w:szCs w:val="24"/>
        </w:rPr>
        <w:t>during</w:t>
      </w:r>
      <w:r w:rsidR="003B102F" w:rsidRPr="00107882">
        <w:rPr>
          <w:spacing w:val="-6"/>
          <w:szCs w:val="24"/>
        </w:rPr>
        <w:t xml:space="preserve"> </w:t>
      </w:r>
      <w:r w:rsidR="003B102F" w:rsidRPr="00107882">
        <w:rPr>
          <w:szCs w:val="24"/>
        </w:rPr>
        <w:t>the</w:t>
      </w:r>
      <w:r w:rsidR="003B102F" w:rsidRPr="00107882">
        <w:rPr>
          <w:spacing w:val="-3"/>
          <w:szCs w:val="24"/>
        </w:rPr>
        <w:t xml:space="preserve"> </w:t>
      </w:r>
      <w:r w:rsidR="003B102F" w:rsidRPr="00107882">
        <w:rPr>
          <w:szCs w:val="24"/>
        </w:rPr>
        <w:t>Relevant</w:t>
      </w:r>
      <w:r w:rsidR="003B102F" w:rsidRPr="00107882">
        <w:rPr>
          <w:spacing w:val="-2"/>
          <w:szCs w:val="24"/>
        </w:rPr>
        <w:t xml:space="preserve"> </w:t>
      </w:r>
      <w:r w:rsidR="003B102F" w:rsidRPr="00107882">
        <w:rPr>
          <w:szCs w:val="24"/>
        </w:rPr>
        <w:t>Period</w:t>
      </w:r>
      <w:r w:rsidR="008F638D">
        <w:rPr>
          <w:szCs w:val="24"/>
        </w:rPr>
        <w:t>,</w:t>
      </w:r>
      <w:r w:rsidR="003B102F" w:rsidRPr="00107882">
        <w:rPr>
          <w:spacing w:val="-3"/>
          <w:szCs w:val="24"/>
        </w:rPr>
        <w:t xml:space="preserve"> </w:t>
      </w:r>
      <w:r w:rsidR="003B102F" w:rsidRPr="00107882">
        <w:rPr>
          <w:szCs w:val="24"/>
        </w:rPr>
        <w:t>but</w:t>
      </w:r>
      <w:r w:rsidR="003B102F" w:rsidRPr="00107882">
        <w:rPr>
          <w:spacing w:val="-2"/>
          <w:szCs w:val="24"/>
        </w:rPr>
        <w:t xml:space="preserve"> </w:t>
      </w:r>
      <w:r w:rsidR="003B102F" w:rsidRPr="00107882">
        <w:rPr>
          <w:szCs w:val="24"/>
        </w:rPr>
        <w:t>which</w:t>
      </w:r>
      <w:r w:rsidR="003B102F" w:rsidRPr="00107882">
        <w:rPr>
          <w:spacing w:val="-3"/>
          <w:szCs w:val="24"/>
        </w:rPr>
        <w:t xml:space="preserve"> </w:t>
      </w:r>
      <w:r w:rsidR="003B102F" w:rsidRPr="00107882">
        <w:rPr>
          <w:szCs w:val="24"/>
        </w:rPr>
        <w:t xml:space="preserve">has since closed, </w:t>
      </w:r>
      <w:r w:rsidR="003B102F">
        <w:rPr>
          <w:szCs w:val="24"/>
        </w:rPr>
        <w:t xml:space="preserve">a </w:t>
      </w:r>
      <w:r w:rsidR="00CD113A">
        <w:rPr>
          <w:szCs w:val="24"/>
        </w:rPr>
        <w:t>“</w:t>
      </w:r>
      <w:r w:rsidR="003B102F">
        <w:rPr>
          <w:szCs w:val="24"/>
        </w:rPr>
        <w:t>client</w:t>
      </w:r>
      <w:r w:rsidR="00CD113A">
        <w:rPr>
          <w:szCs w:val="24"/>
        </w:rPr>
        <w:t>”</w:t>
      </w:r>
      <w:r w:rsidR="003B102F">
        <w:rPr>
          <w:szCs w:val="24"/>
        </w:rPr>
        <w:t xml:space="preserve"> includes </w:t>
      </w:r>
      <w:r w:rsidR="003B102F" w:rsidRPr="00107882">
        <w:rPr>
          <w:szCs w:val="24"/>
        </w:rPr>
        <w:t>the beneficiaries of that self-managed superannuation fund</w:t>
      </w:r>
      <w:r w:rsidR="003B102F">
        <w:rPr>
          <w:szCs w:val="24"/>
        </w:rPr>
        <w:t>.</w:t>
      </w:r>
    </w:p>
    <w:p w14:paraId="389D3557" w14:textId="202E8E5E" w:rsidR="00E867B6" w:rsidRDefault="00B6500C" w:rsidP="00B6500C">
      <w:pPr>
        <w:pStyle w:val="ParaNumbering"/>
        <w:numPr>
          <w:ilvl w:val="0"/>
          <w:numId w:val="0"/>
        </w:numPr>
        <w:ind w:hanging="720"/>
        <w:rPr>
          <w:spacing w:val="-2"/>
          <w:szCs w:val="24"/>
        </w:rPr>
      </w:pPr>
      <w:r>
        <w:rPr>
          <w:iCs/>
          <w:spacing w:val="-2"/>
          <w:sz w:val="20"/>
          <w:szCs w:val="24"/>
        </w:rPr>
        <w:t>11</w:t>
      </w:r>
      <w:r>
        <w:rPr>
          <w:iCs/>
          <w:spacing w:val="-2"/>
          <w:sz w:val="20"/>
          <w:szCs w:val="24"/>
        </w:rPr>
        <w:tab/>
      </w:r>
      <w:r w:rsidR="00E867B6" w:rsidRPr="0032237C">
        <w:rPr>
          <w:szCs w:val="24"/>
        </w:rPr>
        <w:t xml:space="preserve">The applicant on its own behalf, and on behalf of the group members (together </w:t>
      </w:r>
      <w:r w:rsidR="00E867B6" w:rsidRPr="0032237C">
        <w:rPr>
          <w:b/>
          <w:bCs/>
          <w:szCs w:val="24"/>
        </w:rPr>
        <w:t>Claimants</w:t>
      </w:r>
      <w:r w:rsidR="00E867B6" w:rsidRPr="0032237C">
        <w:rPr>
          <w:szCs w:val="24"/>
        </w:rPr>
        <w:t>), claim</w:t>
      </w:r>
      <w:r w:rsidR="00D33FA4">
        <w:rPr>
          <w:szCs w:val="24"/>
        </w:rPr>
        <w:t>s</w:t>
      </w:r>
      <w:r w:rsidR="00E867B6" w:rsidRPr="0032237C">
        <w:rPr>
          <w:szCs w:val="24"/>
        </w:rPr>
        <w:t xml:space="preserve"> damages from the respondents for advice allegedly given to them by DASS (and its authorised representatives) to acquire and thereafter retain interests in the </w:t>
      </w:r>
      <w:r w:rsidR="00E867B6" w:rsidRPr="00FD7403">
        <w:rPr>
          <w:szCs w:val="24"/>
        </w:rPr>
        <w:t>URF</w:t>
      </w:r>
      <w:r w:rsidR="00E867B6">
        <w:rPr>
          <w:szCs w:val="24"/>
        </w:rPr>
        <w:t>.</w:t>
      </w:r>
    </w:p>
    <w:p w14:paraId="621107F4" w14:textId="6941E657" w:rsidR="00EA2203" w:rsidRPr="00EA2203" w:rsidRDefault="00B6500C" w:rsidP="00B6500C">
      <w:pPr>
        <w:pStyle w:val="ParaNumbering"/>
        <w:numPr>
          <w:ilvl w:val="0"/>
          <w:numId w:val="0"/>
        </w:numPr>
        <w:ind w:hanging="720"/>
        <w:rPr>
          <w:spacing w:val="-2"/>
          <w:szCs w:val="24"/>
        </w:rPr>
      </w:pPr>
      <w:r w:rsidRPr="00EA2203">
        <w:rPr>
          <w:iCs/>
          <w:spacing w:val="-2"/>
          <w:sz w:val="20"/>
          <w:szCs w:val="24"/>
        </w:rPr>
        <w:t>12</w:t>
      </w:r>
      <w:r w:rsidRPr="00EA2203">
        <w:rPr>
          <w:iCs/>
          <w:spacing w:val="-2"/>
          <w:sz w:val="20"/>
          <w:szCs w:val="24"/>
        </w:rPr>
        <w:tab/>
      </w:r>
      <w:r w:rsidR="00C71B40">
        <w:rPr>
          <w:spacing w:val="-2"/>
          <w:szCs w:val="24"/>
        </w:rPr>
        <w:t xml:space="preserve">There was an early mediation. This occurred before significant </w:t>
      </w:r>
      <w:r w:rsidR="00EC6DF3">
        <w:rPr>
          <w:spacing w:val="-2"/>
          <w:szCs w:val="24"/>
        </w:rPr>
        <w:t xml:space="preserve">discovery and before pleadings had closed. In addition to the carriage motion, </w:t>
      </w:r>
      <w:r w:rsidR="00D33FA4">
        <w:rPr>
          <w:spacing w:val="-2"/>
          <w:szCs w:val="24"/>
        </w:rPr>
        <w:t xml:space="preserve">three </w:t>
      </w:r>
      <w:r w:rsidR="00EC6DF3">
        <w:rPr>
          <w:spacing w:val="-2"/>
          <w:szCs w:val="24"/>
        </w:rPr>
        <w:t>other applications were made</w:t>
      </w:r>
      <w:r w:rsidR="00F75CC9">
        <w:rPr>
          <w:spacing w:val="-2"/>
          <w:szCs w:val="24"/>
        </w:rPr>
        <w:t xml:space="preserve">. </w:t>
      </w:r>
      <w:r w:rsidR="00EA2203">
        <w:rPr>
          <w:spacing w:val="-2"/>
          <w:szCs w:val="24"/>
        </w:rPr>
        <w:t>In broad terms, t</w:t>
      </w:r>
      <w:r w:rsidR="00F75CC9">
        <w:rPr>
          <w:spacing w:val="-2"/>
          <w:szCs w:val="24"/>
        </w:rPr>
        <w:t xml:space="preserve">hese were aimed at obtaining information in order to determine whether </w:t>
      </w:r>
      <w:r w:rsidR="00AC00F5">
        <w:rPr>
          <w:spacing w:val="-2"/>
          <w:szCs w:val="24"/>
        </w:rPr>
        <w:t xml:space="preserve">there </w:t>
      </w:r>
      <w:r w:rsidR="00EA2203">
        <w:rPr>
          <w:spacing w:val="-2"/>
          <w:szCs w:val="24"/>
        </w:rPr>
        <w:t xml:space="preserve">was </w:t>
      </w:r>
      <w:r w:rsidR="00AC00F5">
        <w:rPr>
          <w:spacing w:val="-2"/>
          <w:szCs w:val="24"/>
        </w:rPr>
        <w:t>insurance sufficient to warrant the significant expenditure anticipated in the proceeding</w:t>
      </w:r>
      <w:r w:rsidR="00AB241C">
        <w:rPr>
          <w:spacing w:val="-2"/>
          <w:szCs w:val="24"/>
        </w:rPr>
        <w:t xml:space="preserve"> – see: </w:t>
      </w:r>
      <w:r w:rsidR="00EA2203" w:rsidRPr="00CB65C1">
        <w:rPr>
          <w:i/>
          <w:iCs/>
          <w:spacing w:val="-2"/>
          <w:szCs w:val="24"/>
        </w:rPr>
        <w:t>Watson &amp; Co Superannuation Pty Ltd v Dixon Advisory and Superannuation Services Ltd</w:t>
      </w:r>
      <w:r w:rsidR="00EA2203" w:rsidRPr="00CB65C1">
        <w:rPr>
          <w:spacing w:val="-2"/>
          <w:szCs w:val="24"/>
        </w:rPr>
        <w:t xml:space="preserve"> [2022] FCA 1273 </w:t>
      </w:r>
      <w:r w:rsidR="0007062F">
        <w:rPr>
          <w:spacing w:val="-2"/>
          <w:szCs w:val="24"/>
        </w:rPr>
        <w:t>(</w:t>
      </w:r>
      <w:r w:rsidR="0007062F">
        <w:rPr>
          <w:b/>
          <w:bCs/>
          <w:spacing w:val="-2"/>
          <w:szCs w:val="24"/>
        </w:rPr>
        <w:t>Watson No 1</w:t>
      </w:r>
      <w:r w:rsidR="0007062F">
        <w:rPr>
          <w:spacing w:val="-2"/>
          <w:szCs w:val="24"/>
        </w:rPr>
        <w:t xml:space="preserve">) </w:t>
      </w:r>
      <w:r w:rsidR="006D7DFB">
        <w:rPr>
          <w:spacing w:val="-2"/>
          <w:szCs w:val="24"/>
        </w:rPr>
        <w:t>(Thawley J)</w:t>
      </w:r>
      <w:r w:rsidR="00B7664E">
        <w:rPr>
          <w:spacing w:val="-2"/>
          <w:szCs w:val="24"/>
        </w:rPr>
        <w:t>;</w:t>
      </w:r>
      <w:r w:rsidR="00EA2203" w:rsidRPr="00EA2203">
        <w:rPr>
          <w:spacing w:val="-2"/>
          <w:szCs w:val="24"/>
        </w:rPr>
        <w:t xml:space="preserve"> </w:t>
      </w:r>
      <w:r w:rsidR="00EA2203" w:rsidRPr="00CB65C1">
        <w:rPr>
          <w:i/>
          <w:iCs/>
          <w:spacing w:val="-2"/>
          <w:szCs w:val="24"/>
        </w:rPr>
        <w:t>Watson &amp; Co Superannuation Pty Ltd v Dixon Advisory and Superannuation Services Ltd (No 2)</w:t>
      </w:r>
      <w:r w:rsidR="00EA2203" w:rsidRPr="00CB65C1">
        <w:rPr>
          <w:spacing w:val="-2"/>
          <w:szCs w:val="24"/>
        </w:rPr>
        <w:t xml:space="preserve"> [2022] FCA 1504</w:t>
      </w:r>
      <w:r w:rsidR="00B7664E">
        <w:rPr>
          <w:spacing w:val="-2"/>
          <w:szCs w:val="24"/>
        </w:rPr>
        <w:t xml:space="preserve"> </w:t>
      </w:r>
      <w:r w:rsidR="00734AAB">
        <w:rPr>
          <w:spacing w:val="-2"/>
          <w:szCs w:val="24"/>
        </w:rPr>
        <w:t>(</w:t>
      </w:r>
      <w:r w:rsidR="00734AAB">
        <w:rPr>
          <w:b/>
          <w:bCs/>
          <w:spacing w:val="-2"/>
          <w:szCs w:val="24"/>
        </w:rPr>
        <w:t>Watson No 2</w:t>
      </w:r>
      <w:r w:rsidR="00734AAB">
        <w:rPr>
          <w:spacing w:val="-2"/>
          <w:szCs w:val="24"/>
        </w:rPr>
        <w:t xml:space="preserve">) </w:t>
      </w:r>
      <w:r w:rsidR="00B7664E">
        <w:rPr>
          <w:spacing w:val="-2"/>
          <w:szCs w:val="24"/>
        </w:rPr>
        <w:t>(</w:t>
      </w:r>
      <w:r w:rsidR="005C686D">
        <w:rPr>
          <w:spacing w:val="-2"/>
          <w:szCs w:val="24"/>
        </w:rPr>
        <w:t>Thawley J)</w:t>
      </w:r>
      <w:r w:rsidR="006D7DFB">
        <w:rPr>
          <w:spacing w:val="-2"/>
          <w:szCs w:val="24"/>
        </w:rPr>
        <w:t xml:space="preserve">; and </w:t>
      </w:r>
      <w:r w:rsidR="008A622F" w:rsidRPr="00CB65C1">
        <w:rPr>
          <w:i/>
          <w:iCs/>
          <w:spacing w:val="-2"/>
          <w:szCs w:val="24"/>
        </w:rPr>
        <w:t>Watson &amp; Co Superannuation Pty Ltd v Dixon Advisory and Superannuation Services Ltd (No 3)</w:t>
      </w:r>
      <w:r w:rsidR="008A622F" w:rsidRPr="00CB65C1">
        <w:rPr>
          <w:spacing w:val="-2"/>
          <w:szCs w:val="24"/>
        </w:rPr>
        <w:t xml:space="preserve"> [2023] FCA 988</w:t>
      </w:r>
      <w:r w:rsidR="008A622F">
        <w:rPr>
          <w:spacing w:val="-2"/>
          <w:szCs w:val="24"/>
        </w:rPr>
        <w:t xml:space="preserve"> </w:t>
      </w:r>
      <w:r w:rsidR="00734AAB">
        <w:rPr>
          <w:spacing w:val="-2"/>
          <w:szCs w:val="24"/>
        </w:rPr>
        <w:t>(</w:t>
      </w:r>
      <w:r w:rsidR="00734AAB">
        <w:rPr>
          <w:b/>
          <w:bCs/>
          <w:spacing w:val="-2"/>
          <w:szCs w:val="24"/>
        </w:rPr>
        <w:t>Watson No 3</w:t>
      </w:r>
      <w:r w:rsidR="00734AAB">
        <w:rPr>
          <w:spacing w:val="-2"/>
          <w:szCs w:val="24"/>
        </w:rPr>
        <w:t xml:space="preserve">) </w:t>
      </w:r>
      <w:r w:rsidR="008A622F">
        <w:rPr>
          <w:spacing w:val="-2"/>
          <w:szCs w:val="24"/>
        </w:rPr>
        <w:t>(Lee J).</w:t>
      </w:r>
    </w:p>
    <w:p w14:paraId="55995B33" w14:textId="1F285497" w:rsidR="00A53E24" w:rsidRPr="005F1C88" w:rsidRDefault="00B6500C" w:rsidP="00B6500C">
      <w:pPr>
        <w:pStyle w:val="ParaNumbering"/>
        <w:numPr>
          <w:ilvl w:val="0"/>
          <w:numId w:val="0"/>
        </w:numPr>
        <w:ind w:hanging="720"/>
        <w:rPr>
          <w:szCs w:val="24"/>
        </w:rPr>
      </w:pPr>
      <w:r w:rsidRPr="005F1C88">
        <w:rPr>
          <w:iCs/>
          <w:sz w:val="20"/>
          <w:szCs w:val="24"/>
        </w:rPr>
        <w:t>13</w:t>
      </w:r>
      <w:r w:rsidRPr="005F1C88">
        <w:rPr>
          <w:iCs/>
          <w:sz w:val="20"/>
          <w:szCs w:val="24"/>
        </w:rPr>
        <w:tab/>
      </w:r>
      <w:r w:rsidR="00FD274E">
        <w:rPr>
          <w:szCs w:val="24"/>
        </w:rPr>
        <w:t xml:space="preserve">After </w:t>
      </w:r>
      <w:r w:rsidR="00A53E24" w:rsidRPr="005F1C88">
        <w:rPr>
          <w:szCs w:val="24"/>
        </w:rPr>
        <w:t>mediation,</w:t>
      </w:r>
      <w:r w:rsidR="00A53E24" w:rsidRPr="005F1C88">
        <w:rPr>
          <w:spacing w:val="-3"/>
          <w:szCs w:val="24"/>
        </w:rPr>
        <w:t xml:space="preserve"> </w:t>
      </w:r>
      <w:r w:rsidR="005F1C88" w:rsidRPr="005F1C88">
        <w:rPr>
          <w:szCs w:val="24"/>
        </w:rPr>
        <w:t xml:space="preserve">a </w:t>
      </w:r>
      <w:r w:rsidR="005F1C88" w:rsidRPr="005F1C88">
        <w:rPr>
          <w:b/>
          <w:bCs/>
          <w:szCs w:val="24"/>
        </w:rPr>
        <w:t>Settlement Deed</w:t>
      </w:r>
      <w:r w:rsidR="005F1C88" w:rsidRPr="005F1C88">
        <w:rPr>
          <w:szCs w:val="24"/>
        </w:rPr>
        <w:t xml:space="preserve"> was executed by the parties</w:t>
      </w:r>
      <w:r w:rsidR="00F02083">
        <w:rPr>
          <w:szCs w:val="24"/>
        </w:rPr>
        <w:t>. Although unclear, this appears to have occurred</w:t>
      </w:r>
      <w:r w:rsidR="005F1C88" w:rsidRPr="005F1C88">
        <w:rPr>
          <w:szCs w:val="24"/>
        </w:rPr>
        <w:t xml:space="preserve"> on 13 </w:t>
      </w:r>
      <w:r w:rsidR="00F02083">
        <w:rPr>
          <w:szCs w:val="24"/>
        </w:rPr>
        <w:t>November</w:t>
      </w:r>
      <w:r w:rsidR="00F02083" w:rsidRPr="005F1C88">
        <w:rPr>
          <w:szCs w:val="24"/>
        </w:rPr>
        <w:t xml:space="preserve"> </w:t>
      </w:r>
      <w:r w:rsidR="005F1C88" w:rsidRPr="005F1C88">
        <w:rPr>
          <w:szCs w:val="24"/>
        </w:rPr>
        <w:t xml:space="preserve">2023. </w:t>
      </w:r>
      <w:r w:rsidR="00A53E24" w:rsidRPr="005F1C88">
        <w:rPr>
          <w:szCs w:val="24"/>
        </w:rPr>
        <w:t>The</w:t>
      </w:r>
      <w:r w:rsidR="00A53E24" w:rsidRPr="005F1C88">
        <w:rPr>
          <w:spacing w:val="-4"/>
          <w:szCs w:val="24"/>
        </w:rPr>
        <w:t xml:space="preserve"> </w:t>
      </w:r>
      <w:r w:rsidR="00A53E24" w:rsidRPr="005F1C88">
        <w:rPr>
          <w:szCs w:val="24"/>
        </w:rPr>
        <w:t>principal</w:t>
      </w:r>
      <w:r w:rsidR="00A53E24" w:rsidRPr="005F1C88">
        <w:rPr>
          <w:spacing w:val="-2"/>
          <w:szCs w:val="24"/>
        </w:rPr>
        <w:t xml:space="preserve"> </w:t>
      </w:r>
      <w:r w:rsidR="00A53E24" w:rsidRPr="005F1C88">
        <w:rPr>
          <w:szCs w:val="24"/>
        </w:rPr>
        <w:t>features</w:t>
      </w:r>
      <w:r w:rsidR="00A53E24" w:rsidRPr="005F1C88">
        <w:rPr>
          <w:spacing w:val="-4"/>
          <w:szCs w:val="24"/>
        </w:rPr>
        <w:t xml:space="preserve"> </w:t>
      </w:r>
      <w:r w:rsidR="00A53E24" w:rsidRPr="005F1C88">
        <w:rPr>
          <w:szCs w:val="24"/>
        </w:rPr>
        <w:t>of</w:t>
      </w:r>
      <w:r w:rsidR="00A53E24" w:rsidRPr="005F1C88">
        <w:rPr>
          <w:spacing w:val="-5"/>
          <w:szCs w:val="24"/>
        </w:rPr>
        <w:t xml:space="preserve"> </w:t>
      </w:r>
      <w:r w:rsidR="00A53E24" w:rsidRPr="005F1C88">
        <w:rPr>
          <w:szCs w:val="24"/>
        </w:rPr>
        <w:t>the</w:t>
      </w:r>
      <w:r w:rsidR="00A53E24" w:rsidRPr="005F1C88">
        <w:rPr>
          <w:spacing w:val="-3"/>
          <w:szCs w:val="24"/>
        </w:rPr>
        <w:t xml:space="preserve"> </w:t>
      </w:r>
      <w:r w:rsidR="00A53E24" w:rsidRPr="005F1C88">
        <w:rPr>
          <w:szCs w:val="24"/>
        </w:rPr>
        <w:t>proposed</w:t>
      </w:r>
      <w:r w:rsidR="00A53E24" w:rsidRPr="005F1C88">
        <w:rPr>
          <w:spacing w:val="-7"/>
          <w:szCs w:val="24"/>
        </w:rPr>
        <w:t xml:space="preserve"> </w:t>
      </w:r>
      <w:r w:rsidR="00A53E24" w:rsidRPr="005F1C88">
        <w:rPr>
          <w:szCs w:val="24"/>
        </w:rPr>
        <w:t>settlement</w:t>
      </w:r>
      <w:r w:rsidR="00A53E24" w:rsidRPr="005F1C88">
        <w:rPr>
          <w:spacing w:val="-2"/>
          <w:szCs w:val="24"/>
        </w:rPr>
        <w:t xml:space="preserve"> </w:t>
      </w:r>
      <w:r w:rsidR="00A53E24" w:rsidRPr="005F1C88">
        <w:rPr>
          <w:szCs w:val="24"/>
        </w:rPr>
        <w:t>are</w:t>
      </w:r>
      <w:r w:rsidR="00A53E24" w:rsidRPr="005F1C88">
        <w:rPr>
          <w:spacing w:val="-4"/>
          <w:szCs w:val="24"/>
        </w:rPr>
        <w:t>:</w:t>
      </w:r>
    </w:p>
    <w:p w14:paraId="774C9AED" w14:textId="1EA0F01D" w:rsidR="00A53E24" w:rsidRPr="00107882" w:rsidRDefault="00B6500C" w:rsidP="00B6500C">
      <w:pPr>
        <w:pStyle w:val="FCBullets"/>
        <w:numPr>
          <w:ilvl w:val="0"/>
          <w:numId w:val="0"/>
        </w:numPr>
        <w:tabs>
          <w:tab w:val="left" w:pos="720"/>
        </w:tabs>
        <w:ind w:left="720" w:hanging="720"/>
        <w:rPr>
          <w:szCs w:val="24"/>
        </w:rPr>
      </w:pPr>
      <w:r w:rsidRPr="00107882">
        <w:rPr>
          <w:rFonts w:ascii="Symbol" w:hAnsi="Symbol"/>
          <w:szCs w:val="24"/>
        </w:rPr>
        <w:t></w:t>
      </w:r>
      <w:r w:rsidRPr="00107882">
        <w:rPr>
          <w:rFonts w:ascii="Symbol" w:hAnsi="Symbol"/>
          <w:szCs w:val="24"/>
        </w:rPr>
        <w:tab/>
      </w:r>
      <w:r w:rsidR="0011726B">
        <w:rPr>
          <w:szCs w:val="24"/>
        </w:rPr>
        <w:t>t</w:t>
      </w:r>
      <w:r w:rsidR="00A53E24" w:rsidRPr="00107882">
        <w:rPr>
          <w:szCs w:val="24"/>
        </w:rPr>
        <w:t xml:space="preserve">he </w:t>
      </w:r>
      <w:r w:rsidR="005F1C88">
        <w:rPr>
          <w:szCs w:val="24"/>
        </w:rPr>
        <w:t>r</w:t>
      </w:r>
      <w:r w:rsidR="00A53E24" w:rsidRPr="00107882">
        <w:rPr>
          <w:szCs w:val="24"/>
        </w:rPr>
        <w:t xml:space="preserve">espondents (through both the </w:t>
      </w:r>
      <w:r w:rsidR="008F638D">
        <w:rPr>
          <w:szCs w:val="24"/>
        </w:rPr>
        <w:t>Deed Administrators</w:t>
      </w:r>
      <w:r w:rsidR="00A53E24" w:rsidRPr="00107882">
        <w:rPr>
          <w:szCs w:val="24"/>
        </w:rPr>
        <w:t xml:space="preserve"> and the insurers of the </w:t>
      </w:r>
      <w:r w:rsidR="005F1C88">
        <w:rPr>
          <w:szCs w:val="24"/>
        </w:rPr>
        <w:t>r</w:t>
      </w:r>
      <w:r w:rsidR="00A53E24" w:rsidRPr="00107882">
        <w:rPr>
          <w:szCs w:val="24"/>
        </w:rPr>
        <w:t>espondents</w:t>
      </w:r>
      <w:r w:rsidR="005F1C88">
        <w:rPr>
          <w:szCs w:val="24"/>
        </w:rPr>
        <w:t>)</w:t>
      </w:r>
      <w:r w:rsidR="00A53E24" w:rsidRPr="00107882">
        <w:rPr>
          <w:spacing w:val="-2"/>
          <w:szCs w:val="24"/>
        </w:rPr>
        <w:t xml:space="preserve"> </w:t>
      </w:r>
      <w:r w:rsidR="00A53E24" w:rsidRPr="00107882">
        <w:rPr>
          <w:szCs w:val="24"/>
        </w:rPr>
        <w:t>will</w:t>
      </w:r>
      <w:r w:rsidR="00A53E24" w:rsidRPr="00107882">
        <w:rPr>
          <w:spacing w:val="-2"/>
          <w:szCs w:val="24"/>
        </w:rPr>
        <w:t xml:space="preserve"> </w:t>
      </w:r>
      <w:r w:rsidR="00D75F93">
        <w:rPr>
          <w:szCs w:val="24"/>
        </w:rPr>
        <w:t xml:space="preserve">pay </w:t>
      </w:r>
      <w:r w:rsidR="00A53E24" w:rsidRPr="00107882">
        <w:rPr>
          <w:szCs w:val="24"/>
        </w:rPr>
        <w:t>not less than $16</w:t>
      </w:r>
      <w:r w:rsidR="00054780">
        <w:rPr>
          <w:szCs w:val="24"/>
        </w:rPr>
        <w:t xml:space="preserve"> </w:t>
      </w:r>
      <w:r w:rsidR="00A53E24" w:rsidRPr="00107882">
        <w:rPr>
          <w:szCs w:val="24"/>
        </w:rPr>
        <w:t>m</w:t>
      </w:r>
      <w:r w:rsidR="00054780">
        <w:rPr>
          <w:szCs w:val="24"/>
        </w:rPr>
        <w:t>illion</w:t>
      </w:r>
      <w:r w:rsidR="00A53E24" w:rsidRPr="00107882">
        <w:rPr>
          <w:szCs w:val="24"/>
        </w:rPr>
        <w:t xml:space="preserve"> in full and final settlement of the Claimant</w:t>
      </w:r>
      <w:r w:rsidR="00CD113A">
        <w:rPr>
          <w:szCs w:val="24"/>
        </w:rPr>
        <w:t>’</w:t>
      </w:r>
      <w:r w:rsidR="00A53E24" w:rsidRPr="00107882">
        <w:rPr>
          <w:szCs w:val="24"/>
        </w:rPr>
        <w:t xml:space="preserve">s claims, with full releases given </w:t>
      </w:r>
      <w:r w:rsidR="00A53E24" w:rsidRPr="00107882">
        <w:rPr>
          <w:i/>
          <w:szCs w:val="24"/>
        </w:rPr>
        <w:t xml:space="preserve">inter partes </w:t>
      </w:r>
      <w:r w:rsidR="00A53E24" w:rsidRPr="00107882">
        <w:rPr>
          <w:szCs w:val="24"/>
        </w:rPr>
        <w:t>(</w:t>
      </w:r>
      <w:r w:rsidR="00A53E24" w:rsidRPr="00107882">
        <w:rPr>
          <w:b/>
          <w:szCs w:val="24"/>
        </w:rPr>
        <w:t>Settlement Sum</w:t>
      </w:r>
      <w:r w:rsidR="00A53E24" w:rsidRPr="00107882">
        <w:rPr>
          <w:szCs w:val="24"/>
        </w:rPr>
        <w:t>);</w:t>
      </w:r>
    </w:p>
    <w:p w14:paraId="4C38CFF7" w14:textId="75DC471C" w:rsidR="00A53E24" w:rsidRPr="00F67F46" w:rsidRDefault="00B6500C" w:rsidP="00B6500C">
      <w:pPr>
        <w:pStyle w:val="FCBullets"/>
        <w:numPr>
          <w:ilvl w:val="0"/>
          <w:numId w:val="0"/>
        </w:numPr>
        <w:tabs>
          <w:tab w:val="left" w:pos="720"/>
        </w:tabs>
        <w:ind w:left="720" w:hanging="720"/>
        <w:rPr>
          <w:szCs w:val="24"/>
        </w:rPr>
      </w:pPr>
      <w:r w:rsidRPr="00F67F46">
        <w:rPr>
          <w:rFonts w:ascii="Symbol" w:hAnsi="Symbol"/>
          <w:szCs w:val="24"/>
        </w:rPr>
        <w:t></w:t>
      </w:r>
      <w:r w:rsidRPr="00F67F46">
        <w:rPr>
          <w:rFonts w:ascii="Symbol" w:hAnsi="Symbol"/>
          <w:szCs w:val="24"/>
        </w:rPr>
        <w:tab/>
      </w:r>
      <w:r w:rsidR="00A53E24" w:rsidRPr="00107882">
        <w:rPr>
          <w:szCs w:val="24"/>
        </w:rPr>
        <w:t>a</w:t>
      </w:r>
      <w:r w:rsidR="00A53E24" w:rsidRPr="00107882">
        <w:rPr>
          <w:spacing w:val="-3"/>
          <w:szCs w:val="24"/>
        </w:rPr>
        <w:t xml:space="preserve"> </w:t>
      </w:r>
      <w:r w:rsidR="00A53E24" w:rsidRPr="00107882">
        <w:rPr>
          <w:szCs w:val="24"/>
        </w:rPr>
        <w:t>payment</w:t>
      </w:r>
      <w:r w:rsidR="00A53E24" w:rsidRPr="00107882">
        <w:rPr>
          <w:spacing w:val="-2"/>
          <w:szCs w:val="24"/>
        </w:rPr>
        <w:t xml:space="preserve"> </w:t>
      </w:r>
      <w:r w:rsidR="004545A5">
        <w:rPr>
          <w:spacing w:val="-5"/>
          <w:szCs w:val="24"/>
        </w:rPr>
        <w:t>will be made</w:t>
      </w:r>
      <w:r w:rsidR="004545A5" w:rsidRPr="00107882">
        <w:rPr>
          <w:szCs w:val="24"/>
        </w:rPr>
        <w:t xml:space="preserve"> </w:t>
      </w:r>
      <w:r w:rsidR="00A53E24" w:rsidRPr="00107882">
        <w:rPr>
          <w:szCs w:val="24"/>
        </w:rPr>
        <w:t>from</w:t>
      </w:r>
      <w:r w:rsidR="00A53E24" w:rsidRPr="00107882">
        <w:rPr>
          <w:spacing w:val="-2"/>
          <w:szCs w:val="24"/>
        </w:rPr>
        <w:t xml:space="preserve"> </w:t>
      </w:r>
      <w:r w:rsidR="00A53E24" w:rsidRPr="00107882">
        <w:rPr>
          <w:szCs w:val="24"/>
        </w:rPr>
        <w:t>the</w:t>
      </w:r>
      <w:r w:rsidR="00A53E24" w:rsidRPr="00107882">
        <w:rPr>
          <w:spacing w:val="-3"/>
          <w:szCs w:val="24"/>
        </w:rPr>
        <w:t xml:space="preserve"> </w:t>
      </w:r>
      <w:r w:rsidR="00A53E24" w:rsidRPr="00107882">
        <w:rPr>
          <w:szCs w:val="24"/>
        </w:rPr>
        <w:t>Settlement</w:t>
      </w:r>
      <w:r w:rsidR="00A53E24" w:rsidRPr="00107882">
        <w:rPr>
          <w:spacing w:val="-2"/>
          <w:szCs w:val="24"/>
        </w:rPr>
        <w:t xml:space="preserve"> </w:t>
      </w:r>
      <w:r w:rsidR="00A53E24" w:rsidRPr="00107882">
        <w:rPr>
          <w:szCs w:val="24"/>
        </w:rPr>
        <w:t>Sum</w:t>
      </w:r>
      <w:r w:rsidR="00A53E24" w:rsidRPr="00107882">
        <w:rPr>
          <w:spacing w:val="-5"/>
          <w:szCs w:val="24"/>
        </w:rPr>
        <w:t xml:space="preserve"> </w:t>
      </w:r>
      <w:r w:rsidR="00A53E24" w:rsidRPr="00107882">
        <w:rPr>
          <w:szCs w:val="24"/>
        </w:rPr>
        <w:t>to</w:t>
      </w:r>
      <w:r w:rsidR="00A53E24" w:rsidRPr="00107882">
        <w:rPr>
          <w:spacing w:val="-3"/>
          <w:szCs w:val="24"/>
        </w:rPr>
        <w:t xml:space="preserve"> </w:t>
      </w:r>
      <w:r w:rsidR="00CE482B">
        <w:rPr>
          <w:szCs w:val="24"/>
        </w:rPr>
        <w:t>Shine</w:t>
      </w:r>
      <w:r w:rsidR="00DC62C6">
        <w:rPr>
          <w:spacing w:val="-3"/>
          <w:szCs w:val="24"/>
        </w:rPr>
        <w:t xml:space="preserve"> </w:t>
      </w:r>
      <w:r w:rsidR="00A53E24" w:rsidRPr="00107882">
        <w:rPr>
          <w:szCs w:val="24"/>
        </w:rPr>
        <w:t>for</w:t>
      </w:r>
      <w:r w:rsidR="00A53E24" w:rsidRPr="00107882">
        <w:rPr>
          <w:spacing w:val="-2"/>
          <w:szCs w:val="24"/>
        </w:rPr>
        <w:t xml:space="preserve"> </w:t>
      </w:r>
      <w:r w:rsidR="00A53E24" w:rsidRPr="00107882">
        <w:rPr>
          <w:szCs w:val="24"/>
        </w:rPr>
        <w:t>the</w:t>
      </w:r>
      <w:r w:rsidR="00A53E24" w:rsidRPr="00107882">
        <w:rPr>
          <w:spacing w:val="-3"/>
          <w:szCs w:val="24"/>
        </w:rPr>
        <w:t xml:space="preserve"> </w:t>
      </w:r>
      <w:r w:rsidR="009A7D01">
        <w:rPr>
          <w:szCs w:val="24"/>
        </w:rPr>
        <w:t>a</w:t>
      </w:r>
      <w:r w:rsidR="00A53E24" w:rsidRPr="00107882">
        <w:rPr>
          <w:szCs w:val="24"/>
        </w:rPr>
        <w:t>pplicant</w:t>
      </w:r>
      <w:r w:rsidR="00CD113A">
        <w:rPr>
          <w:szCs w:val="24"/>
        </w:rPr>
        <w:t>’</w:t>
      </w:r>
      <w:r w:rsidR="00A53E24" w:rsidRPr="00107882">
        <w:rPr>
          <w:szCs w:val="24"/>
        </w:rPr>
        <w:t>s</w:t>
      </w:r>
      <w:r w:rsidR="00A53E24" w:rsidRPr="00107882">
        <w:rPr>
          <w:spacing w:val="-3"/>
          <w:szCs w:val="24"/>
        </w:rPr>
        <w:t xml:space="preserve"> </w:t>
      </w:r>
      <w:r w:rsidR="00A53E24" w:rsidRPr="00107882">
        <w:rPr>
          <w:szCs w:val="24"/>
        </w:rPr>
        <w:t>and</w:t>
      </w:r>
      <w:r w:rsidR="00A53E24" w:rsidRPr="00107882">
        <w:rPr>
          <w:spacing w:val="-3"/>
          <w:szCs w:val="24"/>
        </w:rPr>
        <w:t xml:space="preserve"> </w:t>
      </w:r>
      <w:r w:rsidR="00A53E24" w:rsidRPr="00107882">
        <w:rPr>
          <w:szCs w:val="24"/>
        </w:rPr>
        <w:t>group members</w:t>
      </w:r>
      <w:r w:rsidR="00CD113A">
        <w:rPr>
          <w:szCs w:val="24"/>
        </w:rPr>
        <w:t>’</w:t>
      </w:r>
      <w:r w:rsidR="00A53E24" w:rsidRPr="00107882">
        <w:rPr>
          <w:szCs w:val="24"/>
        </w:rPr>
        <w:t xml:space="preserve"> legal costs and disbursements in the </w:t>
      </w:r>
      <w:r w:rsidR="009A7D01">
        <w:rPr>
          <w:szCs w:val="24"/>
        </w:rPr>
        <w:t>p</w:t>
      </w:r>
      <w:r w:rsidR="00A53E24" w:rsidRPr="00107882">
        <w:rPr>
          <w:szCs w:val="24"/>
        </w:rPr>
        <w:t>roceeding</w:t>
      </w:r>
      <w:r w:rsidR="00A53E24" w:rsidRPr="00107882">
        <w:rPr>
          <w:spacing w:val="-2"/>
          <w:szCs w:val="24"/>
        </w:rPr>
        <w:t>;</w:t>
      </w:r>
    </w:p>
    <w:p w14:paraId="4E040ECE" w14:textId="5F3B0283" w:rsidR="00F67F46" w:rsidRPr="00107882" w:rsidRDefault="00B6500C" w:rsidP="00B6500C">
      <w:pPr>
        <w:pStyle w:val="FCBullets"/>
        <w:numPr>
          <w:ilvl w:val="0"/>
          <w:numId w:val="0"/>
        </w:numPr>
        <w:tabs>
          <w:tab w:val="left" w:pos="720"/>
        </w:tabs>
        <w:ind w:left="720" w:hanging="720"/>
        <w:rPr>
          <w:szCs w:val="24"/>
        </w:rPr>
      </w:pPr>
      <w:r w:rsidRPr="00107882">
        <w:rPr>
          <w:rFonts w:ascii="Symbol" w:hAnsi="Symbol"/>
          <w:szCs w:val="24"/>
        </w:rPr>
        <w:lastRenderedPageBreak/>
        <w:t></w:t>
      </w:r>
      <w:r w:rsidRPr="00107882">
        <w:rPr>
          <w:rFonts w:ascii="Symbol" w:hAnsi="Symbol"/>
          <w:szCs w:val="24"/>
        </w:rPr>
        <w:tab/>
      </w:r>
      <w:r w:rsidR="00F67F46" w:rsidRPr="00107882">
        <w:rPr>
          <w:szCs w:val="24"/>
        </w:rPr>
        <w:t>a</w:t>
      </w:r>
      <w:r w:rsidR="00F67F46" w:rsidRPr="00107882">
        <w:rPr>
          <w:spacing w:val="-3"/>
          <w:szCs w:val="24"/>
        </w:rPr>
        <w:t xml:space="preserve"> </w:t>
      </w:r>
      <w:r w:rsidR="00F67F46" w:rsidRPr="00107882">
        <w:rPr>
          <w:szCs w:val="24"/>
        </w:rPr>
        <w:t>payment</w:t>
      </w:r>
      <w:r w:rsidR="00F67F46" w:rsidRPr="00107882">
        <w:rPr>
          <w:spacing w:val="-2"/>
          <w:szCs w:val="24"/>
        </w:rPr>
        <w:t xml:space="preserve"> </w:t>
      </w:r>
      <w:r w:rsidR="004545A5">
        <w:rPr>
          <w:spacing w:val="-2"/>
          <w:szCs w:val="24"/>
        </w:rPr>
        <w:t xml:space="preserve">will be made </w:t>
      </w:r>
      <w:r w:rsidR="00F67F46" w:rsidRPr="00107882">
        <w:rPr>
          <w:szCs w:val="24"/>
        </w:rPr>
        <w:t>from</w:t>
      </w:r>
      <w:r w:rsidR="00F67F46" w:rsidRPr="00107882">
        <w:rPr>
          <w:spacing w:val="-2"/>
          <w:szCs w:val="24"/>
        </w:rPr>
        <w:t xml:space="preserve"> </w:t>
      </w:r>
      <w:r w:rsidR="00F67F46" w:rsidRPr="00107882">
        <w:rPr>
          <w:szCs w:val="24"/>
        </w:rPr>
        <w:t>the</w:t>
      </w:r>
      <w:r w:rsidR="00F67F46" w:rsidRPr="00107882">
        <w:rPr>
          <w:spacing w:val="-3"/>
          <w:szCs w:val="24"/>
        </w:rPr>
        <w:t xml:space="preserve"> </w:t>
      </w:r>
      <w:r w:rsidR="00F67F46" w:rsidRPr="00107882">
        <w:rPr>
          <w:szCs w:val="24"/>
        </w:rPr>
        <w:t>Settlement</w:t>
      </w:r>
      <w:r w:rsidR="00F67F46" w:rsidRPr="00107882">
        <w:rPr>
          <w:spacing w:val="-2"/>
          <w:szCs w:val="24"/>
        </w:rPr>
        <w:t xml:space="preserve"> </w:t>
      </w:r>
      <w:r w:rsidR="00F67F46" w:rsidRPr="00107882">
        <w:rPr>
          <w:szCs w:val="24"/>
        </w:rPr>
        <w:t>Sum</w:t>
      </w:r>
      <w:r w:rsidR="00F67F46" w:rsidRPr="00107882">
        <w:rPr>
          <w:spacing w:val="-5"/>
          <w:szCs w:val="24"/>
        </w:rPr>
        <w:t xml:space="preserve"> </w:t>
      </w:r>
      <w:r w:rsidR="00894011">
        <w:rPr>
          <w:szCs w:val="24"/>
        </w:rPr>
        <w:t>in respect of the reasonable legal costs and disbursements of the</w:t>
      </w:r>
      <w:r w:rsidR="004545A5">
        <w:rPr>
          <w:szCs w:val="24"/>
        </w:rPr>
        <w:t xml:space="preserve"> applicants in the</w:t>
      </w:r>
      <w:r w:rsidR="00894011">
        <w:rPr>
          <w:szCs w:val="24"/>
        </w:rPr>
        <w:t xml:space="preserve"> Kosen-</w:t>
      </w:r>
      <w:proofErr w:type="spellStart"/>
      <w:r w:rsidR="00894011">
        <w:rPr>
          <w:szCs w:val="24"/>
        </w:rPr>
        <w:t>Rufu</w:t>
      </w:r>
      <w:proofErr w:type="spellEnd"/>
      <w:r w:rsidR="00894011">
        <w:rPr>
          <w:szCs w:val="24"/>
        </w:rPr>
        <w:t xml:space="preserve"> </w:t>
      </w:r>
      <w:r w:rsidR="004545A5">
        <w:rPr>
          <w:szCs w:val="24"/>
        </w:rPr>
        <w:t xml:space="preserve">Proceeding </w:t>
      </w:r>
      <w:r w:rsidR="00894011">
        <w:rPr>
          <w:szCs w:val="24"/>
        </w:rPr>
        <w:t>on a solicitor and own client basis</w:t>
      </w:r>
      <w:r w:rsidR="0011726B">
        <w:rPr>
          <w:szCs w:val="24"/>
        </w:rPr>
        <w:t>;</w:t>
      </w:r>
    </w:p>
    <w:p w14:paraId="7BDCB4E3" w14:textId="7FFB1AAB" w:rsidR="00A53E24" w:rsidRPr="00107882" w:rsidRDefault="00B6500C" w:rsidP="00B6500C">
      <w:pPr>
        <w:pStyle w:val="FCBullets"/>
        <w:numPr>
          <w:ilvl w:val="0"/>
          <w:numId w:val="0"/>
        </w:numPr>
        <w:tabs>
          <w:tab w:val="left" w:pos="720"/>
        </w:tabs>
        <w:ind w:left="720" w:hanging="720"/>
        <w:rPr>
          <w:szCs w:val="24"/>
        </w:rPr>
      </w:pPr>
      <w:r w:rsidRPr="00107882">
        <w:rPr>
          <w:rFonts w:ascii="Symbol" w:hAnsi="Symbol"/>
          <w:szCs w:val="24"/>
        </w:rPr>
        <w:t></w:t>
      </w:r>
      <w:r w:rsidRPr="00107882">
        <w:rPr>
          <w:rFonts w:ascii="Symbol" w:hAnsi="Symbol"/>
          <w:szCs w:val="24"/>
        </w:rPr>
        <w:tab/>
      </w:r>
      <w:r w:rsidR="00A53E24" w:rsidRPr="00107882">
        <w:rPr>
          <w:szCs w:val="24"/>
        </w:rPr>
        <w:t>a</w:t>
      </w:r>
      <w:r w:rsidR="00A53E24" w:rsidRPr="00107882">
        <w:rPr>
          <w:spacing w:val="-3"/>
          <w:szCs w:val="24"/>
        </w:rPr>
        <w:t xml:space="preserve"> </w:t>
      </w:r>
      <w:r w:rsidR="00A53E24" w:rsidRPr="00107882">
        <w:rPr>
          <w:szCs w:val="24"/>
        </w:rPr>
        <w:t>payment</w:t>
      </w:r>
      <w:r w:rsidR="00A53E24" w:rsidRPr="00107882">
        <w:rPr>
          <w:spacing w:val="-3"/>
          <w:szCs w:val="24"/>
        </w:rPr>
        <w:t xml:space="preserve"> </w:t>
      </w:r>
      <w:r w:rsidR="004545A5" w:rsidRPr="00107882">
        <w:rPr>
          <w:szCs w:val="24"/>
        </w:rPr>
        <w:t>of</w:t>
      </w:r>
      <w:r w:rsidR="004545A5" w:rsidRPr="00107882">
        <w:rPr>
          <w:spacing w:val="-4"/>
          <w:szCs w:val="24"/>
        </w:rPr>
        <w:t xml:space="preserve"> </w:t>
      </w:r>
      <w:r w:rsidR="004545A5" w:rsidRPr="00107882">
        <w:rPr>
          <w:szCs w:val="24"/>
        </w:rPr>
        <w:t>$20,000</w:t>
      </w:r>
      <w:r w:rsidR="004545A5">
        <w:rPr>
          <w:szCs w:val="24"/>
        </w:rPr>
        <w:t xml:space="preserve"> </w:t>
      </w:r>
      <w:r w:rsidR="004545A5">
        <w:rPr>
          <w:spacing w:val="-3"/>
          <w:szCs w:val="24"/>
        </w:rPr>
        <w:t xml:space="preserve">will be made </w:t>
      </w:r>
      <w:r w:rsidR="00A53E24" w:rsidRPr="00107882">
        <w:rPr>
          <w:szCs w:val="24"/>
        </w:rPr>
        <w:t>from</w:t>
      </w:r>
      <w:r w:rsidR="00A53E24" w:rsidRPr="00107882">
        <w:rPr>
          <w:spacing w:val="-2"/>
          <w:szCs w:val="24"/>
        </w:rPr>
        <w:t xml:space="preserve"> </w:t>
      </w:r>
      <w:r w:rsidR="00A53E24" w:rsidRPr="00107882">
        <w:rPr>
          <w:szCs w:val="24"/>
        </w:rPr>
        <w:t>the</w:t>
      </w:r>
      <w:r w:rsidR="00A53E24" w:rsidRPr="00107882">
        <w:rPr>
          <w:spacing w:val="-3"/>
          <w:szCs w:val="24"/>
        </w:rPr>
        <w:t xml:space="preserve"> </w:t>
      </w:r>
      <w:r w:rsidR="00A53E24" w:rsidRPr="00107882">
        <w:rPr>
          <w:szCs w:val="24"/>
        </w:rPr>
        <w:t>Settlement</w:t>
      </w:r>
      <w:r w:rsidR="00A53E24" w:rsidRPr="00107882">
        <w:rPr>
          <w:spacing w:val="-2"/>
          <w:szCs w:val="24"/>
        </w:rPr>
        <w:t xml:space="preserve"> </w:t>
      </w:r>
      <w:r w:rsidR="00A53E24" w:rsidRPr="00107882">
        <w:rPr>
          <w:szCs w:val="24"/>
        </w:rPr>
        <w:t>Sum</w:t>
      </w:r>
      <w:r w:rsidR="00A53E24" w:rsidRPr="00107882">
        <w:rPr>
          <w:spacing w:val="-5"/>
          <w:szCs w:val="24"/>
        </w:rPr>
        <w:t xml:space="preserve"> </w:t>
      </w:r>
      <w:r w:rsidR="00A53E24" w:rsidRPr="00107882">
        <w:rPr>
          <w:szCs w:val="24"/>
        </w:rPr>
        <w:t>to</w:t>
      </w:r>
      <w:r w:rsidR="00A53E24" w:rsidRPr="00107882">
        <w:rPr>
          <w:spacing w:val="-3"/>
          <w:szCs w:val="24"/>
        </w:rPr>
        <w:t xml:space="preserve"> </w:t>
      </w:r>
      <w:r w:rsidR="00A53E24" w:rsidRPr="00107882">
        <w:rPr>
          <w:szCs w:val="24"/>
        </w:rPr>
        <w:t>the</w:t>
      </w:r>
      <w:r w:rsidR="00A53E24" w:rsidRPr="00107882">
        <w:rPr>
          <w:spacing w:val="-3"/>
          <w:szCs w:val="24"/>
        </w:rPr>
        <w:t xml:space="preserve"> </w:t>
      </w:r>
      <w:r w:rsidR="009A7D01">
        <w:rPr>
          <w:szCs w:val="24"/>
        </w:rPr>
        <w:t>a</w:t>
      </w:r>
      <w:r w:rsidR="00A53E24" w:rsidRPr="00107882">
        <w:rPr>
          <w:szCs w:val="24"/>
        </w:rPr>
        <w:t>pplicant;</w:t>
      </w:r>
      <w:r w:rsidR="00A53E24" w:rsidRPr="00107882">
        <w:rPr>
          <w:spacing w:val="-2"/>
          <w:szCs w:val="24"/>
        </w:rPr>
        <w:t xml:space="preserve"> </w:t>
      </w:r>
      <w:r w:rsidR="00A53E24" w:rsidRPr="00107882">
        <w:rPr>
          <w:spacing w:val="-5"/>
          <w:szCs w:val="24"/>
        </w:rPr>
        <w:t>and</w:t>
      </w:r>
    </w:p>
    <w:p w14:paraId="2E897B4C" w14:textId="4D7AEDA1" w:rsidR="00A53E24" w:rsidRPr="00107882" w:rsidRDefault="00B6500C" w:rsidP="00B6500C">
      <w:pPr>
        <w:pStyle w:val="FCBullets"/>
        <w:numPr>
          <w:ilvl w:val="0"/>
          <w:numId w:val="0"/>
        </w:numPr>
        <w:tabs>
          <w:tab w:val="left" w:pos="720"/>
        </w:tabs>
        <w:ind w:left="720" w:hanging="720"/>
        <w:rPr>
          <w:szCs w:val="24"/>
        </w:rPr>
      </w:pPr>
      <w:r w:rsidRPr="00107882">
        <w:rPr>
          <w:rFonts w:ascii="Symbol" w:hAnsi="Symbol"/>
          <w:szCs w:val="24"/>
        </w:rPr>
        <w:t></w:t>
      </w:r>
      <w:r w:rsidRPr="00107882">
        <w:rPr>
          <w:rFonts w:ascii="Symbol" w:hAnsi="Symbol"/>
          <w:szCs w:val="24"/>
        </w:rPr>
        <w:tab/>
      </w:r>
      <w:r w:rsidR="00A53E24" w:rsidRPr="00107882">
        <w:rPr>
          <w:szCs w:val="24"/>
        </w:rPr>
        <w:t>a settlement distribution scheme</w:t>
      </w:r>
      <w:r w:rsidR="00A53E24" w:rsidRPr="00107882">
        <w:rPr>
          <w:spacing w:val="-1"/>
          <w:szCs w:val="24"/>
        </w:rPr>
        <w:t xml:space="preserve"> </w:t>
      </w:r>
      <w:r w:rsidR="004545A5">
        <w:rPr>
          <w:spacing w:val="-1"/>
          <w:szCs w:val="24"/>
        </w:rPr>
        <w:t xml:space="preserve">will be established </w:t>
      </w:r>
      <w:r w:rsidR="00A53E24" w:rsidRPr="00107882">
        <w:rPr>
          <w:szCs w:val="24"/>
        </w:rPr>
        <w:t>whereby</w:t>
      </w:r>
      <w:r w:rsidR="00A53E24" w:rsidRPr="00107882">
        <w:rPr>
          <w:spacing w:val="-2"/>
          <w:szCs w:val="24"/>
        </w:rPr>
        <w:t xml:space="preserve"> </w:t>
      </w:r>
      <w:r w:rsidR="00A53E24" w:rsidRPr="00107882">
        <w:rPr>
          <w:szCs w:val="24"/>
        </w:rPr>
        <w:t>the</w:t>
      </w:r>
      <w:r w:rsidR="00A53E24" w:rsidRPr="00107882">
        <w:rPr>
          <w:spacing w:val="-1"/>
          <w:szCs w:val="24"/>
        </w:rPr>
        <w:t xml:space="preserve"> </w:t>
      </w:r>
      <w:r w:rsidR="00A53E24" w:rsidRPr="00107882">
        <w:rPr>
          <w:szCs w:val="24"/>
        </w:rPr>
        <w:t>residual</w:t>
      </w:r>
      <w:r w:rsidR="00A53E24" w:rsidRPr="00107882">
        <w:rPr>
          <w:spacing w:val="-1"/>
          <w:szCs w:val="24"/>
        </w:rPr>
        <w:t xml:space="preserve"> </w:t>
      </w:r>
      <w:r w:rsidR="00A53E24" w:rsidRPr="00107882">
        <w:rPr>
          <w:szCs w:val="24"/>
        </w:rPr>
        <w:t>of the Settlement Sum will</w:t>
      </w:r>
      <w:r w:rsidR="00A53E24" w:rsidRPr="00107882">
        <w:rPr>
          <w:spacing w:val="-1"/>
          <w:szCs w:val="24"/>
        </w:rPr>
        <w:t xml:space="preserve"> </w:t>
      </w:r>
      <w:r w:rsidR="00A53E24" w:rsidRPr="00107882">
        <w:rPr>
          <w:szCs w:val="24"/>
        </w:rPr>
        <w:t>be transferred</w:t>
      </w:r>
      <w:r w:rsidR="00A53E24" w:rsidRPr="00107882">
        <w:rPr>
          <w:spacing w:val="-5"/>
          <w:szCs w:val="24"/>
        </w:rPr>
        <w:t xml:space="preserve"> </w:t>
      </w:r>
      <w:r w:rsidR="00A53E24" w:rsidRPr="00107882">
        <w:rPr>
          <w:szCs w:val="24"/>
        </w:rPr>
        <w:t>to</w:t>
      </w:r>
      <w:r w:rsidR="00A53E24" w:rsidRPr="00107882">
        <w:rPr>
          <w:spacing w:val="-2"/>
          <w:szCs w:val="24"/>
        </w:rPr>
        <w:t xml:space="preserve"> </w:t>
      </w:r>
      <w:r w:rsidR="00A53E24" w:rsidRPr="00107882">
        <w:rPr>
          <w:szCs w:val="24"/>
        </w:rPr>
        <w:t>the</w:t>
      </w:r>
      <w:r w:rsidR="00A53E24" w:rsidRPr="00107882">
        <w:rPr>
          <w:spacing w:val="-2"/>
          <w:szCs w:val="24"/>
        </w:rPr>
        <w:t xml:space="preserve"> </w:t>
      </w:r>
      <w:r w:rsidR="00A53E24" w:rsidRPr="00107882">
        <w:rPr>
          <w:szCs w:val="24"/>
        </w:rPr>
        <w:t>Deed</w:t>
      </w:r>
      <w:r w:rsidR="00A53E24" w:rsidRPr="00107882">
        <w:rPr>
          <w:spacing w:val="-2"/>
          <w:szCs w:val="24"/>
        </w:rPr>
        <w:t xml:space="preserve"> </w:t>
      </w:r>
      <w:r w:rsidR="00A53E24" w:rsidRPr="00107882">
        <w:rPr>
          <w:szCs w:val="24"/>
        </w:rPr>
        <w:t>Administrators</w:t>
      </w:r>
      <w:r w:rsidR="00A53E24" w:rsidRPr="00107882">
        <w:rPr>
          <w:spacing w:val="-2"/>
          <w:szCs w:val="24"/>
        </w:rPr>
        <w:t xml:space="preserve"> </w:t>
      </w:r>
      <w:r w:rsidR="00A53E24" w:rsidRPr="00107882">
        <w:rPr>
          <w:szCs w:val="24"/>
        </w:rPr>
        <w:t>and</w:t>
      </w:r>
      <w:r w:rsidR="00A53E24" w:rsidRPr="00107882">
        <w:rPr>
          <w:spacing w:val="-5"/>
          <w:szCs w:val="24"/>
        </w:rPr>
        <w:t xml:space="preserve"> </w:t>
      </w:r>
      <w:r w:rsidR="00A53E24" w:rsidRPr="00107882">
        <w:rPr>
          <w:szCs w:val="24"/>
        </w:rPr>
        <w:t>distributed</w:t>
      </w:r>
      <w:r w:rsidR="00A53E24" w:rsidRPr="00107882">
        <w:rPr>
          <w:spacing w:val="-2"/>
          <w:szCs w:val="24"/>
        </w:rPr>
        <w:t xml:space="preserve"> </w:t>
      </w:r>
      <w:r w:rsidR="00A53E24" w:rsidRPr="00107882">
        <w:rPr>
          <w:szCs w:val="24"/>
        </w:rPr>
        <w:t>to</w:t>
      </w:r>
      <w:r w:rsidR="00A53E24" w:rsidRPr="00107882">
        <w:rPr>
          <w:spacing w:val="-2"/>
          <w:szCs w:val="24"/>
        </w:rPr>
        <w:t xml:space="preserve"> </w:t>
      </w:r>
      <w:r w:rsidR="00A53E24" w:rsidRPr="00107882">
        <w:rPr>
          <w:szCs w:val="24"/>
        </w:rPr>
        <w:t>the</w:t>
      </w:r>
      <w:r w:rsidR="00A53E24" w:rsidRPr="00107882">
        <w:rPr>
          <w:spacing w:val="-2"/>
          <w:szCs w:val="24"/>
        </w:rPr>
        <w:t xml:space="preserve"> </w:t>
      </w:r>
      <w:r w:rsidR="00A53E24" w:rsidRPr="00107882">
        <w:rPr>
          <w:szCs w:val="24"/>
        </w:rPr>
        <w:t>Claimants</w:t>
      </w:r>
      <w:r w:rsidR="00A53E24" w:rsidRPr="00107882">
        <w:rPr>
          <w:spacing w:val="-4"/>
          <w:szCs w:val="24"/>
        </w:rPr>
        <w:t xml:space="preserve"> </w:t>
      </w:r>
      <w:r w:rsidR="003C024C">
        <w:rPr>
          <w:szCs w:val="24"/>
        </w:rPr>
        <w:t>under the DOCA</w:t>
      </w:r>
      <w:r w:rsidR="00A53E24" w:rsidRPr="00107882">
        <w:rPr>
          <w:szCs w:val="24"/>
        </w:rPr>
        <w:t xml:space="preserve"> and any directions given by the Court.</w:t>
      </w:r>
    </w:p>
    <w:p w14:paraId="75FB41DF" w14:textId="1BE2238F" w:rsidR="00784CC6" w:rsidRDefault="00B6500C" w:rsidP="00B6500C">
      <w:pPr>
        <w:pStyle w:val="ParaNumbering"/>
        <w:numPr>
          <w:ilvl w:val="0"/>
          <w:numId w:val="0"/>
        </w:numPr>
        <w:ind w:hanging="720"/>
        <w:rPr>
          <w:lang w:val="en-US"/>
        </w:rPr>
      </w:pPr>
      <w:r>
        <w:rPr>
          <w:iCs/>
          <w:sz w:val="20"/>
          <w:lang w:val="en-US"/>
        </w:rPr>
        <w:t>14</w:t>
      </w:r>
      <w:r>
        <w:rPr>
          <w:iCs/>
          <w:sz w:val="20"/>
          <w:lang w:val="en-US"/>
        </w:rPr>
        <w:tab/>
      </w:r>
      <w:r w:rsidR="00D66EBD" w:rsidRPr="00784CC6">
        <w:rPr>
          <w:lang w:val="en-US"/>
        </w:rPr>
        <w:t>The Court</w:t>
      </w:r>
      <w:r w:rsidR="00CD113A">
        <w:rPr>
          <w:lang w:val="en-US"/>
        </w:rPr>
        <w:t>’</w:t>
      </w:r>
      <w:r w:rsidR="00D66EBD" w:rsidRPr="00784CC6">
        <w:rPr>
          <w:lang w:val="en-US"/>
        </w:rPr>
        <w:t xml:space="preserve">s power to approve the settlement is subject to a requirement to give notice to group members: ss 33X(4) and 33Y of the </w:t>
      </w:r>
      <w:r w:rsidR="00054780" w:rsidRPr="00784CC6">
        <w:rPr>
          <w:lang w:val="en-US"/>
        </w:rPr>
        <w:t xml:space="preserve">FCA </w:t>
      </w:r>
      <w:r w:rsidR="00D66EBD" w:rsidRPr="00784CC6">
        <w:rPr>
          <w:lang w:val="en-US"/>
        </w:rPr>
        <w:t xml:space="preserve">Act. On 12 December 2023, orders were made approving the form of a settlement notice to group members. On 15 December 2023, orders were made regarding the distribution of the settlement notice to group members. </w:t>
      </w:r>
    </w:p>
    <w:p w14:paraId="65068D2E" w14:textId="63D27512" w:rsidR="00D66EBD" w:rsidRPr="00784CC6" w:rsidRDefault="00B6500C" w:rsidP="00B6500C">
      <w:pPr>
        <w:pStyle w:val="ParaNumbering"/>
        <w:numPr>
          <w:ilvl w:val="0"/>
          <w:numId w:val="0"/>
        </w:numPr>
        <w:ind w:hanging="720"/>
        <w:rPr>
          <w:lang w:val="en-US"/>
        </w:rPr>
      </w:pPr>
      <w:r w:rsidRPr="00784CC6">
        <w:rPr>
          <w:iCs/>
          <w:sz w:val="20"/>
          <w:lang w:val="en-US"/>
        </w:rPr>
        <w:t>15</w:t>
      </w:r>
      <w:r w:rsidRPr="00784CC6">
        <w:rPr>
          <w:iCs/>
          <w:sz w:val="20"/>
          <w:lang w:val="en-US"/>
        </w:rPr>
        <w:tab/>
      </w:r>
      <w:r w:rsidR="00D66EBD" w:rsidRPr="00784CC6">
        <w:rPr>
          <w:lang w:val="en-US"/>
        </w:rPr>
        <w:t>The regime set up by these orders has been complied with.</w:t>
      </w:r>
    </w:p>
    <w:p w14:paraId="406203BA" w14:textId="6D54A889" w:rsidR="00D66EBD" w:rsidRPr="00D66EBD" w:rsidRDefault="00B6500C" w:rsidP="00B6500C">
      <w:pPr>
        <w:pStyle w:val="ParaNumbering"/>
        <w:numPr>
          <w:ilvl w:val="0"/>
          <w:numId w:val="0"/>
        </w:numPr>
        <w:ind w:hanging="720"/>
        <w:rPr>
          <w:szCs w:val="24"/>
          <w:lang w:val="en-US"/>
        </w:rPr>
      </w:pPr>
      <w:r w:rsidRPr="00D66EBD">
        <w:rPr>
          <w:iCs/>
          <w:sz w:val="20"/>
          <w:szCs w:val="24"/>
          <w:lang w:val="en-US"/>
        </w:rPr>
        <w:t>16</w:t>
      </w:r>
      <w:r w:rsidRPr="00D66EBD">
        <w:rPr>
          <w:iCs/>
          <w:sz w:val="20"/>
          <w:szCs w:val="24"/>
          <w:lang w:val="en-US"/>
        </w:rPr>
        <w:tab/>
      </w:r>
      <w:r w:rsidR="00D66EBD">
        <w:rPr>
          <w:szCs w:val="24"/>
          <w:lang w:val="en-US"/>
        </w:rPr>
        <w:t>C</w:t>
      </w:r>
      <w:r w:rsidR="00D66EBD" w:rsidRPr="006F5323">
        <w:rPr>
          <w:szCs w:val="24"/>
          <w:lang w:val="en-US"/>
        </w:rPr>
        <w:t xml:space="preserve">ounsel who have been briefed in the </w:t>
      </w:r>
      <w:r w:rsidR="00784CC6">
        <w:rPr>
          <w:szCs w:val="24"/>
          <w:lang w:val="en-US"/>
        </w:rPr>
        <w:t>Watson Proceeding</w:t>
      </w:r>
      <w:r w:rsidR="00D66EBD" w:rsidRPr="006F5323">
        <w:rPr>
          <w:szCs w:val="24"/>
          <w:lang w:val="en-US"/>
        </w:rPr>
        <w:t xml:space="preserve"> since it</w:t>
      </w:r>
      <w:r w:rsidR="00D66EBD">
        <w:rPr>
          <w:szCs w:val="24"/>
          <w:lang w:val="en-US"/>
        </w:rPr>
        <w:t xml:space="preserve"> began </w:t>
      </w:r>
      <w:r w:rsidR="00D66EBD" w:rsidRPr="006F5323">
        <w:rPr>
          <w:szCs w:val="24"/>
          <w:lang w:val="en-US"/>
        </w:rPr>
        <w:t>have provided a</w:t>
      </w:r>
      <w:r w:rsidR="00D66EBD">
        <w:rPr>
          <w:szCs w:val="24"/>
          <w:lang w:val="en-US"/>
        </w:rPr>
        <w:t xml:space="preserve"> confidential</w:t>
      </w:r>
      <w:r w:rsidR="00D66EBD" w:rsidRPr="006F5323">
        <w:rPr>
          <w:szCs w:val="24"/>
          <w:lang w:val="en-US"/>
        </w:rPr>
        <w:t xml:space="preserve"> opinion as to the fairness and reasonableness of the settlement</w:t>
      </w:r>
      <w:r w:rsidR="00D66EBD">
        <w:rPr>
          <w:szCs w:val="24"/>
          <w:lang w:val="en-US"/>
        </w:rPr>
        <w:t>. Th</w:t>
      </w:r>
      <w:r w:rsidR="00784CC6">
        <w:rPr>
          <w:szCs w:val="24"/>
          <w:lang w:val="en-US"/>
        </w:rPr>
        <w:t>is part of these</w:t>
      </w:r>
      <w:r w:rsidR="00D66EBD">
        <w:rPr>
          <w:szCs w:val="24"/>
          <w:lang w:val="en-US"/>
        </w:rPr>
        <w:t xml:space="preserve"> reasons for decision have drawn significantly on the non-confidential written submissions relied on by the applicant. The Court has also had regard to the confidential opinion of counsel</w:t>
      </w:r>
      <w:r w:rsidR="00D66EBD" w:rsidRPr="006F5323">
        <w:rPr>
          <w:szCs w:val="24"/>
          <w:lang w:val="en-US"/>
        </w:rPr>
        <w:t>.</w:t>
      </w:r>
      <w:r w:rsidR="00104378">
        <w:rPr>
          <w:szCs w:val="24"/>
          <w:lang w:val="en-US"/>
        </w:rPr>
        <w:t xml:space="preserve"> </w:t>
      </w:r>
      <w:r w:rsidR="00747CC9">
        <w:rPr>
          <w:szCs w:val="24"/>
          <w:lang w:val="en-US"/>
        </w:rPr>
        <w:t>At the hearing, t</w:t>
      </w:r>
      <w:r w:rsidR="00104378">
        <w:rPr>
          <w:szCs w:val="24"/>
          <w:lang w:val="en-US"/>
        </w:rPr>
        <w:t xml:space="preserve">he Court made orders </w:t>
      </w:r>
      <w:r w:rsidR="00DB2EDB">
        <w:rPr>
          <w:szCs w:val="24"/>
          <w:lang w:val="en-US"/>
        </w:rPr>
        <w:t>under s 37A</w:t>
      </w:r>
      <w:r w:rsidR="00A73981">
        <w:rPr>
          <w:szCs w:val="24"/>
          <w:lang w:val="en-US"/>
        </w:rPr>
        <w:t>I</w:t>
      </w:r>
      <w:r w:rsidR="00DB2EDB">
        <w:rPr>
          <w:szCs w:val="24"/>
          <w:lang w:val="en-US"/>
        </w:rPr>
        <w:t xml:space="preserve"> of the FCA Act in relation to certain </w:t>
      </w:r>
      <w:r w:rsidR="00104378">
        <w:rPr>
          <w:szCs w:val="24"/>
          <w:lang w:val="en-US"/>
        </w:rPr>
        <w:t xml:space="preserve">material </w:t>
      </w:r>
      <w:r w:rsidR="00DB2EDB">
        <w:rPr>
          <w:szCs w:val="24"/>
          <w:lang w:val="en-US"/>
        </w:rPr>
        <w:t xml:space="preserve">disclosed for the purposes of the </w:t>
      </w:r>
      <w:r w:rsidR="005A4F11">
        <w:rPr>
          <w:szCs w:val="24"/>
          <w:lang w:val="en-US"/>
        </w:rPr>
        <w:t>approval application, including counsels</w:t>
      </w:r>
      <w:r w:rsidR="00CD113A">
        <w:rPr>
          <w:szCs w:val="24"/>
          <w:lang w:val="en-US"/>
        </w:rPr>
        <w:t>’</w:t>
      </w:r>
      <w:r w:rsidR="005A4F11">
        <w:rPr>
          <w:szCs w:val="24"/>
          <w:lang w:val="en-US"/>
        </w:rPr>
        <w:t xml:space="preserve"> opinion.</w:t>
      </w:r>
      <w:r w:rsidR="00DA3C52">
        <w:rPr>
          <w:szCs w:val="24"/>
          <w:lang w:val="en-US"/>
        </w:rPr>
        <w:t xml:space="preserve"> </w:t>
      </w:r>
      <w:r w:rsidR="00C3542C">
        <w:rPr>
          <w:szCs w:val="24"/>
          <w:lang w:val="en-US"/>
        </w:rPr>
        <w:t>The Court will now make orders under s 37AF</w:t>
      </w:r>
      <w:r w:rsidR="007E09AB">
        <w:rPr>
          <w:szCs w:val="24"/>
          <w:lang w:val="en-US"/>
        </w:rPr>
        <w:t xml:space="preserve"> of the FCA Act, such orders being </w:t>
      </w:r>
      <w:r w:rsidR="00C6692C">
        <w:rPr>
          <w:szCs w:val="24"/>
          <w:lang w:val="en-US"/>
        </w:rPr>
        <w:t xml:space="preserve">necessary to </w:t>
      </w:r>
      <w:r w:rsidR="00C261E9" w:rsidRPr="00107882">
        <w:rPr>
          <w:szCs w:val="24"/>
        </w:rPr>
        <w:t>prevent prejudice to the proper administration of justice</w:t>
      </w:r>
      <w:r w:rsidR="00C261E9">
        <w:rPr>
          <w:szCs w:val="24"/>
        </w:rPr>
        <w:t>.</w:t>
      </w:r>
    </w:p>
    <w:p w14:paraId="5613B215" w14:textId="2A3F89C0" w:rsidR="00A53E24" w:rsidRPr="00107882" w:rsidRDefault="005C4DC5" w:rsidP="001F7001">
      <w:pPr>
        <w:pStyle w:val="Heading2"/>
      </w:pPr>
      <w:r>
        <w:t>Principles</w:t>
      </w:r>
    </w:p>
    <w:p w14:paraId="7CF2F7BE" w14:textId="19870EEF" w:rsidR="00C926F5" w:rsidRPr="00F16017" w:rsidRDefault="00B6500C" w:rsidP="00B6500C">
      <w:pPr>
        <w:pStyle w:val="ParaNumbering"/>
        <w:numPr>
          <w:ilvl w:val="0"/>
          <w:numId w:val="0"/>
        </w:numPr>
        <w:ind w:hanging="720"/>
        <w:rPr>
          <w:szCs w:val="24"/>
        </w:rPr>
      </w:pPr>
      <w:r w:rsidRPr="00F16017">
        <w:rPr>
          <w:iCs/>
          <w:sz w:val="20"/>
          <w:szCs w:val="24"/>
        </w:rPr>
        <w:t>17</w:t>
      </w:r>
      <w:r w:rsidRPr="00F16017">
        <w:rPr>
          <w:iCs/>
          <w:sz w:val="20"/>
          <w:szCs w:val="24"/>
        </w:rPr>
        <w:tab/>
      </w:r>
      <w:r w:rsidR="00A53E24" w:rsidRPr="00EC00B8">
        <w:rPr>
          <w:szCs w:val="24"/>
          <w:lang w:val="en-US"/>
        </w:rPr>
        <w:t xml:space="preserve">The principles to be applied in considering an application for approval of </w:t>
      </w:r>
      <w:r w:rsidR="00FD0B1B">
        <w:rPr>
          <w:szCs w:val="24"/>
          <w:lang w:val="en-US"/>
        </w:rPr>
        <w:t>a</w:t>
      </w:r>
      <w:r w:rsidR="00A53E24" w:rsidRPr="00EC00B8">
        <w:rPr>
          <w:szCs w:val="24"/>
          <w:lang w:val="en-US"/>
        </w:rPr>
        <w:t xml:space="preserve"> proposed settlement of a Part IVA class action are well established.</w:t>
      </w:r>
      <w:r w:rsidR="00EC00B8" w:rsidRPr="00EC00B8">
        <w:rPr>
          <w:szCs w:val="24"/>
          <w:lang w:val="en-US"/>
        </w:rPr>
        <w:t xml:space="preserve"> </w:t>
      </w:r>
      <w:r w:rsidR="00A53E24" w:rsidRPr="00EC00B8">
        <w:rPr>
          <w:szCs w:val="24"/>
          <w:lang w:val="en-US"/>
        </w:rPr>
        <w:t>The central question is whether the settlement is fair and reasonable in the interests of the group members as a whole</w:t>
      </w:r>
      <w:r w:rsidR="007D49C7">
        <w:rPr>
          <w:szCs w:val="24"/>
          <w:lang w:val="en-US"/>
        </w:rPr>
        <w:t>. The principles have been set out in numerous cases, including</w:t>
      </w:r>
      <w:r w:rsidR="00A53E24" w:rsidRPr="00EC00B8">
        <w:rPr>
          <w:szCs w:val="24"/>
          <w:lang w:val="en-US"/>
        </w:rPr>
        <w:t xml:space="preserve">: </w:t>
      </w:r>
      <w:r w:rsidR="00A53E24" w:rsidRPr="00CB65C1">
        <w:rPr>
          <w:b/>
          <w:bCs/>
          <w:i/>
          <w:szCs w:val="24"/>
          <w:lang w:val="en-US"/>
        </w:rPr>
        <w:t>Camilleri</w:t>
      </w:r>
      <w:r w:rsidR="00A53E24" w:rsidRPr="00CB65C1">
        <w:rPr>
          <w:i/>
          <w:szCs w:val="24"/>
          <w:lang w:val="en-US"/>
        </w:rPr>
        <w:t xml:space="preserve"> v The Trust Company (Nominees) Ltd </w:t>
      </w:r>
      <w:r w:rsidR="00A53E24" w:rsidRPr="00CB65C1">
        <w:rPr>
          <w:szCs w:val="24"/>
          <w:lang w:val="en-US"/>
        </w:rPr>
        <w:t>[2015] FCA 1468</w:t>
      </w:r>
      <w:r w:rsidR="00A53E24" w:rsidRPr="00EC00B8">
        <w:rPr>
          <w:szCs w:val="24"/>
          <w:lang w:val="en-US"/>
        </w:rPr>
        <w:t xml:space="preserve"> at [5]</w:t>
      </w:r>
      <w:r w:rsidR="007D49C7">
        <w:rPr>
          <w:szCs w:val="24"/>
          <w:lang w:val="en-US"/>
        </w:rPr>
        <w:t xml:space="preserve"> (Moshinsky J) and </w:t>
      </w:r>
      <w:r w:rsidR="005F2A44" w:rsidRPr="00CB65C1">
        <w:rPr>
          <w:i/>
          <w:iCs/>
          <w:szCs w:val="24"/>
        </w:rPr>
        <w:t>Fowkes v Boston Scientific Corporation</w:t>
      </w:r>
      <w:r w:rsidR="005F2A44" w:rsidRPr="00CB65C1">
        <w:rPr>
          <w:szCs w:val="24"/>
        </w:rPr>
        <w:t xml:space="preserve"> [2023] FCA 230</w:t>
      </w:r>
      <w:r w:rsidR="004B504B">
        <w:rPr>
          <w:szCs w:val="24"/>
        </w:rPr>
        <w:t xml:space="preserve"> at [31] – [45] (Lee J)</w:t>
      </w:r>
      <w:r w:rsidR="00A53E24" w:rsidRPr="005F2A44">
        <w:rPr>
          <w:szCs w:val="24"/>
          <w:lang w:val="en-US"/>
        </w:rPr>
        <w:t>.</w:t>
      </w:r>
      <w:r w:rsidR="00BA37F7">
        <w:rPr>
          <w:szCs w:val="24"/>
          <w:lang w:val="en-US"/>
        </w:rPr>
        <w:t xml:space="preserve"> </w:t>
      </w:r>
      <w:r w:rsidR="004B504B">
        <w:rPr>
          <w:szCs w:val="24"/>
          <w:lang w:val="en-US"/>
        </w:rPr>
        <w:t xml:space="preserve">There is nothing about this case which warrants any further elaboration of what has been said before. </w:t>
      </w:r>
    </w:p>
    <w:p w14:paraId="2DC5F6DB" w14:textId="3AFD1122" w:rsidR="00A53E24" w:rsidRPr="00107882" w:rsidRDefault="00B6500C" w:rsidP="00B6500C">
      <w:pPr>
        <w:pStyle w:val="ParaNumbering"/>
        <w:numPr>
          <w:ilvl w:val="0"/>
          <w:numId w:val="0"/>
        </w:numPr>
        <w:ind w:hanging="720"/>
        <w:rPr>
          <w:szCs w:val="24"/>
        </w:rPr>
      </w:pPr>
      <w:r w:rsidRPr="00107882">
        <w:rPr>
          <w:iCs/>
          <w:sz w:val="20"/>
          <w:szCs w:val="24"/>
        </w:rPr>
        <w:t>18</w:t>
      </w:r>
      <w:r w:rsidRPr="00107882">
        <w:rPr>
          <w:iCs/>
          <w:sz w:val="20"/>
          <w:szCs w:val="24"/>
        </w:rPr>
        <w:tab/>
      </w:r>
      <w:r w:rsidR="00BA37F7">
        <w:rPr>
          <w:szCs w:val="24"/>
          <w:lang w:val="en-US"/>
        </w:rPr>
        <w:t xml:space="preserve">There are </w:t>
      </w:r>
      <w:r w:rsidR="00083BD8">
        <w:rPr>
          <w:szCs w:val="24"/>
          <w:lang w:val="en-US"/>
        </w:rPr>
        <w:t xml:space="preserve">five </w:t>
      </w:r>
      <w:r w:rsidR="00A53E24" w:rsidRPr="00107882">
        <w:rPr>
          <w:szCs w:val="24"/>
          <w:lang w:val="en-US"/>
        </w:rPr>
        <w:t xml:space="preserve">aspects </w:t>
      </w:r>
      <w:r w:rsidR="0081354E">
        <w:rPr>
          <w:szCs w:val="24"/>
          <w:lang w:val="en-US"/>
        </w:rPr>
        <w:t xml:space="preserve">of </w:t>
      </w:r>
      <w:r w:rsidR="004B504B">
        <w:rPr>
          <w:szCs w:val="24"/>
          <w:lang w:val="en-US"/>
        </w:rPr>
        <w:t>the</w:t>
      </w:r>
      <w:r w:rsidR="0081354E">
        <w:rPr>
          <w:szCs w:val="24"/>
          <w:lang w:val="en-US"/>
        </w:rPr>
        <w:t xml:space="preserve"> proposed settlement which </w:t>
      </w:r>
      <w:r w:rsidR="0068399E">
        <w:rPr>
          <w:szCs w:val="24"/>
          <w:lang w:val="en-US"/>
        </w:rPr>
        <w:t xml:space="preserve">require </w:t>
      </w:r>
      <w:r w:rsidR="004B504B">
        <w:rPr>
          <w:szCs w:val="24"/>
          <w:lang w:val="en-US"/>
        </w:rPr>
        <w:t>particular</w:t>
      </w:r>
      <w:r w:rsidR="0068399E">
        <w:rPr>
          <w:szCs w:val="24"/>
          <w:lang w:val="en-US"/>
        </w:rPr>
        <w:t xml:space="preserve"> consideration:</w:t>
      </w:r>
    </w:p>
    <w:p w14:paraId="257116FB" w14:textId="04DA04F6" w:rsidR="00D401D1" w:rsidRDefault="00B6500C" w:rsidP="00B6500C">
      <w:pPr>
        <w:pStyle w:val="ListNo1"/>
        <w:numPr>
          <w:ilvl w:val="0"/>
          <w:numId w:val="0"/>
        </w:numPr>
        <w:tabs>
          <w:tab w:val="left" w:pos="720"/>
        </w:tabs>
        <w:ind w:left="720" w:hanging="720"/>
        <w:rPr>
          <w:szCs w:val="24"/>
        </w:rPr>
      </w:pPr>
      <w:r>
        <w:rPr>
          <w:szCs w:val="24"/>
        </w:rPr>
        <w:lastRenderedPageBreak/>
        <w:t>(1)</w:t>
      </w:r>
      <w:r>
        <w:rPr>
          <w:szCs w:val="24"/>
        </w:rPr>
        <w:tab/>
      </w:r>
      <w:r w:rsidR="00A53E24" w:rsidRPr="00F14A94">
        <w:rPr>
          <w:szCs w:val="24"/>
        </w:rPr>
        <w:t>whether</w:t>
      </w:r>
      <w:r w:rsidR="00A53E24" w:rsidRPr="00F14A94">
        <w:rPr>
          <w:spacing w:val="-2"/>
          <w:szCs w:val="24"/>
        </w:rPr>
        <w:t xml:space="preserve"> </w:t>
      </w:r>
      <w:r w:rsidR="00A53E24" w:rsidRPr="00F14A94">
        <w:rPr>
          <w:szCs w:val="24"/>
        </w:rPr>
        <w:t>the</w:t>
      </w:r>
      <w:r w:rsidR="00A53E24" w:rsidRPr="00F14A94">
        <w:rPr>
          <w:spacing w:val="-3"/>
          <w:szCs w:val="24"/>
        </w:rPr>
        <w:t xml:space="preserve"> </w:t>
      </w:r>
      <w:r w:rsidR="00A53E24" w:rsidRPr="00F14A94">
        <w:rPr>
          <w:szCs w:val="24"/>
        </w:rPr>
        <w:t>settlement</w:t>
      </w:r>
      <w:r w:rsidR="00A53E24" w:rsidRPr="00F14A94">
        <w:rPr>
          <w:spacing w:val="-5"/>
          <w:szCs w:val="24"/>
        </w:rPr>
        <w:t xml:space="preserve"> </w:t>
      </w:r>
      <w:r w:rsidR="00A53E24" w:rsidRPr="00F14A94">
        <w:rPr>
          <w:i/>
          <w:szCs w:val="24"/>
        </w:rPr>
        <w:t>inter</w:t>
      </w:r>
      <w:r w:rsidR="00A53E24" w:rsidRPr="00F14A94">
        <w:rPr>
          <w:i/>
          <w:spacing w:val="-3"/>
          <w:szCs w:val="24"/>
        </w:rPr>
        <w:t xml:space="preserve"> </w:t>
      </w:r>
      <w:r w:rsidR="00A53E24" w:rsidRPr="00F14A94">
        <w:rPr>
          <w:i/>
          <w:szCs w:val="24"/>
        </w:rPr>
        <w:t>partes</w:t>
      </w:r>
      <w:r w:rsidR="00A53E24" w:rsidRPr="00F14A94">
        <w:rPr>
          <w:i/>
          <w:spacing w:val="-5"/>
          <w:szCs w:val="24"/>
        </w:rPr>
        <w:t xml:space="preserve"> </w:t>
      </w:r>
      <w:r w:rsidR="00A53E24" w:rsidRPr="00F14A94">
        <w:rPr>
          <w:szCs w:val="24"/>
        </w:rPr>
        <w:t>is</w:t>
      </w:r>
      <w:r w:rsidR="00A53E24" w:rsidRPr="00F14A94">
        <w:rPr>
          <w:spacing w:val="-5"/>
          <w:szCs w:val="24"/>
        </w:rPr>
        <w:t xml:space="preserve"> </w:t>
      </w:r>
      <w:r w:rsidR="00A53E24" w:rsidRPr="00F14A94">
        <w:rPr>
          <w:szCs w:val="24"/>
        </w:rPr>
        <w:t>fair</w:t>
      </w:r>
      <w:r w:rsidR="00A53E24" w:rsidRPr="00F14A94">
        <w:rPr>
          <w:spacing w:val="-2"/>
          <w:szCs w:val="24"/>
        </w:rPr>
        <w:t xml:space="preserve"> </w:t>
      </w:r>
      <w:r w:rsidR="00A53E24" w:rsidRPr="00F14A94">
        <w:rPr>
          <w:szCs w:val="24"/>
        </w:rPr>
        <w:t>and</w:t>
      </w:r>
      <w:r w:rsidR="00A53E24" w:rsidRPr="00F14A94">
        <w:rPr>
          <w:spacing w:val="-3"/>
          <w:szCs w:val="24"/>
        </w:rPr>
        <w:t xml:space="preserve"> </w:t>
      </w:r>
      <w:r w:rsidR="00A53E24" w:rsidRPr="00F14A94">
        <w:rPr>
          <w:szCs w:val="24"/>
        </w:rPr>
        <w:t>reasonable</w:t>
      </w:r>
      <w:r w:rsidR="00A53E24" w:rsidRPr="00F14A94">
        <w:rPr>
          <w:spacing w:val="-3"/>
          <w:szCs w:val="24"/>
        </w:rPr>
        <w:t xml:space="preserve"> </w:t>
      </w:r>
      <w:r w:rsidR="00A53E24" w:rsidRPr="00F14A94">
        <w:rPr>
          <w:szCs w:val="24"/>
        </w:rPr>
        <w:t>having</w:t>
      </w:r>
      <w:r w:rsidR="00A53E24" w:rsidRPr="00F14A94">
        <w:rPr>
          <w:spacing w:val="-3"/>
          <w:szCs w:val="24"/>
        </w:rPr>
        <w:t xml:space="preserve"> </w:t>
      </w:r>
      <w:r w:rsidR="00A53E24" w:rsidRPr="00F14A94">
        <w:rPr>
          <w:szCs w:val="24"/>
        </w:rPr>
        <w:t>regard</w:t>
      </w:r>
      <w:r w:rsidR="00A53E24" w:rsidRPr="00F14A94">
        <w:rPr>
          <w:spacing w:val="-3"/>
          <w:szCs w:val="24"/>
        </w:rPr>
        <w:t xml:space="preserve"> </w:t>
      </w:r>
      <w:r w:rsidR="00A53E24" w:rsidRPr="00F14A94">
        <w:rPr>
          <w:szCs w:val="24"/>
        </w:rPr>
        <w:t>to</w:t>
      </w:r>
      <w:r w:rsidR="00A53E24" w:rsidRPr="00F14A94">
        <w:rPr>
          <w:spacing w:val="-6"/>
          <w:szCs w:val="24"/>
        </w:rPr>
        <w:t xml:space="preserve"> </w:t>
      </w:r>
      <w:r w:rsidR="00A53E24" w:rsidRPr="00F14A94">
        <w:rPr>
          <w:szCs w:val="24"/>
        </w:rPr>
        <w:t>the interests of the group members considered as a whole;</w:t>
      </w:r>
    </w:p>
    <w:p w14:paraId="5C06E083" w14:textId="7EAB188E" w:rsidR="00D401D1" w:rsidRDefault="00B6500C" w:rsidP="00B6500C">
      <w:pPr>
        <w:pStyle w:val="ListNo1"/>
        <w:numPr>
          <w:ilvl w:val="0"/>
          <w:numId w:val="0"/>
        </w:numPr>
        <w:tabs>
          <w:tab w:val="left" w:pos="720"/>
        </w:tabs>
        <w:ind w:left="720" w:hanging="720"/>
        <w:rPr>
          <w:szCs w:val="24"/>
        </w:rPr>
      </w:pPr>
      <w:r>
        <w:rPr>
          <w:szCs w:val="24"/>
        </w:rPr>
        <w:t>(2)</w:t>
      </w:r>
      <w:r>
        <w:rPr>
          <w:szCs w:val="24"/>
        </w:rPr>
        <w:tab/>
      </w:r>
      <w:r w:rsidR="00B36E49" w:rsidRPr="00D401D1">
        <w:rPr>
          <w:szCs w:val="24"/>
        </w:rPr>
        <w:t xml:space="preserve">the interaction between the proposed settlement and the </w:t>
      </w:r>
      <w:r w:rsidR="00C52682">
        <w:rPr>
          <w:szCs w:val="24"/>
        </w:rPr>
        <w:t xml:space="preserve">Commonwealth Government’s </w:t>
      </w:r>
      <w:r w:rsidR="00B36E49" w:rsidRPr="00D401D1">
        <w:rPr>
          <w:szCs w:val="24"/>
        </w:rPr>
        <w:t xml:space="preserve">recently enacted </w:t>
      </w:r>
      <w:r w:rsidR="008134FA">
        <w:rPr>
          <w:szCs w:val="24"/>
        </w:rPr>
        <w:t xml:space="preserve">Compensation </w:t>
      </w:r>
      <w:r w:rsidR="00D401D1" w:rsidRPr="00F16017">
        <w:rPr>
          <w:b/>
          <w:bCs/>
          <w:szCs w:val="24"/>
        </w:rPr>
        <w:t>Scheme of Last Resort</w:t>
      </w:r>
      <w:r w:rsidR="00D401D1" w:rsidRPr="00D401D1">
        <w:rPr>
          <w:szCs w:val="24"/>
        </w:rPr>
        <w:t xml:space="preserve"> procedure;</w:t>
      </w:r>
    </w:p>
    <w:p w14:paraId="397FD3F7" w14:textId="2D786443" w:rsidR="00704DEE" w:rsidRPr="00D401D1" w:rsidRDefault="00B6500C" w:rsidP="00B6500C">
      <w:pPr>
        <w:pStyle w:val="ListNo1"/>
        <w:numPr>
          <w:ilvl w:val="0"/>
          <w:numId w:val="0"/>
        </w:numPr>
        <w:tabs>
          <w:tab w:val="left" w:pos="720"/>
        </w:tabs>
        <w:ind w:left="720" w:hanging="720"/>
        <w:rPr>
          <w:szCs w:val="24"/>
        </w:rPr>
      </w:pPr>
      <w:r w:rsidRPr="00D401D1">
        <w:rPr>
          <w:szCs w:val="24"/>
        </w:rPr>
        <w:t>(3)</w:t>
      </w:r>
      <w:r w:rsidRPr="00D401D1">
        <w:rPr>
          <w:szCs w:val="24"/>
        </w:rPr>
        <w:tab/>
      </w:r>
      <w:r w:rsidR="00704DEE">
        <w:rPr>
          <w:szCs w:val="24"/>
        </w:rPr>
        <w:t xml:space="preserve">whether, as a result of recent communications with AFCA concerning the issue in (2) above, </w:t>
      </w:r>
      <w:r w:rsidR="00E2439E">
        <w:rPr>
          <w:szCs w:val="24"/>
        </w:rPr>
        <w:t>group members who have opted out should be afforded an opportunity to withdraw from opting out;</w:t>
      </w:r>
    </w:p>
    <w:p w14:paraId="49A4B974" w14:textId="260F212C" w:rsidR="00D401D1" w:rsidRPr="00D401D1" w:rsidRDefault="00B6500C" w:rsidP="00B6500C">
      <w:pPr>
        <w:pStyle w:val="ListNo1"/>
        <w:numPr>
          <w:ilvl w:val="0"/>
          <w:numId w:val="0"/>
        </w:numPr>
        <w:tabs>
          <w:tab w:val="left" w:pos="720"/>
        </w:tabs>
        <w:ind w:left="720" w:hanging="720"/>
        <w:rPr>
          <w:szCs w:val="24"/>
        </w:rPr>
      </w:pPr>
      <w:r w:rsidRPr="00D401D1">
        <w:rPr>
          <w:szCs w:val="24"/>
        </w:rPr>
        <w:t>(4)</w:t>
      </w:r>
      <w:r w:rsidRPr="00D401D1">
        <w:rPr>
          <w:szCs w:val="24"/>
        </w:rPr>
        <w:tab/>
      </w:r>
      <w:r w:rsidR="00A53E24" w:rsidRPr="00D401D1">
        <w:rPr>
          <w:szCs w:val="24"/>
        </w:rPr>
        <w:t xml:space="preserve">whether the proposed arrangements for distributing the Settlement Sum </w:t>
      </w:r>
      <w:r w:rsidR="00A53E24" w:rsidRPr="00D401D1">
        <w:rPr>
          <w:i/>
          <w:iCs/>
          <w:szCs w:val="24"/>
        </w:rPr>
        <w:t xml:space="preserve">inter se </w:t>
      </w:r>
      <w:r w:rsidR="00A53E24" w:rsidRPr="00D401D1">
        <w:rPr>
          <w:szCs w:val="24"/>
        </w:rPr>
        <w:t>among</w:t>
      </w:r>
      <w:r w:rsidR="00A53E24" w:rsidRPr="00D401D1">
        <w:rPr>
          <w:spacing w:val="-6"/>
          <w:szCs w:val="24"/>
        </w:rPr>
        <w:t xml:space="preserve"> </w:t>
      </w:r>
      <w:r w:rsidR="00A53E24" w:rsidRPr="00D401D1">
        <w:rPr>
          <w:szCs w:val="24"/>
        </w:rPr>
        <w:t>the</w:t>
      </w:r>
      <w:r w:rsidR="00A53E24" w:rsidRPr="00D401D1">
        <w:rPr>
          <w:spacing w:val="-3"/>
          <w:szCs w:val="24"/>
        </w:rPr>
        <w:t xml:space="preserve"> </w:t>
      </w:r>
      <w:r w:rsidR="00A53E24" w:rsidRPr="00D401D1">
        <w:rPr>
          <w:szCs w:val="24"/>
        </w:rPr>
        <w:t>group</w:t>
      </w:r>
      <w:r w:rsidR="00A53E24" w:rsidRPr="00D401D1">
        <w:rPr>
          <w:spacing w:val="-6"/>
          <w:szCs w:val="24"/>
        </w:rPr>
        <w:t xml:space="preserve"> </w:t>
      </w:r>
      <w:r w:rsidR="00A53E24" w:rsidRPr="00D401D1">
        <w:rPr>
          <w:szCs w:val="24"/>
        </w:rPr>
        <w:t>members</w:t>
      </w:r>
      <w:r w:rsidR="00A53E24" w:rsidRPr="00D401D1">
        <w:rPr>
          <w:spacing w:val="-5"/>
          <w:szCs w:val="24"/>
        </w:rPr>
        <w:t xml:space="preserve"> </w:t>
      </w:r>
      <w:r w:rsidR="00A53E24" w:rsidRPr="00D401D1">
        <w:rPr>
          <w:szCs w:val="24"/>
        </w:rPr>
        <w:t>are</w:t>
      </w:r>
      <w:r w:rsidR="00A53E24" w:rsidRPr="00D401D1">
        <w:rPr>
          <w:spacing w:val="-5"/>
          <w:szCs w:val="24"/>
        </w:rPr>
        <w:t xml:space="preserve"> </w:t>
      </w:r>
      <w:r w:rsidR="00A53E24" w:rsidRPr="00D401D1">
        <w:rPr>
          <w:szCs w:val="24"/>
        </w:rPr>
        <w:t>fair</w:t>
      </w:r>
      <w:r w:rsidR="00A53E24" w:rsidRPr="00D401D1">
        <w:rPr>
          <w:spacing w:val="-2"/>
          <w:szCs w:val="24"/>
        </w:rPr>
        <w:t xml:space="preserve"> </w:t>
      </w:r>
      <w:r w:rsidR="00A53E24" w:rsidRPr="00D401D1">
        <w:rPr>
          <w:szCs w:val="24"/>
        </w:rPr>
        <w:t>and</w:t>
      </w:r>
      <w:r w:rsidR="00A53E24" w:rsidRPr="00D401D1">
        <w:rPr>
          <w:spacing w:val="-3"/>
          <w:szCs w:val="24"/>
        </w:rPr>
        <w:t xml:space="preserve"> </w:t>
      </w:r>
      <w:r w:rsidR="00A53E24" w:rsidRPr="00D401D1">
        <w:rPr>
          <w:szCs w:val="24"/>
        </w:rPr>
        <w:t>reasonable,</w:t>
      </w:r>
      <w:r w:rsidR="00A53E24" w:rsidRPr="00D401D1">
        <w:rPr>
          <w:spacing w:val="-3"/>
          <w:szCs w:val="24"/>
        </w:rPr>
        <w:t xml:space="preserve"> </w:t>
      </w:r>
      <w:r w:rsidR="00A53E24" w:rsidRPr="00D401D1">
        <w:rPr>
          <w:szCs w:val="24"/>
        </w:rPr>
        <w:t>again</w:t>
      </w:r>
      <w:r w:rsidR="00A53E24" w:rsidRPr="00D401D1">
        <w:rPr>
          <w:spacing w:val="-3"/>
          <w:szCs w:val="24"/>
        </w:rPr>
        <w:t xml:space="preserve"> </w:t>
      </w:r>
      <w:r w:rsidR="00A53E24" w:rsidRPr="00D401D1">
        <w:rPr>
          <w:szCs w:val="24"/>
        </w:rPr>
        <w:t>taking</w:t>
      </w:r>
      <w:r w:rsidR="00A53E24" w:rsidRPr="00D401D1">
        <w:rPr>
          <w:spacing w:val="-3"/>
          <w:szCs w:val="24"/>
        </w:rPr>
        <w:t xml:space="preserve"> </w:t>
      </w:r>
      <w:r w:rsidR="00A53E24" w:rsidRPr="00D401D1">
        <w:rPr>
          <w:szCs w:val="24"/>
        </w:rPr>
        <w:t>the</w:t>
      </w:r>
      <w:r w:rsidR="00A53E24" w:rsidRPr="00D401D1">
        <w:rPr>
          <w:spacing w:val="-3"/>
          <w:szCs w:val="24"/>
        </w:rPr>
        <w:t xml:space="preserve"> </w:t>
      </w:r>
      <w:r w:rsidR="00A53E24" w:rsidRPr="00D401D1">
        <w:rPr>
          <w:szCs w:val="24"/>
        </w:rPr>
        <w:t>group</w:t>
      </w:r>
      <w:r w:rsidR="00A53E24" w:rsidRPr="00D401D1">
        <w:rPr>
          <w:spacing w:val="-6"/>
          <w:szCs w:val="24"/>
        </w:rPr>
        <w:t xml:space="preserve"> </w:t>
      </w:r>
      <w:r w:rsidR="00A53E24" w:rsidRPr="00D401D1">
        <w:rPr>
          <w:szCs w:val="24"/>
        </w:rPr>
        <w:t>members as a whole; and</w:t>
      </w:r>
    </w:p>
    <w:p w14:paraId="69785FEE" w14:textId="5C398779" w:rsidR="00A53E24" w:rsidRDefault="00B6500C" w:rsidP="00B6500C">
      <w:pPr>
        <w:pStyle w:val="ListNo1"/>
        <w:numPr>
          <w:ilvl w:val="0"/>
          <w:numId w:val="0"/>
        </w:numPr>
        <w:tabs>
          <w:tab w:val="left" w:pos="720"/>
        </w:tabs>
        <w:ind w:left="720" w:hanging="720"/>
        <w:rPr>
          <w:szCs w:val="24"/>
        </w:rPr>
      </w:pPr>
      <w:r>
        <w:rPr>
          <w:szCs w:val="24"/>
        </w:rPr>
        <w:t>(5)</w:t>
      </w:r>
      <w:r>
        <w:rPr>
          <w:szCs w:val="24"/>
        </w:rPr>
        <w:tab/>
      </w:r>
      <w:r w:rsidR="00A53E24" w:rsidRPr="00D401D1">
        <w:rPr>
          <w:szCs w:val="24"/>
        </w:rPr>
        <w:t>whether</w:t>
      </w:r>
      <w:r w:rsidR="00A53E24" w:rsidRPr="00D401D1">
        <w:rPr>
          <w:spacing w:val="-2"/>
          <w:szCs w:val="24"/>
        </w:rPr>
        <w:t xml:space="preserve"> </w:t>
      </w:r>
      <w:r w:rsidR="00A53E24" w:rsidRPr="00D401D1">
        <w:rPr>
          <w:szCs w:val="24"/>
        </w:rPr>
        <w:t>the</w:t>
      </w:r>
      <w:r w:rsidR="00A53E24" w:rsidRPr="00D401D1">
        <w:rPr>
          <w:spacing w:val="-3"/>
          <w:szCs w:val="24"/>
        </w:rPr>
        <w:t xml:space="preserve"> </w:t>
      </w:r>
      <w:r w:rsidR="00A53E24" w:rsidRPr="00D401D1">
        <w:rPr>
          <w:szCs w:val="24"/>
        </w:rPr>
        <w:t>proposed</w:t>
      </w:r>
      <w:r w:rsidR="00A53E24" w:rsidRPr="00D401D1">
        <w:rPr>
          <w:spacing w:val="-3"/>
          <w:szCs w:val="24"/>
        </w:rPr>
        <w:t xml:space="preserve"> </w:t>
      </w:r>
      <w:r w:rsidR="00A53E24" w:rsidRPr="00D401D1">
        <w:rPr>
          <w:szCs w:val="24"/>
        </w:rPr>
        <w:t>deductions</w:t>
      </w:r>
      <w:r w:rsidR="00A53E24" w:rsidRPr="00D401D1">
        <w:rPr>
          <w:spacing w:val="-5"/>
          <w:szCs w:val="24"/>
        </w:rPr>
        <w:t xml:space="preserve"> </w:t>
      </w:r>
      <w:r w:rsidR="00A53E24" w:rsidRPr="00D401D1">
        <w:rPr>
          <w:szCs w:val="24"/>
        </w:rPr>
        <w:t>from</w:t>
      </w:r>
      <w:r w:rsidR="00A53E24" w:rsidRPr="00D401D1">
        <w:rPr>
          <w:spacing w:val="-5"/>
          <w:szCs w:val="24"/>
        </w:rPr>
        <w:t xml:space="preserve"> </w:t>
      </w:r>
      <w:r w:rsidR="00A53E24" w:rsidRPr="00D401D1">
        <w:rPr>
          <w:szCs w:val="24"/>
        </w:rPr>
        <w:t>the</w:t>
      </w:r>
      <w:r w:rsidR="00A53E24" w:rsidRPr="00D401D1">
        <w:rPr>
          <w:spacing w:val="-3"/>
          <w:szCs w:val="24"/>
        </w:rPr>
        <w:t xml:space="preserve"> </w:t>
      </w:r>
      <w:r w:rsidR="00A53E24" w:rsidRPr="00D401D1">
        <w:rPr>
          <w:szCs w:val="24"/>
        </w:rPr>
        <w:t>Settlement</w:t>
      </w:r>
      <w:r w:rsidR="00A53E24" w:rsidRPr="00D401D1">
        <w:rPr>
          <w:spacing w:val="-5"/>
          <w:szCs w:val="24"/>
        </w:rPr>
        <w:t xml:space="preserve"> </w:t>
      </w:r>
      <w:r w:rsidR="00A53E24" w:rsidRPr="00D401D1">
        <w:rPr>
          <w:szCs w:val="24"/>
        </w:rPr>
        <w:t>Sum</w:t>
      </w:r>
      <w:r w:rsidR="000A774C">
        <w:rPr>
          <w:szCs w:val="24"/>
        </w:rPr>
        <w:t>, including</w:t>
      </w:r>
      <w:r w:rsidR="00A53E24" w:rsidRPr="00D401D1">
        <w:rPr>
          <w:spacing w:val="-2"/>
          <w:szCs w:val="24"/>
        </w:rPr>
        <w:t xml:space="preserve"> </w:t>
      </w:r>
      <w:r w:rsidR="00A53E24" w:rsidRPr="00D401D1">
        <w:rPr>
          <w:szCs w:val="24"/>
        </w:rPr>
        <w:t>for</w:t>
      </w:r>
      <w:r w:rsidR="00A53E24" w:rsidRPr="00D401D1">
        <w:rPr>
          <w:spacing w:val="-2"/>
          <w:szCs w:val="24"/>
        </w:rPr>
        <w:t xml:space="preserve"> </w:t>
      </w:r>
      <w:r w:rsidR="00A53E24" w:rsidRPr="00D401D1">
        <w:rPr>
          <w:szCs w:val="24"/>
        </w:rPr>
        <w:t>past</w:t>
      </w:r>
      <w:r w:rsidR="00A53E24" w:rsidRPr="00D401D1">
        <w:rPr>
          <w:spacing w:val="-5"/>
          <w:szCs w:val="24"/>
        </w:rPr>
        <w:t xml:space="preserve"> </w:t>
      </w:r>
      <w:r w:rsidR="00A53E24" w:rsidRPr="00D401D1">
        <w:rPr>
          <w:szCs w:val="24"/>
        </w:rPr>
        <w:t>or</w:t>
      </w:r>
      <w:r w:rsidR="00A53E24" w:rsidRPr="00D401D1">
        <w:rPr>
          <w:spacing w:val="-5"/>
          <w:szCs w:val="24"/>
        </w:rPr>
        <w:t xml:space="preserve"> </w:t>
      </w:r>
      <w:r w:rsidR="00A53E24" w:rsidRPr="00D401D1">
        <w:rPr>
          <w:szCs w:val="24"/>
        </w:rPr>
        <w:t>future</w:t>
      </w:r>
      <w:r w:rsidR="00A53E24" w:rsidRPr="00D401D1">
        <w:rPr>
          <w:spacing w:val="-5"/>
          <w:szCs w:val="24"/>
        </w:rPr>
        <w:t xml:space="preserve"> </w:t>
      </w:r>
      <w:r w:rsidR="00A53E24" w:rsidRPr="00D401D1">
        <w:rPr>
          <w:szCs w:val="24"/>
        </w:rPr>
        <w:t>legal costs</w:t>
      </w:r>
      <w:r w:rsidR="000A774C">
        <w:rPr>
          <w:szCs w:val="24"/>
        </w:rPr>
        <w:t>,</w:t>
      </w:r>
      <w:r w:rsidR="00A53E24" w:rsidRPr="00D401D1">
        <w:rPr>
          <w:szCs w:val="24"/>
        </w:rPr>
        <w:t xml:space="preserve"> are fair and reasonable in all the circumstances.</w:t>
      </w:r>
    </w:p>
    <w:p w14:paraId="65C81A51" w14:textId="658FE463" w:rsidR="000A774C" w:rsidRPr="00D401D1" w:rsidRDefault="00B6500C" w:rsidP="00B6500C">
      <w:pPr>
        <w:pStyle w:val="ParaNumbering"/>
        <w:numPr>
          <w:ilvl w:val="0"/>
          <w:numId w:val="0"/>
        </w:numPr>
        <w:ind w:hanging="720"/>
      </w:pPr>
      <w:r w:rsidRPr="00D401D1">
        <w:rPr>
          <w:iCs/>
          <w:sz w:val="20"/>
        </w:rPr>
        <w:t>19</w:t>
      </w:r>
      <w:r w:rsidRPr="00D401D1">
        <w:rPr>
          <w:iCs/>
          <w:sz w:val="20"/>
        </w:rPr>
        <w:tab/>
      </w:r>
      <w:r w:rsidR="000A774C">
        <w:t>Each of these matters is addressed below.</w:t>
      </w:r>
    </w:p>
    <w:p w14:paraId="440B5DD3" w14:textId="271C52AA" w:rsidR="00701AB0" w:rsidRDefault="005B5445" w:rsidP="001F7001">
      <w:pPr>
        <w:pStyle w:val="Heading2"/>
      </w:pPr>
      <w:r>
        <w:t xml:space="preserve">Is the settlement </w:t>
      </w:r>
      <w:r w:rsidRPr="00F16017">
        <w:rPr>
          <w:i/>
          <w:iCs/>
        </w:rPr>
        <w:t xml:space="preserve">inter partes </w:t>
      </w:r>
      <w:r>
        <w:t>fair and reasonable?</w:t>
      </w:r>
    </w:p>
    <w:p w14:paraId="58DBEA41" w14:textId="4C72A77A" w:rsidR="00BE5E42" w:rsidRDefault="00B6500C" w:rsidP="00B6500C">
      <w:pPr>
        <w:pStyle w:val="ParaNumbering"/>
        <w:numPr>
          <w:ilvl w:val="0"/>
          <w:numId w:val="0"/>
        </w:numPr>
        <w:ind w:hanging="720"/>
        <w:rPr>
          <w:szCs w:val="24"/>
        </w:rPr>
      </w:pPr>
      <w:r>
        <w:rPr>
          <w:iCs/>
          <w:sz w:val="20"/>
          <w:szCs w:val="24"/>
        </w:rPr>
        <w:t>20</w:t>
      </w:r>
      <w:r>
        <w:rPr>
          <w:iCs/>
          <w:sz w:val="20"/>
          <w:szCs w:val="24"/>
        </w:rPr>
        <w:tab/>
      </w:r>
      <w:r w:rsidR="006F5323" w:rsidRPr="00107882">
        <w:rPr>
          <w:szCs w:val="24"/>
        </w:rPr>
        <w:t>The</w:t>
      </w:r>
      <w:r w:rsidR="006F5323" w:rsidRPr="00107882">
        <w:rPr>
          <w:spacing w:val="-3"/>
          <w:szCs w:val="24"/>
        </w:rPr>
        <w:t xml:space="preserve"> </w:t>
      </w:r>
      <w:r w:rsidR="006F5323" w:rsidRPr="00107882">
        <w:rPr>
          <w:szCs w:val="24"/>
        </w:rPr>
        <w:t>Court</w:t>
      </w:r>
      <w:r w:rsidR="00CD113A">
        <w:rPr>
          <w:szCs w:val="24"/>
        </w:rPr>
        <w:t>’</w:t>
      </w:r>
      <w:r w:rsidR="006F5323" w:rsidRPr="00107882">
        <w:rPr>
          <w:szCs w:val="24"/>
        </w:rPr>
        <w:t>s</w:t>
      </w:r>
      <w:r w:rsidR="006F5323" w:rsidRPr="00107882">
        <w:rPr>
          <w:spacing w:val="-3"/>
          <w:szCs w:val="24"/>
        </w:rPr>
        <w:t xml:space="preserve"> </w:t>
      </w:r>
      <w:r w:rsidR="006F5323" w:rsidRPr="00107882">
        <w:rPr>
          <w:szCs w:val="24"/>
        </w:rPr>
        <w:t>Class</w:t>
      </w:r>
      <w:r w:rsidR="006F5323" w:rsidRPr="00107882">
        <w:rPr>
          <w:spacing w:val="-14"/>
          <w:szCs w:val="24"/>
        </w:rPr>
        <w:t xml:space="preserve"> </w:t>
      </w:r>
      <w:r w:rsidR="006F5323" w:rsidRPr="00107882">
        <w:rPr>
          <w:szCs w:val="24"/>
        </w:rPr>
        <w:t>Actions</w:t>
      </w:r>
      <w:r w:rsidR="006F5323" w:rsidRPr="00107882">
        <w:rPr>
          <w:spacing w:val="-5"/>
          <w:szCs w:val="24"/>
        </w:rPr>
        <w:t xml:space="preserve"> </w:t>
      </w:r>
      <w:r w:rsidR="006F5323" w:rsidRPr="00107882">
        <w:rPr>
          <w:szCs w:val="24"/>
        </w:rPr>
        <w:t>Practice</w:t>
      </w:r>
      <w:r w:rsidR="006F5323" w:rsidRPr="00107882">
        <w:rPr>
          <w:spacing w:val="-3"/>
          <w:szCs w:val="24"/>
        </w:rPr>
        <w:t xml:space="preserve"> </w:t>
      </w:r>
      <w:r w:rsidR="006F5323" w:rsidRPr="00107882">
        <w:rPr>
          <w:szCs w:val="24"/>
        </w:rPr>
        <w:t>Note</w:t>
      </w:r>
      <w:r w:rsidR="006F5323" w:rsidRPr="00107882">
        <w:rPr>
          <w:spacing w:val="-3"/>
          <w:szCs w:val="24"/>
        </w:rPr>
        <w:t xml:space="preserve"> </w:t>
      </w:r>
      <w:r w:rsidR="006F5323" w:rsidRPr="00107882">
        <w:rPr>
          <w:szCs w:val="24"/>
        </w:rPr>
        <w:t>at</w:t>
      </w:r>
      <w:r w:rsidR="006F5323" w:rsidRPr="00107882">
        <w:rPr>
          <w:spacing w:val="-2"/>
          <w:szCs w:val="24"/>
        </w:rPr>
        <w:t xml:space="preserve"> </w:t>
      </w:r>
      <w:r w:rsidR="006F5323" w:rsidRPr="00107882">
        <w:rPr>
          <w:szCs w:val="24"/>
        </w:rPr>
        <w:t>[15.5]</w:t>
      </w:r>
      <w:r w:rsidR="006F5323" w:rsidRPr="00107882">
        <w:rPr>
          <w:spacing w:val="-5"/>
          <w:szCs w:val="24"/>
        </w:rPr>
        <w:t xml:space="preserve"> </w:t>
      </w:r>
      <w:r w:rsidR="006F5323" w:rsidRPr="00107882">
        <w:rPr>
          <w:szCs w:val="24"/>
        </w:rPr>
        <w:t>lists</w:t>
      </w:r>
      <w:r w:rsidR="006F5323" w:rsidRPr="00107882">
        <w:rPr>
          <w:spacing w:val="-5"/>
          <w:szCs w:val="24"/>
        </w:rPr>
        <w:t xml:space="preserve"> </w:t>
      </w:r>
      <w:r w:rsidR="006F5323" w:rsidRPr="00107882">
        <w:rPr>
          <w:szCs w:val="24"/>
        </w:rPr>
        <w:t>the</w:t>
      </w:r>
      <w:r w:rsidR="006F5323" w:rsidRPr="00107882">
        <w:rPr>
          <w:spacing w:val="-3"/>
          <w:szCs w:val="24"/>
        </w:rPr>
        <w:t xml:space="preserve"> </w:t>
      </w:r>
      <w:r w:rsidR="006F5323" w:rsidRPr="00107882">
        <w:rPr>
          <w:szCs w:val="24"/>
        </w:rPr>
        <w:t>basic</w:t>
      </w:r>
      <w:r w:rsidR="006F5323" w:rsidRPr="00107882">
        <w:rPr>
          <w:spacing w:val="-5"/>
          <w:szCs w:val="24"/>
        </w:rPr>
        <w:t xml:space="preserve"> </w:t>
      </w:r>
      <w:r w:rsidR="006F5323" w:rsidRPr="00107882">
        <w:rPr>
          <w:szCs w:val="24"/>
        </w:rPr>
        <w:t>factors</w:t>
      </w:r>
      <w:r w:rsidR="006F5323" w:rsidRPr="00107882">
        <w:rPr>
          <w:spacing w:val="-3"/>
          <w:szCs w:val="24"/>
        </w:rPr>
        <w:t xml:space="preserve"> </w:t>
      </w:r>
      <w:r w:rsidR="006F5323" w:rsidRPr="00107882">
        <w:rPr>
          <w:szCs w:val="24"/>
        </w:rPr>
        <w:t>relevant</w:t>
      </w:r>
      <w:r w:rsidR="006F5323" w:rsidRPr="00107882">
        <w:rPr>
          <w:spacing w:val="-5"/>
          <w:szCs w:val="24"/>
        </w:rPr>
        <w:t xml:space="preserve"> </w:t>
      </w:r>
      <w:r w:rsidR="006F5323" w:rsidRPr="00107882">
        <w:rPr>
          <w:szCs w:val="24"/>
        </w:rPr>
        <w:t>to the Court</w:t>
      </w:r>
      <w:r w:rsidR="00CD113A">
        <w:rPr>
          <w:szCs w:val="24"/>
        </w:rPr>
        <w:t>’</w:t>
      </w:r>
      <w:r w:rsidR="006F5323" w:rsidRPr="00107882">
        <w:rPr>
          <w:szCs w:val="24"/>
        </w:rPr>
        <w:t xml:space="preserve">s discretion to approve the </w:t>
      </w:r>
      <w:r w:rsidR="006F5323" w:rsidRPr="00107882">
        <w:rPr>
          <w:i/>
          <w:szCs w:val="24"/>
        </w:rPr>
        <w:t xml:space="preserve">inter partes </w:t>
      </w:r>
      <w:r w:rsidR="006F5323" w:rsidRPr="00107882">
        <w:rPr>
          <w:szCs w:val="24"/>
        </w:rPr>
        <w:t>aspects of a class action settlement.</w:t>
      </w:r>
      <w:r w:rsidR="008B68E2">
        <w:rPr>
          <w:szCs w:val="24"/>
        </w:rPr>
        <w:t xml:space="preserve"> </w:t>
      </w:r>
    </w:p>
    <w:p w14:paraId="6C7AC6A3" w14:textId="4BDBDB23" w:rsidR="006F5323" w:rsidRPr="00107882" w:rsidRDefault="00B6500C" w:rsidP="00B6500C">
      <w:pPr>
        <w:pStyle w:val="ParaNumbering"/>
        <w:numPr>
          <w:ilvl w:val="0"/>
          <w:numId w:val="0"/>
        </w:numPr>
        <w:ind w:hanging="720"/>
        <w:rPr>
          <w:szCs w:val="24"/>
        </w:rPr>
      </w:pPr>
      <w:r w:rsidRPr="00107882">
        <w:rPr>
          <w:iCs/>
          <w:sz w:val="20"/>
          <w:szCs w:val="24"/>
        </w:rPr>
        <w:t>21</w:t>
      </w:r>
      <w:r w:rsidRPr="00107882">
        <w:rPr>
          <w:iCs/>
          <w:sz w:val="20"/>
          <w:szCs w:val="24"/>
        </w:rPr>
        <w:tab/>
      </w:r>
      <w:r w:rsidR="00E1732B">
        <w:rPr>
          <w:szCs w:val="24"/>
        </w:rPr>
        <w:t>This particular settlement approval application has a somewhat unusual feature</w:t>
      </w:r>
      <w:r w:rsidR="00C12104">
        <w:rPr>
          <w:szCs w:val="24"/>
        </w:rPr>
        <w:t>, namely that –</w:t>
      </w:r>
      <w:r w:rsidR="00E1732B">
        <w:rPr>
          <w:szCs w:val="24"/>
        </w:rPr>
        <w:t xml:space="preserve"> </w:t>
      </w:r>
      <w:r w:rsidR="00C12104">
        <w:rPr>
          <w:szCs w:val="24"/>
        </w:rPr>
        <w:t>a</w:t>
      </w:r>
      <w:r w:rsidR="006F5323" w:rsidRPr="00107882">
        <w:rPr>
          <w:szCs w:val="24"/>
        </w:rPr>
        <w:t xml:space="preserve">fter making all enquiries reasonably available </w:t>
      </w:r>
      <w:r w:rsidR="00C12104">
        <w:rPr>
          <w:szCs w:val="24"/>
        </w:rPr>
        <w:t xml:space="preserve">– </w:t>
      </w:r>
      <w:r w:rsidR="006F5323" w:rsidRPr="00107882">
        <w:rPr>
          <w:szCs w:val="24"/>
        </w:rPr>
        <w:t>it</w:t>
      </w:r>
      <w:r w:rsidR="00C12104">
        <w:rPr>
          <w:szCs w:val="24"/>
        </w:rPr>
        <w:t xml:space="preserve"> </w:t>
      </w:r>
      <w:r w:rsidR="006F5323" w:rsidRPr="00107882">
        <w:rPr>
          <w:szCs w:val="24"/>
        </w:rPr>
        <w:t xml:space="preserve">is </w:t>
      </w:r>
      <w:r w:rsidR="00C12104">
        <w:rPr>
          <w:szCs w:val="24"/>
        </w:rPr>
        <w:t>clear</w:t>
      </w:r>
      <w:r w:rsidR="006F5323" w:rsidRPr="00107882">
        <w:rPr>
          <w:szCs w:val="24"/>
        </w:rPr>
        <w:t xml:space="preserve"> that:</w:t>
      </w:r>
    </w:p>
    <w:p w14:paraId="5B3A40A3" w14:textId="07B87E8F" w:rsidR="006F5323" w:rsidRPr="00107882" w:rsidRDefault="00B6500C" w:rsidP="00B6500C">
      <w:pPr>
        <w:pStyle w:val="ListNo1alt"/>
        <w:numPr>
          <w:ilvl w:val="0"/>
          <w:numId w:val="0"/>
        </w:numPr>
        <w:tabs>
          <w:tab w:val="left" w:pos="720"/>
        </w:tabs>
        <w:ind w:left="720" w:hanging="720"/>
      </w:pPr>
      <w:r w:rsidRPr="00107882">
        <w:t>(a)</w:t>
      </w:r>
      <w:r w:rsidRPr="00107882">
        <w:tab/>
      </w:r>
      <w:r w:rsidR="006F5323" w:rsidRPr="00107882">
        <w:t xml:space="preserve">the proposed Settlement Sum represents substantially all the funds that the </w:t>
      </w:r>
      <w:r w:rsidR="00C12104">
        <w:t>r</w:t>
      </w:r>
      <w:r w:rsidR="006F5323" w:rsidRPr="00107882">
        <w:t>espondents</w:t>
      </w:r>
      <w:r w:rsidR="006F5323" w:rsidRPr="00107882">
        <w:rPr>
          <w:spacing w:val="-5"/>
        </w:rPr>
        <w:t xml:space="preserve"> </w:t>
      </w:r>
      <w:r w:rsidR="006F5323" w:rsidRPr="00107882">
        <w:t>have</w:t>
      </w:r>
      <w:r w:rsidR="006F5323" w:rsidRPr="00107882">
        <w:rPr>
          <w:spacing w:val="-5"/>
        </w:rPr>
        <w:t xml:space="preserve"> </w:t>
      </w:r>
      <w:r w:rsidR="006F5323" w:rsidRPr="00107882">
        <w:t>readily</w:t>
      </w:r>
      <w:r w:rsidR="006F5323" w:rsidRPr="00107882">
        <w:rPr>
          <w:spacing w:val="-3"/>
        </w:rPr>
        <w:t xml:space="preserve"> </w:t>
      </w:r>
      <w:r w:rsidR="006F5323" w:rsidRPr="00107882">
        <w:t>available</w:t>
      </w:r>
      <w:r w:rsidR="006F5323" w:rsidRPr="00107882">
        <w:rPr>
          <w:spacing w:val="-3"/>
        </w:rPr>
        <w:t xml:space="preserve"> </w:t>
      </w:r>
      <w:r w:rsidR="006F5323" w:rsidRPr="00107882">
        <w:t>to</w:t>
      </w:r>
      <w:r w:rsidR="006F5323" w:rsidRPr="00107882">
        <w:rPr>
          <w:spacing w:val="-3"/>
        </w:rPr>
        <w:t xml:space="preserve"> </w:t>
      </w:r>
      <w:r w:rsidR="006F5323" w:rsidRPr="00107882">
        <w:t>fund</w:t>
      </w:r>
      <w:r w:rsidR="006F5323" w:rsidRPr="00107882">
        <w:rPr>
          <w:spacing w:val="-3"/>
        </w:rPr>
        <w:t xml:space="preserve"> </w:t>
      </w:r>
      <w:r w:rsidR="006F5323" w:rsidRPr="00107882">
        <w:t>a</w:t>
      </w:r>
      <w:r w:rsidR="006F5323" w:rsidRPr="00107882">
        <w:rPr>
          <w:spacing w:val="-3"/>
        </w:rPr>
        <w:t xml:space="preserve"> </w:t>
      </w:r>
      <w:r w:rsidR="006F5323" w:rsidRPr="00107882">
        <w:t>settlement</w:t>
      </w:r>
      <w:r w:rsidR="006F5323" w:rsidRPr="00107882">
        <w:rPr>
          <w:spacing w:val="-2"/>
        </w:rPr>
        <w:t xml:space="preserve"> </w:t>
      </w:r>
      <w:r w:rsidR="006F5323" w:rsidRPr="00107882">
        <w:t>or</w:t>
      </w:r>
      <w:r w:rsidR="006F5323" w:rsidRPr="00107882">
        <w:rPr>
          <w:spacing w:val="-5"/>
        </w:rPr>
        <w:t xml:space="preserve"> </w:t>
      </w:r>
      <w:r w:rsidR="006F5323" w:rsidRPr="00107882">
        <w:t>satisfy</w:t>
      </w:r>
      <w:r w:rsidR="006F5323" w:rsidRPr="00107882">
        <w:rPr>
          <w:spacing w:val="-3"/>
        </w:rPr>
        <w:t xml:space="preserve"> </w:t>
      </w:r>
      <w:r w:rsidR="006F5323" w:rsidRPr="00107882">
        <w:t>a</w:t>
      </w:r>
      <w:r w:rsidR="006F5323" w:rsidRPr="00107882">
        <w:rPr>
          <w:spacing w:val="-5"/>
        </w:rPr>
        <w:t xml:space="preserve"> </w:t>
      </w:r>
      <w:r w:rsidR="006F5323" w:rsidRPr="00107882">
        <w:t>judgment;</w:t>
      </w:r>
      <w:r w:rsidR="006F5323" w:rsidRPr="00107882">
        <w:rPr>
          <w:spacing w:val="-2"/>
        </w:rPr>
        <w:t xml:space="preserve"> </w:t>
      </w:r>
      <w:r w:rsidR="006F5323" w:rsidRPr="00107882">
        <w:t>and</w:t>
      </w:r>
    </w:p>
    <w:p w14:paraId="74F3E948" w14:textId="394ADACB" w:rsidR="006F5323" w:rsidRPr="00107882" w:rsidRDefault="00B6500C" w:rsidP="00B6500C">
      <w:pPr>
        <w:pStyle w:val="ListNo1alt"/>
        <w:numPr>
          <w:ilvl w:val="0"/>
          <w:numId w:val="0"/>
        </w:numPr>
        <w:tabs>
          <w:tab w:val="left" w:pos="720"/>
        </w:tabs>
        <w:ind w:left="720" w:hanging="720"/>
      </w:pPr>
      <w:r w:rsidRPr="00107882">
        <w:t>(b)</w:t>
      </w:r>
      <w:r w:rsidRPr="00107882">
        <w:tab/>
      </w:r>
      <w:r w:rsidR="006F5323" w:rsidRPr="00107882">
        <w:t>the</w:t>
      </w:r>
      <w:r w:rsidR="006F5323" w:rsidRPr="00107882">
        <w:rPr>
          <w:spacing w:val="-2"/>
        </w:rPr>
        <w:t xml:space="preserve"> </w:t>
      </w:r>
      <w:r w:rsidR="006F5323" w:rsidRPr="00107882">
        <w:t>cost</w:t>
      </w:r>
      <w:r w:rsidR="006F5323" w:rsidRPr="00107882">
        <w:rPr>
          <w:spacing w:val="-4"/>
        </w:rPr>
        <w:t xml:space="preserve"> </w:t>
      </w:r>
      <w:r w:rsidR="006F5323" w:rsidRPr="00107882">
        <w:t>to</w:t>
      </w:r>
      <w:r w:rsidR="006F5323" w:rsidRPr="00107882">
        <w:rPr>
          <w:spacing w:val="-5"/>
        </w:rPr>
        <w:t xml:space="preserve"> </w:t>
      </w:r>
      <w:r w:rsidR="006F5323" w:rsidRPr="00107882">
        <w:t>the</w:t>
      </w:r>
      <w:r w:rsidR="006F5323" w:rsidRPr="00107882">
        <w:rPr>
          <w:spacing w:val="-2"/>
        </w:rPr>
        <w:t xml:space="preserve"> </w:t>
      </w:r>
      <w:r w:rsidR="00C12104">
        <w:t>a</w:t>
      </w:r>
      <w:r w:rsidR="006F5323" w:rsidRPr="00107882">
        <w:t>pplicant</w:t>
      </w:r>
      <w:r w:rsidR="006F5323" w:rsidRPr="00107882">
        <w:rPr>
          <w:spacing w:val="-1"/>
        </w:rPr>
        <w:t xml:space="preserve"> </w:t>
      </w:r>
      <w:r w:rsidR="006F5323" w:rsidRPr="00107882">
        <w:t>of</w:t>
      </w:r>
      <w:r w:rsidR="006F5323" w:rsidRPr="00107882">
        <w:rPr>
          <w:spacing w:val="-4"/>
        </w:rPr>
        <w:t xml:space="preserve"> </w:t>
      </w:r>
      <w:r w:rsidR="006F5323" w:rsidRPr="00107882">
        <w:t>continuing</w:t>
      </w:r>
      <w:r w:rsidR="006F5323" w:rsidRPr="00107882">
        <w:rPr>
          <w:spacing w:val="-2"/>
        </w:rPr>
        <w:t xml:space="preserve"> </w:t>
      </w:r>
      <w:r w:rsidR="006F5323" w:rsidRPr="00107882">
        <w:t>with</w:t>
      </w:r>
      <w:r w:rsidR="006F5323" w:rsidRPr="00107882">
        <w:rPr>
          <w:spacing w:val="-5"/>
        </w:rPr>
        <w:t xml:space="preserve"> </w:t>
      </w:r>
      <w:r w:rsidR="006F5323" w:rsidRPr="00107882">
        <w:t>the</w:t>
      </w:r>
      <w:r w:rsidR="006F5323" w:rsidRPr="00107882">
        <w:rPr>
          <w:spacing w:val="-2"/>
        </w:rPr>
        <w:t xml:space="preserve"> </w:t>
      </w:r>
      <w:r w:rsidR="00C12104">
        <w:t>p</w:t>
      </w:r>
      <w:r w:rsidR="006F5323" w:rsidRPr="00107882">
        <w:t>roceeding</w:t>
      </w:r>
      <w:r w:rsidR="006F5323" w:rsidRPr="00107882">
        <w:rPr>
          <w:spacing w:val="-2"/>
        </w:rPr>
        <w:t xml:space="preserve"> </w:t>
      </w:r>
      <w:r w:rsidR="006F5323" w:rsidRPr="00107882">
        <w:t>beyond</w:t>
      </w:r>
      <w:r w:rsidR="006F5323" w:rsidRPr="00107882">
        <w:rPr>
          <w:spacing w:val="-5"/>
        </w:rPr>
        <w:t xml:space="preserve"> </w:t>
      </w:r>
      <w:r w:rsidR="006F5323" w:rsidRPr="00107882">
        <w:t>this</w:t>
      </w:r>
      <w:r w:rsidR="006F5323" w:rsidRPr="00107882">
        <w:rPr>
          <w:spacing w:val="-2"/>
        </w:rPr>
        <w:t xml:space="preserve"> </w:t>
      </w:r>
      <w:r w:rsidR="006F5323" w:rsidRPr="00107882">
        <w:t>point</w:t>
      </w:r>
      <w:r w:rsidR="006F5323" w:rsidRPr="00107882">
        <w:rPr>
          <w:spacing w:val="-4"/>
        </w:rPr>
        <w:t xml:space="preserve"> </w:t>
      </w:r>
      <w:r w:rsidR="006F5323" w:rsidRPr="00107882">
        <w:t>will materially increase both:</w:t>
      </w:r>
    </w:p>
    <w:p w14:paraId="2E63A6AE" w14:textId="29B5AA16" w:rsidR="006F5323" w:rsidRPr="00107882" w:rsidRDefault="00B6500C" w:rsidP="00B6500C">
      <w:pPr>
        <w:pStyle w:val="ListNo2alt"/>
        <w:numPr>
          <w:ilvl w:val="0"/>
          <w:numId w:val="0"/>
        </w:numPr>
        <w:tabs>
          <w:tab w:val="left" w:pos="1440"/>
        </w:tabs>
        <w:ind w:left="1440" w:hanging="720"/>
      </w:pPr>
      <w:r w:rsidRPr="00107882">
        <w:t>(</w:t>
      </w:r>
      <w:proofErr w:type="spellStart"/>
      <w:r w:rsidRPr="00107882">
        <w:t>i</w:t>
      </w:r>
      <w:proofErr w:type="spellEnd"/>
      <w:r w:rsidRPr="00107882">
        <w:t>)</w:t>
      </w:r>
      <w:r w:rsidRPr="00107882">
        <w:tab/>
      </w:r>
      <w:r w:rsidR="006F5323" w:rsidRPr="00107882">
        <w:t>the</w:t>
      </w:r>
      <w:r w:rsidR="006F5323" w:rsidRPr="00107882">
        <w:rPr>
          <w:spacing w:val="-3"/>
        </w:rPr>
        <w:t xml:space="preserve"> </w:t>
      </w:r>
      <w:r w:rsidR="00C12104">
        <w:t>r</w:t>
      </w:r>
      <w:r w:rsidR="006F5323" w:rsidRPr="00107882">
        <w:t>espondents</w:t>
      </w:r>
      <w:r w:rsidR="00CD113A">
        <w:t>’</w:t>
      </w:r>
      <w:r w:rsidR="006F5323" w:rsidRPr="00107882">
        <w:rPr>
          <w:spacing w:val="-1"/>
        </w:rPr>
        <w:t xml:space="preserve"> </w:t>
      </w:r>
      <w:r w:rsidR="006F5323" w:rsidRPr="00107882">
        <w:t>costs,</w:t>
      </w:r>
      <w:r w:rsidR="006F5323" w:rsidRPr="00107882">
        <w:rPr>
          <w:spacing w:val="-3"/>
        </w:rPr>
        <w:t xml:space="preserve"> </w:t>
      </w:r>
      <w:r w:rsidR="006F5323" w:rsidRPr="00107882">
        <w:t>eroding</w:t>
      </w:r>
      <w:r w:rsidR="006F5323" w:rsidRPr="00107882">
        <w:rPr>
          <w:spacing w:val="-5"/>
        </w:rPr>
        <w:t xml:space="preserve"> </w:t>
      </w:r>
      <w:r w:rsidR="006F5323" w:rsidRPr="00107882">
        <w:t>the</w:t>
      </w:r>
      <w:r w:rsidR="006F5323" w:rsidRPr="00107882">
        <w:rPr>
          <w:spacing w:val="-4"/>
        </w:rPr>
        <w:t xml:space="preserve"> </w:t>
      </w:r>
      <w:r w:rsidR="006F5323" w:rsidRPr="00107882">
        <w:t>fund</w:t>
      </w:r>
      <w:r w:rsidR="006F5323" w:rsidRPr="00107882">
        <w:rPr>
          <w:spacing w:val="-5"/>
        </w:rPr>
        <w:t xml:space="preserve"> </w:t>
      </w:r>
      <w:r w:rsidR="006F5323" w:rsidRPr="00107882">
        <w:t>able</w:t>
      </w:r>
      <w:r w:rsidR="006F5323" w:rsidRPr="00107882">
        <w:rPr>
          <w:spacing w:val="-3"/>
        </w:rPr>
        <w:t xml:space="preserve"> </w:t>
      </w:r>
      <w:r w:rsidR="006F5323" w:rsidRPr="00107882">
        <w:t>to</w:t>
      </w:r>
      <w:r w:rsidR="006F5323" w:rsidRPr="00107882">
        <w:rPr>
          <w:spacing w:val="-5"/>
        </w:rPr>
        <w:t xml:space="preserve"> </w:t>
      </w:r>
      <w:r w:rsidR="006F5323" w:rsidRPr="00107882">
        <w:t>be</w:t>
      </w:r>
      <w:r w:rsidR="006F5323" w:rsidRPr="00107882">
        <w:rPr>
          <w:spacing w:val="-2"/>
        </w:rPr>
        <w:t xml:space="preserve"> </w:t>
      </w:r>
      <w:r w:rsidR="006F5323" w:rsidRPr="00107882">
        <w:t>recovered</w:t>
      </w:r>
      <w:r w:rsidR="006F5323" w:rsidRPr="00107882">
        <w:rPr>
          <w:spacing w:val="-3"/>
        </w:rPr>
        <w:t xml:space="preserve"> </w:t>
      </w:r>
      <w:r w:rsidR="006F5323" w:rsidRPr="00107882">
        <w:t>from</w:t>
      </w:r>
      <w:r w:rsidR="006F5323" w:rsidRPr="00107882">
        <w:rPr>
          <w:spacing w:val="-4"/>
        </w:rPr>
        <w:t xml:space="preserve"> </w:t>
      </w:r>
      <w:r w:rsidR="006F5323" w:rsidRPr="00107882">
        <w:t>them;</w:t>
      </w:r>
      <w:r w:rsidR="006F5323" w:rsidRPr="00107882">
        <w:rPr>
          <w:spacing w:val="-1"/>
        </w:rPr>
        <w:t xml:space="preserve"> </w:t>
      </w:r>
      <w:r w:rsidR="006F5323" w:rsidRPr="00107882">
        <w:rPr>
          <w:spacing w:val="-5"/>
        </w:rPr>
        <w:t>and</w:t>
      </w:r>
    </w:p>
    <w:p w14:paraId="12B45636" w14:textId="4A0E829D" w:rsidR="006F5323" w:rsidRPr="00107882" w:rsidRDefault="00B6500C" w:rsidP="00B6500C">
      <w:pPr>
        <w:pStyle w:val="ListNo2alt"/>
        <w:numPr>
          <w:ilvl w:val="0"/>
          <w:numId w:val="0"/>
        </w:numPr>
        <w:tabs>
          <w:tab w:val="left" w:pos="1440"/>
        </w:tabs>
        <w:ind w:left="1440" w:hanging="720"/>
      </w:pPr>
      <w:r w:rsidRPr="00107882">
        <w:t>(ii)</w:t>
      </w:r>
      <w:r w:rsidRPr="00107882">
        <w:tab/>
      </w:r>
      <w:r w:rsidR="006F5323" w:rsidRPr="00107882">
        <w:t>the</w:t>
      </w:r>
      <w:r w:rsidR="006F5323" w:rsidRPr="00107882">
        <w:rPr>
          <w:spacing w:val="-2"/>
        </w:rPr>
        <w:t xml:space="preserve"> </w:t>
      </w:r>
      <w:r w:rsidR="00C12104">
        <w:t>a</w:t>
      </w:r>
      <w:r w:rsidR="006F5323" w:rsidRPr="00107882">
        <w:t>pplicant</w:t>
      </w:r>
      <w:r w:rsidR="00CD113A">
        <w:t>’</w:t>
      </w:r>
      <w:r w:rsidR="006F5323" w:rsidRPr="00107882">
        <w:t>s</w:t>
      </w:r>
      <w:r w:rsidR="006F5323" w:rsidRPr="00107882">
        <w:rPr>
          <w:spacing w:val="-4"/>
        </w:rPr>
        <w:t xml:space="preserve"> </w:t>
      </w:r>
      <w:r w:rsidR="006F5323" w:rsidRPr="00107882">
        <w:t>costs,</w:t>
      </w:r>
      <w:r w:rsidR="006F5323" w:rsidRPr="00107882">
        <w:rPr>
          <w:spacing w:val="-5"/>
        </w:rPr>
        <w:t xml:space="preserve"> </w:t>
      </w:r>
      <w:r w:rsidR="006F5323" w:rsidRPr="00107882">
        <w:t>eroding</w:t>
      </w:r>
      <w:r w:rsidR="006F5323" w:rsidRPr="00107882">
        <w:rPr>
          <w:spacing w:val="-2"/>
        </w:rPr>
        <w:t xml:space="preserve"> </w:t>
      </w:r>
      <w:r w:rsidR="006F5323" w:rsidRPr="00107882">
        <w:t>the</w:t>
      </w:r>
      <w:r w:rsidR="006F5323" w:rsidRPr="00107882">
        <w:rPr>
          <w:spacing w:val="-4"/>
        </w:rPr>
        <w:t xml:space="preserve"> </w:t>
      </w:r>
      <w:r w:rsidR="006F5323" w:rsidRPr="00107882">
        <w:t>portion</w:t>
      </w:r>
      <w:r w:rsidR="006F5323" w:rsidRPr="00107882">
        <w:rPr>
          <w:spacing w:val="-2"/>
        </w:rPr>
        <w:t xml:space="preserve"> </w:t>
      </w:r>
      <w:r w:rsidR="006F5323" w:rsidRPr="00107882">
        <w:t>of</w:t>
      </w:r>
      <w:r w:rsidR="006F5323" w:rsidRPr="00107882">
        <w:rPr>
          <w:spacing w:val="-4"/>
        </w:rPr>
        <w:t xml:space="preserve"> </w:t>
      </w:r>
      <w:r w:rsidR="006F5323" w:rsidRPr="00107882">
        <w:t>any</w:t>
      </w:r>
      <w:r w:rsidR="006F5323" w:rsidRPr="00107882">
        <w:rPr>
          <w:spacing w:val="-5"/>
        </w:rPr>
        <w:t xml:space="preserve"> </w:t>
      </w:r>
      <w:r w:rsidR="006F5323" w:rsidRPr="00107882">
        <w:t>recovered</w:t>
      </w:r>
      <w:r w:rsidR="006F5323" w:rsidRPr="00107882">
        <w:rPr>
          <w:spacing w:val="-5"/>
        </w:rPr>
        <w:t xml:space="preserve"> </w:t>
      </w:r>
      <w:r w:rsidR="006F5323" w:rsidRPr="00107882">
        <w:t>fund</w:t>
      </w:r>
      <w:r w:rsidR="006F5323" w:rsidRPr="00107882">
        <w:rPr>
          <w:spacing w:val="-5"/>
        </w:rPr>
        <w:t xml:space="preserve"> </w:t>
      </w:r>
      <w:r w:rsidR="006F5323" w:rsidRPr="00107882">
        <w:t>that</w:t>
      </w:r>
      <w:r w:rsidR="006F5323" w:rsidRPr="00107882">
        <w:rPr>
          <w:spacing w:val="-1"/>
        </w:rPr>
        <w:t xml:space="preserve"> </w:t>
      </w:r>
      <w:r w:rsidR="00FB798D">
        <w:t>is</w:t>
      </w:r>
      <w:r w:rsidR="006F5323" w:rsidRPr="00107882">
        <w:rPr>
          <w:spacing w:val="-4"/>
        </w:rPr>
        <w:t xml:space="preserve"> </w:t>
      </w:r>
      <w:r w:rsidR="006F5323" w:rsidRPr="00107882">
        <w:t>able to be distributed as compensation to the Claimants.</w:t>
      </w:r>
    </w:p>
    <w:p w14:paraId="4A369FEE" w14:textId="4E6D16BF" w:rsidR="00966493" w:rsidRDefault="00B6500C" w:rsidP="00B6500C">
      <w:pPr>
        <w:pStyle w:val="ParaNumbering"/>
        <w:numPr>
          <w:ilvl w:val="0"/>
          <w:numId w:val="0"/>
        </w:numPr>
        <w:ind w:hanging="720"/>
        <w:rPr>
          <w:szCs w:val="24"/>
        </w:rPr>
      </w:pPr>
      <w:r>
        <w:rPr>
          <w:iCs/>
          <w:sz w:val="20"/>
          <w:szCs w:val="24"/>
        </w:rPr>
        <w:t>22</w:t>
      </w:r>
      <w:r>
        <w:rPr>
          <w:iCs/>
          <w:sz w:val="20"/>
          <w:szCs w:val="24"/>
        </w:rPr>
        <w:tab/>
      </w:r>
      <w:r w:rsidR="006F5323" w:rsidRPr="00107882">
        <w:rPr>
          <w:szCs w:val="24"/>
        </w:rPr>
        <w:t>In those</w:t>
      </w:r>
      <w:r w:rsidR="006F5323" w:rsidRPr="00107882">
        <w:rPr>
          <w:spacing w:val="-1"/>
          <w:szCs w:val="24"/>
        </w:rPr>
        <w:t xml:space="preserve"> </w:t>
      </w:r>
      <w:r w:rsidR="006F5323" w:rsidRPr="00107882">
        <w:rPr>
          <w:szCs w:val="24"/>
        </w:rPr>
        <w:t>circumstances</w:t>
      </w:r>
      <w:r w:rsidR="00E21240">
        <w:rPr>
          <w:szCs w:val="24"/>
        </w:rPr>
        <w:t xml:space="preserve">, a close examination of the merit of the underlying claims is of little utility in considering whether to approve the settlement. </w:t>
      </w:r>
      <w:r w:rsidR="008575BC">
        <w:rPr>
          <w:szCs w:val="24"/>
        </w:rPr>
        <w:t>Even if the applicant was guaranteed success, the settlement reflects as good a commercial outcome as could be hoped for</w:t>
      </w:r>
      <w:r w:rsidR="00966493">
        <w:rPr>
          <w:szCs w:val="24"/>
        </w:rPr>
        <w:t>.</w:t>
      </w:r>
    </w:p>
    <w:p w14:paraId="77FD6175" w14:textId="595935AD" w:rsidR="008F7F71" w:rsidRDefault="00B6500C" w:rsidP="00B6500C">
      <w:pPr>
        <w:pStyle w:val="ParaNumbering"/>
        <w:numPr>
          <w:ilvl w:val="0"/>
          <w:numId w:val="0"/>
        </w:numPr>
        <w:ind w:hanging="720"/>
        <w:rPr>
          <w:szCs w:val="24"/>
        </w:rPr>
      </w:pPr>
      <w:r>
        <w:rPr>
          <w:iCs/>
          <w:sz w:val="20"/>
          <w:szCs w:val="24"/>
        </w:rPr>
        <w:t>23</w:t>
      </w:r>
      <w:r>
        <w:rPr>
          <w:iCs/>
          <w:sz w:val="20"/>
          <w:szCs w:val="24"/>
        </w:rPr>
        <w:tab/>
      </w:r>
      <w:r w:rsidR="008F7F71" w:rsidRPr="008F7F71">
        <w:rPr>
          <w:szCs w:val="24"/>
        </w:rPr>
        <w:t xml:space="preserve">Claimants who do not register to participate in the settlement will nevertheless be bound by it and forfeit their rights to sue on the same or related claims in other proceedings against the </w:t>
      </w:r>
      <w:r w:rsidR="008F7F71" w:rsidRPr="008F7F71">
        <w:rPr>
          <w:szCs w:val="24"/>
        </w:rPr>
        <w:lastRenderedPageBreak/>
        <w:t>respondents. Further, the making of an order to give effect to the settlement will crystalise releases to be given by the Claimants in favour of all respondents. Both of these features of the settlement are appropriate.</w:t>
      </w:r>
    </w:p>
    <w:p w14:paraId="1A683DE7" w14:textId="383B6332" w:rsidR="001F6734" w:rsidRPr="00332317" w:rsidRDefault="00B6500C" w:rsidP="00B6500C">
      <w:pPr>
        <w:pStyle w:val="ParaNumbering"/>
        <w:numPr>
          <w:ilvl w:val="0"/>
          <w:numId w:val="0"/>
        </w:numPr>
        <w:ind w:hanging="720"/>
        <w:rPr>
          <w:szCs w:val="24"/>
        </w:rPr>
      </w:pPr>
      <w:r w:rsidRPr="00332317">
        <w:rPr>
          <w:iCs/>
          <w:sz w:val="20"/>
          <w:szCs w:val="24"/>
        </w:rPr>
        <w:t>24</w:t>
      </w:r>
      <w:r w:rsidRPr="00332317">
        <w:rPr>
          <w:iCs/>
          <w:sz w:val="20"/>
          <w:szCs w:val="24"/>
        </w:rPr>
        <w:tab/>
      </w:r>
      <w:r w:rsidR="00332317">
        <w:rPr>
          <w:szCs w:val="24"/>
        </w:rPr>
        <w:t>I am satisfied that the terms of settlement</w:t>
      </w:r>
      <w:r w:rsidR="00332317" w:rsidRPr="00107882">
        <w:rPr>
          <w:szCs w:val="24"/>
        </w:rPr>
        <w:t xml:space="preserve"> reflect a fair and reasonable compromise of the group</w:t>
      </w:r>
      <w:r w:rsidR="008C3D39">
        <w:rPr>
          <w:szCs w:val="24"/>
        </w:rPr>
        <w:t xml:space="preserve"> member</w:t>
      </w:r>
      <w:r w:rsidR="00332317">
        <w:rPr>
          <w:szCs w:val="24"/>
        </w:rPr>
        <w:t>’</w:t>
      </w:r>
      <w:r w:rsidR="00332317" w:rsidRPr="00107882">
        <w:rPr>
          <w:szCs w:val="24"/>
        </w:rPr>
        <w:t xml:space="preserve">s claims against the </w:t>
      </w:r>
      <w:r w:rsidR="00332317">
        <w:rPr>
          <w:spacing w:val="-2"/>
          <w:szCs w:val="24"/>
        </w:rPr>
        <w:t>r</w:t>
      </w:r>
      <w:r w:rsidR="00332317" w:rsidRPr="00107882">
        <w:rPr>
          <w:spacing w:val="-2"/>
          <w:szCs w:val="24"/>
        </w:rPr>
        <w:t>espondents.</w:t>
      </w:r>
    </w:p>
    <w:p w14:paraId="51DEA899" w14:textId="77777777" w:rsidR="001F7001" w:rsidRDefault="001F7001" w:rsidP="001F7001">
      <w:pPr>
        <w:pStyle w:val="Heading2"/>
      </w:pPr>
      <w:r>
        <w:t>Non-extinguishment of claims</w:t>
      </w:r>
    </w:p>
    <w:p w14:paraId="415C0F57" w14:textId="5F937D51" w:rsidR="001F7001" w:rsidRPr="001F7001" w:rsidRDefault="00B6500C" w:rsidP="00B6500C">
      <w:pPr>
        <w:pStyle w:val="ParaNumbering"/>
        <w:numPr>
          <w:ilvl w:val="0"/>
          <w:numId w:val="0"/>
        </w:numPr>
        <w:ind w:hanging="720"/>
        <w:rPr>
          <w:szCs w:val="24"/>
        </w:rPr>
      </w:pPr>
      <w:r w:rsidRPr="001F7001">
        <w:rPr>
          <w:iCs/>
          <w:sz w:val="20"/>
          <w:szCs w:val="24"/>
        </w:rPr>
        <w:t>25</w:t>
      </w:r>
      <w:r w:rsidRPr="001F7001">
        <w:rPr>
          <w:iCs/>
          <w:sz w:val="20"/>
          <w:szCs w:val="24"/>
        </w:rPr>
        <w:tab/>
      </w:r>
      <w:r w:rsidR="001F7001" w:rsidRPr="001F7001">
        <w:rPr>
          <w:szCs w:val="24"/>
        </w:rPr>
        <w:t xml:space="preserve">The </w:t>
      </w:r>
      <w:r w:rsidR="008C3D39">
        <w:rPr>
          <w:szCs w:val="24"/>
        </w:rPr>
        <w:t xml:space="preserve">Settlement </w:t>
      </w:r>
      <w:r w:rsidR="001F7001" w:rsidRPr="001F7001">
        <w:rPr>
          <w:szCs w:val="24"/>
        </w:rPr>
        <w:t>Deed seeks to preserve the ability of Claimants to make</w:t>
      </w:r>
      <w:r w:rsidR="001F7001" w:rsidRPr="001F7001">
        <w:rPr>
          <w:spacing w:val="-5"/>
          <w:szCs w:val="24"/>
        </w:rPr>
        <w:t xml:space="preserve"> </w:t>
      </w:r>
      <w:r w:rsidR="001F7001" w:rsidRPr="001F7001">
        <w:rPr>
          <w:szCs w:val="24"/>
        </w:rPr>
        <w:t>claims</w:t>
      </w:r>
      <w:r w:rsidR="001F7001" w:rsidRPr="001F7001">
        <w:rPr>
          <w:spacing w:val="-5"/>
          <w:szCs w:val="24"/>
        </w:rPr>
        <w:t xml:space="preserve"> </w:t>
      </w:r>
      <w:r w:rsidR="001F7001" w:rsidRPr="001F7001">
        <w:rPr>
          <w:szCs w:val="24"/>
        </w:rPr>
        <w:t>to</w:t>
      </w:r>
      <w:r w:rsidR="001F7001" w:rsidRPr="001F7001">
        <w:rPr>
          <w:spacing w:val="-6"/>
          <w:szCs w:val="24"/>
        </w:rPr>
        <w:t xml:space="preserve"> </w:t>
      </w:r>
      <w:r w:rsidR="001F7001" w:rsidRPr="001E5710">
        <w:rPr>
          <w:spacing w:val="-2"/>
          <w:szCs w:val="24"/>
        </w:rPr>
        <w:t>AFCA</w:t>
      </w:r>
      <w:r w:rsidR="001F7001">
        <w:rPr>
          <w:spacing w:val="-2"/>
          <w:szCs w:val="24"/>
        </w:rPr>
        <w:t xml:space="preserve"> </w:t>
      </w:r>
      <w:r w:rsidR="001F7001" w:rsidRPr="001F7001">
        <w:rPr>
          <w:szCs w:val="24"/>
        </w:rPr>
        <w:t>and,</w:t>
      </w:r>
      <w:r w:rsidR="001F7001" w:rsidRPr="001F7001">
        <w:rPr>
          <w:spacing w:val="-3"/>
          <w:szCs w:val="24"/>
        </w:rPr>
        <w:t xml:space="preserve"> </w:t>
      </w:r>
      <w:r w:rsidR="001F7001" w:rsidRPr="001F7001">
        <w:rPr>
          <w:szCs w:val="24"/>
        </w:rPr>
        <w:t>if</w:t>
      </w:r>
      <w:r w:rsidR="001F7001" w:rsidRPr="001F7001">
        <w:rPr>
          <w:spacing w:val="-2"/>
          <w:szCs w:val="24"/>
        </w:rPr>
        <w:t xml:space="preserve"> </w:t>
      </w:r>
      <w:r w:rsidR="001F7001" w:rsidRPr="001F7001">
        <w:rPr>
          <w:szCs w:val="24"/>
        </w:rPr>
        <w:t>the</w:t>
      </w:r>
      <w:r w:rsidR="001F7001" w:rsidRPr="001F7001">
        <w:rPr>
          <w:spacing w:val="-3"/>
          <w:szCs w:val="24"/>
        </w:rPr>
        <w:t xml:space="preserve"> </w:t>
      </w:r>
      <w:r w:rsidR="001F7001" w:rsidRPr="001F7001">
        <w:rPr>
          <w:szCs w:val="24"/>
        </w:rPr>
        <w:t>opportunity</w:t>
      </w:r>
      <w:r w:rsidR="001F7001" w:rsidRPr="001F7001">
        <w:rPr>
          <w:spacing w:val="-6"/>
          <w:szCs w:val="24"/>
        </w:rPr>
        <w:t xml:space="preserve"> </w:t>
      </w:r>
      <w:r w:rsidR="001F7001" w:rsidRPr="001F7001">
        <w:rPr>
          <w:szCs w:val="24"/>
        </w:rPr>
        <w:t>arises, to make claims under the Scheme of Last Resort procedure.</w:t>
      </w:r>
      <w:r w:rsidR="001F7001" w:rsidRPr="001F7001">
        <w:rPr>
          <w:spacing w:val="40"/>
          <w:szCs w:val="24"/>
        </w:rPr>
        <w:t xml:space="preserve"> </w:t>
      </w:r>
    </w:p>
    <w:p w14:paraId="65F6D078" w14:textId="6358C53C" w:rsidR="001F7001" w:rsidRDefault="00B6500C" w:rsidP="00B6500C">
      <w:pPr>
        <w:pStyle w:val="ParaNumbering"/>
        <w:numPr>
          <w:ilvl w:val="0"/>
          <w:numId w:val="0"/>
        </w:numPr>
        <w:ind w:hanging="720"/>
      </w:pPr>
      <w:r>
        <w:rPr>
          <w:iCs/>
          <w:sz w:val="20"/>
        </w:rPr>
        <w:t>26</w:t>
      </w:r>
      <w:r>
        <w:rPr>
          <w:iCs/>
          <w:sz w:val="20"/>
        </w:rPr>
        <w:tab/>
      </w:r>
      <w:r w:rsidR="001F7001">
        <w:t>Clause 6.4 of the DOCA provides that “Former Client Claims” will not be extinguished or released, save to the extent the relevant client receive</w:t>
      </w:r>
      <w:r w:rsidR="003F4D2E">
        <w:t>s</w:t>
      </w:r>
      <w:r w:rsidR="001F7001">
        <w:t xml:space="preserve"> dividends under the DOCA in respect of the claim: CB31. </w:t>
      </w:r>
      <w:r w:rsidR="003F4D2E">
        <w:t>Of course, the provisions of the DOCA cannot alter the operation of the statutory scheme which, from 2 April 2024</w:t>
      </w:r>
      <w:r w:rsidR="00BB0DB8">
        <w:t>,</w:t>
      </w:r>
      <w:r w:rsidR="003F4D2E">
        <w:t xml:space="preserve"> permits the </w:t>
      </w:r>
      <w:r w:rsidR="007D0A85">
        <w:t>lodgement</w:t>
      </w:r>
      <w:r w:rsidR="003F4D2E">
        <w:t xml:space="preserve"> of claims for compensation of up to $150,000</w:t>
      </w:r>
      <w:r w:rsidR="007D0A85">
        <w:t>.</w:t>
      </w:r>
    </w:p>
    <w:p w14:paraId="012DEF25" w14:textId="3FB6D010" w:rsidR="001F7001" w:rsidRPr="00471D41" w:rsidRDefault="00B6500C" w:rsidP="00B6500C">
      <w:pPr>
        <w:pStyle w:val="ParaNumbering"/>
        <w:numPr>
          <w:ilvl w:val="0"/>
          <w:numId w:val="0"/>
        </w:numPr>
        <w:ind w:hanging="720"/>
      </w:pPr>
      <w:r w:rsidRPr="00471D41">
        <w:rPr>
          <w:iCs/>
          <w:sz w:val="20"/>
        </w:rPr>
        <w:t>27</w:t>
      </w:r>
      <w:r w:rsidRPr="00471D41">
        <w:rPr>
          <w:iCs/>
          <w:sz w:val="20"/>
        </w:rPr>
        <w:tab/>
      </w:r>
      <w:r w:rsidR="001F7001" w:rsidRPr="00334B1F">
        <w:t>Clause 6.5 provides:</w:t>
      </w:r>
    </w:p>
    <w:p w14:paraId="128604E2" w14:textId="2F3DA19B" w:rsidR="00334B1F" w:rsidRDefault="00334B1F" w:rsidP="00191F28">
      <w:pPr>
        <w:pStyle w:val="Quote1"/>
        <w:widowControl/>
      </w:pPr>
      <w:r w:rsidRPr="00334B1F">
        <w:rPr>
          <w:b/>
          <w:bCs/>
        </w:rPr>
        <w:t>6.5</w:t>
      </w:r>
      <w:r w:rsidRPr="00334B1F">
        <w:rPr>
          <w:b/>
          <w:bCs/>
        </w:rPr>
        <w:tab/>
      </w:r>
      <w:r>
        <w:rPr>
          <w:b/>
          <w:bCs/>
        </w:rPr>
        <w:t>Moratorium</w:t>
      </w:r>
    </w:p>
    <w:p w14:paraId="77532F00" w14:textId="26DF430C" w:rsidR="00334B1F" w:rsidRDefault="00334B1F" w:rsidP="00191F28">
      <w:pPr>
        <w:pStyle w:val="Quote1"/>
        <w:widowControl/>
        <w:ind w:left="1440" w:hanging="703"/>
      </w:pPr>
      <w:r>
        <w:t>(a)</w:t>
      </w:r>
      <w:r>
        <w:tab/>
        <w:t>Subject to clause 6.5(b), during the Deed Period a Creditor may not, in relation to that Creditor’s Claim:</w:t>
      </w:r>
    </w:p>
    <w:p w14:paraId="495DED67" w14:textId="5964E103" w:rsidR="00334B1F" w:rsidRDefault="00334B1F" w:rsidP="009503DB">
      <w:pPr>
        <w:pStyle w:val="Quote2"/>
        <w:ind w:left="2160" w:hanging="720"/>
      </w:pPr>
      <w:r>
        <w:t>(1)</w:t>
      </w:r>
      <w:r>
        <w:tab/>
        <w:t>make or proceed with an application for an order to wind up the Deed Company or for the appointment of a provisional liquidator or a court appointed receiver to the Deed Company and their property;</w:t>
      </w:r>
    </w:p>
    <w:p w14:paraId="08C6001B" w14:textId="2F174998" w:rsidR="00334B1F" w:rsidRPr="00334B1F" w:rsidRDefault="00334B1F" w:rsidP="009503DB">
      <w:pPr>
        <w:pStyle w:val="Quote2"/>
        <w:ind w:left="2160" w:hanging="720"/>
      </w:pPr>
      <w:r>
        <w:t>(2)</w:t>
      </w:r>
      <w:r>
        <w:tab/>
      </w:r>
      <w:r w:rsidRPr="00334B1F">
        <w:t>institute, revive or continue any action, suit, arbitration, mediation or</w:t>
      </w:r>
      <w:r>
        <w:t xml:space="preserve"> </w:t>
      </w:r>
      <w:r w:rsidRPr="00334B1F">
        <w:t>proceeding against the Deed Company or in relation to the property of</w:t>
      </w:r>
      <w:r>
        <w:t xml:space="preserve"> </w:t>
      </w:r>
      <w:r w:rsidRPr="00334B1F">
        <w:t>the Deed Company;</w:t>
      </w:r>
    </w:p>
    <w:p w14:paraId="7CDAD240" w14:textId="5E6281AF" w:rsidR="00334B1F" w:rsidRPr="00334B1F" w:rsidRDefault="00334B1F" w:rsidP="009503DB">
      <w:pPr>
        <w:pStyle w:val="Quote2"/>
        <w:ind w:left="2160" w:hanging="720"/>
      </w:pPr>
      <w:r w:rsidRPr="00334B1F">
        <w:t xml:space="preserve">(3) </w:t>
      </w:r>
      <w:r>
        <w:tab/>
      </w:r>
      <w:r w:rsidRPr="00334B1F">
        <w:t>institute, revive or continue with any Enforcement Process against the</w:t>
      </w:r>
      <w:r>
        <w:t xml:space="preserve"> </w:t>
      </w:r>
      <w:r w:rsidRPr="00334B1F">
        <w:t>property of the Deed Company;</w:t>
      </w:r>
    </w:p>
    <w:p w14:paraId="71C0DB3B" w14:textId="6B102E84" w:rsidR="00334B1F" w:rsidRPr="00334B1F" w:rsidRDefault="00334B1F" w:rsidP="009503DB">
      <w:pPr>
        <w:pStyle w:val="Quote2"/>
      </w:pPr>
      <w:r w:rsidRPr="00334B1F">
        <w:t>(4)</w:t>
      </w:r>
      <w:r>
        <w:tab/>
      </w:r>
      <w:r w:rsidRPr="00334B1F">
        <w:t>take any action whatsoever to seek to recover any part of its Claim;</w:t>
      </w:r>
    </w:p>
    <w:p w14:paraId="6879B7AE" w14:textId="090515E6" w:rsidR="00334B1F" w:rsidRDefault="00334B1F" w:rsidP="009503DB">
      <w:pPr>
        <w:pStyle w:val="Quote2"/>
        <w:ind w:left="2160" w:hanging="720"/>
      </w:pPr>
      <w:r w:rsidRPr="00334B1F">
        <w:t>(5)</w:t>
      </w:r>
      <w:r>
        <w:tab/>
      </w:r>
      <w:r w:rsidRPr="00334B1F">
        <w:t>exercise any right of set off or defence, cross claim or cross action to</w:t>
      </w:r>
      <w:r>
        <w:t xml:space="preserve"> </w:t>
      </w:r>
      <w:r w:rsidRPr="00334B1F">
        <w:t>which that Creditor would not have been entitled had the Deed</w:t>
      </w:r>
      <w:r>
        <w:t xml:space="preserve"> </w:t>
      </w:r>
      <w:r w:rsidRPr="00334B1F">
        <w:t>Company been wound up on the Appointment Date;</w:t>
      </w:r>
    </w:p>
    <w:p w14:paraId="68326EA1" w14:textId="3B4F9171" w:rsidR="00334B1F" w:rsidRPr="00334B1F" w:rsidRDefault="00334B1F" w:rsidP="009503DB">
      <w:pPr>
        <w:pStyle w:val="Quote2"/>
        <w:ind w:left="2160" w:hanging="720"/>
      </w:pPr>
      <w:r>
        <w:t>(6)</w:t>
      </w:r>
      <w:r>
        <w:tab/>
      </w:r>
      <w:r w:rsidRPr="00334B1F">
        <w:t>commence or take any further step in any arbitration against the Deed</w:t>
      </w:r>
      <w:r>
        <w:t xml:space="preserve"> </w:t>
      </w:r>
      <w:r w:rsidRPr="00334B1F">
        <w:t>Company or to which the Deed Company is a party in relation to any</w:t>
      </w:r>
      <w:r>
        <w:t xml:space="preserve"> </w:t>
      </w:r>
      <w:r w:rsidRPr="00334B1F">
        <w:t>matter arising or occurring before the Appointment Date; or</w:t>
      </w:r>
    </w:p>
    <w:p w14:paraId="039D64B8" w14:textId="3C3BB8AD" w:rsidR="00334B1F" w:rsidRDefault="00334B1F" w:rsidP="009503DB">
      <w:pPr>
        <w:pStyle w:val="Quote2"/>
      </w:pPr>
      <w:r w:rsidRPr="00334B1F">
        <w:t>(7)</w:t>
      </w:r>
      <w:r>
        <w:tab/>
      </w:r>
      <w:r w:rsidRPr="00334B1F">
        <w:t>otherwise enforce any right it may have or acquire.</w:t>
      </w:r>
    </w:p>
    <w:p w14:paraId="4A0D0503" w14:textId="77777777" w:rsidR="00334B1F" w:rsidRPr="00334B1F" w:rsidRDefault="00334B1F" w:rsidP="00191F28">
      <w:pPr>
        <w:pStyle w:val="Quote1"/>
        <w:widowControl/>
      </w:pPr>
      <w:r>
        <w:t>(b)</w:t>
      </w:r>
      <w:r>
        <w:tab/>
      </w:r>
      <w:r w:rsidRPr="00334B1F">
        <w:t>Nothing in clause 6.5(a) is intended to limit or prevent:</w:t>
      </w:r>
    </w:p>
    <w:p w14:paraId="66256EE3" w14:textId="3456EB6C" w:rsidR="00334B1F" w:rsidRPr="00334B1F" w:rsidRDefault="00334B1F" w:rsidP="009503DB">
      <w:pPr>
        <w:pStyle w:val="Quote2"/>
        <w:ind w:left="2160" w:hanging="720"/>
      </w:pPr>
      <w:r w:rsidRPr="00334B1F">
        <w:t>(1)</w:t>
      </w:r>
      <w:r>
        <w:tab/>
      </w:r>
      <w:r w:rsidRPr="00334B1F">
        <w:t>a Former Client from taking any steps to access compensation under</w:t>
      </w:r>
      <w:r>
        <w:t xml:space="preserve"> </w:t>
      </w:r>
      <w:r w:rsidRPr="00334B1F">
        <w:lastRenderedPageBreak/>
        <w:t>the CSLR for any Former Client Shortfall pursuant to clause 10.5;</w:t>
      </w:r>
    </w:p>
    <w:p w14:paraId="73451B19" w14:textId="51AC9AB3" w:rsidR="00334B1F" w:rsidRPr="00471D41" w:rsidRDefault="00334B1F" w:rsidP="009503DB">
      <w:pPr>
        <w:pStyle w:val="Quote2"/>
        <w:ind w:left="2160" w:hanging="720"/>
      </w:pPr>
      <w:r w:rsidRPr="00334B1F">
        <w:t>(2)</w:t>
      </w:r>
      <w:r>
        <w:tab/>
      </w:r>
      <w:r w:rsidRPr="00334B1F">
        <w:t>a Group Member or the plaintiffs in the Representative Proceedings</w:t>
      </w:r>
      <w:r>
        <w:t xml:space="preserve"> </w:t>
      </w:r>
      <w:r w:rsidRPr="00334B1F">
        <w:t>from taking any steps necessary to achieve the Settlement of the</w:t>
      </w:r>
      <w:r>
        <w:t xml:space="preserve"> </w:t>
      </w:r>
      <w:r w:rsidRPr="00334B1F">
        <w:t>Representative Proceedings.</w:t>
      </w:r>
    </w:p>
    <w:p w14:paraId="4C93E109" w14:textId="14669D8C" w:rsidR="001F7001" w:rsidRPr="00471D41" w:rsidRDefault="00B6500C" w:rsidP="00B6500C">
      <w:pPr>
        <w:pStyle w:val="ParaNumbering"/>
        <w:numPr>
          <w:ilvl w:val="0"/>
          <w:numId w:val="0"/>
        </w:numPr>
        <w:ind w:hanging="720"/>
      </w:pPr>
      <w:r w:rsidRPr="00471D41">
        <w:rPr>
          <w:iCs/>
          <w:sz w:val="20"/>
        </w:rPr>
        <w:t>28</w:t>
      </w:r>
      <w:r w:rsidRPr="00471D41">
        <w:rPr>
          <w:iCs/>
          <w:sz w:val="20"/>
        </w:rPr>
        <w:tab/>
      </w:r>
      <w:r w:rsidR="001F7001" w:rsidRPr="00334B1F">
        <w:t>Clause 10.4 provides:</w:t>
      </w:r>
    </w:p>
    <w:p w14:paraId="5F58189B" w14:textId="0727D4B1" w:rsidR="00334B1F" w:rsidRDefault="00334B1F" w:rsidP="001F7001">
      <w:pPr>
        <w:pStyle w:val="Quote1"/>
      </w:pPr>
      <w:r>
        <w:rPr>
          <w:b/>
          <w:bCs/>
        </w:rPr>
        <w:t>10.4</w:t>
      </w:r>
      <w:r>
        <w:rPr>
          <w:b/>
          <w:bCs/>
        </w:rPr>
        <w:tab/>
        <w:t>Access to CSLR</w:t>
      </w:r>
    </w:p>
    <w:p w14:paraId="1D35E5FB" w14:textId="211E3730" w:rsidR="00334B1F" w:rsidRPr="00334B1F" w:rsidRDefault="00334B1F" w:rsidP="00471D41">
      <w:pPr>
        <w:pStyle w:val="Quote1"/>
        <w:ind w:left="1440" w:hanging="703"/>
      </w:pPr>
      <w:r>
        <w:t>(a)</w:t>
      </w:r>
      <w:r>
        <w:tab/>
      </w:r>
      <w:r w:rsidRPr="00334B1F">
        <w:t>Notwithstanding clause 6.5(a), a Former Client will be entitled to make a</w:t>
      </w:r>
      <w:r>
        <w:t xml:space="preserve"> </w:t>
      </w:r>
      <w:r w:rsidRPr="00334B1F">
        <w:t>complaint or application to AFCA and any CSLR operator with respect to a</w:t>
      </w:r>
      <w:r>
        <w:t xml:space="preserve"> </w:t>
      </w:r>
      <w:r w:rsidRPr="00334B1F">
        <w:t>Former Client Claim for the purposes of accessing the CSLR for compensation</w:t>
      </w:r>
      <w:r>
        <w:t xml:space="preserve"> </w:t>
      </w:r>
      <w:r w:rsidRPr="00334B1F">
        <w:t>for a Former Client Shortfall.</w:t>
      </w:r>
    </w:p>
    <w:p w14:paraId="273FA2D0" w14:textId="3223CA3A" w:rsidR="00334B1F" w:rsidRPr="00334B1F" w:rsidRDefault="00334B1F" w:rsidP="00471D41">
      <w:pPr>
        <w:pStyle w:val="Quote1"/>
        <w:ind w:left="1440" w:hanging="703"/>
      </w:pPr>
      <w:r w:rsidRPr="00334B1F">
        <w:t>(b)</w:t>
      </w:r>
      <w:r>
        <w:tab/>
      </w:r>
      <w:r w:rsidRPr="00334B1F">
        <w:t>The Deed Administrators will provide Former Clients with a document</w:t>
      </w:r>
      <w:r>
        <w:t xml:space="preserve"> </w:t>
      </w:r>
      <w:r w:rsidRPr="00334B1F">
        <w:t>evidencing the Dividend paid to the Former Client in respect of their Claim,</w:t>
      </w:r>
      <w:r>
        <w:t xml:space="preserve"> </w:t>
      </w:r>
      <w:r w:rsidRPr="00334B1F">
        <w:t>which can be provided to AFCA and any CSLR Operator to allow the Former</w:t>
      </w:r>
      <w:r>
        <w:t xml:space="preserve"> </w:t>
      </w:r>
      <w:r w:rsidRPr="00334B1F">
        <w:t>Clients to commence or progress a determination by AFCA or seek</w:t>
      </w:r>
      <w:r>
        <w:t xml:space="preserve"> </w:t>
      </w:r>
      <w:r w:rsidRPr="00334B1F">
        <w:t>compensation from the CSLR.</w:t>
      </w:r>
    </w:p>
    <w:p w14:paraId="45A7B1DD" w14:textId="7FE12620" w:rsidR="00334B1F" w:rsidRPr="00471D41" w:rsidRDefault="00334B1F" w:rsidP="00471D41">
      <w:pPr>
        <w:pStyle w:val="Quote1"/>
        <w:ind w:left="1440" w:hanging="703"/>
      </w:pPr>
      <w:r w:rsidRPr="00334B1F">
        <w:t>(c)</w:t>
      </w:r>
      <w:r>
        <w:tab/>
      </w:r>
      <w:r w:rsidRPr="00334B1F">
        <w:t xml:space="preserve">The Former Client Shortfall </w:t>
      </w:r>
      <w:r w:rsidRPr="00334B1F">
        <w:rPr>
          <w:b/>
          <w:bCs/>
        </w:rPr>
        <w:t xml:space="preserve">will </w:t>
      </w:r>
      <w:r w:rsidRPr="00334B1F">
        <w:t>remain a claim against the Deed Company in</w:t>
      </w:r>
      <w:r>
        <w:t xml:space="preserve"> </w:t>
      </w:r>
      <w:r w:rsidRPr="00334B1F">
        <w:t>favour of the Former Client.</w:t>
      </w:r>
    </w:p>
    <w:p w14:paraId="102379EC" w14:textId="4AFAD913" w:rsidR="006F5323" w:rsidRPr="005538F3" w:rsidRDefault="00B6500C" w:rsidP="00B6500C">
      <w:pPr>
        <w:pStyle w:val="ParaNumbering"/>
        <w:numPr>
          <w:ilvl w:val="0"/>
          <w:numId w:val="0"/>
        </w:numPr>
        <w:ind w:hanging="720"/>
        <w:rPr>
          <w:szCs w:val="24"/>
        </w:rPr>
      </w:pPr>
      <w:r w:rsidRPr="005538F3">
        <w:rPr>
          <w:iCs/>
          <w:sz w:val="20"/>
          <w:szCs w:val="24"/>
        </w:rPr>
        <w:t>29</w:t>
      </w:r>
      <w:r w:rsidRPr="005538F3">
        <w:rPr>
          <w:iCs/>
          <w:sz w:val="20"/>
          <w:szCs w:val="24"/>
        </w:rPr>
        <w:tab/>
      </w:r>
      <w:r w:rsidR="001F7001">
        <w:t xml:space="preserve">The intended effect of this is to ensure, so far as is possible, </w:t>
      </w:r>
      <w:r w:rsidR="00603556">
        <w:t xml:space="preserve">that </w:t>
      </w:r>
      <w:r w:rsidR="001F7001">
        <w:t xml:space="preserve">the ability of the Claimants to </w:t>
      </w:r>
      <w:r w:rsidR="007D0A85">
        <w:t>recover under the Scheme of Last Resort procedure</w:t>
      </w:r>
      <w:r w:rsidR="00BB12F5">
        <w:t xml:space="preserve"> is not affected</w:t>
      </w:r>
      <w:r w:rsidR="001F7001">
        <w:t>.</w:t>
      </w:r>
    </w:p>
    <w:p w14:paraId="435FEDB3" w14:textId="0D6085D4" w:rsidR="005538F3" w:rsidRPr="0095559F" w:rsidRDefault="00B6500C" w:rsidP="00B6500C">
      <w:pPr>
        <w:pStyle w:val="ParaNumbering"/>
        <w:numPr>
          <w:ilvl w:val="0"/>
          <w:numId w:val="0"/>
        </w:numPr>
        <w:ind w:hanging="720"/>
        <w:rPr>
          <w:szCs w:val="24"/>
        </w:rPr>
      </w:pPr>
      <w:r w:rsidRPr="0095559F">
        <w:rPr>
          <w:iCs/>
          <w:sz w:val="20"/>
          <w:szCs w:val="24"/>
        </w:rPr>
        <w:t>30</w:t>
      </w:r>
      <w:r w:rsidRPr="0095559F">
        <w:rPr>
          <w:iCs/>
          <w:sz w:val="20"/>
          <w:szCs w:val="24"/>
        </w:rPr>
        <w:tab/>
      </w:r>
      <w:r w:rsidR="005538F3">
        <w:t>At the h</w:t>
      </w:r>
      <w:r w:rsidR="00D2079A">
        <w:t xml:space="preserve">earing of the application for approval on 3 April 2024, Mr Armstrong KC properly raised with the Court the fact that Shine had become aware of a number of inquiries </w:t>
      </w:r>
      <w:r w:rsidR="0095559F">
        <w:t>from group members about the interaction between the proposed settlement and any rights those group members might have under the Scheme of Last Resort.</w:t>
      </w:r>
    </w:p>
    <w:p w14:paraId="2D22CB9C" w14:textId="0CF77C19" w:rsidR="0095559F" w:rsidRPr="00411735" w:rsidRDefault="00B6500C" w:rsidP="00B6500C">
      <w:pPr>
        <w:pStyle w:val="ParaNumbering"/>
        <w:numPr>
          <w:ilvl w:val="0"/>
          <w:numId w:val="0"/>
        </w:numPr>
        <w:ind w:hanging="720"/>
        <w:rPr>
          <w:szCs w:val="24"/>
        </w:rPr>
      </w:pPr>
      <w:r w:rsidRPr="00411735">
        <w:rPr>
          <w:iCs/>
          <w:sz w:val="20"/>
          <w:szCs w:val="24"/>
        </w:rPr>
        <w:t>31</w:t>
      </w:r>
      <w:r w:rsidRPr="00411735">
        <w:rPr>
          <w:iCs/>
          <w:sz w:val="20"/>
          <w:szCs w:val="24"/>
        </w:rPr>
        <w:tab/>
      </w:r>
      <w:r w:rsidR="0095559F">
        <w:t>Th</w:t>
      </w:r>
      <w:r w:rsidR="00411735">
        <w:t>ese inquiries</w:t>
      </w:r>
      <w:r w:rsidR="0095559F">
        <w:t xml:space="preserve"> </w:t>
      </w:r>
      <w:r w:rsidR="00411735">
        <w:t xml:space="preserve">had resulted in Shine writing to AFCA on 21 March 2024 and a </w:t>
      </w:r>
      <w:r w:rsidR="00603556">
        <w:t xml:space="preserve">response </w:t>
      </w:r>
      <w:r w:rsidR="00411735">
        <w:t>from AFCA on 27 March 2024. AFCA had not been provided with a copy of the Settlement Deed and, accordingly, its response was qualified.</w:t>
      </w:r>
    </w:p>
    <w:p w14:paraId="55177F3A" w14:textId="0D804583" w:rsidR="00411735" w:rsidRPr="006A145D" w:rsidRDefault="00B6500C" w:rsidP="00B6500C">
      <w:pPr>
        <w:pStyle w:val="ParaNumbering"/>
        <w:numPr>
          <w:ilvl w:val="0"/>
          <w:numId w:val="0"/>
        </w:numPr>
        <w:ind w:hanging="720"/>
        <w:rPr>
          <w:szCs w:val="24"/>
        </w:rPr>
      </w:pPr>
      <w:r w:rsidRPr="006A145D">
        <w:rPr>
          <w:iCs/>
          <w:sz w:val="20"/>
          <w:szCs w:val="24"/>
        </w:rPr>
        <w:t>32</w:t>
      </w:r>
      <w:r w:rsidRPr="006A145D">
        <w:rPr>
          <w:iCs/>
          <w:sz w:val="20"/>
          <w:szCs w:val="24"/>
        </w:rPr>
        <w:tab/>
      </w:r>
      <w:r w:rsidR="005D7577">
        <w:t>In these circumstances, t</w:t>
      </w:r>
      <w:r w:rsidR="00411735">
        <w:t xml:space="preserve">he Court considered it desirable to grant leave to the applicant to disclose the Settlement Deed </w:t>
      </w:r>
      <w:r w:rsidR="004B21DB">
        <w:t xml:space="preserve">to AFCA, with the hope </w:t>
      </w:r>
      <w:r w:rsidR="00411735">
        <w:t>that AFCA</w:t>
      </w:r>
      <w:r w:rsidR="004B21DB">
        <w:t xml:space="preserve"> would be able to provide a less equivocal view as to the </w:t>
      </w:r>
      <w:r w:rsidR="009F1E2B">
        <w:t>ability of group members to make claims under the Scheme of Last Resort</w:t>
      </w:r>
      <w:r w:rsidR="006A145D">
        <w:t>. The approval hearing was adjourned until 17 April 2024 for this purpose.</w:t>
      </w:r>
    </w:p>
    <w:p w14:paraId="78824CDB" w14:textId="19B9F1DC" w:rsidR="006A145D" w:rsidRPr="00DE1668" w:rsidRDefault="00B6500C" w:rsidP="00B6500C">
      <w:pPr>
        <w:pStyle w:val="ParaNumbering"/>
        <w:numPr>
          <w:ilvl w:val="0"/>
          <w:numId w:val="0"/>
        </w:numPr>
        <w:ind w:hanging="720"/>
        <w:rPr>
          <w:szCs w:val="24"/>
        </w:rPr>
      </w:pPr>
      <w:r w:rsidRPr="00DE1668">
        <w:rPr>
          <w:iCs/>
          <w:sz w:val="20"/>
          <w:szCs w:val="24"/>
        </w:rPr>
        <w:t>33</w:t>
      </w:r>
      <w:r w:rsidRPr="00DE1668">
        <w:rPr>
          <w:iCs/>
          <w:sz w:val="20"/>
          <w:szCs w:val="24"/>
        </w:rPr>
        <w:tab/>
      </w:r>
      <w:r w:rsidR="006A145D">
        <w:t>On 4 April 2024, Shine sent a letter to AFCA seeking clarification of AFCA’s position</w:t>
      </w:r>
      <w:r w:rsidR="00DE1668">
        <w:t>.</w:t>
      </w:r>
    </w:p>
    <w:p w14:paraId="713350D5" w14:textId="136EB8F3" w:rsidR="00DE1668" w:rsidRPr="00DE1668" w:rsidRDefault="00B6500C" w:rsidP="00B6500C">
      <w:pPr>
        <w:pStyle w:val="ParaNumbering"/>
        <w:numPr>
          <w:ilvl w:val="0"/>
          <w:numId w:val="0"/>
        </w:numPr>
        <w:ind w:hanging="720"/>
        <w:rPr>
          <w:szCs w:val="24"/>
        </w:rPr>
      </w:pPr>
      <w:r w:rsidRPr="00DE1668">
        <w:rPr>
          <w:iCs/>
          <w:sz w:val="20"/>
          <w:szCs w:val="24"/>
        </w:rPr>
        <w:t>34</w:t>
      </w:r>
      <w:r w:rsidRPr="00DE1668">
        <w:rPr>
          <w:iCs/>
          <w:sz w:val="20"/>
          <w:szCs w:val="24"/>
        </w:rPr>
        <w:tab/>
      </w:r>
      <w:r w:rsidR="00DE1668">
        <w:t>On 12 April 2024, AFCA responded</w:t>
      </w:r>
      <w:r w:rsidR="009F1E2B">
        <w:t>,</w:t>
      </w:r>
      <w:r w:rsidR="00DE1668">
        <w:t xml:space="preserve"> </w:t>
      </w:r>
      <w:r w:rsidR="009F1E2B">
        <w:t xml:space="preserve">in summary </w:t>
      </w:r>
      <w:r w:rsidR="00DE1668">
        <w:t>stating that:</w:t>
      </w:r>
    </w:p>
    <w:p w14:paraId="2524F13B" w14:textId="5F56790C" w:rsidR="00DE1668" w:rsidRDefault="00B6500C" w:rsidP="00B6500C">
      <w:pPr>
        <w:pStyle w:val="ListNo1alt"/>
        <w:numPr>
          <w:ilvl w:val="0"/>
          <w:numId w:val="0"/>
        </w:numPr>
        <w:tabs>
          <w:tab w:val="left" w:pos="720"/>
        </w:tabs>
        <w:ind w:left="720" w:hanging="720"/>
      </w:pPr>
      <w:r>
        <w:t>(a)</w:t>
      </w:r>
      <w:r>
        <w:tab/>
      </w:r>
      <w:r w:rsidR="00DE1668">
        <w:t>AFCA had reviewed the Settlement Deed;</w:t>
      </w:r>
    </w:p>
    <w:p w14:paraId="31E5740E" w14:textId="06615715" w:rsidR="00DE1668" w:rsidRDefault="00B6500C" w:rsidP="00B6500C">
      <w:pPr>
        <w:pStyle w:val="ListNo1alt"/>
        <w:numPr>
          <w:ilvl w:val="0"/>
          <w:numId w:val="0"/>
        </w:numPr>
        <w:tabs>
          <w:tab w:val="left" w:pos="720"/>
        </w:tabs>
        <w:ind w:left="720" w:hanging="720"/>
      </w:pPr>
      <w:r>
        <w:lastRenderedPageBreak/>
        <w:t>(b)</w:t>
      </w:r>
      <w:r>
        <w:tab/>
      </w:r>
      <w:r w:rsidR="00DE1668">
        <w:t>AFCA did not consider that the settlement of the proceeding in accordance with the Settlement Deed would, in and of itself alone, require</w:t>
      </w:r>
      <w:r w:rsidR="00233747">
        <w:t xml:space="preserve"> AFCA to exclude the DASS complaints under the AFCA Rules (including s C.1 of the AFCA Rules)</w:t>
      </w:r>
      <w:r w:rsidR="00D67597">
        <w:t>;</w:t>
      </w:r>
      <w:r w:rsidR="00233747">
        <w:t xml:space="preserve"> and</w:t>
      </w:r>
    </w:p>
    <w:p w14:paraId="7FFA438C" w14:textId="0B4237BF" w:rsidR="00233747" w:rsidRDefault="00B6500C" w:rsidP="00B6500C">
      <w:pPr>
        <w:pStyle w:val="ListNo1alt"/>
        <w:numPr>
          <w:ilvl w:val="0"/>
          <w:numId w:val="0"/>
        </w:numPr>
        <w:tabs>
          <w:tab w:val="left" w:pos="720"/>
        </w:tabs>
        <w:ind w:left="720" w:hanging="720"/>
      </w:pPr>
      <w:r>
        <w:t>(c)</w:t>
      </w:r>
      <w:r>
        <w:tab/>
      </w:r>
      <w:r w:rsidR="00D67597">
        <w:t>each DASS complaint would be assessed by AFCA in light of its specific circumstances.</w:t>
      </w:r>
    </w:p>
    <w:p w14:paraId="4520C024" w14:textId="402CA1A6" w:rsidR="00D67597" w:rsidRDefault="00B6500C" w:rsidP="00B6500C">
      <w:pPr>
        <w:pStyle w:val="ParaNumbering"/>
        <w:numPr>
          <w:ilvl w:val="0"/>
          <w:numId w:val="0"/>
        </w:numPr>
        <w:ind w:hanging="720"/>
      </w:pPr>
      <w:r>
        <w:rPr>
          <w:iCs/>
          <w:sz w:val="20"/>
        </w:rPr>
        <w:t>35</w:t>
      </w:r>
      <w:r>
        <w:rPr>
          <w:iCs/>
          <w:sz w:val="20"/>
        </w:rPr>
        <w:tab/>
      </w:r>
      <w:r w:rsidR="00AF77BC">
        <w:t>In t</w:t>
      </w:r>
      <w:r w:rsidR="00D67597">
        <w:t>he Court’s view</w:t>
      </w:r>
      <w:r w:rsidR="00AF77BC">
        <w:t>, AFCA’s response:</w:t>
      </w:r>
    </w:p>
    <w:p w14:paraId="6F758E44" w14:textId="7CAE2775" w:rsidR="00AF77BC" w:rsidRDefault="00B6500C" w:rsidP="00B6500C">
      <w:pPr>
        <w:pStyle w:val="ListNo1alt"/>
        <w:numPr>
          <w:ilvl w:val="0"/>
          <w:numId w:val="0"/>
        </w:numPr>
        <w:tabs>
          <w:tab w:val="left" w:pos="720"/>
        </w:tabs>
        <w:ind w:left="720" w:hanging="720"/>
      </w:pPr>
      <w:r>
        <w:t>(a)</w:t>
      </w:r>
      <w:r>
        <w:tab/>
      </w:r>
      <w:r w:rsidR="00D551C9">
        <w:t xml:space="preserve">goes as far as would reasonably be expected for AFCA, a regulatory body, to go in terms </w:t>
      </w:r>
      <w:r w:rsidR="00960DA2">
        <w:t xml:space="preserve">of addressing the concern that the </w:t>
      </w:r>
      <w:r w:rsidR="00561ADF">
        <w:t>p</w:t>
      </w:r>
      <w:r w:rsidR="00960DA2">
        <w:t xml:space="preserve">roposed </w:t>
      </w:r>
      <w:r w:rsidR="00561ADF">
        <w:t>s</w:t>
      </w:r>
      <w:r w:rsidR="00960DA2">
        <w:t>ettlement might prejudice the applicant’s and group members’ rights to claim and obtain compensation under the Scheme of Last Resort.</w:t>
      </w:r>
    </w:p>
    <w:p w14:paraId="4121FBCA" w14:textId="538050F2" w:rsidR="00960DA2" w:rsidRDefault="00B6500C" w:rsidP="00B6500C">
      <w:pPr>
        <w:pStyle w:val="ListNo1alt"/>
        <w:numPr>
          <w:ilvl w:val="0"/>
          <w:numId w:val="0"/>
        </w:numPr>
        <w:tabs>
          <w:tab w:val="left" w:pos="720"/>
        </w:tabs>
        <w:ind w:left="720" w:hanging="720"/>
      </w:pPr>
      <w:r>
        <w:t>(b)</w:t>
      </w:r>
      <w:r>
        <w:tab/>
      </w:r>
      <w:r w:rsidR="00561ADF">
        <w:t xml:space="preserve">is an adequate response </w:t>
      </w:r>
      <w:r w:rsidR="001422E0">
        <w:t xml:space="preserve">for the purposes of approval </w:t>
      </w:r>
      <w:r w:rsidR="00561ADF">
        <w:t xml:space="preserve">and, in substance, </w:t>
      </w:r>
      <w:r w:rsidR="00B408B3">
        <w:t xml:space="preserve">supports the view </w:t>
      </w:r>
      <w:r w:rsidR="00561ADF">
        <w:t>that the proposed settlement</w:t>
      </w:r>
      <w:r w:rsidR="000A609E">
        <w:t xml:space="preserve"> will not operate to prejudice the interests of the applicant and group members in relation to potential claims under the Scheme of Last Resort, relative to the position </w:t>
      </w:r>
      <w:r w:rsidR="0062572A">
        <w:t>they</w:t>
      </w:r>
      <w:r w:rsidR="000A609E">
        <w:t xml:space="preserve"> would have been in but for the proposed settlement;</w:t>
      </w:r>
    </w:p>
    <w:p w14:paraId="37BCE8FB" w14:textId="1326D32E" w:rsidR="000A609E" w:rsidRDefault="00B6500C" w:rsidP="00B6500C">
      <w:pPr>
        <w:pStyle w:val="ListNo1alt"/>
        <w:numPr>
          <w:ilvl w:val="0"/>
          <w:numId w:val="0"/>
        </w:numPr>
        <w:tabs>
          <w:tab w:val="left" w:pos="720"/>
        </w:tabs>
        <w:ind w:left="720" w:hanging="720"/>
      </w:pPr>
      <w:r>
        <w:t>(c)</w:t>
      </w:r>
      <w:r>
        <w:tab/>
      </w:r>
      <w:r w:rsidR="00F01AE3">
        <w:t>is consistent with the effect of the proposed settlement as described in the notice distributed to group members informing them about the proposed settlement; and</w:t>
      </w:r>
    </w:p>
    <w:p w14:paraId="257DFE20" w14:textId="6A60804C" w:rsidR="00CA5D99" w:rsidRDefault="00B6500C" w:rsidP="00B6500C">
      <w:pPr>
        <w:pStyle w:val="ListNo1alt"/>
        <w:numPr>
          <w:ilvl w:val="0"/>
          <w:numId w:val="0"/>
        </w:numPr>
        <w:tabs>
          <w:tab w:val="left" w:pos="720"/>
        </w:tabs>
        <w:ind w:left="720" w:hanging="720"/>
      </w:pPr>
      <w:r>
        <w:t>(d)</w:t>
      </w:r>
      <w:r>
        <w:tab/>
      </w:r>
      <w:r w:rsidR="00CA5D99">
        <w:t>can safely be regarded as substantially addressing the</w:t>
      </w:r>
      <w:r w:rsidR="00B408B3">
        <w:t xml:space="preserve"> </w:t>
      </w:r>
      <w:r w:rsidR="00DE2443">
        <w:t xml:space="preserve">concern that appears to have prompted some group members to file “notices of opting out”. </w:t>
      </w:r>
    </w:p>
    <w:p w14:paraId="1768FA4B" w14:textId="31728108" w:rsidR="00544BE3" w:rsidRDefault="00544BE3" w:rsidP="00191F28">
      <w:pPr>
        <w:pStyle w:val="Heading2"/>
      </w:pPr>
      <w:r>
        <w:t>Notice to group members who have opted out</w:t>
      </w:r>
    </w:p>
    <w:p w14:paraId="03818DF0" w14:textId="2BF4D372" w:rsidR="00D36CD2" w:rsidRDefault="00B6500C" w:rsidP="00B6500C">
      <w:pPr>
        <w:pStyle w:val="ParaNumbering"/>
        <w:numPr>
          <w:ilvl w:val="0"/>
          <w:numId w:val="0"/>
        </w:numPr>
        <w:ind w:hanging="720"/>
      </w:pPr>
      <w:r>
        <w:rPr>
          <w:iCs/>
          <w:sz w:val="20"/>
        </w:rPr>
        <w:t>36</w:t>
      </w:r>
      <w:r>
        <w:rPr>
          <w:iCs/>
          <w:sz w:val="20"/>
        </w:rPr>
        <w:tab/>
      </w:r>
      <w:r w:rsidR="000C1BD1" w:rsidRPr="000C1BD1">
        <w:t xml:space="preserve">Paragraph 12 of the Notice of Proposed Settlement </w:t>
      </w:r>
      <w:r w:rsidR="000C1BD1">
        <w:t>approved by Lee J in orders made on 12</w:t>
      </w:r>
      <w:r w:rsidR="00D36B68">
        <w:t> </w:t>
      </w:r>
      <w:r w:rsidR="000C1BD1">
        <w:t xml:space="preserve">December 2023 </w:t>
      </w:r>
      <w:r w:rsidR="000C1BD1" w:rsidRPr="000C1BD1">
        <w:t>stated that:</w:t>
      </w:r>
    </w:p>
    <w:p w14:paraId="5B16B59B" w14:textId="0BA670E6" w:rsidR="000C1BD1" w:rsidRDefault="00C76A92" w:rsidP="00C76A92">
      <w:pPr>
        <w:pStyle w:val="Quote1"/>
      </w:pPr>
      <w:r w:rsidRPr="00F16017">
        <w:rPr>
          <w:b/>
          <w:bCs/>
        </w:rPr>
        <w:t>Importantly</w:t>
      </w:r>
      <w:r w:rsidRPr="00F16017">
        <w:t>, the parties have agreed that, to the extent permitted by law,</w:t>
      </w:r>
      <w:r>
        <w:t xml:space="preserve"> </w:t>
      </w:r>
      <w:r w:rsidRPr="00F16017">
        <w:t>nothing in the settlement will not (sic) preclude, impair, limit or affect any</w:t>
      </w:r>
      <w:r>
        <w:t xml:space="preserve"> </w:t>
      </w:r>
      <w:r w:rsidRPr="00F16017">
        <w:t>claim for compensation that group members may have against DASS made to</w:t>
      </w:r>
      <w:r>
        <w:t xml:space="preserve"> </w:t>
      </w:r>
      <w:r w:rsidRPr="00F16017">
        <w:t>the Australian Financial Complaints Authority (AFCA) and/or under the</w:t>
      </w:r>
      <w:r>
        <w:t xml:space="preserve"> </w:t>
      </w:r>
      <w:r w:rsidRPr="00F16017">
        <w:t>Commonwealth Government’s “financial compensation scheme of last</w:t>
      </w:r>
      <w:r>
        <w:t xml:space="preserve"> </w:t>
      </w:r>
      <w:r w:rsidRPr="00F16017">
        <w:t>resort</w:t>
      </w:r>
      <w:r w:rsidR="00CE79D4">
        <w:t>”</w:t>
      </w:r>
      <w:r>
        <w:t>.</w:t>
      </w:r>
    </w:p>
    <w:p w14:paraId="3318D2D5" w14:textId="4C928493" w:rsidR="0016085D" w:rsidRDefault="00B6500C" w:rsidP="00B6500C">
      <w:pPr>
        <w:pStyle w:val="ParaNumbering"/>
        <w:numPr>
          <w:ilvl w:val="0"/>
          <w:numId w:val="0"/>
        </w:numPr>
        <w:ind w:hanging="720"/>
      </w:pPr>
      <w:r>
        <w:rPr>
          <w:iCs/>
          <w:sz w:val="20"/>
        </w:rPr>
        <w:t>37</w:t>
      </w:r>
      <w:r>
        <w:rPr>
          <w:iCs/>
          <w:sz w:val="20"/>
        </w:rPr>
        <w:tab/>
      </w:r>
      <w:r w:rsidR="00B51D9C">
        <w:t>Between 12 January 2024 and 22 February 2024 Shine received several email enquiries from group members seeking clarification of the impact of the proposed settlement on</w:t>
      </w:r>
      <w:r w:rsidR="000A2F76">
        <w:t xml:space="preserve"> </w:t>
      </w:r>
      <w:r w:rsidR="00B51D9C">
        <w:t xml:space="preserve">their ability to claim compensation under the Scheme of Last Resort. </w:t>
      </w:r>
    </w:p>
    <w:p w14:paraId="299E1F65" w14:textId="7979B144" w:rsidR="008E6C05" w:rsidRDefault="00B6500C" w:rsidP="00B6500C">
      <w:pPr>
        <w:pStyle w:val="ParaNumbering"/>
        <w:numPr>
          <w:ilvl w:val="0"/>
          <w:numId w:val="0"/>
        </w:numPr>
        <w:ind w:hanging="720"/>
      </w:pPr>
      <w:r>
        <w:rPr>
          <w:iCs/>
          <w:sz w:val="20"/>
        </w:rPr>
        <w:t>38</w:t>
      </w:r>
      <w:r>
        <w:rPr>
          <w:iCs/>
          <w:sz w:val="20"/>
        </w:rPr>
        <w:tab/>
      </w:r>
      <w:r w:rsidR="00B51D9C">
        <w:t xml:space="preserve">As at 16 April 2024, a total of thirty-three group members </w:t>
      </w:r>
      <w:r w:rsidR="00565FF0">
        <w:t xml:space="preserve">had </w:t>
      </w:r>
      <w:r w:rsidR="00B51D9C">
        <w:t>opted out of the proceeding</w:t>
      </w:r>
      <w:r w:rsidR="000A2F76">
        <w:t>.</w:t>
      </w:r>
      <w:r w:rsidR="0099614F">
        <w:t xml:space="preserve"> A </w:t>
      </w:r>
      <w:r w:rsidR="008E6C05">
        <w:t>solicitor from Maurice Blackburn</w:t>
      </w:r>
      <w:r w:rsidR="00D51D78">
        <w:t xml:space="preserve"> has advised that:</w:t>
      </w:r>
    </w:p>
    <w:p w14:paraId="06BB42E3" w14:textId="08427B1D" w:rsidR="00D51D78" w:rsidRPr="00D51D78" w:rsidRDefault="00B6500C" w:rsidP="00B6500C">
      <w:pPr>
        <w:pStyle w:val="ListNo1alt"/>
        <w:numPr>
          <w:ilvl w:val="0"/>
          <w:numId w:val="0"/>
        </w:numPr>
        <w:tabs>
          <w:tab w:val="left" w:pos="720"/>
        </w:tabs>
        <w:ind w:left="720" w:hanging="720"/>
      </w:pPr>
      <w:r w:rsidRPr="00D51D78">
        <w:lastRenderedPageBreak/>
        <w:t>(a)</w:t>
      </w:r>
      <w:r w:rsidRPr="00D51D78">
        <w:tab/>
      </w:r>
      <w:r w:rsidR="00D51D78" w:rsidRPr="00D51D78">
        <w:t>she was instructed to act on behalf of seven</w:t>
      </w:r>
      <w:r w:rsidR="0099614F">
        <w:t xml:space="preserve"> </w:t>
      </w:r>
      <w:r w:rsidR="00D51D78" w:rsidRPr="00D51D78">
        <w:t xml:space="preserve">clients who were </w:t>
      </w:r>
      <w:r w:rsidR="00CF3154">
        <w:t>g</w:t>
      </w:r>
      <w:r w:rsidR="00CF3154" w:rsidRPr="00D51D78">
        <w:t xml:space="preserve">roup </w:t>
      </w:r>
      <w:r w:rsidR="00CF3154">
        <w:t>m</w:t>
      </w:r>
      <w:r w:rsidR="00CF3154" w:rsidRPr="00D51D78">
        <w:t>embers</w:t>
      </w:r>
      <w:r w:rsidR="00CF3154">
        <w:t xml:space="preserve"> </w:t>
      </w:r>
      <w:r w:rsidR="00D51D78" w:rsidRPr="00D51D78">
        <w:t xml:space="preserve">in this </w:t>
      </w:r>
      <w:r w:rsidR="00CF3154">
        <w:t>p</w:t>
      </w:r>
      <w:r w:rsidR="00CF3154" w:rsidRPr="00D51D78">
        <w:t xml:space="preserve">roceeding </w:t>
      </w:r>
      <w:r w:rsidR="00D51D78" w:rsidRPr="00D51D78">
        <w:t xml:space="preserve">but have opted out of the </w:t>
      </w:r>
      <w:r w:rsidR="00CF3154">
        <w:t>p</w:t>
      </w:r>
      <w:r w:rsidR="00CF3154" w:rsidRPr="00D51D78">
        <w:t>roceeding</w:t>
      </w:r>
      <w:r w:rsidR="00D51D78" w:rsidRPr="00D51D78">
        <w:t>;</w:t>
      </w:r>
    </w:p>
    <w:p w14:paraId="4899C753" w14:textId="0AC0246F" w:rsidR="00D51D78" w:rsidRPr="00D51D78" w:rsidRDefault="00B6500C" w:rsidP="00B6500C">
      <w:pPr>
        <w:pStyle w:val="ListNo1alt"/>
        <w:numPr>
          <w:ilvl w:val="0"/>
          <w:numId w:val="0"/>
        </w:numPr>
        <w:tabs>
          <w:tab w:val="left" w:pos="720"/>
        </w:tabs>
        <w:ind w:left="720" w:hanging="720"/>
      </w:pPr>
      <w:r w:rsidRPr="00D51D78">
        <w:t>(b)</w:t>
      </w:r>
      <w:r w:rsidRPr="00D51D78">
        <w:tab/>
      </w:r>
      <w:r w:rsidR="00D51D78" w:rsidRPr="00D51D78">
        <w:t xml:space="preserve">her clients opted out of the </w:t>
      </w:r>
      <w:r w:rsidR="00CF3154">
        <w:t>p</w:t>
      </w:r>
      <w:r w:rsidR="00CF3154" w:rsidRPr="00D51D78">
        <w:t xml:space="preserve">roceeding </w:t>
      </w:r>
      <w:r w:rsidR="00D51D78" w:rsidRPr="00D51D78">
        <w:t>because of the perceived risk that if they</w:t>
      </w:r>
      <w:r w:rsidR="00D51D78">
        <w:t xml:space="preserve"> </w:t>
      </w:r>
      <w:r w:rsidR="00D51D78" w:rsidRPr="00D51D78">
        <w:t xml:space="preserve">remained in the </w:t>
      </w:r>
      <w:r w:rsidR="00CF3154">
        <w:t>p</w:t>
      </w:r>
      <w:r w:rsidR="00CF3154" w:rsidRPr="00D51D78">
        <w:t xml:space="preserve">roceeding </w:t>
      </w:r>
      <w:r w:rsidR="00D51D78" w:rsidRPr="00D51D78">
        <w:t xml:space="preserve">and the </w:t>
      </w:r>
      <w:r w:rsidR="006E65EC">
        <w:t>p</w:t>
      </w:r>
      <w:r w:rsidR="006E65EC" w:rsidRPr="00D51D78">
        <w:t xml:space="preserve">roposed </w:t>
      </w:r>
      <w:r w:rsidR="006E65EC">
        <w:t>s</w:t>
      </w:r>
      <w:r w:rsidR="006E65EC" w:rsidRPr="00D51D78">
        <w:t xml:space="preserve">ettlement </w:t>
      </w:r>
      <w:r w:rsidR="00D51D78" w:rsidRPr="00D51D78">
        <w:t>was approved, they</w:t>
      </w:r>
      <w:r w:rsidR="00D51D78">
        <w:t xml:space="preserve"> </w:t>
      </w:r>
      <w:r w:rsidR="00D51D78" w:rsidRPr="00D51D78">
        <w:t xml:space="preserve">would be precluded from accessing the </w:t>
      </w:r>
      <w:r w:rsidR="00ED0567">
        <w:t>Scheme of Last Resort</w:t>
      </w:r>
      <w:r w:rsidR="00D51D78" w:rsidRPr="00D51D78">
        <w:t>; and</w:t>
      </w:r>
    </w:p>
    <w:p w14:paraId="01AB74AC" w14:textId="6565BAE7" w:rsidR="00D51D78" w:rsidRDefault="00B6500C" w:rsidP="00B6500C">
      <w:pPr>
        <w:pStyle w:val="ListNo1alt"/>
        <w:numPr>
          <w:ilvl w:val="0"/>
          <w:numId w:val="0"/>
        </w:numPr>
        <w:tabs>
          <w:tab w:val="left" w:pos="720"/>
        </w:tabs>
        <w:ind w:left="720" w:hanging="720"/>
      </w:pPr>
      <w:r>
        <w:t>(c)</w:t>
      </w:r>
      <w:r>
        <w:tab/>
      </w:r>
      <w:r w:rsidR="00D51D78" w:rsidRPr="00D51D78">
        <w:t xml:space="preserve">should AFCA confirm that the </w:t>
      </w:r>
      <w:r w:rsidR="00ED0567">
        <w:t>p</w:t>
      </w:r>
      <w:r w:rsidR="00ED0567" w:rsidRPr="00D51D78">
        <w:t xml:space="preserve">roposed </w:t>
      </w:r>
      <w:r w:rsidR="00ED0567">
        <w:t>s</w:t>
      </w:r>
      <w:r w:rsidR="00ED0567" w:rsidRPr="00D51D78">
        <w:t xml:space="preserve">ettlement </w:t>
      </w:r>
      <w:r w:rsidR="00D51D78" w:rsidRPr="00D51D78">
        <w:t xml:space="preserve">will not preclude </w:t>
      </w:r>
      <w:r w:rsidR="00ED0567">
        <w:t>g</w:t>
      </w:r>
      <w:r w:rsidR="00ED0567" w:rsidRPr="00D51D78">
        <w:t>roup</w:t>
      </w:r>
      <w:r w:rsidR="00ED0567">
        <w:t xml:space="preserve"> m</w:t>
      </w:r>
      <w:r w:rsidR="00ED0567" w:rsidRPr="00D51D78">
        <w:t xml:space="preserve">embers </w:t>
      </w:r>
      <w:r w:rsidR="00D51D78" w:rsidRPr="00D51D78">
        <w:t xml:space="preserve">from accessing the </w:t>
      </w:r>
      <w:r w:rsidR="00ED0567">
        <w:t>Scheme of Last Resort</w:t>
      </w:r>
      <w:r w:rsidR="00D51D78" w:rsidRPr="00D51D78">
        <w:t>, her clients wish to have the opportunity to</w:t>
      </w:r>
      <w:r w:rsidR="00D51D78">
        <w:t xml:space="preserve"> </w:t>
      </w:r>
      <w:r w:rsidR="00D51D78" w:rsidRPr="00D51D78">
        <w:t>withdraw their opt-out notices.</w:t>
      </w:r>
    </w:p>
    <w:p w14:paraId="26F1E071" w14:textId="7944F486" w:rsidR="006E792E" w:rsidRDefault="00B6500C" w:rsidP="00B6500C">
      <w:pPr>
        <w:pStyle w:val="ParaNumbering"/>
        <w:numPr>
          <w:ilvl w:val="0"/>
          <w:numId w:val="0"/>
        </w:numPr>
        <w:ind w:hanging="720"/>
      </w:pPr>
      <w:r>
        <w:rPr>
          <w:iCs/>
          <w:sz w:val="20"/>
        </w:rPr>
        <w:t>39</w:t>
      </w:r>
      <w:r>
        <w:rPr>
          <w:iCs/>
          <w:sz w:val="20"/>
        </w:rPr>
        <w:tab/>
      </w:r>
      <w:r w:rsidR="006E792E">
        <w:t xml:space="preserve">On 15 April 2024, Shine received a letter from Maurice Blackburn which stated, amongst other </w:t>
      </w:r>
      <w:r w:rsidR="006B509F">
        <w:t>things, that</w:t>
      </w:r>
      <w:r w:rsidR="006E792E">
        <w:t>:</w:t>
      </w:r>
    </w:p>
    <w:p w14:paraId="5F673B91" w14:textId="4DB37965" w:rsidR="00265128" w:rsidRPr="00265128" w:rsidRDefault="00B6500C" w:rsidP="00B6500C">
      <w:pPr>
        <w:pStyle w:val="ListNo1alt"/>
        <w:numPr>
          <w:ilvl w:val="0"/>
          <w:numId w:val="0"/>
        </w:numPr>
        <w:tabs>
          <w:tab w:val="left" w:pos="720"/>
        </w:tabs>
        <w:ind w:left="720" w:hanging="720"/>
      </w:pPr>
      <w:r w:rsidRPr="00265128">
        <w:t>(a)</w:t>
      </w:r>
      <w:r w:rsidRPr="00265128">
        <w:tab/>
      </w:r>
      <w:r w:rsidR="00265128" w:rsidRPr="00265128">
        <w:t>they were writing on behalf of clients for whom they had authority to act in their</w:t>
      </w:r>
      <w:r w:rsidR="00265128">
        <w:t xml:space="preserve"> </w:t>
      </w:r>
      <w:r w:rsidR="00265128" w:rsidRPr="00265128">
        <w:t xml:space="preserve">AFCA complaints against </w:t>
      </w:r>
      <w:r w:rsidR="006B509F">
        <w:t>DASS</w:t>
      </w:r>
      <w:r w:rsidR="00265128" w:rsidRPr="00265128">
        <w:t>;</w:t>
      </w:r>
    </w:p>
    <w:p w14:paraId="1C732B11" w14:textId="0E6B83FF" w:rsidR="00265128" w:rsidRPr="00265128" w:rsidRDefault="00B6500C" w:rsidP="00B6500C">
      <w:pPr>
        <w:pStyle w:val="ListNo1alt"/>
        <w:numPr>
          <w:ilvl w:val="0"/>
          <w:numId w:val="0"/>
        </w:numPr>
        <w:tabs>
          <w:tab w:val="left" w:pos="720"/>
        </w:tabs>
        <w:ind w:left="720" w:hanging="720"/>
      </w:pPr>
      <w:r w:rsidRPr="00265128">
        <w:t>(b)</w:t>
      </w:r>
      <w:r w:rsidRPr="00265128">
        <w:tab/>
      </w:r>
      <w:r w:rsidR="00265128" w:rsidRPr="00265128">
        <w:t>their clients received the Notice of Proposed Settlement and were concerned</w:t>
      </w:r>
      <w:r w:rsidR="00265128">
        <w:t xml:space="preserve"> </w:t>
      </w:r>
      <w:r w:rsidR="00265128" w:rsidRPr="00265128">
        <w:t>about the risk of AFCA excluding their complaints should they remain group</w:t>
      </w:r>
      <w:r w:rsidR="00265128">
        <w:t xml:space="preserve"> </w:t>
      </w:r>
      <w:r w:rsidR="00265128" w:rsidRPr="00265128">
        <w:t>members in the class action;</w:t>
      </w:r>
    </w:p>
    <w:p w14:paraId="26C7EC3C" w14:textId="26BF27ED" w:rsidR="00265128" w:rsidRPr="00265128" w:rsidRDefault="00B6500C" w:rsidP="00B6500C">
      <w:pPr>
        <w:pStyle w:val="ListNo1alt"/>
        <w:numPr>
          <w:ilvl w:val="0"/>
          <w:numId w:val="0"/>
        </w:numPr>
        <w:tabs>
          <w:tab w:val="left" w:pos="720"/>
        </w:tabs>
        <w:ind w:left="720" w:hanging="720"/>
      </w:pPr>
      <w:r w:rsidRPr="00265128">
        <w:t>(c)</w:t>
      </w:r>
      <w:r w:rsidRPr="00265128">
        <w:tab/>
      </w:r>
      <w:r w:rsidR="00265128" w:rsidRPr="00265128">
        <w:t>because of the risk referred to in (b) above, their clients elected to opt out of the</w:t>
      </w:r>
      <w:r w:rsidR="00265128">
        <w:t xml:space="preserve"> </w:t>
      </w:r>
      <w:r w:rsidR="00265128" w:rsidRPr="00265128">
        <w:t>class action and filed opt out notices by the date ordered;</w:t>
      </w:r>
    </w:p>
    <w:p w14:paraId="0EEC0DB3" w14:textId="4A6F3132" w:rsidR="00265128" w:rsidRPr="00265128" w:rsidRDefault="00B6500C" w:rsidP="00B6500C">
      <w:pPr>
        <w:pStyle w:val="ListNo1alt"/>
        <w:numPr>
          <w:ilvl w:val="0"/>
          <w:numId w:val="0"/>
        </w:numPr>
        <w:tabs>
          <w:tab w:val="left" w:pos="720"/>
        </w:tabs>
        <w:ind w:left="720" w:hanging="720"/>
      </w:pPr>
      <w:r w:rsidRPr="00265128">
        <w:t>(d)</w:t>
      </w:r>
      <w:r w:rsidRPr="00265128">
        <w:tab/>
      </w:r>
      <w:r w:rsidR="00265128" w:rsidRPr="00265128">
        <w:t>they understand that AFCA ha</w:t>
      </w:r>
      <w:r w:rsidR="004B0731">
        <w:t>s</w:t>
      </w:r>
      <w:r w:rsidR="00265128" w:rsidRPr="00265128">
        <w:t xml:space="preserve"> now conveyed a view to the parties that it does</w:t>
      </w:r>
      <w:r w:rsidR="00265128">
        <w:t xml:space="preserve"> </w:t>
      </w:r>
      <w:r w:rsidR="00265128" w:rsidRPr="00265128">
        <w:t>not believe the settlement of the proceeding will require AFCA to exclude the</w:t>
      </w:r>
      <w:r w:rsidR="00265128">
        <w:t xml:space="preserve"> </w:t>
      </w:r>
      <w:r w:rsidR="00265128" w:rsidRPr="00265128">
        <w:t>DASS complaints; and</w:t>
      </w:r>
    </w:p>
    <w:p w14:paraId="408C33F9" w14:textId="5AC1733F" w:rsidR="006E792E" w:rsidRDefault="00B6500C" w:rsidP="00B6500C">
      <w:pPr>
        <w:pStyle w:val="ListNo1alt"/>
        <w:numPr>
          <w:ilvl w:val="0"/>
          <w:numId w:val="0"/>
        </w:numPr>
        <w:tabs>
          <w:tab w:val="left" w:pos="720"/>
        </w:tabs>
        <w:ind w:left="720" w:hanging="720"/>
      </w:pPr>
      <w:r>
        <w:t>(e)</w:t>
      </w:r>
      <w:r>
        <w:tab/>
      </w:r>
      <w:r w:rsidR="00265128" w:rsidRPr="00265128">
        <w:t>in light of the above, their clients have instructed they wish to have their opt out</w:t>
      </w:r>
      <w:r w:rsidR="00265128">
        <w:t xml:space="preserve"> </w:t>
      </w:r>
      <w:r w:rsidR="00265128" w:rsidRPr="00265128">
        <w:t>notices withdrawn so that they may be re-included as group members in the class</w:t>
      </w:r>
      <w:r w:rsidR="00265128">
        <w:t xml:space="preserve"> </w:t>
      </w:r>
      <w:r w:rsidR="00265128" w:rsidRPr="00265128">
        <w:t>action and bound by any orders the court makes with respect to the settlement of</w:t>
      </w:r>
      <w:r w:rsidR="00265128">
        <w:t xml:space="preserve"> </w:t>
      </w:r>
      <w:r w:rsidR="00265128" w:rsidRPr="00265128">
        <w:t xml:space="preserve">the </w:t>
      </w:r>
      <w:r w:rsidR="006B509F">
        <w:t>p</w:t>
      </w:r>
      <w:r w:rsidR="006B509F" w:rsidRPr="00265128">
        <w:t>roceeding</w:t>
      </w:r>
      <w:r w:rsidR="00265128" w:rsidRPr="00265128">
        <w:t>.</w:t>
      </w:r>
    </w:p>
    <w:p w14:paraId="265E4CC9" w14:textId="1658765C" w:rsidR="006F1415" w:rsidRDefault="00B6500C" w:rsidP="00B6500C">
      <w:pPr>
        <w:pStyle w:val="ParaNumbering"/>
        <w:numPr>
          <w:ilvl w:val="0"/>
          <w:numId w:val="0"/>
        </w:numPr>
        <w:ind w:hanging="720"/>
      </w:pPr>
      <w:r>
        <w:rPr>
          <w:iCs/>
          <w:sz w:val="20"/>
        </w:rPr>
        <w:t>40</w:t>
      </w:r>
      <w:r>
        <w:rPr>
          <w:iCs/>
          <w:sz w:val="20"/>
        </w:rPr>
        <w:tab/>
      </w:r>
      <w:r w:rsidR="0090622E">
        <w:t xml:space="preserve">In these circumstances, the applicant seeks orders from the Court </w:t>
      </w:r>
      <w:r w:rsidR="006F1415">
        <w:t xml:space="preserve">facilitating a mechanism for </w:t>
      </w:r>
      <w:r w:rsidR="00565FF0">
        <w:t>those who opted out</w:t>
      </w:r>
      <w:r w:rsidR="006B509F">
        <w:t xml:space="preserve"> </w:t>
      </w:r>
      <w:r w:rsidR="0090622E">
        <w:t>to withdraw their opt-out notices, should they wish to do so.</w:t>
      </w:r>
      <w:r w:rsidR="006F1415" w:rsidRPr="006F1415">
        <w:t xml:space="preserve"> </w:t>
      </w:r>
      <w:r w:rsidR="006F1415">
        <w:t>Shine proposes to send a notice to the group members who opted out (</w:t>
      </w:r>
      <w:r w:rsidR="006F1415" w:rsidRPr="00F16017">
        <w:rPr>
          <w:b/>
          <w:bCs/>
        </w:rPr>
        <w:t>P</w:t>
      </w:r>
      <w:r w:rsidR="006F1415">
        <w:rPr>
          <w:b/>
          <w:bCs/>
        </w:rPr>
        <w:t>roposed Notice</w:t>
      </w:r>
      <w:r w:rsidR="006F1415">
        <w:t>):</w:t>
      </w:r>
    </w:p>
    <w:p w14:paraId="0AB49456" w14:textId="3E993379" w:rsidR="006F1415" w:rsidRDefault="00B6500C" w:rsidP="00B6500C">
      <w:pPr>
        <w:pStyle w:val="ListNo1alt"/>
        <w:numPr>
          <w:ilvl w:val="0"/>
          <w:numId w:val="0"/>
        </w:numPr>
        <w:tabs>
          <w:tab w:val="left" w:pos="720"/>
        </w:tabs>
        <w:ind w:left="720" w:hanging="720"/>
      </w:pPr>
      <w:r>
        <w:t>(a)</w:t>
      </w:r>
      <w:r>
        <w:tab/>
      </w:r>
      <w:r w:rsidR="006F1415">
        <w:t>advising of AFCA’s position in relation to the DASS complaints; and</w:t>
      </w:r>
    </w:p>
    <w:p w14:paraId="4CAB6E80" w14:textId="27BDFCD5" w:rsidR="006F1415" w:rsidRDefault="00B6500C" w:rsidP="00B6500C">
      <w:pPr>
        <w:pStyle w:val="ListNo1alt"/>
        <w:numPr>
          <w:ilvl w:val="0"/>
          <w:numId w:val="0"/>
        </w:numPr>
        <w:tabs>
          <w:tab w:val="left" w:pos="720"/>
        </w:tabs>
        <w:ind w:left="720" w:hanging="720"/>
      </w:pPr>
      <w:r>
        <w:t>(b)</w:t>
      </w:r>
      <w:r>
        <w:tab/>
      </w:r>
      <w:r w:rsidR="006F1415">
        <w:t>setting out the steps to be taken to withdraw their opt-out notices on or before 1 May 2024.</w:t>
      </w:r>
    </w:p>
    <w:p w14:paraId="150C9802" w14:textId="1CCAB63D" w:rsidR="0090622E" w:rsidRDefault="00B6500C" w:rsidP="00B6500C">
      <w:pPr>
        <w:pStyle w:val="ParaNumbering"/>
        <w:numPr>
          <w:ilvl w:val="0"/>
          <w:numId w:val="0"/>
        </w:numPr>
        <w:ind w:hanging="720"/>
      </w:pPr>
      <w:r>
        <w:rPr>
          <w:iCs/>
          <w:sz w:val="20"/>
        </w:rPr>
        <w:lastRenderedPageBreak/>
        <w:t>41</w:t>
      </w:r>
      <w:r>
        <w:rPr>
          <w:iCs/>
          <w:sz w:val="20"/>
        </w:rPr>
        <w:tab/>
      </w:r>
      <w:r w:rsidR="0077443C">
        <w:t xml:space="preserve">In the Court’s view, this is appropriate. It is a request which does not prejudice the </w:t>
      </w:r>
      <w:r w:rsidR="00E22152">
        <w:t>interests</w:t>
      </w:r>
      <w:r w:rsidR="00623357">
        <w:t xml:space="preserve"> of group members who have opted out</w:t>
      </w:r>
      <w:r w:rsidR="00E22152">
        <w:t>. The resolution of the</w:t>
      </w:r>
      <w:r w:rsidR="00623357">
        <w:t>se additional</w:t>
      </w:r>
      <w:r w:rsidR="00E22152">
        <w:t xml:space="preserve"> claims</w:t>
      </w:r>
      <w:r w:rsidR="006F1415" w:rsidRPr="006F1415">
        <w:t xml:space="preserve"> </w:t>
      </w:r>
      <w:r w:rsidR="006F1415">
        <w:t>in the proposed settlement</w:t>
      </w:r>
      <w:r w:rsidR="00623357">
        <w:t>, if an opt out is withdrawn,</w:t>
      </w:r>
      <w:r w:rsidR="00E22152">
        <w:t xml:space="preserve"> reduces the prospects </w:t>
      </w:r>
      <w:r w:rsidR="00F91D90">
        <w:t xml:space="preserve">of further litigation. The impact to the existing group members is negligible as far as the withdrawal of opt-out notices affects </w:t>
      </w:r>
      <w:r w:rsidR="005D1F18">
        <w:t>the available Settlement Sum</w:t>
      </w:r>
      <w:r w:rsidR="005520AF">
        <w:t xml:space="preserve"> and its apportionment. </w:t>
      </w:r>
      <w:r w:rsidR="00E37F8D">
        <w:t xml:space="preserve">Providing the ability to </w:t>
      </w:r>
      <w:r w:rsidR="00565FF0">
        <w:t>withdraw opt-out notice</w:t>
      </w:r>
      <w:r w:rsidR="00395F62">
        <w:t>s</w:t>
      </w:r>
      <w:r w:rsidR="00565FF0">
        <w:t xml:space="preserve"> will</w:t>
      </w:r>
      <w:r w:rsidR="005520AF">
        <w:t xml:space="preserve"> no</w:t>
      </w:r>
      <w:r w:rsidR="00565FF0">
        <w:t>t</w:t>
      </w:r>
      <w:r w:rsidR="005520AF">
        <w:t xml:space="preserve"> delay the approval of the proposed settlement.</w:t>
      </w:r>
    </w:p>
    <w:p w14:paraId="6F848AF0" w14:textId="2E520D08" w:rsidR="00A6126B" w:rsidRPr="00C76A92" w:rsidRDefault="00B6500C" w:rsidP="00B6500C">
      <w:pPr>
        <w:pStyle w:val="ParaNumbering"/>
        <w:numPr>
          <w:ilvl w:val="0"/>
          <w:numId w:val="0"/>
        </w:numPr>
        <w:ind w:hanging="720"/>
      </w:pPr>
      <w:r w:rsidRPr="00C76A92">
        <w:rPr>
          <w:iCs/>
          <w:sz w:val="20"/>
        </w:rPr>
        <w:t>42</w:t>
      </w:r>
      <w:r w:rsidRPr="00C76A92">
        <w:rPr>
          <w:iCs/>
          <w:sz w:val="20"/>
        </w:rPr>
        <w:tab/>
      </w:r>
      <w:r w:rsidR="00A6126B">
        <w:t xml:space="preserve">A copy of the Proposed Notice </w:t>
      </w:r>
      <w:r w:rsidR="00534A93">
        <w:t xml:space="preserve">was contained at pages 12 to 14 of Exhibit VA-12. The Proposed Notice is </w:t>
      </w:r>
      <w:r w:rsidR="00395F62">
        <w:t xml:space="preserve">in </w:t>
      </w:r>
      <w:r w:rsidR="00534A93">
        <w:t xml:space="preserve">appropriate </w:t>
      </w:r>
      <w:r w:rsidR="00395F62">
        <w:t>terms</w:t>
      </w:r>
      <w:r w:rsidR="00534A93">
        <w:t>.</w:t>
      </w:r>
    </w:p>
    <w:p w14:paraId="4F3AA534" w14:textId="27280EFD" w:rsidR="00701AB0" w:rsidRDefault="00701AB0" w:rsidP="001F7001">
      <w:pPr>
        <w:pStyle w:val="Heading2"/>
      </w:pPr>
      <w:r>
        <w:t>Distribution of settlement sum</w:t>
      </w:r>
    </w:p>
    <w:p w14:paraId="7C768491" w14:textId="196E0F6A" w:rsidR="006F5323" w:rsidRPr="006976B2" w:rsidRDefault="00B6500C" w:rsidP="00B6500C">
      <w:pPr>
        <w:pStyle w:val="ParaNumbering"/>
        <w:numPr>
          <w:ilvl w:val="0"/>
          <w:numId w:val="0"/>
        </w:numPr>
        <w:ind w:hanging="720"/>
        <w:rPr>
          <w:szCs w:val="24"/>
        </w:rPr>
      </w:pPr>
      <w:r w:rsidRPr="006976B2">
        <w:rPr>
          <w:iCs/>
          <w:sz w:val="20"/>
          <w:szCs w:val="24"/>
        </w:rPr>
        <w:t>43</w:t>
      </w:r>
      <w:r w:rsidRPr="006976B2">
        <w:rPr>
          <w:iCs/>
          <w:sz w:val="20"/>
          <w:szCs w:val="24"/>
        </w:rPr>
        <w:tab/>
      </w:r>
      <w:r w:rsidR="006976B2" w:rsidRPr="006976B2">
        <w:rPr>
          <w:szCs w:val="24"/>
        </w:rPr>
        <w:t>It is next necessary to consider</w:t>
      </w:r>
      <w:r w:rsidR="006F5323" w:rsidRPr="006976B2">
        <w:rPr>
          <w:spacing w:val="-1"/>
          <w:szCs w:val="24"/>
        </w:rPr>
        <w:t xml:space="preserve"> </w:t>
      </w:r>
      <w:r w:rsidR="006F5323" w:rsidRPr="006976B2">
        <w:rPr>
          <w:szCs w:val="24"/>
        </w:rPr>
        <w:t>the</w:t>
      </w:r>
      <w:r w:rsidR="006F5323" w:rsidRPr="006976B2">
        <w:rPr>
          <w:spacing w:val="-4"/>
          <w:szCs w:val="24"/>
        </w:rPr>
        <w:t xml:space="preserve"> </w:t>
      </w:r>
      <w:r w:rsidR="006F5323" w:rsidRPr="006976B2">
        <w:rPr>
          <w:szCs w:val="24"/>
        </w:rPr>
        <w:t>fairness</w:t>
      </w:r>
      <w:r w:rsidR="006F5323" w:rsidRPr="006976B2">
        <w:rPr>
          <w:spacing w:val="-2"/>
          <w:szCs w:val="24"/>
        </w:rPr>
        <w:t xml:space="preserve"> </w:t>
      </w:r>
      <w:r w:rsidR="006F5323" w:rsidRPr="006976B2">
        <w:rPr>
          <w:szCs w:val="24"/>
        </w:rPr>
        <w:t>and</w:t>
      </w:r>
      <w:r w:rsidR="006F5323" w:rsidRPr="006976B2">
        <w:rPr>
          <w:spacing w:val="-5"/>
          <w:szCs w:val="24"/>
        </w:rPr>
        <w:t xml:space="preserve"> </w:t>
      </w:r>
      <w:r w:rsidR="006F5323" w:rsidRPr="006976B2">
        <w:rPr>
          <w:szCs w:val="24"/>
        </w:rPr>
        <w:t>reasonableness</w:t>
      </w:r>
      <w:r w:rsidR="006F5323" w:rsidRPr="006976B2">
        <w:rPr>
          <w:spacing w:val="-4"/>
          <w:szCs w:val="24"/>
        </w:rPr>
        <w:t xml:space="preserve"> </w:t>
      </w:r>
      <w:r w:rsidR="006F5323" w:rsidRPr="006976B2">
        <w:rPr>
          <w:szCs w:val="24"/>
        </w:rPr>
        <w:t>of</w:t>
      </w:r>
      <w:r w:rsidR="006F5323" w:rsidRPr="006976B2">
        <w:rPr>
          <w:spacing w:val="-4"/>
          <w:szCs w:val="24"/>
        </w:rPr>
        <w:t xml:space="preserve"> </w:t>
      </w:r>
      <w:r w:rsidR="006F5323" w:rsidRPr="006976B2">
        <w:rPr>
          <w:szCs w:val="24"/>
        </w:rPr>
        <w:t>the</w:t>
      </w:r>
      <w:r w:rsidR="006F5323" w:rsidRPr="006976B2">
        <w:rPr>
          <w:spacing w:val="-4"/>
          <w:szCs w:val="24"/>
        </w:rPr>
        <w:t xml:space="preserve"> </w:t>
      </w:r>
      <w:r w:rsidR="006F5323" w:rsidRPr="006976B2">
        <w:rPr>
          <w:szCs w:val="24"/>
        </w:rPr>
        <w:t>proposed settlement as between group members.</w:t>
      </w:r>
      <w:r w:rsidR="006976B2" w:rsidRPr="006976B2">
        <w:rPr>
          <w:szCs w:val="24"/>
        </w:rPr>
        <w:t xml:space="preserve"> </w:t>
      </w:r>
      <w:r w:rsidR="006F5323" w:rsidRPr="006976B2">
        <w:rPr>
          <w:szCs w:val="24"/>
        </w:rPr>
        <w:t>In</w:t>
      </w:r>
      <w:r w:rsidR="006F5323" w:rsidRPr="006976B2">
        <w:rPr>
          <w:spacing w:val="-2"/>
          <w:szCs w:val="24"/>
        </w:rPr>
        <w:t xml:space="preserve"> </w:t>
      </w:r>
      <w:r w:rsidR="006976B2" w:rsidRPr="006976B2">
        <w:rPr>
          <w:i/>
          <w:szCs w:val="24"/>
        </w:rPr>
        <w:t>Camilleri</w:t>
      </w:r>
      <w:r w:rsidR="006976B2" w:rsidRPr="006976B2">
        <w:rPr>
          <w:i/>
          <w:spacing w:val="-1"/>
          <w:szCs w:val="24"/>
        </w:rPr>
        <w:t xml:space="preserve"> </w:t>
      </w:r>
      <w:r w:rsidR="006976B2" w:rsidRPr="006976B2">
        <w:rPr>
          <w:szCs w:val="24"/>
        </w:rPr>
        <w:t>at [43]-[44]</w:t>
      </w:r>
      <w:r w:rsidR="006976B2">
        <w:rPr>
          <w:szCs w:val="24"/>
        </w:rPr>
        <w:t xml:space="preserve">, </w:t>
      </w:r>
      <w:r w:rsidR="006F5323" w:rsidRPr="006976B2">
        <w:rPr>
          <w:szCs w:val="24"/>
        </w:rPr>
        <w:t>Moshinsky</w:t>
      </w:r>
      <w:r w:rsidR="006F5323" w:rsidRPr="006976B2">
        <w:rPr>
          <w:spacing w:val="-5"/>
          <w:szCs w:val="24"/>
        </w:rPr>
        <w:t xml:space="preserve"> </w:t>
      </w:r>
      <w:r w:rsidR="006F5323" w:rsidRPr="006976B2">
        <w:rPr>
          <w:szCs w:val="24"/>
        </w:rPr>
        <w:t>J</w:t>
      </w:r>
      <w:r w:rsidR="006F5323" w:rsidRPr="006976B2">
        <w:rPr>
          <w:spacing w:val="-2"/>
          <w:szCs w:val="24"/>
        </w:rPr>
        <w:t xml:space="preserve"> </w:t>
      </w:r>
      <w:r w:rsidR="006976B2">
        <w:rPr>
          <w:szCs w:val="24"/>
        </w:rPr>
        <w:t>said</w:t>
      </w:r>
      <w:r w:rsidR="006F5323" w:rsidRPr="006976B2">
        <w:rPr>
          <w:szCs w:val="24"/>
        </w:rPr>
        <w:t>:</w:t>
      </w:r>
    </w:p>
    <w:p w14:paraId="57E0FB47" w14:textId="77777777" w:rsidR="006F5323" w:rsidRDefault="006F5323" w:rsidP="006F5323">
      <w:pPr>
        <w:pStyle w:val="Quote1"/>
      </w:pPr>
      <w:r>
        <w:t>The</w:t>
      </w:r>
      <w:r>
        <w:rPr>
          <w:spacing w:val="-2"/>
        </w:rPr>
        <w:t xml:space="preserve"> </w:t>
      </w:r>
      <w:r>
        <w:t>cases</w:t>
      </w:r>
      <w:r>
        <w:rPr>
          <w:spacing w:val="-4"/>
        </w:rPr>
        <w:t xml:space="preserve"> </w:t>
      </w:r>
      <w:r>
        <w:t>indicate</w:t>
      </w:r>
      <w:r>
        <w:rPr>
          <w:spacing w:val="-2"/>
        </w:rPr>
        <w:t xml:space="preserve"> </w:t>
      </w:r>
      <w:r>
        <w:t>a</w:t>
      </w:r>
      <w:r>
        <w:rPr>
          <w:spacing w:val="-2"/>
        </w:rPr>
        <w:t xml:space="preserve"> </w:t>
      </w:r>
      <w:r>
        <w:t>number</w:t>
      </w:r>
      <w:r>
        <w:rPr>
          <w:spacing w:val="-2"/>
        </w:rPr>
        <w:t xml:space="preserve"> </w:t>
      </w:r>
      <w:r>
        <w:t>of</w:t>
      </w:r>
      <w:r>
        <w:rPr>
          <w:spacing w:val="-4"/>
        </w:rPr>
        <w:t xml:space="preserve"> </w:t>
      </w:r>
      <w:r>
        <w:t>factors</w:t>
      </w:r>
      <w:r>
        <w:rPr>
          <w:spacing w:val="-2"/>
        </w:rPr>
        <w:t xml:space="preserve"> </w:t>
      </w:r>
      <w:r>
        <w:t>relevant</w:t>
      </w:r>
      <w:r>
        <w:rPr>
          <w:spacing w:val="-4"/>
        </w:rPr>
        <w:t xml:space="preserve"> </w:t>
      </w:r>
      <w:r>
        <w:t>to</w:t>
      </w:r>
      <w:r>
        <w:rPr>
          <w:spacing w:val="-5"/>
        </w:rPr>
        <w:t xml:space="preserve"> </w:t>
      </w:r>
      <w:r>
        <w:t>the</w:t>
      </w:r>
      <w:r>
        <w:rPr>
          <w:spacing w:val="-4"/>
        </w:rPr>
        <w:t xml:space="preserve"> </w:t>
      </w:r>
      <w:r>
        <w:t>assessment</w:t>
      </w:r>
      <w:r>
        <w:rPr>
          <w:spacing w:val="-1"/>
        </w:rPr>
        <w:t xml:space="preserve"> </w:t>
      </w:r>
      <w:r>
        <w:t>whether</w:t>
      </w:r>
      <w:r>
        <w:rPr>
          <w:spacing w:val="-4"/>
        </w:rPr>
        <w:t xml:space="preserve"> </w:t>
      </w:r>
      <w:r>
        <w:t>a</w:t>
      </w:r>
      <w:r>
        <w:rPr>
          <w:spacing w:val="-2"/>
        </w:rPr>
        <w:t xml:space="preserve"> </w:t>
      </w:r>
      <w:r>
        <w:t>proposed distribution</w:t>
      </w:r>
      <w:r>
        <w:rPr>
          <w:spacing w:val="-1"/>
        </w:rPr>
        <w:t xml:space="preserve"> </w:t>
      </w:r>
      <w:r>
        <w:t>scheme is fair and reasonable having regard to</w:t>
      </w:r>
      <w:r>
        <w:rPr>
          <w:spacing w:val="-1"/>
        </w:rPr>
        <w:t xml:space="preserve"> </w:t>
      </w:r>
      <w:r>
        <w:t>the interests of the group as a whole. Some of these factors are as follows:</w:t>
      </w:r>
    </w:p>
    <w:p w14:paraId="5E8DF47A" w14:textId="2D4DB6E4" w:rsidR="006F5323" w:rsidRDefault="00B6500C" w:rsidP="00B6500C">
      <w:pPr>
        <w:pStyle w:val="Quote1"/>
        <w:tabs>
          <w:tab w:val="left" w:pos="8222"/>
        </w:tabs>
        <w:ind w:left="1560" w:hanging="851"/>
      </w:pPr>
      <w:r>
        <w:t>(a)</w:t>
      </w:r>
      <w:r>
        <w:tab/>
      </w:r>
      <w:r w:rsidR="006F5323">
        <w:t>whether</w:t>
      </w:r>
      <w:r w:rsidR="006F5323">
        <w:rPr>
          <w:spacing w:val="-3"/>
        </w:rPr>
        <w:t xml:space="preserve"> </w:t>
      </w:r>
      <w:r w:rsidR="006F5323">
        <w:t>the</w:t>
      </w:r>
      <w:r w:rsidR="006F5323">
        <w:rPr>
          <w:spacing w:val="-3"/>
        </w:rPr>
        <w:t xml:space="preserve"> </w:t>
      </w:r>
      <w:r w:rsidR="006F5323">
        <w:t>distribution</w:t>
      </w:r>
      <w:r w:rsidR="006F5323">
        <w:rPr>
          <w:spacing w:val="-3"/>
        </w:rPr>
        <w:t xml:space="preserve"> </w:t>
      </w:r>
      <w:r w:rsidR="006F5323">
        <w:t>scheme</w:t>
      </w:r>
      <w:r w:rsidR="006F5323">
        <w:rPr>
          <w:spacing w:val="-3"/>
        </w:rPr>
        <w:t xml:space="preserve"> </w:t>
      </w:r>
      <w:r w:rsidR="006F5323">
        <w:t>subjects</w:t>
      </w:r>
      <w:r w:rsidR="006F5323">
        <w:rPr>
          <w:spacing w:val="-5"/>
        </w:rPr>
        <w:t xml:space="preserve"> </w:t>
      </w:r>
      <w:r w:rsidR="006F5323">
        <w:t>all</w:t>
      </w:r>
      <w:r w:rsidR="006F5323">
        <w:rPr>
          <w:spacing w:val="-2"/>
        </w:rPr>
        <w:t xml:space="preserve"> </w:t>
      </w:r>
      <w:r w:rsidR="006F5323">
        <w:t>claims</w:t>
      </w:r>
      <w:r w:rsidR="006F5323">
        <w:rPr>
          <w:spacing w:val="-5"/>
        </w:rPr>
        <w:t xml:space="preserve"> </w:t>
      </w:r>
      <w:r w:rsidR="006F5323">
        <w:t>to</w:t>
      </w:r>
      <w:r w:rsidR="006F5323">
        <w:rPr>
          <w:spacing w:val="-6"/>
        </w:rPr>
        <w:t xml:space="preserve"> </w:t>
      </w:r>
      <w:r w:rsidR="006F5323">
        <w:t>the</w:t>
      </w:r>
      <w:r w:rsidR="006F5323">
        <w:rPr>
          <w:spacing w:val="-3"/>
        </w:rPr>
        <w:t xml:space="preserve"> </w:t>
      </w:r>
      <w:r w:rsidR="006F5323">
        <w:t>same</w:t>
      </w:r>
      <w:r w:rsidR="006F5323">
        <w:rPr>
          <w:spacing w:val="-3"/>
        </w:rPr>
        <w:t xml:space="preserve"> </w:t>
      </w:r>
      <w:r w:rsidR="006F5323">
        <w:t>principles</w:t>
      </w:r>
      <w:r w:rsidR="006F5323">
        <w:rPr>
          <w:spacing w:val="-3"/>
        </w:rPr>
        <w:t xml:space="preserve"> </w:t>
      </w:r>
      <w:r w:rsidR="006F5323">
        <w:t>and procedures for assessing compensation shares;</w:t>
      </w:r>
    </w:p>
    <w:p w14:paraId="49481E08" w14:textId="22157C49" w:rsidR="006F5323" w:rsidRDefault="00B6500C" w:rsidP="00B6500C">
      <w:pPr>
        <w:pStyle w:val="Quote1"/>
        <w:tabs>
          <w:tab w:val="left" w:pos="8222"/>
        </w:tabs>
        <w:ind w:left="1560" w:hanging="851"/>
      </w:pPr>
      <w:r>
        <w:t>(b)</w:t>
      </w:r>
      <w:r>
        <w:tab/>
      </w:r>
      <w:r w:rsidR="006F5323">
        <w:t>whether</w:t>
      </w:r>
      <w:r w:rsidR="006F5323" w:rsidRPr="006F5323">
        <w:rPr>
          <w:spacing w:val="-3"/>
        </w:rPr>
        <w:t xml:space="preserve"> </w:t>
      </w:r>
      <w:r w:rsidR="006F5323">
        <w:t>the</w:t>
      </w:r>
      <w:r w:rsidR="006F5323" w:rsidRPr="006F5323">
        <w:rPr>
          <w:spacing w:val="-3"/>
        </w:rPr>
        <w:t xml:space="preserve"> </w:t>
      </w:r>
      <w:r w:rsidR="006F5323">
        <w:t>assessment</w:t>
      </w:r>
      <w:r w:rsidR="006F5323" w:rsidRPr="006F5323">
        <w:rPr>
          <w:spacing w:val="-2"/>
        </w:rPr>
        <w:t xml:space="preserve"> </w:t>
      </w:r>
      <w:r w:rsidR="006F5323">
        <w:t>methodology,</w:t>
      </w:r>
      <w:r w:rsidR="006F5323" w:rsidRPr="006F5323">
        <w:rPr>
          <w:spacing w:val="-6"/>
        </w:rPr>
        <w:t xml:space="preserve"> </w:t>
      </w:r>
      <w:r w:rsidR="006F5323">
        <w:t>to</w:t>
      </w:r>
      <w:r w:rsidR="006F5323" w:rsidRPr="006F5323">
        <w:rPr>
          <w:spacing w:val="-3"/>
        </w:rPr>
        <w:t xml:space="preserve"> </w:t>
      </w:r>
      <w:r w:rsidR="006F5323">
        <w:t>the</w:t>
      </w:r>
      <w:r w:rsidR="006F5323" w:rsidRPr="006F5323">
        <w:rPr>
          <w:spacing w:val="-3"/>
        </w:rPr>
        <w:t xml:space="preserve"> </w:t>
      </w:r>
      <w:r w:rsidR="006F5323">
        <w:t>extent</w:t>
      </w:r>
      <w:r w:rsidR="006F5323" w:rsidRPr="006F5323">
        <w:rPr>
          <w:spacing w:val="-5"/>
        </w:rPr>
        <w:t xml:space="preserve"> </w:t>
      </w:r>
      <w:r w:rsidR="006F5323">
        <w:t>that</w:t>
      </w:r>
      <w:r w:rsidR="006F5323" w:rsidRPr="006F5323">
        <w:rPr>
          <w:spacing w:val="-7"/>
        </w:rPr>
        <w:t xml:space="preserve"> </w:t>
      </w:r>
      <w:r w:rsidR="006F5323">
        <w:t>it</w:t>
      </w:r>
      <w:r w:rsidR="006F5323" w:rsidRPr="006F5323">
        <w:rPr>
          <w:spacing w:val="-2"/>
        </w:rPr>
        <w:t xml:space="preserve"> </w:t>
      </w:r>
      <w:r w:rsidR="006F5323">
        <w:t>reflects</w:t>
      </w:r>
      <w:r w:rsidR="006F5323" w:rsidRPr="006F5323">
        <w:rPr>
          <w:spacing w:val="-5"/>
        </w:rPr>
        <w:t xml:space="preserve"> </w:t>
      </w:r>
      <w:r w:rsidR="00CD113A">
        <w:t>‘</w:t>
      </w:r>
      <w:r w:rsidR="006F5323">
        <w:t>judgment calls</w:t>
      </w:r>
      <w:r w:rsidR="00CD113A">
        <w:t>’</w:t>
      </w:r>
      <w:r w:rsidR="006F5323" w:rsidRPr="006F5323">
        <w:rPr>
          <w:spacing w:val="-2"/>
        </w:rPr>
        <w:t xml:space="preserve"> </w:t>
      </w:r>
      <w:r w:rsidR="006F5323">
        <w:t>of</w:t>
      </w:r>
      <w:r w:rsidR="006F5323" w:rsidRPr="006F5323">
        <w:rPr>
          <w:spacing w:val="-2"/>
        </w:rPr>
        <w:t xml:space="preserve"> </w:t>
      </w:r>
      <w:r w:rsidR="006F5323">
        <w:t>the</w:t>
      </w:r>
      <w:r w:rsidR="006F5323" w:rsidRPr="006F5323">
        <w:rPr>
          <w:spacing w:val="-2"/>
        </w:rPr>
        <w:t xml:space="preserve"> </w:t>
      </w:r>
      <w:r w:rsidR="006F5323">
        <w:t>kind</w:t>
      </w:r>
      <w:r w:rsidR="006F5323" w:rsidRPr="006F5323">
        <w:rPr>
          <w:spacing w:val="-3"/>
        </w:rPr>
        <w:t xml:space="preserve"> </w:t>
      </w:r>
      <w:r w:rsidR="006F5323">
        <w:t>described</w:t>
      </w:r>
      <w:r w:rsidR="006F5323" w:rsidRPr="006F5323">
        <w:rPr>
          <w:spacing w:val="-3"/>
        </w:rPr>
        <w:t xml:space="preserve"> </w:t>
      </w:r>
      <w:r w:rsidR="006F5323">
        <w:t>above,</w:t>
      </w:r>
      <w:r w:rsidR="006F5323" w:rsidRPr="006F5323">
        <w:rPr>
          <w:spacing w:val="-3"/>
        </w:rPr>
        <w:t xml:space="preserve"> </w:t>
      </w:r>
      <w:r w:rsidR="006F5323">
        <w:t>is</w:t>
      </w:r>
      <w:r w:rsidR="006F5323" w:rsidRPr="006F5323">
        <w:rPr>
          <w:spacing w:val="-2"/>
        </w:rPr>
        <w:t xml:space="preserve"> </w:t>
      </w:r>
      <w:r w:rsidR="006F5323">
        <w:t>consistent with the case that was</w:t>
      </w:r>
      <w:r w:rsidR="006F5323" w:rsidRPr="006F5323">
        <w:rPr>
          <w:spacing w:val="-2"/>
        </w:rPr>
        <w:t xml:space="preserve"> </w:t>
      </w:r>
      <w:r w:rsidR="006F5323">
        <w:t>to be advanced at trial and supportable as a matter of legal principle;</w:t>
      </w:r>
    </w:p>
    <w:p w14:paraId="53A54A12" w14:textId="6D6A4CE9" w:rsidR="006F5323" w:rsidRDefault="00B6500C" w:rsidP="00B6500C">
      <w:pPr>
        <w:pStyle w:val="Quote1"/>
        <w:tabs>
          <w:tab w:val="left" w:pos="8222"/>
        </w:tabs>
        <w:ind w:left="1560" w:hanging="851"/>
      </w:pPr>
      <w:r>
        <w:t>(c)</w:t>
      </w:r>
      <w:r>
        <w:tab/>
      </w:r>
      <w:r w:rsidR="006F5323">
        <w:t>whether the assessment methodology is likely to deliver a broadly fair</w:t>
      </w:r>
      <w:r w:rsidR="006F5323" w:rsidRPr="006F5323">
        <w:rPr>
          <w:spacing w:val="40"/>
        </w:rPr>
        <w:t xml:space="preserve"> </w:t>
      </w:r>
      <w:r w:rsidR="006F5323">
        <w:t>assessment</w:t>
      </w:r>
      <w:r w:rsidR="006F5323" w:rsidRPr="006F5323">
        <w:rPr>
          <w:spacing w:val="-2"/>
        </w:rPr>
        <w:t xml:space="preserve"> </w:t>
      </w:r>
      <w:r w:rsidR="006F5323">
        <w:t>(where</w:t>
      </w:r>
      <w:r w:rsidR="006F5323" w:rsidRPr="006F5323">
        <w:rPr>
          <w:spacing w:val="-5"/>
        </w:rPr>
        <w:t xml:space="preserve"> </w:t>
      </w:r>
      <w:r w:rsidR="006F5323">
        <w:t>the</w:t>
      </w:r>
      <w:r w:rsidR="006F5323" w:rsidRPr="006F5323">
        <w:rPr>
          <w:spacing w:val="-5"/>
        </w:rPr>
        <w:t xml:space="preserve"> </w:t>
      </w:r>
      <w:r w:rsidR="006F5323">
        <w:t>settlement</w:t>
      </w:r>
      <w:r w:rsidR="006F5323" w:rsidRPr="006F5323">
        <w:rPr>
          <w:spacing w:val="-5"/>
        </w:rPr>
        <w:t xml:space="preserve"> </w:t>
      </w:r>
      <w:r w:rsidR="006F5323">
        <w:t>is</w:t>
      </w:r>
      <w:r w:rsidR="006F5323" w:rsidRPr="006F5323">
        <w:rPr>
          <w:spacing w:val="-3"/>
        </w:rPr>
        <w:t xml:space="preserve"> </w:t>
      </w:r>
      <w:r w:rsidR="006F5323">
        <w:t>uncapped</w:t>
      </w:r>
      <w:r w:rsidR="006F5323" w:rsidRPr="006F5323">
        <w:rPr>
          <w:spacing w:val="-3"/>
        </w:rPr>
        <w:t xml:space="preserve"> </w:t>
      </w:r>
      <w:r w:rsidR="006F5323">
        <w:t>as</w:t>
      </w:r>
      <w:r w:rsidR="006F5323" w:rsidRPr="006F5323">
        <w:rPr>
          <w:spacing w:val="-5"/>
        </w:rPr>
        <w:t xml:space="preserve"> </w:t>
      </w:r>
      <w:r w:rsidR="006F5323">
        <w:t>to</w:t>
      </w:r>
      <w:r w:rsidR="006F5323" w:rsidRPr="006F5323">
        <w:rPr>
          <w:spacing w:val="-6"/>
        </w:rPr>
        <w:t xml:space="preserve"> </w:t>
      </w:r>
      <w:r w:rsidR="006F5323">
        <w:t>total</w:t>
      </w:r>
      <w:r w:rsidR="006F5323" w:rsidRPr="006F5323">
        <w:rPr>
          <w:spacing w:val="-2"/>
        </w:rPr>
        <w:t xml:space="preserve"> </w:t>
      </w:r>
      <w:r w:rsidR="006F5323">
        <w:t>payments)</w:t>
      </w:r>
      <w:r w:rsidR="006F5323" w:rsidRPr="006F5323">
        <w:rPr>
          <w:spacing w:val="-2"/>
        </w:rPr>
        <w:t xml:space="preserve"> </w:t>
      </w:r>
      <w:r w:rsidR="006F5323">
        <w:t>or</w:t>
      </w:r>
      <w:r w:rsidR="006F5323" w:rsidRPr="006F5323">
        <w:rPr>
          <w:spacing w:val="-3"/>
        </w:rPr>
        <w:t xml:space="preserve"> </w:t>
      </w:r>
      <w:r w:rsidR="006F5323">
        <w:t>relativities (where the task is allocating shares in a fixed sum);</w:t>
      </w:r>
    </w:p>
    <w:p w14:paraId="7F4DA286" w14:textId="673B6A4F" w:rsidR="006F5323" w:rsidRDefault="00B6500C" w:rsidP="00B6500C">
      <w:pPr>
        <w:pStyle w:val="Quote1"/>
        <w:tabs>
          <w:tab w:val="left" w:pos="8222"/>
        </w:tabs>
        <w:ind w:left="1560" w:hanging="851"/>
      </w:pPr>
      <w:r>
        <w:t>(d)</w:t>
      </w:r>
      <w:r>
        <w:tab/>
      </w:r>
      <w:r w:rsidR="006F5323">
        <w:t>whether</w:t>
      </w:r>
      <w:r w:rsidR="006F5323" w:rsidRPr="006F5323">
        <w:rPr>
          <w:spacing w:val="-3"/>
        </w:rPr>
        <w:t xml:space="preserve"> </w:t>
      </w:r>
      <w:r w:rsidR="006F5323">
        <w:t>the</w:t>
      </w:r>
      <w:r w:rsidR="006F5323" w:rsidRPr="006F5323">
        <w:rPr>
          <w:spacing w:val="-3"/>
        </w:rPr>
        <w:t xml:space="preserve"> </w:t>
      </w:r>
      <w:r w:rsidR="006F5323">
        <w:t>costs</w:t>
      </w:r>
      <w:r w:rsidR="006F5323" w:rsidRPr="006F5323">
        <w:rPr>
          <w:spacing w:val="-5"/>
        </w:rPr>
        <w:t xml:space="preserve"> </w:t>
      </w:r>
      <w:r w:rsidR="006F5323">
        <w:t>of</w:t>
      </w:r>
      <w:r w:rsidR="006F5323" w:rsidRPr="006F5323">
        <w:rPr>
          <w:spacing w:val="-2"/>
        </w:rPr>
        <w:t xml:space="preserve"> </w:t>
      </w:r>
      <w:r w:rsidR="006F5323">
        <w:t>a</w:t>
      </w:r>
      <w:r w:rsidR="006F5323" w:rsidRPr="006F5323">
        <w:rPr>
          <w:spacing w:val="-6"/>
        </w:rPr>
        <w:t xml:space="preserve"> </w:t>
      </w:r>
      <w:r w:rsidR="006F5323">
        <w:t>more</w:t>
      </w:r>
      <w:r w:rsidR="006F5323" w:rsidRPr="006F5323">
        <w:rPr>
          <w:spacing w:val="-5"/>
        </w:rPr>
        <w:t xml:space="preserve"> </w:t>
      </w:r>
      <w:r w:rsidR="006F5323">
        <w:t>perfect</w:t>
      </w:r>
      <w:r w:rsidR="006F5323" w:rsidRPr="006F5323">
        <w:rPr>
          <w:spacing w:val="-2"/>
        </w:rPr>
        <w:t xml:space="preserve"> </w:t>
      </w:r>
      <w:r w:rsidR="006F5323">
        <w:t>assessment</w:t>
      </w:r>
      <w:r w:rsidR="006F5323" w:rsidRPr="006F5323">
        <w:rPr>
          <w:spacing w:val="-2"/>
        </w:rPr>
        <w:t xml:space="preserve"> </w:t>
      </w:r>
      <w:r w:rsidR="006F5323">
        <w:t>procedure</w:t>
      </w:r>
      <w:r w:rsidR="006F5323" w:rsidRPr="006F5323">
        <w:rPr>
          <w:spacing w:val="-3"/>
        </w:rPr>
        <w:t xml:space="preserve"> </w:t>
      </w:r>
      <w:r w:rsidR="006F5323">
        <w:t>would</w:t>
      </w:r>
      <w:r w:rsidR="006F5323" w:rsidRPr="006F5323">
        <w:rPr>
          <w:spacing w:val="-3"/>
        </w:rPr>
        <w:t xml:space="preserve"> </w:t>
      </w:r>
      <w:r w:rsidR="006F5323">
        <w:t>erode</w:t>
      </w:r>
      <w:r w:rsidR="006F5323" w:rsidRPr="006F5323">
        <w:rPr>
          <w:spacing w:val="-5"/>
        </w:rPr>
        <w:t xml:space="preserve"> </w:t>
      </w:r>
      <w:r w:rsidR="006F5323">
        <w:t>the notional benefit of a more exact distribution;</w:t>
      </w:r>
    </w:p>
    <w:p w14:paraId="57E08313" w14:textId="4F46B931" w:rsidR="006F5323" w:rsidRDefault="00B6500C" w:rsidP="00B6500C">
      <w:pPr>
        <w:pStyle w:val="Quote1"/>
        <w:tabs>
          <w:tab w:val="left" w:pos="8222"/>
        </w:tabs>
        <w:ind w:left="1560" w:hanging="851"/>
      </w:pPr>
      <w:r>
        <w:t>(e)</w:t>
      </w:r>
      <w:r>
        <w:tab/>
      </w:r>
      <w:r w:rsidR="006F5323">
        <w:t>to the extent that the scheme involves any special treatment of the plaintiffs or some</w:t>
      </w:r>
      <w:r w:rsidR="006F5323" w:rsidRPr="006F5323">
        <w:rPr>
          <w:spacing w:val="-3"/>
        </w:rPr>
        <w:t xml:space="preserve"> </w:t>
      </w:r>
      <w:r w:rsidR="006F5323">
        <w:t>group</w:t>
      </w:r>
      <w:r w:rsidR="006F5323" w:rsidRPr="006F5323">
        <w:rPr>
          <w:spacing w:val="-3"/>
        </w:rPr>
        <w:t xml:space="preserve"> </w:t>
      </w:r>
      <w:r w:rsidR="006F5323">
        <w:t>members,</w:t>
      </w:r>
      <w:r w:rsidR="006F5323" w:rsidRPr="006F5323">
        <w:rPr>
          <w:spacing w:val="-3"/>
        </w:rPr>
        <w:t xml:space="preserve"> </w:t>
      </w:r>
      <w:r w:rsidR="006F5323">
        <w:t>for</w:t>
      </w:r>
      <w:r w:rsidR="006F5323" w:rsidRPr="006F5323">
        <w:rPr>
          <w:spacing w:val="-5"/>
        </w:rPr>
        <w:t xml:space="preserve"> </w:t>
      </w:r>
      <w:r w:rsidR="006F5323">
        <w:t>instance</w:t>
      </w:r>
      <w:r w:rsidR="006F5323" w:rsidRPr="006F5323">
        <w:rPr>
          <w:spacing w:val="-3"/>
        </w:rPr>
        <w:t xml:space="preserve"> </w:t>
      </w:r>
      <w:r w:rsidR="006F5323">
        <w:t>via</w:t>
      </w:r>
      <w:r w:rsidR="006F5323" w:rsidRPr="006F5323">
        <w:rPr>
          <w:spacing w:val="-6"/>
        </w:rPr>
        <w:t xml:space="preserve"> </w:t>
      </w:r>
      <w:r w:rsidR="00CD113A">
        <w:t>‘</w:t>
      </w:r>
      <w:r w:rsidR="006F5323">
        <w:t>reimbursement</w:t>
      </w:r>
      <w:r w:rsidR="00CD113A">
        <w:t>’</w:t>
      </w:r>
      <w:r w:rsidR="006F5323" w:rsidRPr="006F5323">
        <w:rPr>
          <w:spacing w:val="-2"/>
        </w:rPr>
        <w:t xml:space="preserve"> </w:t>
      </w:r>
      <w:r w:rsidR="006F5323">
        <w:t>payments</w:t>
      </w:r>
      <w:r w:rsidR="006F5323" w:rsidRPr="006F5323">
        <w:rPr>
          <w:spacing w:val="-5"/>
        </w:rPr>
        <w:t xml:space="preserve"> </w:t>
      </w:r>
      <w:r w:rsidR="006F5323">
        <w:t>–</w:t>
      </w:r>
      <w:r w:rsidR="006F5323" w:rsidRPr="006F5323">
        <w:rPr>
          <w:spacing w:val="-3"/>
        </w:rPr>
        <w:t xml:space="preserve"> </w:t>
      </w:r>
      <w:r w:rsidR="006F5323">
        <w:t>whether</w:t>
      </w:r>
      <w:r w:rsidR="006F5323" w:rsidRPr="006F5323">
        <w:rPr>
          <w:spacing w:val="-5"/>
        </w:rPr>
        <w:t xml:space="preserve"> </w:t>
      </w:r>
      <w:r w:rsidR="006F5323">
        <w:t>the special treatment is justifiable, and whether as a matter of fairness a group member ought to be entitled to complain.</w:t>
      </w:r>
    </w:p>
    <w:p w14:paraId="5B1156DA" w14:textId="77777777" w:rsidR="006F5323" w:rsidRDefault="006F5323" w:rsidP="006F5323">
      <w:pPr>
        <w:pStyle w:val="Quote1"/>
      </w:pPr>
      <w:r>
        <w:t>There</w:t>
      </w:r>
      <w:r>
        <w:rPr>
          <w:spacing w:val="-2"/>
        </w:rPr>
        <w:t xml:space="preserve"> </w:t>
      </w:r>
      <w:r>
        <w:t>are</w:t>
      </w:r>
      <w:r>
        <w:rPr>
          <w:spacing w:val="-2"/>
        </w:rPr>
        <w:t xml:space="preserve"> </w:t>
      </w:r>
      <w:r>
        <w:t>also</w:t>
      </w:r>
      <w:r>
        <w:rPr>
          <w:spacing w:val="-5"/>
        </w:rPr>
        <w:t xml:space="preserve"> </w:t>
      </w:r>
      <w:r>
        <w:t>procedural</w:t>
      </w:r>
      <w:r>
        <w:rPr>
          <w:spacing w:val="-4"/>
        </w:rPr>
        <w:t xml:space="preserve"> </w:t>
      </w:r>
      <w:r>
        <w:t>factors</w:t>
      </w:r>
      <w:r>
        <w:rPr>
          <w:spacing w:val="-2"/>
        </w:rPr>
        <w:t xml:space="preserve"> </w:t>
      </w:r>
      <w:r>
        <w:t>which</w:t>
      </w:r>
      <w:r>
        <w:rPr>
          <w:spacing w:val="-2"/>
        </w:rPr>
        <w:t xml:space="preserve"> </w:t>
      </w:r>
      <w:r>
        <w:t>relate</w:t>
      </w:r>
      <w:r>
        <w:rPr>
          <w:spacing w:val="-4"/>
        </w:rPr>
        <w:t xml:space="preserve"> </w:t>
      </w:r>
      <w:r>
        <w:t>to</w:t>
      </w:r>
      <w:r>
        <w:rPr>
          <w:spacing w:val="-5"/>
        </w:rPr>
        <w:t xml:space="preserve"> </w:t>
      </w:r>
      <w:r>
        <w:t>the</w:t>
      </w:r>
      <w:r>
        <w:rPr>
          <w:spacing w:val="-4"/>
        </w:rPr>
        <w:t xml:space="preserve"> </w:t>
      </w:r>
      <w:r>
        <w:t>fairness</w:t>
      </w:r>
      <w:r>
        <w:rPr>
          <w:spacing w:val="-2"/>
        </w:rPr>
        <w:t xml:space="preserve"> </w:t>
      </w:r>
      <w:r>
        <w:t>of</w:t>
      </w:r>
      <w:r>
        <w:rPr>
          <w:spacing w:val="-2"/>
        </w:rPr>
        <w:t xml:space="preserve"> </w:t>
      </w:r>
      <w:r>
        <w:t>a</w:t>
      </w:r>
      <w:r>
        <w:rPr>
          <w:spacing w:val="-2"/>
        </w:rPr>
        <w:t xml:space="preserve"> </w:t>
      </w:r>
      <w:r>
        <w:t>proposed distribution process, such as:</w:t>
      </w:r>
    </w:p>
    <w:p w14:paraId="2DF2B583" w14:textId="213026A1" w:rsidR="006F5323" w:rsidRDefault="00B6500C" w:rsidP="00B6500C">
      <w:pPr>
        <w:pStyle w:val="Quote1"/>
        <w:ind w:left="1560" w:hanging="851"/>
      </w:pPr>
      <w:r>
        <w:t>(a)</w:t>
      </w:r>
      <w:r>
        <w:tab/>
      </w:r>
      <w:r w:rsidR="006F5323">
        <w:t>whether</w:t>
      </w:r>
      <w:r w:rsidR="006F5323">
        <w:rPr>
          <w:spacing w:val="-4"/>
        </w:rPr>
        <w:t xml:space="preserve"> </w:t>
      </w:r>
      <w:r w:rsidR="006F5323">
        <w:t>appropriate</w:t>
      </w:r>
      <w:r w:rsidR="006F5323">
        <w:rPr>
          <w:spacing w:val="-3"/>
        </w:rPr>
        <w:t xml:space="preserve"> </w:t>
      </w:r>
      <w:r w:rsidR="006F5323">
        <w:t>individuals</w:t>
      </w:r>
      <w:r w:rsidR="006F5323">
        <w:rPr>
          <w:spacing w:val="-5"/>
        </w:rPr>
        <w:t xml:space="preserve"> </w:t>
      </w:r>
      <w:r w:rsidR="006F5323">
        <w:t>have</w:t>
      </w:r>
      <w:r w:rsidR="006F5323">
        <w:rPr>
          <w:spacing w:val="-5"/>
        </w:rPr>
        <w:t xml:space="preserve"> </w:t>
      </w:r>
      <w:r w:rsidR="006F5323">
        <w:t>been</w:t>
      </w:r>
      <w:r w:rsidR="006F5323">
        <w:rPr>
          <w:spacing w:val="-7"/>
        </w:rPr>
        <w:t xml:space="preserve"> </w:t>
      </w:r>
      <w:r w:rsidR="006F5323">
        <w:t>nominated</w:t>
      </w:r>
      <w:r w:rsidR="006F5323">
        <w:rPr>
          <w:spacing w:val="-8"/>
        </w:rPr>
        <w:t xml:space="preserve"> </w:t>
      </w:r>
      <w:r w:rsidR="006F5323">
        <w:t>to</w:t>
      </w:r>
      <w:r w:rsidR="006F5323">
        <w:rPr>
          <w:spacing w:val="-3"/>
        </w:rPr>
        <w:t xml:space="preserve"> </w:t>
      </w:r>
      <w:r w:rsidR="006F5323">
        <w:t>administer</w:t>
      </w:r>
      <w:r w:rsidR="006F5323">
        <w:rPr>
          <w:spacing w:val="-3"/>
        </w:rPr>
        <w:t xml:space="preserve"> </w:t>
      </w:r>
      <w:r w:rsidR="006F5323">
        <w:t>the</w:t>
      </w:r>
      <w:r w:rsidR="006F5323">
        <w:rPr>
          <w:spacing w:val="-3"/>
        </w:rPr>
        <w:t xml:space="preserve"> </w:t>
      </w:r>
      <w:r w:rsidR="006F5323">
        <w:rPr>
          <w:spacing w:val="-2"/>
        </w:rPr>
        <w:t>scheme;</w:t>
      </w:r>
    </w:p>
    <w:p w14:paraId="23FC4F83" w14:textId="6B366791" w:rsidR="006F5323" w:rsidRDefault="00B6500C" w:rsidP="00B6500C">
      <w:pPr>
        <w:pStyle w:val="Quote1"/>
        <w:ind w:left="1560" w:hanging="851"/>
      </w:pPr>
      <w:r>
        <w:t>(b)</w:t>
      </w:r>
      <w:r>
        <w:tab/>
      </w:r>
      <w:r w:rsidR="006F5323">
        <w:t>whether</w:t>
      </w:r>
      <w:r w:rsidR="006F5323" w:rsidRPr="006F5323">
        <w:rPr>
          <w:spacing w:val="-2"/>
        </w:rPr>
        <w:t xml:space="preserve"> </w:t>
      </w:r>
      <w:r w:rsidR="006F5323">
        <w:t>the</w:t>
      </w:r>
      <w:r w:rsidR="006F5323" w:rsidRPr="006F5323">
        <w:rPr>
          <w:spacing w:val="-2"/>
        </w:rPr>
        <w:t xml:space="preserve"> </w:t>
      </w:r>
      <w:r w:rsidR="006F5323">
        <w:t>procedures</w:t>
      </w:r>
      <w:r w:rsidR="006F5323" w:rsidRPr="006F5323">
        <w:rPr>
          <w:spacing w:val="-4"/>
        </w:rPr>
        <w:t xml:space="preserve"> </w:t>
      </w:r>
      <w:r w:rsidR="006F5323">
        <w:t>for</w:t>
      </w:r>
      <w:r w:rsidR="006F5323" w:rsidRPr="006F5323">
        <w:rPr>
          <w:spacing w:val="-7"/>
        </w:rPr>
        <w:t xml:space="preserve"> </w:t>
      </w:r>
      <w:r w:rsidR="006F5323">
        <w:t>lodging</w:t>
      </w:r>
      <w:r w:rsidR="006F5323" w:rsidRPr="006F5323">
        <w:rPr>
          <w:spacing w:val="-2"/>
        </w:rPr>
        <w:t xml:space="preserve"> </w:t>
      </w:r>
      <w:r w:rsidR="006F5323">
        <w:t>and</w:t>
      </w:r>
      <w:r w:rsidR="006F5323" w:rsidRPr="006F5323">
        <w:rPr>
          <w:spacing w:val="-5"/>
        </w:rPr>
        <w:t xml:space="preserve"> </w:t>
      </w:r>
      <w:r w:rsidR="006F5323">
        <w:t>assessing</w:t>
      </w:r>
      <w:r w:rsidR="006F5323" w:rsidRPr="006F5323">
        <w:rPr>
          <w:spacing w:val="-5"/>
        </w:rPr>
        <w:t xml:space="preserve"> </w:t>
      </w:r>
      <w:r w:rsidR="006F5323">
        <w:t>claims</w:t>
      </w:r>
      <w:r w:rsidR="006F5323" w:rsidRPr="006F5323">
        <w:rPr>
          <w:spacing w:val="-2"/>
        </w:rPr>
        <w:t xml:space="preserve"> </w:t>
      </w:r>
      <w:r w:rsidR="006F5323">
        <w:t>are</w:t>
      </w:r>
      <w:r w:rsidR="006F5323" w:rsidRPr="006F5323">
        <w:rPr>
          <w:spacing w:val="-2"/>
        </w:rPr>
        <w:t xml:space="preserve"> </w:t>
      </w:r>
      <w:r w:rsidR="006F5323">
        <w:t>appropriate</w:t>
      </w:r>
      <w:r w:rsidR="006F5323" w:rsidRPr="006F5323">
        <w:rPr>
          <w:spacing w:val="-2"/>
        </w:rPr>
        <w:t xml:space="preserve"> </w:t>
      </w:r>
      <w:r w:rsidR="006F5323">
        <w:t>and</w:t>
      </w:r>
      <w:r w:rsidR="006F5323" w:rsidRPr="006F5323">
        <w:rPr>
          <w:spacing w:val="-2"/>
        </w:rPr>
        <w:t xml:space="preserve"> </w:t>
      </w:r>
      <w:r w:rsidR="006F5323">
        <w:t>to be conducted in a timely manner;</w:t>
      </w:r>
    </w:p>
    <w:p w14:paraId="56817F93" w14:textId="21F9120E" w:rsidR="006F5323" w:rsidRDefault="00B6500C" w:rsidP="00B6500C">
      <w:pPr>
        <w:pStyle w:val="Quote1"/>
        <w:ind w:left="1560" w:hanging="851"/>
      </w:pPr>
      <w:r>
        <w:t>(c)</w:t>
      </w:r>
      <w:r>
        <w:tab/>
      </w:r>
      <w:r w:rsidR="006F5323">
        <w:t>whether</w:t>
      </w:r>
      <w:r w:rsidR="006F5323" w:rsidRPr="006F5323">
        <w:rPr>
          <w:spacing w:val="-3"/>
        </w:rPr>
        <w:t xml:space="preserve"> </w:t>
      </w:r>
      <w:r w:rsidR="006F5323">
        <w:t>the</w:t>
      </w:r>
      <w:r w:rsidR="006F5323" w:rsidRPr="006F5323">
        <w:rPr>
          <w:spacing w:val="-3"/>
        </w:rPr>
        <w:t xml:space="preserve"> </w:t>
      </w:r>
      <w:r w:rsidR="006F5323">
        <w:t>scheme</w:t>
      </w:r>
      <w:r w:rsidR="006F5323" w:rsidRPr="006F5323">
        <w:rPr>
          <w:spacing w:val="-5"/>
        </w:rPr>
        <w:t xml:space="preserve"> </w:t>
      </w:r>
      <w:r w:rsidR="006F5323">
        <w:t>incorporates</w:t>
      </w:r>
      <w:r w:rsidR="006F5323" w:rsidRPr="006F5323">
        <w:rPr>
          <w:spacing w:val="-3"/>
        </w:rPr>
        <w:t xml:space="preserve"> </w:t>
      </w:r>
      <w:r w:rsidR="006F5323">
        <w:t>appropriate</w:t>
      </w:r>
      <w:r w:rsidR="006F5323" w:rsidRPr="006F5323">
        <w:rPr>
          <w:spacing w:val="-3"/>
        </w:rPr>
        <w:t xml:space="preserve"> </w:t>
      </w:r>
      <w:r w:rsidR="00CD113A">
        <w:t>‘</w:t>
      </w:r>
      <w:r w:rsidR="006F5323">
        <w:t>checks</w:t>
      </w:r>
      <w:r w:rsidR="006F5323" w:rsidRPr="006F5323">
        <w:rPr>
          <w:spacing w:val="-5"/>
        </w:rPr>
        <w:t xml:space="preserve"> </w:t>
      </w:r>
      <w:r w:rsidR="006F5323">
        <w:t>and</w:t>
      </w:r>
      <w:r w:rsidR="006F5323" w:rsidRPr="006F5323">
        <w:rPr>
          <w:spacing w:val="-3"/>
        </w:rPr>
        <w:t xml:space="preserve"> </w:t>
      </w:r>
      <w:r w:rsidR="006F5323">
        <w:t>balances</w:t>
      </w:r>
      <w:r w:rsidR="00CD113A">
        <w:t>’</w:t>
      </w:r>
      <w:r w:rsidR="006F5323">
        <w:t>,</w:t>
      </w:r>
      <w:r w:rsidR="006F5323" w:rsidRPr="006F5323">
        <w:rPr>
          <w:spacing w:val="-6"/>
        </w:rPr>
        <w:t xml:space="preserve"> </w:t>
      </w:r>
      <w:r w:rsidR="006F5323">
        <w:t>such</w:t>
      </w:r>
      <w:r w:rsidR="006F5323" w:rsidRPr="006F5323">
        <w:rPr>
          <w:spacing w:val="-6"/>
        </w:rPr>
        <w:t xml:space="preserve"> </w:t>
      </w:r>
      <w:r w:rsidR="006F5323">
        <w:t>as procedures for ensuring consistency between assessments and meaningful opportunities for review (and objection) by group members.</w:t>
      </w:r>
    </w:p>
    <w:p w14:paraId="7CB5EDF0" w14:textId="1D1AA357" w:rsidR="001D6958" w:rsidRDefault="00B6500C" w:rsidP="00B6500C">
      <w:pPr>
        <w:pStyle w:val="ParaNumbering"/>
        <w:numPr>
          <w:ilvl w:val="0"/>
          <w:numId w:val="0"/>
        </w:numPr>
        <w:ind w:hanging="720"/>
        <w:rPr>
          <w:szCs w:val="24"/>
        </w:rPr>
      </w:pPr>
      <w:r>
        <w:rPr>
          <w:iCs/>
          <w:sz w:val="20"/>
          <w:szCs w:val="24"/>
        </w:rPr>
        <w:lastRenderedPageBreak/>
        <w:t>44</w:t>
      </w:r>
      <w:r>
        <w:rPr>
          <w:iCs/>
          <w:sz w:val="20"/>
          <w:szCs w:val="24"/>
        </w:rPr>
        <w:tab/>
      </w:r>
      <w:r w:rsidR="00332317">
        <w:rPr>
          <w:szCs w:val="24"/>
        </w:rPr>
        <w:t>As is discussed in more detail below in the context of the Deed Administrators’ application for directions, t</w:t>
      </w:r>
      <w:r w:rsidR="006F5323" w:rsidRPr="00107882">
        <w:rPr>
          <w:szCs w:val="24"/>
        </w:rPr>
        <w:t>he</w:t>
      </w:r>
      <w:r w:rsidR="000B0791">
        <w:rPr>
          <w:szCs w:val="24"/>
        </w:rPr>
        <w:t xml:space="preserve"> </w:t>
      </w:r>
      <w:r w:rsidR="006F5323" w:rsidRPr="000B0791">
        <w:rPr>
          <w:szCs w:val="24"/>
        </w:rPr>
        <w:t>Deed</w:t>
      </w:r>
      <w:r w:rsidR="006F5323" w:rsidRPr="000B0791">
        <w:rPr>
          <w:spacing w:val="-2"/>
          <w:szCs w:val="24"/>
        </w:rPr>
        <w:t xml:space="preserve"> </w:t>
      </w:r>
      <w:r w:rsidR="006F5323" w:rsidRPr="000B0791">
        <w:rPr>
          <w:szCs w:val="24"/>
        </w:rPr>
        <w:t>Administrators</w:t>
      </w:r>
      <w:r w:rsidR="006F5323" w:rsidRPr="000B0791">
        <w:rPr>
          <w:spacing w:val="-2"/>
          <w:szCs w:val="24"/>
        </w:rPr>
        <w:t xml:space="preserve"> </w:t>
      </w:r>
      <w:r w:rsidR="006F5323" w:rsidRPr="000B0791">
        <w:rPr>
          <w:szCs w:val="24"/>
        </w:rPr>
        <w:t>have</w:t>
      </w:r>
      <w:r w:rsidR="006F5323" w:rsidRPr="000B0791">
        <w:rPr>
          <w:spacing w:val="-2"/>
          <w:szCs w:val="24"/>
        </w:rPr>
        <w:t xml:space="preserve"> </w:t>
      </w:r>
      <w:r w:rsidR="006F5323" w:rsidRPr="000B0791">
        <w:rPr>
          <w:szCs w:val="24"/>
        </w:rPr>
        <w:t>set</w:t>
      </w:r>
      <w:r w:rsidR="006F5323" w:rsidRPr="000B0791">
        <w:rPr>
          <w:spacing w:val="-4"/>
          <w:szCs w:val="24"/>
        </w:rPr>
        <w:t xml:space="preserve"> </w:t>
      </w:r>
      <w:r w:rsidR="006F5323" w:rsidRPr="000B0791">
        <w:rPr>
          <w:szCs w:val="24"/>
        </w:rPr>
        <w:t>up</w:t>
      </w:r>
      <w:r w:rsidR="006F5323" w:rsidRPr="000B0791">
        <w:rPr>
          <w:spacing w:val="-2"/>
          <w:szCs w:val="24"/>
        </w:rPr>
        <w:t xml:space="preserve"> </w:t>
      </w:r>
      <w:r w:rsidR="006F5323" w:rsidRPr="000B0791">
        <w:rPr>
          <w:szCs w:val="24"/>
        </w:rPr>
        <w:t>a</w:t>
      </w:r>
      <w:r w:rsidR="006F5323" w:rsidRPr="000B0791">
        <w:rPr>
          <w:spacing w:val="-5"/>
          <w:szCs w:val="24"/>
        </w:rPr>
        <w:t xml:space="preserve"> </w:t>
      </w:r>
      <w:r w:rsidR="00CD113A">
        <w:rPr>
          <w:szCs w:val="24"/>
        </w:rPr>
        <w:t>“</w:t>
      </w:r>
      <w:r w:rsidR="006F5323" w:rsidRPr="000B0791">
        <w:rPr>
          <w:szCs w:val="24"/>
        </w:rPr>
        <w:t>Creditor Portal</w:t>
      </w:r>
      <w:r w:rsidR="00CD113A">
        <w:rPr>
          <w:szCs w:val="24"/>
        </w:rPr>
        <w:t>”</w:t>
      </w:r>
      <w:r w:rsidR="00C0106B" w:rsidRPr="000B0791">
        <w:rPr>
          <w:szCs w:val="24"/>
        </w:rPr>
        <w:t xml:space="preserve"> as</w:t>
      </w:r>
      <w:r w:rsidR="00C0106B" w:rsidRPr="000B0791">
        <w:rPr>
          <w:spacing w:val="-2"/>
          <w:szCs w:val="24"/>
        </w:rPr>
        <w:t xml:space="preserve"> </w:t>
      </w:r>
      <w:r w:rsidR="00C0106B" w:rsidRPr="000B0791">
        <w:rPr>
          <w:szCs w:val="24"/>
        </w:rPr>
        <w:t>part</w:t>
      </w:r>
      <w:r w:rsidR="00C0106B" w:rsidRPr="000B0791">
        <w:rPr>
          <w:spacing w:val="-4"/>
          <w:szCs w:val="24"/>
        </w:rPr>
        <w:t xml:space="preserve"> </w:t>
      </w:r>
      <w:r w:rsidR="00C0106B" w:rsidRPr="000B0791">
        <w:rPr>
          <w:szCs w:val="24"/>
        </w:rPr>
        <w:t>of</w:t>
      </w:r>
      <w:r w:rsidR="00C0106B" w:rsidRPr="000B0791">
        <w:rPr>
          <w:spacing w:val="-4"/>
          <w:szCs w:val="24"/>
        </w:rPr>
        <w:t xml:space="preserve"> </w:t>
      </w:r>
      <w:r w:rsidR="00C0106B" w:rsidRPr="000B0791">
        <w:rPr>
          <w:szCs w:val="24"/>
        </w:rPr>
        <w:t>the</w:t>
      </w:r>
      <w:r w:rsidR="00C0106B" w:rsidRPr="000B0791">
        <w:rPr>
          <w:spacing w:val="-2"/>
          <w:szCs w:val="24"/>
        </w:rPr>
        <w:t xml:space="preserve"> </w:t>
      </w:r>
      <w:r w:rsidR="00C0106B" w:rsidRPr="000B0791">
        <w:rPr>
          <w:szCs w:val="24"/>
        </w:rPr>
        <w:t>DOCA</w:t>
      </w:r>
      <w:r w:rsidR="006F5323" w:rsidRPr="000B0791">
        <w:rPr>
          <w:szCs w:val="24"/>
        </w:rPr>
        <w:t xml:space="preserve">, similar to that </w:t>
      </w:r>
      <w:r w:rsidR="00C0106B" w:rsidRPr="000B0791">
        <w:rPr>
          <w:szCs w:val="24"/>
        </w:rPr>
        <w:t xml:space="preserve">which </w:t>
      </w:r>
      <w:r w:rsidR="006F5323" w:rsidRPr="000B0791">
        <w:rPr>
          <w:szCs w:val="24"/>
        </w:rPr>
        <w:t>would ordinarily be set up to administer a settlement in a class action</w:t>
      </w:r>
      <w:r w:rsidR="000B0791">
        <w:rPr>
          <w:szCs w:val="24"/>
        </w:rPr>
        <w:t xml:space="preserve">. </w:t>
      </w:r>
    </w:p>
    <w:p w14:paraId="50F651B4" w14:textId="6AFD93C4" w:rsidR="00CC3167" w:rsidRDefault="00B6500C" w:rsidP="00B6500C">
      <w:pPr>
        <w:pStyle w:val="ParaNumbering"/>
        <w:numPr>
          <w:ilvl w:val="0"/>
          <w:numId w:val="0"/>
        </w:numPr>
        <w:ind w:hanging="720"/>
        <w:rPr>
          <w:szCs w:val="24"/>
        </w:rPr>
      </w:pPr>
      <w:r>
        <w:rPr>
          <w:iCs/>
          <w:sz w:val="20"/>
          <w:szCs w:val="24"/>
        </w:rPr>
        <w:t>45</w:t>
      </w:r>
      <w:r>
        <w:rPr>
          <w:iCs/>
          <w:sz w:val="20"/>
          <w:szCs w:val="24"/>
        </w:rPr>
        <w:tab/>
      </w:r>
      <w:r w:rsidR="000B0791" w:rsidRPr="000B0791">
        <w:rPr>
          <w:iCs/>
          <w:szCs w:val="24"/>
        </w:rPr>
        <w:t>The</w:t>
      </w:r>
      <w:r w:rsidR="000B0791">
        <w:rPr>
          <w:i/>
          <w:szCs w:val="24"/>
        </w:rPr>
        <w:t xml:space="preserve"> </w:t>
      </w:r>
      <w:r w:rsidR="006F5323" w:rsidRPr="00107882">
        <w:rPr>
          <w:szCs w:val="24"/>
        </w:rPr>
        <w:t>Deed Administrators will assess the Claimants</w:t>
      </w:r>
      <w:r w:rsidR="00CD113A">
        <w:rPr>
          <w:szCs w:val="24"/>
        </w:rPr>
        <w:t>’</w:t>
      </w:r>
      <w:r w:rsidR="006F5323" w:rsidRPr="00107882">
        <w:rPr>
          <w:szCs w:val="24"/>
        </w:rPr>
        <w:t xml:space="preserve"> losses using</w:t>
      </w:r>
      <w:r w:rsidR="006F5323" w:rsidRPr="00107882">
        <w:rPr>
          <w:spacing w:val="-5"/>
          <w:szCs w:val="24"/>
        </w:rPr>
        <w:t xml:space="preserve"> </w:t>
      </w:r>
      <w:r w:rsidR="006F5323" w:rsidRPr="00107882">
        <w:rPr>
          <w:szCs w:val="24"/>
        </w:rPr>
        <w:t>the</w:t>
      </w:r>
      <w:r w:rsidR="006F5323" w:rsidRPr="00107882">
        <w:rPr>
          <w:spacing w:val="-4"/>
          <w:szCs w:val="24"/>
        </w:rPr>
        <w:t xml:space="preserve"> </w:t>
      </w:r>
      <w:r w:rsidR="00CD113A">
        <w:rPr>
          <w:szCs w:val="24"/>
        </w:rPr>
        <w:t>“</w:t>
      </w:r>
      <w:r w:rsidR="006F5323" w:rsidRPr="00107882">
        <w:rPr>
          <w:szCs w:val="24"/>
        </w:rPr>
        <w:t>Loss</w:t>
      </w:r>
      <w:r w:rsidR="006F5323" w:rsidRPr="00107882">
        <w:rPr>
          <w:spacing w:val="-3"/>
          <w:szCs w:val="24"/>
        </w:rPr>
        <w:t xml:space="preserve"> </w:t>
      </w:r>
      <w:r w:rsidR="006F5323" w:rsidRPr="00107882">
        <w:rPr>
          <w:szCs w:val="24"/>
        </w:rPr>
        <w:t>Quantification</w:t>
      </w:r>
      <w:r w:rsidR="006F5323" w:rsidRPr="00107882">
        <w:rPr>
          <w:spacing w:val="-3"/>
          <w:szCs w:val="24"/>
        </w:rPr>
        <w:t xml:space="preserve"> </w:t>
      </w:r>
      <w:r w:rsidR="006F5323" w:rsidRPr="001E5710">
        <w:rPr>
          <w:b/>
          <w:bCs/>
          <w:szCs w:val="24"/>
        </w:rPr>
        <w:t>Methodology</w:t>
      </w:r>
      <w:r w:rsidR="00CD113A">
        <w:rPr>
          <w:szCs w:val="24"/>
        </w:rPr>
        <w:t>”</w:t>
      </w:r>
      <w:r w:rsidR="006F5323" w:rsidRPr="00107882">
        <w:rPr>
          <w:spacing w:val="-3"/>
          <w:szCs w:val="24"/>
        </w:rPr>
        <w:t xml:space="preserve"> </w:t>
      </w:r>
      <w:r w:rsidR="006F5323" w:rsidRPr="00107882">
        <w:rPr>
          <w:szCs w:val="24"/>
        </w:rPr>
        <w:t>outlined</w:t>
      </w:r>
      <w:r w:rsidR="006F5323" w:rsidRPr="00107882">
        <w:rPr>
          <w:spacing w:val="-5"/>
          <w:szCs w:val="24"/>
        </w:rPr>
        <w:t xml:space="preserve"> </w:t>
      </w:r>
      <w:r w:rsidR="006F5323" w:rsidRPr="00107882">
        <w:rPr>
          <w:szCs w:val="24"/>
        </w:rPr>
        <w:t>in</w:t>
      </w:r>
      <w:r w:rsidR="006F5323" w:rsidRPr="00107882">
        <w:rPr>
          <w:spacing w:val="-3"/>
          <w:szCs w:val="24"/>
        </w:rPr>
        <w:t xml:space="preserve"> </w:t>
      </w:r>
      <w:r w:rsidR="006F5323" w:rsidRPr="00107882">
        <w:rPr>
          <w:szCs w:val="24"/>
        </w:rPr>
        <w:t>Annexure</w:t>
      </w:r>
      <w:r w:rsidR="006F5323" w:rsidRPr="00107882">
        <w:rPr>
          <w:spacing w:val="-3"/>
          <w:szCs w:val="24"/>
        </w:rPr>
        <w:t xml:space="preserve"> </w:t>
      </w:r>
      <w:r w:rsidR="006F5323" w:rsidRPr="00107882">
        <w:rPr>
          <w:szCs w:val="24"/>
        </w:rPr>
        <w:t>B</w:t>
      </w:r>
      <w:r w:rsidR="006F5323" w:rsidRPr="00107882">
        <w:rPr>
          <w:spacing w:val="-4"/>
          <w:szCs w:val="24"/>
        </w:rPr>
        <w:t xml:space="preserve"> </w:t>
      </w:r>
      <w:r w:rsidR="006F5323" w:rsidRPr="00107882">
        <w:rPr>
          <w:szCs w:val="24"/>
        </w:rPr>
        <w:t>of</w:t>
      </w:r>
      <w:r w:rsidR="006F5323" w:rsidRPr="00107882">
        <w:rPr>
          <w:spacing w:val="-4"/>
          <w:szCs w:val="24"/>
        </w:rPr>
        <w:t xml:space="preserve"> </w:t>
      </w:r>
      <w:r w:rsidR="006F5323" w:rsidRPr="00107882">
        <w:rPr>
          <w:szCs w:val="24"/>
        </w:rPr>
        <w:t>the</w:t>
      </w:r>
      <w:r w:rsidR="006F5323" w:rsidRPr="00107882">
        <w:rPr>
          <w:spacing w:val="-3"/>
          <w:szCs w:val="24"/>
        </w:rPr>
        <w:t xml:space="preserve"> </w:t>
      </w:r>
      <w:r w:rsidR="006F5323" w:rsidRPr="00107882">
        <w:rPr>
          <w:szCs w:val="24"/>
        </w:rPr>
        <w:t>DOCA.</w:t>
      </w:r>
      <w:r w:rsidR="006F5323" w:rsidRPr="00107882">
        <w:rPr>
          <w:spacing w:val="-3"/>
          <w:szCs w:val="24"/>
        </w:rPr>
        <w:t xml:space="preserve"> </w:t>
      </w:r>
      <w:r w:rsidR="006F5323" w:rsidRPr="00107882">
        <w:rPr>
          <w:szCs w:val="24"/>
        </w:rPr>
        <w:t>The Methodology will calculate the loss of invested capital / actual loss, and those who are found to have an actual loss will be considered for compensation under the DOCA</w:t>
      </w:r>
      <w:r w:rsidR="00CC3167">
        <w:rPr>
          <w:szCs w:val="24"/>
        </w:rPr>
        <w:t>.</w:t>
      </w:r>
    </w:p>
    <w:p w14:paraId="2951EF5C" w14:textId="731796B5" w:rsidR="006F5323" w:rsidRPr="00CC3167" w:rsidRDefault="00B6500C" w:rsidP="00B6500C">
      <w:pPr>
        <w:pStyle w:val="ParaNumbering"/>
        <w:numPr>
          <w:ilvl w:val="0"/>
          <w:numId w:val="0"/>
        </w:numPr>
        <w:ind w:hanging="720"/>
        <w:rPr>
          <w:szCs w:val="24"/>
        </w:rPr>
      </w:pPr>
      <w:r w:rsidRPr="00CC3167">
        <w:rPr>
          <w:iCs/>
          <w:sz w:val="20"/>
          <w:szCs w:val="24"/>
        </w:rPr>
        <w:t>46</w:t>
      </w:r>
      <w:r w:rsidRPr="00CC3167">
        <w:rPr>
          <w:iCs/>
          <w:sz w:val="20"/>
          <w:szCs w:val="24"/>
        </w:rPr>
        <w:tab/>
      </w:r>
      <w:r w:rsidR="00CC3167" w:rsidRPr="00CC3167">
        <w:rPr>
          <w:szCs w:val="24"/>
        </w:rPr>
        <w:t>The</w:t>
      </w:r>
      <w:r w:rsidR="006F5323" w:rsidRPr="00CC3167">
        <w:rPr>
          <w:szCs w:val="24"/>
        </w:rPr>
        <w:t xml:space="preserve"> Settlement Sum is </w:t>
      </w:r>
      <w:r w:rsidR="00CC3167">
        <w:rPr>
          <w:szCs w:val="24"/>
        </w:rPr>
        <w:t xml:space="preserve">to be </w:t>
      </w:r>
      <w:r w:rsidR="006F5323" w:rsidRPr="00CC3167">
        <w:rPr>
          <w:szCs w:val="24"/>
        </w:rPr>
        <w:t>allocated between all the Claimants in the proportion each</w:t>
      </w:r>
      <w:r w:rsidR="006F5323" w:rsidRPr="00CC3167">
        <w:rPr>
          <w:spacing w:val="-2"/>
          <w:szCs w:val="24"/>
        </w:rPr>
        <w:t xml:space="preserve"> </w:t>
      </w:r>
      <w:r w:rsidR="006F5323" w:rsidRPr="00CC3167">
        <w:rPr>
          <w:szCs w:val="24"/>
        </w:rPr>
        <w:t>Claimant</w:t>
      </w:r>
      <w:r w:rsidR="00CD113A">
        <w:rPr>
          <w:szCs w:val="24"/>
        </w:rPr>
        <w:t>’</w:t>
      </w:r>
      <w:r w:rsidR="006F5323" w:rsidRPr="00CC3167">
        <w:rPr>
          <w:szCs w:val="24"/>
        </w:rPr>
        <w:t>s</w:t>
      </w:r>
      <w:r w:rsidR="006F5323" w:rsidRPr="00CC3167">
        <w:rPr>
          <w:spacing w:val="-2"/>
          <w:szCs w:val="24"/>
        </w:rPr>
        <w:t xml:space="preserve"> </w:t>
      </w:r>
      <w:r w:rsidR="006F5323" w:rsidRPr="00CC3167">
        <w:rPr>
          <w:szCs w:val="24"/>
        </w:rPr>
        <w:t>entitlement</w:t>
      </w:r>
      <w:r w:rsidR="006F5323" w:rsidRPr="00CC3167">
        <w:rPr>
          <w:spacing w:val="-1"/>
          <w:szCs w:val="24"/>
        </w:rPr>
        <w:t xml:space="preserve"> </w:t>
      </w:r>
      <w:r w:rsidR="006F5323" w:rsidRPr="00CC3167">
        <w:rPr>
          <w:szCs w:val="24"/>
        </w:rPr>
        <w:t>bears</w:t>
      </w:r>
      <w:r w:rsidR="006F5323" w:rsidRPr="00CC3167">
        <w:rPr>
          <w:spacing w:val="-2"/>
          <w:szCs w:val="24"/>
        </w:rPr>
        <w:t xml:space="preserve"> </w:t>
      </w:r>
      <w:r w:rsidR="006F5323" w:rsidRPr="00CC3167">
        <w:rPr>
          <w:szCs w:val="24"/>
        </w:rPr>
        <w:t>to</w:t>
      </w:r>
      <w:r w:rsidR="006F5323" w:rsidRPr="00CC3167">
        <w:rPr>
          <w:spacing w:val="-2"/>
          <w:szCs w:val="24"/>
        </w:rPr>
        <w:t xml:space="preserve"> </w:t>
      </w:r>
      <w:r w:rsidR="006F5323" w:rsidRPr="00CC3167">
        <w:rPr>
          <w:szCs w:val="24"/>
        </w:rPr>
        <w:t>the</w:t>
      </w:r>
      <w:r w:rsidR="006F5323" w:rsidRPr="00CC3167">
        <w:rPr>
          <w:spacing w:val="-2"/>
          <w:szCs w:val="24"/>
        </w:rPr>
        <w:t xml:space="preserve"> </w:t>
      </w:r>
      <w:r w:rsidR="006F5323" w:rsidRPr="00CC3167">
        <w:rPr>
          <w:szCs w:val="24"/>
        </w:rPr>
        <w:t>total</w:t>
      </w:r>
      <w:r w:rsidR="006F5323" w:rsidRPr="00CC3167">
        <w:rPr>
          <w:spacing w:val="-1"/>
          <w:szCs w:val="24"/>
        </w:rPr>
        <w:t xml:space="preserve"> </w:t>
      </w:r>
      <w:r w:rsidR="006F5323" w:rsidRPr="00CC3167">
        <w:rPr>
          <w:szCs w:val="24"/>
        </w:rPr>
        <w:t>of</w:t>
      </w:r>
      <w:r w:rsidR="006F5323" w:rsidRPr="00CC3167">
        <w:rPr>
          <w:spacing w:val="-4"/>
          <w:szCs w:val="24"/>
        </w:rPr>
        <w:t xml:space="preserve"> </w:t>
      </w:r>
      <w:r w:rsidR="006F5323" w:rsidRPr="00CC3167">
        <w:rPr>
          <w:szCs w:val="24"/>
        </w:rPr>
        <w:t>all</w:t>
      </w:r>
      <w:r w:rsidR="006F5323" w:rsidRPr="00CC3167">
        <w:rPr>
          <w:spacing w:val="-4"/>
          <w:szCs w:val="24"/>
        </w:rPr>
        <w:t xml:space="preserve"> </w:t>
      </w:r>
      <w:r w:rsidR="006F5323" w:rsidRPr="00CC3167">
        <w:rPr>
          <w:szCs w:val="24"/>
        </w:rPr>
        <w:t>entitlements.</w:t>
      </w:r>
      <w:r w:rsidR="00705720" w:rsidRPr="00CC3167">
        <w:rPr>
          <w:szCs w:val="24"/>
        </w:rPr>
        <w:t xml:space="preserve"> This allocation method is simple and fair. It</w:t>
      </w:r>
      <w:r w:rsidR="00705720" w:rsidRPr="00CC3167">
        <w:rPr>
          <w:spacing w:val="-4"/>
          <w:szCs w:val="24"/>
        </w:rPr>
        <w:t xml:space="preserve"> </w:t>
      </w:r>
      <w:r w:rsidR="00705720" w:rsidRPr="00CC3167">
        <w:rPr>
          <w:szCs w:val="24"/>
        </w:rPr>
        <w:t>broadly</w:t>
      </w:r>
      <w:r w:rsidR="00705720" w:rsidRPr="00CC3167">
        <w:rPr>
          <w:spacing w:val="-5"/>
          <w:szCs w:val="24"/>
        </w:rPr>
        <w:t xml:space="preserve"> </w:t>
      </w:r>
      <w:r w:rsidR="00705720" w:rsidRPr="00CC3167">
        <w:rPr>
          <w:szCs w:val="24"/>
        </w:rPr>
        <w:t>reflects</w:t>
      </w:r>
      <w:r w:rsidR="00705720" w:rsidRPr="00CC3167">
        <w:rPr>
          <w:spacing w:val="-4"/>
          <w:szCs w:val="24"/>
        </w:rPr>
        <w:t xml:space="preserve"> </w:t>
      </w:r>
      <w:r w:rsidR="00705720" w:rsidRPr="00CC3167">
        <w:rPr>
          <w:szCs w:val="24"/>
        </w:rPr>
        <w:t>the</w:t>
      </w:r>
      <w:r w:rsidR="00705720" w:rsidRPr="00CC3167">
        <w:rPr>
          <w:spacing w:val="-4"/>
          <w:szCs w:val="24"/>
        </w:rPr>
        <w:t xml:space="preserve"> </w:t>
      </w:r>
      <w:r w:rsidR="00705720" w:rsidRPr="001E5710">
        <w:rPr>
          <w:iCs/>
          <w:szCs w:val="24"/>
        </w:rPr>
        <w:t>relative</w:t>
      </w:r>
      <w:r w:rsidR="00705720" w:rsidRPr="00CC3167">
        <w:rPr>
          <w:i/>
          <w:spacing w:val="-2"/>
          <w:szCs w:val="24"/>
        </w:rPr>
        <w:t xml:space="preserve"> </w:t>
      </w:r>
      <w:r w:rsidR="00705720" w:rsidRPr="00CC3167">
        <w:rPr>
          <w:iCs/>
          <w:spacing w:val="-2"/>
          <w:szCs w:val="24"/>
        </w:rPr>
        <w:t xml:space="preserve">risks </w:t>
      </w:r>
      <w:r w:rsidR="00705720" w:rsidRPr="00CC3167">
        <w:rPr>
          <w:szCs w:val="24"/>
        </w:rPr>
        <w:t xml:space="preserve">that the Claimants </w:t>
      </w:r>
      <w:r w:rsidR="005D5FE8" w:rsidRPr="00CC3167">
        <w:rPr>
          <w:szCs w:val="24"/>
        </w:rPr>
        <w:t xml:space="preserve">would </w:t>
      </w:r>
      <w:r w:rsidR="00705720" w:rsidRPr="00CC3167">
        <w:rPr>
          <w:szCs w:val="24"/>
        </w:rPr>
        <w:t xml:space="preserve">face in trying to prove their claim in </w:t>
      </w:r>
      <w:r w:rsidR="005D5FE8" w:rsidRPr="00CC3167">
        <w:rPr>
          <w:szCs w:val="24"/>
        </w:rPr>
        <w:t>a</w:t>
      </w:r>
      <w:r w:rsidR="00705720" w:rsidRPr="00CC3167">
        <w:rPr>
          <w:szCs w:val="24"/>
        </w:rPr>
        <w:t xml:space="preserve"> trial.</w:t>
      </w:r>
      <w:r w:rsidR="00CD6366" w:rsidRPr="00CC3167">
        <w:rPr>
          <w:szCs w:val="24"/>
        </w:rPr>
        <w:t xml:space="preserve"> No better allocation methodology was put forward. </w:t>
      </w:r>
      <w:r w:rsidR="009957DF" w:rsidRPr="00CC3167">
        <w:rPr>
          <w:szCs w:val="24"/>
        </w:rPr>
        <w:t xml:space="preserve">A reworking of the settlement distribution scheme would </w:t>
      </w:r>
      <w:r w:rsidR="0011726B">
        <w:rPr>
          <w:szCs w:val="24"/>
        </w:rPr>
        <w:t>require significant work</w:t>
      </w:r>
      <w:r w:rsidR="00CF1E3B" w:rsidRPr="00CC3167">
        <w:rPr>
          <w:szCs w:val="24"/>
        </w:rPr>
        <w:t>, without it being obvious that it would achieve a better or fairer outcome, and</w:t>
      </w:r>
      <w:r w:rsidR="009957DF" w:rsidRPr="00CC3167">
        <w:rPr>
          <w:szCs w:val="24"/>
        </w:rPr>
        <w:t xml:space="preserve"> </w:t>
      </w:r>
      <w:r w:rsidR="00CF1E3B" w:rsidRPr="00CC3167">
        <w:rPr>
          <w:szCs w:val="24"/>
        </w:rPr>
        <w:t xml:space="preserve">it would </w:t>
      </w:r>
      <w:r w:rsidR="006243AF" w:rsidRPr="00CC3167">
        <w:rPr>
          <w:szCs w:val="24"/>
        </w:rPr>
        <w:t xml:space="preserve">erode the funds available to compensate the </w:t>
      </w:r>
      <w:r w:rsidR="009957DF" w:rsidRPr="00CC3167">
        <w:rPr>
          <w:szCs w:val="24"/>
        </w:rPr>
        <w:t>Claimants.</w:t>
      </w:r>
    </w:p>
    <w:p w14:paraId="08E9A023" w14:textId="7BBBEA47" w:rsidR="006F5323" w:rsidRPr="00107882" w:rsidRDefault="00B6500C" w:rsidP="00B6500C">
      <w:pPr>
        <w:pStyle w:val="ParaNumbering"/>
        <w:numPr>
          <w:ilvl w:val="0"/>
          <w:numId w:val="0"/>
        </w:numPr>
        <w:ind w:hanging="720"/>
        <w:rPr>
          <w:szCs w:val="24"/>
        </w:rPr>
      </w:pPr>
      <w:r w:rsidRPr="00107882">
        <w:rPr>
          <w:iCs/>
          <w:sz w:val="20"/>
          <w:szCs w:val="24"/>
        </w:rPr>
        <w:t>47</w:t>
      </w:r>
      <w:r w:rsidRPr="00107882">
        <w:rPr>
          <w:iCs/>
          <w:sz w:val="20"/>
          <w:szCs w:val="24"/>
        </w:rPr>
        <w:tab/>
      </w:r>
      <w:r w:rsidR="00CC3167">
        <w:rPr>
          <w:szCs w:val="24"/>
        </w:rPr>
        <w:t>In my view,</w:t>
      </w:r>
      <w:r w:rsidR="006F5323" w:rsidRPr="00107882">
        <w:rPr>
          <w:spacing w:val="-4"/>
          <w:szCs w:val="24"/>
        </w:rPr>
        <w:t xml:space="preserve"> </w:t>
      </w:r>
      <w:r w:rsidR="006F5323" w:rsidRPr="00107882">
        <w:rPr>
          <w:szCs w:val="24"/>
        </w:rPr>
        <w:t>the</w:t>
      </w:r>
      <w:r w:rsidR="006F5323" w:rsidRPr="00107882">
        <w:rPr>
          <w:spacing w:val="-3"/>
          <w:szCs w:val="24"/>
        </w:rPr>
        <w:t xml:space="preserve"> </w:t>
      </w:r>
      <w:r w:rsidR="006F5323" w:rsidRPr="00107882">
        <w:rPr>
          <w:szCs w:val="24"/>
        </w:rPr>
        <w:t>settlement</w:t>
      </w:r>
      <w:r w:rsidR="006F5323" w:rsidRPr="00107882">
        <w:rPr>
          <w:spacing w:val="-4"/>
          <w:szCs w:val="24"/>
        </w:rPr>
        <w:t xml:space="preserve"> </w:t>
      </w:r>
      <w:r w:rsidR="006F5323" w:rsidRPr="00107882">
        <w:rPr>
          <w:szCs w:val="24"/>
        </w:rPr>
        <w:t xml:space="preserve">distribution scheme is fair and reasonable to the Claimants. </w:t>
      </w:r>
    </w:p>
    <w:p w14:paraId="49F96565" w14:textId="72E51D7F" w:rsidR="00701AB0" w:rsidRDefault="00CE482B" w:rsidP="001F7001">
      <w:pPr>
        <w:pStyle w:val="Heading2"/>
      </w:pPr>
      <w:r>
        <w:t>Shine</w:t>
      </w:r>
      <w:r w:rsidR="00CD113A">
        <w:t>’</w:t>
      </w:r>
      <w:r w:rsidR="00AF77A3">
        <w:t>s</w:t>
      </w:r>
      <w:r w:rsidR="0028125F">
        <w:t xml:space="preserve"> l</w:t>
      </w:r>
      <w:r w:rsidR="00701AB0">
        <w:t>egal costs</w:t>
      </w:r>
    </w:p>
    <w:p w14:paraId="0B97F3F4" w14:textId="327CE076" w:rsidR="006F5323" w:rsidRPr="007D2195" w:rsidRDefault="00B6500C" w:rsidP="00B6500C">
      <w:pPr>
        <w:pStyle w:val="ParaNumbering"/>
        <w:numPr>
          <w:ilvl w:val="0"/>
          <w:numId w:val="0"/>
        </w:numPr>
        <w:spacing w:before="5"/>
        <w:ind w:hanging="720"/>
        <w:rPr>
          <w:szCs w:val="24"/>
        </w:rPr>
      </w:pPr>
      <w:r w:rsidRPr="007D2195">
        <w:rPr>
          <w:iCs/>
          <w:sz w:val="20"/>
          <w:szCs w:val="24"/>
        </w:rPr>
        <w:t>48</w:t>
      </w:r>
      <w:r w:rsidRPr="007D2195">
        <w:rPr>
          <w:iCs/>
          <w:sz w:val="20"/>
          <w:szCs w:val="24"/>
        </w:rPr>
        <w:tab/>
      </w:r>
      <w:r w:rsidR="006F5323" w:rsidRPr="007D2195">
        <w:rPr>
          <w:szCs w:val="24"/>
        </w:rPr>
        <w:t>The</w:t>
      </w:r>
      <w:r w:rsidR="006F5323" w:rsidRPr="007D2195">
        <w:rPr>
          <w:spacing w:val="-16"/>
          <w:szCs w:val="24"/>
        </w:rPr>
        <w:t xml:space="preserve"> </w:t>
      </w:r>
      <w:r w:rsidR="007D2195" w:rsidRPr="007D2195">
        <w:rPr>
          <w:szCs w:val="24"/>
        </w:rPr>
        <w:t>a</w:t>
      </w:r>
      <w:r w:rsidR="006F5323" w:rsidRPr="007D2195">
        <w:rPr>
          <w:szCs w:val="24"/>
        </w:rPr>
        <w:t>pplicant</w:t>
      </w:r>
      <w:r w:rsidR="006F5323" w:rsidRPr="007D2195">
        <w:rPr>
          <w:spacing w:val="-6"/>
          <w:szCs w:val="24"/>
        </w:rPr>
        <w:t xml:space="preserve"> </w:t>
      </w:r>
      <w:r w:rsidR="007D2195" w:rsidRPr="007D2195">
        <w:rPr>
          <w:szCs w:val="24"/>
        </w:rPr>
        <w:t>seeks</w:t>
      </w:r>
      <w:r w:rsidR="006F5323" w:rsidRPr="007D2195">
        <w:rPr>
          <w:spacing w:val="-3"/>
          <w:szCs w:val="24"/>
        </w:rPr>
        <w:t xml:space="preserve"> </w:t>
      </w:r>
      <w:r w:rsidR="006F5323" w:rsidRPr="007D2195">
        <w:rPr>
          <w:szCs w:val="24"/>
        </w:rPr>
        <w:t>the</w:t>
      </w:r>
      <w:r w:rsidR="006F5323" w:rsidRPr="007D2195">
        <w:rPr>
          <w:spacing w:val="-4"/>
          <w:szCs w:val="24"/>
        </w:rPr>
        <w:t xml:space="preserve"> </w:t>
      </w:r>
      <w:r w:rsidR="006F5323" w:rsidRPr="007D2195">
        <w:rPr>
          <w:szCs w:val="24"/>
        </w:rPr>
        <w:t>Court</w:t>
      </w:r>
      <w:r w:rsidR="00CD113A">
        <w:rPr>
          <w:szCs w:val="24"/>
        </w:rPr>
        <w:t>’</w:t>
      </w:r>
      <w:r w:rsidR="006F5323" w:rsidRPr="007D2195">
        <w:rPr>
          <w:szCs w:val="24"/>
        </w:rPr>
        <w:t>s</w:t>
      </w:r>
      <w:r w:rsidR="006F5323" w:rsidRPr="007D2195">
        <w:rPr>
          <w:spacing w:val="-3"/>
          <w:szCs w:val="24"/>
        </w:rPr>
        <w:t xml:space="preserve"> </w:t>
      </w:r>
      <w:r w:rsidR="006F5323" w:rsidRPr="007D2195">
        <w:rPr>
          <w:szCs w:val="24"/>
        </w:rPr>
        <w:t>approval</w:t>
      </w:r>
      <w:r w:rsidR="006F5323" w:rsidRPr="007D2195">
        <w:rPr>
          <w:spacing w:val="-5"/>
          <w:szCs w:val="24"/>
        </w:rPr>
        <w:t xml:space="preserve"> </w:t>
      </w:r>
      <w:r w:rsidR="006F5323" w:rsidRPr="007D2195">
        <w:rPr>
          <w:szCs w:val="24"/>
        </w:rPr>
        <w:t>of</w:t>
      </w:r>
      <w:r w:rsidR="006F5323" w:rsidRPr="007D2195">
        <w:rPr>
          <w:spacing w:val="-5"/>
          <w:szCs w:val="24"/>
        </w:rPr>
        <w:t xml:space="preserve"> </w:t>
      </w:r>
      <w:r w:rsidR="006F5323" w:rsidRPr="007D2195">
        <w:rPr>
          <w:szCs w:val="24"/>
        </w:rPr>
        <w:t>its</w:t>
      </w:r>
      <w:r w:rsidR="006F5323" w:rsidRPr="007D2195">
        <w:rPr>
          <w:spacing w:val="-3"/>
          <w:szCs w:val="24"/>
        </w:rPr>
        <w:t xml:space="preserve"> </w:t>
      </w:r>
      <w:r w:rsidR="006F5323" w:rsidRPr="007D2195">
        <w:rPr>
          <w:szCs w:val="24"/>
        </w:rPr>
        <w:t>legal</w:t>
      </w:r>
      <w:r w:rsidR="006F5323" w:rsidRPr="007D2195">
        <w:rPr>
          <w:spacing w:val="-6"/>
          <w:szCs w:val="24"/>
        </w:rPr>
        <w:t xml:space="preserve"> </w:t>
      </w:r>
      <w:r w:rsidR="006F5323" w:rsidRPr="007D2195">
        <w:rPr>
          <w:szCs w:val="24"/>
        </w:rPr>
        <w:t>costs</w:t>
      </w:r>
      <w:r w:rsidR="006F5323" w:rsidRPr="007D2195">
        <w:rPr>
          <w:spacing w:val="-5"/>
          <w:szCs w:val="24"/>
        </w:rPr>
        <w:t xml:space="preserve"> </w:t>
      </w:r>
      <w:r w:rsidR="006F5323" w:rsidRPr="007D2195">
        <w:rPr>
          <w:szCs w:val="24"/>
        </w:rPr>
        <w:t>incurred</w:t>
      </w:r>
      <w:r w:rsidR="006F5323" w:rsidRPr="007D2195">
        <w:rPr>
          <w:spacing w:val="-6"/>
          <w:szCs w:val="24"/>
        </w:rPr>
        <w:t xml:space="preserve"> </w:t>
      </w:r>
      <w:r w:rsidR="006F5323" w:rsidRPr="007D2195">
        <w:rPr>
          <w:szCs w:val="24"/>
        </w:rPr>
        <w:t>in</w:t>
      </w:r>
      <w:r w:rsidR="006F5323" w:rsidRPr="007D2195">
        <w:rPr>
          <w:spacing w:val="-3"/>
          <w:szCs w:val="24"/>
        </w:rPr>
        <w:t xml:space="preserve"> </w:t>
      </w:r>
      <w:r w:rsidR="006F5323" w:rsidRPr="007D2195">
        <w:rPr>
          <w:szCs w:val="24"/>
        </w:rPr>
        <w:t>respect</w:t>
      </w:r>
      <w:r w:rsidR="006F5323" w:rsidRPr="007D2195">
        <w:rPr>
          <w:spacing w:val="-5"/>
          <w:szCs w:val="24"/>
        </w:rPr>
        <w:t xml:space="preserve"> </w:t>
      </w:r>
      <w:r w:rsidR="006F5323" w:rsidRPr="007D2195">
        <w:rPr>
          <w:szCs w:val="24"/>
        </w:rPr>
        <w:t>of</w:t>
      </w:r>
      <w:r w:rsidR="006F5323" w:rsidRPr="007D2195">
        <w:rPr>
          <w:spacing w:val="-5"/>
          <w:szCs w:val="24"/>
        </w:rPr>
        <w:t xml:space="preserve"> </w:t>
      </w:r>
      <w:r w:rsidR="006F5323" w:rsidRPr="007D2195">
        <w:rPr>
          <w:szCs w:val="24"/>
        </w:rPr>
        <w:t>the</w:t>
      </w:r>
      <w:r w:rsidR="006F5323" w:rsidRPr="007D2195">
        <w:rPr>
          <w:spacing w:val="-3"/>
          <w:szCs w:val="24"/>
        </w:rPr>
        <w:t xml:space="preserve"> </w:t>
      </w:r>
      <w:r w:rsidR="006F5323" w:rsidRPr="007D2195">
        <w:rPr>
          <w:spacing w:val="-2"/>
          <w:szCs w:val="24"/>
        </w:rPr>
        <w:t>litigation.</w:t>
      </w:r>
      <w:r w:rsidR="007D2195" w:rsidRPr="007D2195">
        <w:rPr>
          <w:spacing w:val="-2"/>
          <w:szCs w:val="24"/>
        </w:rPr>
        <w:t xml:space="preserve"> </w:t>
      </w:r>
    </w:p>
    <w:p w14:paraId="66375F88" w14:textId="5DF8F286" w:rsidR="001B14A0" w:rsidRDefault="00B6500C" w:rsidP="00B6500C">
      <w:pPr>
        <w:pStyle w:val="ParaNumbering"/>
        <w:numPr>
          <w:ilvl w:val="0"/>
          <w:numId w:val="0"/>
        </w:numPr>
        <w:ind w:hanging="720"/>
        <w:rPr>
          <w:szCs w:val="24"/>
        </w:rPr>
      </w:pPr>
      <w:r>
        <w:rPr>
          <w:iCs/>
          <w:sz w:val="20"/>
          <w:szCs w:val="24"/>
        </w:rPr>
        <w:t>49</w:t>
      </w:r>
      <w:r>
        <w:rPr>
          <w:iCs/>
          <w:sz w:val="20"/>
          <w:szCs w:val="24"/>
        </w:rPr>
        <w:tab/>
      </w:r>
      <w:r w:rsidR="00800944">
        <w:rPr>
          <w:szCs w:val="24"/>
        </w:rPr>
        <w:t>Shine relied on t</w:t>
      </w:r>
      <w:r w:rsidR="0011726B" w:rsidRPr="00A34E10">
        <w:rPr>
          <w:szCs w:val="24"/>
        </w:rPr>
        <w:t>wo</w:t>
      </w:r>
      <w:r w:rsidR="006F5323" w:rsidRPr="00A34E10">
        <w:rPr>
          <w:spacing w:val="-3"/>
          <w:szCs w:val="24"/>
        </w:rPr>
        <w:t xml:space="preserve"> </w:t>
      </w:r>
      <w:r w:rsidR="006F5323" w:rsidRPr="00A34E10">
        <w:rPr>
          <w:szCs w:val="24"/>
        </w:rPr>
        <w:t>report</w:t>
      </w:r>
      <w:r w:rsidR="0011726B" w:rsidRPr="00A34E10">
        <w:rPr>
          <w:szCs w:val="24"/>
        </w:rPr>
        <w:t>s</w:t>
      </w:r>
      <w:r w:rsidR="006F5323" w:rsidRPr="00A34E10">
        <w:rPr>
          <w:spacing w:val="-5"/>
          <w:szCs w:val="24"/>
        </w:rPr>
        <w:t xml:space="preserve"> </w:t>
      </w:r>
      <w:r w:rsidR="006F5323" w:rsidRPr="00A34E10">
        <w:rPr>
          <w:szCs w:val="24"/>
        </w:rPr>
        <w:t>prepared</w:t>
      </w:r>
      <w:r w:rsidR="006F5323" w:rsidRPr="00A34E10">
        <w:rPr>
          <w:spacing w:val="-5"/>
          <w:szCs w:val="24"/>
        </w:rPr>
        <w:t xml:space="preserve"> </w:t>
      </w:r>
      <w:r w:rsidR="006F5323" w:rsidRPr="00A34E10">
        <w:rPr>
          <w:szCs w:val="24"/>
        </w:rPr>
        <w:t>by</w:t>
      </w:r>
      <w:r w:rsidR="006F5323" w:rsidRPr="00A34E10">
        <w:rPr>
          <w:spacing w:val="-2"/>
          <w:szCs w:val="24"/>
        </w:rPr>
        <w:t xml:space="preserve"> </w:t>
      </w:r>
      <w:r w:rsidR="006F5323" w:rsidRPr="00A34E10">
        <w:rPr>
          <w:szCs w:val="24"/>
        </w:rPr>
        <w:t>an</w:t>
      </w:r>
      <w:r w:rsidR="006F5323" w:rsidRPr="00A34E10">
        <w:rPr>
          <w:spacing w:val="-5"/>
          <w:szCs w:val="24"/>
        </w:rPr>
        <w:t xml:space="preserve"> </w:t>
      </w:r>
      <w:r w:rsidR="006F5323" w:rsidRPr="00A34E10">
        <w:rPr>
          <w:szCs w:val="24"/>
        </w:rPr>
        <w:t>independent</w:t>
      </w:r>
      <w:r w:rsidR="006F5323" w:rsidRPr="00A34E10">
        <w:rPr>
          <w:spacing w:val="-4"/>
          <w:szCs w:val="24"/>
        </w:rPr>
        <w:t xml:space="preserve"> </w:t>
      </w:r>
      <w:r w:rsidR="006F5323" w:rsidRPr="00A34E10">
        <w:rPr>
          <w:szCs w:val="24"/>
        </w:rPr>
        <w:t>costs</w:t>
      </w:r>
      <w:r w:rsidR="006F5323" w:rsidRPr="00A34E10">
        <w:rPr>
          <w:spacing w:val="-2"/>
          <w:szCs w:val="24"/>
        </w:rPr>
        <w:t xml:space="preserve"> </w:t>
      </w:r>
      <w:r w:rsidR="006F5323" w:rsidRPr="00A34E10">
        <w:rPr>
          <w:szCs w:val="24"/>
        </w:rPr>
        <w:t>assessor,</w:t>
      </w:r>
      <w:r w:rsidR="006F5323" w:rsidRPr="00A34E10">
        <w:rPr>
          <w:spacing w:val="-2"/>
          <w:szCs w:val="24"/>
        </w:rPr>
        <w:t xml:space="preserve"> </w:t>
      </w:r>
      <w:r w:rsidR="006F5323" w:rsidRPr="00A34E10">
        <w:rPr>
          <w:szCs w:val="24"/>
        </w:rPr>
        <w:t>K</w:t>
      </w:r>
      <w:r w:rsidR="006F5323" w:rsidRPr="00A34E10">
        <w:rPr>
          <w:spacing w:val="-14"/>
          <w:szCs w:val="24"/>
        </w:rPr>
        <w:t xml:space="preserve"> </w:t>
      </w:r>
      <w:r w:rsidR="006F5323" w:rsidRPr="00A34E10">
        <w:rPr>
          <w:szCs w:val="24"/>
        </w:rPr>
        <w:t>A</w:t>
      </w:r>
      <w:r w:rsidR="006F5323" w:rsidRPr="00A34E10">
        <w:rPr>
          <w:spacing w:val="-14"/>
          <w:szCs w:val="24"/>
        </w:rPr>
        <w:t xml:space="preserve"> </w:t>
      </w:r>
      <w:r w:rsidR="006F5323" w:rsidRPr="00A34E10">
        <w:rPr>
          <w:szCs w:val="24"/>
        </w:rPr>
        <w:t>Rosati of</w:t>
      </w:r>
      <w:r w:rsidR="006F5323" w:rsidRPr="00A34E10">
        <w:rPr>
          <w:spacing w:val="-4"/>
          <w:szCs w:val="24"/>
        </w:rPr>
        <w:t xml:space="preserve"> </w:t>
      </w:r>
      <w:r w:rsidR="006F5323" w:rsidRPr="00A34E10">
        <w:rPr>
          <w:szCs w:val="24"/>
        </w:rPr>
        <w:t>DGT</w:t>
      </w:r>
      <w:r w:rsidR="006F5323" w:rsidRPr="00A34E10">
        <w:rPr>
          <w:spacing w:val="-5"/>
          <w:szCs w:val="24"/>
        </w:rPr>
        <w:t xml:space="preserve"> </w:t>
      </w:r>
      <w:r w:rsidR="006F5323" w:rsidRPr="00A34E10">
        <w:rPr>
          <w:szCs w:val="24"/>
        </w:rPr>
        <w:t>Costs Lawyers, dated 2 February 2024</w:t>
      </w:r>
      <w:r w:rsidR="0011726B" w:rsidRPr="00A34E10">
        <w:rPr>
          <w:szCs w:val="24"/>
        </w:rPr>
        <w:t xml:space="preserve"> </w:t>
      </w:r>
      <w:r w:rsidR="0044135A">
        <w:rPr>
          <w:szCs w:val="24"/>
        </w:rPr>
        <w:t>(</w:t>
      </w:r>
      <w:r w:rsidR="0044135A">
        <w:rPr>
          <w:b/>
          <w:bCs/>
          <w:szCs w:val="24"/>
        </w:rPr>
        <w:t>Rosati 1</w:t>
      </w:r>
      <w:r w:rsidR="0044135A">
        <w:rPr>
          <w:szCs w:val="24"/>
        </w:rPr>
        <w:t xml:space="preserve">) </w:t>
      </w:r>
      <w:r w:rsidR="0011726B" w:rsidRPr="00A34E10">
        <w:rPr>
          <w:szCs w:val="24"/>
        </w:rPr>
        <w:t>and 28 March 2024</w:t>
      </w:r>
      <w:r w:rsidR="0044135A">
        <w:rPr>
          <w:szCs w:val="24"/>
        </w:rPr>
        <w:t xml:space="preserve"> (</w:t>
      </w:r>
      <w:r w:rsidR="0044135A">
        <w:rPr>
          <w:b/>
          <w:bCs/>
          <w:szCs w:val="24"/>
        </w:rPr>
        <w:t>Rosati 2</w:t>
      </w:r>
      <w:r w:rsidR="0044135A">
        <w:rPr>
          <w:szCs w:val="24"/>
        </w:rPr>
        <w:t>)</w:t>
      </w:r>
      <w:r w:rsidR="00950604">
        <w:rPr>
          <w:szCs w:val="24"/>
        </w:rPr>
        <w:t xml:space="preserve">: </w:t>
      </w:r>
      <w:r w:rsidR="00241F1E">
        <w:rPr>
          <w:szCs w:val="24"/>
        </w:rPr>
        <w:t xml:space="preserve">Confidential </w:t>
      </w:r>
      <w:r w:rsidR="00950604">
        <w:rPr>
          <w:szCs w:val="24"/>
        </w:rPr>
        <w:t xml:space="preserve">Exhibit VA8 and </w:t>
      </w:r>
      <w:r w:rsidR="00241F1E">
        <w:rPr>
          <w:szCs w:val="24"/>
        </w:rPr>
        <w:t xml:space="preserve">Confidential </w:t>
      </w:r>
      <w:r w:rsidR="00950604">
        <w:rPr>
          <w:szCs w:val="24"/>
        </w:rPr>
        <w:t>Exhibit VA1</w:t>
      </w:r>
      <w:r w:rsidR="00241F1E">
        <w:rPr>
          <w:szCs w:val="24"/>
        </w:rPr>
        <w:t>0</w:t>
      </w:r>
      <w:r w:rsidR="001B14A0">
        <w:rPr>
          <w:szCs w:val="24"/>
        </w:rPr>
        <w:t>. In summary:</w:t>
      </w:r>
    </w:p>
    <w:p w14:paraId="25A10575" w14:textId="544B0B2F" w:rsidR="00FF69BD" w:rsidRPr="00FF69BD" w:rsidRDefault="00B6500C" w:rsidP="00B6500C">
      <w:pPr>
        <w:pStyle w:val="ListNo1alt"/>
        <w:numPr>
          <w:ilvl w:val="0"/>
          <w:numId w:val="0"/>
        </w:numPr>
        <w:tabs>
          <w:tab w:val="left" w:pos="720"/>
        </w:tabs>
        <w:ind w:left="720" w:hanging="720"/>
      </w:pPr>
      <w:r w:rsidRPr="00FF69BD">
        <w:t>(a)</w:t>
      </w:r>
      <w:r w:rsidRPr="00FF69BD">
        <w:tab/>
      </w:r>
      <w:r w:rsidR="001B14A0" w:rsidRPr="00FF69BD">
        <w:rPr>
          <w:b/>
          <w:bCs/>
        </w:rPr>
        <w:t>Rosati 1</w:t>
      </w:r>
      <w:r w:rsidR="001B14A0">
        <w:t xml:space="preserve">: in the first report, Ms Rosati concludes that </w:t>
      </w:r>
      <w:r w:rsidR="00FF69BD">
        <w:t>t</w:t>
      </w:r>
      <w:r w:rsidR="00FF69BD" w:rsidRPr="00FF69BD">
        <w:t xml:space="preserve">he total legal costs and disbursements on a solicitor and own client basis incurred by the </w:t>
      </w:r>
      <w:r w:rsidR="00FF69BD">
        <w:t>a</w:t>
      </w:r>
      <w:r w:rsidR="00FF69BD" w:rsidRPr="00FF69BD">
        <w:t>pplicant with Shine for work done up to 31 December 2023 as fair and reasonable</w:t>
      </w:r>
      <w:r w:rsidR="00FF69BD">
        <w:t xml:space="preserve"> </w:t>
      </w:r>
      <w:r w:rsidR="00FF69BD" w:rsidRPr="00FF69BD">
        <w:t>is $2,784,899.83</w:t>
      </w:r>
      <w:r w:rsidR="00FF69BD">
        <w:t xml:space="preserve">: </w:t>
      </w:r>
      <w:r w:rsidR="00E159B8">
        <w:t xml:space="preserve">Rosati 1 </w:t>
      </w:r>
      <w:r w:rsidR="00FF69BD">
        <w:t>at [16].</w:t>
      </w:r>
    </w:p>
    <w:p w14:paraId="7CF96054" w14:textId="21444D02" w:rsidR="00E159B8" w:rsidRDefault="00B6500C" w:rsidP="00B6500C">
      <w:pPr>
        <w:pStyle w:val="ListNo1alt"/>
        <w:numPr>
          <w:ilvl w:val="0"/>
          <w:numId w:val="0"/>
        </w:numPr>
        <w:tabs>
          <w:tab w:val="left" w:pos="720"/>
        </w:tabs>
        <w:ind w:left="720" w:hanging="720"/>
      </w:pPr>
      <w:r>
        <w:t>(b)</w:t>
      </w:r>
      <w:r>
        <w:tab/>
      </w:r>
      <w:r w:rsidR="00950604">
        <w:rPr>
          <w:b/>
          <w:bCs/>
        </w:rPr>
        <w:t>Rosati 2</w:t>
      </w:r>
      <w:r w:rsidR="001B14A0">
        <w:t>:</w:t>
      </w:r>
      <w:r w:rsidR="001B14A0" w:rsidRPr="001B14A0">
        <w:t xml:space="preserve"> </w:t>
      </w:r>
      <w:r w:rsidR="001B14A0">
        <w:t>in the second report,</w:t>
      </w:r>
      <w:r w:rsidR="00E159B8">
        <w:t xml:space="preserve"> Ms Rosati concludes that the</w:t>
      </w:r>
      <w:r w:rsidR="00E159B8" w:rsidRPr="00E159B8">
        <w:rPr>
          <w:spacing w:val="12"/>
        </w:rPr>
        <w:t xml:space="preserve"> </w:t>
      </w:r>
      <w:r w:rsidR="00E159B8">
        <w:t>total</w:t>
      </w:r>
      <w:r w:rsidR="00E159B8" w:rsidRPr="00E159B8">
        <w:rPr>
          <w:spacing w:val="12"/>
        </w:rPr>
        <w:t xml:space="preserve"> </w:t>
      </w:r>
      <w:r w:rsidR="00E159B8">
        <w:t>legal</w:t>
      </w:r>
      <w:r w:rsidR="00E159B8" w:rsidRPr="00E159B8">
        <w:rPr>
          <w:spacing w:val="12"/>
        </w:rPr>
        <w:t xml:space="preserve"> </w:t>
      </w:r>
      <w:r w:rsidR="00E159B8">
        <w:t>costs</w:t>
      </w:r>
      <w:r w:rsidR="00E159B8" w:rsidRPr="00E159B8">
        <w:rPr>
          <w:spacing w:val="10"/>
        </w:rPr>
        <w:t xml:space="preserve"> </w:t>
      </w:r>
      <w:r w:rsidR="00E159B8">
        <w:t>and</w:t>
      </w:r>
      <w:r w:rsidR="00E159B8" w:rsidRPr="00E159B8">
        <w:rPr>
          <w:spacing w:val="10"/>
        </w:rPr>
        <w:t xml:space="preserve"> </w:t>
      </w:r>
      <w:r w:rsidR="00E159B8">
        <w:t>disbursements</w:t>
      </w:r>
      <w:r w:rsidR="00E159B8" w:rsidRPr="00E159B8">
        <w:rPr>
          <w:spacing w:val="11"/>
        </w:rPr>
        <w:t xml:space="preserve"> </w:t>
      </w:r>
      <w:r w:rsidR="00E159B8">
        <w:t>on</w:t>
      </w:r>
      <w:r w:rsidR="00E159B8" w:rsidRPr="00E159B8">
        <w:rPr>
          <w:spacing w:val="10"/>
        </w:rPr>
        <w:t xml:space="preserve"> </w:t>
      </w:r>
      <w:r w:rsidR="00E159B8">
        <w:t>a</w:t>
      </w:r>
      <w:r w:rsidR="00E159B8" w:rsidRPr="00E159B8">
        <w:rPr>
          <w:spacing w:val="10"/>
        </w:rPr>
        <w:t xml:space="preserve"> </w:t>
      </w:r>
      <w:r w:rsidR="00E159B8">
        <w:t>solicitor</w:t>
      </w:r>
      <w:r w:rsidR="00E159B8" w:rsidRPr="00E159B8">
        <w:rPr>
          <w:spacing w:val="14"/>
        </w:rPr>
        <w:t xml:space="preserve"> </w:t>
      </w:r>
      <w:r w:rsidR="00E159B8">
        <w:t>and</w:t>
      </w:r>
      <w:r w:rsidR="00E159B8" w:rsidRPr="00E159B8">
        <w:rPr>
          <w:spacing w:val="10"/>
        </w:rPr>
        <w:t xml:space="preserve"> </w:t>
      </w:r>
      <w:r w:rsidR="00E159B8">
        <w:t>own</w:t>
      </w:r>
      <w:r w:rsidR="00E159B8" w:rsidRPr="00E159B8">
        <w:rPr>
          <w:spacing w:val="10"/>
        </w:rPr>
        <w:t xml:space="preserve"> </w:t>
      </w:r>
      <w:r w:rsidR="00E159B8">
        <w:t>client</w:t>
      </w:r>
      <w:r w:rsidR="00E159B8" w:rsidRPr="00E159B8">
        <w:rPr>
          <w:spacing w:val="14"/>
        </w:rPr>
        <w:t xml:space="preserve"> </w:t>
      </w:r>
      <w:r w:rsidR="00E159B8">
        <w:t>basis</w:t>
      </w:r>
      <w:r w:rsidR="00E159B8" w:rsidRPr="00E159B8">
        <w:rPr>
          <w:spacing w:val="13"/>
        </w:rPr>
        <w:t xml:space="preserve"> </w:t>
      </w:r>
      <w:r w:rsidR="00E159B8">
        <w:t>incurred</w:t>
      </w:r>
      <w:r w:rsidR="00E159B8" w:rsidRPr="00E159B8">
        <w:rPr>
          <w:spacing w:val="14"/>
        </w:rPr>
        <w:t xml:space="preserve"> </w:t>
      </w:r>
      <w:r w:rsidR="00E159B8">
        <w:t>by the applicant</w:t>
      </w:r>
      <w:r w:rsidR="00E159B8" w:rsidRPr="00E159B8">
        <w:rPr>
          <w:spacing w:val="27"/>
        </w:rPr>
        <w:t xml:space="preserve"> </w:t>
      </w:r>
      <w:r w:rsidR="00E159B8">
        <w:t>with</w:t>
      </w:r>
      <w:r w:rsidR="00E159B8" w:rsidRPr="00E159B8">
        <w:rPr>
          <w:spacing w:val="26"/>
        </w:rPr>
        <w:t xml:space="preserve"> </w:t>
      </w:r>
      <w:r w:rsidR="00E159B8">
        <w:t>Shine</w:t>
      </w:r>
      <w:r w:rsidR="00E159B8" w:rsidRPr="00E159B8">
        <w:rPr>
          <w:spacing w:val="26"/>
        </w:rPr>
        <w:t xml:space="preserve"> </w:t>
      </w:r>
      <w:r w:rsidR="00E159B8">
        <w:t>for</w:t>
      </w:r>
      <w:r w:rsidR="00E159B8" w:rsidRPr="00E159B8">
        <w:rPr>
          <w:spacing w:val="23"/>
        </w:rPr>
        <w:t xml:space="preserve"> </w:t>
      </w:r>
      <w:r w:rsidR="00E159B8">
        <w:t>work</w:t>
      </w:r>
      <w:r w:rsidR="00E159B8" w:rsidRPr="00E159B8">
        <w:rPr>
          <w:spacing w:val="22"/>
        </w:rPr>
        <w:t xml:space="preserve"> </w:t>
      </w:r>
      <w:r w:rsidR="00E159B8">
        <w:t>done</w:t>
      </w:r>
      <w:r w:rsidR="00E159B8" w:rsidRPr="00E159B8">
        <w:rPr>
          <w:spacing w:val="22"/>
        </w:rPr>
        <w:t xml:space="preserve"> </w:t>
      </w:r>
      <w:r w:rsidR="00E159B8">
        <w:t>from</w:t>
      </w:r>
      <w:r w:rsidR="00E159B8" w:rsidRPr="00E159B8">
        <w:rPr>
          <w:spacing w:val="27"/>
        </w:rPr>
        <w:t xml:space="preserve"> </w:t>
      </w:r>
      <w:r w:rsidR="00E159B8">
        <w:t>1</w:t>
      </w:r>
      <w:r w:rsidR="00E159B8" w:rsidRPr="00E159B8">
        <w:rPr>
          <w:spacing w:val="22"/>
        </w:rPr>
        <w:t xml:space="preserve"> </w:t>
      </w:r>
      <w:r w:rsidR="00E159B8">
        <w:t>January</w:t>
      </w:r>
      <w:r w:rsidR="00E159B8" w:rsidRPr="00E159B8">
        <w:rPr>
          <w:spacing w:val="26"/>
        </w:rPr>
        <w:t xml:space="preserve"> </w:t>
      </w:r>
      <w:r w:rsidR="00E159B8">
        <w:t>2024</w:t>
      </w:r>
      <w:r w:rsidR="00E159B8" w:rsidRPr="00E159B8">
        <w:rPr>
          <w:spacing w:val="23"/>
        </w:rPr>
        <w:t xml:space="preserve"> </w:t>
      </w:r>
      <w:r w:rsidR="00E159B8">
        <w:t>up</w:t>
      </w:r>
      <w:r w:rsidR="00E159B8" w:rsidRPr="00E159B8">
        <w:rPr>
          <w:spacing w:val="22"/>
        </w:rPr>
        <w:t xml:space="preserve"> </w:t>
      </w:r>
      <w:r w:rsidR="00E159B8">
        <w:t>to</w:t>
      </w:r>
      <w:r w:rsidR="00141E9A">
        <w:t> </w:t>
      </w:r>
      <w:r w:rsidR="00E159B8">
        <w:t>and</w:t>
      </w:r>
      <w:r w:rsidR="00E159B8" w:rsidRPr="00E159B8">
        <w:rPr>
          <w:spacing w:val="22"/>
        </w:rPr>
        <w:t xml:space="preserve"> </w:t>
      </w:r>
      <w:r w:rsidR="00E159B8">
        <w:t>including</w:t>
      </w:r>
      <w:r w:rsidR="00E159B8" w:rsidRPr="00E159B8">
        <w:rPr>
          <w:spacing w:val="25"/>
        </w:rPr>
        <w:t xml:space="preserve"> </w:t>
      </w:r>
      <w:r w:rsidR="00E159B8">
        <w:t>the</w:t>
      </w:r>
      <w:r w:rsidR="00E159B8" w:rsidRPr="00E159B8">
        <w:rPr>
          <w:spacing w:val="-1"/>
        </w:rPr>
        <w:t xml:space="preserve"> </w:t>
      </w:r>
      <w:r w:rsidR="00E159B8">
        <w:t>settlement</w:t>
      </w:r>
      <w:r w:rsidR="00E159B8" w:rsidRPr="00E159B8">
        <w:rPr>
          <w:spacing w:val="-3"/>
        </w:rPr>
        <w:t xml:space="preserve"> </w:t>
      </w:r>
      <w:r w:rsidR="00E159B8">
        <w:t>approval</w:t>
      </w:r>
      <w:r w:rsidR="00E159B8" w:rsidRPr="00E159B8">
        <w:rPr>
          <w:spacing w:val="-3"/>
        </w:rPr>
        <w:t xml:space="preserve"> </w:t>
      </w:r>
      <w:r w:rsidR="00E159B8">
        <w:t>hearing</w:t>
      </w:r>
      <w:r w:rsidR="00E159B8" w:rsidRPr="00E159B8">
        <w:rPr>
          <w:spacing w:val="-2"/>
        </w:rPr>
        <w:t xml:space="preserve"> </w:t>
      </w:r>
      <w:r w:rsidR="00E159B8">
        <w:t>on</w:t>
      </w:r>
      <w:r w:rsidR="00E159B8" w:rsidRPr="00E159B8">
        <w:rPr>
          <w:spacing w:val="-2"/>
        </w:rPr>
        <w:t xml:space="preserve"> </w:t>
      </w:r>
      <w:r w:rsidR="00E159B8">
        <w:t>3</w:t>
      </w:r>
      <w:r w:rsidR="00E159B8" w:rsidRPr="00E159B8">
        <w:rPr>
          <w:spacing w:val="-15"/>
        </w:rPr>
        <w:t xml:space="preserve"> </w:t>
      </w:r>
      <w:r w:rsidR="00E159B8">
        <w:t>April</w:t>
      </w:r>
      <w:r w:rsidR="00E159B8" w:rsidRPr="00E159B8">
        <w:rPr>
          <w:spacing w:val="-5"/>
        </w:rPr>
        <w:t xml:space="preserve"> </w:t>
      </w:r>
      <w:r w:rsidR="00E159B8">
        <w:t>2024</w:t>
      </w:r>
      <w:r w:rsidR="00E159B8" w:rsidRPr="00E159B8">
        <w:rPr>
          <w:spacing w:val="-4"/>
        </w:rPr>
        <w:t xml:space="preserve"> </w:t>
      </w:r>
      <w:r w:rsidR="00E159B8">
        <w:t>as</w:t>
      </w:r>
      <w:r w:rsidR="00E159B8" w:rsidRPr="00E159B8">
        <w:rPr>
          <w:spacing w:val="-4"/>
        </w:rPr>
        <w:t xml:space="preserve"> </w:t>
      </w:r>
      <w:r w:rsidR="00E159B8">
        <w:t>fair</w:t>
      </w:r>
      <w:r w:rsidR="00E159B8" w:rsidRPr="00E159B8">
        <w:rPr>
          <w:spacing w:val="-1"/>
        </w:rPr>
        <w:t xml:space="preserve"> </w:t>
      </w:r>
      <w:r w:rsidR="00E159B8">
        <w:t>and</w:t>
      </w:r>
      <w:r w:rsidR="00E159B8" w:rsidRPr="00E159B8">
        <w:rPr>
          <w:spacing w:val="-7"/>
        </w:rPr>
        <w:t xml:space="preserve"> </w:t>
      </w:r>
      <w:r w:rsidR="00E159B8">
        <w:t>reasonable is</w:t>
      </w:r>
      <w:r w:rsidR="00E159B8" w:rsidRPr="00E159B8">
        <w:rPr>
          <w:spacing w:val="-2"/>
        </w:rPr>
        <w:t xml:space="preserve"> </w:t>
      </w:r>
      <w:r w:rsidR="00E159B8" w:rsidRPr="00E159B8">
        <w:t>$346,097.17</w:t>
      </w:r>
      <w:r w:rsidR="00E159B8">
        <w:t>: Rosati 2 at [7].</w:t>
      </w:r>
    </w:p>
    <w:p w14:paraId="0E151186" w14:textId="7F9EEF4F" w:rsidR="00CA7DF9" w:rsidRDefault="00CA7DF9" w:rsidP="002E1E74">
      <w:pPr>
        <w:pStyle w:val="Heading3"/>
      </w:pPr>
      <w:r>
        <w:lastRenderedPageBreak/>
        <w:t>Rosati 1</w:t>
      </w:r>
    </w:p>
    <w:p w14:paraId="0C3530E4" w14:textId="7469FE0E" w:rsidR="00B12375" w:rsidRPr="00B12375" w:rsidRDefault="00B6500C" w:rsidP="00B6500C">
      <w:pPr>
        <w:pStyle w:val="ParaNumbering"/>
        <w:numPr>
          <w:ilvl w:val="0"/>
          <w:numId w:val="0"/>
        </w:numPr>
        <w:ind w:hanging="720"/>
      </w:pPr>
      <w:r w:rsidRPr="00B12375">
        <w:rPr>
          <w:iCs/>
          <w:sz w:val="20"/>
        </w:rPr>
        <w:t>50</w:t>
      </w:r>
      <w:r w:rsidRPr="00B12375">
        <w:rPr>
          <w:iCs/>
          <w:sz w:val="20"/>
        </w:rPr>
        <w:tab/>
      </w:r>
      <w:r w:rsidR="00A34E10" w:rsidRPr="00A34E10">
        <w:rPr>
          <w:szCs w:val="24"/>
        </w:rPr>
        <w:t>In order to provide her opinion as to the fairness and reasonableness of the costs of the proceedings</w:t>
      </w:r>
      <w:r w:rsidR="00A132B1">
        <w:rPr>
          <w:szCs w:val="24"/>
        </w:rPr>
        <w:t xml:space="preserve"> up until 31 December 2023</w:t>
      </w:r>
      <w:r w:rsidR="00A34E10" w:rsidRPr="00A34E10">
        <w:rPr>
          <w:szCs w:val="24"/>
        </w:rPr>
        <w:t>, Ms Rosati was provided with</w:t>
      </w:r>
      <w:r w:rsidR="00CF2C6A">
        <w:rPr>
          <w:szCs w:val="24"/>
        </w:rPr>
        <w:t>:</w:t>
      </w:r>
      <w:r w:rsidR="00A34E10" w:rsidRPr="00A34E10">
        <w:rPr>
          <w:szCs w:val="24"/>
        </w:rPr>
        <w:t xml:space="preserve"> </w:t>
      </w:r>
      <w:r w:rsidR="00E042EA">
        <w:rPr>
          <w:szCs w:val="24"/>
        </w:rPr>
        <w:t xml:space="preserve">a </w:t>
      </w:r>
      <w:r w:rsidR="001F5123">
        <w:rPr>
          <w:szCs w:val="24"/>
        </w:rPr>
        <w:t>L</w:t>
      </w:r>
      <w:r w:rsidR="00E042EA">
        <w:rPr>
          <w:szCs w:val="24"/>
        </w:rPr>
        <w:t xml:space="preserve">etter of </w:t>
      </w:r>
      <w:r w:rsidR="001F5123">
        <w:rPr>
          <w:szCs w:val="24"/>
        </w:rPr>
        <w:t>I</w:t>
      </w:r>
      <w:r w:rsidR="00E042EA">
        <w:rPr>
          <w:szCs w:val="24"/>
        </w:rPr>
        <w:t>nstruction</w:t>
      </w:r>
      <w:r w:rsidR="00CF2C6A">
        <w:rPr>
          <w:szCs w:val="24"/>
        </w:rPr>
        <w:t>;</w:t>
      </w:r>
      <w:r w:rsidR="00E042EA">
        <w:rPr>
          <w:szCs w:val="24"/>
        </w:rPr>
        <w:t xml:space="preserve"> </w:t>
      </w:r>
      <w:r w:rsidR="00A34E10" w:rsidRPr="00A34E10">
        <w:rPr>
          <w:szCs w:val="24"/>
        </w:rPr>
        <w:t>copies of costs agreements</w:t>
      </w:r>
      <w:r w:rsidR="00CF2C6A">
        <w:rPr>
          <w:szCs w:val="24"/>
        </w:rPr>
        <w:t>;</w:t>
      </w:r>
      <w:r w:rsidR="00A34E10" w:rsidRPr="00A34E10">
        <w:rPr>
          <w:szCs w:val="24"/>
        </w:rPr>
        <w:t xml:space="preserve"> Shine</w:t>
      </w:r>
      <w:r w:rsidR="00CD113A">
        <w:rPr>
          <w:szCs w:val="24"/>
        </w:rPr>
        <w:t>’</w:t>
      </w:r>
      <w:r w:rsidR="00A34E10" w:rsidRPr="00A34E10">
        <w:rPr>
          <w:szCs w:val="24"/>
        </w:rPr>
        <w:t xml:space="preserve">s </w:t>
      </w:r>
      <w:r w:rsidR="002F583B">
        <w:rPr>
          <w:szCs w:val="24"/>
        </w:rPr>
        <w:t>time recording protocols</w:t>
      </w:r>
      <w:r w:rsidR="00CF2C6A">
        <w:rPr>
          <w:szCs w:val="24"/>
        </w:rPr>
        <w:t>;</w:t>
      </w:r>
      <w:r w:rsidR="002F583B">
        <w:rPr>
          <w:szCs w:val="24"/>
        </w:rPr>
        <w:t xml:space="preserve"> </w:t>
      </w:r>
      <w:r w:rsidR="007C3582">
        <w:rPr>
          <w:szCs w:val="24"/>
        </w:rPr>
        <w:t>the itemised account; tax invoices for disbursements; the DOCA; “information as to the size and composition of the Shine file”</w:t>
      </w:r>
      <w:r w:rsidR="00022C7E">
        <w:rPr>
          <w:szCs w:val="24"/>
        </w:rPr>
        <w:t xml:space="preserve"> (which appears to be further explained at Rosati 1 </w:t>
      </w:r>
      <w:r w:rsidR="00B72019">
        <w:rPr>
          <w:szCs w:val="24"/>
        </w:rPr>
        <w:t>[73] to [77])</w:t>
      </w:r>
      <w:r w:rsidR="007C3582">
        <w:rPr>
          <w:szCs w:val="24"/>
        </w:rPr>
        <w:t xml:space="preserve">; </w:t>
      </w:r>
      <w:r w:rsidR="004E01B9">
        <w:rPr>
          <w:szCs w:val="24"/>
        </w:rPr>
        <w:t xml:space="preserve">and </w:t>
      </w:r>
      <w:r w:rsidR="00A34E10" w:rsidRPr="00A34E10">
        <w:rPr>
          <w:szCs w:val="24"/>
        </w:rPr>
        <w:t>billing records and invoices for disbursements and Excel spreadsheets detailing the professional costs and disbursements incurred on a line by line basis</w:t>
      </w:r>
      <w:r w:rsidR="00B12375">
        <w:rPr>
          <w:szCs w:val="24"/>
        </w:rPr>
        <w:t xml:space="preserve"> (which is probably a reference to the “itemised account”</w:t>
      </w:r>
      <w:r w:rsidR="007C3582">
        <w:rPr>
          <w:szCs w:val="24"/>
        </w:rPr>
        <w:t>: Rosati 1 at [14]</w:t>
      </w:r>
      <w:r w:rsidR="00AB48C2">
        <w:rPr>
          <w:szCs w:val="24"/>
        </w:rPr>
        <w:t>; [35]</w:t>
      </w:r>
      <w:r w:rsidR="00804374">
        <w:rPr>
          <w:szCs w:val="24"/>
        </w:rPr>
        <w:t>)</w:t>
      </w:r>
      <w:r w:rsidR="00A34E10" w:rsidRPr="00A34E10">
        <w:rPr>
          <w:szCs w:val="24"/>
        </w:rPr>
        <w:t xml:space="preserve">. </w:t>
      </w:r>
      <w:r w:rsidR="00D51297">
        <w:rPr>
          <w:szCs w:val="24"/>
        </w:rPr>
        <w:t>She did not have an “itemised bill of costs”.</w:t>
      </w:r>
      <w:r w:rsidR="00A55866">
        <w:rPr>
          <w:szCs w:val="24"/>
        </w:rPr>
        <w:t xml:space="preserve"> </w:t>
      </w:r>
    </w:p>
    <w:p w14:paraId="56B9AD39" w14:textId="6081F391" w:rsidR="00320B6D" w:rsidRDefault="00B6500C" w:rsidP="00B6500C">
      <w:pPr>
        <w:pStyle w:val="ParaNumbering"/>
        <w:numPr>
          <w:ilvl w:val="0"/>
          <w:numId w:val="0"/>
        </w:numPr>
        <w:ind w:hanging="720"/>
      </w:pPr>
      <w:r>
        <w:rPr>
          <w:iCs/>
          <w:sz w:val="20"/>
        </w:rPr>
        <w:t>51</w:t>
      </w:r>
      <w:r>
        <w:rPr>
          <w:iCs/>
          <w:sz w:val="20"/>
        </w:rPr>
        <w:tab/>
      </w:r>
      <w:r w:rsidR="00A55866">
        <w:rPr>
          <w:szCs w:val="24"/>
        </w:rPr>
        <w:t>The “itemised account” to which Ms Rosati did have access was described in the following way</w:t>
      </w:r>
      <w:r w:rsidR="00320B6D">
        <w:rPr>
          <w:szCs w:val="24"/>
        </w:rPr>
        <w:t xml:space="preserve"> at [66] and [67]:</w:t>
      </w:r>
    </w:p>
    <w:p w14:paraId="4176AC4D" w14:textId="14756BDA" w:rsidR="00050571" w:rsidRDefault="00D3625E" w:rsidP="00D3625E">
      <w:pPr>
        <w:pStyle w:val="Quote1"/>
        <w:ind w:left="1440" w:hanging="703"/>
      </w:pPr>
      <w:r>
        <w:t>[66]</w:t>
      </w:r>
      <w:r>
        <w:tab/>
      </w:r>
      <w:r w:rsidR="00050571" w:rsidRPr="00050571">
        <w:t>The itemised account for Shine’s costs is large with 6,960 line entries for professional</w:t>
      </w:r>
      <w:r w:rsidR="00050571">
        <w:t xml:space="preserve"> </w:t>
      </w:r>
      <w:r w:rsidR="00050571" w:rsidRPr="00050571">
        <w:t>costs in the Excel spreadsheet. As such, this spreadsheet has not been printed or</w:t>
      </w:r>
      <w:r w:rsidR="00050571">
        <w:t xml:space="preserve"> </w:t>
      </w:r>
      <w:r w:rsidR="00050571" w:rsidRPr="00050571">
        <w:t>annexed to my report but a soft copy of the same can be provided if required.</w:t>
      </w:r>
    </w:p>
    <w:p w14:paraId="4903EDCB" w14:textId="1CD86F70" w:rsidR="00050571" w:rsidRPr="00320B6D" w:rsidRDefault="00D3625E" w:rsidP="00471D41">
      <w:pPr>
        <w:pStyle w:val="Quote1"/>
        <w:ind w:left="1440" w:hanging="703"/>
      </w:pPr>
      <w:r>
        <w:t>[67]</w:t>
      </w:r>
      <w:r>
        <w:tab/>
      </w:r>
      <w:r w:rsidR="00050571" w:rsidRPr="00050571">
        <w:t>The itemised account records each fee earner, their rate of charge per hour and per unit,</w:t>
      </w:r>
      <w:r w:rsidR="00050571">
        <w:t xml:space="preserve"> </w:t>
      </w:r>
      <w:r w:rsidR="00050571" w:rsidRPr="00050571">
        <w:t>the time spent and the costs charged for each task and a detailed narration of the work</w:t>
      </w:r>
      <w:r w:rsidR="00050571">
        <w:t xml:space="preserve"> </w:t>
      </w:r>
      <w:r w:rsidR="00050571" w:rsidRPr="00050571">
        <w:t>performed and have been prepared applying a minimum 6 minute unit of charge. Shine</w:t>
      </w:r>
      <w:r w:rsidR="00050571">
        <w:t xml:space="preserve"> </w:t>
      </w:r>
      <w:r w:rsidR="00050571" w:rsidRPr="00050571">
        <w:t>also have categorised the items of work recorded by way of phase code and by the first</w:t>
      </w:r>
      <w:r w:rsidR="00050571">
        <w:t xml:space="preserve"> </w:t>
      </w:r>
      <w:r w:rsidR="00050571" w:rsidRPr="00050571">
        <w:t>word of each line entry. In order to analyse the work detailed in the itemised account and</w:t>
      </w:r>
      <w:r w:rsidR="00050571">
        <w:t xml:space="preserve"> </w:t>
      </w:r>
      <w:r w:rsidR="00050571" w:rsidRPr="00050571">
        <w:t>due to the size of the same, I scrolled through the itemised account and together with my</w:t>
      </w:r>
      <w:r w:rsidR="00050571">
        <w:t xml:space="preserve"> </w:t>
      </w:r>
      <w:r w:rsidR="00050571" w:rsidRPr="00050571">
        <w:t>paralegal, Hayley Crowley, performed a number of filtering exercises in order to analyse</w:t>
      </w:r>
      <w:r w:rsidR="00050571">
        <w:t xml:space="preserve"> </w:t>
      </w:r>
      <w:r w:rsidR="00050571" w:rsidRPr="00050571">
        <w:t>the costs therein. The results of this analysis are detailed below.</w:t>
      </w:r>
    </w:p>
    <w:p w14:paraId="01C5F024" w14:textId="4623A51C" w:rsidR="00945291" w:rsidRDefault="00B6500C" w:rsidP="00B6500C">
      <w:pPr>
        <w:pStyle w:val="ParaNumbering"/>
        <w:numPr>
          <w:ilvl w:val="0"/>
          <w:numId w:val="0"/>
        </w:numPr>
        <w:ind w:hanging="720"/>
      </w:pPr>
      <w:r>
        <w:rPr>
          <w:iCs/>
          <w:sz w:val="20"/>
        </w:rPr>
        <w:t>52</w:t>
      </w:r>
      <w:r>
        <w:rPr>
          <w:iCs/>
          <w:sz w:val="20"/>
        </w:rPr>
        <w:tab/>
      </w:r>
      <w:r w:rsidR="00E940A6">
        <w:rPr>
          <w:szCs w:val="24"/>
        </w:rPr>
        <w:t>Ms Rosati summarised the relevant law about legal costs</w:t>
      </w:r>
      <w:r w:rsidR="005B65CB">
        <w:rPr>
          <w:szCs w:val="24"/>
        </w:rPr>
        <w:t xml:space="preserve"> and the manner of her approach to the task at</w:t>
      </w:r>
      <w:r w:rsidR="00372BB4">
        <w:rPr>
          <w:szCs w:val="24"/>
        </w:rPr>
        <w:t xml:space="preserve"> Rosati </w:t>
      </w:r>
      <w:r w:rsidR="00AB48C2">
        <w:rPr>
          <w:szCs w:val="24"/>
        </w:rPr>
        <w:t xml:space="preserve">1 at [29] to </w:t>
      </w:r>
      <w:r w:rsidR="00D95033">
        <w:rPr>
          <w:szCs w:val="24"/>
        </w:rPr>
        <w:t>[3</w:t>
      </w:r>
      <w:r w:rsidR="00132C69">
        <w:rPr>
          <w:szCs w:val="24"/>
        </w:rPr>
        <w:t>7</w:t>
      </w:r>
      <w:r w:rsidR="00D95033">
        <w:rPr>
          <w:szCs w:val="24"/>
        </w:rPr>
        <w:t>].</w:t>
      </w:r>
      <w:r w:rsidR="00132C69">
        <w:rPr>
          <w:szCs w:val="24"/>
        </w:rPr>
        <w:t xml:space="preserve"> </w:t>
      </w:r>
      <w:r w:rsidR="00945291">
        <w:rPr>
          <w:szCs w:val="24"/>
        </w:rPr>
        <w:t>At [36] and [37], Ms Rosati stated:</w:t>
      </w:r>
    </w:p>
    <w:p w14:paraId="3A8DA9D5" w14:textId="01FFF161" w:rsidR="00D3625E" w:rsidRDefault="00D3625E" w:rsidP="00191F28">
      <w:pPr>
        <w:pStyle w:val="Quote1"/>
        <w:widowControl/>
        <w:ind w:left="1440" w:hanging="703"/>
      </w:pPr>
      <w:r>
        <w:t>[36]</w:t>
      </w:r>
      <w:r>
        <w:tab/>
      </w:r>
      <w:r w:rsidR="00050571" w:rsidRPr="00050571">
        <w:t>In light of the size of the Shine itemised account I have not done any sampling of the</w:t>
      </w:r>
      <w:r w:rsidR="00050571">
        <w:t xml:space="preserve"> </w:t>
      </w:r>
      <w:r w:rsidR="00050571" w:rsidRPr="00050571">
        <w:t>costs, that is, I have not costed or closely scrutinised any particular parts of the file. I</w:t>
      </w:r>
      <w:r w:rsidR="00050571">
        <w:t xml:space="preserve"> </w:t>
      </w:r>
      <w:r w:rsidR="00050571" w:rsidRPr="00050571">
        <w:t>consider that to do so in a matter of this size and scale would not assist as it would be</w:t>
      </w:r>
      <w:r w:rsidR="00050571">
        <w:t xml:space="preserve"> </w:t>
      </w:r>
      <w:r w:rsidR="00050571" w:rsidRPr="00050571">
        <w:t>arbitrary and random. Rather, I determined that it is appropriate to consider the line</w:t>
      </w:r>
      <w:r w:rsidR="00050571">
        <w:t xml:space="preserve"> </w:t>
      </w:r>
      <w:r w:rsidR="00050571" w:rsidRPr="00050571">
        <w:t>entries in the itemised accounts, filter the same into work or task categories and provide</w:t>
      </w:r>
      <w:r w:rsidR="00050571">
        <w:t xml:space="preserve"> </w:t>
      </w:r>
      <w:r w:rsidR="00050571" w:rsidRPr="00050571">
        <w:t>comments and observations as to the work performed and the team of lawyers</w:t>
      </w:r>
      <w:r w:rsidR="00050571">
        <w:t xml:space="preserve"> </w:t>
      </w:r>
      <w:r w:rsidR="00050571" w:rsidRPr="00050571">
        <w:t>performing the work.</w:t>
      </w:r>
    </w:p>
    <w:p w14:paraId="1F265AB1" w14:textId="3FE3CF3E" w:rsidR="00050571" w:rsidRDefault="00D3625E" w:rsidP="00191F28">
      <w:pPr>
        <w:pStyle w:val="Quote1"/>
        <w:widowControl/>
        <w:ind w:left="1440" w:hanging="703"/>
      </w:pPr>
      <w:r>
        <w:t>[37]</w:t>
      </w:r>
      <w:r>
        <w:tab/>
      </w:r>
      <w:r w:rsidR="00050571" w:rsidRPr="00050571">
        <w:t>In order to provide an opinion as to a reasonable amount for costs in this instance, I</w:t>
      </w:r>
      <w:r w:rsidR="00050571">
        <w:t xml:space="preserve"> </w:t>
      </w:r>
      <w:r w:rsidR="00050571" w:rsidRPr="00050571">
        <w:t>have applied the following methodology:</w:t>
      </w:r>
    </w:p>
    <w:p w14:paraId="44E14D30" w14:textId="572D214F" w:rsidR="00050571" w:rsidRPr="00050571" w:rsidRDefault="00050571" w:rsidP="009503DB">
      <w:pPr>
        <w:pStyle w:val="Quote2"/>
        <w:ind w:left="2160" w:hanging="720"/>
      </w:pPr>
      <w:r w:rsidRPr="00050571">
        <w:t>(a</w:t>
      </w:r>
      <w:r>
        <w:t>)</w:t>
      </w:r>
      <w:r>
        <w:tab/>
      </w:r>
      <w:r w:rsidRPr="00050571">
        <w:t>considered the terms of the costs agreements provided by Shine to the Applicant</w:t>
      </w:r>
      <w:r>
        <w:t xml:space="preserve"> </w:t>
      </w:r>
      <w:r w:rsidRPr="00050571">
        <w:t>and Mr and Mrs Carfax-Foster;</w:t>
      </w:r>
    </w:p>
    <w:p w14:paraId="125B161D" w14:textId="2238F291" w:rsidR="00050571" w:rsidRPr="00050571" w:rsidRDefault="00050571" w:rsidP="009503DB">
      <w:pPr>
        <w:pStyle w:val="Quote2"/>
      </w:pPr>
      <w:r w:rsidRPr="00050571">
        <w:t>(b)</w:t>
      </w:r>
      <w:r>
        <w:tab/>
      </w:r>
      <w:r w:rsidRPr="00050571">
        <w:t>considered the hourly rates charged by Shine and counsel;</w:t>
      </w:r>
    </w:p>
    <w:p w14:paraId="0AE2C59A" w14:textId="49119B4A" w:rsidR="00050571" w:rsidRPr="00050571" w:rsidRDefault="00050571" w:rsidP="009503DB">
      <w:pPr>
        <w:pStyle w:val="Quote2"/>
        <w:ind w:left="2160" w:hanging="720"/>
      </w:pPr>
      <w:r w:rsidRPr="00050571">
        <w:t>(c)</w:t>
      </w:r>
      <w:r>
        <w:tab/>
      </w:r>
      <w:r w:rsidRPr="00050571">
        <w:t>considered the itemised account prepared from Shine time records and</w:t>
      </w:r>
      <w:r>
        <w:t xml:space="preserve"> </w:t>
      </w:r>
      <w:r w:rsidRPr="00050571">
        <w:t>itemisations of disbursements and invoices provided by Shine;</w:t>
      </w:r>
    </w:p>
    <w:p w14:paraId="093880A0" w14:textId="5EB1F9AA" w:rsidR="00050571" w:rsidRPr="00050571" w:rsidRDefault="00050571" w:rsidP="009503DB">
      <w:pPr>
        <w:pStyle w:val="Quote2"/>
        <w:ind w:left="2160" w:hanging="720"/>
      </w:pPr>
      <w:r w:rsidRPr="00050571">
        <w:lastRenderedPageBreak/>
        <w:t>(d)</w:t>
      </w:r>
      <w:r>
        <w:tab/>
      </w:r>
      <w:r w:rsidRPr="00050571">
        <w:t>applied the legislative tests in the LPUL detailed above to consider whether the</w:t>
      </w:r>
      <w:r>
        <w:t xml:space="preserve"> </w:t>
      </w:r>
      <w:r w:rsidRPr="00050571">
        <w:t>costs and disbursements were reasonable in amount, or reasonably incurred</w:t>
      </w:r>
      <w:r>
        <w:t xml:space="preserve"> </w:t>
      </w:r>
      <w:r w:rsidRPr="00050571">
        <w:t>having regard to the circumstances in which the work was undertaken, including</w:t>
      </w:r>
      <w:r>
        <w:t xml:space="preserve"> </w:t>
      </w:r>
      <w:r w:rsidRPr="00050571">
        <w:t>whether the work was undertaken efficiently and appropriately, whether the work</w:t>
      </w:r>
      <w:r>
        <w:t xml:space="preserve"> </w:t>
      </w:r>
      <w:r w:rsidRPr="00050571">
        <w:t>was undertaken by a person at the appropriate level of seniority, whether the task</w:t>
      </w:r>
      <w:r>
        <w:t xml:space="preserve"> </w:t>
      </w:r>
      <w:r w:rsidRPr="00050571">
        <w:t>and charge were appropriate having regard to the nature of the work, the time</w:t>
      </w:r>
      <w:r>
        <w:t xml:space="preserve"> </w:t>
      </w:r>
      <w:r w:rsidRPr="00050571">
        <w:t>taken, and the ratio of work and interrelation of work undertaken by the solicitors</w:t>
      </w:r>
      <w:r>
        <w:t xml:space="preserve"> </w:t>
      </w:r>
      <w:r w:rsidRPr="00050571">
        <w:t>and counsel retained;</w:t>
      </w:r>
    </w:p>
    <w:p w14:paraId="17FE43B1" w14:textId="4378BE8E" w:rsidR="00050571" w:rsidRDefault="00050571" w:rsidP="009503DB">
      <w:pPr>
        <w:pStyle w:val="Quote2"/>
        <w:ind w:left="2160" w:hanging="720"/>
      </w:pPr>
      <w:r w:rsidRPr="00050571">
        <w:t>(e)</w:t>
      </w:r>
      <w:r>
        <w:tab/>
      </w:r>
      <w:r w:rsidRPr="00050571">
        <w:t>when applying these considerations, have had regard to judgments in other</w:t>
      </w:r>
      <w:r>
        <w:t xml:space="preserve"> </w:t>
      </w:r>
      <w:r w:rsidRPr="00050571">
        <w:t>matters relating to the approval of legal costs in representative proceedings,</w:t>
      </w:r>
      <w:r>
        <w:t xml:space="preserve"> </w:t>
      </w:r>
      <w:r w:rsidRPr="00050571">
        <w:t xml:space="preserve">including those in </w:t>
      </w:r>
      <w:proofErr w:type="spellStart"/>
      <w:r w:rsidRPr="00050571">
        <w:rPr>
          <w:i/>
          <w:iCs/>
        </w:rPr>
        <w:t>Modtech</w:t>
      </w:r>
      <w:proofErr w:type="spellEnd"/>
      <w:r w:rsidRPr="00050571">
        <w:rPr>
          <w:i/>
          <w:iCs/>
        </w:rPr>
        <w:t xml:space="preserve"> Engineering Pty Limited v GPT Management Holdings</w:t>
      </w:r>
      <w:r>
        <w:t xml:space="preserve"> </w:t>
      </w:r>
      <w:r w:rsidRPr="00050571">
        <w:rPr>
          <w:i/>
          <w:iCs/>
        </w:rPr>
        <w:t>Limited (No</w:t>
      </w:r>
      <w:r w:rsidR="00247E3D">
        <w:rPr>
          <w:i/>
          <w:iCs/>
        </w:rPr>
        <w:t xml:space="preserve"> </w:t>
      </w:r>
      <w:r w:rsidRPr="00050571">
        <w:rPr>
          <w:i/>
          <w:iCs/>
        </w:rPr>
        <w:t xml:space="preserve">2) </w:t>
      </w:r>
      <w:r w:rsidRPr="00050571">
        <w:t xml:space="preserve">[2013] FCA 1163 and </w:t>
      </w:r>
      <w:r w:rsidRPr="00050571">
        <w:rPr>
          <w:i/>
          <w:iCs/>
        </w:rPr>
        <w:t xml:space="preserve">Wills v Woolworths Group Limited </w:t>
      </w:r>
      <w:r w:rsidRPr="00050571">
        <w:t>[2022] FCA</w:t>
      </w:r>
      <w:r>
        <w:t xml:space="preserve"> </w:t>
      </w:r>
      <w:r w:rsidRPr="00050571">
        <w:t>1545; and</w:t>
      </w:r>
    </w:p>
    <w:p w14:paraId="0D754034" w14:textId="69F3A6B5" w:rsidR="00050571" w:rsidRDefault="00050571" w:rsidP="009503DB">
      <w:pPr>
        <w:pStyle w:val="Quote2"/>
        <w:ind w:left="2160" w:hanging="720"/>
      </w:pPr>
      <w:r>
        <w:t>(</w:t>
      </w:r>
      <w:r w:rsidR="009503DB">
        <w:t>f</w:t>
      </w:r>
      <w:r>
        <w:t>)</w:t>
      </w:r>
      <w:r>
        <w:tab/>
      </w:r>
      <w:r w:rsidRPr="00050571">
        <w:t>formed an opinion as to the fair, reasonable and proportionate amount for costs</w:t>
      </w:r>
      <w:r>
        <w:t xml:space="preserve"> </w:t>
      </w:r>
      <w:r w:rsidRPr="00050571">
        <w:t>and disbursements.</w:t>
      </w:r>
    </w:p>
    <w:p w14:paraId="248993C5" w14:textId="1B271A2B" w:rsidR="00496C3C" w:rsidRDefault="00B6500C" w:rsidP="00B6500C">
      <w:pPr>
        <w:pStyle w:val="ParaNumbering"/>
        <w:numPr>
          <w:ilvl w:val="0"/>
          <w:numId w:val="0"/>
        </w:numPr>
        <w:ind w:hanging="720"/>
        <w:rPr>
          <w:szCs w:val="24"/>
        </w:rPr>
      </w:pPr>
      <w:r>
        <w:rPr>
          <w:iCs/>
          <w:sz w:val="20"/>
          <w:szCs w:val="24"/>
        </w:rPr>
        <w:t>53</w:t>
      </w:r>
      <w:r>
        <w:rPr>
          <w:iCs/>
          <w:sz w:val="20"/>
          <w:szCs w:val="24"/>
        </w:rPr>
        <w:tab/>
      </w:r>
      <w:r w:rsidR="00496C3C">
        <w:rPr>
          <w:szCs w:val="24"/>
        </w:rPr>
        <w:t xml:space="preserve">Shine entered into a costs agreement with the lead applicant </w:t>
      </w:r>
      <w:r w:rsidR="009F6733">
        <w:rPr>
          <w:szCs w:val="24"/>
        </w:rPr>
        <w:t xml:space="preserve">and two other costs agreements with the directors of the applicant </w:t>
      </w:r>
      <w:r w:rsidR="00496C3C">
        <w:rPr>
          <w:szCs w:val="24"/>
        </w:rPr>
        <w:t xml:space="preserve">on about 18 December 2021. </w:t>
      </w:r>
    </w:p>
    <w:p w14:paraId="36B10F42" w14:textId="5D18CAC0" w:rsidR="009C05AE" w:rsidRPr="009C05AE" w:rsidRDefault="00B6500C" w:rsidP="00B6500C">
      <w:pPr>
        <w:pStyle w:val="ParaNumbering"/>
        <w:numPr>
          <w:ilvl w:val="0"/>
          <w:numId w:val="0"/>
        </w:numPr>
        <w:ind w:hanging="720"/>
        <w:rPr>
          <w:szCs w:val="24"/>
        </w:rPr>
      </w:pPr>
      <w:r w:rsidRPr="009C05AE">
        <w:rPr>
          <w:iCs/>
          <w:sz w:val="20"/>
          <w:szCs w:val="24"/>
        </w:rPr>
        <w:t>54</w:t>
      </w:r>
      <w:r w:rsidRPr="009C05AE">
        <w:rPr>
          <w:iCs/>
          <w:sz w:val="20"/>
          <w:szCs w:val="24"/>
        </w:rPr>
        <w:tab/>
      </w:r>
      <w:r w:rsidR="00496C3C">
        <w:rPr>
          <w:szCs w:val="24"/>
        </w:rPr>
        <w:t>The costs agreements disclosed</w:t>
      </w:r>
      <w:r w:rsidR="008F6E0B" w:rsidRPr="009C05AE">
        <w:rPr>
          <w:szCs w:val="24"/>
        </w:rPr>
        <w:t xml:space="preserve"> that Shine’s fees</w:t>
      </w:r>
      <w:r w:rsidR="00A403C9" w:rsidRPr="009C05AE">
        <w:rPr>
          <w:szCs w:val="24"/>
        </w:rPr>
        <w:t>, excluding GST,</w:t>
      </w:r>
      <w:r w:rsidR="008F6E0B" w:rsidRPr="009C05AE">
        <w:rPr>
          <w:szCs w:val="24"/>
        </w:rPr>
        <w:t xml:space="preserve"> were between $250 per hour for law clerks and $840 per hour for special counsel</w:t>
      </w:r>
      <w:r w:rsidR="00A403C9" w:rsidRPr="009C05AE">
        <w:rPr>
          <w:szCs w:val="24"/>
        </w:rPr>
        <w:t xml:space="preserve">. </w:t>
      </w:r>
      <w:r w:rsidR="009C05AE" w:rsidRPr="009C05AE">
        <w:rPr>
          <w:szCs w:val="24"/>
        </w:rPr>
        <w:t>Ms Rosati considered market hourly rates from [53] to [62]. Ms Rosati concluded that Shine’s rates were fair and reasonable. Ms Rosati stated at [62]:</w:t>
      </w:r>
    </w:p>
    <w:p w14:paraId="41A3195D" w14:textId="6E3BCD9E" w:rsidR="009C05AE" w:rsidRPr="00FB2114" w:rsidRDefault="009C05AE" w:rsidP="009C05AE">
      <w:pPr>
        <w:pStyle w:val="Quote1"/>
        <w:ind w:left="1440" w:hanging="703"/>
      </w:pPr>
      <w:r>
        <w:t>[62]</w:t>
      </w:r>
      <w:r>
        <w:tab/>
      </w:r>
      <w:r w:rsidR="00106F17">
        <w:t>…</w:t>
      </w:r>
      <w:r>
        <w:t>The rates are also within</w:t>
      </w:r>
      <w:r w:rsidRPr="00FB2114">
        <w:rPr>
          <w:spacing w:val="33"/>
        </w:rPr>
        <w:t xml:space="preserve"> </w:t>
      </w:r>
      <w:r>
        <w:t>the range of rates that in my experience are</w:t>
      </w:r>
      <w:r w:rsidRPr="00FB2114">
        <w:rPr>
          <w:spacing w:val="5"/>
        </w:rPr>
        <w:t xml:space="preserve"> </w:t>
      </w:r>
      <w:r>
        <w:t>routinely charged by lawyers</w:t>
      </w:r>
      <w:r w:rsidRPr="00FB2114">
        <w:rPr>
          <w:spacing w:val="5"/>
        </w:rPr>
        <w:t xml:space="preserve"> </w:t>
      </w:r>
      <w:r>
        <w:t>in complex</w:t>
      </w:r>
      <w:r w:rsidRPr="00FB2114">
        <w:rPr>
          <w:spacing w:val="5"/>
        </w:rPr>
        <w:t xml:space="preserve"> </w:t>
      </w:r>
      <w:r>
        <w:t>commercial</w:t>
      </w:r>
      <w:r w:rsidRPr="00FB2114">
        <w:rPr>
          <w:spacing w:val="5"/>
        </w:rPr>
        <w:t xml:space="preserve"> </w:t>
      </w:r>
      <w:r>
        <w:t>and representative proceedings</w:t>
      </w:r>
      <w:r w:rsidRPr="00FB2114">
        <w:rPr>
          <w:spacing w:val="18"/>
        </w:rPr>
        <w:t xml:space="preserve"> </w:t>
      </w:r>
      <w:r>
        <w:t>as</w:t>
      </w:r>
      <w:r w:rsidRPr="00FB2114">
        <w:rPr>
          <w:spacing w:val="18"/>
        </w:rPr>
        <w:t xml:space="preserve"> </w:t>
      </w:r>
      <w:r>
        <w:t>outlined</w:t>
      </w:r>
      <w:r w:rsidRPr="00FB2114">
        <w:rPr>
          <w:spacing w:val="18"/>
        </w:rPr>
        <w:t xml:space="preserve"> </w:t>
      </w:r>
      <w:r>
        <w:t>above.</w:t>
      </w:r>
      <w:r w:rsidRPr="00FB2114">
        <w:rPr>
          <w:spacing w:val="13"/>
        </w:rPr>
        <w:t xml:space="preserve"> </w:t>
      </w:r>
      <w:r>
        <w:t>The</w:t>
      </w:r>
      <w:r w:rsidRPr="00FB2114">
        <w:rPr>
          <w:spacing w:val="18"/>
        </w:rPr>
        <w:t xml:space="preserve"> </w:t>
      </w:r>
      <w:r>
        <w:t>rates</w:t>
      </w:r>
      <w:r w:rsidRPr="00FB2114">
        <w:rPr>
          <w:spacing w:val="18"/>
        </w:rPr>
        <w:t xml:space="preserve"> </w:t>
      </w:r>
      <w:r>
        <w:t>are</w:t>
      </w:r>
      <w:r w:rsidRPr="00FB2114">
        <w:rPr>
          <w:spacing w:val="18"/>
        </w:rPr>
        <w:t xml:space="preserve"> </w:t>
      </w:r>
      <w:r>
        <w:t>above</w:t>
      </w:r>
      <w:r w:rsidRPr="00FB2114">
        <w:rPr>
          <w:spacing w:val="18"/>
        </w:rPr>
        <w:t xml:space="preserve"> </w:t>
      </w:r>
      <w:r>
        <w:t>the</w:t>
      </w:r>
      <w:r w:rsidRPr="00FB2114">
        <w:rPr>
          <w:spacing w:val="18"/>
        </w:rPr>
        <w:t xml:space="preserve"> </w:t>
      </w:r>
      <w:r>
        <w:t>upper</w:t>
      </w:r>
      <w:r w:rsidRPr="00FB2114">
        <w:rPr>
          <w:spacing w:val="18"/>
        </w:rPr>
        <w:t xml:space="preserve"> </w:t>
      </w:r>
      <w:r>
        <w:t>end</w:t>
      </w:r>
      <w:r w:rsidRPr="00FB2114">
        <w:rPr>
          <w:spacing w:val="18"/>
        </w:rPr>
        <w:t xml:space="preserve"> </w:t>
      </w:r>
      <w:r>
        <w:t>of</w:t>
      </w:r>
      <w:r w:rsidRPr="00FB2114">
        <w:rPr>
          <w:spacing w:val="18"/>
        </w:rPr>
        <w:t xml:space="preserve"> </w:t>
      </w:r>
      <w:r>
        <w:t>the</w:t>
      </w:r>
      <w:r w:rsidRPr="00FB2114">
        <w:rPr>
          <w:spacing w:val="18"/>
        </w:rPr>
        <w:t xml:space="preserve"> </w:t>
      </w:r>
      <w:r>
        <w:t>rates</w:t>
      </w:r>
      <w:r w:rsidRPr="00FB2114">
        <w:rPr>
          <w:spacing w:val="18"/>
        </w:rPr>
        <w:t xml:space="preserve"> </w:t>
      </w:r>
      <w:r>
        <w:t>in</w:t>
      </w:r>
      <w:r w:rsidRPr="00FB2114">
        <w:rPr>
          <w:spacing w:val="18"/>
        </w:rPr>
        <w:t xml:space="preserve"> </w:t>
      </w:r>
      <w:r>
        <w:t>the Federal Court scale and are at the upper end of and above the rates set out in the 2016 version</w:t>
      </w:r>
      <w:r w:rsidRPr="00FB2114">
        <w:rPr>
          <w:spacing w:val="9"/>
        </w:rPr>
        <w:t xml:space="preserve"> </w:t>
      </w:r>
      <w:r>
        <w:t>of</w:t>
      </w:r>
      <w:r w:rsidRPr="00FB2114">
        <w:rPr>
          <w:spacing w:val="9"/>
        </w:rPr>
        <w:t xml:space="preserve"> </w:t>
      </w:r>
      <w:r>
        <w:t>the</w:t>
      </w:r>
      <w:r w:rsidRPr="00FB2114">
        <w:rPr>
          <w:spacing w:val="10"/>
        </w:rPr>
        <w:t xml:space="preserve"> </w:t>
      </w:r>
      <w:r>
        <w:t>NSW</w:t>
      </w:r>
      <w:r w:rsidRPr="00FB2114">
        <w:rPr>
          <w:spacing w:val="10"/>
        </w:rPr>
        <w:t xml:space="preserve"> </w:t>
      </w:r>
      <w:r>
        <w:t>Guideline.</w:t>
      </w:r>
      <w:r w:rsidRPr="00FB2114">
        <w:rPr>
          <w:spacing w:val="10"/>
        </w:rPr>
        <w:t xml:space="preserve"> </w:t>
      </w:r>
      <w:r>
        <w:t>In</w:t>
      </w:r>
      <w:r w:rsidRPr="00FB2114">
        <w:rPr>
          <w:spacing w:val="10"/>
        </w:rPr>
        <w:t xml:space="preserve"> </w:t>
      </w:r>
      <w:r>
        <w:t>my</w:t>
      </w:r>
      <w:r w:rsidRPr="00FB2114">
        <w:rPr>
          <w:spacing w:val="10"/>
        </w:rPr>
        <w:t xml:space="preserve"> </w:t>
      </w:r>
      <w:r>
        <w:t>opinion,</w:t>
      </w:r>
      <w:r w:rsidRPr="00FB2114">
        <w:rPr>
          <w:spacing w:val="9"/>
        </w:rPr>
        <w:t xml:space="preserve"> </w:t>
      </w:r>
      <w:r>
        <w:t>noting</w:t>
      </w:r>
      <w:r w:rsidRPr="00FB2114">
        <w:rPr>
          <w:spacing w:val="9"/>
        </w:rPr>
        <w:t xml:space="preserve"> </w:t>
      </w:r>
      <w:r>
        <w:t>each</w:t>
      </w:r>
      <w:r w:rsidRPr="00FB2114">
        <w:rPr>
          <w:spacing w:val="9"/>
        </w:rPr>
        <w:t xml:space="preserve"> </w:t>
      </w:r>
      <w:r>
        <w:t>of</w:t>
      </w:r>
      <w:r w:rsidRPr="00FB2114">
        <w:rPr>
          <w:spacing w:val="9"/>
        </w:rPr>
        <w:t xml:space="preserve"> </w:t>
      </w:r>
      <w:r>
        <w:t>these</w:t>
      </w:r>
      <w:r w:rsidRPr="00FB2114">
        <w:rPr>
          <w:spacing w:val="9"/>
        </w:rPr>
        <w:t xml:space="preserve"> </w:t>
      </w:r>
      <w:r>
        <w:t>lawyers’ experience and</w:t>
      </w:r>
      <w:r w:rsidRPr="00FB2114">
        <w:rPr>
          <w:spacing w:val="-3"/>
        </w:rPr>
        <w:t xml:space="preserve"> </w:t>
      </w:r>
      <w:r>
        <w:t>the</w:t>
      </w:r>
      <w:r w:rsidRPr="00FB2114">
        <w:rPr>
          <w:spacing w:val="-4"/>
        </w:rPr>
        <w:t xml:space="preserve"> </w:t>
      </w:r>
      <w:r>
        <w:t>issues</w:t>
      </w:r>
      <w:r w:rsidRPr="00FB2114">
        <w:rPr>
          <w:spacing w:val="-2"/>
        </w:rPr>
        <w:t xml:space="preserve"> </w:t>
      </w:r>
      <w:r>
        <w:t>and</w:t>
      </w:r>
      <w:r w:rsidRPr="00FB2114">
        <w:rPr>
          <w:spacing w:val="-4"/>
        </w:rPr>
        <w:t xml:space="preserve"> </w:t>
      </w:r>
      <w:r>
        <w:t>complexity</w:t>
      </w:r>
      <w:r w:rsidRPr="00FB2114">
        <w:rPr>
          <w:spacing w:val="-3"/>
        </w:rPr>
        <w:t xml:space="preserve"> </w:t>
      </w:r>
      <w:r>
        <w:t>in</w:t>
      </w:r>
      <w:r w:rsidRPr="00FB2114">
        <w:rPr>
          <w:spacing w:val="-4"/>
        </w:rPr>
        <w:t xml:space="preserve"> </w:t>
      </w:r>
      <w:r>
        <w:t>this</w:t>
      </w:r>
      <w:r w:rsidRPr="00FB2114">
        <w:rPr>
          <w:spacing w:val="-2"/>
        </w:rPr>
        <w:t xml:space="preserve"> </w:t>
      </w:r>
      <w:r>
        <w:t>matter,</w:t>
      </w:r>
      <w:r w:rsidRPr="00FB2114">
        <w:rPr>
          <w:spacing w:val="-2"/>
        </w:rPr>
        <w:t xml:space="preserve"> </w:t>
      </w:r>
      <w:r>
        <w:t>I</w:t>
      </w:r>
      <w:r w:rsidRPr="00FB2114">
        <w:rPr>
          <w:spacing w:val="-4"/>
        </w:rPr>
        <w:t xml:space="preserve"> </w:t>
      </w:r>
      <w:r>
        <w:t>consider</w:t>
      </w:r>
      <w:r w:rsidRPr="00FB2114">
        <w:rPr>
          <w:spacing w:val="-3"/>
        </w:rPr>
        <w:t xml:space="preserve"> </w:t>
      </w:r>
      <w:r>
        <w:t>that</w:t>
      </w:r>
      <w:r w:rsidRPr="00FB2114">
        <w:rPr>
          <w:spacing w:val="-5"/>
        </w:rPr>
        <w:t xml:space="preserve"> </w:t>
      </w:r>
      <w:r>
        <w:t>the</w:t>
      </w:r>
      <w:r w:rsidRPr="00FB2114">
        <w:rPr>
          <w:spacing w:val="-2"/>
        </w:rPr>
        <w:t xml:space="preserve"> </w:t>
      </w:r>
      <w:r>
        <w:t>hourly</w:t>
      </w:r>
      <w:r w:rsidRPr="00FB2114">
        <w:rPr>
          <w:spacing w:val="-3"/>
        </w:rPr>
        <w:t xml:space="preserve"> </w:t>
      </w:r>
      <w:r>
        <w:t>rates</w:t>
      </w:r>
      <w:r w:rsidRPr="00FB2114">
        <w:rPr>
          <w:spacing w:val="-2"/>
        </w:rPr>
        <w:t xml:space="preserve"> </w:t>
      </w:r>
      <w:r>
        <w:t>charged</w:t>
      </w:r>
      <w:r w:rsidRPr="00FB2114">
        <w:rPr>
          <w:spacing w:val="-4"/>
        </w:rPr>
        <w:t xml:space="preserve"> </w:t>
      </w:r>
      <w:r>
        <w:t>are fair and reasonabl</w:t>
      </w:r>
      <w:r w:rsidRPr="00FB2114">
        <w:t>e.</w:t>
      </w:r>
    </w:p>
    <w:p w14:paraId="2910DC14" w14:textId="52C7FBEE" w:rsidR="009C05AE" w:rsidRDefault="00B6500C" w:rsidP="00B6500C">
      <w:pPr>
        <w:pStyle w:val="ParaNumbering"/>
        <w:numPr>
          <w:ilvl w:val="0"/>
          <w:numId w:val="0"/>
        </w:numPr>
        <w:ind w:hanging="720"/>
      </w:pPr>
      <w:r>
        <w:rPr>
          <w:iCs/>
          <w:sz w:val="20"/>
        </w:rPr>
        <w:t>55</w:t>
      </w:r>
      <w:r>
        <w:rPr>
          <w:iCs/>
          <w:sz w:val="20"/>
        </w:rPr>
        <w:tab/>
      </w:r>
      <w:r w:rsidR="009C05AE">
        <w:rPr>
          <w:szCs w:val="24"/>
        </w:rPr>
        <w:t>With respect to counsels’ fees, Ms Rosati stated at [64]:</w:t>
      </w:r>
    </w:p>
    <w:p w14:paraId="06D7B633" w14:textId="77777777" w:rsidR="009C05AE" w:rsidRDefault="009C05AE" w:rsidP="009C05AE">
      <w:pPr>
        <w:pStyle w:val="Quote1"/>
        <w:ind w:left="1440" w:hanging="703"/>
      </w:pPr>
      <w:r>
        <w:t>[64]</w:t>
      </w:r>
      <w:r>
        <w:tab/>
      </w:r>
      <w:r w:rsidRPr="00F42FB3">
        <w:t>I have no information as to whether the rates of counsel were disclosed to the Applicant</w:t>
      </w:r>
      <w:r>
        <w:t xml:space="preserve"> </w:t>
      </w:r>
      <w:r w:rsidRPr="00F42FB3">
        <w:t>however I note that the rates charged are within the range of rates routinely charged by</w:t>
      </w:r>
      <w:r>
        <w:t xml:space="preserve"> </w:t>
      </w:r>
      <w:r w:rsidRPr="00F42FB3">
        <w:t>counsel for work in complex commercial litigation and representative proceedings and I</w:t>
      </w:r>
      <w:r>
        <w:t xml:space="preserve"> </w:t>
      </w:r>
      <w:r w:rsidRPr="00F42FB3">
        <w:t>consider that all of the hourly rates charged by counsel are fair and reasonable in the</w:t>
      </w:r>
      <w:r>
        <w:t xml:space="preserve"> </w:t>
      </w:r>
      <w:r w:rsidRPr="00F42FB3">
        <w:t>circumstances of this proceeding.</w:t>
      </w:r>
    </w:p>
    <w:p w14:paraId="55D1576F" w14:textId="44DFA4F4" w:rsidR="00F742C6" w:rsidRPr="00F742C6" w:rsidRDefault="00B6500C" w:rsidP="00B6500C">
      <w:pPr>
        <w:pStyle w:val="ParaNumbering"/>
        <w:numPr>
          <w:ilvl w:val="0"/>
          <w:numId w:val="0"/>
        </w:numPr>
        <w:ind w:hanging="720"/>
      </w:pPr>
      <w:r w:rsidRPr="00F742C6">
        <w:rPr>
          <w:iCs/>
          <w:sz w:val="20"/>
        </w:rPr>
        <w:t>56</w:t>
      </w:r>
      <w:r w:rsidRPr="00F742C6">
        <w:rPr>
          <w:iCs/>
          <w:sz w:val="20"/>
        </w:rPr>
        <w:tab/>
      </w:r>
      <w:r w:rsidR="00A403C9" w:rsidRPr="00DE2F0C">
        <w:rPr>
          <w:szCs w:val="24"/>
        </w:rPr>
        <w:t xml:space="preserve">Shine’s </w:t>
      </w:r>
      <w:r w:rsidR="004E7DB8" w:rsidRPr="00DE2F0C">
        <w:rPr>
          <w:szCs w:val="24"/>
        </w:rPr>
        <w:t>costs agreement entitled it to charge an uplift fee of 25% on their professional fees</w:t>
      </w:r>
      <w:r w:rsidR="00F742C6">
        <w:rPr>
          <w:szCs w:val="24"/>
        </w:rPr>
        <w:t>. Clauses 26 to 28 of the costs agreement stated:</w:t>
      </w:r>
    </w:p>
    <w:p w14:paraId="6E843249" w14:textId="7C108A15" w:rsidR="00F742C6" w:rsidRDefault="00F742C6" w:rsidP="00F742C6">
      <w:pPr>
        <w:pStyle w:val="Quote1"/>
        <w:ind w:left="1418" w:hanging="681"/>
      </w:pPr>
      <w:r>
        <w:t>26.</w:t>
      </w:r>
      <w:r>
        <w:tab/>
        <w:t>We</w:t>
      </w:r>
      <w:r>
        <w:rPr>
          <w:spacing w:val="25"/>
        </w:rPr>
        <w:t xml:space="preserve"> </w:t>
      </w:r>
      <w:r>
        <w:t>will</w:t>
      </w:r>
      <w:r>
        <w:rPr>
          <w:spacing w:val="18"/>
        </w:rPr>
        <w:t xml:space="preserve"> </w:t>
      </w:r>
      <w:r>
        <w:t>also</w:t>
      </w:r>
      <w:r>
        <w:rPr>
          <w:spacing w:val="31"/>
        </w:rPr>
        <w:t xml:space="preserve"> </w:t>
      </w:r>
      <w:r>
        <w:t>charge</w:t>
      </w:r>
      <w:r>
        <w:rPr>
          <w:spacing w:val="27"/>
        </w:rPr>
        <w:t xml:space="preserve"> </w:t>
      </w:r>
      <w:r>
        <w:t>you</w:t>
      </w:r>
      <w:r>
        <w:rPr>
          <w:spacing w:val="28"/>
        </w:rPr>
        <w:t xml:space="preserve"> </w:t>
      </w:r>
      <w:r>
        <w:t>on</w:t>
      </w:r>
      <w:r>
        <w:rPr>
          <w:spacing w:val="14"/>
        </w:rPr>
        <w:t xml:space="preserve"> </w:t>
      </w:r>
      <w:r>
        <w:t>the</w:t>
      </w:r>
      <w:r>
        <w:rPr>
          <w:spacing w:val="23"/>
        </w:rPr>
        <w:t xml:space="preserve"> </w:t>
      </w:r>
      <w:r>
        <w:t>successful</w:t>
      </w:r>
      <w:r>
        <w:rPr>
          <w:spacing w:val="36"/>
        </w:rPr>
        <w:t xml:space="preserve"> </w:t>
      </w:r>
      <w:r>
        <w:t>outcome</w:t>
      </w:r>
      <w:r>
        <w:rPr>
          <w:spacing w:val="40"/>
        </w:rPr>
        <w:t xml:space="preserve"> </w:t>
      </w:r>
      <w:r>
        <w:t>of</w:t>
      </w:r>
      <w:r>
        <w:rPr>
          <w:spacing w:val="17"/>
        </w:rPr>
        <w:t xml:space="preserve"> </w:t>
      </w:r>
      <w:r>
        <w:t>the</w:t>
      </w:r>
      <w:r>
        <w:rPr>
          <w:spacing w:val="23"/>
        </w:rPr>
        <w:t xml:space="preserve"> </w:t>
      </w:r>
      <w:r>
        <w:t>matter</w:t>
      </w:r>
      <w:r>
        <w:rPr>
          <w:spacing w:val="28"/>
        </w:rPr>
        <w:t xml:space="preserve"> </w:t>
      </w:r>
      <w:r>
        <w:t>an</w:t>
      </w:r>
      <w:r>
        <w:rPr>
          <w:spacing w:val="18"/>
        </w:rPr>
        <w:t xml:space="preserve"> </w:t>
      </w:r>
      <w:r>
        <w:t>uplift</w:t>
      </w:r>
      <w:r>
        <w:rPr>
          <w:spacing w:val="21"/>
        </w:rPr>
        <w:t xml:space="preserve"> </w:t>
      </w:r>
      <w:r>
        <w:t>fee</w:t>
      </w:r>
      <w:r>
        <w:rPr>
          <w:spacing w:val="15"/>
        </w:rPr>
        <w:t xml:space="preserve"> </w:t>
      </w:r>
      <w:r>
        <w:t>(success</w:t>
      </w:r>
      <w:r>
        <w:rPr>
          <w:spacing w:val="-2"/>
        </w:rPr>
        <w:t xml:space="preserve"> </w:t>
      </w:r>
      <w:r>
        <w:t>premium)</w:t>
      </w:r>
      <w:r>
        <w:rPr>
          <w:spacing w:val="16"/>
        </w:rPr>
        <w:t xml:space="preserve"> </w:t>
      </w:r>
      <w:r>
        <w:t>of</w:t>
      </w:r>
      <w:r>
        <w:rPr>
          <w:spacing w:val="-6"/>
        </w:rPr>
        <w:t xml:space="preserve"> </w:t>
      </w:r>
      <w:r>
        <w:t>25%</w:t>
      </w:r>
      <w:r>
        <w:rPr>
          <w:spacing w:val="-7"/>
        </w:rPr>
        <w:t xml:space="preserve"> </w:t>
      </w:r>
      <w:r>
        <w:t>of</w:t>
      </w:r>
      <w:r>
        <w:rPr>
          <w:spacing w:val="-11"/>
        </w:rPr>
        <w:t xml:space="preserve"> </w:t>
      </w:r>
      <w:r>
        <w:t>our</w:t>
      </w:r>
      <w:r>
        <w:rPr>
          <w:spacing w:val="-5"/>
        </w:rPr>
        <w:t xml:space="preserve"> </w:t>
      </w:r>
      <w:r>
        <w:t>professional fees</w:t>
      </w:r>
      <w:r w:rsidR="008E22E0">
        <w:t xml:space="preserve"> …</w:t>
      </w:r>
    </w:p>
    <w:p w14:paraId="2AC5F8B0" w14:textId="6C6CC177" w:rsidR="00F742C6" w:rsidRDefault="00F742C6" w:rsidP="00F742C6">
      <w:pPr>
        <w:pStyle w:val="Quote1"/>
        <w:ind w:left="1418" w:hanging="681"/>
      </w:pPr>
      <w:r>
        <w:rPr>
          <w:sz w:val="19"/>
          <w:szCs w:val="19"/>
        </w:rPr>
        <w:t>27.</w:t>
      </w:r>
      <w:r>
        <w:rPr>
          <w:sz w:val="19"/>
          <w:szCs w:val="19"/>
        </w:rPr>
        <w:tab/>
      </w:r>
      <w:r>
        <w:t>We</w:t>
      </w:r>
      <w:r>
        <w:rPr>
          <w:spacing w:val="-4"/>
        </w:rPr>
        <w:t xml:space="preserve"> </w:t>
      </w:r>
      <w:r>
        <w:t>are</w:t>
      </w:r>
      <w:r>
        <w:rPr>
          <w:spacing w:val="-5"/>
        </w:rPr>
        <w:t xml:space="preserve"> </w:t>
      </w:r>
      <w:r>
        <w:t>entitled to</w:t>
      </w:r>
      <w:r>
        <w:rPr>
          <w:spacing w:val="-1"/>
        </w:rPr>
        <w:t xml:space="preserve"> </w:t>
      </w:r>
      <w:r>
        <w:t>levy an</w:t>
      </w:r>
      <w:r>
        <w:rPr>
          <w:spacing w:val="-3"/>
        </w:rPr>
        <w:t xml:space="preserve"> </w:t>
      </w:r>
      <w:r>
        <w:t>uplift</w:t>
      </w:r>
      <w:r>
        <w:rPr>
          <w:spacing w:val="-5"/>
        </w:rPr>
        <w:t xml:space="preserve"> </w:t>
      </w:r>
      <w:r>
        <w:t>fee</w:t>
      </w:r>
      <w:r>
        <w:rPr>
          <w:spacing w:val="-4"/>
        </w:rPr>
        <w:t xml:space="preserve"> </w:t>
      </w:r>
      <w:r>
        <w:t>in</w:t>
      </w:r>
      <w:r>
        <w:rPr>
          <w:spacing w:val="-6"/>
        </w:rPr>
        <w:t xml:space="preserve"> </w:t>
      </w:r>
      <w:r>
        <w:t>the</w:t>
      </w:r>
      <w:r>
        <w:rPr>
          <w:spacing w:val="-5"/>
        </w:rPr>
        <w:t xml:space="preserve"> </w:t>
      </w:r>
      <w:r>
        <w:t>event</w:t>
      </w:r>
      <w:r>
        <w:rPr>
          <w:spacing w:val="10"/>
        </w:rPr>
        <w:t xml:space="preserve"> </w:t>
      </w:r>
      <w:r>
        <w:t>of</w:t>
      </w:r>
      <w:r>
        <w:rPr>
          <w:spacing w:val="-6"/>
        </w:rPr>
        <w:t xml:space="preserve"> </w:t>
      </w:r>
      <w:r>
        <w:t>a successful</w:t>
      </w:r>
      <w:r>
        <w:rPr>
          <w:spacing w:val="14"/>
        </w:rPr>
        <w:t xml:space="preserve"> </w:t>
      </w:r>
      <w:r>
        <w:t>outcome</w:t>
      </w:r>
      <w:r>
        <w:rPr>
          <w:spacing w:val="12"/>
        </w:rPr>
        <w:t xml:space="preserve"> </w:t>
      </w:r>
      <w:r>
        <w:t>because</w:t>
      </w:r>
      <w:r>
        <w:rPr>
          <w:spacing w:val="7"/>
        </w:rPr>
        <w:t xml:space="preserve"> </w:t>
      </w:r>
      <w:r>
        <w:t>we cover</w:t>
      </w:r>
      <w:r>
        <w:rPr>
          <w:spacing w:val="-1"/>
        </w:rPr>
        <w:t xml:space="preserve"> </w:t>
      </w:r>
      <w:r>
        <w:t>the</w:t>
      </w:r>
      <w:r>
        <w:rPr>
          <w:spacing w:val="27"/>
        </w:rPr>
        <w:t xml:space="preserve"> </w:t>
      </w:r>
      <w:r>
        <w:t>costs</w:t>
      </w:r>
      <w:r>
        <w:rPr>
          <w:spacing w:val="29"/>
        </w:rPr>
        <w:t xml:space="preserve"> </w:t>
      </w:r>
      <w:r>
        <w:t>of</w:t>
      </w:r>
      <w:r>
        <w:rPr>
          <w:spacing w:val="24"/>
        </w:rPr>
        <w:t xml:space="preserve"> </w:t>
      </w:r>
      <w:r>
        <w:t>running</w:t>
      </w:r>
      <w:r>
        <w:rPr>
          <w:spacing w:val="39"/>
        </w:rPr>
        <w:t xml:space="preserve"> </w:t>
      </w:r>
      <w:r>
        <w:t>your</w:t>
      </w:r>
      <w:r>
        <w:rPr>
          <w:spacing w:val="32"/>
        </w:rPr>
        <w:t xml:space="preserve"> </w:t>
      </w:r>
      <w:r>
        <w:t>claim</w:t>
      </w:r>
      <w:r>
        <w:rPr>
          <w:spacing w:val="33"/>
        </w:rPr>
        <w:t xml:space="preserve"> </w:t>
      </w:r>
      <w:r>
        <w:t>and</w:t>
      </w:r>
      <w:r>
        <w:rPr>
          <w:spacing w:val="24"/>
        </w:rPr>
        <w:t xml:space="preserve"> </w:t>
      </w:r>
      <w:r>
        <w:t>bear</w:t>
      </w:r>
      <w:r>
        <w:rPr>
          <w:spacing w:val="28"/>
        </w:rPr>
        <w:t xml:space="preserve"> </w:t>
      </w:r>
      <w:r>
        <w:t>the</w:t>
      </w:r>
      <w:r>
        <w:rPr>
          <w:spacing w:val="24"/>
        </w:rPr>
        <w:t xml:space="preserve"> </w:t>
      </w:r>
      <w:r>
        <w:t>risk</w:t>
      </w:r>
      <w:r>
        <w:rPr>
          <w:spacing w:val="28"/>
        </w:rPr>
        <w:t xml:space="preserve"> </w:t>
      </w:r>
      <w:r>
        <w:t>that</w:t>
      </w:r>
      <w:r>
        <w:rPr>
          <w:spacing w:val="34"/>
        </w:rPr>
        <w:t xml:space="preserve"> </w:t>
      </w:r>
      <w:r>
        <w:t>your</w:t>
      </w:r>
      <w:r>
        <w:rPr>
          <w:spacing w:val="32"/>
        </w:rPr>
        <w:t xml:space="preserve"> </w:t>
      </w:r>
      <w:r>
        <w:t>claim</w:t>
      </w:r>
      <w:r>
        <w:rPr>
          <w:spacing w:val="30"/>
        </w:rPr>
        <w:t xml:space="preserve"> </w:t>
      </w:r>
      <w:r>
        <w:t>may</w:t>
      </w:r>
      <w:r>
        <w:rPr>
          <w:spacing w:val="31"/>
        </w:rPr>
        <w:t xml:space="preserve"> </w:t>
      </w:r>
      <w:r>
        <w:t>not</w:t>
      </w:r>
      <w:r>
        <w:rPr>
          <w:spacing w:val="31"/>
        </w:rPr>
        <w:t xml:space="preserve"> </w:t>
      </w:r>
      <w:r>
        <w:t>succeed.</w:t>
      </w:r>
      <w:r>
        <w:rPr>
          <w:spacing w:val="40"/>
        </w:rPr>
        <w:t xml:space="preserve"> </w:t>
      </w:r>
      <w:r>
        <w:t>We charge you this uplift fee</w:t>
      </w:r>
      <w:r>
        <w:rPr>
          <w:spacing w:val="-8"/>
        </w:rPr>
        <w:t xml:space="preserve"> </w:t>
      </w:r>
      <w:r>
        <w:t>to cover</w:t>
      </w:r>
      <w:r>
        <w:rPr>
          <w:spacing w:val="8"/>
        </w:rPr>
        <w:t xml:space="preserve"> </w:t>
      </w:r>
      <w:r>
        <w:t>that possibility</w:t>
      </w:r>
      <w:r>
        <w:rPr>
          <w:spacing w:val="21"/>
        </w:rPr>
        <w:t xml:space="preserve"> </w:t>
      </w:r>
      <w:r>
        <w:lastRenderedPageBreak/>
        <w:t>and</w:t>
      </w:r>
      <w:r>
        <w:rPr>
          <w:spacing w:val="-1"/>
        </w:rPr>
        <w:t xml:space="preserve"> </w:t>
      </w:r>
      <w:r>
        <w:t>the</w:t>
      </w:r>
      <w:r>
        <w:rPr>
          <w:spacing w:val="-5"/>
        </w:rPr>
        <w:t xml:space="preserve"> </w:t>
      </w:r>
      <w:r>
        <w:t>potential risk we take.</w:t>
      </w:r>
    </w:p>
    <w:p w14:paraId="0B23ED9F" w14:textId="2AAC86FD" w:rsidR="00F742C6" w:rsidRDefault="00F742C6" w:rsidP="00F742C6">
      <w:pPr>
        <w:pStyle w:val="Quote1"/>
        <w:ind w:left="1418" w:hanging="681"/>
      </w:pPr>
      <w:r>
        <w:rPr>
          <w:sz w:val="20"/>
        </w:rPr>
        <w:t>28.</w:t>
      </w:r>
      <w:r>
        <w:rPr>
          <w:sz w:val="20"/>
        </w:rPr>
        <w:tab/>
      </w:r>
      <w:r>
        <w:t>Importantly, we</w:t>
      </w:r>
      <w:r>
        <w:rPr>
          <w:spacing w:val="-3"/>
        </w:rPr>
        <w:t xml:space="preserve"> </w:t>
      </w:r>
      <w:r>
        <w:t>also</w:t>
      </w:r>
      <w:r>
        <w:rPr>
          <w:spacing w:val="-1"/>
        </w:rPr>
        <w:t xml:space="preserve"> </w:t>
      </w:r>
      <w:r>
        <w:t>charge</w:t>
      </w:r>
      <w:r>
        <w:rPr>
          <w:spacing w:val="-4"/>
        </w:rPr>
        <w:t xml:space="preserve"> </w:t>
      </w:r>
      <w:r>
        <w:t>the</w:t>
      </w:r>
      <w:r>
        <w:rPr>
          <w:spacing w:val="-6"/>
        </w:rPr>
        <w:t xml:space="preserve"> </w:t>
      </w:r>
      <w:r>
        <w:t>uplift</w:t>
      </w:r>
      <w:r>
        <w:rPr>
          <w:spacing w:val="-4"/>
        </w:rPr>
        <w:t xml:space="preserve"> </w:t>
      </w:r>
      <w:r>
        <w:t>fee</w:t>
      </w:r>
      <w:r>
        <w:rPr>
          <w:spacing w:val="-11"/>
        </w:rPr>
        <w:t xml:space="preserve"> </w:t>
      </w:r>
      <w:r>
        <w:t>because of</w:t>
      </w:r>
      <w:r>
        <w:rPr>
          <w:spacing w:val="-4"/>
        </w:rPr>
        <w:t xml:space="preserve"> </w:t>
      </w:r>
      <w:r>
        <w:t>our</w:t>
      </w:r>
      <w:r>
        <w:rPr>
          <w:spacing w:val="-5"/>
        </w:rPr>
        <w:t xml:space="preserve"> </w:t>
      </w:r>
      <w:r>
        <w:t>reasonable belief</w:t>
      </w:r>
      <w:r>
        <w:rPr>
          <w:spacing w:val="-1"/>
        </w:rPr>
        <w:t xml:space="preserve"> </w:t>
      </w:r>
      <w:r>
        <w:t>that</w:t>
      </w:r>
      <w:r>
        <w:rPr>
          <w:spacing w:val="-1"/>
        </w:rPr>
        <w:t xml:space="preserve"> </w:t>
      </w:r>
      <w:r>
        <w:t>a successful outcome of your matter is</w:t>
      </w:r>
      <w:r>
        <w:rPr>
          <w:spacing w:val="-1"/>
        </w:rPr>
        <w:t xml:space="preserve"> </w:t>
      </w:r>
      <w:r>
        <w:t>reasonably</w:t>
      </w:r>
      <w:r>
        <w:rPr>
          <w:spacing w:val="27"/>
        </w:rPr>
        <w:t xml:space="preserve"> </w:t>
      </w:r>
      <w:r>
        <w:t>likely.</w:t>
      </w:r>
    </w:p>
    <w:p w14:paraId="40ED9E63" w14:textId="38DB01C5" w:rsidR="007441BF" w:rsidRPr="005247B0" w:rsidRDefault="00B6500C" w:rsidP="00B6500C">
      <w:pPr>
        <w:pStyle w:val="ParaNumbering"/>
        <w:numPr>
          <w:ilvl w:val="0"/>
          <w:numId w:val="0"/>
        </w:numPr>
        <w:ind w:hanging="720"/>
      </w:pPr>
      <w:r w:rsidRPr="005247B0">
        <w:rPr>
          <w:iCs/>
          <w:sz w:val="20"/>
        </w:rPr>
        <w:t>57</w:t>
      </w:r>
      <w:r w:rsidRPr="005247B0">
        <w:rPr>
          <w:iCs/>
          <w:sz w:val="20"/>
        </w:rPr>
        <w:tab/>
      </w:r>
      <w:r w:rsidR="00DF0CED" w:rsidRPr="00DE2F0C">
        <w:rPr>
          <w:szCs w:val="24"/>
        </w:rPr>
        <w:t>The costs agreement covered pre-retainer work</w:t>
      </w:r>
      <w:r w:rsidR="00DE2F0C">
        <w:rPr>
          <w:szCs w:val="24"/>
        </w:rPr>
        <w:t xml:space="preserve">: Rosati 1 at [45]. </w:t>
      </w:r>
      <w:r w:rsidR="005247B0">
        <w:rPr>
          <w:szCs w:val="24"/>
        </w:rPr>
        <w:t>The work was described in cl 29 of the costs agreement, which provided:</w:t>
      </w:r>
    </w:p>
    <w:p w14:paraId="5301F56F" w14:textId="64FCEC24" w:rsidR="005247B0" w:rsidRDefault="005247B0" w:rsidP="00496C3C">
      <w:pPr>
        <w:pStyle w:val="Quote1"/>
        <w:widowControl/>
        <w:ind w:left="1418" w:hanging="681"/>
      </w:pPr>
      <w:r>
        <w:t>29.</w:t>
      </w:r>
      <w:r>
        <w:tab/>
        <w:t>Prior</w:t>
      </w:r>
      <w:r>
        <w:rPr>
          <w:spacing w:val="16"/>
        </w:rPr>
        <w:t xml:space="preserve"> </w:t>
      </w:r>
      <w:r>
        <w:t>to</w:t>
      </w:r>
      <w:r>
        <w:rPr>
          <w:spacing w:val="10"/>
        </w:rPr>
        <w:t xml:space="preserve"> </w:t>
      </w:r>
      <w:r>
        <w:t>your</w:t>
      </w:r>
      <w:r>
        <w:rPr>
          <w:spacing w:val="16"/>
        </w:rPr>
        <w:t xml:space="preserve"> </w:t>
      </w:r>
      <w:r>
        <w:t>signing</w:t>
      </w:r>
      <w:r>
        <w:rPr>
          <w:spacing w:val="23"/>
        </w:rPr>
        <w:t xml:space="preserve"> </w:t>
      </w:r>
      <w:r>
        <w:t>of this</w:t>
      </w:r>
      <w:r>
        <w:rPr>
          <w:spacing w:val="14"/>
        </w:rPr>
        <w:t xml:space="preserve"> </w:t>
      </w:r>
      <w:r>
        <w:t>Costs</w:t>
      </w:r>
      <w:r>
        <w:rPr>
          <w:spacing w:val="22"/>
        </w:rPr>
        <w:t xml:space="preserve"> </w:t>
      </w:r>
      <w:r>
        <w:t>Agreement,</w:t>
      </w:r>
      <w:r>
        <w:rPr>
          <w:spacing w:val="26"/>
        </w:rPr>
        <w:t xml:space="preserve"> </w:t>
      </w:r>
      <w:r>
        <w:t>Shine</w:t>
      </w:r>
      <w:r>
        <w:rPr>
          <w:spacing w:val="15"/>
        </w:rPr>
        <w:t xml:space="preserve"> </w:t>
      </w:r>
      <w:r>
        <w:t>had</w:t>
      </w:r>
      <w:r>
        <w:rPr>
          <w:spacing w:val="10"/>
        </w:rPr>
        <w:t xml:space="preserve"> </w:t>
      </w:r>
      <w:r>
        <w:t>undertaken</w:t>
      </w:r>
      <w:r>
        <w:rPr>
          <w:spacing w:val="29"/>
        </w:rPr>
        <w:t xml:space="preserve"> </w:t>
      </w:r>
      <w:r>
        <w:t>extensive</w:t>
      </w:r>
      <w:r>
        <w:rPr>
          <w:spacing w:val="24"/>
        </w:rPr>
        <w:t xml:space="preserve"> </w:t>
      </w:r>
      <w:r>
        <w:t>work</w:t>
      </w:r>
      <w:r>
        <w:rPr>
          <w:spacing w:val="21"/>
        </w:rPr>
        <w:t xml:space="preserve"> </w:t>
      </w:r>
      <w:r>
        <w:t>and</w:t>
      </w:r>
      <w:r>
        <w:rPr>
          <w:spacing w:val="-4"/>
        </w:rPr>
        <w:t xml:space="preserve"> </w:t>
      </w:r>
      <w:r>
        <w:t>incurred</w:t>
      </w:r>
      <w:r>
        <w:rPr>
          <w:spacing w:val="33"/>
        </w:rPr>
        <w:t xml:space="preserve"> </w:t>
      </w:r>
      <w:r>
        <w:t>costs</w:t>
      </w:r>
      <w:r>
        <w:rPr>
          <w:spacing w:val="29"/>
        </w:rPr>
        <w:t xml:space="preserve"> </w:t>
      </w:r>
      <w:r>
        <w:t>and</w:t>
      </w:r>
      <w:r>
        <w:rPr>
          <w:spacing w:val="30"/>
        </w:rPr>
        <w:t xml:space="preserve"> </w:t>
      </w:r>
      <w:r>
        <w:t>disbursements</w:t>
      </w:r>
      <w:r>
        <w:rPr>
          <w:spacing w:val="39"/>
        </w:rPr>
        <w:t xml:space="preserve"> </w:t>
      </w:r>
      <w:r>
        <w:t>investigating</w:t>
      </w:r>
      <w:r>
        <w:rPr>
          <w:spacing w:val="40"/>
        </w:rPr>
        <w:t xml:space="preserve"> </w:t>
      </w:r>
      <w:r>
        <w:t>the</w:t>
      </w:r>
      <w:r>
        <w:rPr>
          <w:spacing w:val="24"/>
        </w:rPr>
        <w:t xml:space="preserve"> </w:t>
      </w:r>
      <w:r>
        <w:t>matter</w:t>
      </w:r>
      <w:r>
        <w:rPr>
          <w:spacing w:val="37"/>
        </w:rPr>
        <w:t xml:space="preserve"> </w:t>
      </w:r>
      <w:r>
        <w:t>and</w:t>
      </w:r>
      <w:r>
        <w:rPr>
          <w:spacing w:val="23"/>
        </w:rPr>
        <w:t xml:space="preserve"> </w:t>
      </w:r>
      <w:r>
        <w:t>taking</w:t>
      </w:r>
      <w:r>
        <w:rPr>
          <w:spacing w:val="32"/>
        </w:rPr>
        <w:t xml:space="preserve"> </w:t>
      </w:r>
      <w:r>
        <w:t>the</w:t>
      </w:r>
      <w:r>
        <w:rPr>
          <w:spacing w:val="26"/>
        </w:rPr>
        <w:t xml:space="preserve"> </w:t>
      </w:r>
      <w:r>
        <w:t>following</w:t>
      </w:r>
      <w:r>
        <w:rPr>
          <w:spacing w:val="38"/>
        </w:rPr>
        <w:t xml:space="preserve"> </w:t>
      </w:r>
      <w:r>
        <w:t>pre­</w:t>
      </w:r>
      <w:r>
        <w:rPr>
          <w:spacing w:val="-3"/>
        </w:rPr>
        <w:t xml:space="preserve"> </w:t>
      </w:r>
      <w:r>
        <w:t>action</w:t>
      </w:r>
      <w:r>
        <w:rPr>
          <w:spacing w:val="10"/>
        </w:rPr>
        <w:t xml:space="preserve"> </w:t>
      </w:r>
      <w:r>
        <w:t>steps that</w:t>
      </w:r>
      <w:r>
        <w:rPr>
          <w:spacing w:val="-1"/>
        </w:rPr>
        <w:t xml:space="preserve"> </w:t>
      </w:r>
      <w:r>
        <w:t>resulted in significant forensic</w:t>
      </w:r>
      <w:r>
        <w:rPr>
          <w:spacing w:val="11"/>
        </w:rPr>
        <w:t xml:space="preserve"> </w:t>
      </w:r>
      <w:r>
        <w:t>advantage</w:t>
      </w:r>
      <w:r>
        <w:rPr>
          <w:spacing w:val="19"/>
        </w:rPr>
        <w:t xml:space="preserve"> </w:t>
      </w:r>
      <w:r>
        <w:t>for you:</w:t>
      </w:r>
    </w:p>
    <w:p w14:paraId="3D3885DD" w14:textId="26D49254" w:rsidR="005247B0" w:rsidRDefault="005247B0" w:rsidP="009503DB">
      <w:pPr>
        <w:pStyle w:val="Quote2"/>
        <w:rPr>
          <w:color w:val="000000"/>
        </w:rPr>
      </w:pPr>
      <w:r>
        <w:t>(a)</w:t>
      </w:r>
      <w:r>
        <w:tab/>
        <w:t>Liaising with Counsel regarding prospects;</w:t>
      </w:r>
    </w:p>
    <w:p w14:paraId="5517976F" w14:textId="1CE1588A" w:rsidR="005247B0" w:rsidRDefault="005247B0" w:rsidP="009503DB">
      <w:pPr>
        <w:pStyle w:val="Quote2"/>
        <w:ind w:left="2160" w:hanging="720"/>
        <w:rPr>
          <w:color w:val="000000"/>
        </w:rPr>
      </w:pPr>
      <w:r>
        <w:t>(b)</w:t>
      </w:r>
      <w:r>
        <w:tab/>
        <w:t>Taking</w:t>
      </w:r>
      <w:r>
        <w:rPr>
          <w:spacing w:val="80"/>
        </w:rPr>
        <w:t xml:space="preserve"> </w:t>
      </w:r>
      <w:r>
        <w:t>registrations,</w:t>
      </w:r>
      <w:r>
        <w:rPr>
          <w:spacing w:val="80"/>
        </w:rPr>
        <w:t xml:space="preserve"> </w:t>
      </w:r>
      <w:r>
        <w:t>and</w:t>
      </w:r>
      <w:r>
        <w:rPr>
          <w:spacing w:val="80"/>
        </w:rPr>
        <w:t xml:space="preserve"> </w:t>
      </w:r>
      <w:r>
        <w:t>liaising</w:t>
      </w:r>
      <w:r>
        <w:rPr>
          <w:spacing w:val="80"/>
        </w:rPr>
        <w:t xml:space="preserve"> </w:t>
      </w:r>
      <w:r>
        <w:t>with</w:t>
      </w:r>
      <w:r>
        <w:rPr>
          <w:spacing w:val="80"/>
        </w:rPr>
        <w:t xml:space="preserve"> </w:t>
      </w:r>
      <w:r>
        <w:t>group</w:t>
      </w:r>
      <w:r>
        <w:rPr>
          <w:spacing w:val="80"/>
        </w:rPr>
        <w:t xml:space="preserve"> </w:t>
      </w:r>
      <w:r>
        <w:t>members</w:t>
      </w:r>
      <w:r>
        <w:rPr>
          <w:spacing w:val="80"/>
        </w:rPr>
        <w:t xml:space="preserve"> </w:t>
      </w:r>
      <w:r>
        <w:t>regarding</w:t>
      </w:r>
      <w:r>
        <w:rPr>
          <w:spacing w:val="80"/>
        </w:rPr>
        <w:t xml:space="preserve"> </w:t>
      </w:r>
      <w:r>
        <w:t>their</w:t>
      </w:r>
      <w:r>
        <w:rPr>
          <w:spacing w:val="80"/>
        </w:rPr>
        <w:t xml:space="preserve"> </w:t>
      </w:r>
      <w:r>
        <w:t>factual circumstances;</w:t>
      </w:r>
    </w:p>
    <w:p w14:paraId="37FDFA42" w14:textId="7AED42A1" w:rsidR="005247B0" w:rsidRDefault="005247B0" w:rsidP="009503DB">
      <w:pPr>
        <w:pStyle w:val="Quote2"/>
        <w:ind w:left="2160" w:hanging="720"/>
        <w:rPr>
          <w:color w:val="000000"/>
        </w:rPr>
      </w:pPr>
      <w:r>
        <w:t>(c)</w:t>
      </w:r>
      <w:r>
        <w:tab/>
        <w:t>Researching</w:t>
      </w:r>
      <w:r>
        <w:rPr>
          <w:spacing w:val="40"/>
        </w:rPr>
        <w:t xml:space="preserve"> </w:t>
      </w:r>
      <w:r>
        <w:t>and</w:t>
      </w:r>
      <w:r>
        <w:rPr>
          <w:spacing w:val="27"/>
        </w:rPr>
        <w:t xml:space="preserve"> </w:t>
      </w:r>
      <w:r>
        <w:t>examining</w:t>
      </w:r>
      <w:r>
        <w:rPr>
          <w:spacing w:val="40"/>
        </w:rPr>
        <w:t xml:space="preserve"> </w:t>
      </w:r>
      <w:r>
        <w:t>relevant</w:t>
      </w:r>
      <w:r>
        <w:rPr>
          <w:spacing w:val="40"/>
        </w:rPr>
        <w:t xml:space="preserve"> </w:t>
      </w:r>
      <w:r>
        <w:t>evidence,</w:t>
      </w:r>
      <w:r>
        <w:rPr>
          <w:spacing w:val="40"/>
        </w:rPr>
        <w:t xml:space="preserve"> </w:t>
      </w:r>
      <w:r>
        <w:t>including</w:t>
      </w:r>
      <w:r>
        <w:rPr>
          <w:spacing w:val="40"/>
        </w:rPr>
        <w:t xml:space="preserve"> </w:t>
      </w:r>
      <w:r>
        <w:t>extensive</w:t>
      </w:r>
      <w:r>
        <w:rPr>
          <w:spacing w:val="40"/>
        </w:rPr>
        <w:t xml:space="preserve"> </w:t>
      </w:r>
      <w:r>
        <w:t>public</w:t>
      </w:r>
      <w:r>
        <w:rPr>
          <w:spacing w:val="32"/>
        </w:rPr>
        <w:t xml:space="preserve"> </w:t>
      </w:r>
      <w:r>
        <w:t>material</w:t>
      </w:r>
      <w:r>
        <w:rPr>
          <w:spacing w:val="-2"/>
        </w:rPr>
        <w:t xml:space="preserve"> </w:t>
      </w:r>
      <w:r>
        <w:t>including from the</w:t>
      </w:r>
      <w:r>
        <w:rPr>
          <w:spacing w:val="-2"/>
        </w:rPr>
        <w:t xml:space="preserve"> </w:t>
      </w:r>
      <w:r>
        <w:t>ASX,</w:t>
      </w:r>
      <w:r>
        <w:rPr>
          <w:spacing w:val="-1"/>
        </w:rPr>
        <w:t xml:space="preserve"> </w:t>
      </w:r>
      <w:r>
        <w:t>Company Reports, and</w:t>
      </w:r>
      <w:r>
        <w:rPr>
          <w:spacing w:val="-1"/>
        </w:rPr>
        <w:t xml:space="preserve"> </w:t>
      </w:r>
      <w:r>
        <w:t>analyst reports;</w:t>
      </w:r>
    </w:p>
    <w:p w14:paraId="50051BC5" w14:textId="580C5315" w:rsidR="005247B0" w:rsidRDefault="005247B0" w:rsidP="009503DB">
      <w:pPr>
        <w:pStyle w:val="Quote2"/>
        <w:rPr>
          <w:color w:val="000000"/>
        </w:rPr>
      </w:pPr>
      <w:r>
        <w:t>(d)</w:t>
      </w:r>
      <w:r>
        <w:tab/>
        <w:t>Researching legal issues including relevant case law;</w:t>
      </w:r>
    </w:p>
    <w:p w14:paraId="032FCA93" w14:textId="46C562FD" w:rsidR="005247B0" w:rsidRDefault="005247B0" w:rsidP="009503DB">
      <w:pPr>
        <w:pStyle w:val="Quote2"/>
        <w:rPr>
          <w:color w:val="000000"/>
        </w:rPr>
      </w:pPr>
      <w:r>
        <w:t>(e)</w:t>
      </w:r>
      <w:r>
        <w:tab/>
        <w:t>Interviewing witnesses or other members of this class action;</w:t>
      </w:r>
    </w:p>
    <w:p w14:paraId="1ED0213D" w14:textId="3CED9FB5" w:rsidR="005247B0" w:rsidRDefault="005247B0" w:rsidP="009503DB">
      <w:pPr>
        <w:pStyle w:val="Quote2"/>
        <w:ind w:left="2160" w:hanging="720"/>
        <w:rPr>
          <w:color w:val="000000"/>
          <w:sz w:val="20"/>
        </w:rPr>
      </w:pPr>
      <w:r>
        <w:t>(f)</w:t>
      </w:r>
      <w:r>
        <w:tab/>
        <w:t>Conferring with and reviewing written advice and pleadings from Counsel.</w:t>
      </w:r>
    </w:p>
    <w:p w14:paraId="1529739F" w14:textId="3B86AE57" w:rsidR="00CD0089" w:rsidRPr="00F74B50" w:rsidRDefault="00B6500C" w:rsidP="00B6500C">
      <w:pPr>
        <w:pStyle w:val="ParaNumbering"/>
        <w:numPr>
          <w:ilvl w:val="0"/>
          <w:numId w:val="0"/>
        </w:numPr>
        <w:ind w:hanging="720"/>
      </w:pPr>
      <w:r w:rsidRPr="00F74B50">
        <w:rPr>
          <w:iCs/>
          <w:sz w:val="20"/>
        </w:rPr>
        <w:t>58</w:t>
      </w:r>
      <w:r w:rsidRPr="00F74B50">
        <w:rPr>
          <w:iCs/>
          <w:sz w:val="20"/>
        </w:rPr>
        <w:tab/>
      </w:r>
      <w:r w:rsidR="00DE2F0C">
        <w:rPr>
          <w:szCs w:val="24"/>
        </w:rPr>
        <w:t xml:space="preserve">The pre-retainer work </w:t>
      </w:r>
      <w:r w:rsidR="00D459D8">
        <w:rPr>
          <w:szCs w:val="24"/>
        </w:rPr>
        <w:t xml:space="preserve">cost </w:t>
      </w:r>
      <w:r w:rsidR="00DE2F0C">
        <w:rPr>
          <w:szCs w:val="24"/>
        </w:rPr>
        <w:t>was</w:t>
      </w:r>
      <w:r w:rsidR="00CD0089">
        <w:rPr>
          <w:szCs w:val="24"/>
        </w:rPr>
        <w:t xml:space="preserve"> disclosed</w:t>
      </w:r>
      <w:r w:rsidR="00122BBA">
        <w:rPr>
          <w:szCs w:val="24"/>
        </w:rPr>
        <w:t xml:space="preserve"> </w:t>
      </w:r>
      <w:r w:rsidR="005247B0">
        <w:rPr>
          <w:szCs w:val="24"/>
        </w:rPr>
        <w:t>in</w:t>
      </w:r>
      <w:r w:rsidR="00122BBA">
        <w:rPr>
          <w:szCs w:val="24"/>
        </w:rPr>
        <w:t xml:space="preserve"> </w:t>
      </w:r>
      <w:r w:rsidR="005247B0">
        <w:rPr>
          <w:szCs w:val="24"/>
        </w:rPr>
        <w:t xml:space="preserve">Rosati 1 at </w:t>
      </w:r>
      <w:r w:rsidR="00122BBA">
        <w:rPr>
          <w:szCs w:val="24"/>
        </w:rPr>
        <w:t>[46]</w:t>
      </w:r>
      <w:r w:rsidR="00CD0089">
        <w:rPr>
          <w:szCs w:val="24"/>
        </w:rPr>
        <w:t xml:space="preserve"> as:</w:t>
      </w:r>
    </w:p>
    <w:tbl>
      <w:tblPr>
        <w:tblStyle w:val="TableGrid"/>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24"/>
        <w:gridCol w:w="3790"/>
      </w:tblGrid>
      <w:tr w:rsidR="00982F4F" w14:paraId="39BD29DB" w14:textId="77777777" w:rsidTr="007E4B06">
        <w:trPr>
          <w:trHeight w:val="312"/>
        </w:trPr>
        <w:tc>
          <w:tcPr>
            <w:tcW w:w="5424" w:type="dxa"/>
          </w:tcPr>
          <w:p w14:paraId="31445473" w14:textId="77777777" w:rsidR="00F74B50" w:rsidRPr="00387405" w:rsidRDefault="00F74B50" w:rsidP="004F2506">
            <w:pPr>
              <w:pStyle w:val="Small-TableswithinQuotes"/>
            </w:pPr>
            <w:r w:rsidRPr="00387405">
              <w:t>Fees</w:t>
            </w:r>
          </w:p>
        </w:tc>
        <w:tc>
          <w:tcPr>
            <w:tcW w:w="3790" w:type="dxa"/>
          </w:tcPr>
          <w:p w14:paraId="25689F8A" w14:textId="77777777" w:rsidR="00F74B50" w:rsidRPr="00387405" w:rsidRDefault="00F74B50" w:rsidP="004F2506">
            <w:pPr>
              <w:pStyle w:val="Small-TableswithinQuotes"/>
            </w:pPr>
            <w:r w:rsidRPr="00387405">
              <w:t>Amount including GST</w:t>
            </w:r>
          </w:p>
        </w:tc>
      </w:tr>
      <w:tr w:rsidR="00982F4F" w14:paraId="1EEAC0D8" w14:textId="77777777" w:rsidTr="007E4B06">
        <w:trPr>
          <w:trHeight w:val="312"/>
        </w:trPr>
        <w:tc>
          <w:tcPr>
            <w:tcW w:w="5424" w:type="dxa"/>
          </w:tcPr>
          <w:p w14:paraId="28FB7D4B" w14:textId="77777777" w:rsidR="00F74B50" w:rsidRPr="00387405" w:rsidRDefault="00F74B50" w:rsidP="004F2506">
            <w:pPr>
              <w:pStyle w:val="Small-TableswithinQuotes"/>
            </w:pPr>
            <w:r w:rsidRPr="00387405">
              <w:t>Professional fees and internal expenses</w:t>
            </w:r>
          </w:p>
        </w:tc>
        <w:tc>
          <w:tcPr>
            <w:tcW w:w="3790" w:type="dxa"/>
          </w:tcPr>
          <w:p w14:paraId="53026BB4" w14:textId="77777777" w:rsidR="00F74B50" w:rsidRPr="00387405" w:rsidRDefault="00F74B50" w:rsidP="004F2506">
            <w:pPr>
              <w:pStyle w:val="Small-TableswithinQuotes"/>
            </w:pPr>
            <w:r w:rsidRPr="00387405">
              <w:t>$763,395</w:t>
            </w:r>
          </w:p>
        </w:tc>
      </w:tr>
      <w:tr w:rsidR="00982F4F" w14:paraId="79C2E64A" w14:textId="77777777" w:rsidTr="007E4B06">
        <w:trPr>
          <w:trHeight w:val="312"/>
        </w:trPr>
        <w:tc>
          <w:tcPr>
            <w:tcW w:w="5424" w:type="dxa"/>
          </w:tcPr>
          <w:p w14:paraId="2EF4D9E3" w14:textId="77777777" w:rsidR="00F74B50" w:rsidRPr="00387405" w:rsidRDefault="00F74B50" w:rsidP="004F2506">
            <w:pPr>
              <w:pStyle w:val="Small-TableswithinQuotes"/>
            </w:pPr>
            <w:r w:rsidRPr="00387405">
              <w:t>Uplift fee (25%)</w:t>
            </w:r>
          </w:p>
        </w:tc>
        <w:tc>
          <w:tcPr>
            <w:tcW w:w="3790" w:type="dxa"/>
          </w:tcPr>
          <w:p w14:paraId="0257B4E2" w14:textId="77777777" w:rsidR="00F74B50" w:rsidRPr="00387405" w:rsidRDefault="00F74B50" w:rsidP="004F2506">
            <w:pPr>
              <w:pStyle w:val="Small-TableswithinQuotes"/>
            </w:pPr>
            <w:r w:rsidRPr="00387405">
              <w:t>$190,849</w:t>
            </w:r>
          </w:p>
        </w:tc>
      </w:tr>
      <w:tr w:rsidR="00982F4F" w14:paraId="4279164B" w14:textId="77777777" w:rsidTr="007E4B06">
        <w:trPr>
          <w:trHeight w:val="312"/>
        </w:trPr>
        <w:tc>
          <w:tcPr>
            <w:tcW w:w="5424" w:type="dxa"/>
          </w:tcPr>
          <w:p w14:paraId="45099AD3" w14:textId="77777777" w:rsidR="00F74B50" w:rsidRPr="00387405" w:rsidRDefault="00F74B50" w:rsidP="004F2506">
            <w:pPr>
              <w:pStyle w:val="Small-TableswithinQuotes"/>
            </w:pPr>
            <w:r w:rsidRPr="00387405">
              <w:t>Disbursements</w:t>
            </w:r>
          </w:p>
        </w:tc>
        <w:tc>
          <w:tcPr>
            <w:tcW w:w="3790" w:type="dxa"/>
          </w:tcPr>
          <w:p w14:paraId="1C855776" w14:textId="77777777" w:rsidR="00F74B50" w:rsidRPr="00387405" w:rsidRDefault="00F74B50" w:rsidP="004F2506">
            <w:pPr>
              <w:pStyle w:val="Small-TableswithinQuotes"/>
            </w:pPr>
            <w:r w:rsidRPr="00387405">
              <w:t>$105,609</w:t>
            </w:r>
          </w:p>
        </w:tc>
      </w:tr>
      <w:tr w:rsidR="00982F4F" w14:paraId="624341D7" w14:textId="77777777" w:rsidTr="007E4B06">
        <w:trPr>
          <w:trHeight w:val="312"/>
        </w:trPr>
        <w:tc>
          <w:tcPr>
            <w:tcW w:w="5424" w:type="dxa"/>
          </w:tcPr>
          <w:p w14:paraId="3A591F93" w14:textId="77777777" w:rsidR="00F74B50" w:rsidRPr="00387405" w:rsidRDefault="00F74B50" w:rsidP="004F2506">
            <w:pPr>
              <w:pStyle w:val="Small-TableswithinQuotes"/>
            </w:pPr>
            <w:r w:rsidRPr="00387405">
              <w:t>Total</w:t>
            </w:r>
          </w:p>
        </w:tc>
        <w:tc>
          <w:tcPr>
            <w:tcW w:w="3790" w:type="dxa"/>
          </w:tcPr>
          <w:p w14:paraId="081D2C90" w14:textId="77777777" w:rsidR="00F74B50" w:rsidRPr="00387405" w:rsidRDefault="00F74B50" w:rsidP="004F2506">
            <w:pPr>
              <w:pStyle w:val="Small-TableswithinQuotes"/>
            </w:pPr>
            <w:r w:rsidRPr="00387405">
              <w:t>$1,059,853</w:t>
            </w:r>
          </w:p>
        </w:tc>
      </w:tr>
      <w:tr w:rsidR="00982F4F" w14:paraId="50313946" w14:textId="77777777" w:rsidTr="007E4B06">
        <w:trPr>
          <w:trHeight w:val="312"/>
        </w:trPr>
        <w:tc>
          <w:tcPr>
            <w:tcW w:w="5424" w:type="dxa"/>
          </w:tcPr>
          <w:p w14:paraId="4941B16B" w14:textId="77777777" w:rsidR="00F74B50" w:rsidRPr="00387405" w:rsidRDefault="00F74B50" w:rsidP="004F2506">
            <w:pPr>
              <w:pStyle w:val="Small-TableswithinQuotes"/>
            </w:pPr>
            <w:r w:rsidRPr="00387405">
              <w:t>Fees</w:t>
            </w:r>
          </w:p>
        </w:tc>
        <w:tc>
          <w:tcPr>
            <w:tcW w:w="3790" w:type="dxa"/>
          </w:tcPr>
          <w:p w14:paraId="78402751" w14:textId="77777777" w:rsidR="00F74B50" w:rsidRPr="00387405" w:rsidRDefault="00F74B50" w:rsidP="004F2506">
            <w:pPr>
              <w:pStyle w:val="Small-TableswithinQuotes"/>
            </w:pPr>
            <w:r w:rsidRPr="00387405">
              <w:t>Amount including GST</w:t>
            </w:r>
          </w:p>
        </w:tc>
      </w:tr>
      <w:tr w:rsidR="00982F4F" w14:paraId="77DC16BC" w14:textId="77777777" w:rsidTr="007E4B06">
        <w:trPr>
          <w:trHeight w:val="312"/>
        </w:trPr>
        <w:tc>
          <w:tcPr>
            <w:tcW w:w="5424" w:type="dxa"/>
          </w:tcPr>
          <w:p w14:paraId="0B6F0D2C" w14:textId="77777777" w:rsidR="00F74B50" w:rsidRPr="00387405" w:rsidRDefault="00F74B50" w:rsidP="004F2506">
            <w:pPr>
              <w:pStyle w:val="Small-TableswithinQuotes"/>
            </w:pPr>
            <w:r w:rsidRPr="00387405">
              <w:t>Professional fees and internal expenses</w:t>
            </w:r>
          </w:p>
        </w:tc>
        <w:tc>
          <w:tcPr>
            <w:tcW w:w="3790" w:type="dxa"/>
          </w:tcPr>
          <w:p w14:paraId="3E590330" w14:textId="77777777" w:rsidR="00F74B50" w:rsidRPr="00387405" w:rsidRDefault="00F74B50" w:rsidP="004F2506">
            <w:pPr>
              <w:pStyle w:val="Small-TableswithinQuotes"/>
            </w:pPr>
            <w:r w:rsidRPr="00387405">
              <w:t>$763,395</w:t>
            </w:r>
          </w:p>
        </w:tc>
      </w:tr>
    </w:tbl>
    <w:p w14:paraId="03570498" w14:textId="73771C54" w:rsidR="000A509C" w:rsidRDefault="00B6500C" w:rsidP="00B6500C">
      <w:pPr>
        <w:pStyle w:val="ParaNumbering"/>
        <w:numPr>
          <w:ilvl w:val="0"/>
          <w:numId w:val="0"/>
        </w:numPr>
        <w:spacing w:before="240"/>
        <w:ind w:hanging="720"/>
      </w:pPr>
      <w:r>
        <w:rPr>
          <w:iCs/>
          <w:sz w:val="20"/>
        </w:rPr>
        <w:t>59</w:t>
      </w:r>
      <w:r>
        <w:rPr>
          <w:iCs/>
          <w:sz w:val="20"/>
        </w:rPr>
        <w:tab/>
      </w:r>
      <w:r w:rsidR="007441BF">
        <w:rPr>
          <w:szCs w:val="24"/>
        </w:rPr>
        <w:t>Shine</w:t>
      </w:r>
      <w:r w:rsidR="00996751">
        <w:rPr>
          <w:szCs w:val="24"/>
        </w:rPr>
        <w:t xml:space="preserve">’s </w:t>
      </w:r>
      <w:r w:rsidR="00122BBA">
        <w:rPr>
          <w:szCs w:val="24"/>
        </w:rPr>
        <w:t xml:space="preserve">estimate of total legal costs </w:t>
      </w:r>
      <w:r w:rsidR="00996751">
        <w:rPr>
          <w:szCs w:val="24"/>
        </w:rPr>
        <w:t>(Rosati 1 at [47])</w:t>
      </w:r>
      <w:r w:rsidR="000A509C">
        <w:rPr>
          <w:szCs w:val="24"/>
        </w:rPr>
        <w:t xml:space="preserve"> was</w:t>
      </w:r>
      <w:r w:rsidR="006508F3">
        <w:rPr>
          <w:szCs w:val="24"/>
        </w:rPr>
        <w:t>:</w:t>
      </w:r>
      <w:r w:rsidR="000A509C">
        <w:rPr>
          <w:szCs w:val="24"/>
        </w:rPr>
        <w:t xml:space="preserve"> </w:t>
      </w:r>
    </w:p>
    <w:tbl>
      <w:tblPr>
        <w:tblStyle w:val="TableGrid"/>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87"/>
        <w:gridCol w:w="3827"/>
      </w:tblGrid>
      <w:tr w:rsidR="00176DE5" w:rsidRPr="002E4C56" w14:paraId="53261937" w14:textId="77777777" w:rsidTr="007E4B06">
        <w:trPr>
          <w:trHeight w:val="349"/>
        </w:trPr>
        <w:tc>
          <w:tcPr>
            <w:tcW w:w="5387" w:type="dxa"/>
          </w:tcPr>
          <w:p w14:paraId="4687F21F" w14:textId="77777777" w:rsidR="00176DE5" w:rsidRPr="00387405" w:rsidRDefault="00176DE5" w:rsidP="004F2506">
            <w:pPr>
              <w:pStyle w:val="Small-TableswithinQuotes"/>
            </w:pPr>
            <w:r w:rsidRPr="00387405">
              <w:t>Fees</w:t>
            </w:r>
          </w:p>
        </w:tc>
        <w:tc>
          <w:tcPr>
            <w:tcW w:w="3827" w:type="dxa"/>
          </w:tcPr>
          <w:p w14:paraId="6860583D" w14:textId="77777777" w:rsidR="00176DE5" w:rsidRPr="00387405" w:rsidRDefault="00176DE5" w:rsidP="004F2506">
            <w:pPr>
              <w:pStyle w:val="Small-TableswithinQuotes"/>
            </w:pPr>
            <w:r w:rsidRPr="00387405">
              <w:t>Amount including GST</w:t>
            </w:r>
          </w:p>
        </w:tc>
      </w:tr>
      <w:tr w:rsidR="00176DE5" w:rsidRPr="002E4C56" w14:paraId="6E3648F9" w14:textId="77777777" w:rsidTr="007E4B06">
        <w:trPr>
          <w:trHeight w:val="357"/>
        </w:trPr>
        <w:tc>
          <w:tcPr>
            <w:tcW w:w="5387" w:type="dxa"/>
          </w:tcPr>
          <w:p w14:paraId="77A232E3" w14:textId="77777777" w:rsidR="00176DE5" w:rsidRPr="00387405" w:rsidRDefault="00176DE5" w:rsidP="004F2506">
            <w:pPr>
              <w:pStyle w:val="Small-TableswithinQuotes"/>
            </w:pPr>
            <w:r w:rsidRPr="00387405">
              <w:t xml:space="preserve">Professional fees </w:t>
            </w:r>
          </w:p>
        </w:tc>
        <w:tc>
          <w:tcPr>
            <w:tcW w:w="3827" w:type="dxa"/>
          </w:tcPr>
          <w:p w14:paraId="24871B7D" w14:textId="77777777" w:rsidR="00176DE5" w:rsidRPr="00387405" w:rsidRDefault="00176DE5" w:rsidP="004F2506">
            <w:pPr>
              <w:pStyle w:val="Small-TableswithinQuotes"/>
            </w:pPr>
            <w:r w:rsidRPr="00387405">
              <w:t>$3,431,020</w:t>
            </w:r>
          </w:p>
        </w:tc>
      </w:tr>
      <w:tr w:rsidR="00176DE5" w:rsidRPr="002E4C56" w14:paraId="6BD2E6C8" w14:textId="77777777" w:rsidTr="007E4B06">
        <w:trPr>
          <w:trHeight w:val="349"/>
        </w:trPr>
        <w:tc>
          <w:tcPr>
            <w:tcW w:w="5387" w:type="dxa"/>
          </w:tcPr>
          <w:p w14:paraId="339A6BFF" w14:textId="77777777" w:rsidR="00176DE5" w:rsidRPr="00387405" w:rsidRDefault="00176DE5" w:rsidP="004F2506">
            <w:pPr>
              <w:pStyle w:val="Small-TableswithinQuotes"/>
            </w:pPr>
            <w:r w:rsidRPr="00387405">
              <w:t>Uplift fee on professional fee (25%)</w:t>
            </w:r>
          </w:p>
        </w:tc>
        <w:tc>
          <w:tcPr>
            <w:tcW w:w="3827" w:type="dxa"/>
          </w:tcPr>
          <w:p w14:paraId="462DF312" w14:textId="77777777" w:rsidR="00176DE5" w:rsidRPr="00387405" w:rsidRDefault="00176DE5" w:rsidP="004F2506">
            <w:pPr>
              <w:pStyle w:val="Small-TableswithinQuotes"/>
            </w:pPr>
            <w:r w:rsidRPr="00387405">
              <w:t>$857,755</w:t>
            </w:r>
          </w:p>
        </w:tc>
      </w:tr>
      <w:tr w:rsidR="00176DE5" w:rsidRPr="002E4C56" w14:paraId="419A28E2" w14:textId="77777777" w:rsidTr="007E4B06">
        <w:trPr>
          <w:trHeight w:val="357"/>
        </w:trPr>
        <w:tc>
          <w:tcPr>
            <w:tcW w:w="5387" w:type="dxa"/>
          </w:tcPr>
          <w:p w14:paraId="14EC806B" w14:textId="77777777" w:rsidR="00176DE5" w:rsidRPr="00387405" w:rsidRDefault="00176DE5" w:rsidP="004F2506">
            <w:pPr>
              <w:pStyle w:val="Small-TableswithinQuotes"/>
            </w:pPr>
            <w:r w:rsidRPr="00387405">
              <w:t>Counsels’ fees</w:t>
            </w:r>
          </w:p>
        </w:tc>
        <w:tc>
          <w:tcPr>
            <w:tcW w:w="3827" w:type="dxa"/>
          </w:tcPr>
          <w:p w14:paraId="500742CA" w14:textId="77777777" w:rsidR="00176DE5" w:rsidRPr="00387405" w:rsidRDefault="00176DE5" w:rsidP="004F2506">
            <w:pPr>
              <w:pStyle w:val="Small-TableswithinQuotes"/>
            </w:pPr>
            <w:r w:rsidRPr="00387405">
              <w:t>$1,696,250</w:t>
            </w:r>
          </w:p>
        </w:tc>
      </w:tr>
      <w:tr w:rsidR="00176DE5" w:rsidRPr="002E4C56" w14:paraId="292CBC18" w14:textId="77777777" w:rsidTr="007E4B06">
        <w:trPr>
          <w:trHeight w:val="357"/>
        </w:trPr>
        <w:tc>
          <w:tcPr>
            <w:tcW w:w="5387" w:type="dxa"/>
          </w:tcPr>
          <w:p w14:paraId="521F3659" w14:textId="77777777" w:rsidR="00176DE5" w:rsidRPr="00387405" w:rsidRDefault="00176DE5" w:rsidP="004F2506">
            <w:pPr>
              <w:pStyle w:val="Small-TableswithinQuotes"/>
            </w:pPr>
            <w:r w:rsidRPr="00387405">
              <w:t>Other disbursements</w:t>
            </w:r>
          </w:p>
        </w:tc>
        <w:tc>
          <w:tcPr>
            <w:tcW w:w="3827" w:type="dxa"/>
          </w:tcPr>
          <w:p w14:paraId="1274E2C8" w14:textId="77777777" w:rsidR="00176DE5" w:rsidRPr="00387405" w:rsidRDefault="00176DE5" w:rsidP="004F2506">
            <w:pPr>
              <w:pStyle w:val="Small-TableswithinQuotes"/>
            </w:pPr>
            <w:r w:rsidRPr="00387405">
              <w:t>$686,129</w:t>
            </w:r>
          </w:p>
        </w:tc>
      </w:tr>
      <w:tr w:rsidR="00176DE5" w:rsidRPr="002E4C56" w14:paraId="4AEBAF18" w14:textId="77777777" w:rsidTr="007E4B06">
        <w:trPr>
          <w:trHeight w:val="357"/>
        </w:trPr>
        <w:tc>
          <w:tcPr>
            <w:tcW w:w="5387" w:type="dxa"/>
          </w:tcPr>
          <w:p w14:paraId="3438A95B" w14:textId="77777777" w:rsidR="00176DE5" w:rsidRPr="00387405" w:rsidRDefault="00176DE5" w:rsidP="004F2506">
            <w:pPr>
              <w:pStyle w:val="Small-TableswithinQuotes"/>
            </w:pPr>
            <w:r w:rsidRPr="00387405">
              <w:t>Correct total</w:t>
            </w:r>
          </w:p>
        </w:tc>
        <w:tc>
          <w:tcPr>
            <w:tcW w:w="3827" w:type="dxa"/>
          </w:tcPr>
          <w:p w14:paraId="7CC5CA38" w14:textId="77777777" w:rsidR="00176DE5" w:rsidRPr="00387405" w:rsidRDefault="00176DE5" w:rsidP="004F2506">
            <w:pPr>
              <w:pStyle w:val="Small-TableswithinQuotes"/>
            </w:pPr>
            <w:r w:rsidRPr="00387405">
              <w:t>$6,671,154</w:t>
            </w:r>
          </w:p>
        </w:tc>
      </w:tr>
      <w:tr w:rsidR="00176DE5" w:rsidRPr="002E4C56" w14:paraId="098840A7" w14:textId="77777777" w:rsidTr="007E4B06">
        <w:trPr>
          <w:trHeight w:val="414"/>
        </w:trPr>
        <w:tc>
          <w:tcPr>
            <w:tcW w:w="5387" w:type="dxa"/>
          </w:tcPr>
          <w:p w14:paraId="4EA90329" w14:textId="77777777" w:rsidR="00176DE5" w:rsidRPr="00387405" w:rsidRDefault="00176DE5" w:rsidP="004F2506">
            <w:pPr>
              <w:pStyle w:val="Small-TableswithinQuotes"/>
            </w:pPr>
            <w:r w:rsidRPr="00387405">
              <w:t>Set out in the table in paragraph 31</w:t>
            </w:r>
          </w:p>
        </w:tc>
        <w:tc>
          <w:tcPr>
            <w:tcW w:w="3827" w:type="dxa"/>
          </w:tcPr>
          <w:p w14:paraId="44EB14C2" w14:textId="77777777" w:rsidR="00176DE5" w:rsidRPr="00387405" w:rsidRDefault="00176DE5" w:rsidP="004F2506">
            <w:pPr>
              <w:pStyle w:val="Small-TableswithinQuotes"/>
            </w:pPr>
            <w:r w:rsidRPr="00387405">
              <w:t>$6,645,885</w:t>
            </w:r>
          </w:p>
        </w:tc>
      </w:tr>
    </w:tbl>
    <w:p w14:paraId="0F55A381" w14:textId="3EF28A65" w:rsidR="00DE233D" w:rsidRDefault="00B6500C" w:rsidP="00B6500C">
      <w:pPr>
        <w:pStyle w:val="ParaNumbering"/>
        <w:numPr>
          <w:ilvl w:val="0"/>
          <w:numId w:val="0"/>
        </w:numPr>
        <w:ind w:hanging="720"/>
        <w:rPr>
          <w:szCs w:val="24"/>
        </w:rPr>
      </w:pPr>
      <w:bookmarkStart w:id="29" w:name="_Ref164233867"/>
      <w:r>
        <w:rPr>
          <w:iCs/>
          <w:sz w:val="20"/>
          <w:szCs w:val="24"/>
        </w:rPr>
        <w:lastRenderedPageBreak/>
        <w:t>60</w:t>
      </w:r>
      <w:r>
        <w:rPr>
          <w:iCs/>
          <w:sz w:val="20"/>
          <w:szCs w:val="24"/>
        </w:rPr>
        <w:tab/>
      </w:r>
      <w:r w:rsidR="00DE233D">
        <w:rPr>
          <w:szCs w:val="24"/>
        </w:rPr>
        <w:t xml:space="preserve">The costs agreement stated in cl 31 that “the progress of the class action is very unpredictable” and that the </w:t>
      </w:r>
      <w:r w:rsidR="006041D4">
        <w:rPr>
          <w:szCs w:val="24"/>
        </w:rPr>
        <w:t>estimate of total fees was for the “common issues stage” of the proceeding.</w:t>
      </w:r>
      <w:r w:rsidR="00307399">
        <w:rPr>
          <w:szCs w:val="24"/>
        </w:rPr>
        <w:t xml:space="preserve"> </w:t>
      </w:r>
      <w:r w:rsidR="00283998">
        <w:rPr>
          <w:szCs w:val="24"/>
        </w:rPr>
        <w:t>The table to cl 31 was as follows:</w:t>
      </w:r>
      <w:bookmarkEnd w:id="29"/>
    </w:p>
    <w:tbl>
      <w:tblPr>
        <w:tblStyle w:val="TableGrid1"/>
        <w:tblW w:w="0" w:type="auto"/>
        <w:tblInd w:w="-8" w:type="dxa"/>
        <w:tblLayout w:type="fixed"/>
        <w:tblLook w:val="04A0" w:firstRow="1" w:lastRow="0" w:firstColumn="1" w:lastColumn="0" w:noHBand="0" w:noVBand="1"/>
      </w:tblPr>
      <w:tblGrid>
        <w:gridCol w:w="3119"/>
        <w:gridCol w:w="1559"/>
        <w:gridCol w:w="1462"/>
        <w:gridCol w:w="1515"/>
        <w:gridCol w:w="1364"/>
      </w:tblGrid>
      <w:tr w:rsidR="005121AB" w14:paraId="18CC2191" w14:textId="77777777" w:rsidTr="009503DB">
        <w:tc>
          <w:tcPr>
            <w:tcW w:w="9019" w:type="dxa"/>
            <w:gridSpan w:val="5"/>
            <w:shd w:val="clear" w:color="auto" w:fill="FFFFFF" w:themeFill="background1"/>
          </w:tcPr>
          <w:p w14:paraId="465728FC" w14:textId="77777777" w:rsidR="005121AB" w:rsidRPr="000F13C5" w:rsidRDefault="005121AB" w:rsidP="004F2506">
            <w:pPr>
              <w:pStyle w:val="Small-TableswithinQuotes"/>
            </w:pPr>
            <w:r w:rsidRPr="000F13C5">
              <w:t>Estimated Total Legal Costs (including GST) ($)</w:t>
            </w:r>
          </w:p>
        </w:tc>
      </w:tr>
      <w:tr w:rsidR="005121AB" w14:paraId="416FD709" w14:textId="77777777" w:rsidTr="00191F28">
        <w:tc>
          <w:tcPr>
            <w:tcW w:w="3119" w:type="dxa"/>
          </w:tcPr>
          <w:p w14:paraId="6A307F3B" w14:textId="77777777" w:rsidR="005121AB" w:rsidRPr="00455737" w:rsidRDefault="005121AB" w:rsidP="004F2506">
            <w:pPr>
              <w:pStyle w:val="Small-TableswithinQuotes"/>
            </w:pPr>
            <w:r w:rsidRPr="00455737">
              <w:t>Budget Item</w:t>
            </w:r>
          </w:p>
        </w:tc>
        <w:tc>
          <w:tcPr>
            <w:tcW w:w="1559" w:type="dxa"/>
          </w:tcPr>
          <w:p w14:paraId="618DE62E" w14:textId="77777777" w:rsidR="005121AB" w:rsidRPr="00455737" w:rsidRDefault="005121AB" w:rsidP="004F2506">
            <w:pPr>
              <w:pStyle w:val="Small-TableswithinQuotes"/>
            </w:pPr>
            <w:r w:rsidRPr="00455737">
              <w:t>Professional fees</w:t>
            </w:r>
          </w:p>
        </w:tc>
        <w:tc>
          <w:tcPr>
            <w:tcW w:w="1462" w:type="dxa"/>
          </w:tcPr>
          <w:p w14:paraId="1BC45432" w14:textId="77777777" w:rsidR="005121AB" w:rsidRPr="00455737" w:rsidRDefault="005121AB" w:rsidP="004F2506">
            <w:pPr>
              <w:pStyle w:val="Small-TableswithinQuotes"/>
            </w:pPr>
            <w:r w:rsidRPr="00455737">
              <w:t>Counsel fees</w:t>
            </w:r>
          </w:p>
        </w:tc>
        <w:tc>
          <w:tcPr>
            <w:tcW w:w="1515" w:type="dxa"/>
          </w:tcPr>
          <w:p w14:paraId="55DEC1B4" w14:textId="77777777" w:rsidR="005121AB" w:rsidRPr="00455737" w:rsidRDefault="005121AB" w:rsidP="004F2506">
            <w:pPr>
              <w:pStyle w:val="Small-TableswithinQuotes"/>
            </w:pPr>
            <w:r w:rsidRPr="00455737">
              <w:t>Other disbursements</w:t>
            </w:r>
          </w:p>
        </w:tc>
        <w:tc>
          <w:tcPr>
            <w:tcW w:w="1364" w:type="dxa"/>
          </w:tcPr>
          <w:p w14:paraId="5DB9F16D" w14:textId="77777777" w:rsidR="005121AB" w:rsidRPr="00455737" w:rsidRDefault="005121AB" w:rsidP="004F2506">
            <w:pPr>
              <w:pStyle w:val="Small-TableswithinQuotes"/>
            </w:pPr>
            <w:r w:rsidRPr="00455737">
              <w:t>Totals</w:t>
            </w:r>
          </w:p>
        </w:tc>
      </w:tr>
      <w:tr w:rsidR="005121AB" w14:paraId="7200DE2A" w14:textId="77777777" w:rsidTr="00191F28">
        <w:tc>
          <w:tcPr>
            <w:tcW w:w="3119" w:type="dxa"/>
          </w:tcPr>
          <w:p w14:paraId="67E307FF" w14:textId="00BEFEA2" w:rsidR="005121AB" w:rsidRPr="00455737" w:rsidRDefault="005121AB" w:rsidP="004F2506">
            <w:pPr>
              <w:pStyle w:val="Small-TableswithinQuotes"/>
            </w:pPr>
            <w:r w:rsidRPr="00455737">
              <w:t>Pre-retainer fees</w:t>
            </w:r>
            <w:r w:rsidR="00285252">
              <w:t xml:space="preserve"> </w:t>
            </w:r>
            <w:r w:rsidRPr="00455737">
              <w:t>(excluding Uplift Fee)</w:t>
            </w:r>
          </w:p>
        </w:tc>
        <w:tc>
          <w:tcPr>
            <w:tcW w:w="1559" w:type="dxa"/>
          </w:tcPr>
          <w:p w14:paraId="0BB6A1C6" w14:textId="77777777" w:rsidR="005121AB" w:rsidRPr="00455737" w:rsidRDefault="005121AB" w:rsidP="004F2506">
            <w:pPr>
              <w:pStyle w:val="Small-TableswithinQuotes"/>
            </w:pPr>
            <w:r w:rsidRPr="00455737">
              <w:t>763,395</w:t>
            </w:r>
          </w:p>
        </w:tc>
        <w:tc>
          <w:tcPr>
            <w:tcW w:w="1462" w:type="dxa"/>
          </w:tcPr>
          <w:p w14:paraId="7868DE20" w14:textId="77777777" w:rsidR="005121AB" w:rsidRPr="00455737" w:rsidRDefault="005121AB" w:rsidP="004F2506">
            <w:pPr>
              <w:pStyle w:val="Small-TableswithinQuotes"/>
            </w:pPr>
            <w:r w:rsidRPr="00455737">
              <w:t>50,000</w:t>
            </w:r>
          </w:p>
        </w:tc>
        <w:tc>
          <w:tcPr>
            <w:tcW w:w="1515" w:type="dxa"/>
          </w:tcPr>
          <w:p w14:paraId="6A1E707A" w14:textId="77777777" w:rsidR="005121AB" w:rsidRPr="00455737" w:rsidRDefault="005121AB" w:rsidP="004F2506">
            <w:pPr>
              <w:pStyle w:val="Small-TableswithinQuotes"/>
            </w:pPr>
            <w:r w:rsidRPr="00455737">
              <w:t>55,609</w:t>
            </w:r>
          </w:p>
        </w:tc>
        <w:tc>
          <w:tcPr>
            <w:tcW w:w="1364" w:type="dxa"/>
          </w:tcPr>
          <w:p w14:paraId="2CCDE617" w14:textId="77777777" w:rsidR="005121AB" w:rsidRPr="00455737" w:rsidRDefault="005121AB" w:rsidP="004F2506">
            <w:pPr>
              <w:pStyle w:val="Small-TableswithinQuotes"/>
            </w:pPr>
            <w:r w:rsidRPr="00455737">
              <w:t>869,004</w:t>
            </w:r>
          </w:p>
        </w:tc>
      </w:tr>
      <w:tr w:rsidR="005121AB" w14:paraId="64FC9156" w14:textId="77777777" w:rsidTr="00191F28">
        <w:tc>
          <w:tcPr>
            <w:tcW w:w="3119" w:type="dxa"/>
          </w:tcPr>
          <w:p w14:paraId="1378B46A" w14:textId="39FA04A5" w:rsidR="005121AB" w:rsidRPr="00455737" w:rsidRDefault="005121AB" w:rsidP="004F2506">
            <w:pPr>
              <w:pStyle w:val="Small-TableswithinQuotes"/>
            </w:pPr>
            <w:r w:rsidRPr="00455737">
              <w:t>Application and</w:t>
            </w:r>
            <w:r w:rsidR="00285252">
              <w:t xml:space="preserve"> </w:t>
            </w:r>
            <w:r w:rsidRPr="00455737">
              <w:t>Statement of Claim</w:t>
            </w:r>
          </w:p>
        </w:tc>
        <w:tc>
          <w:tcPr>
            <w:tcW w:w="1559" w:type="dxa"/>
          </w:tcPr>
          <w:p w14:paraId="18AE0932" w14:textId="77777777" w:rsidR="005121AB" w:rsidRPr="00455737" w:rsidRDefault="005121AB" w:rsidP="004F2506">
            <w:pPr>
              <w:pStyle w:val="Small-TableswithinQuotes"/>
            </w:pPr>
            <w:r w:rsidRPr="00455737">
              <w:t>67,500</w:t>
            </w:r>
          </w:p>
        </w:tc>
        <w:tc>
          <w:tcPr>
            <w:tcW w:w="1462" w:type="dxa"/>
          </w:tcPr>
          <w:p w14:paraId="67A38FF7" w14:textId="77777777" w:rsidR="005121AB" w:rsidRPr="00455737" w:rsidRDefault="005121AB" w:rsidP="004F2506">
            <w:pPr>
              <w:pStyle w:val="Small-TableswithinQuotes"/>
            </w:pPr>
            <w:r w:rsidRPr="00455737">
              <w:t>44,500</w:t>
            </w:r>
          </w:p>
        </w:tc>
        <w:tc>
          <w:tcPr>
            <w:tcW w:w="1515" w:type="dxa"/>
          </w:tcPr>
          <w:p w14:paraId="08D6D78B" w14:textId="77777777" w:rsidR="005121AB" w:rsidRPr="00455737" w:rsidRDefault="005121AB" w:rsidP="004F2506">
            <w:pPr>
              <w:pStyle w:val="Small-TableswithinQuotes"/>
            </w:pPr>
            <w:r w:rsidRPr="00455737">
              <w:t>11,560</w:t>
            </w:r>
          </w:p>
        </w:tc>
        <w:tc>
          <w:tcPr>
            <w:tcW w:w="1364" w:type="dxa"/>
          </w:tcPr>
          <w:p w14:paraId="351796AF" w14:textId="77777777" w:rsidR="005121AB" w:rsidRPr="00455737" w:rsidRDefault="005121AB" w:rsidP="004F2506">
            <w:pPr>
              <w:pStyle w:val="Small-TableswithinQuotes"/>
            </w:pPr>
            <w:r w:rsidRPr="00455737">
              <w:t>123,560</w:t>
            </w:r>
          </w:p>
        </w:tc>
      </w:tr>
      <w:tr w:rsidR="005121AB" w14:paraId="47A65B42" w14:textId="77777777" w:rsidTr="00191F28">
        <w:tc>
          <w:tcPr>
            <w:tcW w:w="3119" w:type="dxa"/>
          </w:tcPr>
          <w:p w14:paraId="4860814F" w14:textId="77777777" w:rsidR="005121AB" w:rsidRPr="00455737" w:rsidRDefault="005121AB" w:rsidP="004F2506">
            <w:pPr>
              <w:pStyle w:val="Small-TableswithinQuotes"/>
            </w:pPr>
            <w:r w:rsidRPr="00455737">
              <w:t>Bookbuild / Group Member communications</w:t>
            </w:r>
          </w:p>
        </w:tc>
        <w:tc>
          <w:tcPr>
            <w:tcW w:w="1559" w:type="dxa"/>
          </w:tcPr>
          <w:p w14:paraId="394D9136" w14:textId="77777777" w:rsidR="005121AB" w:rsidRPr="00455737" w:rsidRDefault="005121AB" w:rsidP="004F2506">
            <w:pPr>
              <w:pStyle w:val="Small-TableswithinQuotes"/>
            </w:pPr>
            <w:r w:rsidRPr="00455737">
              <w:t>123,250</w:t>
            </w:r>
          </w:p>
        </w:tc>
        <w:tc>
          <w:tcPr>
            <w:tcW w:w="1462" w:type="dxa"/>
          </w:tcPr>
          <w:p w14:paraId="6FC89277" w14:textId="77777777" w:rsidR="005121AB" w:rsidRPr="00455737" w:rsidRDefault="005121AB" w:rsidP="004F2506">
            <w:pPr>
              <w:pStyle w:val="Small-TableswithinQuotes"/>
            </w:pPr>
            <w:r w:rsidRPr="00455737">
              <w:t>Nil</w:t>
            </w:r>
          </w:p>
        </w:tc>
        <w:tc>
          <w:tcPr>
            <w:tcW w:w="1515" w:type="dxa"/>
          </w:tcPr>
          <w:p w14:paraId="7CA7D4DD" w14:textId="77777777" w:rsidR="005121AB" w:rsidRPr="00455737" w:rsidRDefault="005121AB" w:rsidP="004F2506">
            <w:pPr>
              <w:pStyle w:val="Small-TableswithinQuotes"/>
            </w:pPr>
            <w:r w:rsidRPr="00455737">
              <w:t>20,000</w:t>
            </w:r>
          </w:p>
        </w:tc>
        <w:tc>
          <w:tcPr>
            <w:tcW w:w="1364" w:type="dxa"/>
          </w:tcPr>
          <w:p w14:paraId="4D9E2961" w14:textId="77777777" w:rsidR="005121AB" w:rsidRPr="00455737" w:rsidRDefault="005121AB" w:rsidP="004F2506">
            <w:pPr>
              <w:pStyle w:val="Small-TableswithinQuotes"/>
            </w:pPr>
            <w:r w:rsidRPr="00455737">
              <w:t>143,250</w:t>
            </w:r>
          </w:p>
        </w:tc>
      </w:tr>
      <w:tr w:rsidR="005121AB" w14:paraId="3CC479BD" w14:textId="77777777" w:rsidTr="00191F28">
        <w:tc>
          <w:tcPr>
            <w:tcW w:w="3119" w:type="dxa"/>
          </w:tcPr>
          <w:p w14:paraId="5407D7D4" w14:textId="77777777" w:rsidR="005121AB" w:rsidRPr="00455737" w:rsidRDefault="005121AB" w:rsidP="004F2506">
            <w:pPr>
              <w:pStyle w:val="Small-TableswithinQuotes"/>
            </w:pPr>
            <w:r w:rsidRPr="00455737">
              <w:t>Particulars, defence and close of pleadings</w:t>
            </w:r>
          </w:p>
        </w:tc>
        <w:tc>
          <w:tcPr>
            <w:tcW w:w="1559" w:type="dxa"/>
          </w:tcPr>
          <w:p w14:paraId="4BEFCC96" w14:textId="77777777" w:rsidR="005121AB" w:rsidRPr="00455737" w:rsidRDefault="005121AB" w:rsidP="004F2506">
            <w:pPr>
              <w:pStyle w:val="Small-TableswithinQuotes"/>
            </w:pPr>
            <w:r w:rsidRPr="00455737">
              <w:t>38,925</w:t>
            </w:r>
          </w:p>
        </w:tc>
        <w:tc>
          <w:tcPr>
            <w:tcW w:w="1462" w:type="dxa"/>
          </w:tcPr>
          <w:p w14:paraId="498877E6" w14:textId="77777777" w:rsidR="005121AB" w:rsidRPr="00455737" w:rsidRDefault="005121AB" w:rsidP="004F2506">
            <w:pPr>
              <w:pStyle w:val="Small-TableswithinQuotes"/>
            </w:pPr>
            <w:r w:rsidRPr="00455737">
              <w:t>29,250</w:t>
            </w:r>
          </w:p>
        </w:tc>
        <w:tc>
          <w:tcPr>
            <w:tcW w:w="1515" w:type="dxa"/>
          </w:tcPr>
          <w:p w14:paraId="136C917E" w14:textId="77777777" w:rsidR="005121AB" w:rsidRPr="00455737" w:rsidRDefault="005121AB" w:rsidP="004F2506">
            <w:pPr>
              <w:pStyle w:val="Small-TableswithinQuotes"/>
            </w:pPr>
            <w:r w:rsidRPr="00455737">
              <w:t>5,000</w:t>
            </w:r>
          </w:p>
        </w:tc>
        <w:tc>
          <w:tcPr>
            <w:tcW w:w="1364" w:type="dxa"/>
          </w:tcPr>
          <w:p w14:paraId="47164792" w14:textId="77777777" w:rsidR="005121AB" w:rsidRPr="00455737" w:rsidRDefault="005121AB" w:rsidP="004F2506">
            <w:pPr>
              <w:pStyle w:val="Small-TableswithinQuotes"/>
            </w:pPr>
            <w:r w:rsidRPr="00455737">
              <w:t>73,175</w:t>
            </w:r>
          </w:p>
        </w:tc>
      </w:tr>
      <w:tr w:rsidR="005121AB" w14:paraId="3E8E5232" w14:textId="77777777" w:rsidTr="00191F28">
        <w:tc>
          <w:tcPr>
            <w:tcW w:w="3119" w:type="dxa"/>
          </w:tcPr>
          <w:p w14:paraId="587F2F5C" w14:textId="77777777" w:rsidR="005121AB" w:rsidRPr="00455737" w:rsidRDefault="005121AB" w:rsidP="004F2506">
            <w:pPr>
              <w:pStyle w:val="Small-TableswithinQuotes"/>
            </w:pPr>
            <w:proofErr w:type="spellStart"/>
            <w:r w:rsidRPr="00455737">
              <w:t>Opt</w:t>
            </w:r>
            <w:proofErr w:type="spellEnd"/>
            <w:r w:rsidRPr="00455737">
              <w:t xml:space="preserve"> out</w:t>
            </w:r>
          </w:p>
        </w:tc>
        <w:tc>
          <w:tcPr>
            <w:tcW w:w="1559" w:type="dxa"/>
          </w:tcPr>
          <w:p w14:paraId="2248C540" w14:textId="77777777" w:rsidR="005121AB" w:rsidRPr="00455737" w:rsidRDefault="005121AB" w:rsidP="004F2506">
            <w:pPr>
              <w:pStyle w:val="Small-TableswithinQuotes"/>
            </w:pPr>
            <w:r w:rsidRPr="00455737">
              <w:t>71,025</w:t>
            </w:r>
          </w:p>
        </w:tc>
        <w:tc>
          <w:tcPr>
            <w:tcW w:w="1462" w:type="dxa"/>
          </w:tcPr>
          <w:p w14:paraId="5CC3E025" w14:textId="77777777" w:rsidR="005121AB" w:rsidRPr="00455737" w:rsidRDefault="005121AB" w:rsidP="004F2506">
            <w:pPr>
              <w:pStyle w:val="Small-TableswithinQuotes"/>
            </w:pPr>
            <w:r w:rsidRPr="00455737">
              <w:t>11,500</w:t>
            </w:r>
          </w:p>
        </w:tc>
        <w:tc>
          <w:tcPr>
            <w:tcW w:w="1515" w:type="dxa"/>
          </w:tcPr>
          <w:p w14:paraId="617AD89C" w14:textId="77777777" w:rsidR="005121AB" w:rsidRPr="00455737" w:rsidRDefault="005121AB" w:rsidP="004F2506">
            <w:pPr>
              <w:pStyle w:val="Small-TableswithinQuotes"/>
            </w:pPr>
            <w:r w:rsidRPr="00455737">
              <w:t>10,000</w:t>
            </w:r>
          </w:p>
        </w:tc>
        <w:tc>
          <w:tcPr>
            <w:tcW w:w="1364" w:type="dxa"/>
          </w:tcPr>
          <w:p w14:paraId="40D4CB76" w14:textId="77777777" w:rsidR="005121AB" w:rsidRPr="00455737" w:rsidRDefault="005121AB" w:rsidP="004F2506">
            <w:pPr>
              <w:pStyle w:val="Small-TableswithinQuotes"/>
            </w:pPr>
            <w:r w:rsidRPr="00455737">
              <w:t>92,525</w:t>
            </w:r>
          </w:p>
        </w:tc>
      </w:tr>
      <w:tr w:rsidR="005121AB" w14:paraId="31A97EC0" w14:textId="77777777" w:rsidTr="00191F28">
        <w:tc>
          <w:tcPr>
            <w:tcW w:w="3119" w:type="dxa"/>
          </w:tcPr>
          <w:p w14:paraId="74F42A51" w14:textId="77777777" w:rsidR="005121AB" w:rsidRPr="00455737" w:rsidRDefault="005121AB" w:rsidP="004F2506">
            <w:pPr>
              <w:pStyle w:val="Small-TableswithinQuotes"/>
            </w:pPr>
            <w:r w:rsidRPr="00455737">
              <w:t xml:space="preserve">Discovery and Subpoenas </w:t>
            </w:r>
          </w:p>
        </w:tc>
        <w:tc>
          <w:tcPr>
            <w:tcW w:w="1559" w:type="dxa"/>
          </w:tcPr>
          <w:p w14:paraId="560863AE" w14:textId="77777777" w:rsidR="005121AB" w:rsidRPr="00455737" w:rsidRDefault="005121AB" w:rsidP="004F2506">
            <w:pPr>
              <w:pStyle w:val="Small-TableswithinQuotes"/>
            </w:pPr>
            <w:r w:rsidRPr="00455737">
              <w:t>297,900</w:t>
            </w:r>
          </w:p>
        </w:tc>
        <w:tc>
          <w:tcPr>
            <w:tcW w:w="1462" w:type="dxa"/>
          </w:tcPr>
          <w:p w14:paraId="1AE4E69A" w14:textId="77777777" w:rsidR="005121AB" w:rsidRPr="00455737" w:rsidRDefault="005121AB" w:rsidP="004F2506">
            <w:pPr>
              <w:pStyle w:val="Small-TableswithinQuotes"/>
            </w:pPr>
            <w:r w:rsidRPr="00455737">
              <w:t>26,500</w:t>
            </w:r>
          </w:p>
        </w:tc>
        <w:tc>
          <w:tcPr>
            <w:tcW w:w="1515" w:type="dxa"/>
          </w:tcPr>
          <w:p w14:paraId="5A6F53FF" w14:textId="77777777" w:rsidR="005121AB" w:rsidRPr="00455737" w:rsidRDefault="005121AB" w:rsidP="004F2506">
            <w:pPr>
              <w:pStyle w:val="Small-TableswithinQuotes"/>
            </w:pPr>
            <w:r w:rsidRPr="00455737">
              <w:t>170,000</w:t>
            </w:r>
          </w:p>
        </w:tc>
        <w:tc>
          <w:tcPr>
            <w:tcW w:w="1364" w:type="dxa"/>
          </w:tcPr>
          <w:p w14:paraId="7BF6445C" w14:textId="77777777" w:rsidR="005121AB" w:rsidRPr="00455737" w:rsidRDefault="005121AB" w:rsidP="004F2506">
            <w:pPr>
              <w:pStyle w:val="Small-TableswithinQuotes"/>
            </w:pPr>
            <w:r w:rsidRPr="00455737">
              <w:t>494,400</w:t>
            </w:r>
          </w:p>
        </w:tc>
      </w:tr>
      <w:tr w:rsidR="005121AB" w14:paraId="46961500" w14:textId="77777777" w:rsidTr="00191F28">
        <w:tc>
          <w:tcPr>
            <w:tcW w:w="3119" w:type="dxa"/>
          </w:tcPr>
          <w:p w14:paraId="4E705302" w14:textId="77777777" w:rsidR="005121AB" w:rsidRPr="00455737" w:rsidRDefault="005121AB" w:rsidP="004F2506">
            <w:pPr>
              <w:pStyle w:val="Small-TableswithinQuotes"/>
            </w:pPr>
            <w:r w:rsidRPr="00455737">
              <w:t>Expert Evidence</w:t>
            </w:r>
          </w:p>
        </w:tc>
        <w:tc>
          <w:tcPr>
            <w:tcW w:w="1559" w:type="dxa"/>
          </w:tcPr>
          <w:p w14:paraId="462D439A" w14:textId="77777777" w:rsidR="005121AB" w:rsidRPr="00455737" w:rsidRDefault="005121AB" w:rsidP="004F2506">
            <w:pPr>
              <w:pStyle w:val="Small-TableswithinQuotes"/>
            </w:pPr>
            <w:r w:rsidRPr="00455737">
              <w:t>371,550</w:t>
            </w:r>
          </w:p>
        </w:tc>
        <w:tc>
          <w:tcPr>
            <w:tcW w:w="1462" w:type="dxa"/>
          </w:tcPr>
          <w:p w14:paraId="5187368C" w14:textId="77777777" w:rsidR="005121AB" w:rsidRPr="00455737" w:rsidRDefault="005121AB" w:rsidP="004F2506">
            <w:pPr>
              <w:pStyle w:val="Small-TableswithinQuotes"/>
            </w:pPr>
            <w:r w:rsidRPr="00455737">
              <w:t>149,000</w:t>
            </w:r>
          </w:p>
        </w:tc>
        <w:tc>
          <w:tcPr>
            <w:tcW w:w="1515" w:type="dxa"/>
          </w:tcPr>
          <w:p w14:paraId="4B447D43" w14:textId="77777777" w:rsidR="005121AB" w:rsidRPr="00455737" w:rsidRDefault="005121AB" w:rsidP="004F2506">
            <w:pPr>
              <w:pStyle w:val="Small-TableswithinQuotes"/>
            </w:pPr>
            <w:r w:rsidRPr="00455737">
              <w:t>250,000</w:t>
            </w:r>
          </w:p>
        </w:tc>
        <w:tc>
          <w:tcPr>
            <w:tcW w:w="1364" w:type="dxa"/>
          </w:tcPr>
          <w:p w14:paraId="1D865C77" w14:textId="77777777" w:rsidR="005121AB" w:rsidRPr="00455737" w:rsidRDefault="005121AB" w:rsidP="004F2506">
            <w:pPr>
              <w:pStyle w:val="Small-TableswithinQuotes"/>
            </w:pPr>
            <w:r w:rsidRPr="00455737">
              <w:t>770,550</w:t>
            </w:r>
          </w:p>
        </w:tc>
      </w:tr>
      <w:tr w:rsidR="005121AB" w14:paraId="7D43807D" w14:textId="77777777" w:rsidTr="00191F28">
        <w:tc>
          <w:tcPr>
            <w:tcW w:w="3119" w:type="dxa"/>
          </w:tcPr>
          <w:p w14:paraId="06B07DB1" w14:textId="77777777" w:rsidR="005121AB" w:rsidRPr="00455737" w:rsidRDefault="005121AB" w:rsidP="004F2506">
            <w:pPr>
              <w:pStyle w:val="Small-TableswithinQuotes"/>
            </w:pPr>
            <w:r w:rsidRPr="00455737">
              <w:t>Lay Evidence</w:t>
            </w:r>
          </w:p>
        </w:tc>
        <w:tc>
          <w:tcPr>
            <w:tcW w:w="1559" w:type="dxa"/>
          </w:tcPr>
          <w:p w14:paraId="3BD296DD" w14:textId="77777777" w:rsidR="005121AB" w:rsidRPr="00455737" w:rsidRDefault="005121AB" w:rsidP="004F2506">
            <w:pPr>
              <w:pStyle w:val="Small-TableswithinQuotes"/>
            </w:pPr>
            <w:r w:rsidRPr="00455737">
              <w:t>153,950</w:t>
            </w:r>
          </w:p>
        </w:tc>
        <w:tc>
          <w:tcPr>
            <w:tcW w:w="1462" w:type="dxa"/>
          </w:tcPr>
          <w:p w14:paraId="18F27288" w14:textId="77777777" w:rsidR="005121AB" w:rsidRPr="00455737" w:rsidRDefault="005121AB" w:rsidP="004F2506">
            <w:pPr>
              <w:pStyle w:val="Small-TableswithinQuotes"/>
            </w:pPr>
            <w:r w:rsidRPr="00455737">
              <w:t>46,000</w:t>
            </w:r>
          </w:p>
        </w:tc>
        <w:tc>
          <w:tcPr>
            <w:tcW w:w="1515" w:type="dxa"/>
          </w:tcPr>
          <w:p w14:paraId="28208182" w14:textId="77777777" w:rsidR="005121AB" w:rsidRPr="00455737" w:rsidRDefault="005121AB" w:rsidP="004F2506">
            <w:pPr>
              <w:pStyle w:val="Small-TableswithinQuotes"/>
            </w:pPr>
            <w:r w:rsidRPr="00455737">
              <w:t>16,380</w:t>
            </w:r>
          </w:p>
        </w:tc>
        <w:tc>
          <w:tcPr>
            <w:tcW w:w="1364" w:type="dxa"/>
          </w:tcPr>
          <w:p w14:paraId="02151140" w14:textId="77777777" w:rsidR="005121AB" w:rsidRPr="00455737" w:rsidRDefault="005121AB" w:rsidP="004F2506">
            <w:pPr>
              <w:pStyle w:val="Small-TableswithinQuotes"/>
            </w:pPr>
            <w:r w:rsidRPr="00455737">
              <w:t>216,330</w:t>
            </w:r>
          </w:p>
        </w:tc>
      </w:tr>
      <w:tr w:rsidR="005121AB" w14:paraId="047F762B" w14:textId="77777777" w:rsidTr="00191F28">
        <w:tc>
          <w:tcPr>
            <w:tcW w:w="3119" w:type="dxa"/>
          </w:tcPr>
          <w:p w14:paraId="5B265C1F" w14:textId="03B1E67E" w:rsidR="005121AB" w:rsidRPr="00455737" w:rsidRDefault="005121AB" w:rsidP="004F2506">
            <w:pPr>
              <w:pStyle w:val="Small-TableswithinQuotes"/>
            </w:pPr>
            <w:r w:rsidRPr="00455737">
              <w:t>Group member</w:t>
            </w:r>
            <w:r w:rsidR="00285252">
              <w:t xml:space="preserve"> </w:t>
            </w:r>
            <w:r w:rsidRPr="00455737">
              <w:t>registration</w:t>
            </w:r>
            <w:r w:rsidR="00285252">
              <w:t xml:space="preserve"> </w:t>
            </w:r>
            <w:r w:rsidRPr="00455737">
              <w:t xml:space="preserve">/ </w:t>
            </w:r>
          </w:p>
          <w:p w14:paraId="69A90240" w14:textId="5235296F" w:rsidR="005121AB" w:rsidRPr="00455737" w:rsidRDefault="00285252" w:rsidP="004F2506">
            <w:pPr>
              <w:pStyle w:val="Small-TableswithinQuotes"/>
            </w:pPr>
            <w:r w:rsidRPr="00455737">
              <w:t xml:space="preserve">class </w:t>
            </w:r>
            <w:r w:rsidR="005121AB" w:rsidRPr="00455737">
              <w:t>closure</w:t>
            </w:r>
          </w:p>
        </w:tc>
        <w:tc>
          <w:tcPr>
            <w:tcW w:w="1559" w:type="dxa"/>
          </w:tcPr>
          <w:p w14:paraId="13C84E29" w14:textId="77777777" w:rsidR="005121AB" w:rsidRPr="00455737" w:rsidRDefault="005121AB" w:rsidP="004F2506">
            <w:pPr>
              <w:pStyle w:val="Small-TableswithinQuotes"/>
            </w:pPr>
            <w:r w:rsidRPr="00455737">
              <w:t>118,750</w:t>
            </w:r>
          </w:p>
        </w:tc>
        <w:tc>
          <w:tcPr>
            <w:tcW w:w="1462" w:type="dxa"/>
          </w:tcPr>
          <w:p w14:paraId="066B2682" w14:textId="77777777" w:rsidR="005121AB" w:rsidRPr="00455737" w:rsidRDefault="005121AB" w:rsidP="004F2506">
            <w:pPr>
              <w:pStyle w:val="Small-TableswithinQuotes"/>
            </w:pPr>
            <w:r w:rsidRPr="00455737">
              <w:t>8,000</w:t>
            </w:r>
          </w:p>
        </w:tc>
        <w:tc>
          <w:tcPr>
            <w:tcW w:w="1515" w:type="dxa"/>
          </w:tcPr>
          <w:p w14:paraId="57B0F1C3" w14:textId="77777777" w:rsidR="005121AB" w:rsidRPr="00455737" w:rsidRDefault="005121AB" w:rsidP="004F2506">
            <w:pPr>
              <w:pStyle w:val="Small-TableswithinQuotes"/>
            </w:pPr>
            <w:r w:rsidRPr="00455737">
              <w:t>20,000</w:t>
            </w:r>
          </w:p>
        </w:tc>
        <w:tc>
          <w:tcPr>
            <w:tcW w:w="1364" w:type="dxa"/>
          </w:tcPr>
          <w:p w14:paraId="3A37A9F2" w14:textId="77777777" w:rsidR="005121AB" w:rsidRPr="00455737" w:rsidRDefault="005121AB" w:rsidP="004F2506">
            <w:pPr>
              <w:pStyle w:val="Small-TableswithinQuotes"/>
            </w:pPr>
            <w:r w:rsidRPr="00455737">
              <w:t>146,750</w:t>
            </w:r>
          </w:p>
        </w:tc>
      </w:tr>
      <w:tr w:rsidR="005121AB" w14:paraId="2B2A8325" w14:textId="77777777" w:rsidTr="00191F28">
        <w:tc>
          <w:tcPr>
            <w:tcW w:w="3119" w:type="dxa"/>
          </w:tcPr>
          <w:p w14:paraId="28E50D83" w14:textId="77777777" w:rsidR="005121AB" w:rsidRPr="00455737" w:rsidRDefault="005121AB" w:rsidP="004F2506">
            <w:pPr>
              <w:pStyle w:val="Small-TableswithinQuotes"/>
            </w:pPr>
            <w:r w:rsidRPr="00455737">
              <w:t>Interlocutory Procedures</w:t>
            </w:r>
          </w:p>
        </w:tc>
        <w:tc>
          <w:tcPr>
            <w:tcW w:w="1559" w:type="dxa"/>
          </w:tcPr>
          <w:p w14:paraId="764435C6" w14:textId="77777777" w:rsidR="005121AB" w:rsidRPr="00455737" w:rsidRDefault="005121AB" w:rsidP="004F2506">
            <w:pPr>
              <w:pStyle w:val="Small-TableswithinQuotes"/>
            </w:pPr>
            <w:r w:rsidRPr="00455737">
              <w:t>329,875</w:t>
            </w:r>
          </w:p>
        </w:tc>
        <w:tc>
          <w:tcPr>
            <w:tcW w:w="1462" w:type="dxa"/>
          </w:tcPr>
          <w:p w14:paraId="31CFEF4E" w14:textId="77777777" w:rsidR="005121AB" w:rsidRPr="00455737" w:rsidRDefault="005121AB" w:rsidP="004F2506">
            <w:pPr>
              <w:pStyle w:val="Small-TableswithinQuotes"/>
            </w:pPr>
            <w:r w:rsidRPr="00455737">
              <w:t>142,500</w:t>
            </w:r>
          </w:p>
        </w:tc>
        <w:tc>
          <w:tcPr>
            <w:tcW w:w="1515" w:type="dxa"/>
          </w:tcPr>
          <w:p w14:paraId="111C5F47" w14:textId="77777777" w:rsidR="005121AB" w:rsidRPr="00455737" w:rsidRDefault="005121AB" w:rsidP="004F2506">
            <w:pPr>
              <w:pStyle w:val="Small-TableswithinQuotes"/>
            </w:pPr>
            <w:r w:rsidRPr="00455737">
              <w:t>1,020</w:t>
            </w:r>
          </w:p>
        </w:tc>
        <w:tc>
          <w:tcPr>
            <w:tcW w:w="1364" w:type="dxa"/>
          </w:tcPr>
          <w:p w14:paraId="087FD567" w14:textId="77777777" w:rsidR="005121AB" w:rsidRPr="00455737" w:rsidRDefault="005121AB" w:rsidP="004F2506">
            <w:pPr>
              <w:pStyle w:val="Small-TableswithinQuotes"/>
            </w:pPr>
            <w:r w:rsidRPr="00455737">
              <w:t>473,395</w:t>
            </w:r>
          </w:p>
        </w:tc>
      </w:tr>
      <w:tr w:rsidR="005121AB" w14:paraId="3403E8F7" w14:textId="77777777" w:rsidTr="00191F28">
        <w:tc>
          <w:tcPr>
            <w:tcW w:w="3119" w:type="dxa"/>
          </w:tcPr>
          <w:p w14:paraId="2FB109C5" w14:textId="1A391D0F" w:rsidR="005121AB" w:rsidRPr="00455737" w:rsidRDefault="005121AB" w:rsidP="004F2506">
            <w:pPr>
              <w:pStyle w:val="Small-TableswithinQuotes"/>
            </w:pPr>
            <w:r w:rsidRPr="00455737">
              <w:t>Settlement negotiations</w:t>
            </w:r>
            <w:r w:rsidR="00285252">
              <w:t xml:space="preserve"> </w:t>
            </w:r>
            <w:r w:rsidRPr="00455737">
              <w:t>and mediation</w:t>
            </w:r>
          </w:p>
        </w:tc>
        <w:tc>
          <w:tcPr>
            <w:tcW w:w="1559" w:type="dxa"/>
          </w:tcPr>
          <w:p w14:paraId="35D0950C" w14:textId="77777777" w:rsidR="005121AB" w:rsidRPr="00455737" w:rsidRDefault="005121AB" w:rsidP="004F2506">
            <w:pPr>
              <w:pStyle w:val="Small-TableswithinQuotes"/>
            </w:pPr>
            <w:r w:rsidRPr="00455737">
              <w:t>243,750</w:t>
            </w:r>
          </w:p>
        </w:tc>
        <w:tc>
          <w:tcPr>
            <w:tcW w:w="1462" w:type="dxa"/>
          </w:tcPr>
          <w:p w14:paraId="1DF2B5F8" w14:textId="77777777" w:rsidR="005121AB" w:rsidRPr="00455737" w:rsidRDefault="005121AB" w:rsidP="004F2506">
            <w:pPr>
              <w:pStyle w:val="Small-TableswithinQuotes"/>
            </w:pPr>
            <w:r w:rsidRPr="00455737">
              <w:t>92,500</w:t>
            </w:r>
          </w:p>
        </w:tc>
        <w:tc>
          <w:tcPr>
            <w:tcW w:w="1515" w:type="dxa"/>
          </w:tcPr>
          <w:p w14:paraId="033B9EF3" w14:textId="77777777" w:rsidR="005121AB" w:rsidRPr="00455737" w:rsidRDefault="005121AB" w:rsidP="004F2506">
            <w:pPr>
              <w:pStyle w:val="Small-TableswithinQuotes"/>
            </w:pPr>
            <w:r w:rsidRPr="00455737">
              <w:t>21,560</w:t>
            </w:r>
          </w:p>
        </w:tc>
        <w:tc>
          <w:tcPr>
            <w:tcW w:w="1364" w:type="dxa"/>
          </w:tcPr>
          <w:p w14:paraId="214D7811" w14:textId="77777777" w:rsidR="005121AB" w:rsidRPr="00455737" w:rsidRDefault="005121AB" w:rsidP="004F2506">
            <w:pPr>
              <w:pStyle w:val="Small-TableswithinQuotes"/>
            </w:pPr>
            <w:r w:rsidRPr="00455737">
              <w:t>357,810</w:t>
            </w:r>
          </w:p>
        </w:tc>
      </w:tr>
      <w:tr w:rsidR="005121AB" w14:paraId="5F896783" w14:textId="77777777" w:rsidTr="00191F28">
        <w:tc>
          <w:tcPr>
            <w:tcW w:w="3119" w:type="dxa"/>
          </w:tcPr>
          <w:p w14:paraId="150D0C79" w14:textId="77777777" w:rsidR="005121AB" w:rsidRPr="00455737" w:rsidRDefault="005121AB" w:rsidP="004F2506">
            <w:pPr>
              <w:pStyle w:val="Small-TableswithinQuotes"/>
            </w:pPr>
            <w:r w:rsidRPr="00455737">
              <w:t xml:space="preserve">Preparation for hearing </w:t>
            </w:r>
          </w:p>
        </w:tc>
        <w:tc>
          <w:tcPr>
            <w:tcW w:w="1559" w:type="dxa"/>
          </w:tcPr>
          <w:p w14:paraId="30A42F09" w14:textId="77777777" w:rsidR="005121AB" w:rsidRPr="00455737" w:rsidRDefault="005121AB" w:rsidP="004F2506">
            <w:pPr>
              <w:pStyle w:val="Small-TableswithinQuotes"/>
            </w:pPr>
            <w:r w:rsidRPr="00455737">
              <w:t>216,375</w:t>
            </w:r>
          </w:p>
        </w:tc>
        <w:tc>
          <w:tcPr>
            <w:tcW w:w="1462" w:type="dxa"/>
          </w:tcPr>
          <w:p w14:paraId="25AD4523" w14:textId="77777777" w:rsidR="005121AB" w:rsidRPr="00455737" w:rsidRDefault="005121AB" w:rsidP="004F2506">
            <w:pPr>
              <w:pStyle w:val="Small-TableswithinQuotes"/>
            </w:pPr>
            <w:r w:rsidRPr="00455737">
              <w:t>274,500</w:t>
            </w:r>
          </w:p>
        </w:tc>
        <w:tc>
          <w:tcPr>
            <w:tcW w:w="1515" w:type="dxa"/>
          </w:tcPr>
          <w:p w14:paraId="03421387" w14:textId="77777777" w:rsidR="005121AB" w:rsidRPr="00455737" w:rsidRDefault="005121AB" w:rsidP="004F2506">
            <w:pPr>
              <w:pStyle w:val="Small-TableswithinQuotes"/>
            </w:pPr>
            <w:r w:rsidRPr="00455737">
              <w:t>44,000</w:t>
            </w:r>
          </w:p>
        </w:tc>
        <w:tc>
          <w:tcPr>
            <w:tcW w:w="1364" w:type="dxa"/>
          </w:tcPr>
          <w:p w14:paraId="18F3E448" w14:textId="77777777" w:rsidR="005121AB" w:rsidRPr="00455737" w:rsidRDefault="005121AB" w:rsidP="004F2506">
            <w:pPr>
              <w:pStyle w:val="Small-TableswithinQuotes"/>
            </w:pPr>
            <w:r w:rsidRPr="00455737">
              <w:t>534,875</w:t>
            </w:r>
          </w:p>
        </w:tc>
      </w:tr>
      <w:tr w:rsidR="005121AB" w14:paraId="4A070A72" w14:textId="77777777" w:rsidTr="00191F28">
        <w:tc>
          <w:tcPr>
            <w:tcW w:w="3119" w:type="dxa"/>
          </w:tcPr>
          <w:p w14:paraId="3554F6C4" w14:textId="77777777" w:rsidR="005121AB" w:rsidRPr="00455737" w:rsidRDefault="005121AB" w:rsidP="004F2506">
            <w:pPr>
              <w:pStyle w:val="Small-TableswithinQuotes"/>
            </w:pPr>
            <w:r w:rsidRPr="00455737">
              <w:t>Trial</w:t>
            </w:r>
          </w:p>
        </w:tc>
        <w:tc>
          <w:tcPr>
            <w:tcW w:w="1559" w:type="dxa"/>
          </w:tcPr>
          <w:p w14:paraId="178B7F71" w14:textId="77777777" w:rsidR="005121AB" w:rsidRPr="00455737" w:rsidRDefault="005121AB" w:rsidP="004F2506">
            <w:pPr>
              <w:pStyle w:val="Small-TableswithinQuotes"/>
            </w:pPr>
            <w:r w:rsidRPr="00455737">
              <w:t>440,700</w:t>
            </w:r>
          </w:p>
        </w:tc>
        <w:tc>
          <w:tcPr>
            <w:tcW w:w="1462" w:type="dxa"/>
          </w:tcPr>
          <w:p w14:paraId="5DA4DB67" w14:textId="77777777" w:rsidR="005121AB" w:rsidRPr="00455737" w:rsidRDefault="005121AB" w:rsidP="004F2506">
            <w:pPr>
              <w:pStyle w:val="Small-TableswithinQuotes"/>
            </w:pPr>
            <w:r w:rsidRPr="00455737">
              <w:t>660,000</w:t>
            </w:r>
          </w:p>
        </w:tc>
        <w:tc>
          <w:tcPr>
            <w:tcW w:w="1515" w:type="dxa"/>
          </w:tcPr>
          <w:p w14:paraId="1881F7F4" w14:textId="77777777" w:rsidR="005121AB" w:rsidRPr="00455737" w:rsidRDefault="005121AB" w:rsidP="004F2506">
            <w:pPr>
              <w:pStyle w:val="Small-TableswithinQuotes"/>
            </w:pPr>
            <w:r w:rsidRPr="00455737">
              <w:t>50,000</w:t>
            </w:r>
          </w:p>
        </w:tc>
        <w:tc>
          <w:tcPr>
            <w:tcW w:w="1364" w:type="dxa"/>
          </w:tcPr>
          <w:p w14:paraId="4D1216F1" w14:textId="77777777" w:rsidR="005121AB" w:rsidRPr="00455737" w:rsidRDefault="005121AB" w:rsidP="004F2506">
            <w:pPr>
              <w:pStyle w:val="Small-TableswithinQuotes"/>
            </w:pPr>
            <w:r w:rsidRPr="00455737">
              <w:t>1,150,700</w:t>
            </w:r>
          </w:p>
        </w:tc>
      </w:tr>
      <w:tr w:rsidR="005121AB" w14:paraId="549D2A6A" w14:textId="77777777" w:rsidTr="00191F28">
        <w:tc>
          <w:tcPr>
            <w:tcW w:w="3119" w:type="dxa"/>
          </w:tcPr>
          <w:p w14:paraId="0B288AAA" w14:textId="77777777" w:rsidR="005121AB" w:rsidRPr="00455737" w:rsidRDefault="005121AB" w:rsidP="004F2506">
            <w:pPr>
              <w:pStyle w:val="Small-TableswithinQuotes"/>
            </w:pPr>
            <w:r w:rsidRPr="00455737">
              <w:t>Settlement Approval</w:t>
            </w:r>
          </w:p>
        </w:tc>
        <w:tc>
          <w:tcPr>
            <w:tcW w:w="1559" w:type="dxa"/>
          </w:tcPr>
          <w:p w14:paraId="2D5C47AB" w14:textId="77777777" w:rsidR="005121AB" w:rsidRPr="00455737" w:rsidRDefault="005121AB" w:rsidP="004F2506">
            <w:pPr>
              <w:pStyle w:val="Small-TableswithinQuotes"/>
            </w:pPr>
            <w:r w:rsidRPr="00455737">
              <w:t>194,075</w:t>
            </w:r>
          </w:p>
        </w:tc>
        <w:tc>
          <w:tcPr>
            <w:tcW w:w="1462" w:type="dxa"/>
          </w:tcPr>
          <w:p w14:paraId="48362F88" w14:textId="77777777" w:rsidR="005121AB" w:rsidRPr="00455737" w:rsidRDefault="005121AB" w:rsidP="004F2506">
            <w:pPr>
              <w:pStyle w:val="Small-TableswithinQuotes"/>
            </w:pPr>
            <w:r w:rsidRPr="00455737">
              <w:t>162,000</w:t>
            </w:r>
          </w:p>
        </w:tc>
        <w:tc>
          <w:tcPr>
            <w:tcW w:w="1515" w:type="dxa"/>
          </w:tcPr>
          <w:p w14:paraId="61CA4806" w14:textId="77777777" w:rsidR="005121AB" w:rsidRPr="00455737" w:rsidRDefault="005121AB" w:rsidP="004F2506">
            <w:pPr>
              <w:pStyle w:val="Small-TableswithinQuotes"/>
            </w:pPr>
            <w:r w:rsidRPr="00455737">
              <w:t>11,000</w:t>
            </w:r>
          </w:p>
        </w:tc>
        <w:tc>
          <w:tcPr>
            <w:tcW w:w="1364" w:type="dxa"/>
          </w:tcPr>
          <w:p w14:paraId="283A034B" w14:textId="77777777" w:rsidR="005121AB" w:rsidRPr="00455737" w:rsidRDefault="005121AB" w:rsidP="004F2506">
            <w:pPr>
              <w:pStyle w:val="Small-TableswithinQuotes"/>
            </w:pPr>
            <w:r w:rsidRPr="00455737">
              <w:t>367,075</w:t>
            </w:r>
          </w:p>
        </w:tc>
      </w:tr>
      <w:tr w:rsidR="005121AB" w14:paraId="0F13A0D4" w14:textId="77777777" w:rsidTr="00191F28">
        <w:tc>
          <w:tcPr>
            <w:tcW w:w="3119" w:type="dxa"/>
          </w:tcPr>
          <w:p w14:paraId="2C70FA01" w14:textId="77777777" w:rsidR="005121AB" w:rsidRPr="00455737" w:rsidRDefault="005121AB" w:rsidP="004F2506">
            <w:pPr>
              <w:pStyle w:val="Small-TableswithinQuotes"/>
            </w:pPr>
            <w:r w:rsidRPr="00455737">
              <w:t>Uplift Fees</w:t>
            </w:r>
          </w:p>
        </w:tc>
        <w:tc>
          <w:tcPr>
            <w:tcW w:w="1559" w:type="dxa"/>
          </w:tcPr>
          <w:p w14:paraId="0533B582" w14:textId="77777777" w:rsidR="005121AB" w:rsidRPr="00455737" w:rsidRDefault="005121AB" w:rsidP="004F2506">
            <w:pPr>
              <w:pStyle w:val="Small-TableswithinQuotes"/>
            </w:pPr>
            <w:r w:rsidRPr="00455737">
              <w:t>857,755</w:t>
            </w:r>
          </w:p>
        </w:tc>
        <w:tc>
          <w:tcPr>
            <w:tcW w:w="1462" w:type="dxa"/>
          </w:tcPr>
          <w:p w14:paraId="2BC6F819" w14:textId="77777777" w:rsidR="005121AB" w:rsidRPr="00455737" w:rsidRDefault="005121AB" w:rsidP="004F2506">
            <w:pPr>
              <w:pStyle w:val="Small-TableswithinQuotes"/>
            </w:pPr>
            <w:r w:rsidRPr="00455737">
              <w:t>NIL</w:t>
            </w:r>
          </w:p>
        </w:tc>
        <w:tc>
          <w:tcPr>
            <w:tcW w:w="1515" w:type="dxa"/>
          </w:tcPr>
          <w:p w14:paraId="0B288F95" w14:textId="77777777" w:rsidR="005121AB" w:rsidRPr="00455737" w:rsidRDefault="005121AB" w:rsidP="004F2506">
            <w:pPr>
              <w:pStyle w:val="Small-TableswithinQuotes"/>
            </w:pPr>
            <w:r w:rsidRPr="00455737">
              <w:t>NIL</w:t>
            </w:r>
          </w:p>
        </w:tc>
        <w:tc>
          <w:tcPr>
            <w:tcW w:w="1364" w:type="dxa"/>
          </w:tcPr>
          <w:p w14:paraId="2E18F8F5" w14:textId="77777777" w:rsidR="005121AB" w:rsidRPr="00455737" w:rsidRDefault="005121AB" w:rsidP="004F2506">
            <w:pPr>
              <w:pStyle w:val="Small-TableswithinQuotes"/>
            </w:pPr>
            <w:r w:rsidRPr="00455737">
              <w:t>857,755</w:t>
            </w:r>
          </w:p>
        </w:tc>
      </w:tr>
      <w:tr w:rsidR="005121AB" w14:paraId="0B125539" w14:textId="77777777" w:rsidTr="00191F28">
        <w:tc>
          <w:tcPr>
            <w:tcW w:w="3119" w:type="dxa"/>
          </w:tcPr>
          <w:p w14:paraId="7F0DA5FA" w14:textId="77777777" w:rsidR="005121AB" w:rsidRPr="00455737" w:rsidRDefault="005121AB" w:rsidP="004F2506">
            <w:pPr>
              <w:pStyle w:val="Small-TableswithinQuotes"/>
            </w:pPr>
            <w:r w:rsidRPr="00455737">
              <w:t>ESTIMATE OF TOTAL LEGAL COSTS</w:t>
            </w:r>
          </w:p>
        </w:tc>
        <w:tc>
          <w:tcPr>
            <w:tcW w:w="1559" w:type="dxa"/>
          </w:tcPr>
          <w:p w14:paraId="49A5542B" w14:textId="77777777" w:rsidR="005121AB" w:rsidRPr="00455737" w:rsidRDefault="005121AB" w:rsidP="004F2506">
            <w:pPr>
              <w:pStyle w:val="Small-TableswithinQuotes"/>
            </w:pPr>
            <w:r w:rsidRPr="00455737">
              <w:t xml:space="preserve">4,288,775 </w:t>
            </w:r>
          </w:p>
        </w:tc>
        <w:tc>
          <w:tcPr>
            <w:tcW w:w="1462" w:type="dxa"/>
          </w:tcPr>
          <w:p w14:paraId="669AC245" w14:textId="77777777" w:rsidR="005121AB" w:rsidRPr="00455737" w:rsidRDefault="005121AB" w:rsidP="004F2506">
            <w:pPr>
              <w:pStyle w:val="Small-TableswithinQuotes"/>
            </w:pPr>
            <w:r w:rsidRPr="00455737">
              <w:t>1,696,250</w:t>
            </w:r>
          </w:p>
        </w:tc>
        <w:tc>
          <w:tcPr>
            <w:tcW w:w="1515" w:type="dxa"/>
          </w:tcPr>
          <w:p w14:paraId="5A1BCA4D" w14:textId="77777777" w:rsidR="005121AB" w:rsidRPr="00455737" w:rsidRDefault="005121AB" w:rsidP="004F2506">
            <w:pPr>
              <w:pStyle w:val="Small-TableswithinQuotes"/>
            </w:pPr>
            <w:r w:rsidRPr="00455737">
              <w:t>686,129</w:t>
            </w:r>
          </w:p>
        </w:tc>
        <w:tc>
          <w:tcPr>
            <w:tcW w:w="1364" w:type="dxa"/>
          </w:tcPr>
          <w:p w14:paraId="772CC1C3" w14:textId="77777777" w:rsidR="005121AB" w:rsidRPr="00455737" w:rsidRDefault="005121AB" w:rsidP="004F2506">
            <w:pPr>
              <w:pStyle w:val="Small-TableswithinQuotes"/>
            </w:pPr>
            <w:r w:rsidRPr="00455737">
              <w:t>6,645,885</w:t>
            </w:r>
          </w:p>
        </w:tc>
      </w:tr>
    </w:tbl>
    <w:p w14:paraId="7DF8B0D0" w14:textId="7B67248F" w:rsidR="00401186" w:rsidRDefault="00B6500C" w:rsidP="00B6500C">
      <w:pPr>
        <w:pStyle w:val="ParaNumbering"/>
        <w:numPr>
          <w:ilvl w:val="0"/>
          <w:numId w:val="0"/>
        </w:numPr>
        <w:spacing w:before="360"/>
        <w:ind w:hanging="720"/>
        <w:rPr>
          <w:szCs w:val="24"/>
        </w:rPr>
      </w:pPr>
      <w:r>
        <w:rPr>
          <w:iCs/>
          <w:sz w:val="20"/>
          <w:szCs w:val="24"/>
        </w:rPr>
        <w:t>61</w:t>
      </w:r>
      <w:r>
        <w:rPr>
          <w:iCs/>
          <w:sz w:val="20"/>
          <w:szCs w:val="24"/>
        </w:rPr>
        <w:tab/>
      </w:r>
      <w:r w:rsidR="00401186">
        <w:rPr>
          <w:szCs w:val="24"/>
        </w:rPr>
        <w:t>The table contains an error in that the total should be $6,671,154</w:t>
      </w:r>
      <w:r w:rsidR="00E11864">
        <w:rPr>
          <w:szCs w:val="24"/>
        </w:rPr>
        <w:t>.</w:t>
      </w:r>
    </w:p>
    <w:p w14:paraId="6CC78B82" w14:textId="6565547D" w:rsidR="004606B4" w:rsidRDefault="00B6500C" w:rsidP="00B6500C">
      <w:pPr>
        <w:pStyle w:val="ParaNumbering"/>
        <w:numPr>
          <w:ilvl w:val="0"/>
          <w:numId w:val="0"/>
        </w:numPr>
        <w:ind w:hanging="720"/>
        <w:rPr>
          <w:szCs w:val="24"/>
        </w:rPr>
      </w:pPr>
      <w:r>
        <w:rPr>
          <w:iCs/>
          <w:sz w:val="20"/>
          <w:szCs w:val="24"/>
        </w:rPr>
        <w:t>62</w:t>
      </w:r>
      <w:r>
        <w:rPr>
          <w:iCs/>
          <w:sz w:val="20"/>
          <w:szCs w:val="24"/>
        </w:rPr>
        <w:tab/>
      </w:r>
      <w:r w:rsidR="004606B4">
        <w:rPr>
          <w:szCs w:val="24"/>
        </w:rPr>
        <w:t xml:space="preserve">The costs agreement emphasised in </w:t>
      </w:r>
      <w:proofErr w:type="spellStart"/>
      <w:r w:rsidR="004606B4">
        <w:rPr>
          <w:szCs w:val="24"/>
        </w:rPr>
        <w:t>cl</w:t>
      </w:r>
      <w:r w:rsidR="00ED4B43">
        <w:rPr>
          <w:szCs w:val="24"/>
        </w:rPr>
        <w:t>l</w:t>
      </w:r>
      <w:proofErr w:type="spellEnd"/>
      <w:r w:rsidR="004606B4">
        <w:rPr>
          <w:szCs w:val="24"/>
        </w:rPr>
        <w:t> 32</w:t>
      </w:r>
      <w:r w:rsidR="00ED4B43">
        <w:rPr>
          <w:szCs w:val="24"/>
        </w:rPr>
        <w:t xml:space="preserve"> and 33 that the estimate of total fees was an estimate only and that there were many variables</w:t>
      </w:r>
      <w:r w:rsidR="00CB33DB">
        <w:rPr>
          <w:szCs w:val="24"/>
        </w:rPr>
        <w:t xml:space="preserve"> as to how the litigation might unfold.</w:t>
      </w:r>
    </w:p>
    <w:p w14:paraId="49166F56" w14:textId="5D0D6194" w:rsidR="00C3276D" w:rsidRPr="00471D41" w:rsidRDefault="00B6500C" w:rsidP="00B6500C">
      <w:pPr>
        <w:pStyle w:val="ParaNumbering"/>
        <w:numPr>
          <w:ilvl w:val="0"/>
          <w:numId w:val="0"/>
        </w:numPr>
        <w:ind w:hanging="720"/>
      </w:pPr>
      <w:r w:rsidRPr="00471D41">
        <w:rPr>
          <w:iCs/>
          <w:sz w:val="20"/>
        </w:rPr>
        <w:t>63</w:t>
      </w:r>
      <w:r w:rsidRPr="00471D41">
        <w:rPr>
          <w:iCs/>
          <w:sz w:val="20"/>
        </w:rPr>
        <w:tab/>
      </w:r>
      <w:r w:rsidR="007766CC" w:rsidRPr="00D3625E">
        <w:rPr>
          <w:szCs w:val="24"/>
        </w:rPr>
        <w:t>Ms Rosati recorded that Shine had incurred the following costs and expenses</w:t>
      </w:r>
      <w:r w:rsidR="00C3276D" w:rsidRPr="00D3625E">
        <w:rPr>
          <w:szCs w:val="24"/>
        </w:rPr>
        <w:t xml:space="preserve"> for work in the proceeding between 13 June 2019 and 22 December 2023</w:t>
      </w:r>
      <w:r w:rsidR="00A55866" w:rsidRPr="00D3625E">
        <w:rPr>
          <w:szCs w:val="24"/>
        </w:rPr>
        <w:t xml:space="preserve"> as set out in the “itemised account”</w:t>
      </w:r>
      <w:r w:rsidR="003C1E90">
        <w:rPr>
          <w:szCs w:val="24"/>
        </w:rPr>
        <w:t xml:space="preserve"> at [65]</w:t>
      </w:r>
      <w:r w:rsidR="00C3276D" w:rsidRPr="00D3625E">
        <w:rPr>
          <w:szCs w:val="24"/>
        </w:rPr>
        <w:t>:</w:t>
      </w:r>
    </w:p>
    <w:tbl>
      <w:tblPr>
        <w:tblStyle w:val="TableGrid"/>
        <w:tblW w:w="9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4"/>
        <w:gridCol w:w="3084"/>
        <w:gridCol w:w="3085"/>
      </w:tblGrid>
      <w:tr w:rsidR="00982F4F" w14:paraId="5574EE16" w14:textId="77777777" w:rsidTr="007E4B06">
        <w:trPr>
          <w:trHeight w:val="383"/>
        </w:trPr>
        <w:tc>
          <w:tcPr>
            <w:tcW w:w="3084" w:type="dxa"/>
          </w:tcPr>
          <w:p w14:paraId="496B1BAC" w14:textId="77777777" w:rsidR="00982F4F" w:rsidRDefault="00982F4F" w:rsidP="004F2506">
            <w:pPr>
              <w:pStyle w:val="Small-TableswithinQuotes"/>
            </w:pPr>
          </w:p>
        </w:tc>
        <w:tc>
          <w:tcPr>
            <w:tcW w:w="3084" w:type="dxa"/>
          </w:tcPr>
          <w:p w14:paraId="2D116C8D" w14:textId="77777777" w:rsidR="00982F4F" w:rsidRDefault="00982F4F" w:rsidP="004F2506">
            <w:pPr>
              <w:pStyle w:val="Small-TableswithinQuotes"/>
            </w:pPr>
            <w:r w:rsidRPr="002E4C56">
              <w:rPr>
                <w:b/>
                <w:bCs/>
                <w:sz w:val="20"/>
              </w:rPr>
              <w:t>Amount including GST</w:t>
            </w:r>
          </w:p>
        </w:tc>
        <w:tc>
          <w:tcPr>
            <w:tcW w:w="3085" w:type="dxa"/>
          </w:tcPr>
          <w:p w14:paraId="107E399D" w14:textId="77777777" w:rsidR="00982F4F" w:rsidRDefault="00982F4F" w:rsidP="004F2506">
            <w:pPr>
              <w:pStyle w:val="Small-TableswithinQuotes"/>
            </w:pPr>
            <w:r w:rsidRPr="002E4C56">
              <w:rPr>
                <w:b/>
                <w:bCs/>
                <w:sz w:val="20"/>
              </w:rPr>
              <w:t>Percentage</w:t>
            </w:r>
          </w:p>
        </w:tc>
      </w:tr>
      <w:tr w:rsidR="00982F4F" w14:paraId="6D19A8A3" w14:textId="77777777" w:rsidTr="007E4B06">
        <w:trPr>
          <w:trHeight w:val="311"/>
        </w:trPr>
        <w:tc>
          <w:tcPr>
            <w:tcW w:w="3084" w:type="dxa"/>
          </w:tcPr>
          <w:p w14:paraId="01DEA8B9" w14:textId="77777777" w:rsidR="00982F4F" w:rsidRDefault="00982F4F" w:rsidP="004F2506">
            <w:pPr>
              <w:pStyle w:val="Small-TableswithinQuotes"/>
            </w:pPr>
            <w:r w:rsidRPr="002E4C56">
              <w:rPr>
                <w:sz w:val="20"/>
              </w:rPr>
              <w:t>Professional Fees</w:t>
            </w:r>
          </w:p>
        </w:tc>
        <w:tc>
          <w:tcPr>
            <w:tcW w:w="3084" w:type="dxa"/>
          </w:tcPr>
          <w:p w14:paraId="55FB75CE" w14:textId="77777777" w:rsidR="00982F4F" w:rsidRDefault="00982F4F" w:rsidP="004F2506">
            <w:pPr>
              <w:pStyle w:val="Small-TableswithinQuotes"/>
            </w:pPr>
            <w:r w:rsidRPr="002E4C56">
              <w:rPr>
                <w:sz w:val="20"/>
              </w:rPr>
              <w:t>$1,750,708.30</w:t>
            </w:r>
          </w:p>
        </w:tc>
        <w:tc>
          <w:tcPr>
            <w:tcW w:w="3085" w:type="dxa"/>
          </w:tcPr>
          <w:p w14:paraId="2AE34D4F" w14:textId="77777777" w:rsidR="00982F4F" w:rsidRDefault="00982F4F" w:rsidP="004F2506">
            <w:pPr>
              <w:pStyle w:val="Small-TableswithinQuotes"/>
            </w:pPr>
            <w:r w:rsidRPr="002E4C56">
              <w:rPr>
                <w:sz w:val="20"/>
              </w:rPr>
              <w:t>71.97%</w:t>
            </w:r>
          </w:p>
        </w:tc>
      </w:tr>
      <w:tr w:rsidR="00982F4F" w14:paraId="78C0F9DD" w14:textId="77777777" w:rsidTr="007E4B06">
        <w:trPr>
          <w:trHeight w:val="311"/>
        </w:trPr>
        <w:tc>
          <w:tcPr>
            <w:tcW w:w="3084" w:type="dxa"/>
          </w:tcPr>
          <w:p w14:paraId="0C67665C" w14:textId="77777777" w:rsidR="00982F4F" w:rsidRDefault="00982F4F" w:rsidP="004F2506">
            <w:pPr>
              <w:pStyle w:val="Small-TableswithinQuotes"/>
            </w:pPr>
            <w:r w:rsidRPr="002E4C56">
              <w:rPr>
                <w:sz w:val="20"/>
              </w:rPr>
              <w:t>Counsels’ Fees</w:t>
            </w:r>
          </w:p>
        </w:tc>
        <w:tc>
          <w:tcPr>
            <w:tcW w:w="3084" w:type="dxa"/>
          </w:tcPr>
          <w:p w14:paraId="75CE95AF" w14:textId="77777777" w:rsidR="00982F4F" w:rsidRDefault="00982F4F" w:rsidP="004F2506">
            <w:pPr>
              <w:pStyle w:val="Small-TableswithinQuotes"/>
            </w:pPr>
            <w:r w:rsidRPr="002E4C56">
              <w:rPr>
                <w:sz w:val="20"/>
              </w:rPr>
              <w:t>$476,898.75</w:t>
            </w:r>
          </w:p>
        </w:tc>
        <w:tc>
          <w:tcPr>
            <w:tcW w:w="3085" w:type="dxa"/>
          </w:tcPr>
          <w:p w14:paraId="1151589B" w14:textId="77777777" w:rsidR="00982F4F" w:rsidRDefault="00982F4F" w:rsidP="004F2506">
            <w:pPr>
              <w:pStyle w:val="Small-TableswithinQuotes"/>
            </w:pPr>
            <w:r w:rsidRPr="002E4C56">
              <w:rPr>
                <w:sz w:val="20"/>
              </w:rPr>
              <w:t>19.61%</w:t>
            </w:r>
          </w:p>
        </w:tc>
      </w:tr>
      <w:tr w:rsidR="00982F4F" w14:paraId="14D21178" w14:textId="77777777" w:rsidTr="007E4B06">
        <w:trPr>
          <w:trHeight w:val="311"/>
        </w:trPr>
        <w:tc>
          <w:tcPr>
            <w:tcW w:w="3084" w:type="dxa"/>
          </w:tcPr>
          <w:p w14:paraId="1E3E7F09" w14:textId="77777777" w:rsidR="00982F4F" w:rsidRDefault="00982F4F" w:rsidP="004F2506">
            <w:pPr>
              <w:pStyle w:val="Small-TableswithinQuotes"/>
            </w:pPr>
            <w:r w:rsidRPr="002E4C56">
              <w:rPr>
                <w:sz w:val="20"/>
              </w:rPr>
              <w:t>Consultants/Experts’ Fees</w:t>
            </w:r>
          </w:p>
        </w:tc>
        <w:tc>
          <w:tcPr>
            <w:tcW w:w="3084" w:type="dxa"/>
          </w:tcPr>
          <w:p w14:paraId="5E9C3789" w14:textId="77777777" w:rsidR="00982F4F" w:rsidRDefault="00982F4F" w:rsidP="004F2506">
            <w:pPr>
              <w:pStyle w:val="Small-TableswithinQuotes"/>
            </w:pPr>
            <w:r w:rsidRPr="002E4C56">
              <w:rPr>
                <w:sz w:val="20"/>
              </w:rPr>
              <w:t>$119,930.60</w:t>
            </w:r>
          </w:p>
        </w:tc>
        <w:tc>
          <w:tcPr>
            <w:tcW w:w="3085" w:type="dxa"/>
          </w:tcPr>
          <w:p w14:paraId="2A0B769C" w14:textId="77777777" w:rsidR="00982F4F" w:rsidRDefault="00982F4F" w:rsidP="004F2506">
            <w:pPr>
              <w:pStyle w:val="Small-TableswithinQuotes"/>
            </w:pPr>
            <w:r w:rsidRPr="002E4C56">
              <w:rPr>
                <w:sz w:val="20"/>
              </w:rPr>
              <w:t>4.93%</w:t>
            </w:r>
          </w:p>
        </w:tc>
      </w:tr>
      <w:tr w:rsidR="00982F4F" w14:paraId="5287F1F6" w14:textId="77777777" w:rsidTr="007E4B06">
        <w:trPr>
          <w:trHeight w:val="311"/>
        </w:trPr>
        <w:tc>
          <w:tcPr>
            <w:tcW w:w="3084" w:type="dxa"/>
          </w:tcPr>
          <w:p w14:paraId="59F4F76B" w14:textId="77777777" w:rsidR="00982F4F" w:rsidRDefault="00982F4F" w:rsidP="004F2506">
            <w:pPr>
              <w:pStyle w:val="Small-TableswithinQuotes"/>
            </w:pPr>
            <w:r w:rsidRPr="002E4C56">
              <w:rPr>
                <w:sz w:val="20"/>
              </w:rPr>
              <w:t>General Disbursements</w:t>
            </w:r>
          </w:p>
        </w:tc>
        <w:tc>
          <w:tcPr>
            <w:tcW w:w="3084" w:type="dxa"/>
          </w:tcPr>
          <w:p w14:paraId="25C4A102" w14:textId="77777777" w:rsidR="00982F4F" w:rsidRDefault="00982F4F" w:rsidP="004F2506">
            <w:pPr>
              <w:pStyle w:val="Small-TableswithinQuotes"/>
            </w:pPr>
            <w:r w:rsidRPr="002E4C56">
              <w:rPr>
                <w:sz w:val="20"/>
              </w:rPr>
              <w:t>$84,949.38</w:t>
            </w:r>
          </w:p>
        </w:tc>
        <w:tc>
          <w:tcPr>
            <w:tcW w:w="3085" w:type="dxa"/>
          </w:tcPr>
          <w:p w14:paraId="03619B1A" w14:textId="77777777" w:rsidR="00982F4F" w:rsidRDefault="00982F4F" w:rsidP="004F2506">
            <w:pPr>
              <w:pStyle w:val="Small-TableswithinQuotes"/>
            </w:pPr>
            <w:r w:rsidRPr="002E4C56">
              <w:rPr>
                <w:sz w:val="20"/>
              </w:rPr>
              <w:t>3.49%</w:t>
            </w:r>
          </w:p>
        </w:tc>
      </w:tr>
      <w:tr w:rsidR="00982F4F" w14:paraId="3B4955D1" w14:textId="77777777" w:rsidTr="007E4B06">
        <w:trPr>
          <w:trHeight w:val="85"/>
        </w:trPr>
        <w:tc>
          <w:tcPr>
            <w:tcW w:w="3084" w:type="dxa"/>
          </w:tcPr>
          <w:p w14:paraId="445A4914" w14:textId="77777777" w:rsidR="00982F4F" w:rsidRDefault="00982F4F" w:rsidP="004F2506">
            <w:pPr>
              <w:pStyle w:val="Small-TableswithinQuotes"/>
            </w:pPr>
          </w:p>
        </w:tc>
        <w:tc>
          <w:tcPr>
            <w:tcW w:w="3084" w:type="dxa"/>
          </w:tcPr>
          <w:p w14:paraId="56B24E85" w14:textId="77777777" w:rsidR="00982F4F" w:rsidRDefault="00982F4F" w:rsidP="004F2506">
            <w:pPr>
              <w:pStyle w:val="Small-TableswithinQuotes"/>
            </w:pPr>
            <w:r w:rsidRPr="002E4C56">
              <w:rPr>
                <w:b/>
                <w:bCs/>
                <w:sz w:val="20"/>
              </w:rPr>
              <w:t>$2,432,487.03</w:t>
            </w:r>
          </w:p>
        </w:tc>
        <w:tc>
          <w:tcPr>
            <w:tcW w:w="3085" w:type="dxa"/>
          </w:tcPr>
          <w:p w14:paraId="117B1E62" w14:textId="77777777" w:rsidR="00982F4F" w:rsidRDefault="00982F4F" w:rsidP="004F2506">
            <w:pPr>
              <w:pStyle w:val="Small-TableswithinQuotes"/>
            </w:pPr>
            <w:r w:rsidRPr="002E4C56">
              <w:rPr>
                <w:b/>
                <w:bCs/>
                <w:sz w:val="20"/>
              </w:rPr>
              <w:t>100.00%</w:t>
            </w:r>
          </w:p>
        </w:tc>
      </w:tr>
    </w:tbl>
    <w:p w14:paraId="12B60794" w14:textId="4B642C89" w:rsidR="00CB0315" w:rsidRDefault="00B6500C" w:rsidP="00B6500C">
      <w:pPr>
        <w:pStyle w:val="ParaNumbering"/>
        <w:numPr>
          <w:ilvl w:val="0"/>
          <w:numId w:val="0"/>
        </w:numPr>
        <w:ind w:hanging="720"/>
      </w:pPr>
      <w:r>
        <w:rPr>
          <w:iCs/>
          <w:sz w:val="20"/>
        </w:rPr>
        <w:lastRenderedPageBreak/>
        <w:t>64</w:t>
      </w:r>
      <w:r>
        <w:rPr>
          <w:iCs/>
          <w:sz w:val="20"/>
        </w:rPr>
        <w:tab/>
      </w:r>
      <w:r w:rsidR="00D447B2">
        <w:rPr>
          <w:szCs w:val="24"/>
        </w:rPr>
        <w:t xml:space="preserve">Ms </w:t>
      </w:r>
      <w:r w:rsidR="00CB0315">
        <w:rPr>
          <w:szCs w:val="24"/>
        </w:rPr>
        <w:t xml:space="preserve">Rosati </w:t>
      </w:r>
      <w:r w:rsidR="00F96EE8">
        <w:rPr>
          <w:szCs w:val="24"/>
        </w:rPr>
        <w:t xml:space="preserve">worked out the percentage </w:t>
      </w:r>
      <w:r w:rsidR="007B120B">
        <w:rPr>
          <w:szCs w:val="24"/>
        </w:rPr>
        <w:t xml:space="preserve">across three periods </w:t>
      </w:r>
      <w:r w:rsidR="00827B26">
        <w:rPr>
          <w:szCs w:val="24"/>
        </w:rPr>
        <w:t xml:space="preserve">(within the period 13 June 2019 to 22 December 2022) </w:t>
      </w:r>
      <w:r w:rsidR="00F96EE8">
        <w:rPr>
          <w:szCs w:val="24"/>
        </w:rPr>
        <w:t>of the</w:t>
      </w:r>
      <w:r w:rsidR="00CB0315">
        <w:rPr>
          <w:szCs w:val="24"/>
        </w:rPr>
        <w:t xml:space="preserve"> total professional fees of $1,750,708.30, which resulted in the following summary</w:t>
      </w:r>
      <w:r w:rsidR="00D447B2">
        <w:rPr>
          <w:szCs w:val="24"/>
        </w:rPr>
        <w:t xml:space="preserve"> at [81]</w:t>
      </w:r>
      <w:r w:rsidR="00CB0315">
        <w:rPr>
          <w:szCs w:val="24"/>
        </w:rPr>
        <w:t>:</w:t>
      </w:r>
    </w:p>
    <w:tbl>
      <w:tblPr>
        <w:tblStyle w:val="TableGrid"/>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4"/>
        <w:gridCol w:w="2351"/>
        <w:gridCol w:w="1991"/>
      </w:tblGrid>
      <w:tr w:rsidR="007E50CE" w:rsidRPr="006107F1" w14:paraId="7A2A483C" w14:textId="77777777" w:rsidTr="007E4B06">
        <w:trPr>
          <w:trHeight w:val="259"/>
        </w:trPr>
        <w:tc>
          <w:tcPr>
            <w:tcW w:w="4678" w:type="dxa"/>
          </w:tcPr>
          <w:p w14:paraId="5F3C910A" w14:textId="77777777" w:rsidR="007E50CE" w:rsidRPr="006107F1" w:rsidRDefault="007E50CE" w:rsidP="004F2506">
            <w:pPr>
              <w:pStyle w:val="Small-TableswithinQuotes"/>
            </w:pPr>
            <w:r w:rsidRPr="006107F1">
              <w:t>Professional Fees per period</w:t>
            </w:r>
          </w:p>
        </w:tc>
        <w:tc>
          <w:tcPr>
            <w:tcW w:w="2352" w:type="dxa"/>
          </w:tcPr>
          <w:p w14:paraId="319523B2" w14:textId="77777777" w:rsidR="007E50CE" w:rsidRPr="006107F1" w:rsidRDefault="007E50CE" w:rsidP="004F2506">
            <w:pPr>
              <w:pStyle w:val="Small-TableswithinQuotes"/>
            </w:pPr>
            <w:r w:rsidRPr="006107F1">
              <w:t>Total costs (incl GST)</w:t>
            </w:r>
          </w:p>
        </w:tc>
        <w:tc>
          <w:tcPr>
            <w:tcW w:w="1992" w:type="dxa"/>
          </w:tcPr>
          <w:p w14:paraId="41872F31" w14:textId="77777777" w:rsidR="007E50CE" w:rsidRPr="006107F1" w:rsidRDefault="007E50CE" w:rsidP="004F2506">
            <w:pPr>
              <w:pStyle w:val="Small-TableswithinQuotes"/>
            </w:pPr>
            <w:r w:rsidRPr="006107F1">
              <w:t>Percentage of total</w:t>
            </w:r>
          </w:p>
        </w:tc>
      </w:tr>
      <w:tr w:rsidR="007E50CE" w:rsidRPr="006107F1" w14:paraId="3FA98A15" w14:textId="77777777" w:rsidTr="007E4B06">
        <w:trPr>
          <w:trHeight w:val="259"/>
        </w:trPr>
        <w:tc>
          <w:tcPr>
            <w:tcW w:w="4678" w:type="dxa"/>
          </w:tcPr>
          <w:p w14:paraId="4322130B" w14:textId="77777777" w:rsidR="007E50CE" w:rsidRPr="006107F1" w:rsidRDefault="007E50CE" w:rsidP="004F2506">
            <w:pPr>
              <w:pStyle w:val="Small-TableswithinQuotes"/>
            </w:pPr>
            <w:r w:rsidRPr="006107F1">
              <w:t>Pre-retainer work up to 17 December 2021</w:t>
            </w:r>
          </w:p>
        </w:tc>
        <w:tc>
          <w:tcPr>
            <w:tcW w:w="2352" w:type="dxa"/>
          </w:tcPr>
          <w:p w14:paraId="0D41608B" w14:textId="77777777" w:rsidR="007E50CE" w:rsidRPr="006107F1" w:rsidRDefault="007E50CE" w:rsidP="004F2506">
            <w:pPr>
              <w:pStyle w:val="Small-TableswithinQuotes"/>
            </w:pPr>
            <w:r w:rsidRPr="006107F1">
              <w:t>$680,757.00</w:t>
            </w:r>
          </w:p>
        </w:tc>
        <w:tc>
          <w:tcPr>
            <w:tcW w:w="1992" w:type="dxa"/>
          </w:tcPr>
          <w:p w14:paraId="20217C48" w14:textId="77777777" w:rsidR="007E50CE" w:rsidRPr="006107F1" w:rsidRDefault="007E50CE" w:rsidP="004F2506">
            <w:pPr>
              <w:pStyle w:val="Small-TableswithinQuotes"/>
            </w:pPr>
            <w:r w:rsidRPr="006107F1">
              <w:t>38.88%</w:t>
            </w:r>
          </w:p>
        </w:tc>
      </w:tr>
      <w:tr w:rsidR="007E50CE" w:rsidRPr="006107F1" w14:paraId="2D22E652" w14:textId="77777777" w:rsidTr="007E4B06">
        <w:trPr>
          <w:trHeight w:val="518"/>
        </w:trPr>
        <w:tc>
          <w:tcPr>
            <w:tcW w:w="4678" w:type="dxa"/>
          </w:tcPr>
          <w:p w14:paraId="66231CBF" w14:textId="77777777" w:rsidR="007E50CE" w:rsidRPr="006107F1" w:rsidRDefault="007E50CE" w:rsidP="004F2506">
            <w:pPr>
              <w:pStyle w:val="Small-TableswithinQuotes"/>
            </w:pPr>
            <w:r w:rsidRPr="006107F1">
              <w:t>Work from 18 December 2021 to 12 November 2023</w:t>
            </w:r>
          </w:p>
        </w:tc>
        <w:tc>
          <w:tcPr>
            <w:tcW w:w="2352" w:type="dxa"/>
          </w:tcPr>
          <w:p w14:paraId="6C12B269" w14:textId="77777777" w:rsidR="007E50CE" w:rsidRPr="006107F1" w:rsidRDefault="007E50CE" w:rsidP="004F2506">
            <w:pPr>
              <w:pStyle w:val="Small-TableswithinQuotes"/>
            </w:pPr>
            <w:r w:rsidRPr="006107F1">
              <w:t>$1,011,882.30</w:t>
            </w:r>
          </w:p>
        </w:tc>
        <w:tc>
          <w:tcPr>
            <w:tcW w:w="1992" w:type="dxa"/>
          </w:tcPr>
          <w:p w14:paraId="24535CFC" w14:textId="77777777" w:rsidR="007E50CE" w:rsidRPr="006107F1" w:rsidRDefault="007E50CE" w:rsidP="004F2506">
            <w:pPr>
              <w:pStyle w:val="Small-TableswithinQuotes"/>
            </w:pPr>
            <w:r w:rsidRPr="006107F1">
              <w:t>57.80%</w:t>
            </w:r>
          </w:p>
        </w:tc>
      </w:tr>
      <w:tr w:rsidR="007E50CE" w:rsidRPr="006107F1" w14:paraId="1A8C14D6" w14:textId="77777777" w:rsidTr="007E4B06">
        <w:trPr>
          <w:trHeight w:val="518"/>
        </w:trPr>
        <w:tc>
          <w:tcPr>
            <w:tcW w:w="4678" w:type="dxa"/>
          </w:tcPr>
          <w:p w14:paraId="2EEAA92A" w14:textId="77777777" w:rsidR="007E50CE" w:rsidRPr="006107F1" w:rsidRDefault="007E50CE" w:rsidP="004F2506">
            <w:pPr>
              <w:pStyle w:val="Small-TableswithinQuotes"/>
            </w:pPr>
            <w:r w:rsidRPr="006107F1">
              <w:t>Work from 12 November 2023 to 31 December 2023</w:t>
            </w:r>
          </w:p>
        </w:tc>
        <w:tc>
          <w:tcPr>
            <w:tcW w:w="2352" w:type="dxa"/>
          </w:tcPr>
          <w:p w14:paraId="7B686DC5" w14:textId="77777777" w:rsidR="007E50CE" w:rsidRPr="006107F1" w:rsidRDefault="007E50CE" w:rsidP="004F2506">
            <w:pPr>
              <w:pStyle w:val="Small-TableswithinQuotes"/>
            </w:pPr>
            <w:r w:rsidRPr="006107F1">
              <w:t>$58,069.00</w:t>
            </w:r>
          </w:p>
        </w:tc>
        <w:tc>
          <w:tcPr>
            <w:tcW w:w="1992" w:type="dxa"/>
          </w:tcPr>
          <w:p w14:paraId="704823A3" w14:textId="77777777" w:rsidR="007E50CE" w:rsidRPr="006107F1" w:rsidRDefault="007E50CE" w:rsidP="004F2506">
            <w:pPr>
              <w:pStyle w:val="Small-TableswithinQuotes"/>
            </w:pPr>
            <w:r w:rsidRPr="006107F1">
              <w:t>3.32%</w:t>
            </w:r>
          </w:p>
        </w:tc>
      </w:tr>
      <w:tr w:rsidR="007E50CE" w:rsidRPr="006107F1" w14:paraId="1AE26A82" w14:textId="77777777" w:rsidTr="007E4B06">
        <w:trPr>
          <w:trHeight w:val="378"/>
        </w:trPr>
        <w:tc>
          <w:tcPr>
            <w:tcW w:w="4678" w:type="dxa"/>
          </w:tcPr>
          <w:p w14:paraId="0B080985" w14:textId="77777777" w:rsidR="007E50CE" w:rsidRPr="006107F1" w:rsidRDefault="007E50CE" w:rsidP="004F2506">
            <w:pPr>
              <w:pStyle w:val="Small-TableswithinQuotes"/>
            </w:pPr>
          </w:p>
        </w:tc>
        <w:tc>
          <w:tcPr>
            <w:tcW w:w="2352" w:type="dxa"/>
          </w:tcPr>
          <w:p w14:paraId="4E61FA7F" w14:textId="77777777" w:rsidR="007E50CE" w:rsidRPr="006107F1" w:rsidRDefault="007E50CE" w:rsidP="004F2506">
            <w:pPr>
              <w:pStyle w:val="Small-TableswithinQuotes"/>
            </w:pPr>
            <w:r w:rsidRPr="006107F1">
              <w:t>$1,750,708.30</w:t>
            </w:r>
          </w:p>
        </w:tc>
        <w:tc>
          <w:tcPr>
            <w:tcW w:w="1992" w:type="dxa"/>
          </w:tcPr>
          <w:p w14:paraId="1FD3C968" w14:textId="77777777" w:rsidR="007E50CE" w:rsidRPr="006107F1" w:rsidRDefault="007E50CE" w:rsidP="004F2506">
            <w:pPr>
              <w:pStyle w:val="Small-TableswithinQuotes"/>
            </w:pPr>
            <w:r w:rsidRPr="006107F1">
              <w:t>100.00%</w:t>
            </w:r>
          </w:p>
        </w:tc>
      </w:tr>
    </w:tbl>
    <w:p w14:paraId="4EE2CA5A" w14:textId="4AF24594" w:rsidR="00CB0315" w:rsidRDefault="00B6500C" w:rsidP="00B6500C">
      <w:pPr>
        <w:pStyle w:val="ParaNumbering"/>
        <w:numPr>
          <w:ilvl w:val="0"/>
          <w:numId w:val="0"/>
        </w:numPr>
        <w:ind w:hanging="720"/>
        <w:rPr>
          <w:szCs w:val="24"/>
        </w:rPr>
      </w:pPr>
      <w:r>
        <w:rPr>
          <w:iCs/>
          <w:sz w:val="20"/>
          <w:szCs w:val="24"/>
        </w:rPr>
        <w:t>65</w:t>
      </w:r>
      <w:r>
        <w:rPr>
          <w:iCs/>
          <w:sz w:val="20"/>
          <w:szCs w:val="24"/>
        </w:rPr>
        <w:tab/>
      </w:r>
      <w:r w:rsidR="008F1092">
        <w:rPr>
          <w:szCs w:val="24"/>
        </w:rPr>
        <w:t xml:space="preserve">Ms Rosati </w:t>
      </w:r>
      <w:r w:rsidR="0073734C">
        <w:rPr>
          <w:szCs w:val="24"/>
        </w:rPr>
        <w:t>set out</w:t>
      </w:r>
      <w:r w:rsidR="008F1092">
        <w:rPr>
          <w:szCs w:val="24"/>
        </w:rPr>
        <w:t xml:space="preserve"> the kind of work performed in the three periods and </w:t>
      </w:r>
      <w:r w:rsidR="006508F3">
        <w:rPr>
          <w:szCs w:val="24"/>
        </w:rPr>
        <w:t xml:space="preserve">recorded certain </w:t>
      </w:r>
      <w:r w:rsidR="008F1092">
        <w:rPr>
          <w:szCs w:val="24"/>
        </w:rPr>
        <w:t>aspects of the work which should not be recoverable</w:t>
      </w:r>
      <w:r w:rsidR="00A62567">
        <w:rPr>
          <w:szCs w:val="24"/>
        </w:rPr>
        <w:t xml:space="preserve">: Rosati 1 at </w:t>
      </w:r>
      <w:r w:rsidR="00F34AE0">
        <w:rPr>
          <w:szCs w:val="24"/>
        </w:rPr>
        <w:t>[82] to [101]</w:t>
      </w:r>
      <w:r w:rsidR="00DE674A">
        <w:rPr>
          <w:szCs w:val="24"/>
        </w:rPr>
        <w:t>.</w:t>
      </w:r>
      <w:r w:rsidR="00A62567">
        <w:rPr>
          <w:szCs w:val="24"/>
        </w:rPr>
        <w:t xml:space="preserve">  In respect of the second period (18 December 2021 to 12 November 2023), Ms Rosati analysed the work done by reference to </w:t>
      </w:r>
      <w:r w:rsidR="00EB7B12">
        <w:rPr>
          <w:szCs w:val="24"/>
        </w:rPr>
        <w:t>six-month</w:t>
      </w:r>
      <w:r w:rsidR="00A62567">
        <w:rPr>
          <w:szCs w:val="24"/>
        </w:rPr>
        <w:t xml:space="preserve"> </w:t>
      </w:r>
      <w:r w:rsidR="002E0841">
        <w:rPr>
          <w:szCs w:val="24"/>
        </w:rPr>
        <w:t>intervals</w:t>
      </w:r>
      <w:r w:rsidR="00A62567">
        <w:rPr>
          <w:szCs w:val="24"/>
        </w:rPr>
        <w:t xml:space="preserve">: Rosati 1 at [89] to </w:t>
      </w:r>
      <w:r w:rsidR="00F34AE0">
        <w:rPr>
          <w:szCs w:val="24"/>
        </w:rPr>
        <w:t>[99].</w:t>
      </w:r>
    </w:p>
    <w:p w14:paraId="140207F0" w14:textId="5F1F32F2" w:rsidR="00B87CA8" w:rsidRPr="00471D41" w:rsidRDefault="00B6500C" w:rsidP="00B6500C">
      <w:pPr>
        <w:pStyle w:val="ParaNumbering"/>
        <w:numPr>
          <w:ilvl w:val="0"/>
          <w:numId w:val="0"/>
        </w:numPr>
        <w:ind w:hanging="720"/>
      </w:pPr>
      <w:r w:rsidRPr="00471D41">
        <w:rPr>
          <w:iCs/>
          <w:sz w:val="20"/>
        </w:rPr>
        <w:t>66</w:t>
      </w:r>
      <w:r w:rsidRPr="00471D41">
        <w:rPr>
          <w:iCs/>
          <w:sz w:val="20"/>
        </w:rPr>
        <w:tab/>
      </w:r>
      <w:r w:rsidR="00677D66" w:rsidRPr="00D3625E">
        <w:rPr>
          <w:szCs w:val="24"/>
        </w:rPr>
        <w:t xml:space="preserve">The </w:t>
      </w:r>
      <w:r w:rsidR="00B87CA8" w:rsidRPr="00D3625E">
        <w:rPr>
          <w:szCs w:val="24"/>
        </w:rPr>
        <w:t>“pre-retainer costs” – being the work performed from 13 June 2019 to 17 December 2021 – was described in the following way at [83]:</w:t>
      </w:r>
    </w:p>
    <w:p w14:paraId="70AD6EB1" w14:textId="03CABE44" w:rsidR="0005235B" w:rsidRPr="00471D41" w:rsidRDefault="00D3625E" w:rsidP="0027066C">
      <w:pPr>
        <w:pStyle w:val="Quote1"/>
        <w:widowControl/>
        <w:ind w:left="1440" w:hanging="703"/>
      </w:pPr>
      <w:r>
        <w:t>[83]</w:t>
      </w:r>
      <w:r>
        <w:tab/>
      </w:r>
      <w:r w:rsidR="0005235B" w:rsidRPr="00471D41">
        <w:t>A summary of the work undertaken by Shine in pre-litigation investigation is set out in</w:t>
      </w:r>
      <w:r w:rsidR="0005235B" w:rsidRPr="00D3625E">
        <w:t xml:space="preserve"> </w:t>
      </w:r>
      <w:r w:rsidR="0005235B" w:rsidRPr="00471D41">
        <w:t>paragraph 4 of my letter of instructions. From my consideration of the itemised account,</w:t>
      </w:r>
      <w:r w:rsidR="0005235B" w:rsidRPr="00D3625E">
        <w:t xml:space="preserve"> </w:t>
      </w:r>
      <w:r w:rsidR="0005235B" w:rsidRPr="00471D41">
        <w:t>the work performed by the fee earners at Shine in the period up to 17 December 2021</w:t>
      </w:r>
      <w:r w:rsidR="0005235B" w:rsidRPr="00D3625E">
        <w:t xml:space="preserve"> </w:t>
      </w:r>
      <w:r w:rsidR="0005235B" w:rsidRPr="00471D41">
        <w:t>includes:</w:t>
      </w:r>
    </w:p>
    <w:p w14:paraId="487C7071" w14:textId="3623984B" w:rsidR="0005235B" w:rsidRPr="00471D41" w:rsidRDefault="0005235B" w:rsidP="009503DB">
      <w:pPr>
        <w:pStyle w:val="Quote2"/>
        <w:ind w:left="2160" w:hanging="720"/>
      </w:pPr>
      <w:r w:rsidRPr="00471D41">
        <w:t>(a)</w:t>
      </w:r>
      <w:r w:rsidR="00AE6135" w:rsidRPr="00D3625E">
        <w:tab/>
      </w:r>
      <w:r w:rsidRPr="00471D41">
        <w:t>Research regarding possible causes of action and of other similar matters;</w:t>
      </w:r>
    </w:p>
    <w:p w14:paraId="3679B281" w14:textId="00D4EBE3" w:rsidR="0005235B" w:rsidRPr="00471D41" w:rsidRDefault="0005235B" w:rsidP="009503DB">
      <w:pPr>
        <w:pStyle w:val="Quote2"/>
        <w:ind w:left="2160" w:hanging="720"/>
      </w:pPr>
      <w:r w:rsidRPr="00471D41">
        <w:t>(b)</w:t>
      </w:r>
      <w:r w:rsidR="00AE6135" w:rsidRPr="00D3625E">
        <w:tab/>
      </w:r>
      <w:r w:rsidRPr="00471D41">
        <w:t>Numerous telephone calls and emails with potential group members and</w:t>
      </w:r>
      <w:r w:rsidR="00AE6135" w:rsidRPr="00D3625E">
        <w:t xml:space="preserve"> </w:t>
      </w:r>
      <w:r w:rsidRPr="00471D41">
        <w:t>obtaining</w:t>
      </w:r>
      <w:r w:rsidR="00AE6135" w:rsidRPr="00D3625E">
        <w:t xml:space="preserve"> </w:t>
      </w:r>
      <w:r w:rsidRPr="00471D41">
        <w:t>information and consideration of the information obtained;</w:t>
      </w:r>
    </w:p>
    <w:p w14:paraId="15E3BC0A" w14:textId="364E201F" w:rsidR="00024803" w:rsidRPr="00D3625E" w:rsidRDefault="0005235B" w:rsidP="009503DB">
      <w:pPr>
        <w:pStyle w:val="Quote2"/>
      </w:pPr>
      <w:r w:rsidRPr="00471D41">
        <w:t>(c)</w:t>
      </w:r>
      <w:r w:rsidR="00AE6135" w:rsidRPr="00D3625E">
        <w:tab/>
      </w:r>
      <w:r w:rsidRPr="00471D41">
        <w:t>Preparing, amending and maintaining database of group members;</w:t>
      </w:r>
    </w:p>
    <w:p w14:paraId="366FE6ED" w14:textId="4957CD6A" w:rsidR="0005235B" w:rsidRPr="00D3625E" w:rsidRDefault="0005235B" w:rsidP="009503DB">
      <w:pPr>
        <w:pStyle w:val="Quote2"/>
        <w:ind w:left="2160" w:hanging="720"/>
      </w:pPr>
      <w:r w:rsidRPr="00D3625E">
        <w:t>(d)</w:t>
      </w:r>
      <w:r w:rsidR="00AE6135" w:rsidRPr="00D3625E">
        <w:tab/>
      </w:r>
      <w:r w:rsidRPr="00D3625E">
        <w:t>Consideration of various Product Disclosure Statements (PDS) and preparing</w:t>
      </w:r>
      <w:r w:rsidR="00AE6135" w:rsidRPr="00D3625E">
        <w:t xml:space="preserve"> </w:t>
      </w:r>
      <w:r w:rsidRPr="00D3625E">
        <w:t>summaries of the same;</w:t>
      </w:r>
    </w:p>
    <w:p w14:paraId="7DFAEC88" w14:textId="46BEAF86" w:rsidR="0005235B" w:rsidRPr="00D3625E" w:rsidRDefault="0005235B" w:rsidP="009503DB">
      <w:pPr>
        <w:pStyle w:val="Quote2"/>
        <w:ind w:left="2160" w:hanging="720"/>
      </w:pPr>
      <w:r w:rsidRPr="00D3625E">
        <w:t>(e)</w:t>
      </w:r>
      <w:r w:rsidR="00AE6135" w:rsidRPr="00D3625E">
        <w:tab/>
      </w:r>
      <w:r w:rsidRPr="00D3625E">
        <w:t>Preparation and ongoing amendment and updating of a list of documents obtained;</w:t>
      </w:r>
    </w:p>
    <w:p w14:paraId="1E5126D4" w14:textId="61A6C30B" w:rsidR="0005235B" w:rsidRPr="00D3625E" w:rsidRDefault="0005235B" w:rsidP="009503DB">
      <w:pPr>
        <w:pStyle w:val="Quote2"/>
      </w:pPr>
      <w:r w:rsidRPr="00D3625E">
        <w:t>(f)</w:t>
      </w:r>
      <w:r w:rsidR="00AE6135" w:rsidRPr="00D3625E">
        <w:tab/>
      </w:r>
      <w:r w:rsidRPr="00D3625E">
        <w:t>Attendances on the media;</w:t>
      </w:r>
    </w:p>
    <w:p w14:paraId="2A4B4B97" w14:textId="66F83DD5" w:rsidR="0005235B" w:rsidRPr="00D3625E" w:rsidRDefault="0005235B" w:rsidP="009503DB">
      <w:pPr>
        <w:pStyle w:val="Quote2"/>
        <w:ind w:left="2160" w:hanging="720"/>
      </w:pPr>
      <w:r w:rsidRPr="00D3625E">
        <w:t>(g)</w:t>
      </w:r>
      <w:r w:rsidR="00AE6135" w:rsidRPr="00D3625E">
        <w:tab/>
      </w:r>
      <w:r w:rsidRPr="00D3625E">
        <w:t>Internal work in relation to drafting and updating an investigation memorandum;</w:t>
      </w:r>
    </w:p>
    <w:p w14:paraId="259F98A7" w14:textId="0C24F04A" w:rsidR="0005235B" w:rsidRPr="00D3625E" w:rsidRDefault="0005235B" w:rsidP="009503DB">
      <w:pPr>
        <w:pStyle w:val="Quote2"/>
      </w:pPr>
      <w:r w:rsidRPr="00D3625E">
        <w:t>(h)</w:t>
      </w:r>
      <w:r w:rsidR="00AE6135" w:rsidRPr="00D3625E">
        <w:tab/>
      </w:r>
      <w:r w:rsidRPr="00D3625E">
        <w:t>Preparation and amendment of group member statements;</w:t>
      </w:r>
    </w:p>
    <w:p w14:paraId="5AD759D9" w14:textId="1EB1F732" w:rsidR="0005235B" w:rsidRPr="00D3625E" w:rsidRDefault="0005235B" w:rsidP="009503DB">
      <w:pPr>
        <w:pStyle w:val="Quote2"/>
        <w:ind w:left="2160" w:hanging="720"/>
      </w:pPr>
      <w:r w:rsidRPr="00D3625E">
        <w:t>(</w:t>
      </w:r>
      <w:proofErr w:type="spellStart"/>
      <w:r w:rsidRPr="00D3625E">
        <w:t>i</w:t>
      </w:r>
      <w:proofErr w:type="spellEnd"/>
      <w:r w:rsidRPr="00D3625E">
        <w:t>)</w:t>
      </w:r>
      <w:r w:rsidR="00AE6135" w:rsidRPr="00D3625E">
        <w:tab/>
      </w:r>
      <w:r w:rsidRPr="00D3625E">
        <w:t>Preparation of brief to and liaising with Paul Green of Vincents, consideration of</w:t>
      </w:r>
      <w:r w:rsidR="00AE6135" w:rsidRPr="00D3625E">
        <w:t xml:space="preserve"> </w:t>
      </w:r>
      <w:r w:rsidRPr="00D3625E">
        <w:t>preliminary advice from Vincents;</w:t>
      </w:r>
    </w:p>
    <w:p w14:paraId="6F9E854A" w14:textId="51ECE25A" w:rsidR="0005235B" w:rsidRPr="00D3625E" w:rsidRDefault="0005235B" w:rsidP="009503DB">
      <w:pPr>
        <w:pStyle w:val="Quote2"/>
        <w:ind w:left="2160" w:hanging="720"/>
      </w:pPr>
      <w:r w:rsidRPr="00D3625E">
        <w:t>(j)</w:t>
      </w:r>
      <w:r w:rsidR="00AE6135" w:rsidRPr="00D3625E">
        <w:tab/>
      </w:r>
      <w:r w:rsidRPr="00D3625E">
        <w:t>Preparing a brief to counsel in October 2019 for preliminary advice and conferring</w:t>
      </w:r>
      <w:r w:rsidR="00AE6135" w:rsidRPr="00D3625E">
        <w:t xml:space="preserve"> </w:t>
      </w:r>
      <w:r w:rsidRPr="00D3625E">
        <w:t>with counsel;</w:t>
      </w:r>
    </w:p>
    <w:p w14:paraId="2F6C550E" w14:textId="67ACEDC0" w:rsidR="0005235B" w:rsidRPr="00D3625E" w:rsidRDefault="0005235B" w:rsidP="009503DB">
      <w:pPr>
        <w:pStyle w:val="Quote2"/>
        <w:ind w:left="2160" w:hanging="720"/>
      </w:pPr>
      <w:r w:rsidRPr="00D3625E">
        <w:lastRenderedPageBreak/>
        <w:t>(k)</w:t>
      </w:r>
      <w:r w:rsidR="00AE6135" w:rsidRPr="00D3625E">
        <w:tab/>
      </w:r>
      <w:r w:rsidRPr="00D3625E">
        <w:t>Seeking additional information and advice from Vincents as to quantum and loss;</w:t>
      </w:r>
    </w:p>
    <w:p w14:paraId="475A53CA" w14:textId="5FDBE3C8" w:rsidR="0005235B" w:rsidRPr="00D3625E" w:rsidRDefault="0005235B" w:rsidP="009503DB">
      <w:pPr>
        <w:pStyle w:val="Quote2"/>
        <w:ind w:left="2160" w:hanging="720"/>
      </w:pPr>
      <w:r w:rsidRPr="00D3625E">
        <w:t>(l)</w:t>
      </w:r>
      <w:r w:rsidR="00AE6135" w:rsidRPr="00D3625E">
        <w:tab/>
      </w:r>
      <w:r w:rsidRPr="00D3625E">
        <w:t>A number of attendances on Trudy Stott, one of the KR Applicants, are recorded in</w:t>
      </w:r>
      <w:r w:rsidR="00AE6135" w:rsidRPr="00D3625E">
        <w:t xml:space="preserve"> </w:t>
      </w:r>
      <w:r w:rsidRPr="00D3625E">
        <w:t>late 2019 and early 2020;</w:t>
      </w:r>
    </w:p>
    <w:p w14:paraId="6F4D4A6A" w14:textId="159B919B" w:rsidR="0005235B" w:rsidRPr="00D3625E" w:rsidRDefault="0005235B" w:rsidP="009503DB">
      <w:pPr>
        <w:pStyle w:val="Quote2"/>
      </w:pPr>
      <w:r w:rsidRPr="00D3625E">
        <w:t>(m)</w:t>
      </w:r>
      <w:r w:rsidR="00AE6135" w:rsidRPr="00D3625E">
        <w:tab/>
      </w:r>
      <w:r w:rsidRPr="00D3625E">
        <w:t>Preparing updates to group members;</w:t>
      </w:r>
    </w:p>
    <w:p w14:paraId="032CC324" w14:textId="18836419" w:rsidR="0005235B" w:rsidRPr="00D3625E" w:rsidRDefault="0005235B" w:rsidP="009503DB">
      <w:pPr>
        <w:pStyle w:val="Quote2"/>
      </w:pPr>
      <w:r w:rsidRPr="00D3625E">
        <w:t>(n)</w:t>
      </w:r>
      <w:r w:rsidR="00AE6135" w:rsidRPr="00D3625E">
        <w:tab/>
      </w:r>
      <w:r w:rsidRPr="00D3625E">
        <w:t>Consideration of pleadings and issues in related ASIC proceedings;</w:t>
      </w:r>
    </w:p>
    <w:p w14:paraId="273E6DD0" w14:textId="7732AF55" w:rsidR="0005235B" w:rsidRPr="00D3625E" w:rsidRDefault="0005235B" w:rsidP="009503DB">
      <w:pPr>
        <w:pStyle w:val="Quote2"/>
        <w:ind w:left="2160" w:hanging="720"/>
      </w:pPr>
      <w:r w:rsidRPr="00D3625E">
        <w:t>(o)</w:t>
      </w:r>
      <w:r w:rsidR="00AC23FF" w:rsidRPr="00D3625E">
        <w:tab/>
      </w:r>
      <w:r w:rsidRPr="00D3625E">
        <w:t>Undertaking research of the Respondents information and preparing and updating</w:t>
      </w:r>
      <w:r w:rsidR="00AC23FF" w:rsidRPr="00D3625E">
        <w:t xml:space="preserve"> </w:t>
      </w:r>
      <w:r w:rsidRPr="00D3625E">
        <w:t>case theories and statements of advice;</w:t>
      </w:r>
    </w:p>
    <w:p w14:paraId="210799AF" w14:textId="6D56C846" w:rsidR="0005235B" w:rsidRPr="00D3625E" w:rsidRDefault="0005235B" w:rsidP="009503DB">
      <w:pPr>
        <w:pStyle w:val="Quote2"/>
      </w:pPr>
      <w:r w:rsidRPr="00D3625E">
        <w:t>(p)</w:t>
      </w:r>
      <w:r w:rsidR="00AC23FF" w:rsidRPr="00D3625E">
        <w:tab/>
      </w:r>
      <w:r w:rsidRPr="00D3625E">
        <w:t>Work related to selection of the lead Applicant;</w:t>
      </w:r>
    </w:p>
    <w:p w14:paraId="02310ED7" w14:textId="7057C222" w:rsidR="0005235B" w:rsidRPr="00D3625E" w:rsidRDefault="0005235B" w:rsidP="009503DB">
      <w:pPr>
        <w:pStyle w:val="Quote2"/>
        <w:ind w:left="2160" w:hanging="720"/>
      </w:pPr>
      <w:r w:rsidRPr="00D3625E">
        <w:t>(q)</w:t>
      </w:r>
      <w:r w:rsidR="00AC23FF" w:rsidRPr="00D3625E">
        <w:tab/>
      </w:r>
      <w:r w:rsidRPr="00D3625E">
        <w:t xml:space="preserve">A proposal was drafted by Ms </w:t>
      </w:r>
      <w:proofErr w:type="spellStart"/>
      <w:r w:rsidRPr="00D3625E">
        <w:t>Hamrey</w:t>
      </w:r>
      <w:proofErr w:type="spellEnd"/>
      <w:r w:rsidRPr="00D3625E">
        <w:t>, associate, in September 2021 for</w:t>
      </w:r>
      <w:r w:rsidR="00AC23FF" w:rsidRPr="00D3625E">
        <w:t xml:space="preserve"> </w:t>
      </w:r>
      <w:r w:rsidRPr="00D3625E">
        <w:t>submission to the Shine board for approval to self-fund and a brief for litigation</w:t>
      </w:r>
      <w:r w:rsidR="00AC23FF" w:rsidRPr="00D3625E">
        <w:t xml:space="preserve"> </w:t>
      </w:r>
      <w:r w:rsidRPr="00D3625E">
        <w:t>lending was also prepared;</w:t>
      </w:r>
    </w:p>
    <w:p w14:paraId="2F13119E" w14:textId="18E5E00C" w:rsidR="0005235B" w:rsidRPr="00D3625E" w:rsidRDefault="0005235B" w:rsidP="009503DB">
      <w:pPr>
        <w:pStyle w:val="Quote2"/>
        <w:ind w:left="2160" w:hanging="720"/>
      </w:pPr>
      <w:r w:rsidRPr="00D3625E">
        <w:t>(r)</w:t>
      </w:r>
      <w:r w:rsidR="00AC23FF" w:rsidRPr="00D3625E">
        <w:tab/>
      </w:r>
      <w:r w:rsidRPr="00D3625E">
        <w:t>There were entries recorded in October 2021 that referred to budgets and funding;</w:t>
      </w:r>
    </w:p>
    <w:p w14:paraId="0997A722" w14:textId="0D8E7F21" w:rsidR="0005235B" w:rsidRPr="00D3625E" w:rsidRDefault="0005235B" w:rsidP="009503DB">
      <w:pPr>
        <w:pStyle w:val="Quote2"/>
      </w:pPr>
      <w:r w:rsidRPr="00D3625E">
        <w:t>(s)</w:t>
      </w:r>
      <w:r w:rsidR="00AC23FF" w:rsidRPr="00D3625E">
        <w:tab/>
      </w:r>
      <w:r w:rsidRPr="00D3625E">
        <w:t>A brief to counsel was also prepared in October 2021;</w:t>
      </w:r>
    </w:p>
    <w:p w14:paraId="4963F42C" w14:textId="75362F59" w:rsidR="0005235B" w:rsidRPr="00D3625E" w:rsidRDefault="0005235B" w:rsidP="009503DB">
      <w:pPr>
        <w:pStyle w:val="Quote2"/>
        <w:ind w:left="2160" w:hanging="720"/>
      </w:pPr>
      <w:r w:rsidRPr="00D3625E">
        <w:t>(t)</w:t>
      </w:r>
      <w:r w:rsidR="00AC23FF" w:rsidRPr="00D3625E">
        <w:tab/>
      </w:r>
      <w:r w:rsidRPr="00D3625E">
        <w:t>Correspondence was recorded with Piper Alderman, Herbert Smith Freehills and</w:t>
      </w:r>
      <w:r w:rsidR="00AC23FF" w:rsidRPr="00D3625E">
        <w:t xml:space="preserve"> </w:t>
      </w:r>
      <w:r w:rsidRPr="00D3625E">
        <w:t>the Court from November 2021 in relation to the competing class actions, consent</w:t>
      </w:r>
      <w:r w:rsidR="00AC23FF" w:rsidRPr="00D3625E">
        <w:t xml:space="preserve"> </w:t>
      </w:r>
      <w:r w:rsidRPr="00D3625E">
        <w:t xml:space="preserve">orders were prepared in early December 2021 and Ms </w:t>
      </w:r>
      <w:proofErr w:type="spellStart"/>
      <w:r w:rsidRPr="00D3625E">
        <w:t>Hamrey</w:t>
      </w:r>
      <w:proofErr w:type="spellEnd"/>
      <w:r w:rsidRPr="00D3625E">
        <w:t xml:space="preserve"> attended a case</w:t>
      </w:r>
      <w:r w:rsidR="00AC23FF" w:rsidRPr="00D3625E">
        <w:t xml:space="preserve"> </w:t>
      </w:r>
      <w:r w:rsidRPr="00D3625E">
        <w:t>management hearing on 15 December 2021;</w:t>
      </w:r>
    </w:p>
    <w:p w14:paraId="1A9B2736" w14:textId="52281C6E" w:rsidR="0005235B" w:rsidRPr="00D3625E" w:rsidRDefault="0005235B" w:rsidP="009503DB">
      <w:pPr>
        <w:pStyle w:val="Quote2"/>
      </w:pPr>
      <w:r w:rsidRPr="00D3625E">
        <w:t>(u)</w:t>
      </w:r>
      <w:r w:rsidR="00AC23FF" w:rsidRPr="00D3625E">
        <w:tab/>
      </w:r>
      <w:r w:rsidRPr="00D3625E">
        <w:t>The Statement of Claim was drafted, amended and settled in late 2021;</w:t>
      </w:r>
    </w:p>
    <w:p w14:paraId="0FF26D2E" w14:textId="09CF381C" w:rsidR="0005235B" w:rsidRPr="00D3625E" w:rsidRDefault="0005235B" w:rsidP="009503DB">
      <w:pPr>
        <w:pStyle w:val="Quote2"/>
        <w:ind w:left="2160" w:hanging="720"/>
      </w:pPr>
      <w:r w:rsidRPr="00D3625E">
        <w:t>(v)</w:t>
      </w:r>
      <w:r w:rsidR="00AC23FF" w:rsidRPr="00D3625E">
        <w:tab/>
      </w:r>
      <w:r w:rsidRPr="00D3625E">
        <w:t>Document review of group members material was undertaken, witness lists and</w:t>
      </w:r>
      <w:r w:rsidR="00AC23FF" w:rsidRPr="00D3625E">
        <w:t xml:space="preserve"> </w:t>
      </w:r>
      <w:r w:rsidRPr="00D3625E">
        <w:t>chronologies prepared; and</w:t>
      </w:r>
    </w:p>
    <w:p w14:paraId="4563FD00" w14:textId="2212161E" w:rsidR="0005235B" w:rsidRPr="00471D41" w:rsidRDefault="0005235B" w:rsidP="009503DB">
      <w:pPr>
        <w:pStyle w:val="Quote2"/>
        <w:ind w:left="2160" w:hanging="720"/>
      </w:pPr>
      <w:r w:rsidRPr="00D3625E">
        <w:t>(w)</w:t>
      </w:r>
      <w:r w:rsidR="00AC23FF" w:rsidRPr="00D3625E">
        <w:tab/>
      </w:r>
      <w:r w:rsidRPr="00D3625E">
        <w:t>A large number of internal conferences, discussions, and emails are recorded</w:t>
      </w:r>
      <w:r w:rsidR="00AC23FF" w:rsidRPr="00D3625E">
        <w:t xml:space="preserve"> </w:t>
      </w:r>
      <w:r w:rsidRPr="00D3625E">
        <w:t>during this period</w:t>
      </w:r>
    </w:p>
    <w:p w14:paraId="271BAE2E" w14:textId="0B51E086" w:rsidR="009B74A2" w:rsidRDefault="00B6500C" w:rsidP="00B6500C">
      <w:pPr>
        <w:pStyle w:val="ParaNumbering"/>
        <w:numPr>
          <w:ilvl w:val="0"/>
          <w:numId w:val="0"/>
        </w:numPr>
        <w:ind w:hanging="720"/>
      </w:pPr>
      <w:r>
        <w:rPr>
          <w:iCs/>
          <w:sz w:val="20"/>
        </w:rPr>
        <w:t>67</w:t>
      </w:r>
      <w:r>
        <w:rPr>
          <w:iCs/>
          <w:sz w:val="20"/>
        </w:rPr>
        <w:tab/>
      </w:r>
      <w:r w:rsidR="009B74A2">
        <w:t xml:space="preserve">Ms Rosati </w:t>
      </w:r>
      <w:r w:rsidR="00DF79FE">
        <w:t xml:space="preserve">concluded that </w:t>
      </w:r>
      <w:r w:rsidR="009A649D">
        <w:t>either a “proportion” or “much” of the</w:t>
      </w:r>
      <w:r w:rsidR="004668A6">
        <w:t>se</w:t>
      </w:r>
      <w:r w:rsidR="009A649D">
        <w:t xml:space="preserve"> costs</w:t>
      </w:r>
      <w:r w:rsidR="004668A6">
        <w:t xml:space="preserve"> </w:t>
      </w:r>
      <w:r w:rsidR="00BF6D3B">
        <w:t>“</w:t>
      </w:r>
      <w:r w:rsidR="004668A6">
        <w:t xml:space="preserve">would be considered </w:t>
      </w:r>
      <w:r w:rsidR="00BF6D3B">
        <w:t xml:space="preserve">to be </w:t>
      </w:r>
      <w:r w:rsidR="004668A6">
        <w:t>costs of the proceeding rather than purely pre-action investigative costs”: Rosati 1 at [85</w:t>
      </w:r>
      <w:r w:rsidR="000C6AAD">
        <w:t>].  Ms Rosati considered that some of the costs in this period were not claimable, stating</w:t>
      </w:r>
      <w:r w:rsidR="009B74A2">
        <w:t xml:space="preserve"> at </w:t>
      </w:r>
      <w:r w:rsidR="00DF79FE">
        <w:t>[8</w:t>
      </w:r>
      <w:r w:rsidR="00486B72">
        <w:t>6</w:t>
      </w:r>
      <w:r w:rsidR="00DF79FE">
        <w:t>] to [88]:</w:t>
      </w:r>
    </w:p>
    <w:p w14:paraId="2CCFBD36" w14:textId="589C3318" w:rsidR="00486B72" w:rsidRPr="00486B72" w:rsidRDefault="00486B72" w:rsidP="00486B72">
      <w:pPr>
        <w:pStyle w:val="Quote1"/>
        <w:ind w:left="1418" w:hanging="681"/>
      </w:pPr>
      <w:r w:rsidRPr="00486B72">
        <w:t>[86]</w:t>
      </w:r>
      <w:r w:rsidRPr="00486B72">
        <w:tab/>
        <w:t>There are only a few entries recorded in the itemised account for work in relation to budgets and funding of the proceeding and only very minor work that refers to the Shine Costs Agreements. There are charges recorded (just 5 line entries) for preparing the Shine Costs Agreement and explaining it to the Applicant via Mr and Mrs Carfax-Foster. These costs are not claimable from the Applicant.</w:t>
      </w:r>
    </w:p>
    <w:p w14:paraId="1C1363F9" w14:textId="0F42B0AF" w:rsidR="00486B72" w:rsidRPr="00486B72" w:rsidRDefault="00486B72" w:rsidP="00486B72">
      <w:pPr>
        <w:pStyle w:val="Quote1"/>
        <w:ind w:left="1418" w:hanging="681"/>
      </w:pPr>
      <w:r w:rsidRPr="00486B72">
        <w:t>[8</w:t>
      </w:r>
      <w:r w:rsidR="009433AC">
        <w:t>7</w:t>
      </w:r>
      <w:r w:rsidRPr="00486B72">
        <w:t>]</w:t>
      </w:r>
      <w:r w:rsidRPr="00486B72">
        <w:tab/>
        <w:t xml:space="preserve">There is significant time recorded during 2020 and 2021 for internal conferences sometimes involving up to 6 members of the Shine team, emails and phone calls. I do note that this was the time when COVID-19 lockdown and work from home orders were in place and as such it was necessary for the team to communicate in this manner as they would have been working remotely rather than in the office. I am of the view that some of these </w:t>
      </w:r>
      <w:r w:rsidRPr="00486B72">
        <w:lastRenderedPageBreak/>
        <w:t>attendances might not be considered to be reasonable, noting the number of staff members attending in some instances, on a solicitor client basis.</w:t>
      </w:r>
    </w:p>
    <w:p w14:paraId="4836AF52" w14:textId="0C80E645" w:rsidR="00486B72" w:rsidRPr="00486B72" w:rsidRDefault="00486B72" w:rsidP="00486B72">
      <w:pPr>
        <w:pStyle w:val="Quote1"/>
        <w:ind w:left="1418" w:hanging="681"/>
      </w:pPr>
      <w:r>
        <w:t>[8</w:t>
      </w:r>
      <w:r w:rsidR="009433AC">
        <w:t>8</w:t>
      </w:r>
      <w:r>
        <w:t>]</w:t>
      </w:r>
      <w:r>
        <w:tab/>
      </w:r>
      <w:r w:rsidRPr="00486B72">
        <w:t>A very large proportion of the costs during this stage involved attendances on potential group members, noting that there were more than 4,600 group members, this is not unusual. However, I note that during this period work was recorded (usually done by law clerk Jonathon Trembath) in providing email updates to various potential group members (with identical narrations in the itemised account save for the name) charged on the basis of one unit for each email when presumably this was a template email that was sent to large numbers of people. Each of these groups of entries is recorded, usually on the same date, with narrations such as “draw email to XX (enquirer) to discuss eligibility and matter update” or “draw email to XX (enquirer) for group member update. Later in the proceeding, these bulk updates were not generally recorded in the same manner. Whilst it is necessary for Shine to liaise and respond to claimant enquiries, in my experience it is not reasonable for each of these emails to be charged for separately if they were in fact template or pro-forma identical or almost identical emails. It is my opinion that some</w:t>
      </w:r>
      <w:r>
        <w:t xml:space="preserve"> </w:t>
      </w:r>
      <w:r w:rsidRPr="00486B72">
        <w:t>of these costs would not be considered to be reasonable on a solicitor client basis.</w:t>
      </w:r>
    </w:p>
    <w:p w14:paraId="361CABF9" w14:textId="1234B6B4" w:rsidR="00653895" w:rsidRPr="00471D41" w:rsidRDefault="00B6500C" w:rsidP="00B6500C">
      <w:pPr>
        <w:pStyle w:val="ParaNumbering"/>
        <w:numPr>
          <w:ilvl w:val="0"/>
          <w:numId w:val="0"/>
        </w:numPr>
        <w:ind w:hanging="720"/>
      </w:pPr>
      <w:r w:rsidRPr="00471D41">
        <w:rPr>
          <w:iCs/>
          <w:sz w:val="20"/>
        </w:rPr>
        <w:t>68</w:t>
      </w:r>
      <w:r w:rsidRPr="00471D41">
        <w:rPr>
          <w:iCs/>
          <w:sz w:val="20"/>
        </w:rPr>
        <w:tab/>
      </w:r>
      <w:r w:rsidR="00073CA4" w:rsidRPr="00863D6F">
        <w:t>As noted earlier, 58% of the costs</w:t>
      </w:r>
      <w:r w:rsidR="00653895" w:rsidRPr="00863D6F">
        <w:t xml:space="preserve"> were incurred between 18 December 2021 and 12 November 2023</w:t>
      </w:r>
      <w:r w:rsidR="00F573AE">
        <w:t>, when the proposed settlement was reached</w:t>
      </w:r>
      <w:r w:rsidR="00653895" w:rsidRPr="00863D6F">
        <w:t xml:space="preserve">.  Ms Rosati described the work in </w:t>
      </w:r>
      <w:r w:rsidR="00612DDC">
        <w:t xml:space="preserve">detail </w:t>
      </w:r>
      <w:r w:rsidR="00F573AE">
        <w:t xml:space="preserve">in </w:t>
      </w:r>
      <w:r w:rsidR="00AF53B5" w:rsidRPr="00863D6F">
        <w:t>Rosati 1</w:t>
      </w:r>
      <w:r w:rsidR="00F573AE">
        <w:t xml:space="preserve"> at</w:t>
      </w:r>
      <w:r w:rsidR="00AF53B5" w:rsidRPr="00863D6F">
        <w:t xml:space="preserve"> [92]</w:t>
      </w:r>
      <w:r w:rsidR="00A701E8" w:rsidRPr="00863D6F">
        <w:t xml:space="preserve"> to [101]</w:t>
      </w:r>
      <w:r w:rsidR="00F573AE">
        <w:t xml:space="preserve">. </w:t>
      </w:r>
      <w:r w:rsidR="008409B2">
        <w:t xml:space="preserve">This is in a form similar to what has been set out above from Rosati 1 at [83]. </w:t>
      </w:r>
      <w:r w:rsidR="00F573AE">
        <w:t>It is not repeated here, but has been taken into account in the analysis below.</w:t>
      </w:r>
    </w:p>
    <w:p w14:paraId="446BEA29" w14:textId="0F60DE16" w:rsidR="0064592B" w:rsidRDefault="00B6500C" w:rsidP="00B6500C">
      <w:pPr>
        <w:pStyle w:val="ParaNumbering"/>
        <w:numPr>
          <w:ilvl w:val="0"/>
          <w:numId w:val="0"/>
        </w:numPr>
        <w:ind w:hanging="720"/>
      </w:pPr>
      <w:r>
        <w:rPr>
          <w:iCs/>
          <w:sz w:val="20"/>
        </w:rPr>
        <w:t>69</w:t>
      </w:r>
      <w:r>
        <w:rPr>
          <w:iCs/>
          <w:sz w:val="20"/>
        </w:rPr>
        <w:tab/>
      </w:r>
      <w:r w:rsidR="00EA3ECB" w:rsidRPr="00863D6F">
        <w:t xml:space="preserve">Ms Rosati was provided by Shine with a separate itemisation detailing all disbursements incurred together with copies of invoices. </w:t>
      </w:r>
    </w:p>
    <w:p w14:paraId="2903C404" w14:textId="4119A1CC" w:rsidR="00EA3ECB" w:rsidRPr="00863D6F" w:rsidRDefault="00B6500C" w:rsidP="00B6500C">
      <w:pPr>
        <w:pStyle w:val="ParaNumbering"/>
        <w:numPr>
          <w:ilvl w:val="0"/>
          <w:numId w:val="0"/>
        </w:numPr>
        <w:ind w:hanging="720"/>
      </w:pPr>
      <w:r w:rsidRPr="00863D6F">
        <w:rPr>
          <w:iCs/>
          <w:sz w:val="20"/>
        </w:rPr>
        <w:t>70</w:t>
      </w:r>
      <w:r w:rsidRPr="00863D6F">
        <w:rPr>
          <w:iCs/>
          <w:sz w:val="20"/>
        </w:rPr>
        <w:tab/>
      </w:r>
      <w:r w:rsidR="00EA3ECB" w:rsidRPr="00863D6F">
        <w:t>The total amount for disbursements incurred by the applicant from mid-2019 up to 31 December 2023, inclusive of GST where applicable, was $681,778.81. The majority of the disbursements incurred were for counsels’ fees and experts’ fees: Rosati 1 at [102].</w:t>
      </w:r>
      <w:r w:rsidR="00C051FE" w:rsidRPr="00863D6F">
        <w:t xml:space="preserve"> Ms Rosati considered counsels’ fees</w:t>
      </w:r>
      <w:r w:rsidR="002B2FCA" w:rsidRPr="00863D6F">
        <w:t xml:space="preserve"> to be within the usual range of rates</w:t>
      </w:r>
      <w:r w:rsidR="00BD60BE" w:rsidRPr="00863D6F">
        <w:t xml:space="preserve"> and fair and reasonable: Rosati</w:t>
      </w:r>
      <w:r w:rsidR="00C7539C">
        <w:t> </w:t>
      </w:r>
      <w:r w:rsidR="00BD60BE" w:rsidRPr="00863D6F">
        <w:t>1 at [112].</w:t>
      </w:r>
      <w:r w:rsidR="00E37009" w:rsidRPr="00863D6F">
        <w:t xml:space="preserve"> Ms Rosati concluded that the fees for experts and cons</w:t>
      </w:r>
      <w:r w:rsidR="009353AC" w:rsidRPr="00863D6F">
        <w:t>ultants were reasonable: Rosati</w:t>
      </w:r>
      <w:r w:rsidR="00C7539C">
        <w:t> </w:t>
      </w:r>
      <w:r w:rsidR="009353AC" w:rsidRPr="00863D6F">
        <w:t>1 at [119].</w:t>
      </w:r>
      <w:r w:rsidR="00AC436D" w:rsidRPr="00863D6F">
        <w:t xml:space="preserve"> Ms Rosati considered the remaining disbursements from </w:t>
      </w:r>
      <w:r w:rsidR="00CA5738" w:rsidRPr="00863D6F">
        <w:t>[121] to [133], concluding that the majority were fair and reasonable.</w:t>
      </w:r>
    </w:p>
    <w:p w14:paraId="6B7F36E1" w14:textId="2E48FCDE" w:rsidR="009F6681" w:rsidRDefault="00B6500C" w:rsidP="00B6500C">
      <w:pPr>
        <w:pStyle w:val="ParaNumbering"/>
        <w:numPr>
          <w:ilvl w:val="0"/>
          <w:numId w:val="0"/>
        </w:numPr>
        <w:ind w:hanging="720"/>
      </w:pPr>
      <w:r>
        <w:rPr>
          <w:iCs/>
          <w:sz w:val="20"/>
        </w:rPr>
        <w:t>71</w:t>
      </w:r>
      <w:r>
        <w:rPr>
          <w:iCs/>
          <w:sz w:val="20"/>
        </w:rPr>
        <w:tab/>
      </w:r>
      <w:r w:rsidR="009732C1">
        <w:t xml:space="preserve">Ms Rosati </w:t>
      </w:r>
      <w:r w:rsidR="000C3549">
        <w:t>applied</w:t>
      </w:r>
      <w:r w:rsidR="009732C1">
        <w:t xml:space="preserve"> the relevant </w:t>
      </w:r>
      <w:r w:rsidR="00BE2A4C">
        <w:t>legislative</w:t>
      </w:r>
      <w:r w:rsidR="009732C1">
        <w:t xml:space="preserve"> tests</w:t>
      </w:r>
      <w:r w:rsidR="00BE2A4C">
        <w:t xml:space="preserve"> she had earlier summarised</w:t>
      </w:r>
      <w:r w:rsidR="000C3549">
        <w:t xml:space="preserve"> to consider whether the costs and disbursements were reasonabl</w:t>
      </w:r>
      <w:r w:rsidR="0003790D">
        <w:t>e</w:t>
      </w:r>
      <w:r w:rsidR="000C3549">
        <w:t xml:space="preserve"> in amount and reasonably incurred having regard to the circumstances in which the work was undertaken</w:t>
      </w:r>
      <w:r w:rsidR="00CA3CF3">
        <w:t>: Rosati 1 at [134] to [160].</w:t>
      </w:r>
      <w:r w:rsidR="00954738">
        <w:t xml:space="preserve"> She provided a </w:t>
      </w:r>
      <w:r w:rsidR="007178BF">
        <w:t xml:space="preserve">“Summary of Opinion” from [163] to [188]. </w:t>
      </w:r>
      <w:r w:rsidR="00A24DAE">
        <w:t>At [182], Ms Rosati noted that she appl</w:t>
      </w:r>
      <w:r w:rsidR="00AF36D9">
        <w:t>ied a 5% reduction to account for professional costs that might not be considered to be fairly and reasonably incurred on bases as outlined earlier in her report. She stated at [</w:t>
      </w:r>
      <w:r w:rsidR="009F6681">
        <w:t>183] and [184]:</w:t>
      </w:r>
    </w:p>
    <w:p w14:paraId="1306B1DE" w14:textId="347C37AC" w:rsidR="00100FFF" w:rsidRPr="00100FFF" w:rsidRDefault="00100FFF" w:rsidP="00471D41">
      <w:pPr>
        <w:pStyle w:val="Quote1"/>
        <w:ind w:left="1440" w:hanging="703"/>
      </w:pPr>
      <w:r>
        <w:lastRenderedPageBreak/>
        <w:t>[183]</w:t>
      </w:r>
      <w:r>
        <w:tab/>
      </w:r>
      <w:r w:rsidRPr="00100FFF">
        <w:t>The total professional costs recorded by Shine in the itemised account for work done to</w:t>
      </w:r>
      <w:r>
        <w:t xml:space="preserve"> </w:t>
      </w:r>
      <w:r w:rsidRPr="00100FFF">
        <w:t>31 December 2023 is $1,750,708.30 inclusive of GST and applying the 5% reduction</w:t>
      </w:r>
      <w:r>
        <w:t xml:space="preserve"> </w:t>
      </w:r>
      <w:r w:rsidRPr="00100FFF">
        <w:t xml:space="preserve">gives </w:t>
      </w:r>
      <w:r w:rsidRPr="00100FFF">
        <w:rPr>
          <w:b/>
          <w:bCs/>
        </w:rPr>
        <w:t>reasonable professional costs of $1,663,172.88 inclusive of GST</w:t>
      </w:r>
      <w:r w:rsidRPr="00100FFF">
        <w:t>.</w:t>
      </w:r>
    </w:p>
    <w:p w14:paraId="5415C583" w14:textId="49675DDC" w:rsidR="00087B92" w:rsidRDefault="00100FFF" w:rsidP="00471D41">
      <w:pPr>
        <w:pStyle w:val="Quote1"/>
        <w:ind w:left="1440" w:hanging="703"/>
      </w:pPr>
      <w:r>
        <w:t>[</w:t>
      </w:r>
      <w:r w:rsidRPr="00100FFF">
        <w:t>184</w:t>
      </w:r>
      <w:r>
        <w:t>]</w:t>
      </w:r>
      <w:r w:rsidR="00863D6F">
        <w:tab/>
      </w:r>
      <w:r w:rsidRPr="00100FFF">
        <w:t>As outlined above, Shine is entitled, from the terms of the Shine Costs</w:t>
      </w:r>
      <w:r>
        <w:t xml:space="preserve"> </w:t>
      </w:r>
      <w:r w:rsidRPr="00100FFF">
        <w:t>Agreement, to</w:t>
      </w:r>
      <w:r>
        <w:t xml:space="preserve"> </w:t>
      </w:r>
      <w:r w:rsidRPr="00100FFF">
        <w:t>charge an uplift fee of 25% on their reasonable professional costs. Applying 25% to the</w:t>
      </w:r>
      <w:r>
        <w:t xml:space="preserve"> </w:t>
      </w:r>
      <w:r w:rsidRPr="00100FFF">
        <w:t xml:space="preserve">reduced professional costs of $1,663,172.88 gives an </w:t>
      </w:r>
      <w:r w:rsidRPr="00100FFF">
        <w:rPr>
          <w:b/>
          <w:bCs/>
        </w:rPr>
        <w:t>uplift fee payable of</w:t>
      </w:r>
      <w:r>
        <w:t xml:space="preserve"> </w:t>
      </w:r>
      <w:r w:rsidRPr="00100FFF">
        <w:rPr>
          <w:b/>
          <w:bCs/>
        </w:rPr>
        <w:t>$415,793.22, inclusive of GST.</w:t>
      </w:r>
    </w:p>
    <w:p w14:paraId="7BF1F1E3" w14:textId="6ACBFA2A" w:rsidR="00EA3573" w:rsidRPr="00471D41" w:rsidRDefault="00B6500C" w:rsidP="00B6500C">
      <w:pPr>
        <w:pStyle w:val="ParaNumbering"/>
        <w:numPr>
          <w:ilvl w:val="0"/>
          <w:numId w:val="0"/>
        </w:numPr>
        <w:ind w:hanging="720"/>
      </w:pPr>
      <w:r w:rsidRPr="00471D41">
        <w:rPr>
          <w:iCs/>
          <w:sz w:val="20"/>
        </w:rPr>
        <w:t>72</w:t>
      </w:r>
      <w:r w:rsidRPr="00471D41">
        <w:rPr>
          <w:iCs/>
          <w:sz w:val="20"/>
        </w:rPr>
        <w:tab/>
      </w:r>
      <w:r w:rsidR="00E83303" w:rsidRPr="00863D6F">
        <w:t>Ms Rosati</w:t>
      </w:r>
      <w:r w:rsidR="007178BF" w:rsidRPr="00863D6F">
        <w:t xml:space="preserve"> provided a </w:t>
      </w:r>
      <w:r w:rsidR="00EA3573" w:rsidRPr="00863D6F">
        <w:t>“Summary” from [189] to [193].  The summary at [189] was as follows:</w:t>
      </w:r>
    </w:p>
    <w:tbl>
      <w:tblPr>
        <w:tblStyle w:val="TableGrid1"/>
        <w:tblW w:w="0" w:type="auto"/>
        <w:jc w:val="right"/>
        <w:tblLook w:val="04A0" w:firstRow="1" w:lastRow="0" w:firstColumn="1" w:lastColumn="0" w:noHBand="0" w:noVBand="1"/>
      </w:tblPr>
      <w:tblGrid>
        <w:gridCol w:w="5804"/>
        <w:gridCol w:w="3207"/>
      </w:tblGrid>
      <w:tr w:rsidR="00100FFF" w:rsidRPr="00F573AE" w14:paraId="04502FD6" w14:textId="2D0AF13F" w:rsidTr="00191F28">
        <w:trPr>
          <w:jc w:val="right"/>
        </w:trPr>
        <w:tc>
          <w:tcPr>
            <w:tcW w:w="5804" w:type="dxa"/>
          </w:tcPr>
          <w:p w14:paraId="15DE1820" w14:textId="7500D38A" w:rsidR="00100FFF" w:rsidRPr="00191F28" w:rsidRDefault="00100FFF" w:rsidP="004F2506">
            <w:pPr>
              <w:pStyle w:val="Small-TableswithinQuotes"/>
            </w:pPr>
            <w:r w:rsidRPr="00191F28">
              <w:t>Incurred by</w:t>
            </w:r>
          </w:p>
        </w:tc>
        <w:tc>
          <w:tcPr>
            <w:tcW w:w="3207" w:type="dxa"/>
          </w:tcPr>
          <w:p w14:paraId="17D5CA3E" w14:textId="032AD4D6" w:rsidR="00100FFF" w:rsidRPr="00191F28" w:rsidRDefault="00100FFF" w:rsidP="004F2506">
            <w:pPr>
              <w:pStyle w:val="Small-TableswithinQuotes"/>
            </w:pPr>
            <w:r w:rsidRPr="00191F28">
              <w:t>Fair and Reasonable Costs</w:t>
            </w:r>
          </w:p>
        </w:tc>
      </w:tr>
      <w:tr w:rsidR="00100FFF" w:rsidRPr="00F573AE" w14:paraId="53319F6B" w14:textId="77777777" w:rsidTr="00191F28">
        <w:trPr>
          <w:jc w:val="right"/>
        </w:trPr>
        <w:tc>
          <w:tcPr>
            <w:tcW w:w="5804" w:type="dxa"/>
          </w:tcPr>
          <w:p w14:paraId="307A131C" w14:textId="155BA566" w:rsidR="00100FFF" w:rsidRPr="00191F28" w:rsidRDefault="00100FFF" w:rsidP="004F2506">
            <w:pPr>
              <w:pStyle w:val="Small-TableswithinQuotes"/>
            </w:pPr>
            <w:r w:rsidRPr="00191F28">
              <w:t>Shine – Professional Costs up to 31 December 2023</w:t>
            </w:r>
          </w:p>
        </w:tc>
        <w:tc>
          <w:tcPr>
            <w:tcW w:w="3207" w:type="dxa"/>
          </w:tcPr>
          <w:p w14:paraId="563BE79F" w14:textId="10BFD127" w:rsidR="00100FFF" w:rsidRPr="00191F28" w:rsidRDefault="00100FFF" w:rsidP="004F2506">
            <w:pPr>
              <w:pStyle w:val="Small-TableswithinQuotes"/>
            </w:pPr>
            <w:r w:rsidRPr="00191F28">
              <w:t>$1,663,172.88</w:t>
            </w:r>
          </w:p>
        </w:tc>
      </w:tr>
      <w:tr w:rsidR="00100FFF" w:rsidRPr="00F573AE" w14:paraId="005E6756" w14:textId="77777777" w:rsidTr="00191F28">
        <w:trPr>
          <w:jc w:val="right"/>
        </w:trPr>
        <w:tc>
          <w:tcPr>
            <w:tcW w:w="5804" w:type="dxa"/>
          </w:tcPr>
          <w:p w14:paraId="0B984A83" w14:textId="72471DB4" w:rsidR="00100FFF" w:rsidRPr="00191F28" w:rsidRDefault="00863D6F" w:rsidP="004F2506">
            <w:pPr>
              <w:pStyle w:val="Small-TableswithinQuotes"/>
            </w:pPr>
            <w:r w:rsidRPr="00191F28">
              <w:t>Shine – 25% Uplift fee on reasonable professional fees</w:t>
            </w:r>
          </w:p>
        </w:tc>
        <w:tc>
          <w:tcPr>
            <w:tcW w:w="3207" w:type="dxa"/>
          </w:tcPr>
          <w:p w14:paraId="6C6F2EAC" w14:textId="0E5087F4" w:rsidR="00100FFF" w:rsidRPr="00191F28" w:rsidRDefault="00390772" w:rsidP="004F2506">
            <w:pPr>
              <w:pStyle w:val="Small-TableswithinQuotes"/>
            </w:pPr>
            <w:r w:rsidRPr="00191F28">
              <w:t>$415,493.22</w:t>
            </w:r>
          </w:p>
        </w:tc>
      </w:tr>
      <w:tr w:rsidR="00100FFF" w:rsidRPr="00F573AE" w14:paraId="07DFED0B" w14:textId="77777777" w:rsidTr="00191F28">
        <w:trPr>
          <w:jc w:val="right"/>
        </w:trPr>
        <w:tc>
          <w:tcPr>
            <w:tcW w:w="5804" w:type="dxa"/>
          </w:tcPr>
          <w:p w14:paraId="66669380" w14:textId="729CE55D" w:rsidR="00100FFF" w:rsidRPr="00191F28" w:rsidRDefault="00863D6F" w:rsidP="004F2506">
            <w:pPr>
              <w:pStyle w:val="Small-TableswithinQuotes"/>
            </w:pPr>
            <w:r w:rsidRPr="00191F28">
              <w:t>Counsels’ fees</w:t>
            </w:r>
          </w:p>
        </w:tc>
        <w:tc>
          <w:tcPr>
            <w:tcW w:w="3207" w:type="dxa"/>
          </w:tcPr>
          <w:p w14:paraId="08358299" w14:textId="7B643D20" w:rsidR="00100FFF" w:rsidRPr="00191F28" w:rsidRDefault="00390772" w:rsidP="004F2506">
            <w:pPr>
              <w:pStyle w:val="Small-TableswithinQuotes"/>
            </w:pPr>
            <w:r w:rsidRPr="00191F28">
              <w:t>$476,898.75</w:t>
            </w:r>
          </w:p>
        </w:tc>
      </w:tr>
      <w:tr w:rsidR="00100FFF" w:rsidRPr="00F573AE" w14:paraId="0DDB9A72" w14:textId="77777777" w:rsidTr="00191F28">
        <w:trPr>
          <w:jc w:val="right"/>
        </w:trPr>
        <w:tc>
          <w:tcPr>
            <w:tcW w:w="5804" w:type="dxa"/>
          </w:tcPr>
          <w:p w14:paraId="6B8322CD" w14:textId="013D82C2" w:rsidR="00100FFF" w:rsidRPr="00191F28" w:rsidRDefault="00863D6F" w:rsidP="004F2506">
            <w:pPr>
              <w:pStyle w:val="Small-TableswithinQuotes"/>
            </w:pPr>
            <w:r w:rsidRPr="00191F28">
              <w:t>Experts’ &amp; Consultants’ fees</w:t>
            </w:r>
          </w:p>
        </w:tc>
        <w:tc>
          <w:tcPr>
            <w:tcW w:w="3207" w:type="dxa"/>
          </w:tcPr>
          <w:p w14:paraId="20DB0856" w14:textId="028B6F7E" w:rsidR="00100FFF" w:rsidRPr="00191F28" w:rsidRDefault="00390772" w:rsidP="004F2506">
            <w:pPr>
              <w:pStyle w:val="Small-TableswithinQuotes"/>
            </w:pPr>
            <w:r w:rsidRPr="00191F28">
              <w:t>$119,930.60</w:t>
            </w:r>
          </w:p>
        </w:tc>
      </w:tr>
      <w:tr w:rsidR="00100FFF" w:rsidRPr="00F573AE" w14:paraId="73088A7D" w14:textId="77777777" w:rsidTr="00191F28">
        <w:trPr>
          <w:jc w:val="right"/>
        </w:trPr>
        <w:tc>
          <w:tcPr>
            <w:tcW w:w="5804" w:type="dxa"/>
          </w:tcPr>
          <w:p w14:paraId="30FABD87" w14:textId="49580825" w:rsidR="00100FFF" w:rsidRPr="00191F28" w:rsidRDefault="00863D6F" w:rsidP="004F2506">
            <w:pPr>
              <w:pStyle w:val="Small-TableswithinQuotes"/>
            </w:pPr>
            <w:r w:rsidRPr="00191F28">
              <w:t>General Disbursements</w:t>
            </w:r>
          </w:p>
        </w:tc>
        <w:tc>
          <w:tcPr>
            <w:tcW w:w="3207" w:type="dxa"/>
          </w:tcPr>
          <w:p w14:paraId="1E45B39F" w14:textId="233DDFFB" w:rsidR="00100FFF" w:rsidRPr="00191F28" w:rsidRDefault="00390772" w:rsidP="004F2506">
            <w:pPr>
              <w:pStyle w:val="Small-TableswithinQuotes"/>
            </w:pPr>
            <w:r w:rsidRPr="00191F28">
              <w:t>$</w:t>
            </w:r>
            <w:r w:rsidR="00863D6F" w:rsidRPr="00191F28">
              <w:t>82,949.38</w:t>
            </w:r>
          </w:p>
        </w:tc>
      </w:tr>
      <w:tr w:rsidR="00100FFF" w:rsidRPr="00F573AE" w14:paraId="10116C59" w14:textId="77777777" w:rsidTr="00191F28">
        <w:trPr>
          <w:jc w:val="right"/>
        </w:trPr>
        <w:tc>
          <w:tcPr>
            <w:tcW w:w="5804" w:type="dxa"/>
          </w:tcPr>
          <w:p w14:paraId="07E987DA" w14:textId="2BC6EC19" w:rsidR="00100FFF" w:rsidRPr="00191F28" w:rsidRDefault="00863D6F" w:rsidP="004F2506">
            <w:pPr>
              <w:pStyle w:val="Small-TableswithinQuotes"/>
            </w:pPr>
            <w:r w:rsidRPr="00191F28">
              <w:t>My costs for preparation of this report</w:t>
            </w:r>
          </w:p>
        </w:tc>
        <w:tc>
          <w:tcPr>
            <w:tcW w:w="3207" w:type="dxa"/>
          </w:tcPr>
          <w:p w14:paraId="250D736A" w14:textId="43DCA925" w:rsidR="00100FFF" w:rsidRPr="00191F28" w:rsidRDefault="00390772" w:rsidP="004F2506">
            <w:pPr>
              <w:pStyle w:val="Small-TableswithinQuotes"/>
            </w:pPr>
            <w:r w:rsidRPr="00191F28">
              <w:t>$</w:t>
            </w:r>
            <w:r w:rsidR="00863D6F" w:rsidRPr="00191F28">
              <w:t>26,455.00</w:t>
            </w:r>
          </w:p>
        </w:tc>
      </w:tr>
      <w:tr w:rsidR="00100FFF" w:rsidRPr="00F573AE" w14:paraId="39882821" w14:textId="77777777" w:rsidTr="00191F28">
        <w:trPr>
          <w:jc w:val="right"/>
        </w:trPr>
        <w:tc>
          <w:tcPr>
            <w:tcW w:w="5804" w:type="dxa"/>
          </w:tcPr>
          <w:p w14:paraId="221EB45F" w14:textId="1E0DA1DA" w:rsidR="00100FFF" w:rsidRPr="00191F28" w:rsidRDefault="00863D6F" w:rsidP="004F2506">
            <w:pPr>
              <w:pStyle w:val="Small-TableswithinQuotes"/>
            </w:pPr>
            <w:r w:rsidRPr="00191F28">
              <w:t>TOTAL REASONABLE COSTS &amp; DISBURSEMENTS</w:t>
            </w:r>
          </w:p>
        </w:tc>
        <w:tc>
          <w:tcPr>
            <w:tcW w:w="3207" w:type="dxa"/>
          </w:tcPr>
          <w:p w14:paraId="0EFA75DC" w14:textId="2C484B4E" w:rsidR="00100FFF" w:rsidRPr="00191F28" w:rsidRDefault="00390772" w:rsidP="004F2506">
            <w:pPr>
              <w:pStyle w:val="Small-TableswithinQuotes"/>
            </w:pPr>
            <w:r w:rsidRPr="00191F28">
              <w:t>$</w:t>
            </w:r>
            <w:r w:rsidR="00863D6F" w:rsidRPr="00191F28">
              <w:t>2,784,899.83</w:t>
            </w:r>
          </w:p>
        </w:tc>
      </w:tr>
    </w:tbl>
    <w:p w14:paraId="5F710FE7" w14:textId="2F3DA411" w:rsidR="00863D6F" w:rsidRPr="00471D41" w:rsidRDefault="00B6500C" w:rsidP="00B6500C">
      <w:pPr>
        <w:pStyle w:val="ParaNumbering"/>
        <w:numPr>
          <w:ilvl w:val="0"/>
          <w:numId w:val="0"/>
        </w:numPr>
        <w:spacing w:before="240"/>
        <w:ind w:hanging="720"/>
      </w:pPr>
      <w:r w:rsidRPr="00471D41">
        <w:rPr>
          <w:iCs/>
          <w:sz w:val="20"/>
        </w:rPr>
        <w:t>73</w:t>
      </w:r>
      <w:r w:rsidRPr="00471D41">
        <w:rPr>
          <w:iCs/>
          <w:sz w:val="20"/>
        </w:rPr>
        <w:tab/>
      </w:r>
      <w:r w:rsidR="009A39E2" w:rsidRPr="003A7B31">
        <w:t>Under the heading “Proportionality of the costs”, Ms Rosati stated at [190] to [193]:</w:t>
      </w:r>
    </w:p>
    <w:p w14:paraId="428649CE" w14:textId="7AEAF368" w:rsidR="003A7B31" w:rsidRPr="003A7B31" w:rsidRDefault="00863D6F" w:rsidP="00062A1E">
      <w:pPr>
        <w:pStyle w:val="Quote1"/>
        <w:widowControl/>
        <w:ind w:left="1440" w:hanging="703"/>
      </w:pPr>
      <w:r w:rsidRPr="003A7B31">
        <w:t>[190]</w:t>
      </w:r>
      <w:r w:rsidRPr="003A7B31">
        <w:tab/>
      </w:r>
      <w:r w:rsidR="003A7B31" w:rsidRPr="003A7B31">
        <w:t xml:space="preserve">I note from the information provided to me that the settlement sum is not less than </w:t>
      </w:r>
      <w:r w:rsidR="003A7B31" w:rsidRPr="003A7B31">
        <w:rPr>
          <w:b/>
          <w:bCs/>
        </w:rPr>
        <w:t xml:space="preserve">$16,000,000 </w:t>
      </w:r>
      <w:r w:rsidR="003A7B31" w:rsidRPr="003A7B31">
        <w:t xml:space="preserve">for the claim brought by the Applicant on its own behalf and that of the group members. I consider that the Applicant’s reasonable costs incurred and estimated to be incurred by Shine in relation to the proceeding, up to 31 December 2023 and including my costs of preparing this report, to be </w:t>
      </w:r>
      <w:r w:rsidR="003A7B31" w:rsidRPr="003A7B31">
        <w:rPr>
          <w:b/>
          <w:bCs/>
        </w:rPr>
        <w:t>$2,784,899.83</w:t>
      </w:r>
      <w:r w:rsidR="003A7B31" w:rsidRPr="003A7B31">
        <w:t>.</w:t>
      </w:r>
    </w:p>
    <w:p w14:paraId="033FF2C0" w14:textId="38A0BB7F" w:rsidR="003A7B31" w:rsidRPr="003A7B31" w:rsidRDefault="003A7B31" w:rsidP="00062A1E">
      <w:pPr>
        <w:pStyle w:val="Quote1"/>
        <w:widowControl/>
        <w:ind w:left="1440" w:hanging="703"/>
      </w:pPr>
      <w:r w:rsidRPr="003A7B31">
        <w:t>[191]</w:t>
      </w:r>
      <w:r w:rsidRPr="003A7B31">
        <w:tab/>
        <w:t xml:space="preserve">This amount does not include the costs and disbursements likely to be incurred from 1 January 2024 up to including the settlement approval hearing estimated by Shine to be $475,000. Adding this amount to the total costs outlined above, gives a total for costs of around </w:t>
      </w:r>
      <w:r w:rsidRPr="003A7B31">
        <w:rPr>
          <w:b/>
          <w:bCs/>
        </w:rPr>
        <w:t>$3,259,899.83</w:t>
      </w:r>
      <w:r w:rsidRPr="003A7B31">
        <w:t>.</w:t>
      </w:r>
    </w:p>
    <w:p w14:paraId="6F3299D1" w14:textId="3920B0AF" w:rsidR="003A7B31" w:rsidRPr="003A7B31" w:rsidRDefault="003A7B31" w:rsidP="00062A1E">
      <w:pPr>
        <w:pStyle w:val="Quote1"/>
        <w:widowControl/>
        <w:ind w:left="1440" w:hanging="703"/>
      </w:pPr>
      <w:r w:rsidRPr="003A7B31">
        <w:t>[192]</w:t>
      </w:r>
      <w:r w:rsidRPr="003A7B31">
        <w:tab/>
        <w:t>This equates to around 20% of the settlement sum but is significantly less than the estimate of total legal costs provided by Shine to the Applicant.</w:t>
      </w:r>
    </w:p>
    <w:p w14:paraId="631DA8A6" w14:textId="69E91FDF" w:rsidR="00863D6F" w:rsidRDefault="003A7B31" w:rsidP="00062A1E">
      <w:pPr>
        <w:pStyle w:val="Quote1"/>
        <w:widowControl/>
        <w:ind w:left="1440" w:hanging="703"/>
      </w:pPr>
      <w:r w:rsidRPr="003A7B31">
        <w:t>[193]</w:t>
      </w:r>
      <w:r w:rsidRPr="003A7B31">
        <w:tab/>
        <w:t xml:space="preserve">In my opinion, the amount of costs incurred and estimated to be incurred is not disproportionate to the outcome of the proceeding in light of the issues involved and the work required to be performed as detailed above. However I note that the percentage of costs incurred in this matter is slightly higher than the median percentages of settlement proceeds used to pay legal costs of between 15% and 17% taken from an analysis of thirty representative proceedings finalised in the Court in the period between 2013 and 2018 set out in the Australian Law Reform Commission report </w:t>
      </w:r>
      <w:r w:rsidRPr="00471D41">
        <w:rPr>
          <w:i/>
          <w:iCs/>
        </w:rPr>
        <w:t>Integrity, Fairness and</w:t>
      </w:r>
      <w:r w:rsidRPr="003A7B31">
        <w:t xml:space="preserve"> </w:t>
      </w:r>
      <w:r w:rsidRPr="00471D41">
        <w:rPr>
          <w:i/>
          <w:iCs/>
        </w:rPr>
        <w:t>Efficiency - An Inquiry into Class Action Proceedings and Third-Party Litigation Funders</w:t>
      </w:r>
      <w:r w:rsidRPr="003A7B31">
        <w:t xml:space="preserve"> (Report No 134, December 2018) at paragraph 3.49.</w:t>
      </w:r>
    </w:p>
    <w:p w14:paraId="4F9680BC" w14:textId="543A7EC2" w:rsidR="005A3F0E" w:rsidRDefault="009A39E2" w:rsidP="009A39E2">
      <w:pPr>
        <w:pStyle w:val="Heading3"/>
      </w:pPr>
      <w:r>
        <w:t>Rosati 2</w:t>
      </w:r>
    </w:p>
    <w:p w14:paraId="673DEBD4" w14:textId="3B6F1321" w:rsidR="00FD6396" w:rsidRDefault="00B6500C" w:rsidP="00B6500C">
      <w:pPr>
        <w:pStyle w:val="ParaNumbering"/>
        <w:numPr>
          <w:ilvl w:val="0"/>
          <w:numId w:val="0"/>
        </w:numPr>
        <w:ind w:hanging="720"/>
      </w:pPr>
      <w:r>
        <w:rPr>
          <w:iCs/>
          <w:sz w:val="20"/>
        </w:rPr>
        <w:t>74</w:t>
      </w:r>
      <w:r>
        <w:rPr>
          <w:iCs/>
          <w:sz w:val="20"/>
        </w:rPr>
        <w:tab/>
      </w:r>
      <w:r w:rsidR="00C14FA1">
        <w:t>Ms Rosati was provided with further information for the purposes of her second report, including a further “itemised account”: Rosati 2 at [5]. Ms Rosati applied the same methodology as she did in relation to Rosati 1: Rosati 2 at [9].</w:t>
      </w:r>
      <w:r w:rsidR="00F359D7">
        <w:t xml:space="preserve"> </w:t>
      </w:r>
      <w:r w:rsidR="003C5DB6">
        <w:t xml:space="preserve">Again, Ms Rosati provided an </w:t>
      </w:r>
      <w:r w:rsidR="003C5DB6">
        <w:lastRenderedPageBreak/>
        <w:t xml:space="preserve">account of her findings and reasoning for her various conclusions. </w:t>
      </w:r>
      <w:r w:rsidR="00E12233">
        <w:t xml:space="preserve">Ms Rosati described the work for the period 1 January 2024 to 25 March 2024 in </w:t>
      </w:r>
      <w:r w:rsidR="00B1387E">
        <w:t>Rosati 2</w:t>
      </w:r>
      <w:r w:rsidR="00E12233">
        <w:t xml:space="preserve"> at </w:t>
      </w:r>
      <w:r w:rsidR="00FD6396">
        <w:t>[29]</w:t>
      </w:r>
      <w:r w:rsidR="00B10A36">
        <w:t>. It is not repeated here, but has been taken into account in the analysis below.</w:t>
      </w:r>
    </w:p>
    <w:p w14:paraId="7622B4A1" w14:textId="0B14E3AD" w:rsidR="006D1D15" w:rsidRDefault="00B6500C" w:rsidP="00B6500C">
      <w:pPr>
        <w:pStyle w:val="ParaNumbering"/>
        <w:numPr>
          <w:ilvl w:val="0"/>
          <w:numId w:val="0"/>
        </w:numPr>
        <w:ind w:hanging="720"/>
      </w:pPr>
      <w:r>
        <w:rPr>
          <w:iCs/>
          <w:sz w:val="20"/>
        </w:rPr>
        <w:t>75</w:t>
      </w:r>
      <w:r>
        <w:rPr>
          <w:iCs/>
          <w:sz w:val="20"/>
        </w:rPr>
        <w:tab/>
      </w:r>
      <w:r w:rsidR="009F6681">
        <w:t>Ms Rosati again applied a 5% reduction to professional fees</w:t>
      </w:r>
      <w:r w:rsidR="009D079E">
        <w:t xml:space="preserve"> to account for professional costs</w:t>
      </w:r>
      <w:r w:rsidR="00955051">
        <w:t xml:space="preserve"> that might not be considered to be fairly or reasonably incurred</w:t>
      </w:r>
      <w:r w:rsidR="005C3908">
        <w:t>: Rosati 2 at [69]</w:t>
      </w:r>
      <w:r w:rsidR="009F6681">
        <w:t xml:space="preserve">. </w:t>
      </w:r>
      <w:r w:rsidR="005C3908">
        <w:t>At</w:t>
      </w:r>
      <w:r w:rsidR="006D1D15">
        <w:t xml:space="preserve"> [70] and [71] she stated:</w:t>
      </w:r>
    </w:p>
    <w:p w14:paraId="6238807C" w14:textId="4E24315B" w:rsidR="00735689" w:rsidRPr="00735689" w:rsidRDefault="00781958" w:rsidP="00191F28">
      <w:pPr>
        <w:pStyle w:val="Quote1"/>
        <w:widowControl/>
        <w:ind w:left="1440" w:hanging="703"/>
      </w:pPr>
      <w:r>
        <w:t>[70]</w:t>
      </w:r>
      <w:r>
        <w:tab/>
      </w:r>
      <w:r w:rsidR="00735689" w:rsidRPr="00735689">
        <w:t>The total professional costs recorded by Shine in the March 2024 itemised account for</w:t>
      </w:r>
      <w:r w:rsidR="00735689">
        <w:t xml:space="preserve"> </w:t>
      </w:r>
      <w:r w:rsidR="00735689" w:rsidRPr="00735689">
        <w:t>work done from 1 January 2024 to 25 March 2024 is $140,990.30 inclusive of GST and</w:t>
      </w:r>
      <w:r w:rsidR="00735689">
        <w:t xml:space="preserve"> </w:t>
      </w:r>
      <w:r w:rsidR="00735689" w:rsidRPr="00735689">
        <w:t xml:space="preserve">applying the 5% reduction gives </w:t>
      </w:r>
      <w:r w:rsidR="00735689" w:rsidRPr="00735689">
        <w:rPr>
          <w:b/>
          <w:bCs/>
        </w:rPr>
        <w:t>reasonable professional costs of $133,940.79</w:t>
      </w:r>
      <w:r w:rsidR="00735689">
        <w:t xml:space="preserve"> </w:t>
      </w:r>
      <w:r w:rsidR="00735689" w:rsidRPr="00735689">
        <w:rPr>
          <w:b/>
          <w:bCs/>
        </w:rPr>
        <w:t>inclusive of GST</w:t>
      </w:r>
      <w:r w:rsidR="00735689" w:rsidRPr="00735689">
        <w:t>.</w:t>
      </w:r>
    </w:p>
    <w:p w14:paraId="4684320B" w14:textId="4281A5F2" w:rsidR="00781958" w:rsidRDefault="00735689" w:rsidP="00191F28">
      <w:pPr>
        <w:pStyle w:val="Quote1"/>
        <w:widowControl/>
        <w:ind w:left="1440" w:hanging="703"/>
      </w:pPr>
      <w:r>
        <w:t>[</w:t>
      </w:r>
      <w:r w:rsidRPr="00735689">
        <w:t>71</w:t>
      </w:r>
      <w:r>
        <w:t>]</w:t>
      </w:r>
      <w:r>
        <w:tab/>
      </w:r>
      <w:r w:rsidRPr="00735689">
        <w:t>As outlined above, Shine is entitled, from the terms of the Shine Costs Agreement, to</w:t>
      </w:r>
      <w:r>
        <w:t xml:space="preserve"> </w:t>
      </w:r>
      <w:r w:rsidRPr="00735689">
        <w:t>charge an uplift fee of 25% on their reasonable professional costs. Applying 25% to the</w:t>
      </w:r>
      <w:r>
        <w:t xml:space="preserve"> </w:t>
      </w:r>
      <w:r w:rsidRPr="00735689">
        <w:t xml:space="preserve">reduced professional costs of $133,940.79 gives an </w:t>
      </w:r>
      <w:r w:rsidRPr="00735689">
        <w:rPr>
          <w:b/>
          <w:bCs/>
        </w:rPr>
        <w:t>uplift fee payable of $33,485.20,</w:t>
      </w:r>
      <w:r>
        <w:t xml:space="preserve"> </w:t>
      </w:r>
      <w:r w:rsidRPr="00735689">
        <w:rPr>
          <w:b/>
          <w:bCs/>
        </w:rPr>
        <w:t>inclusive of GST.</w:t>
      </w:r>
    </w:p>
    <w:p w14:paraId="31E43FAD" w14:textId="23122B53" w:rsidR="00D977EB" w:rsidRDefault="00B6500C" w:rsidP="00B6500C">
      <w:pPr>
        <w:pStyle w:val="ParaNumbering"/>
        <w:numPr>
          <w:ilvl w:val="0"/>
          <w:numId w:val="0"/>
        </w:numPr>
        <w:ind w:hanging="720"/>
      </w:pPr>
      <w:r>
        <w:rPr>
          <w:iCs/>
          <w:sz w:val="20"/>
        </w:rPr>
        <w:t>76</w:t>
      </w:r>
      <w:r>
        <w:rPr>
          <w:iCs/>
          <w:sz w:val="20"/>
        </w:rPr>
        <w:tab/>
      </w:r>
      <w:r w:rsidR="00F359D7">
        <w:t xml:space="preserve">Under the heading “Summary” at [75], Ms Rosati </w:t>
      </w:r>
      <w:r w:rsidR="00D977EB">
        <w:t>set out a summary of what she considers to be fair and reasonable in the following way:</w:t>
      </w:r>
    </w:p>
    <w:tbl>
      <w:tblPr>
        <w:tblStyle w:val="TableGrid1"/>
        <w:tblW w:w="0" w:type="auto"/>
        <w:jc w:val="right"/>
        <w:tblLook w:val="04A0" w:firstRow="1" w:lastRow="0" w:firstColumn="1" w:lastColumn="0" w:noHBand="0" w:noVBand="1"/>
      </w:tblPr>
      <w:tblGrid>
        <w:gridCol w:w="6502"/>
        <w:gridCol w:w="2509"/>
      </w:tblGrid>
      <w:tr w:rsidR="00735689" w:rsidRPr="00B563E8" w14:paraId="4C50EFCC" w14:textId="77777777" w:rsidTr="00191F28">
        <w:trPr>
          <w:trHeight w:val="693"/>
          <w:jc w:val="right"/>
        </w:trPr>
        <w:tc>
          <w:tcPr>
            <w:tcW w:w="7088" w:type="dxa"/>
          </w:tcPr>
          <w:p w14:paraId="2590DF76" w14:textId="3F8D3C99" w:rsidR="00735689" w:rsidRPr="00191F28" w:rsidRDefault="00735689" w:rsidP="004F2506">
            <w:pPr>
              <w:pStyle w:val="Small-TableswithinQuotes"/>
            </w:pPr>
            <w:r w:rsidRPr="00191F28">
              <w:t>Incurred by</w:t>
            </w:r>
          </w:p>
        </w:tc>
        <w:tc>
          <w:tcPr>
            <w:tcW w:w="2665" w:type="dxa"/>
          </w:tcPr>
          <w:p w14:paraId="41D966FE" w14:textId="0B446C8B" w:rsidR="00735689" w:rsidRPr="00191F28" w:rsidRDefault="00735689" w:rsidP="004F2506">
            <w:pPr>
              <w:pStyle w:val="Small-TableswithinQuotes"/>
              <w:rPr>
                <w:szCs w:val="16"/>
              </w:rPr>
            </w:pPr>
            <w:r w:rsidRPr="00191F28">
              <w:rPr>
                <w:szCs w:val="16"/>
              </w:rPr>
              <w:t>Fair and Reasonable Costs</w:t>
            </w:r>
          </w:p>
        </w:tc>
      </w:tr>
      <w:tr w:rsidR="00735689" w:rsidRPr="00B563E8" w14:paraId="0368F5AA" w14:textId="77777777" w:rsidTr="00191F28">
        <w:trPr>
          <w:jc w:val="right"/>
        </w:trPr>
        <w:tc>
          <w:tcPr>
            <w:tcW w:w="7088" w:type="dxa"/>
          </w:tcPr>
          <w:p w14:paraId="580C3090" w14:textId="402CE714" w:rsidR="00735689" w:rsidRPr="00191F28" w:rsidRDefault="00735689" w:rsidP="004F2506">
            <w:pPr>
              <w:pStyle w:val="Small-TableswithinQuotes"/>
            </w:pPr>
            <w:r w:rsidRPr="00191F28">
              <w:t>Costs incurred from 1 January 2024 to 25</w:t>
            </w:r>
            <w:r w:rsidR="00233652" w:rsidRPr="00191F28">
              <w:t> </w:t>
            </w:r>
            <w:r w:rsidRPr="00191F28">
              <w:t>March 2024</w:t>
            </w:r>
          </w:p>
        </w:tc>
        <w:tc>
          <w:tcPr>
            <w:tcW w:w="2665" w:type="dxa"/>
          </w:tcPr>
          <w:p w14:paraId="66AFDAC7" w14:textId="77777777" w:rsidR="00735689" w:rsidRPr="002E023B" w:rsidRDefault="00735689" w:rsidP="004F2506">
            <w:pPr>
              <w:pStyle w:val="Small-TableswithinQuotes"/>
              <w:rPr>
                <w:szCs w:val="16"/>
              </w:rPr>
            </w:pPr>
          </w:p>
        </w:tc>
      </w:tr>
      <w:tr w:rsidR="00735689" w:rsidRPr="00B563E8" w14:paraId="0E648203" w14:textId="77777777" w:rsidTr="00191F28">
        <w:trPr>
          <w:jc w:val="right"/>
        </w:trPr>
        <w:tc>
          <w:tcPr>
            <w:tcW w:w="7088" w:type="dxa"/>
          </w:tcPr>
          <w:p w14:paraId="6CA5276A" w14:textId="6E363F0E" w:rsidR="00735689" w:rsidRPr="00191F28" w:rsidRDefault="00A875BC" w:rsidP="004F2506">
            <w:pPr>
              <w:pStyle w:val="Small-TableswithinQuotes"/>
            </w:pPr>
            <w:r w:rsidRPr="00191F28">
              <w:t>Shine – Professional Costs</w:t>
            </w:r>
          </w:p>
        </w:tc>
        <w:tc>
          <w:tcPr>
            <w:tcW w:w="2665" w:type="dxa"/>
          </w:tcPr>
          <w:p w14:paraId="16E5F13D" w14:textId="2A3067B2" w:rsidR="00735689" w:rsidRPr="002E023B" w:rsidRDefault="00B802BF" w:rsidP="004F2506">
            <w:pPr>
              <w:pStyle w:val="Small-TableswithinQuotes"/>
              <w:rPr>
                <w:szCs w:val="16"/>
              </w:rPr>
            </w:pPr>
            <w:r w:rsidRPr="002E023B">
              <w:rPr>
                <w:szCs w:val="16"/>
              </w:rPr>
              <w:t>$</w:t>
            </w:r>
            <w:r w:rsidR="00C642CE" w:rsidRPr="002E023B">
              <w:rPr>
                <w:szCs w:val="16"/>
              </w:rPr>
              <w:t>133,940.79</w:t>
            </w:r>
          </w:p>
        </w:tc>
      </w:tr>
      <w:tr w:rsidR="00735689" w:rsidRPr="00B563E8" w14:paraId="2FF65A45" w14:textId="77777777" w:rsidTr="00191F28">
        <w:trPr>
          <w:jc w:val="right"/>
        </w:trPr>
        <w:tc>
          <w:tcPr>
            <w:tcW w:w="7088" w:type="dxa"/>
          </w:tcPr>
          <w:p w14:paraId="40DC6031" w14:textId="25754AF0" w:rsidR="00735689" w:rsidRPr="00191F28" w:rsidRDefault="00A875BC" w:rsidP="004F2506">
            <w:pPr>
              <w:pStyle w:val="Small-TableswithinQuotes"/>
            </w:pPr>
            <w:r w:rsidRPr="00191F28">
              <w:t>Shine – 25% Uplift fee on reasonable professional fees</w:t>
            </w:r>
          </w:p>
        </w:tc>
        <w:tc>
          <w:tcPr>
            <w:tcW w:w="2665" w:type="dxa"/>
          </w:tcPr>
          <w:p w14:paraId="61630CFE" w14:textId="733867B5" w:rsidR="00735689" w:rsidRPr="002E023B" w:rsidRDefault="00B802BF" w:rsidP="004F2506">
            <w:pPr>
              <w:pStyle w:val="Small-TableswithinQuotes"/>
              <w:rPr>
                <w:szCs w:val="16"/>
              </w:rPr>
            </w:pPr>
            <w:r w:rsidRPr="002E023B">
              <w:rPr>
                <w:szCs w:val="16"/>
              </w:rPr>
              <w:t>$</w:t>
            </w:r>
            <w:r w:rsidR="00C642CE" w:rsidRPr="002E023B">
              <w:rPr>
                <w:szCs w:val="16"/>
              </w:rPr>
              <w:t>33,485.20</w:t>
            </w:r>
          </w:p>
        </w:tc>
      </w:tr>
      <w:tr w:rsidR="00735689" w:rsidRPr="00B563E8" w14:paraId="49DA88B6" w14:textId="77777777" w:rsidTr="00191F28">
        <w:trPr>
          <w:jc w:val="right"/>
        </w:trPr>
        <w:tc>
          <w:tcPr>
            <w:tcW w:w="7088" w:type="dxa"/>
          </w:tcPr>
          <w:p w14:paraId="18F1D56C" w14:textId="334F8B7C" w:rsidR="00735689" w:rsidRPr="00191F28" w:rsidRDefault="00A875BC" w:rsidP="004F2506">
            <w:pPr>
              <w:pStyle w:val="Small-TableswithinQuotes"/>
            </w:pPr>
            <w:r w:rsidRPr="00191F28">
              <w:t>Counsels’ fees</w:t>
            </w:r>
          </w:p>
        </w:tc>
        <w:tc>
          <w:tcPr>
            <w:tcW w:w="2665" w:type="dxa"/>
          </w:tcPr>
          <w:p w14:paraId="1095473C" w14:textId="0872D95A" w:rsidR="00735689" w:rsidRPr="002E023B" w:rsidRDefault="00B802BF" w:rsidP="004F2506">
            <w:pPr>
              <w:pStyle w:val="Small-TableswithinQuotes"/>
              <w:rPr>
                <w:szCs w:val="16"/>
              </w:rPr>
            </w:pPr>
            <w:r w:rsidRPr="002E023B">
              <w:rPr>
                <w:szCs w:val="16"/>
              </w:rPr>
              <w:t>$</w:t>
            </w:r>
            <w:r w:rsidR="00C642CE" w:rsidRPr="002E023B">
              <w:rPr>
                <w:szCs w:val="16"/>
              </w:rPr>
              <w:t>69,552.00</w:t>
            </w:r>
          </w:p>
        </w:tc>
      </w:tr>
      <w:tr w:rsidR="00735689" w:rsidRPr="00B563E8" w14:paraId="51B65AA0" w14:textId="77777777" w:rsidTr="00191F28">
        <w:trPr>
          <w:jc w:val="right"/>
        </w:trPr>
        <w:tc>
          <w:tcPr>
            <w:tcW w:w="7088" w:type="dxa"/>
          </w:tcPr>
          <w:p w14:paraId="5FBB85A2" w14:textId="02E9BDA0" w:rsidR="00735689" w:rsidRPr="00191F28" w:rsidRDefault="00755AFE" w:rsidP="004F2506">
            <w:pPr>
              <w:pStyle w:val="Small-TableswithinQuotes"/>
            </w:pPr>
            <w:r w:rsidRPr="00191F28">
              <w:t>General Disbursements (excluding my costs for my first report)</w:t>
            </w:r>
          </w:p>
        </w:tc>
        <w:tc>
          <w:tcPr>
            <w:tcW w:w="2665" w:type="dxa"/>
          </w:tcPr>
          <w:p w14:paraId="380277B0" w14:textId="3B9E23DA" w:rsidR="00735689" w:rsidRPr="002E023B" w:rsidRDefault="00B802BF" w:rsidP="004F2506">
            <w:pPr>
              <w:pStyle w:val="Small-TableswithinQuotes"/>
              <w:rPr>
                <w:szCs w:val="16"/>
              </w:rPr>
            </w:pPr>
            <w:r w:rsidRPr="002E023B">
              <w:rPr>
                <w:szCs w:val="16"/>
              </w:rPr>
              <w:t>$</w:t>
            </w:r>
            <w:r w:rsidR="00C642CE" w:rsidRPr="002E023B">
              <w:rPr>
                <w:szCs w:val="16"/>
              </w:rPr>
              <w:t>1,096.68</w:t>
            </w:r>
          </w:p>
        </w:tc>
      </w:tr>
      <w:tr w:rsidR="00735689" w:rsidRPr="00B563E8" w14:paraId="0EF4A4BA" w14:textId="77777777" w:rsidTr="00191F28">
        <w:trPr>
          <w:jc w:val="right"/>
        </w:trPr>
        <w:tc>
          <w:tcPr>
            <w:tcW w:w="7088" w:type="dxa"/>
          </w:tcPr>
          <w:p w14:paraId="5BBF9519" w14:textId="46FC73CF" w:rsidR="00735689" w:rsidRPr="00191F28" w:rsidRDefault="00755AFE" w:rsidP="004F2506">
            <w:pPr>
              <w:pStyle w:val="Small-TableswithinQuotes"/>
            </w:pPr>
            <w:r w:rsidRPr="00191F28">
              <w:t>Future costs from 26 March 2024</w:t>
            </w:r>
          </w:p>
        </w:tc>
        <w:tc>
          <w:tcPr>
            <w:tcW w:w="2665" w:type="dxa"/>
          </w:tcPr>
          <w:p w14:paraId="5FC7CC47" w14:textId="77777777" w:rsidR="00735689" w:rsidRPr="002E023B" w:rsidRDefault="00735689" w:rsidP="004F2506">
            <w:pPr>
              <w:pStyle w:val="Small-TableswithinQuotes"/>
              <w:rPr>
                <w:szCs w:val="16"/>
              </w:rPr>
            </w:pPr>
          </w:p>
        </w:tc>
      </w:tr>
      <w:tr w:rsidR="00735689" w:rsidRPr="00B563E8" w14:paraId="599F29C6" w14:textId="77777777" w:rsidTr="00191F28">
        <w:trPr>
          <w:jc w:val="right"/>
        </w:trPr>
        <w:tc>
          <w:tcPr>
            <w:tcW w:w="7088" w:type="dxa"/>
          </w:tcPr>
          <w:p w14:paraId="5A601A62" w14:textId="50C140E9" w:rsidR="00735689" w:rsidRPr="00191F28" w:rsidRDefault="00755AFE" w:rsidP="004F2506">
            <w:pPr>
              <w:pStyle w:val="Small-TableswithinQuotes"/>
            </w:pPr>
            <w:r w:rsidRPr="00191F28">
              <w:t>Shine – Professional Costs (no uplift fee claimed)</w:t>
            </w:r>
          </w:p>
        </w:tc>
        <w:tc>
          <w:tcPr>
            <w:tcW w:w="2665" w:type="dxa"/>
          </w:tcPr>
          <w:p w14:paraId="33E0FEE3" w14:textId="4E23798D" w:rsidR="00735689" w:rsidRPr="002E023B" w:rsidRDefault="00B802BF" w:rsidP="004F2506">
            <w:pPr>
              <w:pStyle w:val="Small-TableswithinQuotes"/>
              <w:rPr>
                <w:szCs w:val="16"/>
              </w:rPr>
            </w:pPr>
            <w:r w:rsidRPr="002E023B">
              <w:rPr>
                <w:szCs w:val="16"/>
              </w:rPr>
              <w:t>$</w:t>
            </w:r>
            <w:r w:rsidR="005D3513" w:rsidRPr="002E023B">
              <w:rPr>
                <w:szCs w:val="16"/>
              </w:rPr>
              <w:t>40,000.00</w:t>
            </w:r>
          </w:p>
        </w:tc>
      </w:tr>
      <w:tr w:rsidR="00735689" w:rsidRPr="00B563E8" w14:paraId="6FB2BFEC" w14:textId="77777777" w:rsidTr="00191F28">
        <w:trPr>
          <w:jc w:val="right"/>
        </w:trPr>
        <w:tc>
          <w:tcPr>
            <w:tcW w:w="7088" w:type="dxa"/>
          </w:tcPr>
          <w:p w14:paraId="4A126C91" w14:textId="14B0F5DC" w:rsidR="00735689" w:rsidRPr="00191F28" w:rsidRDefault="00B802BF" w:rsidP="004F2506">
            <w:pPr>
              <w:pStyle w:val="Small-TableswithinQuotes"/>
            </w:pPr>
            <w:r w:rsidRPr="00191F28">
              <w:t>Counsels’ fees</w:t>
            </w:r>
          </w:p>
        </w:tc>
        <w:tc>
          <w:tcPr>
            <w:tcW w:w="2665" w:type="dxa"/>
          </w:tcPr>
          <w:p w14:paraId="3FDBD622" w14:textId="6BB064E0" w:rsidR="00735689" w:rsidRPr="002E023B" w:rsidRDefault="00B802BF" w:rsidP="004F2506">
            <w:pPr>
              <w:pStyle w:val="Small-TableswithinQuotes"/>
              <w:rPr>
                <w:szCs w:val="16"/>
              </w:rPr>
            </w:pPr>
            <w:r w:rsidRPr="002E023B">
              <w:rPr>
                <w:szCs w:val="16"/>
              </w:rPr>
              <w:t>$</w:t>
            </w:r>
            <w:r w:rsidR="005D3513" w:rsidRPr="002E023B">
              <w:rPr>
                <w:szCs w:val="16"/>
              </w:rPr>
              <w:t>57,000.00</w:t>
            </w:r>
          </w:p>
        </w:tc>
      </w:tr>
      <w:tr w:rsidR="00735689" w:rsidRPr="00B563E8" w14:paraId="574DBF23" w14:textId="77777777" w:rsidTr="00191F28">
        <w:trPr>
          <w:jc w:val="right"/>
        </w:trPr>
        <w:tc>
          <w:tcPr>
            <w:tcW w:w="7088" w:type="dxa"/>
          </w:tcPr>
          <w:p w14:paraId="3779BE51" w14:textId="433308FC" w:rsidR="00735689" w:rsidRPr="00191F28" w:rsidRDefault="00B802BF" w:rsidP="004F2506">
            <w:pPr>
              <w:pStyle w:val="Small-TableswithinQuotes"/>
            </w:pPr>
            <w:r w:rsidRPr="00191F28">
              <w:t>General Disbursements</w:t>
            </w:r>
          </w:p>
        </w:tc>
        <w:tc>
          <w:tcPr>
            <w:tcW w:w="2665" w:type="dxa"/>
          </w:tcPr>
          <w:p w14:paraId="5486ED63" w14:textId="2786CFE7" w:rsidR="00735689" w:rsidRPr="002E023B" w:rsidRDefault="00B802BF" w:rsidP="004F2506">
            <w:pPr>
              <w:pStyle w:val="Small-TableswithinQuotes"/>
              <w:rPr>
                <w:szCs w:val="16"/>
              </w:rPr>
            </w:pPr>
            <w:r w:rsidRPr="002E023B">
              <w:rPr>
                <w:szCs w:val="16"/>
              </w:rPr>
              <w:t>$</w:t>
            </w:r>
            <w:r w:rsidR="005D3513" w:rsidRPr="002E023B">
              <w:rPr>
                <w:szCs w:val="16"/>
              </w:rPr>
              <w:t>5,000.00</w:t>
            </w:r>
          </w:p>
        </w:tc>
      </w:tr>
      <w:tr w:rsidR="00735689" w:rsidRPr="00B563E8" w14:paraId="4FE8AD77" w14:textId="77777777" w:rsidTr="00191F28">
        <w:trPr>
          <w:jc w:val="right"/>
        </w:trPr>
        <w:tc>
          <w:tcPr>
            <w:tcW w:w="7088" w:type="dxa"/>
          </w:tcPr>
          <w:p w14:paraId="5CAA8930" w14:textId="5C21FF2A" w:rsidR="00735689" w:rsidRPr="00191F28" w:rsidRDefault="00B802BF" w:rsidP="004F2506">
            <w:pPr>
              <w:pStyle w:val="Small-TableswithinQuotes"/>
            </w:pPr>
            <w:r w:rsidRPr="00191F28">
              <w:t>My costs for preparation of this report</w:t>
            </w:r>
          </w:p>
        </w:tc>
        <w:tc>
          <w:tcPr>
            <w:tcW w:w="2665" w:type="dxa"/>
          </w:tcPr>
          <w:p w14:paraId="155DF0B9" w14:textId="17BC160E" w:rsidR="00735689" w:rsidRPr="002E023B" w:rsidRDefault="00B802BF" w:rsidP="004F2506">
            <w:pPr>
              <w:pStyle w:val="Small-TableswithinQuotes"/>
              <w:rPr>
                <w:szCs w:val="16"/>
              </w:rPr>
            </w:pPr>
            <w:r w:rsidRPr="002E023B">
              <w:rPr>
                <w:szCs w:val="16"/>
              </w:rPr>
              <w:t>$</w:t>
            </w:r>
            <w:r w:rsidR="005D3513" w:rsidRPr="002E023B">
              <w:rPr>
                <w:szCs w:val="16"/>
              </w:rPr>
              <w:t>6,022.50</w:t>
            </w:r>
          </w:p>
        </w:tc>
      </w:tr>
      <w:tr w:rsidR="00735689" w:rsidRPr="00B563E8" w14:paraId="5B243070" w14:textId="77777777" w:rsidTr="00191F28">
        <w:trPr>
          <w:jc w:val="right"/>
        </w:trPr>
        <w:tc>
          <w:tcPr>
            <w:tcW w:w="7088" w:type="dxa"/>
          </w:tcPr>
          <w:p w14:paraId="2C539A47" w14:textId="53B8D6C7" w:rsidR="00735689" w:rsidRPr="00191F28" w:rsidRDefault="00B802BF" w:rsidP="004F2506">
            <w:pPr>
              <w:pStyle w:val="Small-TableswithinQuotes"/>
            </w:pPr>
            <w:r w:rsidRPr="00191F28">
              <w:t>TOTAL REASONABLE COSTS &amp; DISBURSEMENTS</w:t>
            </w:r>
          </w:p>
        </w:tc>
        <w:tc>
          <w:tcPr>
            <w:tcW w:w="2665" w:type="dxa"/>
          </w:tcPr>
          <w:p w14:paraId="1E526CC9" w14:textId="1DE9A2F8" w:rsidR="00735689" w:rsidRPr="00191F28" w:rsidRDefault="00B802BF" w:rsidP="004F2506">
            <w:pPr>
              <w:pStyle w:val="Small-TableswithinQuotes"/>
              <w:rPr>
                <w:szCs w:val="16"/>
              </w:rPr>
            </w:pPr>
            <w:r w:rsidRPr="00191F28">
              <w:rPr>
                <w:szCs w:val="16"/>
              </w:rPr>
              <w:t>$</w:t>
            </w:r>
            <w:r w:rsidR="00D517C1" w:rsidRPr="00191F28">
              <w:rPr>
                <w:szCs w:val="16"/>
              </w:rPr>
              <w:t>346,097.17</w:t>
            </w:r>
          </w:p>
        </w:tc>
      </w:tr>
    </w:tbl>
    <w:p w14:paraId="168A73A1" w14:textId="02B1521D" w:rsidR="00A917B8" w:rsidRDefault="00A917B8" w:rsidP="001E3576">
      <w:pPr>
        <w:pStyle w:val="Heading3"/>
      </w:pPr>
      <w:r>
        <w:t>Summary of Shine’s submissions</w:t>
      </w:r>
    </w:p>
    <w:p w14:paraId="0E7617A6" w14:textId="1BAE2833" w:rsidR="00A917B8" w:rsidRPr="00107882" w:rsidRDefault="00B6500C" w:rsidP="00B6500C">
      <w:pPr>
        <w:pStyle w:val="ParaNumbering"/>
        <w:numPr>
          <w:ilvl w:val="0"/>
          <w:numId w:val="0"/>
        </w:numPr>
        <w:ind w:hanging="720"/>
        <w:rPr>
          <w:szCs w:val="24"/>
        </w:rPr>
      </w:pPr>
      <w:bookmarkStart w:id="30" w:name="_Ref164233688"/>
      <w:r w:rsidRPr="00107882">
        <w:rPr>
          <w:iCs/>
          <w:sz w:val="20"/>
          <w:szCs w:val="24"/>
        </w:rPr>
        <w:t>77</w:t>
      </w:r>
      <w:r w:rsidRPr="00107882">
        <w:rPr>
          <w:iCs/>
          <w:sz w:val="20"/>
          <w:szCs w:val="24"/>
        </w:rPr>
        <w:tab/>
      </w:r>
      <w:r w:rsidR="00410358">
        <w:rPr>
          <w:szCs w:val="24"/>
        </w:rPr>
        <w:t>Shine submitted that Ms Rosti’s opinion should be accepted. As to the litigation more generally, t</w:t>
      </w:r>
      <w:r w:rsidR="00A917B8">
        <w:rPr>
          <w:szCs w:val="24"/>
        </w:rPr>
        <w:t xml:space="preserve">he applicant </w:t>
      </w:r>
      <w:r w:rsidR="00410358">
        <w:rPr>
          <w:szCs w:val="24"/>
        </w:rPr>
        <w:t>submitted</w:t>
      </w:r>
      <w:r w:rsidR="00A917B8" w:rsidRPr="00107882">
        <w:rPr>
          <w:szCs w:val="24"/>
        </w:rPr>
        <w:t>:</w:t>
      </w:r>
      <w:bookmarkEnd w:id="30"/>
    </w:p>
    <w:p w14:paraId="63760063" w14:textId="5E0FB561" w:rsidR="00A917B8" w:rsidRPr="00107882" w:rsidRDefault="00B6500C" w:rsidP="00B6500C">
      <w:pPr>
        <w:pStyle w:val="FCBullets"/>
        <w:numPr>
          <w:ilvl w:val="0"/>
          <w:numId w:val="0"/>
        </w:numPr>
        <w:tabs>
          <w:tab w:val="left" w:pos="720"/>
        </w:tabs>
        <w:ind w:left="720" w:hanging="720"/>
        <w:rPr>
          <w:szCs w:val="24"/>
        </w:rPr>
      </w:pPr>
      <w:r w:rsidRPr="00107882">
        <w:rPr>
          <w:szCs w:val="24"/>
        </w:rPr>
        <w:t>(a)</w:t>
      </w:r>
      <w:r w:rsidRPr="00107882">
        <w:rPr>
          <w:szCs w:val="24"/>
        </w:rPr>
        <w:tab/>
      </w:r>
      <w:r w:rsidR="00A917B8" w:rsidRPr="00107882">
        <w:rPr>
          <w:szCs w:val="24"/>
        </w:rPr>
        <w:t>the</w:t>
      </w:r>
      <w:r w:rsidR="00A917B8" w:rsidRPr="00107882">
        <w:rPr>
          <w:spacing w:val="-13"/>
          <w:szCs w:val="24"/>
        </w:rPr>
        <w:t xml:space="preserve"> </w:t>
      </w:r>
      <w:r w:rsidR="00A917B8">
        <w:rPr>
          <w:szCs w:val="24"/>
        </w:rPr>
        <w:t>p</w:t>
      </w:r>
      <w:r w:rsidR="00A917B8" w:rsidRPr="00107882">
        <w:rPr>
          <w:szCs w:val="24"/>
        </w:rPr>
        <w:t>roceeding</w:t>
      </w:r>
      <w:r w:rsidR="00A917B8" w:rsidRPr="00107882">
        <w:rPr>
          <w:spacing w:val="-14"/>
          <w:szCs w:val="24"/>
        </w:rPr>
        <w:t xml:space="preserve"> </w:t>
      </w:r>
      <w:r w:rsidR="00A917B8" w:rsidRPr="00107882">
        <w:rPr>
          <w:szCs w:val="24"/>
        </w:rPr>
        <w:t>has</w:t>
      </w:r>
      <w:r w:rsidR="00A917B8" w:rsidRPr="00107882">
        <w:rPr>
          <w:spacing w:val="-11"/>
          <w:szCs w:val="24"/>
        </w:rPr>
        <w:t xml:space="preserve"> </w:t>
      </w:r>
      <w:r w:rsidR="00A917B8" w:rsidRPr="00107882">
        <w:rPr>
          <w:szCs w:val="24"/>
        </w:rPr>
        <w:t>been</w:t>
      </w:r>
      <w:r w:rsidR="00A917B8" w:rsidRPr="00107882">
        <w:rPr>
          <w:spacing w:val="-13"/>
          <w:szCs w:val="24"/>
        </w:rPr>
        <w:t xml:space="preserve"> </w:t>
      </w:r>
      <w:r w:rsidR="00A917B8" w:rsidRPr="00107882">
        <w:rPr>
          <w:szCs w:val="24"/>
        </w:rPr>
        <w:t>conducted</w:t>
      </w:r>
      <w:r w:rsidR="00A917B8" w:rsidRPr="00107882">
        <w:rPr>
          <w:spacing w:val="-12"/>
          <w:szCs w:val="24"/>
        </w:rPr>
        <w:t xml:space="preserve"> </w:t>
      </w:r>
      <w:r w:rsidR="00A917B8" w:rsidRPr="00107882">
        <w:rPr>
          <w:szCs w:val="24"/>
        </w:rPr>
        <w:t>for</w:t>
      </w:r>
      <w:r w:rsidR="00A917B8" w:rsidRPr="00107882">
        <w:rPr>
          <w:spacing w:val="-11"/>
          <w:szCs w:val="24"/>
        </w:rPr>
        <w:t xml:space="preserve"> </w:t>
      </w:r>
      <w:r w:rsidR="00A917B8" w:rsidRPr="00107882">
        <w:rPr>
          <w:szCs w:val="24"/>
        </w:rPr>
        <w:t>over</w:t>
      </w:r>
      <w:r w:rsidR="00A917B8" w:rsidRPr="00107882">
        <w:rPr>
          <w:spacing w:val="-12"/>
          <w:szCs w:val="24"/>
        </w:rPr>
        <w:t xml:space="preserve"> </w:t>
      </w:r>
      <w:r w:rsidR="00A917B8" w:rsidRPr="00107882">
        <w:rPr>
          <w:szCs w:val="24"/>
        </w:rPr>
        <w:t>two</w:t>
      </w:r>
      <w:r w:rsidR="00A917B8" w:rsidRPr="00107882">
        <w:rPr>
          <w:spacing w:val="-12"/>
          <w:szCs w:val="24"/>
        </w:rPr>
        <w:t xml:space="preserve"> </w:t>
      </w:r>
      <w:r w:rsidR="00A917B8" w:rsidRPr="00107882">
        <w:rPr>
          <w:szCs w:val="24"/>
        </w:rPr>
        <w:t>years</w:t>
      </w:r>
      <w:r w:rsidR="00A917B8" w:rsidRPr="00107882">
        <w:rPr>
          <w:spacing w:val="-11"/>
          <w:szCs w:val="24"/>
        </w:rPr>
        <w:t xml:space="preserve"> </w:t>
      </w:r>
      <w:r w:rsidR="00A917B8" w:rsidRPr="00107882">
        <w:rPr>
          <w:szCs w:val="24"/>
        </w:rPr>
        <w:t>and</w:t>
      </w:r>
      <w:r w:rsidR="00A917B8" w:rsidRPr="00107882">
        <w:rPr>
          <w:spacing w:val="-13"/>
          <w:szCs w:val="24"/>
        </w:rPr>
        <w:t xml:space="preserve"> </w:t>
      </w:r>
      <w:r w:rsidR="00A917B8" w:rsidRPr="00107882">
        <w:rPr>
          <w:szCs w:val="24"/>
        </w:rPr>
        <w:t>has</w:t>
      </w:r>
      <w:r w:rsidR="00A917B8" w:rsidRPr="00107882">
        <w:rPr>
          <w:spacing w:val="-11"/>
          <w:szCs w:val="24"/>
        </w:rPr>
        <w:t xml:space="preserve"> </w:t>
      </w:r>
      <w:r w:rsidR="00A917B8" w:rsidRPr="00107882">
        <w:rPr>
          <w:szCs w:val="24"/>
        </w:rPr>
        <w:t>been</w:t>
      </w:r>
      <w:r w:rsidR="00A917B8" w:rsidRPr="00107882">
        <w:rPr>
          <w:spacing w:val="-12"/>
          <w:szCs w:val="24"/>
        </w:rPr>
        <w:t xml:space="preserve"> </w:t>
      </w:r>
      <w:r w:rsidR="00A917B8" w:rsidRPr="00107882">
        <w:rPr>
          <w:szCs w:val="24"/>
        </w:rPr>
        <w:t>vigorously</w:t>
      </w:r>
      <w:r w:rsidR="00A917B8" w:rsidRPr="00107882">
        <w:rPr>
          <w:spacing w:val="-12"/>
          <w:szCs w:val="24"/>
        </w:rPr>
        <w:t xml:space="preserve"> </w:t>
      </w:r>
      <w:r w:rsidR="00A917B8" w:rsidRPr="00107882">
        <w:rPr>
          <w:spacing w:val="-2"/>
          <w:szCs w:val="24"/>
        </w:rPr>
        <w:t>defended;</w:t>
      </w:r>
    </w:p>
    <w:p w14:paraId="40F9C1F0" w14:textId="526A962A" w:rsidR="00A917B8" w:rsidRPr="00107882" w:rsidRDefault="00B6500C" w:rsidP="00B6500C">
      <w:pPr>
        <w:pStyle w:val="FCBullets"/>
        <w:numPr>
          <w:ilvl w:val="0"/>
          <w:numId w:val="0"/>
        </w:numPr>
        <w:tabs>
          <w:tab w:val="left" w:pos="720"/>
        </w:tabs>
        <w:ind w:left="720" w:hanging="720"/>
        <w:rPr>
          <w:szCs w:val="24"/>
        </w:rPr>
      </w:pPr>
      <w:r w:rsidRPr="00107882">
        <w:rPr>
          <w:szCs w:val="24"/>
        </w:rPr>
        <w:t>(b)</w:t>
      </w:r>
      <w:r w:rsidRPr="00107882">
        <w:rPr>
          <w:szCs w:val="24"/>
        </w:rPr>
        <w:tab/>
      </w:r>
      <w:r w:rsidR="00A917B8" w:rsidRPr="00107882">
        <w:rPr>
          <w:szCs w:val="24"/>
        </w:rPr>
        <w:t>the</w:t>
      </w:r>
      <w:r w:rsidR="00A917B8">
        <w:rPr>
          <w:szCs w:val="24"/>
        </w:rPr>
        <w:t>re were</w:t>
      </w:r>
      <w:r w:rsidR="00A917B8" w:rsidRPr="00107882">
        <w:rPr>
          <w:szCs w:val="24"/>
        </w:rPr>
        <w:t xml:space="preserve"> necessary costs incurred in preparing material in support of the carriage motion as well as attending the carriage motion hearing;</w:t>
      </w:r>
    </w:p>
    <w:p w14:paraId="4891E436" w14:textId="53111BF6" w:rsidR="00A917B8" w:rsidRPr="00107882" w:rsidRDefault="00B6500C" w:rsidP="00B6500C">
      <w:pPr>
        <w:pStyle w:val="FCBullets"/>
        <w:numPr>
          <w:ilvl w:val="0"/>
          <w:numId w:val="0"/>
        </w:numPr>
        <w:tabs>
          <w:tab w:val="left" w:pos="720"/>
        </w:tabs>
        <w:ind w:left="720" w:hanging="720"/>
        <w:rPr>
          <w:szCs w:val="24"/>
        </w:rPr>
      </w:pPr>
      <w:r w:rsidRPr="00107882">
        <w:rPr>
          <w:szCs w:val="24"/>
        </w:rPr>
        <w:lastRenderedPageBreak/>
        <w:t>(c)</w:t>
      </w:r>
      <w:r w:rsidRPr="00107882">
        <w:rPr>
          <w:szCs w:val="24"/>
        </w:rPr>
        <w:tab/>
      </w:r>
      <w:r w:rsidR="00A917B8" w:rsidRPr="00107882">
        <w:rPr>
          <w:szCs w:val="24"/>
        </w:rPr>
        <w:t>the</w:t>
      </w:r>
      <w:r w:rsidR="00A917B8" w:rsidRPr="00107882">
        <w:rPr>
          <w:spacing w:val="-7"/>
          <w:szCs w:val="24"/>
        </w:rPr>
        <w:t xml:space="preserve"> </w:t>
      </w:r>
      <w:r w:rsidR="00A917B8">
        <w:rPr>
          <w:szCs w:val="24"/>
        </w:rPr>
        <w:t>p</w:t>
      </w:r>
      <w:r w:rsidR="00A917B8" w:rsidRPr="00107882">
        <w:rPr>
          <w:szCs w:val="24"/>
        </w:rPr>
        <w:t>roceeding</w:t>
      </w:r>
      <w:r w:rsidR="00A917B8" w:rsidRPr="00107882">
        <w:rPr>
          <w:spacing w:val="-9"/>
          <w:szCs w:val="24"/>
        </w:rPr>
        <w:t xml:space="preserve"> </w:t>
      </w:r>
      <w:r w:rsidR="00A917B8" w:rsidRPr="00107882">
        <w:rPr>
          <w:szCs w:val="24"/>
        </w:rPr>
        <w:t>is</w:t>
      </w:r>
      <w:r w:rsidR="00A917B8" w:rsidRPr="00107882">
        <w:rPr>
          <w:spacing w:val="-7"/>
          <w:szCs w:val="24"/>
        </w:rPr>
        <w:t xml:space="preserve"> </w:t>
      </w:r>
      <w:r w:rsidR="00A917B8" w:rsidRPr="00107882">
        <w:rPr>
          <w:szCs w:val="24"/>
        </w:rPr>
        <w:t>at</w:t>
      </w:r>
      <w:r w:rsidR="00A917B8" w:rsidRPr="00107882">
        <w:rPr>
          <w:spacing w:val="-6"/>
          <w:szCs w:val="24"/>
        </w:rPr>
        <w:t xml:space="preserve"> </w:t>
      </w:r>
      <w:r w:rsidR="00A917B8" w:rsidRPr="00107882">
        <w:rPr>
          <w:szCs w:val="24"/>
        </w:rPr>
        <w:t>a</w:t>
      </w:r>
      <w:r w:rsidR="00A917B8" w:rsidRPr="00107882">
        <w:rPr>
          <w:spacing w:val="-7"/>
          <w:szCs w:val="24"/>
        </w:rPr>
        <w:t xml:space="preserve"> </w:t>
      </w:r>
      <w:r w:rsidR="00A917B8" w:rsidRPr="00107882">
        <w:rPr>
          <w:szCs w:val="24"/>
        </w:rPr>
        <w:t>stage</w:t>
      </w:r>
      <w:r w:rsidR="00A917B8" w:rsidRPr="00107882">
        <w:rPr>
          <w:spacing w:val="-7"/>
          <w:szCs w:val="24"/>
        </w:rPr>
        <w:t xml:space="preserve"> </w:t>
      </w:r>
      <w:r w:rsidR="00A917B8" w:rsidRPr="00107882">
        <w:rPr>
          <w:szCs w:val="24"/>
        </w:rPr>
        <w:t>where</w:t>
      </w:r>
      <w:r w:rsidR="00A917B8" w:rsidRPr="00107882">
        <w:rPr>
          <w:spacing w:val="-7"/>
          <w:szCs w:val="24"/>
        </w:rPr>
        <w:t xml:space="preserve"> </w:t>
      </w:r>
      <w:r w:rsidR="00A917B8" w:rsidRPr="00107882">
        <w:rPr>
          <w:szCs w:val="24"/>
        </w:rPr>
        <w:t>the</w:t>
      </w:r>
      <w:r w:rsidR="00A917B8" w:rsidRPr="00107882">
        <w:rPr>
          <w:spacing w:val="-7"/>
          <w:szCs w:val="24"/>
        </w:rPr>
        <w:t xml:space="preserve"> </w:t>
      </w:r>
      <w:r w:rsidR="00A917B8" w:rsidRPr="00107882">
        <w:rPr>
          <w:szCs w:val="24"/>
        </w:rPr>
        <w:t>parties</w:t>
      </w:r>
      <w:r w:rsidR="00A917B8" w:rsidRPr="00107882">
        <w:rPr>
          <w:spacing w:val="-7"/>
          <w:szCs w:val="24"/>
        </w:rPr>
        <w:t xml:space="preserve"> </w:t>
      </w:r>
      <w:r w:rsidR="00A917B8" w:rsidRPr="00107882">
        <w:rPr>
          <w:szCs w:val="24"/>
        </w:rPr>
        <w:t>are</w:t>
      </w:r>
      <w:r w:rsidR="00A917B8" w:rsidRPr="00107882">
        <w:rPr>
          <w:spacing w:val="-7"/>
          <w:szCs w:val="24"/>
        </w:rPr>
        <w:t xml:space="preserve"> </w:t>
      </w:r>
      <w:r w:rsidR="00A917B8" w:rsidRPr="00107882">
        <w:rPr>
          <w:szCs w:val="24"/>
        </w:rPr>
        <w:t>ready</w:t>
      </w:r>
      <w:r w:rsidR="00A917B8" w:rsidRPr="00107882">
        <w:rPr>
          <w:spacing w:val="-9"/>
          <w:szCs w:val="24"/>
        </w:rPr>
        <w:t xml:space="preserve"> </w:t>
      </w:r>
      <w:r w:rsidR="00A917B8" w:rsidRPr="00107882">
        <w:rPr>
          <w:szCs w:val="24"/>
        </w:rPr>
        <w:t>for</w:t>
      </w:r>
      <w:r w:rsidR="00A917B8" w:rsidRPr="00107882">
        <w:rPr>
          <w:spacing w:val="-6"/>
          <w:szCs w:val="24"/>
        </w:rPr>
        <w:t xml:space="preserve"> </w:t>
      </w:r>
      <w:r w:rsidR="00A917B8" w:rsidRPr="00107882">
        <w:rPr>
          <w:szCs w:val="24"/>
        </w:rPr>
        <w:t>the</w:t>
      </w:r>
      <w:r w:rsidR="00A917B8" w:rsidRPr="00107882">
        <w:rPr>
          <w:spacing w:val="-7"/>
          <w:szCs w:val="24"/>
        </w:rPr>
        <w:t xml:space="preserve"> </w:t>
      </w:r>
      <w:r w:rsidR="00A917B8" w:rsidRPr="00107882">
        <w:rPr>
          <w:szCs w:val="24"/>
        </w:rPr>
        <w:t>preparation</w:t>
      </w:r>
      <w:r w:rsidR="00A917B8" w:rsidRPr="00107882">
        <w:rPr>
          <w:spacing w:val="-7"/>
          <w:szCs w:val="24"/>
        </w:rPr>
        <w:t xml:space="preserve"> </w:t>
      </w:r>
      <w:r w:rsidR="00A917B8" w:rsidRPr="00107882">
        <w:rPr>
          <w:szCs w:val="24"/>
        </w:rPr>
        <w:t>of</w:t>
      </w:r>
      <w:r w:rsidR="00A917B8" w:rsidRPr="00107882">
        <w:rPr>
          <w:spacing w:val="-6"/>
          <w:szCs w:val="24"/>
        </w:rPr>
        <w:t xml:space="preserve"> </w:t>
      </w:r>
      <w:r w:rsidR="00A917B8" w:rsidRPr="00107882">
        <w:rPr>
          <w:szCs w:val="24"/>
        </w:rPr>
        <w:t>evidence</w:t>
      </w:r>
      <w:r w:rsidR="00A917B8" w:rsidRPr="00107882">
        <w:rPr>
          <w:spacing w:val="-7"/>
          <w:szCs w:val="24"/>
        </w:rPr>
        <w:t xml:space="preserve"> </w:t>
      </w:r>
      <w:r w:rsidR="00A917B8" w:rsidRPr="00107882">
        <w:rPr>
          <w:szCs w:val="24"/>
        </w:rPr>
        <w:t>in chief, expert evidence, discovery and obtaining defences as well as setting down for a trial date;</w:t>
      </w:r>
    </w:p>
    <w:p w14:paraId="1FECC529" w14:textId="2E281742" w:rsidR="00A917B8" w:rsidRPr="001E5710" w:rsidRDefault="00B6500C" w:rsidP="00B6500C">
      <w:pPr>
        <w:pStyle w:val="FCBullets"/>
        <w:numPr>
          <w:ilvl w:val="0"/>
          <w:numId w:val="0"/>
        </w:numPr>
        <w:tabs>
          <w:tab w:val="left" w:pos="720"/>
        </w:tabs>
        <w:ind w:left="720" w:hanging="720"/>
        <w:rPr>
          <w:szCs w:val="24"/>
        </w:rPr>
      </w:pPr>
      <w:r w:rsidRPr="001E5710">
        <w:rPr>
          <w:szCs w:val="24"/>
        </w:rPr>
        <w:t>(d)</w:t>
      </w:r>
      <w:r w:rsidRPr="001E5710">
        <w:rPr>
          <w:szCs w:val="24"/>
        </w:rPr>
        <w:tab/>
      </w:r>
      <w:r w:rsidR="00A917B8" w:rsidRPr="00800944">
        <w:rPr>
          <w:szCs w:val="24"/>
        </w:rPr>
        <w:t>the proceeding is complex, has novel aspects and has involved dealing with the administration of DASS shortly after the matter was filed as well as Shine</w:t>
      </w:r>
      <w:r w:rsidR="00AF77A3">
        <w:rPr>
          <w:szCs w:val="24"/>
        </w:rPr>
        <w:t>’s</w:t>
      </w:r>
      <w:r w:rsidR="00A917B8" w:rsidRPr="00800944">
        <w:rPr>
          <w:szCs w:val="24"/>
        </w:rPr>
        <w:t xml:space="preserve"> participation in the committee of inspection at the relevant creditors’ meetings;</w:t>
      </w:r>
    </w:p>
    <w:p w14:paraId="59546BB1" w14:textId="36DF435D" w:rsidR="00A917B8" w:rsidRPr="00107882" w:rsidRDefault="00B6500C" w:rsidP="00B6500C">
      <w:pPr>
        <w:pStyle w:val="FCBullets"/>
        <w:numPr>
          <w:ilvl w:val="0"/>
          <w:numId w:val="0"/>
        </w:numPr>
        <w:tabs>
          <w:tab w:val="left" w:pos="720"/>
        </w:tabs>
        <w:ind w:left="720" w:hanging="720"/>
        <w:rPr>
          <w:szCs w:val="24"/>
        </w:rPr>
      </w:pPr>
      <w:r w:rsidRPr="00107882">
        <w:rPr>
          <w:szCs w:val="24"/>
        </w:rPr>
        <w:t>(e)</w:t>
      </w:r>
      <w:r w:rsidRPr="00107882">
        <w:rPr>
          <w:szCs w:val="24"/>
        </w:rPr>
        <w:tab/>
      </w:r>
      <w:r w:rsidR="00A917B8" w:rsidRPr="00107882">
        <w:rPr>
          <w:szCs w:val="24"/>
        </w:rPr>
        <w:t>the parties and their legal representative</w:t>
      </w:r>
      <w:r w:rsidR="00AF77A3">
        <w:rPr>
          <w:szCs w:val="24"/>
        </w:rPr>
        <w:t>s</w:t>
      </w:r>
      <w:r w:rsidR="00A917B8" w:rsidRPr="00107882">
        <w:rPr>
          <w:szCs w:val="24"/>
        </w:rPr>
        <w:t xml:space="preserve"> attended two</w:t>
      </w:r>
      <w:r w:rsidR="00A917B8" w:rsidRPr="00107882">
        <w:rPr>
          <w:spacing w:val="-2"/>
          <w:szCs w:val="24"/>
        </w:rPr>
        <w:t xml:space="preserve"> </w:t>
      </w:r>
      <w:r w:rsidR="00A917B8" w:rsidRPr="00107882">
        <w:rPr>
          <w:szCs w:val="24"/>
        </w:rPr>
        <w:t>mediation sessions over two days in</w:t>
      </w:r>
      <w:r w:rsidR="00A917B8" w:rsidRPr="00107882">
        <w:rPr>
          <w:spacing w:val="-10"/>
          <w:szCs w:val="24"/>
        </w:rPr>
        <w:t xml:space="preserve"> </w:t>
      </w:r>
      <w:r w:rsidR="00A917B8" w:rsidRPr="00107882">
        <w:rPr>
          <w:szCs w:val="24"/>
        </w:rPr>
        <w:t>April</w:t>
      </w:r>
      <w:r w:rsidR="00A917B8" w:rsidRPr="00107882">
        <w:rPr>
          <w:spacing w:val="-9"/>
          <w:szCs w:val="24"/>
        </w:rPr>
        <w:t xml:space="preserve"> </w:t>
      </w:r>
      <w:r w:rsidR="00A917B8" w:rsidRPr="00107882">
        <w:rPr>
          <w:szCs w:val="24"/>
        </w:rPr>
        <w:t>and</w:t>
      </w:r>
      <w:r w:rsidR="00A917B8" w:rsidRPr="00107882">
        <w:rPr>
          <w:spacing w:val="-10"/>
          <w:szCs w:val="24"/>
        </w:rPr>
        <w:t xml:space="preserve"> </w:t>
      </w:r>
      <w:r w:rsidR="00A917B8" w:rsidRPr="00107882">
        <w:rPr>
          <w:szCs w:val="24"/>
        </w:rPr>
        <w:t>June</w:t>
      </w:r>
      <w:r w:rsidR="00A917B8" w:rsidRPr="00107882">
        <w:rPr>
          <w:spacing w:val="-9"/>
          <w:szCs w:val="24"/>
        </w:rPr>
        <w:t xml:space="preserve"> </w:t>
      </w:r>
      <w:r w:rsidR="00A917B8" w:rsidRPr="00107882">
        <w:rPr>
          <w:szCs w:val="24"/>
        </w:rPr>
        <w:t>2023,</w:t>
      </w:r>
      <w:r w:rsidR="00A917B8" w:rsidRPr="00107882">
        <w:rPr>
          <w:spacing w:val="-12"/>
          <w:szCs w:val="24"/>
        </w:rPr>
        <w:t xml:space="preserve"> </w:t>
      </w:r>
      <w:r w:rsidR="00A917B8" w:rsidRPr="00107882">
        <w:rPr>
          <w:szCs w:val="24"/>
        </w:rPr>
        <w:t>and</w:t>
      </w:r>
      <w:r w:rsidR="00A917B8" w:rsidRPr="00107882">
        <w:rPr>
          <w:spacing w:val="-12"/>
          <w:szCs w:val="24"/>
        </w:rPr>
        <w:t xml:space="preserve"> </w:t>
      </w:r>
      <w:r w:rsidR="00A917B8" w:rsidRPr="00107882">
        <w:rPr>
          <w:szCs w:val="24"/>
        </w:rPr>
        <w:t>subsequent</w:t>
      </w:r>
      <w:r w:rsidR="00A917B8" w:rsidRPr="00107882">
        <w:rPr>
          <w:spacing w:val="-9"/>
          <w:szCs w:val="24"/>
        </w:rPr>
        <w:t xml:space="preserve"> </w:t>
      </w:r>
      <w:r w:rsidR="00A917B8" w:rsidRPr="00107882">
        <w:rPr>
          <w:szCs w:val="24"/>
        </w:rPr>
        <w:t>detailed</w:t>
      </w:r>
      <w:r w:rsidR="00A917B8" w:rsidRPr="00107882">
        <w:rPr>
          <w:spacing w:val="-12"/>
          <w:szCs w:val="24"/>
        </w:rPr>
        <w:t xml:space="preserve"> </w:t>
      </w:r>
      <w:r w:rsidR="00A917B8" w:rsidRPr="00107882">
        <w:rPr>
          <w:szCs w:val="24"/>
        </w:rPr>
        <w:t>and</w:t>
      </w:r>
      <w:r w:rsidR="00A917B8" w:rsidRPr="00107882">
        <w:rPr>
          <w:spacing w:val="-12"/>
          <w:szCs w:val="24"/>
        </w:rPr>
        <w:t xml:space="preserve"> </w:t>
      </w:r>
      <w:r w:rsidR="00A917B8" w:rsidRPr="00107882">
        <w:rPr>
          <w:szCs w:val="24"/>
        </w:rPr>
        <w:t>protracted</w:t>
      </w:r>
      <w:r w:rsidR="00A917B8" w:rsidRPr="00107882">
        <w:rPr>
          <w:spacing w:val="-10"/>
          <w:szCs w:val="24"/>
        </w:rPr>
        <w:t xml:space="preserve"> </w:t>
      </w:r>
      <w:r w:rsidR="00A917B8" w:rsidRPr="00107882">
        <w:rPr>
          <w:szCs w:val="24"/>
        </w:rPr>
        <w:t>negotiations</w:t>
      </w:r>
      <w:r w:rsidR="00A917B8" w:rsidRPr="00107882">
        <w:rPr>
          <w:spacing w:val="-11"/>
          <w:szCs w:val="24"/>
        </w:rPr>
        <w:t xml:space="preserve"> </w:t>
      </w:r>
      <w:r w:rsidR="00A917B8" w:rsidRPr="00107882">
        <w:rPr>
          <w:szCs w:val="24"/>
        </w:rPr>
        <w:t>resulting in the execution of the Settlement Deed on 13 December 2023;</w:t>
      </w:r>
    </w:p>
    <w:p w14:paraId="16B44F2D" w14:textId="439E9C4E" w:rsidR="00A917B8" w:rsidRPr="00107882" w:rsidRDefault="00B6500C" w:rsidP="00B6500C">
      <w:pPr>
        <w:pStyle w:val="FCBullets"/>
        <w:numPr>
          <w:ilvl w:val="0"/>
          <w:numId w:val="0"/>
        </w:numPr>
        <w:tabs>
          <w:tab w:val="left" w:pos="720"/>
        </w:tabs>
        <w:ind w:left="720" w:hanging="720"/>
        <w:rPr>
          <w:szCs w:val="24"/>
        </w:rPr>
      </w:pPr>
      <w:r w:rsidRPr="00107882">
        <w:rPr>
          <w:szCs w:val="24"/>
        </w:rPr>
        <w:t>(f)</w:t>
      </w:r>
      <w:r w:rsidRPr="00107882">
        <w:rPr>
          <w:szCs w:val="24"/>
        </w:rPr>
        <w:tab/>
      </w:r>
      <w:r w:rsidR="00A917B8" w:rsidRPr="00107882">
        <w:rPr>
          <w:szCs w:val="24"/>
        </w:rPr>
        <w:t xml:space="preserve">between August 2020 and 31 December 2023, </w:t>
      </w:r>
      <w:r w:rsidR="00A917B8">
        <w:rPr>
          <w:szCs w:val="24"/>
        </w:rPr>
        <w:t>Shine</w:t>
      </w:r>
      <w:r w:rsidR="00A917B8" w:rsidRPr="00107882">
        <w:rPr>
          <w:szCs w:val="24"/>
        </w:rPr>
        <w:t xml:space="preserve"> received approximately 4,346 telephone calls </w:t>
      </w:r>
      <w:r w:rsidR="00370D4D">
        <w:rPr>
          <w:szCs w:val="24"/>
        </w:rPr>
        <w:t>and</w:t>
      </w:r>
      <w:r w:rsidR="00A917B8" w:rsidRPr="00107882">
        <w:rPr>
          <w:szCs w:val="24"/>
        </w:rPr>
        <w:t xml:space="preserve"> emails from </w:t>
      </w:r>
      <w:r w:rsidR="00B337C9">
        <w:rPr>
          <w:szCs w:val="24"/>
        </w:rPr>
        <w:t>g</w:t>
      </w:r>
      <w:r w:rsidR="00A917B8" w:rsidRPr="00107882">
        <w:rPr>
          <w:szCs w:val="24"/>
        </w:rPr>
        <w:t xml:space="preserve">roup </w:t>
      </w:r>
      <w:r w:rsidR="00B337C9">
        <w:rPr>
          <w:szCs w:val="24"/>
        </w:rPr>
        <w:t>m</w:t>
      </w:r>
      <w:r w:rsidR="00A917B8" w:rsidRPr="00107882">
        <w:rPr>
          <w:szCs w:val="24"/>
        </w:rPr>
        <w:t xml:space="preserve">embers enquiring about the </w:t>
      </w:r>
      <w:r w:rsidR="00A917B8">
        <w:rPr>
          <w:szCs w:val="24"/>
        </w:rPr>
        <w:t>p</w:t>
      </w:r>
      <w:r w:rsidR="00A917B8" w:rsidRPr="00107882">
        <w:rPr>
          <w:szCs w:val="24"/>
        </w:rPr>
        <w:t xml:space="preserve">roceeding requiring action from </w:t>
      </w:r>
      <w:r w:rsidR="00A917B8">
        <w:rPr>
          <w:szCs w:val="24"/>
        </w:rPr>
        <w:t>Shine’s</w:t>
      </w:r>
      <w:r w:rsidR="00A917B8" w:rsidRPr="00107882">
        <w:rPr>
          <w:szCs w:val="24"/>
        </w:rPr>
        <w:t xml:space="preserve"> legal team;</w:t>
      </w:r>
    </w:p>
    <w:p w14:paraId="1E4E3E14" w14:textId="4DA810F0" w:rsidR="00A917B8" w:rsidRDefault="00B6500C" w:rsidP="00B6500C">
      <w:pPr>
        <w:pStyle w:val="FCBullets"/>
        <w:numPr>
          <w:ilvl w:val="0"/>
          <w:numId w:val="0"/>
        </w:numPr>
        <w:tabs>
          <w:tab w:val="left" w:pos="720"/>
        </w:tabs>
        <w:ind w:left="720" w:hanging="720"/>
        <w:rPr>
          <w:szCs w:val="24"/>
        </w:rPr>
      </w:pPr>
      <w:r>
        <w:rPr>
          <w:szCs w:val="24"/>
        </w:rPr>
        <w:t>(g)</w:t>
      </w:r>
      <w:r>
        <w:rPr>
          <w:szCs w:val="24"/>
        </w:rPr>
        <w:tab/>
      </w:r>
      <w:r w:rsidR="00A917B8" w:rsidRPr="00107882">
        <w:rPr>
          <w:szCs w:val="24"/>
        </w:rPr>
        <w:t>the</w:t>
      </w:r>
      <w:r w:rsidR="00A917B8" w:rsidRPr="00107882">
        <w:rPr>
          <w:spacing w:val="-3"/>
          <w:szCs w:val="24"/>
        </w:rPr>
        <w:t xml:space="preserve"> </w:t>
      </w:r>
      <w:r w:rsidR="00A917B8" w:rsidRPr="00107882">
        <w:rPr>
          <w:szCs w:val="24"/>
        </w:rPr>
        <w:t>quantum of</w:t>
      </w:r>
      <w:r w:rsidR="00A917B8" w:rsidRPr="00107882">
        <w:rPr>
          <w:spacing w:val="-2"/>
          <w:szCs w:val="24"/>
        </w:rPr>
        <w:t xml:space="preserve"> </w:t>
      </w:r>
      <w:r w:rsidR="00A917B8" w:rsidRPr="00107882">
        <w:rPr>
          <w:szCs w:val="24"/>
        </w:rPr>
        <w:t>legal</w:t>
      </w:r>
      <w:r w:rsidR="00A917B8" w:rsidRPr="00107882">
        <w:rPr>
          <w:spacing w:val="-2"/>
          <w:szCs w:val="24"/>
        </w:rPr>
        <w:t xml:space="preserve"> </w:t>
      </w:r>
      <w:r w:rsidR="00A917B8" w:rsidRPr="00107882">
        <w:rPr>
          <w:szCs w:val="24"/>
        </w:rPr>
        <w:t>costs</w:t>
      </w:r>
      <w:r w:rsidR="00A917B8" w:rsidRPr="00107882">
        <w:rPr>
          <w:spacing w:val="-5"/>
          <w:szCs w:val="24"/>
        </w:rPr>
        <w:t xml:space="preserve"> </w:t>
      </w:r>
      <w:r w:rsidR="00A917B8" w:rsidRPr="00107882">
        <w:rPr>
          <w:szCs w:val="24"/>
        </w:rPr>
        <w:t>and</w:t>
      </w:r>
      <w:r w:rsidR="00A917B8" w:rsidRPr="00107882">
        <w:rPr>
          <w:spacing w:val="-1"/>
          <w:szCs w:val="24"/>
        </w:rPr>
        <w:t xml:space="preserve"> </w:t>
      </w:r>
      <w:r w:rsidR="00A917B8" w:rsidRPr="00107882">
        <w:rPr>
          <w:szCs w:val="24"/>
        </w:rPr>
        <w:t>disbursements do</w:t>
      </w:r>
      <w:r w:rsidR="00951A83">
        <w:rPr>
          <w:szCs w:val="24"/>
        </w:rPr>
        <w:t>es</w:t>
      </w:r>
      <w:r w:rsidR="00A917B8" w:rsidRPr="00107882">
        <w:rPr>
          <w:spacing w:val="-13"/>
          <w:szCs w:val="24"/>
        </w:rPr>
        <w:t xml:space="preserve"> </w:t>
      </w:r>
      <w:r w:rsidR="00A917B8" w:rsidRPr="00107882">
        <w:rPr>
          <w:szCs w:val="24"/>
        </w:rPr>
        <w:t>not</w:t>
      </w:r>
      <w:r w:rsidR="00A917B8" w:rsidRPr="00107882">
        <w:rPr>
          <w:spacing w:val="-12"/>
          <w:szCs w:val="24"/>
        </w:rPr>
        <w:t xml:space="preserve"> </w:t>
      </w:r>
      <w:r w:rsidR="00A917B8" w:rsidRPr="00107882">
        <w:rPr>
          <w:szCs w:val="24"/>
        </w:rPr>
        <w:t>exceed</w:t>
      </w:r>
      <w:r w:rsidR="00A917B8" w:rsidRPr="00107882">
        <w:rPr>
          <w:spacing w:val="-14"/>
          <w:szCs w:val="24"/>
        </w:rPr>
        <w:t xml:space="preserve"> </w:t>
      </w:r>
      <w:r w:rsidR="00A917B8" w:rsidRPr="00107882">
        <w:rPr>
          <w:szCs w:val="24"/>
        </w:rPr>
        <w:t>the</w:t>
      </w:r>
      <w:r w:rsidR="00A917B8" w:rsidRPr="00107882">
        <w:rPr>
          <w:spacing w:val="-13"/>
          <w:szCs w:val="24"/>
        </w:rPr>
        <w:t xml:space="preserve"> </w:t>
      </w:r>
      <w:r w:rsidR="00A917B8" w:rsidRPr="00107882">
        <w:rPr>
          <w:szCs w:val="24"/>
        </w:rPr>
        <w:t>quantum</w:t>
      </w:r>
      <w:r w:rsidR="00A917B8" w:rsidRPr="00107882">
        <w:rPr>
          <w:spacing w:val="-14"/>
          <w:szCs w:val="24"/>
        </w:rPr>
        <w:t xml:space="preserve"> </w:t>
      </w:r>
      <w:r w:rsidR="00A917B8" w:rsidRPr="00107882">
        <w:rPr>
          <w:szCs w:val="24"/>
        </w:rPr>
        <w:t>of</w:t>
      </w:r>
      <w:r w:rsidR="00A917B8" w:rsidRPr="00107882">
        <w:rPr>
          <w:spacing w:val="-13"/>
          <w:szCs w:val="24"/>
        </w:rPr>
        <w:t xml:space="preserve"> </w:t>
      </w:r>
      <w:r w:rsidR="00A917B8" w:rsidRPr="00107882">
        <w:rPr>
          <w:szCs w:val="24"/>
        </w:rPr>
        <w:t>the</w:t>
      </w:r>
      <w:r w:rsidR="00A917B8" w:rsidRPr="00107882">
        <w:rPr>
          <w:spacing w:val="-14"/>
          <w:szCs w:val="24"/>
        </w:rPr>
        <w:t xml:space="preserve"> </w:t>
      </w:r>
      <w:r w:rsidR="00A917B8" w:rsidRPr="00107882">
        <w:rPr>
          <w:szCs w:val="24"/>
        </w:rPr>
        <w:t>legal</w:t>
      </w:r>
      <w:r w:rsidR="00A917B8" w:rsidRPr="00107882">
        <w:rPr>
          <w:spacing w:val="-14"/>
          <w:szCs w:val="24"/>
        </w:rPr>
        <w:t xml:space="preserve"> </w:t>
      </w:r>
      <w:r w:rsidR="00A917B8" w:rsidRPr="00107882">
        <w:rPr>
          <w:szCs w:val="24"/>
        </w:rPr>
        <w:t>costs</w:t>
      </w:r>
      <w:r w:rsidR="00A917B8" w:rsidRPr="00107882">
        <w:rPr>
          <w:spacing w:val="-14"/>
          <w:szCs w:val="24"/>
        </w:rPr>
        <w:t xml:space="preserve"> </w:t>
      </w:r>
      <w:r w:rsidR="00A917B8" w:rsidRPr="00107882">
        <w:rPr>
          <w:szCs w:val="24"/>
        </w:rPr>
        <w:t>and</w:t>
      </w:r>
      <w:r w:rsidR="00A917B8" w:rsidRPr="00107882">
        <w:rPr>
          <w:spacing w:val="-13"/>
          <w:szCs w:val="24"/>
        </w:rPr>
        <w:t xml:space="preserve"> </w:t>
      </w:r>
      <w:r w:rsidR="00A917B8" w:rsidRPr="00107882">
        <w:rPr>
          <w:szCs w:val="24"/>
        </w:rPr>
        <w:t>disbursements that</w:t>
      </w:r>
      <w:r w:rsidR="00A917B8" w:rsidRPr="00107882">
        <w:rPr>
          <w:spacing w:val="-7"/>
          <w:szCs w:val="24"/>
        </w:rPr>
        <w:t xml:space="preserve"> </w:t>
      </w:r>
      <w:r w:rsidR="00A917B8" w:rsidRPr="00107882">
        <w:rPr>
          <w:szCs w:val="24"/>
        </w:rPr>
        <w:t>were</w:t>
      </w:r>
      <w:r w:rsidR="00A917B8" w:rsidRPr="00107882">
        <w:rPr>
          <w:spacing w:val="-9"/>
          <w:szCs w:val="24"/>
        </w:rPr>
        <w:t xml:space="preserve"> </w:t>
      </w:r>
      <w:r w:rsidR="00A917B8" w:rsidRPr="00107882">
        <w:rPr>
          <w:szCs w:val="24"/>
        </w:rPr>
        <w:t>first</w:t>
      </w:r>
      <w:r w:rsidR="00A917B8" w:rsidRPr="00107882">
        <w:rPr>
          <w:spacing w:val="-7"/>
          <w:szCs w:val="24"/>
        </w:rPr>
        <w:t xml:space="preserve"> </w:t>
      </w:r>
      <w:r w:rsidR="00A917B8" w:rsidRPr="00107882">
        <w:rPr>
          <w:szCs w:val="24"/>
        </w:rPr>
        <w:t>estimated</w:t>
      </w:r>
      <w:r w:rsidR="00A917B8" w:rsidRPr="00107882">
        <w:rPr>
          <w:spacing w:val="-9"/>
          <w:szCs w:val="24"/>
        </w:rPr>
        <w:t xml:space="preserve"> </w:t>
      </w:r>
      <w:r w:rsidR="00A917B8" w:rsidRPr="00107882">
        <w:rPr>
          <w:szCs w:val="24"/>
        </w:rPr>
        <w:t>and</w:t>
      </w:r>
      <w:r w:rsidR="00A917B8" w:rsidRPr="00107882">
        <w:rPr>
          <w:spacing w:val="-7"/>
          <w:szCs w:val="24"/>
        </w:rPr>
        <w:t xml:space="preserve"> </w:t>
      </w:r>
      <w:r w:rsidR="00A917B8" w:rsidRPr="00107882">
        <w:rPr>
          <w:szCs w:val="24"/>
        </w:rPr>
        <w:t>disclosed</w:t>
      </w:r>
      <w:r w:rsidR="00A917B8" w:rsidRPr="00107882">
        <w:rPr>
          <w:spacing w:val="-7"/>
          <w:szCs w:val="24"/>
        </w:rPr>
        <w:t xml:space="preserve"> </w:t>
      </w:r>
      <w:r w:rsidR="00A917B8" w:rsidRPr="00107882">
        <w:rPr>
          <w:szCs w:val="24"/>
        </w:rPr>
        <w:t>to</w:t>
      </w:r>
      <w:r w:rsidR="00A917B8" w:rsidRPr="00107882">
        <w:rPr>
          <w:spacing w:val="-8"/>
          <w:szCs w:val="24"/>
        </w:rPr>
        <w:t xml:space="preserve"> </w:t>
      </w:r>
      <w:r w:rsidR="00A917B8" w:rsidRPr="00107882">
        <w:rPr>
          <w:szCs w:val="24"/>
        </w:rPr>
        <w:t>the</w:t>
      </w:r>
      <w:r w:rsidR="00A917B8" w:rsidRPr="00107882">
        <w:rPr>
          <w:spacing w:val="-7"/>
          <w:szCs w:val="24"/>
        </w:rPr>
        <w:t xml:space="preserve"> </w:t>
      </w:r>
      <w:r w:rsidR="00A917B8" w:rsidRPr="00107882">
        <w:rPr>
          <w:szCs w:val="24"/>
        </w:rPr>
        <w:t>lead</w:t>
      </w:r>
      <w:r w:rsidR="00A917B8" w:rsidRPr="00107882">
        <w:rPr>
          <w:spacing w:val="-7"/>
          <w:szCs w:val="24"/>
        </w:rPr>
        <w:t xml:space="preserve"> </w:t>
      </w:r>
      <w:r w:rsidR="00A917B8">
        <w:rPr>
          <w:szCs w:val="24"/>
        </w:rPr>
        <w:t>a</w:t>
      </w:r>
      <w:r w:rsidR="00A917B8" w:rsidRPr="00107882">
        <w:rPr>
          <w:szCs w:val="24"/>
        </w:rPr>
        <w:t>pplicant</w:t>
      </w:r>
      <w:r w:rsidR="00A917B8" w:rsidRPr="00107882">
        <w:rPr>
          <w:spacing w:val="-7"/>
          <w:szCs w:val="24"/>
        </w:rPr>
        <w:t xml:space="preserve"> </w:t>
      </w:r>
      <w:r w:rsidR="00A917B8" w:rsidRPr="00107882">
        <w:rPr>
          <w:szCs w:val="24"/>
        </w:rPr>
        <w:t>in</w:t>
      </w:r>
      <w:r w:rsidR="00A917B8" w:rsidRPr="00107882">
        <w:rPr>
          <w:spacing w:val="-7"/>
          <w:szCs w:val="24"/>
        </w:rPr>
        <w:t xml:space="preserve"> </w:t>
      </w:r>
      <w:r w:rsidR="00A917B8" w:rsidRPr="00107882">
        <w:rPr>
          <w:szCs w:val="24"/>
        </w:rPr>
        <w:t>the</w:t>
      </w:r>
      <w:r w:rsidR="00A917B8" w:rsidRPr="00107882">
        <w:rPr>
          <w:spacing w:val="-7"/>
          <w:szCs w:val="24"/>
        </w:rPr>
        <w:t xml:space="preserve"> </w:t>
      </w:r>
      <w:r w:rsidR="00A917B8">
        <w:rPr>
          <w:szCs w:val="24"/>
        </w:rPr>
        <w:t>r</w:t>
      </w:r>
      <w:r w:rsidR="00A917B8" w:rsidRPr="00107882">
        <w:rPr>
          <w:szCs w:val="24"/>
        </w:rPr>
        <w:t>etainer; and</w:t>
      </w:r>
    </w:p>
    <w:p w14:paraId="3AB038BE" w14:textId="469E9ADE" w:rsidR="00A917B8" w:rsidRPr="00AB0F64" w:rsidRDefault="00B6500C" w:rsidP="00B6500C">
      <w:pPr>
        <w:pStyle w:val="FCBullets"/>
        <w:numPr>
          <w:ilvl w:val="0"/>
          <w:numId w:val="0"/>
        </w:numPr>
        <w:tabs>
          <w:tab w:val="left" w:pos="720"/>
        </w:tabs>
        <w:ind w:left="720" w:hanging="720"/>
        <w:rPr>
          <w:szCs w:val="24"/>
        </w:rPr>
      </w:pPr>
      <w:r w:rsidRPr="00AB0F64">
        <w:rPr>
          <w:szCs w:val="24"/>
        </w:rPr>
        <w:t>(h)</w:t>
      </w:r>
      <w:r w:rsidRPr="00AB0F64">
        <w:rPr>
          <w:szCs w:val="24"/>
        </w:rPr>
        <w:tab/>
      </w:r>
      <w:r w:rsidR="00A917B8">
        <w:rPr>
          <w:szCs w:val="24"/>
        </w:rPr>
        <w:t>t</w:t>
      </w:r>
      <w:r w:rsidR="00A917B8" w:rsidRPr="00AB0F64">
        <w:rPr>
          <w:szCs w:val="24"/>
        </w:rPr>
        <w:t>he</w:t>
      </w:r>
      <w:r w:rsidR="00A917B8" w:rsidRPr="00AB0F64">
        <w:rPr>
          <w:spacing w:val="-2"/>
          <w:szCs w:val="24"/>
        </w:rPr>
        <w:t xml:space="preserve"> </w:t>
      </w:r>
      <w:r w:rsidR="00A917B8" w:rsidRPr="00AB0F64">
        <w:rPr>
          <w:szCs w:val="24"/>
        </w:rPr>
        <w:t>legal</w:t>
      </w:r>
      <w:r w:rsidR="00A917B8" w:rsidRPr="00AB0F64">
        <w:rPr>
          <w:spacing w:val="-4"/>
          <w:szCs w:val="24"/>
        </w:rPr>
        <w:t xml:space="preserve"> </w:t>
      </w:r>
      <w:r w:rsidR="00A917B8" w:rsidRPr="00AB0F64">
        <w:rPr>
          <w:szCs w:val="24"/>
        </w:rPr>
        <w:t>costs</w:t>
      </w:r>
      <w:r w:rsidR="00A917B8" w:rsidRPr="00AB0F64">
        <w:rPr>
          <w:spacing w:val="-2"/>
          <w:szCs w:val="24"/>
        </w:rPr>
        <w:t xml:space="preserve"> </w:t>
      </w:r>
      <w:r w:rsidR="00A917B8" w:rsidRPr="00AB0F64">
        <w:rPr>
          <w:szCs w:val="24"/>
        </w:rPr>
        <w:t>have</w:t>
      </w:r>
      <w:r w:rsidR="00A917B8" w:rsidRPr="00AB0F64">
        <w:rPr>
          <w:spacing w:val="-4"/>
          <w:szCs w:val="24"/>
        </w:rPr>
        <w:t xml:space="preserve"> </w:t>
      </w:r>
      <w:r w:rsidR="00A917B8" w:rsidRPr="00AB0F64">
        <w:rPr>
          <w:szCs w:val="24"/>
        </w:rPr>
        <w:t>in</w:t>
      </w:r>
      <w:r w:rsidR="00A917B8" w:rsidRPr="00AB0F64">
        <w:rPr>
          <w:spacing w:val="-2"/>
          <w:szCs w:val="24"/>
        </w:rPr>
        <w:t xml:space="preserve"> </w:t>
      </w:r>
      <w:r w:rsidR="00A917B8" w:rsidRPr="00AB0F64">
        <w:rPr>
          <w:szCs w:val="24"/>
        </w:rPr>
        <w:t>fact</w:t>
      </w:r>
      <w:r w:rsidR="00A917B8" w:rsidRPr="00AB0F64">
        <w:rPr>
          <w:spacing w:val="-4"/>
          <w:szCs w:val="24"/>
        </w:rPr>
        <w:t xml:space="preserve"> </w:t>
      </w:r>
      <w:r w:rsidR="00A917B8" w:rsidRPr="00AB0F64">
        <w:rPr>
          <w:szCs w:val="24"/>
        </w:rPr>
        <w:t>already</w:t>
      </w:r>
      <w:r w:rsidR="00A917B8" w:rsidRPr="00AB0F64">
        <w:rPr>
          <w:spacing w:val="-5"/>
          <w:szCs w:val="24"/>
        </w:rPr>
        <w:t xml:space="preserve"> </w:t>
      </w:r>
      <w:r w:rsidR="00A917B8" w:rsidRPr="00AB0F64">
        <w:rPr>
          <w:szCs w:val="24"/>
        </w:rPr>
        <w:t>been</w:t>
      </w:r>
      <w:r w:rsidR="00A917B8" w:rsidRPr="00AB0F64">
        <w:rPr>
          <w:spacing w:val="-5"/>
          <w:szCs w:val="24"/>
        </w:rPr>
        <w:t xml:space="preserve"> </w:t>
      </w:r>
      <w:r w:rsidR="00A917B8" w:rsidRPr="00AB0F64">
        <w:rPr>
          <w:szCs w:val="24"/>
        </w:rPr>
        <w:t>paid</w:t>
      </w:r>
      <w:r w:rsidR="00A917B8" w:rsidRPr="00AB0F64">
        <w:rPr>
          <w:spacing w:val="-2"/>
          <w:szCs w:val="24"/>
        </w:rPr>
        <w:t xml:space="preserve"> </w:t>
      </w:r>
      <w:r w:rsidR="00A917B8" w:rsidRPr="00AB0F64">
        <w:rPr>
          <w:szCs w:val="24"/>
        </w:rPr>
        <w:t>or</w:t>
      </w:r>
      <w:r w:rsidR="00A917B8" w:rsidRPr="00AB0F64">
        <w:rPr>
          <w:spacing w:val="-4"/>
          <w:szCs w:val="24"/>
        </w:rPr>
        <w:t xml:space="preserve"> </w:t>
      </w:r>
      <w:r w:rsidR="00A917B8" w:rsidRPr="00AB0F64">
        <w:rPr>
          <w:szCs w:val="24"/>
        </w:rPr>
        <w:t>incurred</w:t>
      </w:r>
      <w:r w:rsidR="00A917B8" w:rsidRPr="00AB0F64">
        <w:rPr>
          <w:spacing w:val="-2"/>
          <w:szCs w:val="24"/>
        </w:rPr>
        <w:t xml:space="preserve"> </w:t>
      </w:r>
      <w:r w:rsidR="00A917B8" w:rsidRPr="00AB0F64">
        <w:rPr>
          <w:szCs w:val="24"/>
        </w:rPr>
        <w:t>by</w:t>
      </w:r>
      <w:r w:rsidR="00A917B8" w:rsidRPr="00AB0F64">
        <w:rPr>
          <w:spacing w:val="-2"/>
          <w:szCs w:val="24"/>
        </w:rPr>
        <w:t xml:space="preserve"> </w:t>
      </w:r>
      <w:r w:rsidR="00A917B8">
        <w:rPr>
          <w:szCs w:val="24"/>
        </w:rPr>
        <w:t>Shine</w:t>
      </w:r>
      <w:r w:rsidR="00A917B8" w:rsidRPr="00AB0F64">
        <w:rPr>
          <w:szCs w:val="24"/>
        </w:rPr>
        <w:t>.</w:t>
      </w:r>
      <w:r w:rsidR="00A917B8" w:rsidRPr="00AB0F64">
        <w:rPr>
          <w:spacing w:val="-2"/>
          <w:szCs w:val="24"/>
        </w:rPr>
        <w:t xml:space="preserve"> </w:t>
      </w:r>
    </w:p>
    <w:p w14:paraId="6E33027F" w14:textId="77777777" w:rsidR="00A917B8" w:rsidRDefault="00A917B8" w:rsidP="00A917B8">
      <w:pPr>
        <w:pStyle w:val="Heading3"/>
      </w:pPr>
      <w:r>
        <w:t>Summary of Deed Administrators’ submissions</w:t>
      </w:r>
    </w:p>
    <w:p w14:paraId="5C61B88E" w14:textId="3E1F020E" w:rsidR="00C2267E" w:rsidRPr="00F548C7" w:rsidRDefault="00B6500C" w:rsidP="00B6500C">
      <w:pPr>
        <w:pStyle w:val="ParaNumbering"/>
        <w:numPr>
          <w:ilvl w:val="0"/>
          <w:numId w:val="0"/>
        </w:numPr>
        <w:ind w:hanging="720"/>
      </w:pPr>
      <w:r w:rsidRPr="00F548C7">
        <w:rPr>
          <w:iCs/>
          <w:sz w:val="20"/>
        </w:rPr>
        <w:t>78</w:t>
      </w:r>
      <w:r w:rsidRPr="00F548C7">
        <w:rPr>
          <w:iCs/>
          <w:sz w:val="20"/>
        </w:rPr>
        <w:tab/>
      </w:r>
      <w:r w:rsidR="00716123" w:rsidRPr="00F548C7">
        <w:t xml:space="preserve">The Deed Administrators </w:t>
      </w:r>
      <w:r w:rsidR="006D04D7" w:rsidRPr="00F548C7">
        <w:t xml:space="preserve">had been provided access to a redacted version of Ms Rosati’s report of 2 February 2024 and </w:t>
      </w:r>
      <w:r w:rsidR="00716123" w:rsidRPr="00F548C7">
        <w:t xml:space="preserve">made a number of submissions in relation to the costs claimed by Shine. There was </w:t>
      </w:r>
      <w:r w:rsidR="00E1349C" w:rsidRPr="00F548C7">
        <w:t xml:space="preserve">some </w:t>
      </w:r>
      <w:r w:rsidR="00716123" w:rsidRPr="00F548C7">
        <w:t xml:space="preserve">debate about whether </w:t>
      </w:r>
      <w:r w:rsidR="00A10873" w:rsidRPr="00F548C7">
        <w:t>the Deed Administrator</w:t>
      </w:r>
      <w:r w:rsidR="00F51E2C">
        <w:t>s</w:t>
      </w:r>
      <w:r w:rsidR="00A10873" w:rsidRPr="00F548C7">
        <w:t xml:space="preserve"> had standing in this respect, but </w:t>
      </w:r>
      <w:r w:rsidR="00E1349C" w:rsidRPr="00F548C7">
        <w:t xml:space="preserve">ultimately </w:t>
      </w:r>
      <w:r w:rsidR="00A10873" w:rsidRPr="00F548C7">
        <w:t>n</w:t>
      </w:r>
      <w:r w:rsidR="00E1349C" w:rsidRPr="00F548C7">
        <w:t>o-one objected to the Court taking into account what the Deed Administrator</w:t>
      </w:r>
      <w:r w:rsidR="00F51E2C">
        <w:t>s</w:t>
      </w:r>
      <w:r w:rsidR="00E1349C" w:rsidRPr="00F548C7">
        <w:t xml:space="preserve"> submitted or what </w:t>
      </w:r>
      <w:r w:rsidR="00E73E47" w:rsidRPr="00F548C7">
        <w:t>the applicant submitted in response.</w:t>
      </w:r>
      <w:r w:rsidR="00716123" w:rsidRPr="00F548C7">
        <w:t xml:space="preserve"> </w:t>
      </w:r>
    </w:p>
    <w:p w14:paraId="13DBFCF3" w14:textId="48CEBC6A" w:rsidR="00C0563D" w:rsidRDefault="00B6500C" w:rsidP="00B6500C">
      <w:pPr>
        <w:pStyle w:val="ParaNumbering"/>
        <w:numPr>
          <w:ilvl w:val="0"/>
          <w:numId w:val="0"/>
        </w:numPr>
        <w:ind w:hanging="720"/>
        <w:rPr>
          <w:szCs w:val="24"/>
        </w:rPr>
      </w:pPr>
      <w:r>
        <w:rPr>
          <w:iCs/>
          <w:sz w:val="20"/>
          <w:szCs w:val="24"/>
        </w:rPr>
        <w:t>79</w:t>
      </w:r>
      <w:r>
        <w:rPr>
          <w:iCs/>
          <w:sz w:val="20"/>
          <w:szCs w:val="24"/>
        </w:rPr>
        <w:tab/>
      </w:r>
      <w:r w:rsidR="008F5899">
        <w:rPr>
          <w:szCs w:val="24"/>
        </w:rPr>
        <w:t xml:space="preserve">At the core of the submissions made by the Deed Administrators was the proposition that the </w:t>
      </w:r>
      <w:r w:rsidR="001F5123">
        <w:rPr>
          <w:szCs w:val="24"/>
        </w:rPr>
        <w:t>L</w:t>
      </w:r>
      <w:r w:rsidR="008F5899">
        <w:rPr>
          <w:szCs w:val="24"/>
        </w:rPr>
        <w:t xml:space="preserve">etter of </w:t>
      </w:r>
      <w:r w:rsidR="001F5123">
        <w:rPr>
          <w:szCs w:val="24"/>
        </w:rPr>
        <w:t>I</w:t>
      </w:r>
      <w:r w:rsidR="008F5899">
        <w:rPr>
          <w:szCs w:val="24"/>
        </w:rPr>
        <w:t xml:space="preserve">nstruction to Ms Rosati </w:t>
      </w:r>
      <w:r w:rsidR="00CF2772">
        <w:rPr>
          <w:szCs w:val="24"/>
        </w:rPr>
        <w:t>was, in a number of ways</w:t>
      </w:r>
      <w:r w:rsidR="00091F3D">
        <w:rPr>
          <w:szCs w:val="24"/>
        </w:rPr>
        <w:t>,</w:t>
      </w:r>
      <w:r w:rsidR="00CF2772">
        <w:rPr>
          <w:szCs w:val="24"/>
        </w:rPr>
        <w:t xml:space="preserve"> </w:t>
      </w:r>
      <w:r w:rsidR="00091F3D">
        <w:rPr>
          <w:szCs w:val="24"/>
        </w:rPr>
        <w:t>conclusionary and lacking in foundation</w:t>
      </w:r>
      <w:r w:rsidR="00AA7E7F">
        <w:rPr>
          <w:szCs w:val="24"/>
        </w:rPr>
        <w:t xml:space="preserve">: </w:t>
      </w:r>
      <w:r w:rsidR="00F51E2C">
        <w:rPr>
          <w:szCs w:val="24"/>
        </w:rPr>
        <w:t xml:space="preserve">Deed Administrators’ </w:t>
      </w:r>
      <w:r w:rsidR="00AA7E7F">
        <w:rPr>
          <w:szCs w:val="24"/>
        </w:rPr>
        <w:t>Submissions at [42]</w:t>
      </w:r>
      <w:r w:rsidR="00091F3D">
        <w:rPr>
          <w:szCs w:val="24"/>
        </w:rPr>
        <w:t xml:space="preserve">. </w:t>
      </w:r>
      <w:r w:rsidR="00C0563D">
        <w:rPr>
          <w:szCs w:val="24"/>
        </w:rPr>
        <w:t>The Letter of Instruction included the following:</w:t>
      </w:r>
    </w:p>
    <w:p w14:paraId="7983C373" w14:textId="77777777" w:rsidR="00C0563D" w:rsidRPr="006C11EB" w:rsidRDefault="00C0563D" w:rsidP="008F3A1D">
      <w:pPr>
        <w:pStyle w:val="Quote1"/>
        <w:keepNext/>
        <w:rPr>
          <w:b/>
          <w:bCs/>
        </w:rPr>
      </w:pPr>
      <w:r w:rsidRPr="006C11EB">
        <w:rPr>
          <w:b/>
          <w:bCs/>
        </w:rPr>
        <w:t>Complexity of the litigation</w:t>
      </w:r>
    </w:p>
    <w:p w14:paraId="4EEE166D" w14:textId="77777777" w:rsidR="00C0563D" w:rsidRPr="00BC369E" w:rsidRDefault="00C0563D" w:rsidP="00806DF3">
      <w:pPr>
        <w:pStyle w:val="Quote1"/>
        <w:widowControl/>
        <w:ind w:left="1440" w:hanging="703"/>
      </w:pPr>
      <w:r>
        <w:t>[19]</w:t>
      </w:r>
      <w:r>
        <w:tab/>
      </w:r>
      <w:r w:rsidRPr="00BC369E">
        <w:t>We note the litigation was conducted over three years and proceeded on an open</w:t>
      </w:r>
      <w:r>
        <w:t xml:space="preserve"> </w:t>
      </w:r>
      <w:r w:rsidRPr="00BC369E">
        <w:t>class basis. The litigation was a complex class action proceeding involving over</w:t>
      </w:r>
      <w:r>
        <w:t xml:space="preserve"> </w:t>
      </w:r>
      <w:r w:rsidRPr="00BC369E">
        <w:t>approximately 4,606 group members. It concerned difficult legal issues regarding</w:t>
      </w:r>
      <w:r>
        <w:t xml:space="preserve"> </w:t>
      </w:r>
      <w:r w:rsidRPr="00BC369E">
        <w:t>fiduciary obligations, accessorial liability, misleading and deceptive conduct and</w:t>
      </w:r>
      <w:r>
        <w:t xml:space="preserve"> </w:t>
      </w:r>
      <w:r w:rsidRPr="00BC369E">
        <w:t>negligence. The SOC is 63 pages and 101 paragraphs.</w:t>
      </w:r>
    </w:p>
    <w:p w14:paraId="1EDF32FC" w14:textId="77777777" w:rsidR="00C0563D" w:rsidRPr="00BC369E" w:rsidRDefault="00C0563D" w:rsidP="00806DF3">
      <w:pPr>
        <w:pStyle w:val="Quote1"/>
        <w:widowControl/>
        <w:ind w:left="1440" w:hanging="703"/>
      </w:pPr>
      <w:r>
        <w:lastRenderedPageBreak/>
        <w:t>[</w:t>
      </w:r>
      <w:r w:rsidRPr="00BC369E">
        <w:t>20</w:t>
      </w:r>
      <w:r>
        <w:t>]</w:t>
      </w:r>
      <w:r>
        <w:tab/>
      </w:r>
      <w:r w:rsidRPr="00BC369E">
        <w:t>We note the Proceeding was defended with vigour, and no issues were conceded by</w:t>
      </w:r>
      <w:r>
        <w:t xml:space="preserve"> </w:t>
      </w:r>
      <w:r w:rsidRPr="00BC369E">
        <w:t>the Respondents.</w:t>
      </w:r>
    </w:p>
    <w:p w14:paraId="73B3A9C9" w14:textId="77777777" w:rsidR="00C0563D" w:rsidRPr="00BC369E" w:rsidRDefault="00C0563D" w:rsidP="00806DF3">
      <w:pPr>
        <w:pStyle w:val="Quote1"/>
        <w:widowControl/>
      </w:pPr>
      <w:r>
        <w:t>[</w:t>
      </w:r>
      <w:r w:rsidRPr="00BC369E">
        <w:t>21</w:t>
      </w:r>
      <w:r>
        <w:t>]</w:t>
      </w:r>
      <w:r>
        <w:tab/>
      </w:r>
      <w:r w:rsidRPr="00BC369E">
        <w:t>The litigation was further complicated by the following:</w:t>
      </w:r>
    </w:p>
    <w:p w14:paraId="4E8585B8" w14:textId="77777777" w:rsidR="00C0563D" w:rsidRPr="00BC369E" w:rsidRDefault="00C0563D" w:rsidP="009503DB">
      <w:pPr>
        <w:pStyle w:val="Quote2"/>
        <w:ind w:left="2160" w:hanging="720"/>
      </w:pPr>
      <w:r w:rsidRPr="00BC369E">
        <w:t>a.</w:t>
      </w:r>
      <w:r>
        <w:tab/>
      </w:r>
      <w:r w:rsidRPr="00BC369E">
        <w:t>Kosen-</w:t>
      </w:r>
      <w:proofErr w:type="spellStart"/>
      <w:r w:rsidRPr="00BC369E">
        <w:t>rufu</w:t>
      </w:r>
      <w:proofErr w:type="spellEnd"/>
      <w:r w:rsidRPr="00BC369E">
        <w:t xml:space="preserve"> Proceeding Carriage Motion preparation and hearing (discussed above</w:t>
      </w:r>
      <w:r>
        <w:t xml:space="preserve"> </w:t>
      </w:r>
      <w:r w:rsidRPr="00BC369E">
        <w:t>in paragraph 14(b));</w:t>
      </w:r>
    </w:p>
    <w:p w14:paraId="7367CDDD" w14:textId="77777777" w:rsidR="00C0563D" w:rsidRPr="00BC369E" w:rsidRDefault="00C0563D" w:rsidP="009503DB">
      <w:pPr>
        <w:pStyle w:val="Quote2"/>
        <w:ind w:left="2160" w:hanging="720"/>
      </w:pPr>
      <w:r w:rsidRPr="00BC369E">
        <w:t>b.</w:t>
      </w:r>
      <w:r>
        <w:tab/>
      </w:r>
      <w:r w:rsidRPr="00BC369E">
        <w:t>administration of the first respondent, DASS, in January 2022 shortly after the</w:t>
      </w:r>
      <w:r>
        <w:t xml:space="preserve"> </w:t>
      </w:r>
      <w:r w:rsidRPr="00BC369E">
        <w:t>matter was filed and Shine’s participation in the committee of inspection and at the</w:t>
      </w:r>
      <w:r>
        <w:t xml:space="preserve"> </w:t>
      </w:r>
      <w:r w:rsidRPr="00BC369E">
        <w:t>relevant creditors’ meetings;</w:t>
      </w:r>
    </w:p>
    <w:p w14:paraId="7051984F" w14:textId="77777777" w:rsidR="00C0563D" w:rsidRDefault="00C0563D" w:rsidP="009503DB">
      <w:pPr>
        <w:pStyle w:val="Quote2"/>
        <w:ind w:left="2160" w:hanging="720"/>
      </w:pPr>
      <w:r w:rsidRPr="00BC369E">
        <w:t>c.</w:t>
      </w:r>
      <w:r>
        <w:tab/>
      </w:r>
      <w:r w:rsidRPr="00BC369E">
        <w:t>the presence of multiple respondents and different legal representatives for each</w:t>
      </w:r>
      <w:r>
        <w:t xml:space="preserve"> </w:t>
      </w:r>
      <w:r w:rsidRPr="00BC369E">
        <w:t>respondent as well as the presence of relevant insurers;</w:t>
      </w:r>
    </w:p>
    <w:p w14:paraId="054D06D0" w14:textId="77777777" w:rsidR="00C0563D" w:rsidRDefault="00C0563D" w:rsidP="009503DB">
      <w:pPr>
        <w:pStyle w:val="Quote2"/>
        <w:ind w:left="2160" w:hanging="720"/>
      </w:pPr>
      <w:r w:rsidRPr="00BC369E">
        <w:t>d.</w:t>
      </w:r>
      <w:r>
        <w:tab/>
      </w:r>
      <w:r w:rsidRPr="00BC369E">
        <w:t>additional legal representatives for the DASS Deed Administrators and dealing with</w:t>
      </w:r>
      <w:r>
        <w:t xml:space="preserve"> </w:t>
      </w:r>
      <w:r w:rsidRPr="00BC369E">
        <w:t xml:space="preserve">issues associated with the administration of DASS and its </w:t>
      </w:r>
      <w:proofErr w:type="spellStart"/>
      <w:r w:rsidRPr="00BC369E">
        <w:t>affect</w:t>
      </w:r>
      <w:proofErr w:type="spellEnd"/>
      <w:r w:rsidRPr="00BC369E">
        <w:t xml:space="preserve"> on the Proceeding;</w:t>
      </w:r>
      <w:r>
        <w:t xml:space="preserve"> </w:t>
      </w:r>
      <w:r w:rsidRPr="00BC369E">
        <w:t>and</w:t>
      </w:r>
    </w:p>
    <w:p w14:paraId="770B13A1" w14:textId="77777777" w:rsidR="00C0563D" w:rsidRPr="00BC369E" w:rsidRDefault="00C0563D" w:rsidP="009503DB">
      <w:pPr>
        <w:pStyle w:val="Quote2"/>
        <w:ind w:left="2160" w:hanging="720"/>
      </w:pPr>
      <w:r w:rsidRPr="00BC369E">
        <w:t>e.</w:t>
      </w:r>
      <w:r>
        <w:tab/>
      </w:r>
      <w:r w:rsidRPr="00BC369E">
        <w:t>the introduction of the SOLR and ensuring that the Proceeding did not affect group</w:t>
      </w:r>
      <w:r>
        <w:t xml:space="preserve"> </w:t>
      </w:r>
      <w:r w:rsidRPr="00BC369E">
        <w:t>members’ rights to claim under the SOLR.</w:t>
      </w:r>
    </w:p>
    <w:p w14:paraId="7EFCFEEC" w14:textId="77777777" w:rsidR="00C0563D" w:rsidRPr="00BC369E" w:rsidRDefault="00C0563D" w:rsidP="008F3A1D">
      <w:pPr>
        <w:pStyle w:val="Quote1"/>
        <w:keepNext/>
        <w:widowControl/>
        <w:rPr>
          <w:i/>
          <w:iCs/>
        </w:rPr>
      </w:pPr>
      <w:r w:rsidRPr="00BC369E">
        <w:rPr>
          <w:i/>
          <w:iCs/>
        </w:rPr>
        <w:t>Discovery</w:t>
      </w:r>
    </w:p>
    <w:p w14:paraId="4ACC9241" w14:textId="77777777" w:rsidR="00C0563D" w:rsidRPr="00BC369E" w:rsidRDefault="00C0563D" w:rsidP="00806DF3">
      <w:pPr>
        <w:pStyle w:val="Quote1"/>
        <w:widowControl/>
        <w:ind w:left="1440" w:hanging="703"/>
      </w:pPr>
      <w:r>
        <w:t>[</w:t>
      </w:r>
      <w:r w:rsidRPr="00BC369E">
        <w:t>22</w:t>
      </w:r>
      <w:r>
        <w:t>]</w:t>
      </w:r>
      <w:r>
        <w:tab/>
      </w:r>
      <w:r w:rsidRPr="00BC369E">
        <w:t>The litigation was further complicated by the need to seek Orders on the production</w:t>
      </w:r>
      <w:r>
        <w:t xml:space="preserve"> </w:t>
      </w:r>
      <w:r w:rsidRPr="00BC369E">
        <w:t>of any type of discovery or disclosures, as set out in paragraphs 15 to 17 and</w:t>
      </w:r>
      <w:r>
        <w:t xml:space="preserve"> </w:t>
      </w:r>
      <w:r w:rsidRPr="00BC369E">
        <w:t>paragraph 19 above. In summary:</w:t>
      </w:r>
    </w:p>
    <w:p w14:paraId="25139E75" w14:textId="77777777" w:rsidR="00C0563D" w:rsidRPr="00BC369E" w:rsidRDefault="00C0563D" w:rsidP="009503DB">
      <w:pPr>
        <w:pStyle w:val="Quote2"/>
        <w:ind w:left="2160" w:hanging="720"/>
      </w:pPr>
      <w:r w:rsidRPr="00BC369E">
        <w:t>a.</w:t>
      </w:r>
      <w:r>
        <w:tab/>
      </w:r>
      <w:r w:rsidRPr="00BC369E">
        <w:t>On 4 February, the Court made orders for EP1 to give minutes of DASS and EP1</w:t>
      </w:r>
      <w:r>
        <w:t xml:space="preserve"> </w:t>
      </w:r>
      <w:r w:rsidRPr="00BC369E">
        <w:t>meetings.</w:t>
      </w:r>
    </w:p>
    <w:p w14:paraId="7CB2B5FB" w14:textId="77777777" w:rsidR="00C0563D" w:rsidRPr="00BC369E" w:rsidRDefault="00C0563D" w:rsidP="009503DB">
      <w:pPr>
        <w:pStyle w:val="Quote2"/>
        <w:ind w:left="2160" w:hanging="720"/>
      </w:pPr>
      <w:r w:rsidRPr="00BC369E">
        <w:t>b.</w:t>
      </w:r>
      <w:r>
        <w:tab/>
      </w:r>
      <w:r w:rsidRPr="00BC369E">
        <w:t>On 27 October 2022, the Court made orders for EP1 to produce the Insurance</w:t>
      </w:r>
      <w:r>
        <w:t xml:space="preserve"> </w:t>
      </w:r>
      <w:r w:rsidRPr="00BC369E">
        <w:t>Policies; and</w:t>
      </w:r>
    </w:p>
    <w:p w14:paraId="6EFC6953" w14:textId="77777777" w:rsidR="00C0563D" w:rsidRPr="00BC369E" w:rsidRDefault="00C0563D" w:rsidP="009503DB">
      <w:pPr>
        <w:pStyle w:val="Quote2"/>
        <w:ind w:left="2160" w:hanging="720"/>
      </w:pPr>
      <w:r w:rsidRPr="00BC369E">
        <w:t>c.</w:t>
      </w:r>
      <w:r>
        <w:tab/>
      </w:r>
      <w:r w:rsidRPr="00BC369E">
        <w:t>On 14 August 2023, Shine Lawyers made an interlocutory application to seek the</w:t>
      </w:r>
      <w:r>
        <w:t xml:space="preserve"> </w:t>
      </w:r>
      <w:r w:rsidRPr="00BC369E">
        <w:t>production of financial information, and while was unsuccessful, was deemed</w:t>
      </w:r>
      <w:r>
        <w:t xml:space="preserve"> </w:t>
      </w:r>
      <w:r w:rsidRPr="00BC369E">
        <w:t>necessary by his Honour, Justice Lee.</w:t>
      </w:r>
    </w:p>
    <w:p w14:paraId="64617AD4" w14:textId="77777777" w:rsidR="00C0563D" w:rsidRPr="00BC369E" w:rsidRDefault="00C0563D" w:rsidP="008F3A1D">
      <w:pPr>
        <w:pStyle w:val="Quote1"/>
        <w:keepNext/>
        <w:widowControl/>
        <w:rPr>
          <w:i/>
          <w:iCs/>
        </w:rPr>
      </w:pPr>
      <w:r w:rsidRPr="00BC369E">
        <w:rPr>
          <w:i/>
          <w:iCs/>
        </w:rPr>
        <w:t>Settlement and Administration</w:t>
      </w:r>
    </w:p>
    <w:p w14:paraId="0AB20397" w14:textId="77777777" w:rsidR="00C0563D" w:rsidRPr="00BC369E" w:rsidRDefault="00C0563D" w:rsidP="00806DF3">
      <w:pPr>
        <w:pStyle w:val="Quote1"/>
        <w:widowControl/>
      </w:pPr>
      <w:r>
        <w:t>[</w:t>
      </w:r>
      <w:r w:rsidRPr="00BC369E">
        <w:t>23</w:t>
      </w:r>
      <w:r>
        <w:t>]</w:t>
      </w:r>
      <w:r>
        <w:tab/>
      </w:r>
      <w:r w:rsidRPr="00BC369E">
        <w:t>The settlement negotiations were further complicated by:</w:t>
      </w:r>
    </w:p>
    <w:p w14:paraId="6A4072E6" w14:textId="77777777" w:rsidR="00C0563D" w:rsidRPr="00BC369E" w:rsidRDefault="00C0563D" w:rsidP="009503DB">
      <w:pPr>
        <w:pStyle w:val="Quote2"/>
        <w:ind w:left="2160" w:hanging="720"/>
      </w:pPr>
      <w:r w:rsidRPr="00BC369E">
        <w:t>a.</w:t>
      </w:r>
      <w:r>
        <w:tab/>
      </w:r>
      <w:r w:rsidRPr="00BC369E">
        <w:t>the administration of DASS and its representatives having their own requirements</w:t>
      </w:r>
      <w:r>
        <w:t xml:space="preserve"> </w:t>
      </w:r>
      <w:r w:rsidRPr="00BC369E">
        <w:t>and obligations to fulfil;</w:t>
      </w:r>
    </w:p>
    <w:p w14:paraId="4584C07D" w14:textId="77777777" w:rsidR="00C0563D" w:rsidRPr="00BC369E" w:rsidRDefault="00C0563D" w:rsidP="009503DB">
      <w:pPr>
        <w:pStyle w:val="Quote2"/>
      </w:pPr>
      <w:r w:rsidRPr="00BC369E">
        <w:t>b.</w:t>
      </w:r>
      <w:r>
        <w:tab/>
      </w:r>
      <w:r w:rsidRPr="00BC369E">
        <w:t>amending the group member definition to ensure that:</w:t>
      </w:r>
    </w:p>
    <w:p w14:paraId="10D95A93" w14:textId="77777777" w:rsidR="00C0563D" w:rsidRDefault="00C0563D" w:rsidP="009503DB">
      <w:pPr>
        <w:pStyle w:val="Quote3"/>
        <w:ind w:left="2880" w:hanging="720"/>
      </w:pPr>
      <w:r w:rsidRPr="00BC369E">
        <w:t>(</w:t>
      </w:r>
      <w:proofErr w:type="spellStart"/>
      <w:r w:rsidRPr="00BC369E">
        <w:t>i</w:t>
      </w:r>
      <w:proofErr w:type="spellEnd"/>
      <w:r w:rsidRPr="00BC369E">
        <w:t>)</w:t>
      </w:r>
      <w:r>
        <w:tab/>
      </w:r>
      <w:r w:rsidRPr="00BC369E">
        <w:t>group members who had since closed their self-managed</w:t>
      </w:r>
      <w:r>
        <w:t xml:space="preserve"> </w:t>
      </w:r>
      <w:r w:rsidRPr="00BC369E">
        <w:t>superannuation funds (</w:t>
      </w:r>
      <w:r w:rsidRPr="00BC369E">
        <w:rPr>
          <w:b/>
          <w:bCs/>
        </w:rPr>
        <w:t>SMSF</w:t>
      </w:r>
      <w:r w:rsidRPr="00BC369E">
        <w:t>) were still included; and</w:t>
      </w:r>
    </w:p>
    <w:p w14:paraId="7D7460BC" w14:textId="77777777" w:rsidR="00C0563D" w:rsidRPr="00BC369E" w:rsidRDefault="00C0563D" w:rsidP="009503DB">
      <w:pPr>
        <w:pStyle w:val="Quote3"/>
        <w:ind w:left="2880" w:hanging="720"/>
      </w:pPr>
      <w:r w:rsidRPr="00BC369E">
        <w:t>(ii)</w:t>
      </w:r>
      <w:r>
        <w:tab/>
      </w:r>
      <w:r w:rsidRPr="00BC369E">
        <w:t>group members who were part of the Kosen-</w:t>
      </w:r>
      <w:proofErr w:type="spellStart"/>
      <w:r w:rsidRPr="00BC369E">
        <w:t>Rufu</w:t>
      </w:r>
      <w:proofErr w:type="spellEnd"/>
      <w:r w:rsidRPr="00BC369E">
        <w:t xml:space="preserve"> proceedings were</w:t>
      </w:r>
      <w:r>
        <w:t xml:space="preserve"> </w:t>
      </w:r>
      <w:r w:rsidRPr="00BC369E">
        <w:t>still included.</w:t>
      </w:r>
    </w:p>
    <w:p w14:paraId="74B01A5C" w14:textId="77777777" w:rsidR="00C0563D" w:rsidRPr="00BC369E" w:rsidRDefault="00C0563D" w:rsidP="009503DB">
      <w:pPr>
        <w:pStyle w:val="Quote2"/>
        <w:ind w:left="2160" w:hanging="720"/>
      </w:pPr>
      <w:r w:rsidRPr="00BC369E">
        <w:t>c.</w:t>
      </w:r>
      <w:r>
        <w:tab/>
      </w:r>
      <w:r w:rsidRPr="00BC369E">
        <w:t>ensuring that nothing in the Settlement Deed would preclude a group member from</w:t>
      </w:r>
      <w:r>
        <w:t xml:space="preserve"> </w:t>
      </w:r>
      <w:r w:rsidRPr="00BC369E">
        <w:t>claiming under the SOLR.</w:t>
      </w:r>
    </w:p>
    <w:p w14:paraId="22F02440" w14:textId="77777777" w:rsidR="00C0563D" w:rsidRPr="00BC369E" w:rsidRDefault="00C0563D" w:rsidP="008F3A1D">
      <w:pPr>
        <w:pStyle w:val="Quote1"/>
        <w:keepNext/>
        <w:widowControl/>
        <w:rPr>
          <w:i/>
          <w:iCs/>
        </w:rPr>
      </w:pPr>
      <w:r w:rsidRPr="00BC369E">
        <w:rPr>
          <w:i/>
          <w:iCs/>
        </w:rPr>
        <w:lastRenderedPageBreak/>
        <w:t>Counsel</w:t>
      </w:r>
    </w:p>
    <w:p w14:paraId="71AB6338" w14:textId="77777777" w:rsidR="00C0563D" w:rsidRDefault="00C0563D" w:rsidP="00806DF3">
      <w:pPr>
        <w:pStyle w:val="Quote1"/>
        <w:widowControl/>
        <w:ind w:left="1440" w:hanging="703"/>
      </w:pPr>
      <w:r>
        <w:t>[</w:t>
      </w:r>
      <w:r w:rsidRPr="00BC369E">
        <w:t>24</w:t>
      </w:r>
      <w:r>
        <w:t>]</w:t>
      </w:r>
      <w:r>
        <w:tab/>
      </w:r>
      <w:r w:rsidRPr="00BC369E">
        <w:t>Given the stated complexity, senior and senior/junior and junior counsel were briefed</w:t>
      </w:r>
      <w:r>
        <w:t xml:space="preserve"> </w:t>
      </w:r>
      <w:r w:rsidRPr="00BC369E">
        <w:t>on this matter. Solicitors were allocated on tasks as described in the relevant tax</w:t>
      </w:r>
      <w:r>
        <w:t xml:space="preserve"> </w:t>
      </w:r>
      <w:r w:rsidRPr="00BC369E">
        <w:t>invoices.</w:t>
      </w:r>
    </w:p>
    <w:p w14:paraId="570A4F7B" w14:textId="77777777" w:rsidR="00C0563D" w:rsidRDefault="00C0563D" w:rsidP="00806DF3">
      <w:pPr>
        <w:pStyle w:val="Quote1"/>
        <w:widowControl/>
        <w:ind w:left="1440" w:hanging="703"/>
      </w:pPr>
      <w:r>
        <w:t>[</w:t>
      </w:r>
      <w:r w:rsidRPr="00BC369E">
        <w:t>25</w:t>
      </w:r>
      <w:r>
        <w:t>]</w:t>
      </w:r>
      <w:r>
        <w:tab/>
      </w:r>
      <w:r w:rsidRPr="00BC369E">
        <w:t>The Proceeding settled at a stage where the Applicant was about to begin preparation</w:t>
      </w:r>
      <w:r>
        <w:t xml:space="preserve"> </w:t>
      </w:r>
      <w:r w:rsidRPr="00BC369E">
        <w:t>of its evidence, seek a timetable from the Court for the provision of discovery and set</w:t>
      </w:r>
      <w:r>
        <w:t xml:space="preserve"> </w:t>
      </w:r>
      <w:r w:rsidRPr="00BC369E">
        <w:t>down a trial date.</w:t>
      </w:r>
    </w:p>
    <w:p w14:paraId="07CEDCFB" w14:textId="66724505" w:rsidR="009A6583" w:rsidRDefault="00B6500C" w:rsidP="00B6500C">
      <w:pPr>
        <w:pStyle w:val="ParaNumbering"/>
        <w:numPr>
          <w:ilvl w:val="0"/>
          <w:numId w:val="0"/>
        </w:numPr>
        <w:ind w:hanging="720"/>
        <w:rPr>
          <w:szCs w:val="24"/>
        </w:rPr>
      </w:pPr>
      <w:r>
        <w:rPr>
          <w:iCs/>
          <w:sz w:val="20"/>
          <w:szCs w:val="24"/>
        </w:rPr>
        <w:t>80</w:t>
      </w:r>
      <w:r>
        <w:rPr>
          <w:iCs/>
          <w:sz w:val="20"/>
          <w:szCs w:val="24"/>
        </w:rPr>
        <w:tab/>
      </w:r>
      <w:r w:rsidR="000B7ECC">
        <w:rPr>
          <w:szCs w:val="24"/>
        </w:rPr>
        <w:t>It was submitted that the “only information Ms Rosati received about the nature of, and steps taken in</w:t>
      </w:r>
      <w:r w:rsidR="008D45CB">
        <w:rPr>
          <w:szCs w:val="24"/>
        </w:rPr>
        <w:t>,</w:t>
      </w:r>
      <w:r w:rsidR="000B7ECC">
        <w:rPr>
          <w:szCs w:val="24"/>
        </w:rPr>
        <w:t xml:space="preserve"> the proceeding is the information contained in the </w:t>
      </w:r>
      <w:r w:rsidR="003C7CBD">
        <w:rPr>
          <w:szCs w:val="24"/>
        </w:rPr>
        <w:t>L</w:t>
      </w:r>
      <w:r w:rsidR="000B7ECC">
        <w:rPr>
          <w:szCs w:val="24"/>
        </w:rPr>
        <w:t xml:space="preserve">etter of </w:t>
      </w:r>
      <w:r w:rsidR="003C7CBD">
        <w:rPr>
          <w:szCs w:val="24"/>
        </w:rPr>
        <w:t>I</w:t>
      </w:r>
      <w:r w:rsidR="000B7ECC">
        <w:rPr>
          <w:szCs w:val="24"/>
        </w:rPr>
        <w:t>nstruction</w:t>
      </w:r>
      <w:r w:rsidR="003C7CBD">
        <w:rPr>
          <w:szCs w:val="24"/>
        </w:rPr>
        <w:t xml:space="preserve">”: </w:t>
      </w:r>
      <w:r w:rsidR="00685685">
        <w:rPr>
          <w:szCs w:val="24"/>
        </w:rPr>
        <w:t xml:space="preserve">Deed Administrators’ </w:t>
      </w:r>
      <w:r w:rsidR="003C7CBD">
        <w:rPr>
          <w:szCs w:val="24"/>
        </w:rPr>
        <w:t xml:space="preserve">Submissions at [18]. </w:t>
      </w:r>
    </w:p>
    <w:p w14:paraId="076D3B37" w14:textId="59B3EC04" w:rsidR="003C7CBD" w:rsidRDefault="00B6500C" w:rsidP="00B6500C">
      <w:pPr>
        <w:pStyle w:val="ParaNumbering"/>
        <w:numPr>
          <w:ilvl w:val="0"/>
          <w:numId w:val="0"/>
        </w:numPr>
        <w:ind w:hanging="720"/>
        <w:rPr>
          <w:szCs w:val="24"/>
        </w:rPr>
      </w:pPr>
      <w:r>
        <w:rPr>
          <w:iCs/>
          <w:sz w:val="20"/>
          <w:szCs w:val="24"/>
        </w:rPr>
        <w:t>81</w:t>
      </w:r>
      <w:r>
        <w:rPr>
          <w:iCs/>
          <w:sz w:val="20"/>
          <w:szCs w:val="24"/>
        </w:rPr>
        <w:tab/>
      </w:r>
      <w:r w:rsidR="00091F3D">
        <w:rPr>
          <w:szCs w:val="24"/>
        </w:rPr>
        <w:t xml:space="preserve">It was submitted that </w:t>
      </w:r>
      <w:r w:rsidR="00D038DF">
        <w:rPr>
          <w:szCs w:val="24"/>
        </w:rPr>
        <w:t>the Letter of Instruction was inaccurate in its portrayal of what was involved in the case and that this</w:t>
      </w:r>
      <w:r w:rsidR="009D0F23">
        <w:rPr>
          <w:szCs w:val="24"/>
        </w:rPr>
        <w:t xml:space="preserve"> may have led Ms Rosati to a flawed conclusion about the reasonableness and proportionality of the </w:t>
      </w:r>
      <w:r w:rsidR="00AA7E7F">
        <w:rPr>
          <w:szCs w:val="24"/>
        </w:rPr>
        <w:t>costs</w:t>
      </w:r>
      <w:r w:rsidR="003C7CBD">
        <w:rPr>
          <w:szCs w:val="24"/>
        </w:rPr>
        <w:t xml:space="preserve">: </w:t>
      </w:r>
      <w:r w:rsidR="00685685">
        <w:rPr>
          <w:szCs w:val="24"/>
        </w:rPr>
        <w:t xml:space="preserve">Deed Administrators’ </w:t>
      </w:r>
      <w:r w:rsidR="003C7CBD">
        <w:rPr>
          <w:szCs w:val="24"/>
        </w:rPr>
        <w:t>Submissions at [42]</w:t>
      </w:r>
      <w:r w:rsidR="00AA7E7F">
        <w:rPr>
          <w:szCs w:val="24"/>
        </w:rPr>
        <w:t>.</w:t>
      </w:r>
      <w:r w:rsidR="008F5899">
        <w:rPr>
          <w:szCs w:val="24"/>
        </w:rPr>
        <w:t xml:space="preserve"> </w:t>
      </w:r>
    </w:p>
    <w:p w14:paraId="3272E642" w14:textId="245A4A30" w:rsidR="00370277" w:rsidRDefault="00370277" w:rsidP="004D312C">
      <w:pPr>
        <w:pStyle w:val="Heading3"/>
      </w:pPr>
      <w:r>
        <w:t>Co</w:t>
      </w:r>
      <w:r w:rsidR="004D312C">
        <w:t>nsideration</w:t>
      </w:r>
    </w:p>
    <w:p w14:paraId="76989506" w14:textId="300C0F4E" w:rsidR="00344BAF" w:rsidRDefault="00B6500C" w:rsidP="00B6500C">
      <w:pPr>
        <w:pStyle w:val="ParaNumbering"/>
        <w:numPr>
          <w:ilvl w:val="0"/>
          <w:numId w:val="0"/>
        </w:numPr>
        <w:ind w:hanging="720"/>
        <w:rPr>
          <w:szCs w:val="24"/>
        </w:rPr>
      </w:pPr>
      <w:r>
        <w:rPr>
          <w:iCs/>
          <w:sz w:val="20"/>
          <w:szCs w:val="24"/>
        </w:rPr>
        <w:t>82</w:t>
      </w:r>
      <w:r>
        <w:rPr>
          <w:iCs/>
          <w:sz w:val="20"/>
          <w:szCs w:val="24"/>
        </w:rPr>
        <w:tab/>
      </w:r>
      <w:r w:rsidR="0065254D" w:rsidRPr="00455A8A">
        <w:rPr>
          <w:szCs w:val="24"/>
        </w:rPr>
        <w:t>The Court must be satisfied that</w:t>
      </w:r>
      <w:r w:rsidR="00C95CFF" w:rsidRPr="00455A8A">
        <w:rPr>
          <w:szCs w:val="24"/>
        </w:rPr>
        <w:t xml:space="preserve"> </w:t>
      </w:r>
      <w:r w:rsidR="00003978" w:rsidRPr="00455A8A">
        <w:rPr>
          <w:szCs w:val="24"/>
        </w:rPr>
        <w:t>an</w:t>
      </w:r>
      <w:r w:rsidR="00C95CFF" w:rsidRPr="00455A8A">
        <w:rPr>
          <w:szCs w:val="24"/>
        </w:rPr>
        <w:t xml:space="preserve"> order</w:t>
      </w:r>
      <w:r w:rsidR="00003978" w:rsidRPr="00455A8A">
        <w:rPr>
          <w:szCs w:val="24"/>
        </w:rPr>
        <w:t xml:space="preserve"> made with respect to costs</w:t>
      </w:r>
      <w:r w:rsidR="00C95CFF" w:rsidRPr="00455A8A">
        <w:rPr>
          <w:szCs w:val="24"/>
        </w:rPr>
        <w:t xml:space="preserve"> is “just” within the meaning of s 33V</w:t>
      </w:r>
      <w:r w:rsidR="00003978" w:rsidRPr="00455A8A">
        <w:rPr>
          <w:szCs w:val="24"/>
        </w:rPr>
        <w:t>(2)</w:t>
      </w:r>
      <w:r w:rsidR="00C95CFF" w:rsidRPr="00455A8A">
        <w:rPr>
          <w:szCs w:val="24"/>
        </w:rPr>
        <w:t xml:space="preserve"> of the FCA Act. </w:t>
      </w:r>
    </w:p>
    <w:p w14:paraId="6DB43A97" w14:textId="0053F5DF" w:rsidR="00344BAF" w:rsidRPr="007922A5" w:rsidRDefault="00B6500C" w:rsidP="00B6500C">
      <w:pPr>
        <w:pStyle w:val="ParaNumbering"/>
        <w:numPr>
          <w:ilvl w:val="0"/>
          <w:numId w:val="0"/>
        </w:numPr>
        <w:ind w:hanging="720"/>
        <w:rPr>
          <w:szCs w:val="24"/>
        </w:rPr>
      </w:pPr>
      <w:r w:rsidRPr="007922A5">
        <w:rPr>
          <w:iCs/>
          <w:sz w:val="20"/>
          <w:szCs w:val="24"/>
        </w:rPr>
        <w:t>83</w:t>
      </w:r>
      <w:r w:rsidRPr="007922A5">
        <w:rPr>
          <w:iCs/>
          <w:sz w:val="20"/>
          <w:szCs w:val="24"/>
        </w:rPr>
        <w:tab/>
      </w:r>
      <w:r w:rsidR="00344BAF">
        <w:t xml:space="preserve">Section 172 of the </w:t>
      </w:r>
      <w:r w:rsidR="00774AED" w:rsidRPr="00774AED">
        <w:rPr>
          <w:i/>
          <w:iCs/>
        </w:rPr>
        <w:t xml:space="preserve">Legal Profession </w:t>
      </w:r>
      <w:r w:rsidR="00774AED" w:rsidRPr="00774AED">
        <w:rPr>
          <w:b/>
          <w:bCs/>
          <w:i/>
          <w:iCs/>
        </w:rPr>
        <w:t>Uniform Law</w:t>
      </w:r>
      <w:r w:rsidR="00774AED" w:rsidRPr="00774AED">
        <w:rPr>
          <w:i/>
          <w:iCs/>
        </w:rPr>
        <w:t xml:space="preserve"> (NSW)</w:t>
      </w:r>
      <w:r w:rsidR="00344BAF">
        <w:t xml:space="preserve"> includes:</w:t>
      </w:r>
    </w:p>
    <w:p w14:paraId="3638B1B6" w14:textId="77777777" w:rsidR="00344BAF" w:rsidRPr="007922A5" w:rsidRDefault="00344BAF" w:rsidP="00344BAF">
      <w:pPr>
        <w:pStyle w:val="Quote1"/>
        <w:ind w:left="1418" w:hanging="681"/>
        <w:rPr>
          <w:b/>
          <w:bCs/>
        </w:rPr>
      </w:pPr>
      <w:r w:rsidRPr="007922A5">
        <w:rPr>
          <w:b/>
          <w:bCs/>
        </w:rPr>
        <w:t xml:space="preserve">172 </w:t>
      </w:r>
      <w:r w:rsidRPr="007922A5">
        <w:rPr>
          <w:b/>
          <w:bCs/>
        </w:rPr>
        <w:tab/>
        <w:t>Legal costs must be fair and reasonable</w:t>
      </w:r>
    </w:p>
    <w:p w14:paraId="38065A86" w14:textId="77777777" w:rsidR="00344BAF" w:rsidRDefault="00344BAF" w:rsidP="00344BAF">
      <w:pPr>
        <w:pStyle w:val="Quote1"/>
        <w:ind w:left="1418" w:hanging="681"/>
      </w:pPr>
      <w:r>
        <w:t xml:space="preserve">(1) </w:t>
      </w:r>
      <w:r>
        <w:tab/>
        <w:t>A law practice must, in charging legal costs, charge costs that are no more than fair and reasonable in all the circumstances and that in particular are—</w:t>
      </w:r>
    </w:p>
    <w:p w14:paraId="66CBA47D" w14:textId="77777777" w:rsidR="00344BAF" w:rsidRDefault="00344BAF" w:rsidP="009503DB">
      <w:pPr>
        <w:pStyle w:val="Quote2"/>
      </w:pPr>
      <w:r>
        <w:t xml:space="preserve">(a) </w:t>
      </w:r>
      <w:r>
        <w:tab/>
        <w:t>proportionately and reasonably incurred; and</w:t>
      </w:r>
    </w:p>
    <w:p w14:paraId="2D723923" w14:textId="77777777" w:rsidR="00344BAF" w:rsidRDefault="00344BAF" w:rsidP="009503DB">
      <w:pPr>
        <w:pStyle w:val="Quote2"/>
      </w:pPr>
      <w:r>
        <w:t xml:space="preserve">(b) </w:t>
      </w:r>
      <w:r>
        <w:tab/>
        <w:t>proportionate and reasonable in amount.</w:t>
      </w:r>
    </w:p>
    <w:p w14:paraId="1206B282" w14:textId="77777777" w:rsidR="00344BAF" w:rsidRDefault="00344BAF" w:rsidP="00344BAF">
      <w:pPr>
        <w:pStyle w:val="Quote1"/>
        <w:ind w:left="1418" w:hanging="681"/>
      </w:pPr>
      <w:r>
        <w:t>(2)</w:t>
      </w:r>
      <w:r>
        <w:tab/>
        <w:t>In considering whether legal costs satisfy subsection (1), regard must be had to whether the legal costs reasonably reflect—</w:t>
      </w:r>
    </w:p>
    <w:p w14:paraId="25FAE0F2" w14:textId="77777777" w:rsidR="00344BAF" w:rsidRDefault="00344BAF" w:rsidP="00E11D1F">
      <w:pPr>
        <w:pStyle w:val="Quote2"/>
        <w:ind w:left="2160" w:hanging="720"/>
      </w:pPr>
      <w:r>
        <w:t xml:space="preserve">(a) </w:t>
      </w:r>
      <w:r>
        <w:tab/>
        <w:t>the level of skill, experience, specialisation and seniority of the lawyers concerned; and</w:t>
      </w:r>
    </w:p>
    <w:p w14:paraId="249474D7" w14:textId="77777777" w:rsidR="00344BAF" w:rsidRDefault="00344BAF" w:rsidP="00E11D1F">
      <w:pPr>
        <w:pStyle w:val="Quote2"/>
        <w:ind w:left="2160" w:hanging="720"/>
      </w:pPr>
      <w:r>
        <w:t xml:space="preserve">(b) </w:t>
      </w:r>
      <w:r>
        <w:tab/>
        <w:t>the level of complexity, novelty or difficulty of the issues involved, and the extent to which the matter involved a matter of public interest; and</w:t>
      </w:r>
    </w:p>
    <w:p w14:paraId="6E53162C" w14:textId="77777777" w:rsidR="00344BAF" w:rsidRDefault="00344BAF" w:rsidP="00E11D1F">
      <w:pPr>
        <w:pStyle w:val="Quote2"/>
      </w:pPr>
      <w:r>
        <w:t xml:space="preserve">(c) </w:t>
      </w:r>
      <w:r>
        <w:tab/>
        <w:t>the labour and responsibility involved; and</w:t>
      </w:r>
    </w:p>
    <w:p w14:paraId="04868D6D" w14:textId="77777777" w:rsidR="00344BAF" w:rsidRDefault="00344BAF" w:rsidP="00E11D1F">
      <w:pPr>
        <w:pStyle w:val="Quote2"/>
        <w:ind w:left="1985" w:hanging="545"/>
      </w:pPr>
      <w:r>
        <w:t xml:space="preserve">(d) </w:t>
      </w:r>
      <w:r>
        <w:tab/>
        <w:t>the circumstances in acting on the matter, including (for example) any or all of the following—</w:t>
      </w:r>
    </w:p>
    <w:p w14:paraId="38EC3064" w14:textId="77777777" w:rsidR="00344BAF" w:rsidRDefault="00344BAF" w:rsidP="00E11D1F">
      <w:pPr>
        <w:pStyle w:val="Quote3"/>
      </w:pPr>
      <w:r>
        <w:t>(</w:t>
      </w:r>
      <w:proofErr w:type="spellStart"/>
      <w:r>
        <w:t>i</w:t>
      </w:r>
      <w:proofErr w:type="spellEnd"/>
      <w:r>
        <w:t xml:space="preserve">) </w:t>
      </w:r>
      <w:r>
        <w:tab/>
        <w:t>the urgency of the matter;</w:t>
      </w:r>
    </w:p>
    <w:p w14:paraId="58094318" w14:textId="77777777" w:rsidR="00344BAF" w:rsidRDefault="00344BAF" w:rsidP="00E11D1F">
      <w:pPr>
        <w:pStyle w:val="Quote3"/>
      </w:pPr>
      <w:r>
        <w:t xml:space="preserve">(ii) </w:t>
      </w:r>
      <w:r>
        <w:tab/>
        <w:t>the time spent on the matter;</w:t>
      </w:r>
    </w:p>
    <w:p w14:paraId="765FD698" w14:textId="77777777" w:rsidR="00344BAF" w:rsidRDefault="00344BAF" w:rsidP="00E11D1F">
      <w:pPr>
        <w:pStyle w:val="Quote3"/>
      </w:pPr>
      <w:r>
        <w:t xml:space="preserve">(iii) </w:t>
      </w:r>
      <w:r>
        <w:tab/>
        <w:t>the time when business was transacted in the matter;</w:t>
      </w:r>
    </w:p>
    <w:p w14:paraId="55B86E1E" w14:textId="77777777" w:rsidR="00344BAF" w:rsidRDefault="00344BAF" w:rsidP="00E11D1F">
      <w:pPr>
        <w:pStyle w:val="Quote3"/>
      </w:pPr>
      <w:r>
        <w:lastRenderedPageBreak/>
        <w:t xml:space="preserve">(iv) </w:t>
      </w:r>
      <w:r>
        <w:tab/>
        <w:t>the place where business was transacted in the matter;</w:t>
      </w:r>
    </w:p>
    <w:p w14:paraId="1F655A21" w14:textId="77777777" w:rsidR="00344BAF" w:rsidRDefault="00344BAF" w:rsidP="00E11D1F">
      <w:pPr>
        <w:pStyle w:val="Quote3"/>
      </w:pPr>
      <w:r>
        <w:t xml:space="preserve">(v) </w:t>
      </w:r>
      <w:r>
        <w:tab/>
        <w:t>the number and importance of any documents involved; and</w:t>
      </w:r>
    </w:p>
    <w:p w14:paraId="0E3F66AE" w14:textId="77777777" w:rsidR="00344BAF" w:rsidRDefault="00344BAF" w:rsidP="00E11D1F">
      <w:pPr>
        <w:pStyle w:val="Quote2"/>
      </w:pPr>
      <w:r>
        <w:t xml:space="preserve">(e) </w:t>
      </w:r>
      <w:r>
        <w:tab/>
        <w:t>the quality of the work done; and</w:t>
      </w:r>
    </w:p>
    <w:p w14:paraId="3152C7A6" w14:textId="77777777" w:rsidR="00344BAF" w:rsidRDefault="00344BAF" w:rsidP="00E11D1F">
      <w:pPr>
        <w:pStyle w:val="Quote2"/>
        <w:ind w:left="2160" w:hanging="720"/>
      </w:pPr>
      <w:r>
        <w:t xml:space="preserve">(f) </w:t>
      </w:r>
      <w:r>
        <w:tab/>
        <w:t>the retainer and the instructions (express or implied) given in the matter.</w:t>
      </w:r>
    </w:p>
    <w:p w14:paraId="42F46D95" w14:textId="04DF29D1" w:rsidR="0049386A" w:rsidRPr="00455A8A" w:rsidRDefault="00B6500C" w:rsidP="00B6500C">
      <w:pPr>
        <w:pStyle w:val="ParaNumbering"/>
        <w:numPr>
          <w:ilvl w:val="0"/>
          <w:numId w:val="0"/>
        </w:numPr>
        <w:ind w:hanging="720"/>
        <w:rPr>
          <w:szCs w:val="24"/>
        </w:rPr>
      </w:pPr>
      <w:r w:rsidRPr="00455A8A">
        <w:rPr>
          <w:iCs/>
          <w:sz w:val="20"/>
          <w:szCs w:val="24"/>
        </w:rPr>
        <w:t>84</w:t>
      </w:r>
      <w:r w:rsidRPr="00455A8A">
        <w:rPr>
          <w:iCs/>
          <w:sz w:val="20"/>
          <w:szCs w:val="24"/>
        </w:rPr>
        <w:tab/>
      </w:r>
      <w:r w:rsidR="00D17A4F" w:rsidRPr="00455A8A">
        <w:rPr>
          <w:szCs w:val="24"/>
        </w:rPr>
        <w:t xml:space="preserve">For </w:t>
      </w:r>
      <w:r w:rsidR="004A0C82" w:rsidRPr="00455A8A">
        <w:rPr>
          <w:szCs w:val="24"/>
        </w:rPr>
        <w:t xml:space="preserve">an order </w:t>
      </w:r>
      <w:r w:rsidR="00344BAF">
        <w:rPr>
          <w:szCs w:val="24"/>
        </w:rPr>
        <w:t xml:space="preserve">under s 33V(2) of the FCA </w:t>
      </w:r>
      <w:r w:rsidR="004A0C82" w:rsidRPr="00455A8A">
        <w:rPr>
          <w:szCs w:val="24"/>
        </w:rPr>
        <w:t xml:space="preserve">with respect to costs </w:t>
      </w:r>
      <w:r w:rsidR="00D17A4F" w:rsidRPr="00455A8A">
        <w:rPr>
          <w:szCs w:val="24"/>
        </w:rPr>
        <w:t>to be</w:t>
      </w:r>
      <w:r w:rsidR="004A0C82" w:rsidRPr="00455A8A">
        <w:rPr>
          <w:szCs w:val="24"/>
        </w:rPr>
        <w:t xml:space="preserve"> </w:t>
      </w:r>
      <w:r w:rsidR="00E36331" w:rsidRPr="00455A8A">
        <w:rPr>
          <w:szCs w:val="24"/>
        </w:rPr>
        <w:t>“just”</w:t>
      </w:r>
      <w:r w:rsidR="00D17A4F" w:rsidRPr="00455A8A">
        <w:rPr>
          <w:szCs w:val="24"/>
        </w:rPr>
        <w:t xml:space="preserve">, </w:t>
      </w:r>
      <w:r w:rsidR="0065254D" w:rsidRPr="00455A8A">
        <w:rPr>
          <w:szCs w:val="24"/>
        </w:rPr>
        <w:t xml:space="preserve">the costs sought to be recovered from group members </w:t>
      </w:r>
      <w:r w:rsidR="00D17A4F" w:rsidRPr="00455A8A">
        <w:rPr>
          <w:szCs w:val="24"/>
        </w:rPr>
        <w:t>would need to be</w:t>
      </w:r>
      <w:r w:rsidR="0065254D" w:rsidRPr="00455A8A">
        <w:rPr>
          <w:szCs w:val="24"/>
        </w:rPr>
        <w:t xml:space="preserve"> reasonable and proportionate or, in terms of s 172</w:t>
      </w:r>
      <w:r w:rsidR="00195A73" w:rsidRPr="00455A8A">
        <w:rPr>
          <w:szCs w:val="24"/>
        </w:rPr>
        <w:t>(1)</w:t>
      </w:r>
      <w:r w:rsidR="0065254D" w:rsidRPr="00455A8A">
        <w:rPr>
          <w:szCs w:val="24"/>
        </w:rPr>
        <w:t xml:space="preserve"> of the </w:t>
      </w:r>
      <w:r w:rsidR="0065254D" w:rsidRPr="00EF3667">
        <w:rPr>
          <w:szCs w:val="24"/>
        </w:rPr>
        <w:t>Uniform Law</w:t>
      </w:r>
      <w:r w:rsidR="0065254D" w:rsidRPr="00455A8A">
        <w:rPr>
          <w:szCs w:val="24"/>
        </w:rPr>
        <w:t xml:space="preserve">, “proportionately and reasonably incurred” and “proportionate and reasonable in amount”: </w:t>
      </w:r>
      <w:proofErr w:type="spellStart"/>
      <w:r w:rsidR="0065254D" w:rsidRPr="00455A8A">
        <w:rPr>
          <w:b/>
          <w:bCs/>
          <w:i/>
          <w:iCs/>
        </w:rPr>
        <w:t>Modtech</w:t>
      </w:r>
      <w:proofErr w:type="spellEnd"/>
      <w:r w:rsidR="0065254D" w:rsidRPr="00455A8A">
        <w:rPr>
          <w:i/>
          <w:iCs/>
        </w:rPr>
        <w:t xml:space="preserve"> Engineering Pty Limited v GPT Management Holdings Limited</w:t>
      </w:r>
      <w:r w:rsidR="0065254D" w:rsidRPr="00CB65C1">
        <w:t xml:space="preserve"> [2013] FCA 626</w:t>
      </w:r>
      <w:r w:rsidR="0065254D">
        <w:t xml:space="preserve"> </w:t>
      </w:r>
      <w:r w:rsidR="0065254D" w:rsidRPr="00455A8A">
        <w:rPr>
          <w:szCs w:val="24"/>
        </w:rPr>
        <w:t xml:space="preserve">at [32] (Gordon J); </w:t>
      </w:r>
      <w:r w:rsidR="0065254D" w:rsidRPr="00455A8A">
        <w:rPr>
          <w:b/>
          <w:bCs/>
          <w:i/>
          <w:iCs/>
          <w:szCs w:val="24"/>
        </w:rPr>
        <w:t>Petersen</w:t>
      </w:r>
      <w:r w:rsidR="0065254D" w:rsidRPr="00455A8A">
        <w:rPr>
          <w:i/>
          <w:iCs/>
          <w:szCs w:val="24"/>
        </w:rPr>
        <w:t xml:space="preserve"> Superannuation Fund Pty Ltd v Bank of Queensland Limited (No 3)</w:t>
      </w:r>
      <w:r w:rsidR="0065254D" w:rsidRPr="00455A8A">
        <w:rPr>
          <w:szCs w:val="24"/>
        </w:rPr>
        <w:t xml:space="preserve"> </w:t>
      </w:r>
      <w:r w:rsidR="0065254D" w:rsidRPr="00CB65C1">
        <w:t>[2018] FCA 1842; 132 ACSR 258</w:t>
      </w:r>
      <w:r w:rsidR="0065254D" w:rsidRPr="00FE7FBA">
        <w:t xml:space="preserve"> at [130]</w:t>
      </w:r>
      <w:r w:rsidR="0065254D">
        <w:t xml:space="preserve"> (Murphy J).</w:t>
      </w:r>
    </w:p>
    <w:p w14:paraId="52265FC1" w14:textId="571612E1" w:rsidR="00344BAF" w:rsidRDefault="00B6500C" w:rsidP="00B6500C">
      <w:pPr>
        <w:pStyle w:val="ParaNumbering"/>
        <w:numPr>
          <w:ilvl w:val="0"/>
          <w:numId w:val="0"/>
        </w:numPr>
        <w:ind w:hanging="720"/>
        <w:rPr>
          <w:szCs w:val="24"/>
        </w:rPr>
      </w:pPr>
      <w:r>
        <w:rPr>
          <w:iCs/>
          <w:sz w:val="20"/>
          <w:szCs w:val="24"/>
        </w:rPr>
        <w:t>85</w:t>
      </w:r>
      <w:r>
        <w:rPr>
          <w:iCs/>
          <w:sz w:val="20"/>
          <w:szCs w:val="24"/>
        </w:rPr>
        <w:tab/>
      </w:r>
      <w:r w:rsidR="00CF733A" w:rsidRPr="00925392">
        <w:rPr>
          <w:szCs w:val="24"/>
        </w:rPr>
        <w:t>As mentioned, a central submission made by the Deed Administrators was that Ms Ros</w:t>
      </w:r>
      <w:r w:rsidR="00697C68" w:rsidRPr="00925392">
        <w:rPr>
          <w:szCs w:val="24"/>
        </w:rPr>
        <w:t>ati misunderstood the nature and complexity of the proceedings</w:t>
      </w:r>
      <w:r w:rsidR="00925392" w:rsidRPr="00925392">
        <w:rPr>
          <w:szCs w:val="24"/>
        </w:rPr>
        <w:t xml:space="preserve"> as a consequence of the Letter of Instruction</w:t>
      </w:r>
      <w:r w:rsidR="00697C68" w:rsidRPr="00925392">
        <w:rPr>
          <w:szCs w:val="24"/>
        </w:rPr>
        <w:t xml:space="preserve">. </w:t>
      </w:r>
      <w:r w:rsidR="000C2662" w:rsidRPr="00925392">
        <w:rPr>
          <w:szCs w:val="24"/>
        </w:rPr>
        <w:t>T</w:t>
      </w:r>
      <w:r w:rsidR="00CA398C" w:rsidRPr="00925392">
        <w:rPr>
          <w:szCs w:val="24"/>
        </w:rPr>
        <w:t>he material which Ms Rosati had available to her – in particular, the “itemised account” – inevitably revealed more than the Letter of Instruction as to what was involved in the proceeding.</w:t>
      </w:r>
      <w:r w:rsidR="00925392" w:rsidRPr="00925392">
        <w:rPr>
          <w:szCs w:val="24"/>
        </w:rPr>
        <w:t xml:space="preserve"> </w:t>
      </w:r>
      <w:r w:rsidR="00CA398C" w:rsidRPr="00925392">
        <w:rPr>
          <w:szCs w:val="24"/>
        </w:rPr>
        <w:t xml:space="preserve">As has been set out above, Ms Rosati considered the work said to have been performed over the course of the Watson Proceeding as contained in the itemised account – see: Rosati 1 at [83], [92], [95], [98], [99] and [101]. </w:t>
      </w:r>
      <w:r w:rsidR="00D4693F" w:rsidRPr="00925392">
        <w:rPr>
          <w:szCs w:val="24"/>
        </w:rPr>
        <w:t xml:space="preserve">This must have informed her assessment of what was involved and her opinion </w:t>
      </w:r>
      <w:r w:rsidR="000C2662" w:rsidRPr="00925392">
        <w:rPr>
          <w:szCs w:val="24"/>
        </w:rPr>
        <w:t>as to what was fair and reasonable.</w:t>
      </w:r>
      <w:r w:rsidR="00925392" w:rsidRPr="00925392">
        <w:rPr>
          <w:szCs w:val="24"/>
        </w:rPr>
        <w:t xml:space="preserve"> </w:t>
      </w:r>
    </w:p>
    <w:p w14:paraId="1EF18D48" w14:textId="5CD79FB0" w:rsidR="00CA398C" w:rsidRPr="00925392" w:rsidRDefault="00B6500C" w:rsidP="00B6500C">
      <w:pPr>
        <w:pStyle w:val="ParaNumbering"/>
        <w:numPr>
          <w:ilvl w:val="0"/>
          <w:numId w:val="0"/>
        </w:numPr>
        <w:ind w:hanging="720"/>
        <w:rPr>
          <w:szCs w:val="24"/>
        </w:rPr>
      </w:pPr>
      <w:r w:rsidRPr="00925392">
        <w:rPr>
          <w:iCs/>
          <w:sz w:val="20"/>
          <w:szCs w:val="24"/>
        </w:rPr>
        <w:t>86</w:t>
      </w:r>
      <w:r w:rsidRPr="00925392">
        <w:rPr>
          <w:iCs/>
          <w:sz w:val="20"/>
          <w:szCs w:val="24"/>
        </w:rPr>
        <w:tab/>
      </w:r>
      <w:r w:rsidR="00CA398C" w:rsidRPr="00925392">
        <w:rPr>
          <w:szCs w:val="24"/>
        </w:rPr>
        <w:t>Ms Rosati was not provided with access to the electronic file, referred to as the “Shine File Material”, but was provided with an index to the files and was provided certain information about the content of the file in terms of numbers of documents: Rosati 1 at [73] to [77]. It is not clear whether Ms Rosati requested access to the “Shine File Material”, although (as requested in the Letter of Instruction) she state</w:t>
      </w:r>
      <w:r w:rsidR="005F3307" w:rsidRPr="00925392">
        <w:rPr>
          <w:szCs w:val="24"/>
        </w:rPr>
        <w:t>d</w:t>
      </w:r>
      <w:r w:rsidR="00CA398C" w:rsidRPr="00925392">
        <w:rPr>
          <w:szCs w:val="24"/>
        </w:rPr>
        <w:t xml:space="preserve"> in Rosati 1 at [194] that she ha</w:t>
      </w:r>
      <w:r w:rsidR="005F3307" w:rsidRPr="00925392">
        <w:rPr>
          <w:szCs w:val="24"/>
        </w:rPr>
        <w:t>d</w:t>
      </w:r>
      <w:r w:rsidR="00CA398C" w:rsidRPr="00925392">
        <w:rPr>
          <w:szCs w:val="24"/>
        </w:rPr>
        <w:t xml:space="preserve"> made all inquiries which she believed desirable and that no matters of significance have been withheld.</w:t>
      </w:r>
    </w:p>
    <w:p w14:paraId="490E68CC" w14:textId="40C4E6D0" w:rsidR="00273F0C" w:rsidRDefault="00B6500C" w:rsidP="00B6500C">
      <w:pPr>
        <w:pStyle w:val="ParaNumbering"/>
        <w:numPr>
          <w:ilvl w:val="0"/>
          <w:numId w:val="0"/>
        </w:numPr>
        <w:ind w:hanging="720"/>
        <w:rPr>
          <w:szCs w:val="24"/>
        </w:rPr>
      </w:pPr>
      <w:r>
        <w:rPr>
          <w:iCs/>
          <w:sz w:val="20"/>
          <w:szCs w:val="24"/>
        </w:rPr>
        <w:t>87</w:t>
      </w:r>
      <w:r>
        <w:rPr>
          <w:iCs/>
          <w:sz w:val="20"/>
          <w:szCs w:val="24"/>
        </w:rPr>
        <w:tab/>
      </w:r>
      <w:r w:rsidR="00072329">
        <w:rPr>
          <w:szCs w:val="24"/>
        </w:rPr>
        <w:t xml:space="preserve">Ms Rosati </w:t>
      </w:r>
      <w:r w:rsidR="003B2FE5">
        <w:rPr>
          <w:szCs w:val="24"/>
        </w:rPr>
        <w:t>addressed the complexity</w:t>
      </w:r>
      <w:r w:rsidR="0049386A">
        <w:rPr>
          <w:szCs w:val="24"/>
        </w:rPr>
        <w:t xml:space="preserve">, novelty </w:t>
      </w:r>
      <w:r w:rsidR="003B2FE5">
        <w:rPr>
          <w:szCs w:val="24"/>
        </w:rPr>
        <w:t xml:space="preserve">and difficulty of the matter </w:t>
      </w:r>
      <w:r w:rsidR="008B5A43">
        <w:rPr>
          <w:szCs w:val="24"/>
        </w:rPr>
        <w:t>in</w:t>
      </w:r>
      <w:r w:rsidR="003B2FE5">
        <w:rPr>
          <w:szCs w:val="24"/>
        </w:rPr>
        <w:t xml:space="preserve"> Rosati 1 at [146] to [151]</w:t>
      </w:r>
      <w:r w:rsidR="00072329">
        <w:rPr>
          <w:szCs w:val="24"/>
        </w:rPr>
        <w:t>:</w:t>
      </w:r>
    </w:p>
    <w:p w14:paraId="3BED5B2F" w14:textId="3A0640F1" w:rsidR="00072329" w:rsidRPr="00072329" w:rsidRDefault="00072329" w:rsidP="0049386A">
      <w:pPr>
        <w:pStyle w:val="Quote1"/>
        <w:widowControl/>
        <w:rPr>
          <w:b/>
          <w:bCs/>
        </w:rPr>
      </w:pPr>
      <w:r w:rsidRPr="00072329">
        <w:rPr>
          <w:b/>
          <w:bCs/>
        </w:rPr>
        <w:t>The level of complexity, novelty or difficulty of the matter</w:t>
      </w:r>
    </w:p>
    <w:p w14:paraId="495F04DA" w14:textId="13537E5E" w:rsidR="009F39AC" w:rsidRPr="009F39AC" w:rsidRDefault="009F39AC" w:rsidP="0049386A">
      <w:pPr>
        <w:pStyle w:val="Quote1"/>
        <w:widowControl/>
        <w:ind w:left="1440" w:hanging="703"/>
      </w:pPr>
      <w:r w:rsidRPr="00471D41">
        <w:t>[146]</w:t>
      </w:r>
      <w:r w:rsidRPr="00471D41">
        <w:tab/>
      </w:r>
      <w:r w:rsidRPr="009F39AC">
        <w:t>The narrations as to the work performed for the Applicant and times for each task</w:t>
      </w:r>
      <w:r w:rsidR="00A7072E">
        <w:t xml:space="preserve"> </w:t>
      </w:r>
      <w:r w:rsidRPr="009F39AC">
        <w:t>generally in the itemised account appear to be fair and reasonable for acting a</w:t>
      </w:r>
      <w:r w:rsidR="00A7072E">
        <w:t xml:space="preserve"> </w:t>
      </w:r>
      <w:r w:rsidRPr="009F39AC">
        <w:t>representative proceeding with one lead senior and several junior counsel that settled at</w:t>
      </w:r>
      <w:r w:rsidR="00A7072E">
        <w:t xml:space="preserve"> </w:t>
      </w:r>
      <w:r w:rsidRPr="009F39AC">
        <w:t>mediation at an early stage.</w:t>
      </w:r>
    </w:p>
    <w:p w14:paraId="3045FE42" w14:textId="404701C1" w:rsidR="009F39AC" w:rsidRPr="009F39AC" w:rsidRDefault="00A7072E" w:rsidP="0049386A">
      <w:pPr>
        <w:pStyle w:val="Quote1"/>
        <w:widowControl/>
        <w:ind w:left="1440" w:hanging="703"/>
      </w:pPr>
      <w:r>
        <w:lastRenderedPageBreak/>
        <w:t>[</w:t>
      </w:r>
      <w:r w:rsidR="009F39AC" w:rsidRPr="009F39AC">
        <w:t>147</w:t>
      </w:r>
      <w:r>
        <w:t>]</w:t>
      </w:r>
      <w:r>
        <w:tab/>
      </w:r>
      <w:r w:rsidR="009F39AC" w:rsidRPr="009F39AC">
        <w:t>I note from my letter of instructions that the proceeding was commenced on an open</w:t>
      </w:r>
      <w:r>
        <w:t xml:space="preserve"> </w:t>
      </w:r>
      <w:r w:rsidR="009F39AC" w:rsidRPr="009F39AC">
        <w:t>class basis on behalf of some 4,606 investors. The proceeding had difficult legal and</w:t>
      </w:r>
      <w:r>
        <w:t xml:space="preserve"> </w:t>
      </w:r>
      <w:r w:rsidR="009F39AC" w:rsidRPr="009F39AC">
        <w:t>factual regarding fiduciary obligations, accessorial liability, misleading and deceptive</w:t>
      </w:r>
      <w:r>
        <w:t xml:space="preserve"> </w:t>
      </w:r>
      <w:r w:rsidR="009F39AC" w:rsidRPr="009F39AC">
        <w:t>conduct and negligence.</w:t>
      </w:r>
    </w:p>
    <w:p w14:paraId="68A89F40" w14:textId="44ACDEE2" w:rsidR="009F39AC" w:rsidRPr="009F39AC" w:rsidRDefault="00A7072E" w:rsidP="0049386A">
      <w:pPr>
        <w:pStyle w:val="Quote1"/>
        <w:widowControl/>
        <w:ind w:left="1440" w:hanging="703"/>
      </w:pPr>
      <w:r>
        <w:t>[</w:t>
      </w:r>
      <w:r w:rsidR="009F39AC" w:rsidRPr="009F39AC">
        <w:t>148</w:t>
      </w:r>
      <w:r>
        <w:t>]</w:t>
      </w:r>
      <w:r>
        <w:tab/>
      </w:r>
      <w:r w:rsidR="009F39AC" w:rsidRPr="009F39AC">
        <w:t>The investigative phase took around 18 months and it was necessary to obtain</w:t>
      </w:r>
      <w:r>
        <w:t xml:space="preserve"> </w:t>
      </w:r>
      <w:r w:rsidR="009F39AC" w:rsidRPr="009F39AC">
        <w:t>preliminary expert assistance before the proceeding was commenced. The Statement of</w:t>
      </w:r>
      <w:r>
        <w:t xml:space="preserve"> </w:t>
      </w:r>
      <w:r w:rsidR="009F39AC" w:rsidRPr="009F39AC">
        <w:t>Claim was 63 pages with 101 paragraphs. The claim was for a significant amount of</w:t>
      </w:r>
      <w:r>
        <w:t xml:space="preserve"> </w:t>
      </w:r>
      <w:r w:rsidR="009F39AC" w:rsidRPr="009F39AC">
        <w:t>money and was defended with vigour by the Respondents. The matter was resolved with</w:t>
      </w:r>
      <w:r>
        <w:t xml:space="preserve"> </w:t>
      </w:r>
      <w:r w:rsidR="009F39AC" w:rsidRPr="009F39AC">
        <w:t>no issued being conceded by the Respondents.</w:t>
      </w:r>
    </w:p>
    <w:p w14:paraId="123822DB" w14:textId="11CFE4BA" w:rsidR="009F39AC" w:rsidRPr="009F39AC" w:rsidRDefault="00A7072E" w:rsidP="0049386A">
      <w:pPr>
        <w:pStyle w:val="Quote1"/>
        <w:widowControl/>
        <w:ind w:left="1440" w:hanging="703"/>
      </w:pPr>
      <w:r>
        <w:t>[</w:t>
      </w:r>
      <w:r w:rsidR="009F39AC" w:rsidRPr="009F39AC">
        <w:t>149</w:t>
      </w:r>
      <w:r>
        <w:t>]</w:t>
      </w:r>
      <w:r>
        <w:tab/>
      </w:r>
      <w:r w:rsidR="009F39AC" w:rsidRPr="009F39AC">
        <w:t>As outlined in paragraph 21 of my letter instructions, the matter was further complicated</w:t>
      </w:r>
      <w:r>
        <w:t xml:space="preserve"> </w:t>
      </w:r>
      <w:r w:rsidR="009F39AC" w:rsidRPr="009F39AC">
        <w:t>by the following;</w:t>
      </w:r>
    </w:p>
    <w:p w14:paraId="5D7BC029" w14:textId="73D4D7A0" w:rsidR="009F39AC" w:rsidRPr="009F39AC" w:rsidRDefault="009F39AC" w:rsidP="00E11D1F">
      <w:pPr>
        <w:pStyle w:val="Quote2"/>
        <w:ind w:left="2160" w:hanging="720"/>
      </w:pPr>
      <w:r w:rsidRPr="009F39AC">
        <w:t>(a)</w:t>
      </w:r>
      <w:r w:rsidR="00A7072E">
        <w:tab/>
      </w:r>
      <w:r w:rsidRPr="009F39AC">
        <w:t>the competing claim filed by the KR Applicants and the preparation and running of</w:t>
      </w:r>
      <w:r w:rsidR="00A7072E">
        <w:t xml:space="preserve"> </w:t>
      </w:r>
      <w:r w:rsidRPr="009F39AC">
        <w:t>the KR Proceeding;</w:t>
      </w:r>
    </w:p>
    <w:p w14:paraId="7BFDD4D1" w14:textId="5CF23773" w:rsidR="009F39AC" w:rsidRPr="009F39AC" w:rsidRDefault="009F39AC" w:rsidP="00E11D1F">
      <w:pPr>
        <w:pStyle w:val="Quote2"/>
        <w:ind w:left="2160" w:hanging="720"/>
      </w:pPr>
      <w:r w:rsidRPr="009F39AC">
        <w:t>(b)</w:t>
      </w:r>
      <w:r w:rsidR="00A7072E">
        <w:tab/>
      </w:r>
      <w:r w:rsidRPr="009F39AC">
        <w:t>the administration of the First Respondent in January 2022 shortly after the</w:t>
      </w:r>
      <w:r w:rsidR="00A7072E">
        <w:t xml:space="preserve"> </w:t>
      </w:r>
      <w:r w:rsidRPr="009F39AC">
        <w:t>proceeding was filed required Shine to attend and participate in the committee of</w:t>
      </w:r>
      <w:r w:rsidR="00A7072E">
        <w:t xml:space="preserve"> </w:t>
      </w:r>
      <w:r w:rsidRPr="009F39AC">
        <w:t>inspection and creditors meetings;</w:t>
      </w:r>
    </w:p>
    <w:p w14:paraId="53DA50F5" w14:textId="29603DFE" w:rsidR="009F39AC" w:rsidRPr="009F39AC" w:rsidRDefault="009F39AC" w:rsidP="00E11D1F">
      <w:pPr>
        <w:pStyle w:val="Quote2"/>
      </w:pPr>
      <w:r w:rsidRPr="009F39AC">
        <w:t>(c)</w:t>
      </w:r>
      <w:r w:rsidR="00A7072E">
        <w:tab/>
      </w:r>
      <w:r w:rsidRPr="009F39AC">
        <w:t>multiple Respondents and their insurers being separately represented;</w:t>
      </w:r>
    </w:p>
    <w:p w14:paraId="0C82BF13" w14:textId="5F50F6D8" w:rsidR="009F39AC" w:rsidRPr="009F39AC" w:rsidRDefault="009F39AC" w:rsidP="00E11D1F">
      <w:pPr>
        <w:pStyle w:val="Quote2"/>
        <w:ind w:left="2160" w:hanging="720"/>
      </w:pPr>
      <w:r w:rsidRPr="009F39AC">
        <w:t>(d)</w:t>
      </w:r>
      <w:r w:rsidR="00A7072E">
        <w:tab/>
      </w:r>
      <w:r w:rsidRPr="009F39AC">
        <w:t>additional representation from the Administrators and the effect of the</w:t>
      </w:r>
      <w:r w:rsidR="00A7072E">
        <w:t xml:space="preserve"> </w:t>
      </w:r>
      <w:r w:rsidRPr="009F39AC">
        <w:t>administration on the proceeding;</w:t>
      </w:r>
    </w:p>
    <w:p w14:paraId="18203A54" w14:textId="6A2D5B6E" w:rsidR="009F39AC" w:rsidRPr="009F39AC" w:rsidRDefault="009F39AC" w:rsidP="00E11D1F">
      <w:pPr>
        <w:pStyle w:val="Quote2"/>
        <w:ind w:left="2160" w:hanging="720"/>
      </w:pPr>
      <w:r w:rsidRPr="009F39AC">
        <w:t>(e)</w:t>
      </w:r>
      <w:r w:rsidR="004A4D01">
        <w:tab/>
      </w:r>
      <w:r w:rsidRPr="009F39AC">
        <w:t>the introduction of the Commonwealth Government SOLR financial compensation</w:t>
      </w:r>
      <w:r w:rsidR="004A4D01">
        <w:t xml:space="preserve"> </w:t>
      </w:r>
      <w:r w:rsidRPr="009F39AC">
        <w:t>scheme of last resort; and</w:t>
      </w:r>
    </w:p>
    <w:p w14:paraId="2CBD88BE" w14:textId="77D71B17" w:rsidR="00072329" w:rsidRDefault="009F39AC" w:rsidP="00E11D1F">
      <w:pPr>
        <w:pStyle w:val="Quote2"/>
        <w:ind w:left="2160" w:hanging="720"/>
      </w:pPr>
      <w:r w:rsidRPr="009F39AC">
        <w:t>(f)</w:t>
      </w:r>
      <w:r w:rsidR="004A4D01">
        <w:tab/>
      </w:r>
      <w:r w:rsidRPr="009F39AC">
        <w:t>the need to seek formal orders for production of relevant document from the</w:t>
      </w:r>
      <w:r w:rsidR="004A4D01">
        <w:t xml:space="preserve"> </w:t>
      </w:r>
      <w:r w:rsidRPr="009F39AC">
        <w:t>Respondents.</w:t>
      </w:r>
    </w:p>
    <w:p w14:paraId="00120EB3" w14:textId="24ACD51D" w:rsidR="00A7072E" w:rsidRPr="00A7072E" w:rsidRDefault="004A4D01" w:rsidP="0049386A">
      <w:pPr>
        <w:pStyle w:val="Quote1"/>
        <w:widowControl/>
        <w:ind w:left="1440" w:hanging="703"/>
      </w:pPr>
      <w:r>
        <w:t>[</w:t>
      </w:r>
      <w:r w:rsidR="00A7072E" w:rsidRPr="00A7072E">
        <w:t>150</w:t>
      </w:r>
      <w:r>
        <w:t>]</w:t>
      </w:r>
      <w:r>
        <w:tab/>
      </w:r>
      <w:r w:rsidR="00A7072E" w:rsidRPr="00A7072E">
        <w:t>The parties participated in a mediation in March 2023 which was reconvened on 31 May</w:t>
      </w:r>
      <w:r>
        <w:t xml:space="preserve"> </w:t>
      </w:r>
      <w:r w:rsidR="00A7072E" w:rsidRPr="00A7072E">
        <w:t>2023. The settlement negotiations were further complicated by the involvement of the</w:t>
      </w:r>
      <w:r>
        <w:t xml:space="preserve"> </w:t>
      </w:r>
      <w:r w:rsidR="00A7072E" w:rsidRPr="00A7072E">
        <w:t>Administrators and amending the group member definitions.</w:t>
      </w:r>
    </w:p>
    <w:p w14:paraId="1F9E1B80" w14:textId="3BBD10C3" w:rsidR="009F39AC" w:rsidRDefault="004A4D01" w:rsidP="0049386A">
      <w:pPr>
        <w:pStyle w:val="Quote1"/>
        <w:widowControl/>
        <w:ind w:left="1440" w:hanging="703"/>
      </w:pPr>
      <w:r>
        <w:t>[</w:t>
      </w:r>
      <w:r w:rsidR="00A7072E" w:rsidRPr="00A7072E">
        <w:t>151</w:t>
      </w:r>
      <w:r>
        <w:t>]</w:t>
      </w:r>
      <w:r>
        <w:tab/>
      </w:r>
      <w:r w:rsidR="00A7072E" w:rsidRPr="00A7072E">
        <w:t>In my opinion, this matter involved issues of considerable complexity, novelty and</w:t>
      </w:r>
      <w:r>
        <w:t xml:space="preserve"> </w:t>
      </w:r>
      <w:r w:rsidR="00A7072E" w:rsidRPr="00A7072E">
        <w:t>difficulty. In turn, it is to be expected that the costs incurred in running this litigation will</w:t>
      </w:r>
      <w:r>
        <w:t xml:space="preserve"> </w:t>
      </w:r>
      <w:r w:rsidR="00A7072E" w:rsidRPr="00A7072E">
        <w:t>be significant.</w:t>
      </w:r>
    </w:p>
    <w:p w14:paraId="791E5D9B" w14:textId="7AC05D36" w:rsidR="00261677" w:rsidRPr="00261677" w:rsidRDefault="00B6500C" w:rsidP="00B6500C">
      <w:pPr>
        <w:pStyle w:val="ParaNumbering"/>
        <w:numPr>
          <w:ilvl w:val="0"/>
          <w:numId w:val="0"/>
        </w:numPr>
        <w:ind w:hanging="720"/>
        <w:rPr>
          <w:szCs w:val="24"/>
        </w:rPr>
      </w:pPr>
      <w:r w:rsidRPr="00261677">
        <w:rPr>
          <w:iCs/>
          <w:sz w:val="20"/>
          <w:szCs w:val="24"/>
        </w:rPr>
        <w:t>88</w:t>
      </w:r>
      <w:r w:rsidRPr="00261677">
        <w:rPr>
          <w:iCs/>
          <w:sz w:val="20"/>
          <w:szCs w:val="24"/>
        </w:rPr>
        <w:tab/>
      </w:r>
      <w:r w:rsidR="00B305A3" w:rsidRPr="00F66102">
        <w:rPr>
          <w:szCs w:val="24"/>
        </w:rPr>
        <w:t>As to “complexity”</w:t>
      </w:r>
      <w:r w:rsidR="00023933">
        <w:t xml:space="preserve">, there is no question that the </w:t>
      </w:r>
      <w:r w:rsidR="00A72CE1">
        <w:t>Watson P</w:t>
      </w:r>
      <w:r w:rsidR="00023933">
        <w:t>roceeding had difficult legal and factual issues regarding fiduciary obligations, accessorial liability, misleading and deceptive conduct and negligence</w:t>
      </w:r>
      <w:r w:rsidR="00BB2AF2">
        <w:t xml:space="preserve"> as </w:t>
      </w:r>
      <w:r w:rsidR="007E4A3B">
        <w:t>stated</w:t>
      </w:r>
      <w:r w:rsidR="00BB2AF2">
        <w:t xml:space="preserve"> in Rosati 1 at [147]</w:t>
      </w:r>
      <w:r w:rsidR="00023933">
        <w:t xml:space="preserve">. </w:t>
      </w:r>
    </w:p>
    <w:p w14:paraId="2FD32F33" w14:textId="79638A5F" w:rsidR="00F66102" w:rsidRPr="00F66102" w:rsidRDefault="00B6500C" w:rsidP="00B6500C">
      <w:pPr>
        <w:pStyle w:val="ParaNumbering"/>
        <w:numPr>
          <w:ilvl w:val="0"/>
          <w:numId w:val="0"/>
        </w:numPr>
        <w:ind w:hanging="720"/>
        <w:rPr>
          <w:szCs w:val="24"/>
        </w:rPr>
      </w:pPr>
      <w:r w:rsidRPr="00F66102">
        <w:rPr>
          <w:iCs/>
          <w:sz w:val="20"/>
          <w:szCs w:val="24"/>
        </w:rPr>
        <w:t>89</w:t>
      </w:r>
      <w:r w:rsidRPr="00F66102">
        <w:rPr>
          <w:iCs/>
          <w:sz w:val="20"/>
          <w:szCs w:val="24"/>
        </w:rPr>
        <w:tab/>
      </w:r>
      <w:r w:rsidR="00A72CE1">
        <w:t>However, t</w:t>
      </w:r>
      <w:r w:rsidR="00023933">
        <w:t>he</w:t>
      </w:r>
      <w:r w:rsidR="006421D5">
        <w:t xml:space="preserve">re are degrees of complexity. The </w:t>
      </w:r>
      <w:r w:rsidR="007B64A0">
        <w:t xml:space="preserve">legal </w:t>
      </w:r>
      <w:r w:rsidR="006421D5">
        <w:t xml:space="preserve">issues </w:t>
      </w:r>
      <w:r w:rsidR="00F66102">
        <w:t xml:space="preserve">identified by Ms Rosati </w:t>
      </w:r>
      <w:r w:rsidR="00023933">
        <w:t xml:space="preserve">were not </w:t>
      </w:r>
      <w:r w:rsidR="00EC44DD">
        <w:t>of an overly complex kind</w:t>
      </w:r>
      <w:r w:rsidR="001A331D">
        <w:t>.</w:t>
      </w:r>
      <w:r w:rsidR="006421D5">
        <w:t xml:space="preserve"> </w:t>
      </w:r>
      <w:r w:rsidR="00F66102">
        <w:t xml:space="preserve">The legal issues relevant to the causes of action would have required careful consideration, in particular for the purposes of considering whether to commence the proceeding and drafting the statement of claim. </w:t>
      </w:r>
    </w:p>
    <w:p w14:paraId="01569CE8" w14:textId="6C5AFB31" w:rsidR="00481E47" w:rsidRPr="00481E47" w:rsidRDefault="00B6500C" w:rsidP="00B6500C">
      <w:pPr>
        <w:pStyle w:val="ParaNumbering"/>
        <w:numPr>
          <w:ilvl w:val="0"/>
          <w:numId w:val="0"/>
        </w:numPr>
        <w:ind w:hanging="720"/>
      </w:pPr>
      <w:r w:rsidRPr="00481E47">
        <w:rPr>
          <w:iCs/>
          <w:sz w:val="20"/>
        </w:rPr>
        <w:t>90</w:t>
      </w:r>
      <w:r w:rsidRPr="00481E47">
        <w:rPr>
          <w:iCs/>
          <w:sz w:val="20"/>
        </w:rPr>
        <w:tab/>
      </w:r>
      <w:r w:rsidR="00481E47" w:rsidRPr="00481E47">
        <w:t xml:space="preserve">The matters referred to by Ms Rosati </w:t>
      </w:r>
      <w:r w:rsidR="0003514F">
        <w:t xml:space="preserve">in </w:t>
      </w:r>
      <w:r w:rsidR="0003514F" w:rsidRPr="00481E47">
        <w:t>Rosati 1</w:t>
      </w:r>
      <w:r w:rsidR="0003514F">
        <w:t xml:space="preserve"> </w:t>
      </w:r>
      <w:r w:rsidR="00481E47" w:rsidRPr="00481E47">
        <w:t xml:space="preserve">at [149] accurately describe </w:t>
      </w:r>
      <w:r w:rsidR="00A8790F">
        <w:t>aspects</w:t>
      </w:r>
      <w:r w:rsidR="0003514F">
        <w:t xml:space="preserve"> of </w:t>
      </w:r>
      <w:r w:rsidR="00481E47" w:rsidRPr="00481E47">
        <w:t xml:space="preserve">what was involved. However, </w:t>
      </w:r>
      <w:r w:rsidR="00481E47">
        <w:t xml:space="preserve">again, </w:t>
      </w:r>
      <w:r w:rsidR="00481E47" w:rsidRPr="00481E47">
        <w:t>the complexit</w:t>
      </w:r>
      <w:r w:rsidR="00481E47">
        <w:t>ies</w:t>
      </w:r>
      <w:r w:rsidR="00481E47" w:rsidRPr="00481E47">
        <w:t xml:space="preserve"> should not be overstated. None of the matters </w:t>
      </w:r>
      <w:r w:rsidR="00481E47" w:rsidRPr="00481E47">
        <w:lastRenderedPageBreak/>
        <w:t xml:space="preserve">referred to is particularly unusual and the lawyers engaged in this case would be used to </w:t>
      </w:r>
      <w:r w:rsidR="00481E47">
        <w:t xml:space="preserve">dealing with </w:t>
      </w:r>
      <w:r w:rsidR="00481E47" w:rsidRPr="00481E47">
        <w:t xml:space="preserve">such issues. </w:t>
      </w:r>
      <w:r w:rsidR="00481E47" w:rsidRPr="00F66102">
        <w:rPr>
          <w:szCs w:val="24"/>
        </w:rPr>
        <w:t xml:space="preserve">Complex cases are not unusual and experienced solicitors and counsel deal with such </w:t>
      </w:r>
      <w:r w:rsidR="00093E17">
        <w:rPr>
          <w:szCs w:val="24"/>
        </w:rPr>
        <w:t>issues</w:t>
      </w:r>
      <w:r w:rsidR="00481E47" w:rsidRPr="00F66102">
        <w:rPr>
          <w:szCs w:val="24"/>
        </w:rPr>
        <w:t xml:space="preserve"> regularly and efficiently</w:t>
      </w:r>
      <w:r w:rsidR="005A7780">
        <w:rPr>
          <w:szCs w:val="24"/>
        </w:rPr>
        <w:t>,</w:t>
      </w:r>
      <w:r w:rsidR="00481E47" w:rsidRPr="00F66102">
        <w:rPr>
          <w:szCs w:val="24"/>
        </w:rPr>
        <w:t xml:space="preserve"> which in part justifies the level of fees charged.</w:t>
      </w:r>
      <w:r w:rsidR="00481E47" w:rsidRPr="00481E47">
        <w:t xml:space="preserve"> Higher rates </w:t>
      </w:r>
      <w:r w:rsidR="003849E0">
        <w:t>might be expected to</w:t>
      </w:r>
      <w:r w:rsidR="003849E0" w:rsidRPr="00481E47">
        <w:t xml:space="preserve"> </w:t>
      </w:r>
      <w:r w:rsidR="00481E47" w:rsidRPr="00481E47">
        <w:t>reflect greater experience and a greater capacity to deal efficiently with complex issues.</w:t>
      </w:r>
      <w:r w:rsidR="00446C21">
        <w:t xml:space="preserve"> </w:t>
      </w:r>
    </w:p>
    <w:p w14:paraId="2A73E1AB" w14:textId="3BC76ADA" w:rsidR="00DE58AF" w:rsidRPr="00093E17" w:rsidRDefault="00B6500C" w:rsidP="00B6500C">
      <w:pPr>
        <w:pStyle w:val="ParaNumbering"/>
        <w:numPr>
          <w:ilvl w:val="0"/>
          <w:numId w:val="0"/>
        </w:numPr>
        <w:ind w:hanging="720"/>
        <w:rPr>
          <w:szCs w:val="24"/>
        </w:rPr>
      </w:pPr>
      <w:r w:rsidRPr="00093E17">
        <w:rPr>
          <w:iCs/>
          <w:sz w:val="20"/>
          <w:szCs w:val="24"/>
        </w:rPr>
        <w:t>91</w:t>
      </w:r>
      <w:r w:rsidRPr="00093E17">
        <w:rPr>
          <w:iCs/>
          <w:sz w:val="20"/>
          <w:szCs w:val="24"/>
        </w:rPr>
        <w:tab/>
      </w:r>
      <w:r w:rsidR="00093E17" w:rsidRPr="00093E17">
        <w:rPr>
          <w:szCs w:val="24"/>
        </w:rPr>
        <w:t>The legal issues involved in the interlocutory applications concerned confined issues and were, in the scheme of things, not particularly complex, even if appropriately characterised as “novel”.</w:t>
      </w:r>
      <w:r w:rsidR="00093E17">
        <w:rPr>
          <w:szCs w:val="24"/>
        </w:rPr>
        <w:t xml:space="preserve"> </w:t>
      </w:r>
      <w:r w:rsidR="008600E0" w:rsidRPr="00093E17">
        <w:rPr>
          <w:szCs w:val="24"/>
        </w:rPr>
        <w:t xml:space="preserve">The complexities in the </w:t>
      </w:r>
      <w:r w:rsidR="000176E3">
        <w:rPr>
          <w:szCs w:val="24"/>
        </w:rPr>
        <w:t>Watson Proceeding</w:t>
      </w:r>
      <w:r w:rsidR="008600E0" w:rsidRPr="00093E17">
        <w:rPr>
          <w:szCs w:val="24"/>
        </w:rPr>
        <w:t xml:space="preserve"> were particularly relevant to confined areas of work at confined times. </w:t>
      </w:r>
      <w:r w:rsidR="00481E47" w:rsidRPr="00481E47">
        <w:t>The complexity of an issue or circumstance is particularly relevant where it results in a requirement to perform more work.</w:t>
      </w:r>
      <w:r w:rsidR="00093E17">
        <w:t xml:space="preserve"> </w:t>
      </w:r>
    </w:p>
    <w:p w14:paraId="74C5D3DD" w14:textId="702E5031" w:rsidR="00A47C6A" w:rsidRPr="00A47C6A" w:rsidRDefault="00B6500C" w:rsidP="00B6500C">
      <w:pPr>
        <w:pStyle w:val="ParaNumbering"/>
        <w:numPr>
          <w:ilvl w:val="0"/>
          <w:numId w:val="0"/>
        </w:numPr>
        <w:ind w:hanging="720"/>
        <w:rPr>
          <w:szCs w:val="24"/>
        </w:rPr>
      </w:pPr>
      <w:r w:rsidRPr="00A47C6A">
        <w:rPr>
          <w:iCs/>
          <w:sz w:val="20"/>
          <w:szCs w:val="24"/>
        </w:rPr>
        <w:t>92</w:t>
      </w:r>
      <w:r w:rsidRPr="00A47C6A">
        <w:rPr>
          <w:iCs/>
          <w:sz w:val="20"/>
          <w:szCs w:val="24"/>
        </w:rPr>
        <w:tab/>
      </w:r>
      <w:r w:rsidR="008E5070">
        <w:rPr>
          <w:szCs w:val="24"/>
        </w:rPr>
        <w:t xml:space="preserve">As to the fact that the Watson Proceeding </w:t>
      </w:r>
      <w:r w:rsidR="00471BC4">
        <w:rPr>
          <w:szCs w:val="24"/>
        </w:rPr>
        <w:t>was commenced “</w:t>
      </w:r>
      <w:r w:rsidR="00471BC4" w:rsidRPr="009F39AC">
        <w:t>on behalf of some 4,606 investors</w:t>
      </w:r>
      <w:r w:rsidR="00471BC4">
        <w:t xml:space="preserve">”, </w:t>
      </w:r>
      <w:r w:rsidR="00664AF5">
        <w:t>as stated at Ro</w:t>
      </w:r>
      <w:r w:rsidR="00A8790F">
        <w:t>s</w:t>
      </w:r>
      <w:r w:rsidR="00664AF5">
        <w:t xml:space="preserve">ati 1 at [147], </w:t>
      </w:r>
      <w:r w:rsidR="00471BC4">
        <w:t xml:space="preserve">that does not translate to significant complexity or </w:t>
      </w:r>
      <w:r w:rsidR="00664AF5">
        <w:t xml:space="preserve">necessarily to </w:t>
      </w:r>
      <w:r w:rsidR="00471BC4">
        <w:t>significantly more work</w:t>
      </w:r>
      <w:r w:rsidR="00B64923">
        <w:t>. As Ms Rosati acknowledged in parts of her report, a number of communications with investors were in the nature of “group communications”</w:t>
      </w:r>
      <w:r w:rsidR="00BD66EB">
        <w:t xml:space="preserve">. </w:t>
      </w:r>
      <w:r w:rsidR="0028453E">
        <w:t>As is discussed further below, the case was settled before pleading</w:t>
      </w:r>
      <w:r w:rsidR="00B124FE">
        <w:t>s</w:t>
      </w:r>
      <w:r w:rsidR="0028453E">
        <w:t xml:space="preserve"> were closed, before any </w:t>
      </w:r>
      <w:r w:rsidR="00737AEF">
        <w:t xml:space="preserve">comprehensive discovery and before evidence. The fact that there were 4,606 investors with claims should not cloud the assessment of what was </w:t>
      </w:r>
      <w:r w:rsidR="00016C6A">
        <w:t xml:space="preserve">fair and </w:t>
      </w:r>
      <w:r w:rsidR="00737AEF">
        <w:t>reasonable in terms of w</w:t>
      </w:r>
      <w:r w:rsidR="00016C6A">
        <w:t>ork required.</w:t>
      </w:r>
      <w:r w:rsidR="006C63A6">
        <w:t xml:space="preserve"> </w:t>
      </w:r>
    </w:p>
    <w:p w14:paraId="27DA807C" w14:textId="71193C61" w:rsidR="00527269" w:rsidRPr="008600E0" w:rsidRDefault="00B6500C" w:rsidP="00B6500C">
      <w:pPr>
        <w:pStyle w:val="ParaNumbering"/>
        <w:numPr>
          <w:ilvl w:val="0"/>
          <w:numId w:val="0"/>
        </w:numPr>
        <w:ind w:hanging="720"/>
        <w:rPr>
          <w:szCs w:val="24"/>
        </w:rPr>
      </w:pPr>
      <w:r w:rsidRPr="008600E0">
        <w:rPr>
          <w:iCs/>
          <w:sz w:val="20"/>
          <w:szCs w:val="24"/>
        </w:rPr>
        <w:t>93</w:t>
      </w:r>
      <w:r w:rsidRPr="008600E0">
        <w:rPr>
          <w:iCs/>
          <w:sz w:val="20"/>
          <w:szCs w:val="24"/>
        </w:rPr>
        <w:tab/>
      </w:r>
      <w:r w:rsidR="006C63A6">
        <w:t xml:space="preserve">The fact that there were </w:t>
      </w:r>
      <w:r w:rsidR="00712DE2">
        <w:t xml:space="preserve">“4,346 telephone calls or emails from Group Members enquiring about the proceeding requiring action from </w:t>
      </w:r>
      <w:r w:rsidR="00A47C6A">
        <w:t>Shine’s legal team”</w:t>
      </w:r>
      <w:r w:rsidR="00955C2E">
        <w:t xml:space="preserve">, as </w:t>
      </w:r>
      <w:r w:rsidR="00D02470">
        <w:t>was submitted,</w:t>
      </w:r>
      <w:r w:rsidR="00A47C6A">
        <w:t xml:space="preserve"> must also be assessed in context.</w:t>
      </w:r>
      <w:r w:rsidR="00D2474D">
        <w:t xml:space="preserve"> The issue is what work was </w:t>
      </w:r>
      <w:r w:rsidR="00D02470">
        <w:t xml:space="preserve">required and what was </w:t>
      </w:r>
      <w:r w:rsidR="00D2474D">
        <w:t xml:space="preserve">fair and reasonable. It is likely that </w:t>
      </w:r>
      <w:r w:rsidR="003D1C5D">
        <w:t xml:space="preserve">many inquiries were </w:t>
      </w:r>
      <w:r w:rsidR="00C906D5">
        <w:t xml:space="preserve">appropriately </w:t>
      </w:r>
      <w:r w:rsidR="003D1C5D">
        <w:t xml:space="preserve">addressed </w:t>
      </w:r>
      <w:r w:rsidR="00C906D5">
        <w:t>through group responses.</w:t>
      </w:r>
    </w:p>
    <w:p w14:paraId="7C2E6E60" w14:textId="0E2C9A94" w:rsidR="00EE4F44" w:rsidRPr="00EE4F44" w:rsidRDefault="00B6500C" w:rsidP="00B6500C">
      <w:pPr>
        <w:pStyle w:val="ParaNumbering"/>
        <w:numPr>
          <w:ilvl w:val="0"/>
          <w:numId w:val="0"/>
        </w:numPr>
        <w:ind w:hanging="720"/>
        <w:rPr>
          <w:szCs w:val="24"/>
        </w:rPr>
      </w:pPr>
      <w:bookmarkStart w:id="31" w:name="_Ref164177835"/>
      <w:r w:rsidRPr="00EE4F44">
        <w:rPr>
          <w:iCs/>
          <w:sz w:val="20"/>
          <w:szCs w:val="24"/>
        </w:rPr>
        <w:t>94</w:t>
      </w:r>
      <w:r w:rsidRPr="00EE4F44">
        <w:rPr>
          <w:iCs/>
          <w:sz w:val="20"/>
          <w:szCs w:val="24"/>
        </w:rPr>
        <w:tab/>
      </w:r>
      <w:r w:rsidR="008379EF">
        <w:t>The context includes the following</w:t>
      </w:r>
      <w:r w:rsidR="00EE4F44">
        <w:t>:</w:t>
      </w:r>
      <w:bookmarkEnd w:id="31"/>
    </w:p>
    <w:p w14:paraId="759976AF" w14:textId="1E7874FC" w:rsidR="00777121" w:rsidRDefault="00B6500C" w:rsidP="00B6500C">
      <w:pPr>
        <w:pStyle w:val="ListNo1alt"/>
        <w:numPr>
          <w:ilvl w:val="0"/>
          <w:numId w:val="0"/>
        </w:numPr>
        <w:tabs>
          <w:tab w:val="left" w:pos="720"/>
        </w:tabs>
        <w:ind w:left="720" w:hanging="720"/>
      </w:pPr>
      <w:r>
        <w:t>(a)</w:t>
      </w:r>
      <w:r>
        <w:tab/>
      </w:r>
      <w:r w:rsidR="00777121">
        <w:t xml:space="preserve">there was at all times from at least November 2021 an obvious </w:t>
      </w:r>
      <w:r w:rsidR="00FD3823">
        <w:t>issue</w:t>
      </w:r>
      <w:r w:rsidR="00777121">
        <w:t xml:space="preserve"> about whether the respondents would have the capacity to meet the claims of the </w:t>
      </w:r>
      <w:r w:rsidR="00FD3823">
        <w:t>group members;</w:t>
      </w:r>
    </w:p>
    <w:p w14:paraId="52073F53" w14:textId="576D7D9B" w:rsidR="005B2388" w:rsidRDefault="00B6500C" w:rsidP="00B6500C">
      <w:pPr>
        <w:pStyle w:val="ListNo1alt"/>
        <w:numPr>
          <w:ilvl w:val="0"/>
          <w:numId w:val="0"/>
        </w:numPr>
        <w:tabs>
          <w:tab w:val="left" w:pos="720"/>
        </w:tabs>
        <w:ind w:left="720" w:hanging="720"/>
      </w:pPr>
      <w:r>
        <w:t>(b)</w:t>
      </w:r>
      <w:r>
        <w:tab/>
      </w:r>
      <w:r w:rsidR="005B2388">
        <w:t>the statement of claim was filed on 22 December 202</w:t>
      </w:r>
      <w:r w:rsidR="0019514B">
        <w:t>1</w:t>
      </w:r>
      <w:r w:rsidR="005B2388">
        <w:t>;</w:t>
      </w:r>
    </w:p>
    <w:p w14:paraId="478E3853" w14:textId="3120EE94" w:rsidR="003F5B18" w:rsidRDefault="00B6500C" w:rsidP="00B6500C">
      <w:pPr>
        <w:pStyle w:val="ListNo1alt"/>
        <w:numPr>
          <w:ilvl w:val="0"/>
          <w:numId w:val="0"/>
        </w:numPr>
        <w:tabs>
          <w:tab w:val="left" w:pos="720"/>
        </w:tabs>
        <w:ind w:left="720" w:hanging="720"/>
      </w:pPr>
      <w:r>
        <w:t>(c)</w:t>
      </w:r>
      <w:r>
        <w:tab/>
      </w:r>
      <w:r w:rsidR="003F5B18">
        <w:t>at least by the time proceedings were commenced, and probably for some time before, it could not have been particularly difficult to form a view about prospects of success in the circumstances;</w:t>
      </w:r>
    </w:p>
    <w:p w14:paraId="1DEA7592" w14:textId="711797A1" w:rsidR="005B2388" w:rsidRDefault="00B6500C" w:rsidP="00B6500C">
      <w:pPr>
        <w:pStyle w:val="ListNo1alt"/>
        <w:numPr>
          <w:ilvl w:val="0"/>
          <w:numId w:val="0"/>
        </w:numPr>
        <w:tabs>
          <w:tab w:val="left" w:pos="720"/>
        </w:tabs>
        <w:ind w:left="720" w:hanging="720"/>
      </w:pPr>
      <w:r>
        <w:t>(d)</w:t>
      </w:r>
      <w:r>
        <w:tab/>
      </w:r>
      <w:r w:rsidR="005B2388">
        <w:t>DASS went into administration on 19 January 2022</w:t>
      </w:r>
      <w:r w:rsidR="004F3FD5">
        <w:t xml:space="preserve"> and the proceeding as against DASS was stayed from that time</w:t>
      </w:r>
      <w:r w:rsidR="005B2388">
        <w:t>;</w:t>
      </w:r>
    </w:p>
    <w:p w14:paraId="2850D201" w14:textId="2DBAC4AB" w:rsidR="00F80772" w:rsidRPr="00B20C88" w:rsidRDefault="00B6500C" w:rsidP="00B6500C">
      <w:pPr>
        <w:pStyle w:val="ListNo1alt"/>
        <w:numPr>
          <w:ilvl w:val="0"/>
          <w:numId w:val="0"/>
        </w:numPr>
        <w:tabs>
          <w:tab w:val="left" w:pos="720"/>
        </w:tabs>
        <w:ind w:left="720" w:hanging="720"/>
      </w:pPr>
      <w:r w:rsidRPr="00B20C88">
        <w:lastRenderedPageBreak/>
        <w:t>(e)</w:t>
      </w:r>
      <w:r w:rsidRPr="00B20C88">
        <w:tab/>
      </w:r>
      <w:r w:rsidR="00F80772">
        <w:t>at least from when DASS went into administration, one month after the proceeding was commenced, it would have become increasingly obvious that the best solution for group members was likely to be through an agreed resolution rather than a litigated outcome;</w:t>
      </w:r>
    </w:p>
    <w:p w14:paraId="065A2029" w14:textId="2E87E075" w:rsidR="009D1CEC" w:rsidRPr="00376A3B" w:rsidRDefault="00B6500C" w:rsidP="00B6500C">
      <w:pPr>
        <w:pStyle w:val="ListNo1alt"/>
        <w:numPr>
          <w:ilvl w:val="0"/>
          <w:numId w:val="0"/>
        </w:numPr>
        <w:tabs>
          <w:tab w:val="left" w:pos="720"/>
        </w:tabs>
        <w:ind w:left="720" w:hanging="720"/>
      </w:pPr>
      <w:r w:rsidRPr="00376A3B">
        <w:t>(f)</w:t>
      </w:r>
      <w:r w:rsidRPr="00376A3B">
        <w:tab/>
      </w:r>
      <w:r w:rsidR="003D22CE">
        <w:t>very</w:t>
      </w:r>
      <w:r w:rsidR="00EE4F44">
        <w:t xml:space="preserve"> limited </w:t>
      </w:r>
      <w:r w:rsidR="006421D5">
        <w:t>discovery was ordered</w:t>
      </w:r>
      <w:r w:rsidR="003D22CE">
        <w:t xml:space="preserve"> on 4 February 2022</w:t>
      </w:r>
      <w:r w:rsidR="00FD3823">
        <w:t xml:space="preserve">, being discovery of </w:t>
      </w:r>
      <w:r w:rsidR="00F504DC">
        <w:t>minutes of meeting</w:t>
      </w:r>
      <w:r w:rsidR="00FC58D2">
        <w:t>s</w:t>
      </w:r>
      <w:r w:rsidR="00FD3823">
        <w:t xml:space="preserve"> likely to be directly relevant</w:t>
      </w:r>
      <w:r w:rsidR="009A1D83">
        <w:t>, amounting to 23 documents comprising 144 pages</w:t>
      </w:r>
      <w:r w:rsidR="004F3FD5">
        <w:t xml:space="preserve">: </w:t>
      </w:r>
      <w:r w:rsidR="004320A9">
        <w:t xml:space="preserve">Affidavit of Jackson Clyde </w:t>
      </w:r>
      <w:r w:rsidR="004F3FD5">
        <w:t xml:space="preserve">Macaulay </w:t>
      </w:r>
      <w:r w:rsidR="004320A9">
        <w:t xml:space="preserve">affirmed 28 March 2024 </w:t>
      </w:r>
      <w:r w:rsidR="004F3FD5">
        <w:t>at [27]</w:t>
      </w:r>
      <w:r w:rsidR="00B20C88">
        <w:t>;</w:t>
      </w:r>
    </w:p>
    <w:p w14:paraId="0275EBCF" w14:textId="1F417DE8" w:rsidR="00376A3B" w:rsidRDefault="00B6500C" w:rsidP="00B6500C">
      <w:pPr>
        <w:pStyle w:val="ListNo1alt"/>
        <w:numPr>
          <w:ilvl w:val="0"/>
          <w:numId w:val="0"/>
        </w:numPr>
        <w:tabs>
          <w:tab w:val="left" w:pos="720"/>
        </w:tabs>
        <w:ind w:left="720" w:hanging="720"/>
      </w:pPr>
      <w:r>
        <w:t>(g)</w:t>
      </w:r>
      <w:r>
        <w:tab/>
      </w:r>
      <w:r w:rsidR="00462F67">
        <w:t>on 8 March 2022</w:t>
      </w:r>
      <w:r w:rsidR="00764271">
        <w:t>,</w:t>
      </w:r>
      <w:r w:rsidR="00462F67">
        <w:t xml:space="preserve"> an order was made by consent that the respondents not be required to file defence</w:t>
      </w:r>
      <w:r w:rsidR="00A265CF">
        <w:t>s</w:t>
      </w:r>
      <w:r w:rsidR="00462F67">
        <w:t xml:space="preserve"> until further order</w:t>
      </w:r>
      <w:r w:rsidR="00257951">
        <w:t xml:space="preserve"> and orders were made for carriage motions to be filed;</w:t>
      </w:r>
    </w:p>
    <w:p w14:paraId="12E29FCE" w14:textId="7FF2C376" w:rsidR="00A67EC1" w:rsidRPr="00E66EC6" w:rsidRDefault="00B6500C" w:rsidP="00B6500C">
      <w:pPr>
        <w:pStyle w:val="ListNo1alt"/>
        <w:numPr>
          <w:ilvl w:val="0"/>
          <w:numId w:val="0"/>
        </w:numPr>
        <w:tabs>
          <w:tab w:val="left" w:pos="720"/>
        </w:tabs>
        <w:ind w:left="720" w:hanging="720"/>
      </w:pPr>
      <w:r w:rsidRPr="00E66EC6">
        <w:t>(h)</w:t>
      </w:r>
      <w:r w:rsidRPr="00E66EC6">
        <w:tab/>
      </w:r>
      <w:r w:rsidR="00A67EC1">
        <w:t>the carriage motions were not complex, requiring affidavits and submissions addressing the standard matters raised in such applications;</w:t>
      </w:r>
    </w:p>
    <w:p w14:paraId="652FCC39" w14:textId="4057B620" w:rsidR="00257951" w:rsidRDefault="00B6500C" w:rsidP="00B6500C">
      <w:pPr>
        <w:pStyle w:val="ListNo1alt"/>
        <w:numPr>
          <w:ilvl w:val="0"/>
          <w:numId w:val="0"/>
        </w:numPr>
        <w:tabs>
          <w:tab w:val="left" w:pos="720"/>
        </w:tabs>
        <w:ind w:left="720" w:hanging="720"/>
      </w:pPr>
      <w:r>
        <w:t>(</w:t>
      </w:r>
      <w:proofErr w:type="spellStart"/>
      <w:r>
        <w:t>i</w:t>
      </w:r>
      <w:proofErr w:type="spellEnd"/>
      <w:r>
        <w:t>)</w:t>
      </w:r>
      <w:r>
        <w:tab/>
      </w:r>
      <w:r w:rsidR="00257951">
        <w:t>no defences were filed;</w:t>
      </w:r>
    </w:p>
    <w:p w14:paraId="09923BA0" w14:textId="6DAA7BAE" w:rsidR="00A335A2" w:rsidRDefault="00B6500C" w:rsidP="00B6500C">
      <w:pPr>
        <w:pStyle w:val="ListNo1alt"/>
        <w:numPr>
          <w:ilvl w:val="0"/>
          <w:numId w:val="0"/>
        </w:numPr>
        <w:tabs>
          <w:tab w:val="left" w:pos="720"/>
        </w:tabs>
        <w:ind w:left="720" w:hanging="720"/>
      </w:pPr>
      <w:r>
        <w:t>(j)</w:t>
      </w:r>
      <w:r>
        <w:tab/>
      </w:r>
      <w:r w:rsidR="00A335A2">
        <w:t>no evidence in the substantive proceeding was filed;</w:t>
      </w:r>
    </w:p>
    <w:p w14:paraId="1595A1A0" w14:textId="7EF3E523" w:rsidR="00A335A2" w:rsidRDefault="00B6500C" w:rsidP="00B6500C">
      <w:pPr>
        <w:pStyle w:val="ListNo1alt"/>
        <w:numPr>
          <w:ilvl w:val="0"/>
          <w:numId w:val="0"/>
        </w:numPr>
        <w:tabs>
          <w:tab w:val="left" w:pos="720"/>
        </w:tabs>
        <w:ind w:left="720" w:hanging="720"/>
      </w:pPr>
      <w:r>
        <w:t>(k)</w:t>
      </w:r>
      <w:r>
        <w:tab/>
      </w:r>
      <w:r w:rsidR="00A335A2">
        <w:t>there was n</w:t>
      </w:r>
      <w:r w:rsidR="00344BAF">
        <w:t>o</w:t>
      </w:r>
      <w:r w:rsidR="00A335A2">
        <w:t xml:space="preserve"> comprehensive discovery;</w:t>
      </w:r>
    </w:p>
    <w:p w14:paraId="6AFF4579" w14:textId="0020A202" w:rsidR="00344BAF" w:rsidRPr="00344BAF" w:rsidRDefault="00B6500C" w:rsidP="00B6500C">
      <w:pPr>
        <w:pStyle w:val="ListNo1alt"/>
        <w:numPr>
          <w:ilvl w:val="0"/>
          <w:numId w:val="0"/>
        </w:numPr>
        <w:tabs>
          <w:tab w:val="left" w:pos="720"/>
        </w:tabs>
        <w:ind w:left="720" w:hanging="720"/>
      </w:pPr>
      <w:r w:rsidRPr="00344BAF">
        <w:t>(l)</w:t>
      </w:r>
      <w:r w:rsidRPr="00344BAF">
        <w:tab/>
      </w:r>
      <w:r w:rsidR="00644666">
        <w:t>it follows that t</w:t>
      </w:r>
      <w:r w:rsidR="00644666" w:rsidRPr="00E03DD8">
        <w:rPr>
          <w:szCs w:val="24"/>
        </w:rPr>
        <w:t>here was no significant expenditure on discovery</w:t>
      </w:r>
      <w:r w:rsidR="00344BAF">
        <w:rPr>
          <w:szCs w:val="24"/>
        </w:rPr>
        <w:t>;</w:t>
      </w:r>
    </w:p>
    <w:p w14:paraId="75C29198" w14:textId="616BD03D" w:rsidR="00644666" w:rsidRPr="00FD3823" w:rsidRDefault="00B6500C" w:rsidP="00B6500C">
      <w:pPr>
        <w:pStyle w:val="ListNo1alt"/>
        <w:numPr>
          <w:ilvl w:val="0"/>
          <w:numId w:val="0"/>
        </w:numPr>
        <w:tabs>
          <w:tab w:val="left" w:pos="720"/>
        </w:tabs>
        <w:ind w:left="720" w:hanging="720"/>
      </w:pPr>
      <w:r w:rsidRPr="00FD3823">
        <w:t>(m)</w:t>
      </w:r>
      <w:r w:rsidRPr="00FD3823">
        <w:tab/>
      </w:r>
      <w:r w:rsidR="00644666" w:rsidRPr="00E03DD8">
        <w:rPr>
          <w:szCs w:val="24"/>
        </w:rPr>
        <w:t>it is difficult to see that significant expenditure could have been justified in relation to evidence which would be required at a (somewhat unlikely) final hearing</w:t>
      </w:r>
      <w:r w:rsidR="003E6E9E">
        <w:rPr>
          <w:szCs w:val="24"/>
        </w:rPr>
        <w:t>;</w:t>
      </w:r>
    </w:p>
    <w:p w14:paraId="5628187C" w14:textId="1AD7BC9F" w:rsidR="00FC2ECF" w:rsidRPr="005005CD" w:rsidRDefault="00B6500C" w:rsidP="00B6500C">
      <w:pPr>
        <w:pStyle w:val="ListNo1alt"/>
        <w:numPr>
          <w:ilvl w:val="0"/>
          <w:numId w:val="0"/>
        </w:numPr>
        <w:tabs>
          <w:tab w:val="left" w:pos="720"/>
        </w:tabs>
        <w:ind w:left="720" w:hanging="720"/>
      </w:pPr>
      <w:r w:rsidRPr="005005CD">
        <w:t>(n)</w:t>
      </w:r>
      <w:r w:rsidRPr="005005CD">
        <w:tab/>
      </w:r>
      <w:r w:rsidR="00916E96">
        <w:t xml:space="preserve">there were two confined </w:t>
      </w:r>
      <w:r w:rsidR="005005CD">
        <w:t xml:space="preserve">interlocutory </w:t>
      </w:r>
      <w:r w:rsidR="00916E96">
        <w:t>hearing</w:t>
      </w:r>
      <w:r w:rsidR="005005CD">
        <w:t>s</w:t>
      </w:r>
      <w:r w:rsidR="00916E96">
        <w:t xml:space="preserve"> relating to the obtaining of insurance policies</w:t>
      </w:r>
      <w:r w:rsidR="00525EF1">
        <w:t xml:space="preserve">: </w:t>
      </w:r>
      <w:r w:rsidR="00525EF1" w:rsidRPr="00F16017">
        <w:t>Watson </w:t>
      </w:r>
      <w:r w:rsidR="00E52A3D" w:rsidRPr="00F16017">
        <w:t>No 1</w:t>
      </w:r>
      <w:r w:rsidR="000D6C02">
        <w:t xml:space="preserve"> </w:t>
      </w:r>
      <w:r w:rsidR="00525EF1" w:rsidRPr="000D6C02">
        <w:t xml:space="preserve">and </w:t>
      </w:r>
      <w:r w:rsidR="000D6C02" w:rsidRPr="00F16017">
        <w:t>Watson No</w:t>
      </w:r>
      <w:r w:rsidR="00E95261" w:rsidRPr="00F16017">
        <w:t> </w:t>
      </w:r>
      <w:r w:rsidR="000D6C02" w:rsidRPr="00F16017">
        <w:t>2</w:t>
      </w:r>
      <w:r w:rsidR="000D6C02">
        <w:t xml:space="preserve"> – these involved some novel arguments, but were not</w:t>
      </w:r>
      <w:r w:rsidR="00D20102">
        <w:t xml:space="preserve"> especially</w:t>
      </w:r>
      <w:r w:rsidR="000D6C02">
        <w:t xml:space="preserve"> </w:t>
      </w:r>
      <w:r w:rsidR="00924B65">
        <w:t xml:space="preserve">complex or </w:t>
      </w:r>
      <w:r w:rsidR="000D6C02">
        <w:t>involved in terms of evidence</w:t>
      </w:r>
      <w:r w:rsidR="00D20102">
        <w:t xml:space="preserve"> or argument;</w:t>
      </w:r>
    </w:p>
    <w:p w14:paraId="7EE2E07C" w14:textId="4325C3DD" w:rsidR="005005CD" w:rsidRDefault="00B6500C" w:rsidP="00B6500C">
      <w:pPr>
        <w:pStyle w:val="ListNo1alt"/>
        <w:numPr>
          <w:ilvl w:val="0"/>
          <w:numId w:val="0"/>
        </w:numPr>
        <w:tabs>
          <w:tab w:val="left" w:pos="720"/>
        </w:tabs>
        <w:ind w:left="720" w:hanging="720"/>
      </w:pPr>
      <w:r>
        <w:t>(o)</w:t>
      </w:r>
      <w:r>
        <w:tab/>
      </w:r>
      <w:r w:rsidR="005005CD">
        <w:t>there was one interlocutory hearing relating to the</w:t>
      </w:r>
      <w:r w:rsidR="007D289B">
        <w:t xml:space="preserve"> </w:t>
      </w:r>
      <w:r w:rsidR="00CA62B2">
        <w:t>production of documents</w:t>
      </w:r>
      <w:r w:rsidR="007D289B">
        <w:t xml:space="preserve"> to be used in connection with the mediation:</w:t>
      </w:r>
      <w:r w:rsidR="007D289B" w:rsidRPr="007D289B">
        <w:t xml:space="preserve"> </w:t>
      </w:r>
      <w:r w:rsidR="007D289B" w:rsidRPr="00F16017">
        <w:t>Watson No 3</w:t>
      </w:r>
      <w:r w:rsidR="007D289B" w:rsidRPr="007D289B">
        <w:t xml:space="preserve"> </w:t>
      </w:r>
      <w:r w:rsidR="00D20102">
        <w:t xml:space="preserve">– this involved a novel argument, but was not especially </w:t>
      </w:r>
      <w:r w:rsidR="0000355E">
        <w:t xml:space="preserve">complex or </w:t>
      </w:r>
      <w:r w:rsidR="00D20102">
        <w:t>involved in terms of evidence or argument;</w:t>
      </w:r>
    </w:p>
    <w:p w14:paraId="4895259E" w14:textId="0E8944EC" w:rsidR="00A50777" w:rsidRDefault="00B6500C" w:rsidP="00B6500C">
      <w:pPr>
        <w:pStyle w:val="ListNo1alt"/>
        <w:numPr>
          <w:ilvl w:val="0"/>
          <w:numId w:val="0"/>
        </w:numPr>
        <w:tabs>
          <w:tab w:val="left" w:pos="720"/>
        </w:tabs>
        <w:ind w:left="720" w:hanging="720"/>
      </w:pPr>
      <w:r>
        <w:t>(p)</w:t>
      </w:r>
      <w:r>
        <w:tab/>
      </w:r>
      <w:r w:rsidR="00A50777">
        <w:t>the</w:t>
      </w:r>
      <w:r w:rsidR="00050351">
        <w:t>se</w:t>
      </w:r>
      <w:r w:rsidR="00A50777">
        <w:t xml:space="preserve"> three interlocutory applications were made in circumstances where</w:t>
      </w:r>
      <w:r w:rsidR="00D070FC">
        <w:t>:</w:t>
      </w:r>
      <w:r w:rsidR="00A50777">
        <w:t xml:space="preserve"> (</w:t>
      </w:r>
      <w:proofErr w:type="spellStart"/>
      <w:r w:rsidR="00A50777">
        <w:t>i</w:t>
      </w:r>
      <w:proofErr w:type="spellEnd"/>
      <w:r w:rsidR="00A50777">
        <w:t>) there was substantial doubt about the prospect of significant recovery</w:t>
      </w:r>
      <w:r w:rsidR="008D46D4">
        <w:t>;</w:t>
      </w:r>
      <w:r w:rsidR="00A50777">
        <w:t xml:space="preserve"> and (ii) the proceeding, if fully litigated, would be costly and potentially exhaust all of what could be recovered;</w:t>
      </w:r>
    </w:p>
    <w:p w14:paraId="0F840F65" w14:textId="06FF6318" w:rsidR="00F04982" w:rsidRPr="00257951" w:rsidRDefault="00B6500C" w:rsidP="00B6500C">
      <w:pPr>
        <w:pStyle w:val="ListNo1alt"/>
        <w:numPr>
          <w:ilvl w:val="0"/>
          <w:numId w:val="0"/>
        </w:numPr>
        <w:tabs>
          <w:tab w:val="left" w:pos="720"/>
        </w:tabs>
        <w:ind w:left="720" w:hanging="720"/>
      </w:pPr>
      <w:r w:rsidRPr="00257951">
        <w:t>(q)</w:t>
      </w:r>
      <w:r w:rsidRPr="00257951">
        <w:tab/>
      </w:r>
      <w:r w:rsidR="00F04982">
        <w:t>the likely recovery position would have become relatively clear after the first two interlocutory applications</w:t>
      </w:r>
      <w:r w:rsidR="002D104C">
        <w:t>;</w:t>
      </w:r>
    </w:p>
    <w:p w14:paraId="112105E6" w14:textId="3279D579" w:rsidR="000C5D12" w:rsidRDefault="00B6500C" w:rsidP="00B6500C">
      <w:pPr>
        <w:pStyle w:val="ListNo1alt"/>
        <w:numPr>
          <w:ilvl w:val="0"/>
          <w:numId w:val="0"/>
        </w:numPr>
        <w:tabs>
          <w:tab w:val="left" w:pos="720"/>
        </w:tabs>
        <w:ind w:left="720" w:hanging="720"/>
      </w:pPr>
      <w:r>
        <w:t>(r)</w:t>
      </w:r>
      <w:r>
        <w:tab/>
      </w:r>
      <w:r w:rsidR="00FB3123">
        <w:t xml:space="preserve">the mediation </w:t>
      </w:r>
      <w:r w:rsidR="00D60C5D">
        <w:t xml:space="preserve">included </w:t>
      </w:r>
      <w:r w:rsidR="00B00A03">
        <w:t>two mediation sessions over two days in April and June 2023</w:t>
      </w:r>
      <w:r w:rsidR="000C5D12">
        <w:t xml:space="preserve"> and subsequent negotiations;</w:t>
      </w:r>
    </w:p>
    <w:p w14:paraId="24E27361" w14:textId="6C346E56" w:rsidR="00B20C88" w:rsidRDefault="00B6500C" w:rsidP="00B6500C">
      <w:pPr>
        <w:pStyle w:val="ListNo1alt"/>
        <w:numPr>
          <w:ilvl w:val="0"/>
          <w:numId w:val="0"/>
        </w:numPr>
        <w:tabs>
          <w:tab w:val="left" w:pos="720"/>
        </w:tabs>
        <w:ind w:left="720" w:hanging="720"/>
      </w:pPr>
      <w:r>
        <w:lastRenderedPageBreak/>
        <w:t>(s)</w:t>
      </w:r>
      <w:r>
        <w:tab/>
      </w:r>
      <w:r w:rsidR="000C5D12">
        <w:t xml:space="preserve">the settlement </w:t>
      </w:r>
      <w:r w:rsidR="00FB3123">
        <w:t xml:space="preserve">process </w:t>
      </w:r>
      <w:r w:rsidR="00374961">
        <w:t xml:space="preserve">was </w:t>
      </w:r>
      <w:r w:rsidR="000C5D12">
        <w:t xml:space="preserve">necessarily </w:t>
      </w:r>
      <w:r w:rsidR="00374961">
        <w:t>involved</w:t>
      </w:r>
      <w:r w:rsidR="00E4226B">
        <w:t>,</w:t>
      </w:r>
      <w:r w:rsidR="00374961">
        <w:t xml:space="preserve"> and the agreed resolution of the dispute</w:t>
      </w:r>
      <w:r w:rsidR="00FB3123">
        <w:t xml:space="preserve"> </w:t>
      </w:r>
      <w:r w:rsidR="00374961">
        <w:t xml:space="preserve">involved </w:t>
      </w:r>
      <w:r w:rsidR="005F5426">
        <w:t xml:space="preserve">various </w:t>
      </w:r>
      <w:r w:rsidR="00374961">
        <w:t>complexities</w:t>
      </w:r>
      <w:r w:rsidR="00D2704A">
        <w:t xml:space="preserve">, including those resulting from DASS being in </w:t>
      </w:r>
      <w:r w:rsidR="00F05CA0">
        <w:t>administration</w:t>
      </w:r>
      <w:r w:rsidR="00794C72">
        <w:t>;</w:t>
      </w:r>
      <w:r w:rsidR="00E4226B">
        <w:t xml:space="preserve"> and</w:t>
      </w:r>
    </w:p>
    <w:p w14:paraId="33636447" w14:textId="0BC052C8" w:rsidR="00794C72" w:rsidRPr="00EE4F44" w:rsidRDefault="00B6500C" w:rsidP="00B6500C">
      <w:pPr>
        <w:pStyle w:val="ListNo1alt"/>
        <w:numPr>
          <w:ilvl w:val="0"/>
          <w:numId w:val="0"/>
        </w:numPr>
        <w:tabs>
          <w:tab w:val="left" w:pos="720"/>
        </w:tabs>
        <w:ind w:left="720" w:hanging="720"/>
      </w:pPr>
      <w:r w:rsidRPr="00EE4F44">
        <w:t>(t)</w:t>
      </w:r>
      <w:r w:rsidRPr="00EE4F44">
        <w:tab/>
      </w:r>
      <w:r w:rsidR="00794C72">
        <w:t>by 22 December 2023, the total professional fees incurred</w:t>
      </w:r>
      <w:r w:rsidR="00FE31A2">
        <w:t xml:space="preserve"> was $1,750,708.30 (before the 25% uplift), representing over half of the </w:t>
      </w:r>
      <w:r w:rsidR="005C5EA2">
        <w:t>total professional fees estimated in the costs disclosures of $3,431,020 (before the 25% uplift).</w:t>
      </w:r>
    </w:p>
    <w:p w14:paraId="229B9D39" w14:textId="15EBA25C" w:rsidR="001C0541" w:rsidRPr="00191F28" w:rsidRDefault="00B6500C" w:rsidP="00B6500C">
      <w:pPr>
        <w:pStyle w:val="ParaNumbering"/>
        <w:numPr>
          <w:ilvl w:val="0"/>
          <w:numId w:val="0"/>
        </w:numPr>
        <w:ind w:hanging="720"/>
        <w:rPr>
          <w:sz w:val="22"/>
          <w:lang w:eastAsia="en-AU"/>
        </w:rPr>
      </w:pPr>
      <w:r w:rsidRPr="00191F28">
        <w:rPr>
          <w:iCs/>
          <w:sz w:val="20"/>
          <w:lang w:eastAsia="en-AU"/>
        </w:rPr>
        <w:t>95</w:t>
      </w:r>
      <w:r w:rsidRPr="00191F28">
        <w:rPr>
          <w:iCs/>
          <w:sz w:val="20"/>
          <w:lang w:eastAsia="en-AU"/>
        </w:rPr>
        <w:tab/>
      </w:r>
      <w:r w:rsidR="001A4A5B">
        <w:t>In relation to Rosati 1, I consider that Ms Rosati’s reduction of professional fees by 5% is low.</w:t>
      </w:r>
      <w:r w:rsidR="00390A9E">
        <w:t xml:space="preserve"> </w:t>
      </w:r>
      <w:r w:rsidR="00755393">
        <w:t>A</w:t>
      </w:r>
      <w:r w:rsidR="00390A9E">
        <w:t>s a matter of substance</w:t>
      </w:r>
      <w:r w:rsidR="00755393">
        <w:t xml:space="preserve">, that </w:t>
      </w:r>
      <w:r w:rsidR="00D9180A">
        <w:t xml:space="preserve">reduction </w:t>
      </w:r>
      <w:r w:rsidR="00755393">
        <w:t>comes close</w:t>
      </w:r>
      <w:r w:rsidR="00390A9E">
        <w:t xml:space="preserve"> to a conclusion that Shine are entitled to a full indemnity </w:t>
      </w:r>
      <w:r w:rsidR="00DE5ECD">
        <w:t>for costs</w:t>
      </w:r>
      <w:r w:rsidR="00176974">
        <w:t>.</w:t>
      </w:r>
      <w:r w:rsidR="00DE5ECD">
        <w:t xml:space="preserve"> </w:t>
      </w:r>
      <w:r w:rsidR="00BA6D48">
        <w:t xml:space="preserve">Under its costs agreements, and the </w:t>
      </w:r>
      <w:r w:rsidR="00E8127F">
        <w:t>Settlement Deed</w:t>
      </w:r>
      <w:r w:rsidR="00BA6D48">
        <w:t>, S</w:t>
      </w:r>
      <w:r w:rsidR="00881553">
        <w:t>h</w:t>
      </w:r>
      <w:r w:rsidR="00BA6D48">
        <w:t>ine is entitled to costs on a solicitor and own client basis.</w:t>
      </w:r>
      <w:bookmarkStart w:id="32" w:name="_Ref163727009"/>
      <w:r w:rsidR="00E33B8D">
        <w:t xml:space="preserve"> </w:t>
      </w:r>
    </w:p>
    <w:p w14:paraId="13B4A18B" w14:textId="7C7F11D5" w:rsidR="00B57773" w:rsidRPr="00191F28" w:rsidRDefault="00B6500C" w:rsidP="00B6500C">
      <w:pPr>
        <w:pStyle w:val="ParaNumbering"/>
        <w:numPr>
          <w:ilvl w:val="0"/>
          <w:numId w:val="0"/>
        </w:numPr>
        <w:ind w:hanging="720"/>
        <w:rPr>
          <w:sz w:val="22"/>
          <w:lang w:eastAsia="en-AU"/>
        </w:rPr>
      </w:pPr>
      <w:r w:rsidRPr="00191F28">
        <w:rPr>
          <w:iCs/>
          <w:sz w:val="20"/>
          <w:lang w:eastAsia="en-AU"/>
        </w:rPr>
        <w:t>96</w:t>
      </w:r>
      <w:r w:rsidRPr="00191F28">
        <w:rPr>
          <w:iCs/>
          <w:sz w:val="20"/>
          <w:lang w:eastAsia="en-AU"/>
        </w:rPr>
        <w:tab/>
      </w:r>
      <w:r w:rsidR="001A4A5B">
        <w:t>The reduction in pre-</w:t>
      </w:r>
      <w:r w:rsidR="00DF54CE">
        <w:t>retainer</w:t>
      </w:r>
      <w:r w:rsidR="001A4A5B">
        <w:t xml:space="preserve"> professional fees of 5% is low having regard to </w:t>
      </w:r>
      <w:r w:rsidR="00F053C9">
        <w:t xml:space="preserve">what is known about the work which was performed, primarily </w:t>
      </w:r>
      <w:r w:rsidR="00F341DF">
        <w:t xml:space="preserve">divined from </w:t>
      </w:r>
      <w:r w:rsidR="001A4A5B">
        <w:t xml:space="preserve">the description of the work in </w:t>
      </w:r>
      <w:r w:rsidR="00F341DF">
        <w:t>the Letter of Instruction, what is stated in the costs agreements</w:t>
      </w:r>
      <w:r w:rsidR="005D43B0">
        <w:t>, and</w:t>
      </w:r>
      <w:r w:rsidR="00F341DF">
        <w:t xml:space="preserve"> the summary of what was contained in the “itemised account” as summarised in Rosati 1</w:t>
      </w:r>
      <w:r w:rsidR="007B1699">
        <w:t xml:space="preserve"> at [83]</w:t>
      </w:r>
      <w:r w:rsidR="001A4A5B">
        <w:t xml:space="preserve">. </w:t>
      </w:r>
      <w:r w:rsidR="006C63C7">
        <w:t>Having regard to the context and this information, i</w:t>
      </w:r>
      <w:r w:rsidR="001A4A5B">
        <w:t xml:space="preserve">t is likely that a substantial amount of work in </w:t>
      </w:r>
      <w:r w:rsidR="006C63C7">
        <w:t>the pre-retainer</w:t>
      </w:r>
      <w:r w:rsidR="001A4A5B">
        <w:t xml:space="preserve"> period concerned Shine’s commercial, business</w:t>
      </w:r>
      <w:r w:rsidR="00B37B6A">
        <w:t>,</w:t>
      </w:r>
      <w:r w:rsidR="001A4A5B">
        <w:t xml:space="preserve"> and legal interests</w:t>
      </w:r>
      <w:r w:rsidR="00DE161C">
        <w:t xml:space="preserve"> as a company considering whether to be engaged in, and promote, </w:t>
      </w:r>
      <w:r w:rsidR="0077648D">
        <w:t xml:space="preserve">the </w:t>
      </w:r>
      <w:r w:rsidR="00DE161C">
        <w:t>representative proceedings</w:t>
      </w:r>
      <w:r w:rsidR="0077648D">
        <w:t xml:space="preserve"> it was investigating</w:t>
      </w:r>
      <w:r w:rsidR="001A4A5B">
        <w:t xml:space="preserve">. </w:t>
      </w:r>
      <w:r w:rsidR="001C0541">
        <w:t>I also consider the reduction low noting the way in which charges were recorded for group communications with potential group members in the pre-action period – see: Rosati 1 at [89].</w:t>
      </w:r>
    </w:p>
    <w:p w14:paraId="354F6EC1" w14:textId="4E99C749" w:rsidR="00731C54" w:rsidRPr="00E33B8D" w:rsidRDefault="00B6500C" w:rsidP="00B6500C">
      <w:pPr>
        <w:pStyle w:val="ParaNumbering"/>
        <w:numPr>
          <w:ilvl w:val="0"/>
          <w:numId w:val="0"/>
        </w:numPr>
        <w:ind w:hanging="720"/>
        <w:rPr>
          <w:sz w:val="22"/>
          <w:lang w:eastAsia="en-AU"/>
        </w:rPr>
      </w:pPr>
      <w:r w:rsidRPr="00E33B8D">
        <w:rPr>
          <w:iCs/>
          <w:sz w:val="20"/>
          <w:lang w:eastAsia="en-AU"/>
        </w:rPr>
        <w:t>97</w:t>
      </w:r>
      <w:r w:rsidRPr="00E33B8D">
        <w:rPr>
          <w:iCs/>
          <w:sz w:val="20"/>
          <w:lang w:eastAsia="en-AU"/>
        </w:rPr>
        <w:tab/>
      </w:r>
      <w:r w:rsidR="001A4A5B">
        <w:t xml:space="preserve">There was also substantial work performed </w:t>
      </w:r>
      <w:r w:rsidR="00FE03FB">
        <w:t xml:space="preserve">in the pre-retainer period </w:t>
      </w:r>
      <w:r w:rsidR="001A4A5B">
        <w:t xml:space="preserve">which was of benefit to group members. The cost of the work for the benefit of group members is fairly passed on. </w:t>
      </w:r>
      <w:bookmarkEnd w:id="32"/>
    </w:p>
    <w:p w14:paraId="6D0BAEB9" w14:textId="2A3501FB" w:rsidR="001A4A5B" w:rsidRPr="001A4A5B" w:rsidRDefault="00B6500C" w:rsidP="00B6500C">
      <w:pPr>
        <w:pStyle w:val="ParaNumbering"/>
        <w:numPr>
          <w:ilvl w:val="0"/>
          <w:numId w:val="0"/>
        </w:numPr>
        <w:ind w:hanging="720"/>
        <w:rPr>
          <w:sz w:val="22"/>
          <w:lang w:eastAsia="en-AU"/>
        </w:rPr>
      </w:pPr>
      <w:r w:rsidRPr="001A4A5B">
        <w:rPr>
          <w:iCs/>
          <w:sz w:val="20"/>
          <w:lang w:eastAsia="en-AU"/>
        </w:rPr>
        <w:t>98</w:t>
      </w:r>
      <w:r w:rsidRPr="001A4A5B">
        <w:rPr>
          <w:iCs/>
          <w:sz w:val="20"/>
          <w:lang w:eastAsia="en-AU"/>
        </w:rPr>
        <w:tab/>
      </w:r>
      <w:r w:rsidR="00731C54">
        <w:t>I am not satisfied that a 5% reduction in the professional fees claimed</w:t>
      </w:r>
      <w:r w:rsidR="00A72D9B">
        <w:t xml:space="preserve"> in respect of the pre-retainer period</w:t>
      </w:r>
      <w:r w:rsidR="00731C54">
        <w:t>, as determined from the “itemised account”, appropriately reflects what is fair and reasonable for solicitor and own client costs</w:t>
      </w:r>
      <w:r w:rsidR="00B14AC0">
        <w:t>,</w:t>
      </w:r>
      <w:r w:rsidR="00367AFA">
        <w:t xml:space="preserve"> having regard to the various matters in s 172(2) of the Uniform Law.</w:t>
      </w:r>
    </w:p>
    <w:p w14:paraId="0AC94CC4" w14:textId="136F26ED" w:rsidR="00464803" w:rsidRPr="00464803" w:rsidRDefault="00B6500C" w:rsidP="00B6500C">
      <w:pPr>
        <w:pStyle w:val="ParaNumbering"/>
        <w:numPr>
          <w:ilvl w:val="0"/>
          <w:numId w:val="0"/>
        </w:numPr>
        <w:ind w:hanging="720"/>
        <w:rPr>
          <w:szCs w:val="24"/>
        </w:rPr>
      </w:pPr>
      <w:r w:rsidRPr="00464803">
        <w:rPr>
          <w:iCs/>
          <w:sz w:val="20"/>
          <w:szCs w:val="24"/>
        </w:rPr>
        <w:t>99</w:t>
      </w:r>
      <w:r w:rsidRPr="00464803">
        <w:rPr>
          <w:iCs/>
          <w:sz w:val="20"/>
          <w:szCs w:val="24"/>
        </w:rPr>
        <w:tab/>
      </w:r>
      <w:r w:rsidR="00475628">
        <w:rPr>
          <w:szCs w:val="24"/>
        </w:rPr>
        <w:t>T</w:t>
      </w:r>
      <w:r w:rsidR="00E90F09" w:rsidRPr="00EF2F86">
        <w:rPr>
          <w:szCs w:val="24"/>
        </w:rPr>
        <w:t>he reduction of 5% is also low in the post-</w:t>
      </w:r>
      <w:r w:rsidR="00DF54CE">
        <w:rPr>
          <w:szCs w:val="24"/>
        </w:rPr>
        <w:t>retainer</w:t>
      </w:r>
      <w:r w:rsidR="00E90F09" w:rsidRPr="00EF2F86">
        <w:rPr>
          <w:szCs w:val="24"/>
        </w:rPr>
        <w:t xml:space="preserve"> period</w:t>
      </w:r>
      <w:r w:rsidR="008053B3">
        <w:rPr>
          <w:szCs w:val="24"/>
        </w:rPr>
        <w:t>,</w:t>
      </w:r>
      <w:r w:rsidR="00E90F09" w:rsidRPr="00EF2F86">
        <w:rPr>
          <w:szCs w:val="24"/>
        </w:rPr>
        <w:t xml:space="preserve"> </w:t>
      </w:r>
      <w:r w:rsidR="00DF54CE">
        <w:rPr>
          <w:szCs w:val="24"/>
        </w:rPr>
        <w:t>from 18 December 2021</w:t>
      </w:r>
      <w:r w:rsidR="00FF5461">
        <w:rPr>
          <w:szCs w:val="24"/>
        </w:rPr>
        <w:t xml:space="preserve"> until 12</w:t>
      </w:r>
      <w:r w:rsidR="00DF54CE">
        <w:rPr>
          <w:szCs w:val="24"/>
        </w:rPr>
        <w:t> </w:t>
      </w:r>
      <w:r w:rsidR="00FF5461">
        <w:rPr>
          <w:szCs w:val="24"/>
        </w:rPr>
        <w:t>November 2023</w:t>
      </w:r>
      <w:r w:rsidR="00475628">
        <w:rPr>
          <w:szCs w:val="24"/>
        </w:rPr>
        <w:t>, w</w:t>
      </w:r>
      <w:r w:rsidR="00475628" w:rsidRPr="00EF2F86">
        <w:rPr>
          <w:szCs w:val="24"/>
        </w:rPr>
        <w:t>hen regard is had to the context referred to at [</w:t>
      </w:r>
      <w:r w:rsidR="00475628">
        <w:rPr>
          <w:szCs w:val="24"/>
        </w:rPr>
        <w:fldChar w:fldCharType="begin"/>
      </w:r>
      <w:r w:rsidR="00475628">
        <w:rPr>
          <w:szCs w:val="24"/>
        </w:rPr>
        <w:instrText xml:space="preserve"> REF _Ref164177835 \r \h </w:instrText>
      </w:r>
      <w:r w:rsidR="00475628">
        <w:rPr>
          <w:szCs w:val="24"/>
        </w:rPr>
      </w:r>
      <w:r w:rsidR="00475628">
        <w:rPr>
          <w:szCs w:val="24"/>
        </w:rPr>
        <w:fldChar w:fldCharType="separate"/>
      </w:r>
      <w:r w:rsidR="00DB0F30">
        <w:rPr>
          <w:szCs w:val="24"/>
        </w:rPr>
        <w:t>94</w:t>
      </w:r>
      <w:r w:rsidR="00475628">
        <w:rPr>
          <w:szCs w:val="24"/>
        </w:rPr>
        <w:fldChar w:fldCharType="end"/>
      </w:r>
      <w:r w:rsidR="00475628" w:rsidRPr="00EF2F86">
        <w:rPr>
          <w:szCs w:val="24"/>
        </w:rPr>
        <w:t>] above</w:t>
      </w:r>
      <w:r w:rsidR="009F27C6">
        <w:rPr>
          <w:szCs w:val="24"/>
        </w:rPr>
        <w:t xml:space="preserve">. </w:t>
      </w:r>
      <w:r w:rsidR="00F33AEE">
        <w:t>The level of professional fees in the post-retainer period is high having regard to the work which had already been performed in the pre-retainer period, the estimate of professional fees given in the costs disclosures (in particular the various line items in the table to cl 31 of the costs agreements)</w:t>
      </w:r>
      <w:r w:rsidR="00732C2E">
        <w:t>,</w:t>
      </w:r>
      <w:r w:rsidR="00F33AEE">
        <w:t xml:space="preserve"> and the steps actually taken in the litigation.</w:t>
      </w:r>
      <w:r w:rsidR="0047398A">
        <w:t xml:space="preserve"> </w:t>
      </w:r>
    </w:p>
    <w:p w14:paraId="6936D5FA" w14:textId="02124F0C" w:rsidR="00F33AEE" w:rsidRPr="007F5054" w:rsidRDefault="00B6500C" w:rsidP="00B6500C">
      <w:pPr>
        <w:pStyle w:val="ParaNumbering"/>
        <w:numPr>
          <w:ilvl w:val="0"/>
          <w:numId w:val="0"/>
        </w:numPr>
        <w:ind w:hanging="720"/>
        <w:rPr>
          <w:szCs w:val="24"/>
        </w:rPr>
      </w:pPr>
      <w:r w:rsidRPr="007F5054">
        <w:rPr>
          <w:iCs/>
          <w:sz w:val="20"/>
          <w:szCs w:val="24"/>
        </w:rPr>
        <w:lastRenderedPageBreak/>
        <w:t>100</w:t>
      </w:r>
      <w:r w:rsidRPr="007F5054">
        <w:rPr>
          <w:iCs/>
          <w:sz w:val="20"/>
          <w:szCs w:val="24"/>
        </w:rPr>
        <w:tab/>
      </w:r>
      <w:r w:rsidR="00941B48">
        <w:t xml:space="preserve">The submission </w:t>
      </w:r>
      <w:r w:rsidR="00DD6FAD">
        <w:t xml:space="preserve">made by Shine </w:t>
      </w:r>
      <w:r w:rsidR="00625D96">
        <w:t>recorded at [</w:t>
      </w:r>
      <w:r w:rsidR="00625D96">
        <w:fldChar w:fldCharType="begin"/>
      </w:r>
      <w:r w:rsidR="00625D96">
        <w:instrText xml:space="preserve"> REF _Ref164233688 \r \h </w:instrText>
      </w:r>
      <w:r w:rsidR="00625D96">
        <w:fldChar w:fldCharType="separate"/>
      </w:r>
      <w:r w:rsidR="00DB0F30">
        <w:t>77</w:t>
      </w:r>
      <w:r w:rsidR="00625D96">
        <w:fldChar w:fldCharType="end"/>
      </w:r>
      <w:r w:rsidR="00625D96">
        <w:t xml:space="preserve">(g)] above </w:t>
      </w:r>
      <w:r w:rsidR="00DD6FAD">
        <w:t xml:space="preserve">– </w:t>
      </w:r>
      <w:r w:rsidR="00941B48">
        <w:t>that</w:t>
      </w:r>
      <w:r w:rsidR="00DD6FAD">
        <w:t xml:space="preserve"> </w:t>
      </w:r>
      <w:r w:rsidR="00941B48">
        <w:t xml:space="preserve">the costs </w:t>
      </w:r>
      <w:r w:rsidR="00DD6FAD" w:rsidRPr="00107882">
        <w:rPr>
          <w:szCs w:val="24"/>
        </w:rPr>
        <w:t>do</w:t>
      </w:r>
      <w:r w:rsidR="00DD6FAD" w:rsidRPr="00107882">
        <w:rPr>
          <w:spacing w:val="-13"/>
          <w:szCs w:val="24"/>
        </w:rPr>
        <w:t xml:space="preserve"> </w:t>
      </w:r>
      <w:r w:rsidR="00DD6FAD" w:rsidRPr="00107882">
        <w:rPr>
          <w:szCs w:val="24"/>
        </w:rPr>
        <w:t>not</w:t>
      </w:r>
      <w:r w:rsidR="00DD6FAD" w:rsidRPr="00107882">
        <w:rPr>
          <w:spacing w:val="-12"/>
          <w:szCs w:val="24"/>
        </w:rPr>
        <w:t xml:space="preserve"> </w:t>
      </w:r>
      <w:r w:rsidR="00DD6FAD" w:rsidRPr="00107882">
        <w:rPr>
          <w:szCs w:val="24"/>
        </w:rPr>
        <w:t>exceed</w:t>
      </w:r>
      <w:r w:rsidR="00DD6FAD" w:rsidRPr="00107882">
        <w:rPr>
          <w:spacing w:val="-14"/>
          <w:szCs w:val="24"/>
        </w:rPr>
        <w:t xml:space="preserve"> </w:t>
      </w:r>
      <w:r w:rsidR="00DD6FAD">
        <w:rPr>
          <w:szCs w:val="24"/>
        </w:rPr>
        <w:t xml:space="preserve">what was </w:t>
      </w:r>
      <w:r w:rsidR="00DD6FAD" w:rsidRPr="00107882">
        <w:rPr>
          <w:szCs w:val="24"/>
        </w:rPr>
        <w:t>first</w:t>
      </w:r>
      <w:r w:rsidR="00DD6FAD" w:rsidRPr="00107882">
        <w:rPr>
          <w:spacing w:val="-7"/>
          <w:szCs w:val="24"/>
        </w:rPr>
        <w:t xml:space="preserve"> </w:t>
      </w:r>
      <w:r w:rsidR="00DD6FAD" w:rsidRPr="00107882">
        <w:rPr>
          <w:szCs w:val="24"/>
        </w:rPr>
        <w:t>estimated</w:t>
      </w:r>
      <w:r w:rsidR="00DD6FAD" w:rsidRPr="00107882">
        <w:rPr>
          <w:spacing w:val="-9"/>
          <w:szCs w:val="24"/>
        </w:rPr>
        <w:t xml:space="preserve"> </w:t>
      </w:r>
      <w:r w:rsidR="00DD6FAD" w:rsidRPr="00107882">
        <w:rPr>
          <w:szCs w:val="24"/>
        </w:rPr>
        <w:t>and</w:t>
      </w:r>
      <w:r w:rsidR="00DD6FAD" w:rsidRPr="00107882">
        <w:rPr>
          <w:spacing w:val="-7"/>
          <w:szCs w:val="24"/>
        </w:rPr>
        <w:t xml:space="preserve"> </w:t>
      </w:r>
      <w:r w:rsidR="00DD6FAD" w:rsidRPr="00107882">
        <w:rPr>
          <w:szCs w:val="24"/>
        </w:rPr>
        <w:t>disclosed</w:t>
      </w:r>
      <w:r w:rsidR="00DD6FAD" w:rsidRPr="00107882">
        <w:rPr>
          <w:spacing w:val="-7"/>
          <w:szCs w:val="24"/>
        </w:rPr>
        <w:t xml:space="preserve"> </w:t>
      </w:r>
      <w:r w:rsidR="00DD6FAD" w:rsidRPr="00107882">
        <w:rPr>
          <w:szCs w:val="24"/>
        </w:rPr>
        <w:t>to</w:t>
      </w:r>
      <w:r w:rsidR="00DD6FAD" w:rsidRPr="00107882">
        <w:rPr>
          <w:spacing w:val="-8"/>
          <w:szCs w:val="24"/>
        </w:rPr>
        <w:t xml:space="preserve"> </w:t>
      </w:r>
      <w:r w:rsidR="00DD6FAD" w:rsidRPr="00107882">
        <w:rPr>
          <w:szCs w:val="24"/>
        </w:rPr>
        <w:t>the</w:t>
      </w:r>
      <w:r w:rsidR="00DD6FAD" w:rsidRPr="00107882">
        <w:rPr>
          <w:spacing w:val="-7"/>
          <w:szCs w:val="24"/>
        </w:rPr>
        <w:t xml:space="preserve"> </w:t>
      </w:r>
      <w:r w:rsidR="00DD6FAD" w:rsidRPr="00107882">
        <w:rPr>
          <w:szCs w:val="24"/>
        </w:rPr>
        <w:t>lead</w:t>
      </w:r>
      <w:r w:rsidR="00DD6FAD" w:rsidRPr="00107882">
        <w:rPr>
          <w:spacing w:val="-7"/>
          <w:szCs w:val="24"/>
        </w:rPr>
        <w:t xml:space="preserve"> </w:t>
      </w:r>
      <w:r w:rsidR="00DD6FAD">
        <w:rPr>
          <w:szCs w:val="24"/>
        </w:rPr>
        <w:t>a</w:t>
      </w:r>
      <w:r w:rsidR="00DD6FAD" w:rsidRPr="00107882">
        <w:rPr>
          <w:szCs w:val="24"/>
        </w:rPr>
        <w:t>pplicant</w:t>
      </w:r>
      <w:r w:rsidR="00DD6FAD" w:rsidRPr="00107882">
        <w:rPr>
          <w:spacing w:val="-7"/>
          <w:szCs w:val="24"/>
        </w:rPr>
        <w:t xml:space="preserve"> </w:t>
      </w:r>
      <w:r w:rsidR="00DD6FAD" w:rsidRPr="00107882">
        <w:rPr>
          <w:szCs w:val="24"/>
        </w:rPr>
        <w:t>in</w:t>
      </w:r>
      <w:r w:rsidR="00DD6FAD" w:rsidRPr="00107882">
        <w:rPr>
          <w:spacing w:val="-7"/>
          <w:szCs w:val="24"/>
        </w:rPr>
        <w:t xml:space="preserve"> </w:t>
      </w:r>
      <w:r w:rsidR="00DD6FAD" w:rsidRPr="00107882">
        <w:rPr>
          <w:szCs w:val="24"/>
        </w:rPr>
        <w:t>the</w:t>
      </w:r>
      <w:r w:rsidR="00DD6FAD" w:rsidRPr="00107882">
        <w:rPr>
          <w:spacing w:val="-7"/>
          <w:szCs w:val="24"/>
        </w:rPr>
        <w:t xml:space="preserve"> </w:t>
      </w:r>
      <w:r w:rsidR="00DD6FAD">
        <w:rPr>
          <w:szCs w:val="24"/>
        </w:rPr>
        <w:t>r</w:t>
      </w:r>
      <w:r w:rsidR="00DD6FAD" w:rsidRPr="00107882">
        <w:rPr>
          <w:szCs w:val="24"/>
        </w:rPr>
        <w:t>etainer</w:t>
      </w:r>
      <w:r w:rsidR="009F4611">
        <w:rPr>
          <w:szCs w:val="24"/>
        </w:rPr>
        <w:t xml:space="preserve"> – is not </w:t>
      </w:r>
      <w:r w:rsidR="001401E6">
        <w:rPr>
          <w:szCs w:val="24"/>
        </w:rPr>
        <w:t xml:space="preserve">really </w:t>
      </w:r>
      <w:r w:rsidR="009F4611">
        <w:rPr>
          <w:szCs w:val="24"/>
        </w:rPr>
        <w:t xml:space="preserve">to the point in circumstances where the proceedings came to an early end and where many of the steps </w:t>
      </w:r>
      <w:r w:rsidR="004A03ED">
        <w:rPr>
          <w:szCs w:val="24"/>
        </w:rPr>
        <w:t xml:space="preserve">referred to in the retainer never occurred. </w:t>
      </w:r>
      <w:r w:rsidR="001401E6">
        <w:rPr>
          <w:szCs w:val="24"/>
        </w:rPr>
        <w:t>It is more pertinent to examine the costs</w:t>
      </w:r>
      <w:r w:rsidR="0078513B">
        <w:rPr>
          <w:szCs w:val="24"/>
        </w:rPr>
        <w:t xml:space="preserve"> claimed</w:t>
      </w:r>
      <w:r w:rsidR="001401E6">
        <w:rPr>
          <w:szCs w:val="24"/>
        </w:rPr>
        <w:t xml:space="preserve"> by reference to the table in cl 31 of the costs agreements</w:t>
      </w:r>
      <w:r w:rsidR="0078513B">
        <w:rPr>
          <w:szCs w:val="24"/>
        </w:rPr>
        <w:t xml:space="preserve"> – see: [</w:t>
      </w:r>
      <w:r w:rsidR="0078513B">
        <w:rPr>
          <w:szCs w:val="24"/>
        </w:rPr>
        <w:fldChar w:fldCharType="begin"/>
      </w:r>
      <w:r w:rsidR="0078513B">
        <w:rPr>
          <w:szCs w:val="24"/>
        </w:rPr>
        <w:instrText xml:space="preserve"> REF _Ref164233867 \r \h </w:instrText>
      </w:r>
      <w:r w:rsidR="0078513B">
        <w:rPr>
          <w:szCs w:val="24"/>
        </w:rPr>
      </w:r>
      <w:r w:rsidR="0078513B">
        <w:rPr>
          <w:szCs w:val="24"/>
        </w:rPr>
        <w:fldChar w:fldCharType="separate"/>
      </w:r>
      <w:r w:rsidR="00DB0F30">
        <w:rPr>
          <w:szCs w:val="24"/>
        </w:rPr>
        <w:t>60</w:t>
      </w:r>
      <w:r w:rsidR="0078513B">
        <w:rPr>
          <w:szCs w:val="24"/>
        </w:rPr>
        <w:fldChar w:fldCharType="end"/>
      </w:r>
      <w:r w:rsidR="0078513B">
        <w:rPr>
          <w:szCs w:val="24"/>
        </w:rPr>
        <w:t>] above</w:t>
      </w:r>
      <w:r w:rsidR="001401E6">
        <w:rPr>
          <w:szCs w:val="24"/>
        </w:rPr>
        <w:t>.</w:t>
      </w:r>
    </w:p>
    <w:p w14:paraId="13458921" w14:textId="4EEA0017" w:rsidR="007F5054" w:rsidRPr="004E142F" w:rsidRDefault="00B6500C" w:rsidP="00B6500C">
      <w:pPr>
        <w:pStyle w:val="ParaNumbering"/>
        <w:numPr>
          <w:ilvl w:val="0"/>
          <w:numId w:val="0"/>
        </w:numPr>
        <w:ind w:hanging="720"/>
        <w:rPr>
          <w:szCs w:val="24"/>
        </w:rPr>
      </w:pPr>
      <w:r w:rsidRPr="004E142F">
        <w:rPr>
          <w:iCs/>
          <w:sz w:val="20"/>
          <w:szCs w:val="24"/>
        </w:rPr>
        <w:t>101</w:t>
      </w:r>
      <w:r w:rsidRPr="004E142F">
        <w:rPr>
          <w:iCs/>
          <w:sz w:val="20"/>
          <w:szCs w:val="24"/>
        </w:rPr>
        <w:tab/>
      </w:r>
      <w:r w:rsidR="007F5054">
        <w:t xml:space="preserve">One of the matters to take into account in determining what </w:t>
      </w:r>
      <w:r w:rsidR="00BB48AA">
        <w:t xml:space="preserve">is </w:t>
      </w:r>
      <w:r w:rsidR="007F5054">
        <w:t xml:space="preserve">fair and reasonable is the fact that the prospect of </w:t>
      </w:r>
      <w:r w:rsidR="00396885">
        <w:t>substantial recovery was always in some doubt and became increasingly doubtful</w:t>
      </w:r>
      <w:r w:rsidR="00FF226F">
        <w:t xml:space="preserve"> during the post-retainer period</w:t>
      </w:r>
      <w:r w:rsidR="00396885">
        <w:t xml:space="preserve">. This circumstance called for careful assessment of what work should be performed so as to maximise </w:t>
      </w:r>
      <w:r w:rsidR="00996A4C">
        <w:t xml:space="preserve">the interests of the group members by ensuring that whatever might be recovered would not be </w:t>
      </w:r>
      <w:r w:rsidR="00E24017">
        <w:t xml:space="preserve">soaked up by legal costs. </w:t>
      </w:r>
      <w:r w:rsidR="00946D8F">
        <w:t>The fact that a 25% uplift fee was payable, subject to the orders made on approval of a</w:t>
      </w:r>
      <w:r w:rsidR="004E7C29">
        <w:t>ny</w:t>
      </w:r>
      <w:r w:rsidR="00946D8F">
        <w:t xml:space="preserve"> settlement, accentuated an increasing need to conserve costs as the unlikelihood of significant recovery increased. In making that observation, I do not mean to suggest that there was no regard to these matters.</w:t>
      </w:r>
    </w:p>
    <w:p w14:paraId="5CFEF976" w14:textId="78D6438A" w:rsidR="00C347B8" w:rsidRDefault="00B6500C" w:rsidP="00B6500C">
      <w:pPr>
        <w:pStyle w:val="ParaNumbering"/>
        <w:numPr>
          <w:ilvl w:val="0"/>
          <w:numId w:val="0"/>
        </w:numPr>
        <w:ind w:hanging="720"/>
        <w:rPr>
          <w:szCs w:val="24"/>
        </w:rPr>
      </w:pPr>
      <w:r>
        <w:rPr>
          <w:iCs/>
          <w:sz w:val="20"/>
          <w:szCs w:val="24"/>
        </w:rPr>
        <w:t>102</w:t>
      </w:r>
      <w:r>
        <w:rPr>
          <w:iCs/>
          <w:sz w:val="20"/>
          <w:szCs w:val="24"/>
        </w:rPr>
        <w:tab/>
      </w:r>
      <w:r w:rsidR="00475628">
        <w:rPr>
          <w:szCs w:val="24"/>
        </w:rPr>
        <w:t>Viewed in context and l</w:t>
      </w:r>
      <w:r w:rsidR="00475628" w:rsidRPr="00EF2F86">
        <w:rPr>
          <w:szCs w:val="24"/>
        </w:rPr>
        <w:t xml:space="preserve">ooking </w:t>
      </w:r>
      <w:r w:rsidR="007A73BE" w:rsidRPr="00EF2F86">
        <w:rPr>
          <w:szCs w:val="24"/>
        </w:rPr>
        <w:t xml:space="preserve">carefully at the descriptions of the work carried out as described </w:t>
      </w:r>
      <w:r w:rsidR="0035773C" w:rsidRPr="00EF2F86">
        <w:rPr>
          <w:szCs w:val="24"/>
        </w:rPr>
        <w:t>in Rosati</w:t>
      </w:r>
      <w:r w:rsidR="00471EC4">
        <w:rPr>
          <w:szCs w:val="24"/>
        </w:rPr>
        <w:t> </w:t>
      </w:r>
      <w:r w:rsidR="0035773C" w:rsidRPr="00EF2F86">
        <w:rPr>
          <w:szCs w:val="24"/>
        </w:rPr>
        <w:t>1</w:t>
      </w:r>
      <w:r w:rsidR="00C347B8">
        <w:rPr>
          <w:szCs w:val="24"/>
        </w:rPr>
        <w:t xml:space="preserve">, in particular at </w:t>
      </w:r>
      <w:r w:rsidR="00C347B8">
        <w:t>and [92] to [101]</w:t>
      </w:r>
      <w:r w:rsidR="004E7C29">
        <w:rPr>
          <w:szCs w:val="24"/>
        </w:rPr>
        <w:t xml:space="preserve">, </w:t>
      </w:r>
      <w:r w:rsidR="001D7276">
        <w:rPr>
          <w:szCs w:val="24"/>
        </w:rPr>
        <w:t xml:space="preserve">a 5% reduction </w:t>
      </w:r>
      <w:r w:rsidR="00974162">
        <w:rPr>
          <w:szCs w:val="24"/>
        </w:rPr>
        <w:t xml:space="preserve">to what was claimed </w:t>
      </w:r>
      <w:r w:rsidR="00C06879">
        <w:rPr>
          <w:szCs w:val="24"/>
        </w:rPr>
        <w:t xml:space="preserve">in respect of the post-retainer period </w:t>
      </w:r>
      <w:r w:rsidR="00974162">
        <w:rPr>
          <w:szCs w:val="24"/>
        </w:rPr>
        <w:t>does not reflect a</w:t>
      </w:r>
      <w:r w:rsidR="00DF3968" w:rsidRPr="00EF2F86">
        <w:rPr>
          <w:szCs w:val="24"/>
        </w:rPr>
        <w:t xml:space="preserve"> </w:t>
      </w:r>
      <w:r w:rsidR="00C64958" w:rsidRPr="00EF2F86">
        <w:rPr>
          <w:szCs w:val="24"/>
        </w:rPr>
        <w:t xml:space="preserve">fair and </w:t>
      </w:r>
      <w:r w:rsidR="00DF3968" w:rsidRPr="00EF2F86">
        <w:rPr>
          <w:szCs w:val="24"/>
        </w:rPr>
        <w:t>reasonable</w:t>
      </w:r>
      <w:r w:rsidR="00C06879">
        <w:rPr>
          <w:szCs w:val="24"/>
        </w:rPr>
        <w:t xml:space="preserve"> or proportionate</w:t>
      </w:r>
      <w:r w:rsidR="00DF3968" w:rsidRPr="00EF2F86">
        <w:rPr>
          <w:szCs w:val="24"/>
        </w:rPr>
        <w:t xml:space="preserve"> </w:t>
      </w:r>
      <w:r w:rsidR="00974162">
        <w:rPr>
          <w:szCs w:val="24"/>
        </w:rPr>
        <w:t xml:space="preserve">assessment of costs on a solicitor and own client basis </w:t>
      </w:r>
      <w:r w:rsidR="00DF3968" w:rsidRPr="00EF2F86">
        <w:rPr>
          <w:szCs w:val="24"/>
        </w:rPr>
        <w:t>at the time the costs were incurred</w:t>
      </w:r>
      <w:r w:rsidR="00FF1149" w:rsidRPr="00EF2F86">
        <w:rPr>
          <w:szCs w:val="24"/>
        </w:rPr>
        <w:t xml:space="preserve">. </w:t>
      </w:r>
    </w:p>
    <w:p w14:paraId="571A912B" w14:textId="409A41AC" w:rsidR="00A5220D" w:rsidRPr="00692B70" w:rsidRDefault="00B6500C" w:rsidP="00B6500C">
      <w:pPr>
        <w:pStyle w:val="ParaNumbering"/>
        <w:numPr>
          <w:ilvl w:val="0"/>
          <w:numId w:val="0"/>
        </w:numPr>
        <w:ind w:hanging="720"/>
        <w:rPr>
          <w:szCs w:val="24"/>
        </w:rPr>
      </w:pPr>
      <w:r w:rsidRPr="00692B70">
        <w:rPr>
          <w:iCs/>
          <w:sz w:val="20"/>
          <w:szCs w:val="24"/>
        </w:rPr>
        <w:t>103</w:t>
      </w:r>
      <w:r w:rsidRPr="00692B70">
        <w:rPr>
          <w:iCs/>
          <w:sz w:val="20"/>
          <w:szCs w:val="24"/>
        </w:rPr>
        <w:tab/>
      </w:r>
      <w:r w:rsidR="00A5220D" w:rsidRPr="00692B70">
        <w:t>As to Rosati 2</w:t>
      </w:r>
      <w:r w:rsidR="00692B70" w:rsidRPr="00692B70">
        <w:t>, I</w:t>
      </w:r>
      <w:r w:rsidR="00CE3350">
        <w:t xml:space="preserve"> again</w:t>
      </w:r>
      <w:r w:rsidR="00692B70" w:rsidRPr="00692B70">
        <w:t xml:space="preserve"> consider the </w:t>
      </w:r>
      <w:r w:rsidR="00CE3350">
        <w:t xml:space="preserve">reduction of 5% </w:t>
      </w:r>
      <w:r w:rsidR="008714F2">
        <w:t>does not</w:t>
      </w:r>
      <w:r w:rsidR="00CE3350">
        <w:t xml:space="preserve"> give rise to a fair and reasonable quantification of </w:t>
      </w:r>
      <w:r w:rsidR="00190168">
        <w:t>solicitor and own client costs</w:t>
      </w:r>
      <w:r w:rsidR="00382883">
        <w:t>.</w:t>
      </w:r>
    </w:p>
    <w:p w14:paraId="13F46A19" w14:textId="33A0F315" w:rsidR="00C347B8" w:rsidRPr="00EF2F86" w:rsidRDefault="00B6500C" w:rsidP="00B6500C">
      <w:pPr>
        <w:pStyle w:val="ParaNumbering"/>
        <w:numPr>
          <w:ilvl w:val="0"/>
          <w:numId w:val="0"/>
        </w:numPr>
        <w:ind w:hanging="720"/>
        <w:rPr>
          <w:szCs w:val="24"/>
        </w:rPr>
      </w:pPr>
      <w:r w:rsidRPr="00EF2F86">
        <w:rPr>
          <w:iCs/>
          <w:sz w:val="20"/>
          <w:szCs w:val="24"/>
        </w:rPr>
        <w:t>104</w:t>
      </w:r>
      <w:r w:rsidRPr="00EF2F86">
        <w:rPr>
          <w:iCs/>
          <w:sz w:val="20"/>
          <w:szCs w:val="24"/>
        </w:rPr>
        <w:tab/>
      </w:r>
      <w:r w:rsidR="00C347B8" w:rsidRPr="00EF2F86">
        <w:rPr>
          <w:szCs w:val="24"/>
        </w:rPr>
        <w:t>I have reached th</w:t>
      </w:r>
      <w:r w:rsidR="00C347B8">
        <w:rPr>
          <w:szCs w:val="24"/>
        </w:rPr>
        <w:t xml:space="preserve">ese </w:t>
      </w:r>
      <w:r w:rsidR="00C347B8" w:rsidRPr="00EF2F86">
        <w:rPr>
          <w:szCs w:val="24"/>
        </w:rPr>
        <w:t>view</w:t>
      </w:r>
      <w:r w:rsidR="00C347B8">
        <w:rPr>
          <w:szCs w:val="24"/>
        </w:rPr>
        <w:t>s</w:t>
      </w:r>
      <w:r w:rsidR="00C347B8" w:rsidRPr="00EF2F86">
        <w:rPr>
          <w:szCs w:val="24"/>
        </w:rPr>
        <w:t xml:space="preserve"> seeking to adjust for hindsight bias –</w:t>
      </w:r>
      <w:r w:rsidR="00C347B8" w:rsidRPr="009A54C6">
        <w:t xml:space="preserve"> see:</w:t>
      </w:r>
      <w:r w:rsidR="00C347B8">
        <w:t xml:space="preserve"> </w:t>
      </w:r>
      <w:r w:rsidR="00C347B8" w:rsidRPr="00CB65C1">
        <w:rPr>
          <w:i/>
          <w:iCs/>
        </w:rPr>
        <w:t xml:space="preserve">Blairgowrie Trading Ltd v </w:t>
      </w:r>
      <w:proofErr w:type="spellStart"/>
      <w:r w:rsidR="00C347B8" w:rsidRPr="00CB65C1">
        <w:rPr>
          <w:i/>
          <w:iCs/>
        </w:rPr>
        <w:t>Allco</w:t>
      </w:r>
      <w:proofErr w:type="spellEnd"/>
      <w:r w:rsidR="00C347B8" w:rsidRPr="00CB65C1">
        <w:rPr>
          <w:i/>
          <w:iCs/>
        </w:rPr>
        <w:t xml:space="preserve"> Finance Group Ltd (Receivers &amp; Managers Appointed) (in </w:t>
      </w:r>
      <w:proofErr w:type="spellStart"/>
      <w:r w:rsidR="00C347B8" w:rsidRPr="00CB65C1">
        <w:rPr>
          <w:i/>
          <w:iCs/>
        </w:rPr>
        <w:t>liq</w:t>
      </w:r>
      <w:proofErr w:type="spellEnd"/>
      <w:r w:rsidR="00C347B8" w:rsidRPr="00CB65C1">
        <w:rPr>
          <w:i/>
          <w:iCs/>
        </w:rPr>
        <w:t>) (No 3)</w:t>
      </w:r>
      <w:r w:rsidR="00C347B8" w:rsidRPr="00CB65C1">
        <w:t> [2017] FCA 330; 343 ALR 476</w:t>
      </w:r>
      <w:r w:rsidR="00C347B8" w:rsidRPr="009A54C6">
        <w:t xml:space="preserve"> at</w:t>
      </w:r>
      <w:r w:rsidR="00C347B8">
        <w:t xml:space="preserve"> </w:t>
      </w:r>
      <w:r w:rsidR="00C347B8" w:rsidRPr="009A54C6">
        <w:t>[181]</w:t>
      </w:r>
      <w:r w:rsidR="00C347B8">
        <w:t xml:space="preserve"> (Beach J); see also </w:t>
      </w:r>
      <w:r w:rsidR="00C347B8" w:rsidRPr="00EF2F86">
        <w:rPr>
          <w:i/>
          <w:iCs/>
        </w:rPr>
        <w:t>Petersen</w:t>
      </w:r>
      <w:r w:rsidR="00C347B8">
        <w:t xml:space="preserve"> at [134] and [135].</w:t>
      </w:r>
    </w:p>
    <w:p w14:paraId="53DE7545" w14:textId="57640858" w:rsidR="0063532C" w:rsidRPr="0063532C" w:rsidRDefault="00B6500C" w:rsidP="00B6500C">
      <w:pPr>
        <w:pStyle w:val="ParaNumbering"/>
        <w:numPr>
          <w:ilvl w:val="0"/>
          <w:numId w:val="0"/>
        </w:numPr>
        <w:ind w:hanging="720"/>
        <w:rPr>
          <w:szCs w:val="24"/>
        </w:rPr>
      </w:pPr>
      <w:r w:rsidRPr="0063532C">
        <w:rPr>
          <w:iCs/>
          <w:sz w:val="20"/>
          <w:szCs w:val="24"/>
        </w:rPr>
        <w:t>105</w:t>
      </w:r>
      <w:r w:rsidRPr="0063532C">
        <w:rPr>
          <w:iCs/>
          <w:sz w:val="20"/>
          <w:szCs w:val="24"/>
        </w:rPr>
        <w:tab/>
      </w:r>
      <w:r w:rsidR="005A5CB8" w:rsidRPr="005A5CB8">
        <w:t>I considered whether to bifurcate the approval and the costs issue</w:t>
      </w:r>
      <w:r w:rsidR="00C347B8">
        <w:t>s</w:t>
      </w:r>
      <w:r w:rsidR="008714F2">
        <w:t xml:space="preserve">, including </w:t>
      </w:r>
      <w:r w:rsidR="005A5CB8" w:rsidRPr="005A5CB8">
        <w:t>whether to refer the question of costs to a referee</w:t>
      </w:r>
      <w:r w:rsidR="00DA71B5">
        <w:t xml:space="preserve"> or obtain a further report</w:t>
      </w:r>
      <w:r w:rsidR="005A5CB8" w:rsidRPr="005A5CB8">
        <w:t xml:space="preserve">. </w:t>
      </w:r>
      <w:r w:rsidR="003400C1">
        <w:t>Such a course would add to the costs</w:t>
      </w:r>
      <w:r w:rsidR="00322780">
        <w:t xml:space="preserve"> and further deplete the amount available to the Claimants th</w:t>
      </w:r>
      <w:r w:rsidR="00033822">
        <w:t>r</w:t>
      </w:r>
      <w:r w:rsidR="00322780">
        <w:t>ough the DOCA</w:t>
      </w:r>
      <w:r w:rsidR="003400C1">
        <w:t xml:space="preserve">. </w:t>
      </w:r>
    </w:p>
    <w:p w14:paraId="6C001F01" w14:textId="039A7415" w:rsidR="00FE3E78" w:rsidRPr="009B4944" w:rsidRDefault="00B6500C" w:rsidP="00B6500C">
      <w:pPr>
        <w:pStyle w:val="ParaNumbering"/>
        <w:numPr>
          <w:ilvl w:val="0"/>
          <w:numId w:val="0"/>
        </w:numPr>
        <w:ind w:hanging="720"/>
        <w:rPr>
          <w:szCs w:val="24"/>
        </w:rPr>
      </w:pPr>
      <w:r w:rsidRPr="009B4944">
        <w:rPr>
          <w:iCs/>
          <w:sz w:val="20"/>
          <w:szCs w:val="24"/>
        </w:rPr>
        <w:t>106</w:t>
      </w:r>
      <w:r w:rsidRPr="009B4944">
        <w:rPr>
          <w:iCs/>
          <w:sz w:val="20"/>
          <w:szCs w:val="24"/>
        </w:rPr>
        <w:tab/>
      </w:r>
      <w:r w:rsidR="005A5CB8">
        <w:t xml:space="preserve">In the </w:t>
      </w:r>
      <w:r w:rsidR="003400C1">
        <w:t>particular</w:t>
      </w:r>
      <w:r w:rsidR="005A5CB8">
        <w:t xml:space="preserve"> circumstances of this case</w:t>
      </w:r>
      <w:r w:rsidR="005A5CB8" w:rsidRPr="005A5CB8">
        <w:t xml:space="preserve">, </w:t>
      </w:r>
      <w:r w:rsidR="003400C1">
        <w:t xml:space="preserve">and on the basis of the information which has been provided, </w:t>
      </w:r>
      <w:r w:rsidR="00C347B8">
        <w:t xml:space="preserve">including the considerable assistance provided by the reports of Ms Rosati, </w:t>
      </w:r>
      <w:r w:rsidR="005A5CB8" w:rsidRPr="005A5CB8">
        <w:t>I c</w:t>
      </w:r>
      <w:r w:rsidR="00F5600F">
        <w:t>onsider that an appropriate order can be made without taking one of the course</w:t>
      </w:r>
      <w:r w:rsidR="0063532C">
        <w:t>s</w:t>
      </w:r>
      <w:r w:rsidR="00F5600F">
        <w:t xml:space="preserve"> just mentioned</w:t>
      </w:r>
      <w:r w:rsidR="009B4944">
        <w:t>. I consider a “just” result is as follows:</w:t>
      </w:r>
    </w:p>
    <w:p w14:paraId="192B7B71" w14:textId="37B70729" w:rsidR="009B4944" w:rsidRDefault="00B6500C" w:rsidP="00B6500C">
      <w:pPr>
        <w:pStyle w:val="ListNo1"/>
        <w:numPr>
          <w:ilvl w:val="0"/>
          <w:numId w:val="0"/>
        </w:numPr>
        <w:tabs>
          <w:tab w:val="left" w:pos="720"/>
        </w:tabs>
        <w:ind w:left="720" w:hanging="720"/>
      </w:pPr>
      <w:r>
        <w:lastRenderedPageBreak/>
        <w:t>(1)</w:t>
      </w:r>
      <w:r>
        <w:tab/>
      </w:r>
      <w:r w:rsidR="00683AA8">
        <w:t>In respect of Rosati 1:</w:t>
      </w:r>
    </w:p>
    <w:p w14:paraId="64EE5C51" w14:textId="0991C173" w:rsidR="00164852" w:rsidRDefault="00B6500C" w:rsidP="00B6500C">
      <w:pPr>
        <w:pStyle w:val="ListNo2"/>
        <w:numPr>
          <w:ilvl w:val="0"/>
          <w:numId w:val="0"/>
        </w:numPr>
        <w:tabs>
          <w:tab w:val="left" w:pos="1440"/>
        </w:tabs>
        <w:ind w:left="1440" w:hanging="720"/>
      </w:pPr>
      <w:r>
        <w:t>(a)</w:t>
      </w:r>
      <w:r>
        <w:tab/>
      </w:r>
      <w:r w:rsidR="00980855">
        <w:t>the disbursements identified by Ms Rosati should be allowed in full. These comprise:</w:t>
      </w:r>
    </w:p>
    <w:p w14:paraId="6F1FE25A" w14:textId="73150C9C" w:rsidR="00980855" w:rsidRDefault="00B6500C" w:rsidP="00B6500C">
      <w:pPr>
        <w:pStyle w:val="ListNo3"/>
        <w:numPr>
          <w:ilvl w:val="0"/>
          <w:numId w:val="0"/>
        </w:numPr>
        <w:tabs>
          <w:tab w:val="left" w:pos="2160"/>
        </w:tabs>
        <w:ind w:left="2160" w:hanging="720"/>
      </w:pPr>
      <w:r>
        <w:t>(</w:t>
      </w:r>
      <w:proofErr w:type="spellStart"/>
      <w:r>
        <w:t>i</w:t>
      </w:r>
      <w:proofErr w:type="spellEnd"/>
      <w:r>
        <w:t>)</w:t>
      </w:r>
      <w:r>
        <w:tab/>
      </w:r>
      <w:r w:rsidR="00980855">
        <w:t>counsel fees: $476,898.75;</w:t>
      </w:r>
    </w:p>
    <w:p w14:paraId="1F8B4390" w14:textId="5441959A" w:rsidR="00980855" w:rsidRDefault="00B6500C" w:rsidP="00B6500C">
      <w:pPr>
        <w:pStyle w:val="ListNo3"/>
        <w:numPr>
          <w:ilvl w:val="0"/>
          <w:numId w:val="0"/>
        </w:numPr>
        <w:tabs>
          <w:tab w:val="left" w:pos="2160"/>
        </w:tabs>
        <w:ind w:left="2160" w:hanging="720"/>
      </w:pPr>
      <w:r>
        <w:t>(ii)</w:t>
      </w:r>
      <w:r>
        <w:tab/>
      </w:r>
      <w:r w:rsidR="003E012B">
        <w:t>experts fees: $119,930.69;</w:t>
      </w:r>
    </w:p>
    <w:p w14:paraId="44A75378" w14:textId="020D534E" w:rsidR="002F0192" w:rsidRDefault="00B6500C" w:rsidP="00B6500C">
      <w:pPr>
        <w:pStyle w:val="ListNo3"/>
        <w:numPr>
          <w:ilvl w:val="0"/>
          <w:numId w:val="0"/>
        </w:numPr>
        <w:tabs>
          <w:tab w:val="left" w:pos="2160"/>
        </w:tabs>
        <w:ind w:left="2160" w:hanging="720"/>
      </w:pPr>
      <w:r>
        <w:t>(iii)</w:t>
      </w:r>
      <w:r>
        <w:tab/>
      </w:r>
      <w:r w:rsidR="003E012B">
        <w:t>general disbursements: $82,949</w:t>
      </w:r>
      <w:r w:rsidR="00A97942">
        <w:t>.38</w:t>
      </w:r>
      <w:r w:rsidR="002F0192">
        <w:t>;</w:t>
      </w:r>
      <w:r w:rsidR="00C0077C">
        <w:t xml:space="preserve"> and</w:t>
      </w:r>
    </w:p>
    <w:p w14:paraId="7D901C54" w14:textId="3F78381C" w:rsidR="003E012B" w:rsidRDefault="00B6500C" w:rsidP="00B6500C">
      <w:pPr>
        <w:pStyle w:val="ListNo3"/>
        <w:numPr>
          <w:ilvl w:val="0"/>
          <w:numId w:val="0"/>
        </w:numPr>
        <w:tabs>
          <w:tab w:val="left" w:pos="2160"/>
        </w:tabs>
        <w:ind w:left="2160" w:hanging="720"/>
      </w:pPr>
      <w:r>
        <w:t>(iv)</w:t>
      </w:r>
      <w:r>
        <w:tab/>
      </w:r>
      <w:r w:rsidR="002F0192">
        <w:t>Ms Rosati’s costs: $26,455</w:t>
      </w:r>
      <w:r w:rsidR="00A97942">
        <w:t>.</w:t>
      </w:r>
    </w:p>
    <w:p w14:paraId="21114A77" w14:textId="1C1A7E9E" w:rsidR="00980855" w:rsidRDefault="00B6500C" w:rsidP="00B6500C">
      <w:pPr>
        <w:pStyle w:val="ListNo2"/>
        <w:numPr>
          <w:ilvl w:val="0"/>
          <w:numId w:val="0"/>
        </w:numPr>
        <w:tabs>
          <w:tab w:val="left" w:pos="1440"/>
        </w:tabs>
        <w:ind w:left="1440" w:hanging="720"/>
      </w:pPr>
      <w:r>
        <w:t>(b)</w:t>
      </w:r>
      <w:r>
        <w:tab/>
      </w:r>
      <w:r w:rsidR="00B3225E">
        <w:t>I would reduce the total</w:t>
      </w:r>
      <w:r w:rsidR="009A708F">
        <w:t xml:space="preserve"> </w:t>
      </w:r>
      <w:r w:rsidR="004519E7">
        <w:t xml:space="preserve">professional </w:t>
      </w:r>
      <w:r w:rsidR="009A708F">
        <w:t xml:space="preserve">fees </w:t>
      </w:r>
      <w:r w:rsidR="004519E7">
        <w:t xml:space="preserve">for the </w:t>
      </w:r>
      <w:r w:rsidR="0077283C">
        <w:t xml:space="preserve">pre-retainer </w:t>
      </w:r>
      <w:r w:rsidR="004519E7">
        <w:t>period up until 17</w:t>
      </w:r>
      <w:r w:rsidR="00B3225E">
        <w:t> </w:t>
      </w:r>
      <w:r w:rsidR="004519E7">
        <w:t xml:space="preserve">December 2021 </w:t>
      </w:r>
      <w:r w:rsidR="00DE2339">
        <w:t xml:space="preserve">by </w:t>
      </w:r>
      <w:r w:rsidR="009E5265">
        <w:t>25</w:t>
      </w:r>
      <w:r w:rsidR="004075A0">
        <w:t xml:space="preserve">%, before allowing the </w:t>
      </w:r>
      <w:r w:rsidR="0077283C">
        <w:t>uplift of 25%</w:t>
      </w:r>
      <w:r w:rsidR="00A32296">
        <w:t>:</w:t>
      </w:r>
      <w:r w:rsidR="0077283C">
        <w:t xml:space="preserve"> </w:t>
      </w:r>
      <w:r w:rsidR="00382733">
        <w:t>$680,757</w:t>
      </w:r>
      <w:r w:rsidR="009E5265">
        <w:t>.</w:t>
      </w:r>
    </w:p>
    <w:p w14:paraId="45F83F75" w14:textId="5DDDABF3" w:rsidR="00165C16" w:rsidRDefault="00B6500C" w:rsidP="00B6500C">
      <w:pPr>
        <w:pStyle w:val="ListNo2"/>
        <w:numPr>
          <w:ilvl w:val="0"/>
          <w:numId w:val="0"/>
        </w:numPr>
        <w:tabs>
          <w:tab w:val="left" w:pos="1440"/>
        </w:tabs>
        <w:ind w:left="1440" w:hanging="720"/>
      </w:pPr>
      <w:r>
        <w:t>(c)</w:t>
      </w:r>
      <w:r>
        <w:tab/>
      </w:r>
      <w:r w:rsidR="00DF54CE">
        <w:t xml:space="preserve">I would reduce the total professional fees in the post-retainer period </w:t>
      </w:r>
      <w:r w:rsidR="00165C16">
        <w:t xml:space="preserve">from </w:t>
      </w:r>
      <w:r w:rsidR="003A324E">
        <w:t>18</w:t>
      </w:r>
      <w:r w:rsidR="00DF54CE">
        <w:t> </w:t>
      </w:r>
      <w:r w:rsidR="003A324E">
        <w:t>December 2021 to 12 November 2023</w:t>
      </w:r>
      <w:r w:rsidR="00DF54CE">
        <w:t xml:space="preserve"> by 25%, before allowing the uplift of 25%</w:t>
      </w:r>
      <w:r w:rsidR="00A32296">
        <w:t>:</w:t>
      </w:r>
      <w:r w:rsidR="009E5265">
        <w:t xml:space="preserve"> </w:t>
      </w:r>
      <w:r w:rsidR="00B94030">
        <w:t>$1,011,882.30.</w:t>
      </w:r>
    </w:p>
    <w:p w14:paraId="776E0D10" w14:textId="57D33D25" w:rsidR="00B70459" w:rsidRDefault="00B6500C" w:rsidP="00B6500C">
      <w:pPr>
        <w:pStyle w:val="ListNo2"/>
        <w:numPr>
          <w:ilvl w:val="0"/>
          <w:numId w:val="0"/>
        </w:numPr>
        <w:tabs>
          <w:tab w:val="left" w:pos="1440"/>
        </w:tabs>
        <w:ind w:left="1440" w:hanging="720"/>
      </w:pPr>
      <w:r>
        <w:t>(d)</w:t>
      </w:r>
      <w:r>
        <w:tab/>
      </w:r>
      <w:r w:rsidR="00C2210C">
        <w:t xml:space="preserve">I </w:t>
      </w:r>
      <w:r w:rsidR="00361278">
        <w:t>would reduce the total</w:t>
      </w:r>
      <w:r w:rsidR="00C2210C">
        <w:t xml:space="preserve"> amount claimed for the period 12 November 2023 to 31</w:t>
      </w:r>
      <w:r w:rsidR="00555E47">
        <w:t> </w:t>
      </w:r>
      <w:r w:rsidR="00C2210C">
        <w:t>December 2023</w:t>
      </w:r>
      <w:r w:rsidR="00555E47">
        <w:t xml:space="preserve"> </w:t>
      </w:r>
      <w:r w:rsidR="00361278">
        <w:t>by 15%</w:t>
      </w:r>
      <w:r w:rsidR="000E3845">
        <w:t xml:space="preserve"> before allowing the uplift of 25%</w:t>
      </w:r>
      <w:r w:rsidR="00555E47">
        <w:t>.</w:t>
      </w:r>
      <w:r w:rsidR="00766D36" w:rsidRPr="00766D36">
        <w:t xml:space="preserve"> </w:t>
      </w:r>
      <w:r w:rsidR="00766D36">
        <w:t xml:space="preserve">The amount is therefore $58,069 less </w:t>
      </w:r>
      <w:r w:rsidR="000E3845">
        <w:t>1</w:t>
      </w:r>
      <w:r w:rsidR="00766D36">
        <w:t>5%</w:t>
      </w:r>
      <w:r w:rsidR="00826D0B">
        <w:t>:</w:t>
      </w:r>
      <w:r w:rsidR="00766D36">
        <w:t xml:space="preserve"> $</w:t>
      </w:r>
      <w:r w:rsidR="00EF100C">
        <w:t>49,358.65</w:t>
      </w:r>
      <w:r w:rsidR="00766D36">
        <w:t>.</w:t>
      </w:r>
      <w:r w:rsidR="00D765F5">
        <w:t xml:space="preserve"> </w:t>
      </w:r>
      <w:r w:rsidR="00955F6F">
        <w:t xml:space="preserve">After </w:t>
      </w:r>
      <w:r w:rsidR="00D765F5">
        <w:t>the 25% uplift</w:t>
      </w:r>
      <w:r w:rsidR="00766D36">
        <w:t xml:space="preserve">, the total </w:t>
      </w:r>
      <w:r w:rsidR="00955F6F">
        <w:t>is</w:t>
      </w:r>
      <w:r w:rsidR="00766D36">
        <w:t xml:space="preserve">: </w:t>
      </w:r>
      <w:r w:rsidR="007E722A">
        <w:t>$6</w:t>
      </w:r>
      <w:r w:rsidR="00883C89">
        <w:t>1,698.31</w:t>
      </w:r>
      <w:r w:rsidR="007E722A">
        <w:t>.</w:t>
      </w:r>
    </w:p>
    <w:p w14:paraId="79650ABC" w14:textId="5CE1A712" w:rsidR="00FD1940" w:rsidRDefault="00B6500C" w:rsidP="00B6500C">
      <w:pPr>
        <w:pStyle w:val="ListNo1"/>
        <w:numPr>
          <w:ilvl w:val="0"/>
          <w:numId w:val="0"/>
        </w:numPr>
        <w:tabs>
          <w:tab w:val="left" w:pos="720"/>
        </w:tabs>
        <w:ind w:left="720" w:hanging="720"/>
      </w:pPr>
      <w:r>
        <w:t>(2)</w:t>
      </w:r>
      <w:r>
        <w:tab/>
      </w:r>
      <w:r w:rsidR="007E722A">
        <w:t>In respect of</w:t>
      </w:r>
      <w:r w:rsidR="00683AA8">
        <w:t xml:space="preserve"> Rosati 2</w:t>
      </w:r>
      <w:r w:rsidR="00FD1940">
        <w:t>:</w:t>
      </w:r>
    </w:p>
    <w:p w14:paraId="0C011D8B" w14:textId="44286619" w:rsidR="00D91359" w:rsidRDefault="00B6500C" w:rsidP="00B6500C">
      <w:pPr>
        <w:pStyle w:val="ListNo2"/>
        <w:numPr>
          <w:ilvl w:val="0"/>
          <w:numId w:val="0"/>
        </w:numPr>
        <w:tabs>
          <w:tab w:val="left" w:pos="1440"/>
        </w:tabs>
        <w:ind w:left="1440" w:hanging="720"/>
      </w:pPr>
      <w:r>
        <w:t>(a)</w:t>
      </w:r>
      <w:r>
        <w:tab/>
      </w:r>
      <w:r w:rsidR="00D91359">
        <w:t>the disbursements identified by Ms Rosati should be allowed in full. These comprise:</w:t>
      </w:r>
    </w:p>
    <w:p w14:paraId="21D71791" w14:textId="0AA3ACCA" w:rsidR="00D91359" w:rsidRDefault="00B6500C" w:rsidP="00B6500C">
      <w:pPr>
        <w:pStyle w:val="ListNo3"/>
        <w:numPr>
          <w:ilvl w:val="0"/>
          <w:numId w:val="0"/>
        </w:numPr>
        <w:tabs>
          <w:tab w:val="left" w:pos="2160"/>
        </w:tabs>
        <w:ind w:left="2160" w:hanging="720"/>
      </w:pPr>
      <w:r>
        <w:t>(</w:t>
      </w:r>
      <w:proofErr w:type="spellStart"/>
      <w:r>
        <w:t>i</w:t>
      </w:r>
      <w:proofErr w:type="spellEnd"/>
      <w:r>
        <w:t>)</w:t>
      </w:r>
      <w:r>
        <w:tab/>
      </w:r>
      <w:r w:rsidR="00D91359">
        <w:t>counsel fees: $</w:t>
      </w:r>
      <w:r w:rsidR="00736067">
        <w:t>126,552</w:t>
      </w:r>
      <w:r w:rsidR="00D91359">
        <w:t>;</w:t>
      </w:r>
    </w:p>
    <w:p w14:paraId="1E341BC2" w14:textId="45B9F974" w:rsidR="00D91359" w:rsidRDefault="00B6500C" w:rsidP="00B6500C">
      <w:pPr>
        <w:pStyle w:val="ListNo3"/>
        <w:numPr>
          <w:ilvl w:val="0"/>
          <w:numId w:val="0"/>
        </w:numPr>
        <w:tabs>
          <w:tab w:val="left" w:pos="2160"/>
        </w:tabs>
        <w:ind w:left="2160" w:hanging="720"/>
      </w:pPr>
      <w:r>
        <w:t>(ii)</w:t>
      </w:r>
      <w:r>
        <w:tab/>
      </w:r>
      <w:r w:rsidR="00D91359">
        <w:t>general disbursements: $</w:t>
      </w:r>
      <w:r w:rsidR="00F3098A">
        <w:t>6,096.68</w:t>
      </w:r>
      <w:r w:rsidR="00D91359">
        <w:t>;</w:t>
      </w:r>
      <w:r w:rsidR="00A46139">
        <w:t xml:space="preserve"> and</w:t>
      </w:r>
    </w:p>
    <w:p w14:paraId="5019AA4E" w14:textId="7D51C9DC" w:rsidR="00D91359" w:rsidRDefault="00B6500C" w:rsidP="00B6500C">
      <w:pPr>
        <w:pStyle w:val="ListNo3"/>
        <w:numPr>
          <w:ilvl w:val="0"/>
          <w:numId w:val="0"/>
        </w:numPr>
        <w:tabs>
          <w:tab w:val="left" w:pos="2160"/>
        </w:tabs>
        <w:ind w:left="2160" w:hanging="720"/>
      </w:pPr>
      <w:r>
        <w:t>(iii)</w:t>
      </w:r>
      <w:r>
        <w:tab/>
      </w:r>
      <w:r w:rsidR="00D91359">
        <w:t>Ms Rosati’s costs: $</w:t>
      </w:r>
      <w:r w:rsidR="00F3098A">
        <w:t>6,022.50</w:t>
      </w:r>
      <w:r w:rsidR="00D91359">
        <w:t>.</w:t>
      </w:r>
    </w:p>
    <w:p w14:paraId="267F3804" w14:textId="34495BC1" w:rsidR="00683AA8" w:rsidRDefault="00B6500C" w:rsidP="00B6500C">
      <w:pPr>
        <w:pStyle w:val="ListNo2"/>
        <w:numPr>
          <w:ilvl w:val="0"/>
          <w:numId w:val="0"/>
        </w:numPr>
        <w:tabs>
          <w:tab w:val="left" w:pos="1440"/>
        </w:tabs>
        <w:ind w:left="1440" w:hanging="720"/>
      </w:pPr>
      <w:r>
        <w:t>(b)</w:t>
      </w:r>
      <w:r>
        <w:tab/>
      </w:r>
      <w:r w:rsidR="007E722A">
        <w:t xml:space="preserve">I would </w:t>
      </w:r>
      <w:r w:rsidR="00364301">
        <w:t>reduce the total professional fees from 1 January 2024 to 25 March 2024 by 1</w:t>
      </w:r>
      <w:r w:rsidR="00544D09">
        <w:t>5</w:t>
      </w:r>
      <w:r w:rsidR="00364301">
        <w:t>%</w:t>
      </w:r>
      <w:r w:rsidR="00544D09">
        <w:t>, before allowing an uplift of 25%</w:t>
      </w:r>
      <w:r w:rsidR="007E722A">
        <w:t>.</w:t>
      </w:r>
      <w:r w:rsidR="00544D09">
        <w:t xml:space="preserve"> The amount is therefore </w:t>
      </w:r>
      <w:r w:rsidR="00CE13A1">
        <w:t>$113,849.67 + 25%</w:t>
      </w:r>
      <w:r w:rsidR="00753C47">
        <w:t>:</w:t>
      </w:r>
      <w:r w:rsidR="00CE13A1">
        <w:t xml:space="preserve"> $</w:t>
      </w:r>
      <w:r w:rsidR="0046414E">
        <w:t>142</w:t>
      </w:r>
      <w:r w:rsidR="009B62CD">
        <w:t>,312.09.</w:t>
      </w:r>
    </w:p>
    <w:p w14:paraId="1755B29E" w14:textId="712BB19A" w:rsidR="009B62CD" w:rsidRDefault="00B6500C" w:rsidP="00B6500C">
      <w:pPr>
        <w:pStyle w:val="ListNo2"/>
        <w:numPr>
          <w:ilvl w:val="0"/>
          <w:numId w:val="0"/>
        </w:numPr>
        <w:tabs>
          <w:tab w:val="left" w:pos="1440"/>
        </w:tabs>
        <w:ind w:left="1440" w:hanging="720"/>
      </w:pPr>
      <w:r>
        <w:t>(c)</w:t>
      </w:r>
      <w:r>
        <w:tab/>
      </w:r>
      <w:r w:rsidR="009B62CD">
        <w:t>I would allow the total future professional costs of $40,000 in respect of which no uplift is claimed.</w:t>
      </w:r>
    </w:p>
    <w:p w14:paraId="2BEC4528" w14:textId="501C851E" w:rsidR="00F13979" w:rsidRDefault="00B6500C" w:rsidP="00B6500C">
      <w:pPr>
        <w:pStyle w:val="ParaNumbering"/>
        <w:numPr>
          <w:ilvl w:val="0"/>
          <w:numId w:val="0"/>
        </w:numPr>
        <w:ind w:hanging="720"/>
      </w:pPr>
      <w:r>
        <w:rPr>
          <w:iCs/>
          <w:sz w:val="20"/>
        </w:rPr>
        <w:t>107</w:t>
      </w:r>
      <w:r>
        <w:rPr>
          <w:iCs/>
          <w:sz w:val="20"/>
        </w:rPr>
        <w:tab/>
      </w:r>
      <w:r w:rsidR="007E722A">
        <w:t xml:space="preserve">The total </w:t>
      </w:r>
      <w:r w:rsidR="00FF6C0B">
        <w:t xml:space="preserve">that </w:t>
      </w:r>
      <w:r w:rsidR="008A7336">
        <w:t xml:space="preserve">is </w:t>
      </w:r>
      <w:r w:rsidR="00205767">
        <w:t xml:space="preserve">therefore </w:t>
      </w:r>
      <w:r w:rsidR="00FF6C0B">
        <w:t>appropriate</w:t>
      </w:r>
      <w:r w:rsidR="00F13979">
        <w:t xml:space="preserve"> in respect of professional fees </w:t>
      </w:r>
      <w:r w:rsidR="004B50C3">
        <w:t xml:space="preserve">($1,936,649.70) </w:t>
      </w:r>
      <w:r w:rsidR="00F13979">
        <w:t>and disbursements</w:t>
      </w:r>
      <w:r w:rsidR="00FF6C0B">
        <w:t xml:space="preserve"> </w:t>
      </w:r>
      <w:r w:rsidR="004B50C3">
        <w:t>($</w:t>
      </w:r>
      <w:r w:rsidR="00B300F0">
        <w:t>844,905</w:t>
      </w:r>
      <w:r w:rsidR="004B50C3">
        <w:t xml:space="preserve">) </w:t>
      </w:r>
      <w:r w:rsidR="00FF6C0B">
        <w:t>is</w:t>
      </w:r>
      <w:r w:rsidR="007E722A">
        <w:t xml:space="preserve"> </w:t>
      </w:r>
      <w:r w:rsidR="00FE7C3D">
        <w:t>$</w:t>
      </w:r>
      <w:r w:rsidR="00C82DE1">
        <w:t>2,</w:t>
      </w:r>
      <w:r w:rsidR="004B50C3">
        <w:t>781</w:t>
      </w:r>
      <w:r w:rsidR="00B300F0">
        <w:t>,</w:t>
      </w:r>
      <w:r w:rsidR="004B50C3">
        <w:t>554.70</w:t>
      </w:r>
      <w:r w:rsidR="00C82DE1">
        <w:t>.</w:t>
      </w:r>
      <w:r w:rsidR="00180F2D">
        <w:t xml:space="preserve"> The </w:t>
      </w:r>
      <w:r w:rsidR="00A81821">
        <w:t>total</w:t>
      </w:r>
      <w:r w:rsidR="00180F2D">
        <w:t xml:space="preserve"> which </w:t>
      </w:r>
      <w:r w:rsidR="006F1053">
        <w:t>was</w:t>
      </w:r>
      <w:r w:rsidR="00180F2D">
        <w:t xml:space="preserve"> claimed was $3,130,997</w:t>
      </w:r>
      <w:r w:rsidR="00440679">
        <w:t xml:space="preserve">. The amount </w:t>
      </w:r>
      <w:r w:rsidR="00205767">
        <w:t>which is</w:t>
      </w:r>
      <w:r w:rsidR="00440679">
        <w:t xml:space="preserve"> allow</w:t>
      </w:r>
      <w:r w:rsidR="00205767">
        <w:t>ed</w:t>
      </w:r>
      <w:r w:rsidR="00440679">
        <w:t xml:space="preserve"> represents </w:t>
      </w:r>
      <w:r w:rsidR="00EA795E">
        <w:t>88.8</w:t>
      </w:r>
      <w:r w:rsidR="00440679">
        <w:t>% of what was claimed</w:t>
      </w:r>
      <w:r w:rsidR="00191022">
        <w:t>,</w:t>
      </w:r>
      <w:r w:rsidR="00EA795E">
        <w:t xml:space="preserve"> as assessed by Ms Rosati in Rosati 1 </w:t>
      </w:r>
      <w:r w:rsidR="00365D27">
        <w:t>(</w:t>
      </w:r>
      <w:r w:rsidR="00365D27" w:rsidRPr="00365D27">
        <w:t>$2,784,899.83</w:t>
      </w:r>
      <w:r w:rsidR="00365D27">
        <w:t xml:space="preserve">) </w:t>
      </w:r>
      <w:r w:rsidR="00EA795E">
        <w:t>and Rosati 2 ($346,097.17)</w:t>
      </w:r>
      <w:r w:rsidR="00440679">
        <w:t xml:space="preserve">. </w:t>
      </w:r>
    </w:p>
    <w:p w14:paraId="31D3E9B9" w14:textId="42519DB8" w:rsidR="005C2473" w:rsidRPr="00E11D1F" w:rsidRDefault="00B6500C" w:rsidP="00B6500C">
      <w:pPr>
        <w:pStyle w:val="ParaNumbering"/>
        <w:numPr>
          <w:ilvl w:val="0"/>
          <w:numId w:val="0"/>
        </w:numPr>
        <w:ind w:hanging="720"/>
      </w:pPr>
      <w:r w:rsidRPr="00E11D1F">
        <w:rPr>
          <w:iCs/>
          <w:sz w:val="20"/>
        </w:rPr>
        <w:lastRenderedPageBreak/>
        <w:t>108</w:t>
      </w:r>
      <w:r w:rsidRPr="00E11D1F">
        <w:rPr>
          <w:iCs/>
          <w:sz w:val="20"/>
        </w:rPr>
        <w:tab/>
      </w:r>
      <w:r w:rsidR="00B71FF6">
        <w:t xml:space="preserve">In terms of professional fees, </w:t>
      </w:r>
      <w:r w:rsidR="003268E3">
        <w:t>the actual professional fees incurred (before the reduction of 5% made by Ms Rosati</w:t>
      </w:r>
      <w:r w:rsidR="009D3098">
        <w:t xml:space="preserve">, but </w:t>
      </w:r>
      <w:r w:rsidR="0062365A">
        <w:t>including the</w:t>
      </w:r>
      <w:r w:rsidR="009D3098">
        <w:t xml:space="preserve"> 25% uplift where claimed</w:t>
      </w:r>
      <w:r w:rsidR="003268E3">
        <w:t>) were</w:t>
      </w:r>
      <w:r w:rsidR="009D3098">
        <w:t>:</w:t>
      </w:r>
    </w:p>
    <w:tbl>
      <w:tblPr>
        <w:tblStyle w:val="TableGrid1"/>
        <w:tblW w:w="0" w:type="auto"/>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3"/>
        <w:gridCol w:w="1931"/>
      </w:tblGrid>
      <w:tr w:rsidR="00E11D1F" w:rsidRPr="00E11D1F" w14:paraId="5325B519" w14:textId="7AF6F5A5" w:rsidTr="00E11D1F">
        <w:trPr>
          <w:trHeight w:val="352"/>
        </w:trPr>
        <w:tc>
          <w:tcPr>
            <w:tcW w:w="1276" w:type="dxa"/>
          </w:tcPr>
          <w:p w14:paraId="3736FA1B" w14:textId="0D485F15" w:rsidR="00E11D1F" w:rsidRPr="00E11D1F" w:rsidRDefault="00E11D1F" w:rsidP="004F2506">
            <w:pPr>
              <w:pStyle w:val="BodyText"/>
            </w:pPr>
            <w:r w:rsidRPr="00E249BE">
              <w:t xml:space="preserve">Rosati 1: </w:t>
            </w:r>
          </w:p>
        </w:tc>
        <w:tc>
          <w:tcPr>
            <w:tcW w:w="5103" w:type="dxa"/>
          </w:tcPr>
          <w:p w14:paraId="409F80A3" w14:textId="2C7460D4" w:rsidR="00E11D1F" w:rsidRPr="00E11D1F" w:rsidRDefault="00E11D1F" w:rsidP="004F2506">
            <w:pPr>
              <w:pStyle w:val="BodyText"/>
            </w:pPr>
            <w:r w:rsidRPr="00E249BE">
              <w:t xml:space="preserve">$1,750,708.30 (fees) + $437,677.08 (uplift) </w:t>
            </w:r>
          </w:p>
        </w:tc>
        <w:tc>
          <w:tcPr>
            <w:tcW w:w="1931" w:type="dxa"/>
          </w:tcPr>
          <w:p w14:paraId="6F3AADE1" w14:textId="07A9DC30" w:rsidR="00E11D1F" w:rsidRPr="00E11D1F" w:rsidRDefault="00E11D1F" w:rsidP="004F2506">
            <w:pPr>
              <w:pStyle w:val="BodyText"/>
            </w:pPr>
            <w:r>
              <w:t>$2,188,385.38</w:t>
            </w:r>
          </w:p>
        </w:tc>
      </w:tr>
      <w:tr w:rsidR="00E11D1F" w:rsidRPr="00E11D1F" w14:paraId="60019028" w14:textId="77777777" w:rsidTr="00E11D1F">
        <w:tc>
          <w:tcPr>
            <w:tcW w:w="1276" w:type="dxa"/>
          </w:tcPr>
          <w:p w14:paraId="5F5D1CE3" w14:textId="3F3D851B" w:rsidR="00E11D1F" w:rsidRPr="00E11D1F" w:rsidRDefault="00E11D1F" w:rsidP="004F2506">
            <w:pPr>
              <w:pStyle w:val="BodyText"/>
            </w:pPr>
            <w:r>
              <w:t>Rosati 2:</w:t>
            </w:r>
          </w:p>
        </w:tc>
        <w:tc>
          <w:tcPr>
            <w:tcW w:w="5103" w:type="dxa"/>
          </w:tcPr>
          <w:p w14:paraId="122A1ED6" w14:textId="4E140868" w:rsidR="00E11D1F" w:rsidRPr="00E11D1F" w:rsidRDefault="00E11D1F" w:rsidP="004F2506">
            <w:pPr>
              <w:pStyle w:val="BodyText"/>
            </w:pPr>
            <w:r>
              <w:t>$   140,990.30 (fees) + $35,247.58 (uplift)</w:t>
            </w:r>
          </w:p>
        </w:tc>
        <w:tc>
          <w:tcPr>
            <w:tcW w:w="1931" w:type="dxa"/>
          </w:tcPr>
          <w:p w14:paraId="4CB7A7BC" w14:textId="77777777" w:rsidR="00E11D1F" w:rsidRDefault="00E11D1F" w:rsidP="004F2506">
            <w:pPr>
              <w:pStyle w:val="BodyText"/>
            </w:pPr>
            <w:r>
              <w:t>$   176,237.88</w:t>
            </w:r>
          </w:p>
          <w:p w14:paraId="74EDC092" w14:textId="77777777" w:rsidR="00E11D1F" w:rsidRPr="00E11D1F" w:rsidRDefault="00E11D1F" w:rsidP="004F2506">
            <w:pPr>
              <w:pStyle w:val="BodyText"/>
            </w:pPr>
          </w:p>
        </w:tc>
      </w:tr>
      <w:tr w:rsidR="00E11D1F" w:rsidRPr="00E11D1F" w14:paraId="68F3472D" w14:textId="77777777" w:rsidTr="004F2506">
        <w:tc>
          <w:tcPr>
            <w:tcW w:w="1276" w:type="dxa"/>
          </w:tcPr>
          <w:p w14:paraId="5C556463" w14:textId="77777777" w:rsidR="00E11D1F" w:rsidRPr="00E11D1F" w:rsidRDefault="00E11D1F" w:rsidP="004F2506">
            <w:pPr>
              <w:pStyle w:val="BodyText"/>
            </w:pPr>
          </w:p>
        </w:tc>
        <w:tc>
          <w:tcPr>
            <w:tcW w:w="5103" w:type="dxa"/>
          </w:tcPr>
          <w:p w14:paraId="52F9041A" w14:textId="7C09B57F" w:rsidR="00E11D1F" w:rsidRPr="00E11D1F" w:rsidRDefault="00E11D1F" w:rsidP="004F2506">
            <w:pPr>
              <w:pStyle w:val="BodyText"/>
            </w:pPr>
            <w:r>
              <w:t>$     40,000.00 (no uplift claimed)</w:t>
            </w:r>
          </w:p>
        </w:tc>
        <w:tc>
          <w:tcPr>
            <w:tcW w:w="1931" w:type="dxa"/>
          </w:tcPr>
          <w:p w14:paraId="361F46FE" w14:textId="50DE2857" w:rsidR="00E11D1F" w:rsidRPr="00E11D1F" w:rsidRDefault="00E11D1F" w:rsidP="004F2506">
            <w:pPr>
              <w:pStyle w:val="BodyText"/>
            </w:pPr>
            <w:r>
              <w:t>$     40,000.00</w:t>
            </w:r>
          </w:p>
        </w:tc>
      </w:tr>
      <w:tr w:rsidR="00E11D1F" w:rsidRPr="00E11D1F" w14:paraId="7DC0B229" w14:textId="77777777" w:rsidTr="004F2506">
        <w:tc>
          <w:tcPr>
            <w:tcW w:w="1276" w:type="dxa"/>
          </w:tcPr>
          <w:p w14:paraId="2794C7FB" w14:textId="76025CB7" w:rsidR="00E11D1F" w:rsidRPr="00E11D1F" w:rsidRDefault="00E11D1F" w:rsidP="004F2506">
            <w:pPr>
              <w:pStyle w:val="BodyText"/>
            </w:pPr>
            <w:r w:rsidRPr="008B678E">
              <w:rPr>
                <w:b/>
                <w:bCs/>
              </w:rPr>
              <w:t xml:space="preserve">Total: </w:t>
            </w:r>
            <w:r w:rsidRPr="008B678E">
              <w:rPr>
                <w:b/>
                <w:bCs/>
              </w:rPr>
              <w:tab/>
            </w:r>
          </w:p>
        </w:tc>
        <w:tc>
          <w:tcPr>
            <w:tcW w:w="5103" w:type="dxa"/>
          </w:tcPr>
          <w:p w14:paraId="11C8C300" w14:textId="77777777" w:rsidR="00E11D1F" w:rsidRPr="00E11D1F" w:rsidRDefault="00E11D1F" w:rsidP="004F2506">
            <w:pPr>
              <w:pStyle w:val="BodyText"/>
            </w:pPr>
          </w:p>
        </w:tc>
        <w:tc>
          <w:tcPr>
            <w:tcW w:w="1931" w:type="dxa"/>
          </w:tcPr>
          <w:p w14:paraId="5DED902B" w14:textId="73F79EDC" w:rsidR="00E11D1F" w:rsidRPr="00E11D1F" w:rsidRDefault="00E11D1F" w:rsidP="004F2506">
            <w:pPr>
              <w:pStyle w:val="BodyText"/>
            </w:pPr>
            <w:r w:rsidRPr="008B678E">
              <w:rPr>
                <w:b/>
                <w:bCs/>
              </w:rPr>
              <w:t>$2,404,623.26</w:t>
            </w:r>
          </w:p>
        </w:tc>
      </w:tr>
    </w:tbl>
    <w:p w14:paraId="60DB9A2E" w14:textId="4E342A8F" w:rsidR="00F07AA0" w:rsidRPr="00E11D1F" w:rsidRDefault="00B6500C" w:rsidP="00B6500C">
      <w:pPr>
        <w:pStyle w:val="ParaNumbering"/>
        <w:numPr>
          <w:ilvl w:val="0"/>
          <w:numId w:val="0"/>
        </w:numPr>
        <w:ind w:hanging="720"/>
      </w:pPr>
      <w:r w:rsidRPr="00E11D1F">
        <w:rPr>
          <w:iCs/>
          <w:sz w:val="20"/>
        </w:rPr>
        <w:t>109</w:t>
      </w:r>
      <w:r w:rsidRPr="00E11D1F">
        <w:rPr>
          <w:iCs/>
          <w:sz w:val="20"/>
        </w:rPr>
        <w:tab/>
      </w:r>
      <w:r w:rsidR="00F07AA0">
        <w:t>What has been allowed is:</w:t>
      </w:r>
    </w:p>
    <w:tbl>
      <w:tblPr>
        <w:tblStyle w:val="TableGrid1"/>
        <w:tblW w:w="0" w:type="auto"/>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3"/>
        <w:gridCol w:w="1931"/>
      </w:tblGrid>
      <w:tr w:rsidR="00E11D1F" w:rsidRPr="00E11D1F" w14:paraId="500D23A2" w14:textId="77777777" w:rsidTr="002E4C56">
        <w:trPr>
          <w:trHeight w:val="352"/>
        </w:trPr>
        <w:tc>
          <w:tcPr>
            <w:tcW w:w="1276" w:type="dxa"/>
          </w:tcPr>
          <w:p w14:paraId="1CFDDEF5" w14:textId="77777777" w:rsidR="00E11D1F" w:rsidRPr="00E11D1F" w:rsidRDefault="00E11D1F" w:rsidP="004F2506">
            <w:pPr>
              <w:pStyle w:val="BodyText"/>
            </w:pPr>
            <w:r w:rsidRPr="00E249BE">
              <w:t xml:space="preserve">Rosati 1: </w:t>
            </w:r>
          </w:p>
        </w:tc>
        <w:tc>
          <w:tcPr>
            <w:tcW w:w="5103" w:type="dxa"/>
          </w:tcPr>
          <w:p w14:paraId="525F2B14" w14:textId="5D014524" w:rsidR="00E11D1F" w:rsidRPr="00E11D1F" w:rsidRDefault="00E11D1F" w:rsidP="004F2506">
            <w:pPr>
              <w:pStyle w:val="BodyText"/>
            </w:pPr>
          </w:p>
        </w:tc>
        <w:tc>
          <w:tcPr>
            <w:tcW w:w="1931" w:type="dxa"/>
          </w:tcPr>
          <w:p w14:paraId="28048272" w14:textId="2183EBFE" w:rsidR="00E11D1F" w:rsidRPr="00E11D1F" w:rsidRDefault="00E11D1F" w:rsidP="004F2506">
            <w:pPr>
              <w:pStyle w:val="BodyText"/>
            </w:pPr>
            <w:r>
              <w:t>$1,754,337.61</w:t>
            </w:r>
          </w:p>
        </w:tc>
      </w:tr>
      <w:tr w:rsidR="00E11D1F" w:rsidRPr="00E11D1F" w14:paraId="790F4832" w14:textId="77777777" w:rsidTr="002E4C56">
        <w:tc>
          <w:tcPr>
            <w:tcW w:w="1276" w:type="dxa"/>
          </w:tcPr>
          <w:p w14:paraId="231CDDFD" w14:textId="77777777" w:rsidR="00E11D1F" w:rsidRPr="00E11D1F" w:rsidRDefault="00E11D1F" w:rsidP="004F2506">
            <w:pPr>
              <w:pStyle w:val="BodyText"/>
            </w:pPr>
            <w:r>
              <w:t>Rosati 2:</w:t>
            </w:r>
          </w:p>
        </w:tc>
        <w:tc>
          <w:tcPr>
            <w:tcW w:w="5103" w:type="dxa"/>
          </w:tcPr>
          <w:p w14:paraId="257CE81C" w14:textId="1D9F13D2" w:rsidR="00E11D1F" w:rsidRPr="00E11D1F" w:rsidRDefault="00E11D1F" w:rsidP="004F2506">
            <w:pPr>
              <w:pStyle w:val="BodyText"/>
            </w:pPr>
            <w:r>
              <w:t>$113,849.67 (fees) + $28,462.42 (uplift)</w:t>
            </w:r>
          </w:p>
        </w:tc>
        <w:tc>
          <w:tcPr>
            <w:tcW w:w="1931" w:type="dxa"/>
          </w:tcPr>
          <w:p w14:paraId="43E152AA" w14:textId="6463A460" w:rsidR="00E11D1F" w:rsidRDefault="00E11D1F" w:rsidP="004F2506">
            <w:pPr>
              <w:pStyle w:val="BodyText"/>
            </w:pPr>
            <w:r>
              <w:t>$   142,312.09</w:t>
            </w:r>
          </w:p>
          <w:p w14:paraId="362D0B17" w14:textId="77777777" w:rsidR="00E11D1F" w:rsidRPr="00E11D1F" w:rsidRDefault="00E11D1F" w:rsidP="004F2506">
            <w:pPr>
              <w:pStyle w:val="BodyText"/>
            </w:pPr>
          </w:p>
        </w:tc>
      </w:tr>
      <w:tr w:rsidR="00E11D1F" w:rsidRPr="00E11D1F" w14:paraId="1FBCFD8B" w14:textId="77777777" w:rsidTr="004F2506">
        <w:tc>
          <w:tcPr>
            <w:tcW w:w="1276" w:type="dxa"/>
          </w:tcPr>
          <w:p w14:paraId="5A519402" w14:textId="77777777" w:rsidR="00E11D1F" w:rsidRPr="00E11D1F" w:rsidRDefault="00E11D1F" w:rsidP="004F2506">
            <w:pPr>
              <w:pStyle w:val="BodyText"/>
            </w:pPr>
          </w:p>
        </w:tc>
        <w:tc>
          <w:tcPr>
            <w:tcW w:w="5103" w:type="dxa"/>
          </w:tcPr>
          <w:p w14:paraId="06A7F5A9" w14:textId="77777777" w:rsidR="00E11D1F" w:rsidRPr="00E11D1F" w:rsidRDefault="00E11D1F" w:rsidP="004F2506">
            <w:pPr>
              <w:pStyle w:val="BodyText"/>
            </w:pPr>
            <w:r>
              <w:t>$     40,000.00 (no uplift claimed)</w:t>
            </w:r>
          </w:p>
        </w:tc>
        <w:tc>
          <w:tcPr>
            <w:tcW w:w="1931" w:type="dxa"/>
          </w:tcPr>
          <w:p w14:paraId="7487FB34" w14:textId="77777777" w:rsidR="00E11D1F" w:rsidRPr="00E11D1F" w:rsidRDefault="00E11D1F" w:rsidP="004F2506">
            <w:pPr>
              <w:pStyle w:val="BodyText"/>
            </w:pPr>
            <w:r>
              <w:t>$     40,000.00</w:t>
            </w:r>
          </w:p>
        </w:tc>
      </w:tr>
      <w:tr w:rsidR="00E11D1F" w:rsidRPr="00E11D1F" w14:paraId="556F2778" w14:textId="77777777" w:rsidTr="004F2506">
        <w:tc>
          <w:tcPr>
            <w:tcW w:w="1276" w:type="dxa"/>
          </w:tcPr>
          <w:p w14:paraId="30577685" w14:textId="77777777" w:rsidR="00E11D1F" w:rsidRPr="00E11D1F" w:rsidRDefault="00E11D1F" w:rsidP="004F2506">
            <w:pPr>
              <w:pStyle w:val="BodyText"/>
            </w:pPr>
            <w:r w:rsidRPr="008B678E">
              <w:rPr>
                <w:b/>
                <w:bCs/>
              </w:rPr>
              <w:t xml:space="preserve">Total: </w:t>
            </w:r>
            <w:r w:rsidRPr="008B678E">
              <w:rPr>
                <w:b/>
                <w:bCs/>
              </w:rPr>
              <w:tab/>
            </w:r>
          </w:p>
        </w:tc>
        <w:tc>
          <w:tcPr>
            <w:tcW w:w="5103" w:type="dxa"/>
          </w:tcPr>
          <w:p w14:paraId="266A8890" w14:textId="77777777" w:rsidR="00E11D1F" w:rsidRPr="00E11D1F" w:rsidRDefault="00E11D1F" w:rsidP="004F2506">
            <w:pPr>
              <w:pStyle w:val="BodyText"/>
            </w:pPr>
          </w:p>
        </w:tc>
        <w:tc>
          <w:tcPr>
            <w:tcW w:w="1931" w:type="dxa"/>
          </w:tcPr>
          <w:p w14:paraId="6005B149" w14:textId="02BD000E" w:rsidR="00E11D1F" w:rsidRPr="00E11D1F" w:rsidRDefault="00E11D1F" w:rsidP="004F2506">
            <w:pPr>
              <w:pStyle w:val="BodyText"/>
            </w:pPr>
            <w:r w:rsidRPr="008B678E">
              <w:rPr>
                <w:b/>
                <w:bCs/>
              </w:rPr>
              <w:t>$1,936,649.70</w:t>
            </w:r>
          </w:p>
        </w:tc>
      </w:tr>
    </w:tbl>
    <w:p w14:paraId="4FE2D7B0" w14:textId="77777777" w:rsidR="00E11D1F" w:rsidRPr="008B678E" w:rsidRDefault="00E11D1F" w:rsidP="00E11D1F">
      <w:pPr>
        <w:pStyle w:val="NoNum"/>
        <w:ind w:firstLine="720"/>
        <w:rPr>
          <w:b/>
          <w:bCs/>
        </w:rPr>
      </w:pPr>
    </w:p>
    <w:p w14:paraId="7614783C" w14:textId="0177062A" w:rsidR="00F07AA0" w:rsidRDefault="00B6500C" w:rsidP="00B6500C">
      <w:pPr>
        <w:pStyle w:val="ParaNumbering"/>
        <w:numPr>
          <w:ilvl w:val="0"/>
          <w:numId w:val="0"/>
        </w:numPr>
        <w:ind w:hanging="720"/>
      </w:pPr>
      <w:r>
        <w:rPr>
          <w:iCs/>
          <w:sz w:val="20"/>
        </w:rPr>
        <w:t>110</w:t>
      </w:r>
      <w:r>
        <w:rPr>
          <w:iCs/>
          <w:sz w:val="20"/>
        </w:rPr>
        <w:tab/>
      </w:r>
      <w:r w:rsidR="008B678E">
        <w:t xml:space="preserve">The total allowed </w:t>
      </w:r>
      <w:r w:rsidR="00565559">
        <w:t>equates to a little over 80% of what was claimed for professional fees as recorded in the itemised account</w:t>
      </w:r>
      <w:r w:rsidR="00825887">
        <w:t>, together with full allowance for the 25% uplift</w:t>
      </w:r>
      <w:r w:rsidR="005A264A">
        <w:t>, where claimed</w:t>
      </w:r>
      <w:r w:rsidR="00565559">
        <w:t>.</w:t>
      </w:r>
      <w:r w:rsidR="00F07AA0">
        <w:t xml:space="preserve"> </w:t>
      </w:r>
      <w:r w:rsidR="000C7BA8">
        <w:t xml:space="preserve"> </w:t>
      </w:r>
    </w:p>
    <w:p w14:paraId="681CED48" w14:textId="330C7F29" w:rsidR="004F43F1" w:rsidRDefault="00B6500C" w:rsidP="00B6500C">
      <w:pPr>
        <w:pStyle w:val="ParaNumbering"/>
        <w:numPr>
          <w:ilvl w:val="0"/>
          <w:numId w:val="0"/>
        </w:numPr>
        <w:ind w:hanging="720"/>
      </w:pPr>
      <w:r>
        <w:rPr>
          <w:iCs/>
          <w:sz w:val="20"/>
        </w:rPr>
        <w:t>111</w:t>
      </w:r>
      <w:r>
        <w:rPr>
          <w:iCs/>
          <w:sz w:val="20"/>
        </w:rPr>
        <w:tab/>
      </w:r>
      <w:r w:rsidR="004F43F1">
        <w:t>Ms Rosati made only minor adjustments to the disbursements which had been claimed. I consider Ms Rosati’s adjustments appropriate. The consequence is that there is almost complete recovery of disbursements.</w:t>
      </w:r>
    </w:p>
    <w:p w14:paraId="3E9CA837" w14:textId="79043FB2" w:rsidR="007E722A" w:rsidRPr="005A5CB8" w:rsidRDefault="00B6500C" w:rsidP="00B6500C">
      <w:pPr>
        <w:pStyle w:val="ParaNumbering"/>
        <w:numPr>
          <w:ilvl w:val="0"/>
          <w:numId w:val="0"/>
        </w:numPr>
        <w:ind w:hanging="720"/>
      </w:pPr>
      <w:r w:rsidRPr="005A5CB8">
        <w:rPr>
          <w:iCs/>
          <w:sz w:val="20"/>
        </w:rPr>
        <w:t>112</w:t>
      </w:r>
      <w:r w:rsidRPr="005A5CB8">
        <w:rPr>
          <w:iCs/>
          <w:sz w:val="20"/>
        </w:rPr>
        <w:tab/>
      </w:r>
      <w:r w:rsidR="00440679">
        <w:t>Assessing the matter globally</w:t>
      </w:r>
      <w:r w:rsidR="00FB55B9">
        <w:t>,</w:t>
      </w:r>
      <w:r w:rsidR="00FF6C0B">
        <w:t xml:space="preserve"> and by reference to all the various issues raised, </w:t>
      </w:r>
      <w:r w:rsidR="009C79E2">
        <w:t xml:space="preserve">an amount of </w:t>
      </w:r>
      <w:r w:rsidR="004F43F1">
        <w:t>$2,781,554.70</w:t>
      </w:r>
      <w:r w:rsidR="00FB55B9">
        <w:t xml:space="preserve"> is</w:t>
      </w:r>
      <w:r w:rsidR="00FF6C0B">
        <w:t xml:space="preserve"> just </w:t>
      </w:r>
      <w:r w:rsidR="00B065BB">
        <w:t>for the purposes of an order under s 33V(2)</w:t>
      </w:r>
      <w:r w:rsidR="00A038B9">
        <w:t xml:space="preserve"> of the FCA Act</w:t>
      </w:r>
      <w:r w:rsidR="00FF6C0B">
        <w:t>.</w:t>
      </w:r>
      <w:r w:rsidR="00B418FC">
        <w:t xml:space="preserve"> </w:t>
      </w:r>
      <w:r w:rsidR="00B418FC" w:rsidRPr="00C64642">
        <w:rPr>
          <w:lang w:val="en-US"/>
        </w:rPr>
        <w:t>Pursuant to s</w:t>
      </w:r>
      <w:r w:rsidR="00B418FC">
        <w:rPr>
          <w:lang w:val="en-US"/>
        </w:rPr>
        <w:t> </w:t>
      </w:r>
      <w:r w:rsidR="00B418FC" w:rsidRPr="00C64642">
        <w:rPr>
          <w:lang w:val="en-US"/>
        </w:rPr>
        <w:t>33V(2) the Court approves</w:t>
      </w:r>
      <w:r w:rsidR="00B418FC">
        <w:rPr>
          <w:lang w:val="en-US"/>
        </w:rPr>
        <w:t xml:space="preserve"> </w:t>
      </w:r>
      <w:r w:rsidR="00B418FC" w:rsidRPr="00C64642">
        <w:rPr>
          <w:lang w:val="en-US"/>
        </w:rPr>
        <w:t xml:space="preserve">the sum of </w:t>
      </w:r>
      <w:r w:rsidR="005A264A">
        <w:t>$2,781,554.70</w:t>
      </w:r>
      <w:r w:rsidR="00E11853">
        <w:rPr>
          <w:lang w:val="en-US"/>
        </w:rPr>
        <w:t>.</w:t>
      </w:r>
    </w:p>
    <w:p w14:paraId="3562BD0E" w14:textId="5032499E" w:rsidR="002842AF" w:rsidRDefault="002842AF" w:rsidP="002842AF">
      <w:pPr>
        <w:pStyle w:val="Heading2"/>
      </w:pPr>
      <w:r>
        <w:t>Objections</w:t>
      </w:r>
    </w:p>
    <w:p w14:paraId="5666E7BF" w14:textId="32621D21" w:rsidR="00AB0F64" w:rsidRDefault="00B6500C" w:rsidP="00B6500C">
      <w:pPr>
        <w:pStyle w:val="ParaNumbering"/>
        <w:numPr>
          <w:ilvl w:val="0"/>
          <w:numId w:val="0"/>
        </w:numPr>
        <w:ind w:hanging="720"/>
        <w:rPr>
          <w:szCs w:val="24"/>
        </w:rPr>
      </w:pPr>
      <w:r>
        <w:rPr>
          <w:iCs/>
          <w:sz w:val="20"/>
          <w:szCs w:val="24"/>
        </w:rPr>
        <w:t>113</w:t>
      </w:r>
      <w:r>
        <w:rPr>
          <w:iCs/>
          <w:sz w:val="20"/>
          <w:szCs w:val="24"/>
        </w:rPr>
        <w:tab/>
      </w:r>
      <w:r w:rsidR="00B82B3C">
        <w:rPr>
          <w:szCs w:val="24"/>
        </w:rPr>
        <w:t>O</w:t>
      </w:r>
      <w:r w:rsidR="00E91FE2">
        <w:rPr>
          <w:szCs w:val="24"/>
        </w:rPr>
        <w:t xml:space="preserve">ne of the </w:t>
      </w:r>
      <w:r w:rsidR="004720ED">
        <w:rPr>
          <w:szCs w:val="24"/>
        </w:rPr>
        <w:t xml:space="preserve">objections referred to the percentage of the total proposed settlement amount that the legal costs would comprise. </w:t>
      </w:r>
      <w:r w:rsidR="00B72198">
        <w:rPr>
          <w:szCs w:val="24"/>
        </w:rPr>
        <w:t xml:space="preserve">The objection also noted, correctly, that the reason for this is driven by the </w:t>
      </w:r>
      <w:r w:rsidR="00CD113A">
        <w:rPr>
          <w:szCs w:val="24"/>
        </w:rPr>
        <w:t>“</w:t>
      </w:r>
      <w:r w:rsidR="00B72198">
        <w:rPr>
          <w:szCs w:val="24"/>
        </w:rPr>
        <w:t>paltry amount being offered</w:t>
      </w:r>
      <w:r w:rsidR="00CD113A">
        <w:rPr>
          <w:szCs w:val="24"/>
        </w:rPr>
        <w:t>”</w:t>
      </w:r>
      <w:r w:rsidR="00F256B6">
        <w:rPr>
          <w:szCs w:val="24"/>
        </w:rPr>
        <w:t xml:space="preserve">. It is unfortunate, but the harsh reality is that this settlement is driven by </w:t>
      </w:r>
      <w:r w:rsidR="001036F4">
        <w:rPr>
          <w:szCs w:val="24"/>
        </w:rPr>
        <w:t>commercial commonsense</w:t>
      </w:r>
      <w:r w:rsidR="00B95448">
        <w:rPr>
          <w:szCs w:val="24"/>
        </w:rPr>
        <w:t>. T</w:t>
      </w:r>
      <w:r w:rsidR="00A57E3A">
        <w:rPr>
          <w:szCs w:val="24"/>
        </w:rPr>
        <w:t xml:space="preserve">he applicant is </w:t>
      </w:r>
      <w:r w:rsidR="00711E27">
        <w:rPr>
          <w:szCs w:val="24"/>
        </w:rPr>
        <w:t>unlikely to recover more if the proceeding continues and, indeed, is likely to recover less if the proceeding continues.</w:t>
      </w:r>
    </w:p>
    <w:p w14:paraId="621CBC70" w14:textId="4E627653" w:rsidR="00773F1D" w:rsidRDefault="00B6500C" w:rsidP="00B6500C">
      <w:pPr>
        <w:pStyle w:val="ParaNumbering"/>
        <w:numPr>
          <w:ilvl w:val="0"/>
          <w:numId w:val="0"/>
        </w:numPr>
        <w:ind w:hanging="720"/>
        <w:rPr>
          <w:szCs w:val="24"/>
        </w:rPr>
      </w:pPr>
      <w:r>
        <w:rPr>
          <w:iCs/>
          <w:sz w:val="20"/>
          <w:szCs w:val="24"/>
        </w:rPr>
        <w:lastRenderedPageBreak/>
        <w:t>114</w:t>
      </w:r>
      <w:r>
        <w:rPr>
          <w:iCs/>
          <w:sz w:val="20"/>
          <w:szCs w:val="24"/>
        </w:rPr>
        <w:tab/>
      </w:r>
      <w:r w:rsidR="00E658B8">
        <w:rPr>
          <w:szCs w:val="24"/>
        </w:rPr>
        <w:t xml:space="preserve">A common feature of a number of objections was to the effect that the Settlement Amount was not enough when regard was had to the losses sustained by the Claimants. This is an understandable sentiment. However, appropriate investigations have been made as to the amount that might be </w:t>
      </w:r>
      <w:r w:rsidR="00E658B8" w:rsidRPr="00CD1BB8">
        <w:rPr>
          <w:i/>
          <w:iCs/>
          <w:szCs w:val="24"/>
        </w:rPr>
        <w:t>recovered</w:t>
      </w:r>
      <w:r w:rsidR="00E658B8">
        <w:rPr>
          <w:szCs w:val="24"/>
        </w:rPr>
        <w:t xml:space="preserve"> from the respondents as opposed to </w:t>
      </w:r>
      <w:r w:rsidR="00E658B8" w:rsidRPr="0064510E">
        <w:rPr>
          <w:i/>
          <w:iCs/>
          <w:szCs w:val="24"/>
        </w:rPr>
        <w:t>awarded</w:t>
      </w:r>
      <w:r w:rsidR="00E658B8">
        <w:rPr>
          <w:szCs w:val="24"/>
        </w:rPr>
        <w:t xml:space="preserve"> against the respondents by way of damages. If the proceeding continued, the amount which would be recovered is likely to be very substantially less than the amount which would be recovered if the settlement were approved. This is because the amount available to satisfy an award of damages is likely to be seriously or completely depleted by the legal costs of both the applicant and the respondents if the proceeding were to continue. </w:t>
      </w:r>
    </w:p>
    <w:p w14:paraId="33BB4DFE" w14:textId="541BED11" w:rsidR="00107882" w:rsidRPr="000C08A6" w:rsidRDefault="00B6500C" w:rsidP="00B6500C">
      <w:pPr>
        <w:pStyle w:val="ParaNumbering"/>
        <w:numPr>
          <w:ilvl w:val="0"/>
          <w:numId w:val="0"/>
        </w:numPr>
        <w:ind w:hanging="720"/>
      </w:pPr>
      <w:r w:rsidRPr="000C08A6">
        <w:rPr>
          <w:iCs/>
          <w:sz w:val="20"/>
        </w:rPr>
        <w:t>115</w:t>
      </w:r>
      <w:r w:rsidRPr="000C08A6">
        <w:rPr>
          <w:iCs/>
          <w:sz w:val="20"/>
        </w:rPr>
        <w:tab/>
      </w:r>
      <w:r w:rsidR="00E658B8">
        <w:rPr>
          <w:szCs w:val="24"/>
        </w:rPr>
        <w:t>The inquiries made in relation to the assets available to the respondents has been sufficient – see in this regard: Watson No 1; Watson No 2; and Watson No 3. There is no real prospect of any of the respondents generating further funds over the course of the litigation (should it continue) sufficient to warrant not approving the settlement.</w:t>
      </w:r>
    </w:p>
    <w:p w14:paraId="61F5BB12" w14:textId="3A36B9CD" w:rsidR="00107882" w:rsidRPr="00652603" w:rsidRDefault="00107882" w:rsidP="000C08A6">
      <w:pPr>
        <w:pStyle w:val="Heading2"/>
      </w:pPr>
      <w:r w:rsidRPr="00652603">
        <w:t xml:space="preserve">Payment to lead </w:t>
      </w:r>
      <w:r w:rsidR="00CB38FF">
        <w:t>a</w:t>
      </w:r>
      <w:r w:rsidRPr="00652603">
        <w:t xml:space="preserve">pplicant </w:t>
      </w:r>
    </w:p>
    <w:p w14:paraId="385E0E74" w14:textId="5CDAE1F9" w:rsidR="00677B23" w:rsidRDefault="00B6500C" w:rsidP="00B6500C">
      <w:pPr>
        <w:pStyle w:val="ParaNumbering"/>
        <w:numPr>
          <w:ilvl w:val="0"/>
          <w:numId w:val="0"/>
        </w:numPr>
        <w:ind w:hanging="720"/>
      </w:pPr>
      <w:r>
        <w:rPr>
          <w:iCs/>
          <w:sz w:val="20"/>
        </w:rPr>
        <w:t>116</w:t>
      </w:r>
      <w:r>
        <w:rPr>
          <w:iCs/>
          <w:sz w:val="20"/>
        </w:rPr>
        <w:tab/>
      </w:r>
      <w:r w:rsidR="00107882" w:rsidRPr="00652603">
        <w:t xml:space="preserve">The proposed settlement contemplates a payment to the lead </w:t>
      </w:r>
      <w:r w:rsidR="00652603">
        <w:t>a</w:t>
      </w:r>
      <w:r w:rsidR="00107882" w:rsidRPr="00652603">
        <w:t>pplicant of $20,000.</w:t>
      </w:r>
      <w:r w:rsidR="00652603">
        <w:t xml:space="preserve"> The payment is intended</w:t>
      </w:r>
      <w:r w:rsidR="00107882" w:rsidRPr="00652603">
        <w:t xml:space="preserve"> to recognise the fact </w:t>
      </w:r>
      <w:r w:rsidR="00652603">
        <w:t>that two individuals</w:t>
      </w:r>
      <w:r w:rsidR="00107882" w:rsidRPr="00652603">
        <w:t xml:space="preserve"> on behalf of the </w:t>
      </w:r>
      <w:r w:rsidR="00652603">
        <w:t>a</w:t>
      </w:r>
      <w:r w:rsidR="00107882" w:rsidRPr="00652603">
        <w:t xml:space="preserve">pplicant have been obliged to expend time and effort in bringing the </w:t>
      </w:r>
      <w:r w:rsidR="00652603">
        <w:t>p</w:t>
      </w:r>
      <w:r w:rsidR="00107882" w:rsidRPr="00652603">
        <w:t xml:space="preserve">roceeding. </w:t>
      </w:r>
      <w:r w:rsidR="00FB3D6A">
        <w:t>In my view this is appropriat</w:t>
      </w:r>
      <w:r w:rsidR="00A77AB1">
        <w:t xml:space="preserve">e. </w:t>
      </w:r>
    </w:p>
    <w:p w14:paraId="057B05B8" w14:textId="0F8E302D" w:rsidR="00107882" w:rsidRPr="00652603" w:rsidRDefault="00B6500C" w:rsidP="00B6500C">
      <w:pPr>
        <w:pStyle w:val="ParaNumbering"/>
        <w:numPr>
          <w:ilvl w:val="0"/>
          <w:numId w:val="0"/>
        </w:numPr>
        <w:ind w:hanging="720"/>
      </w:pPr>
      <w:r w:rsidRPr="00652603">
        <w:rPr>
          <w:iCs/>
          <w:sz w:val="20"/>
        </w:rPr>
        <w:t>117</w:t>
      </w:r>
      <w:r w:rsidRPr="00652603">
        <w:rPr>
          <w:iCs/>
          <w:sz w:val="20"/>
        </w:rPr>
        <w:tab/>
      </w:r>
      <w:r w:rsidR="00A77AB1">
        <w:t xml:space="preserve">I note that such payments are not unusual: </w:t>
      </w:r>
      <w:r w:rsidR="00107882" w:rsidRPr="00CB65C1">
        <w:rPr>
          <w:i/>
          <w:iCs/>
        </w:rPr>
        <w:t>Camping Warehouse v Downer EDI (Approval of Settlement)</w:t>
      </w:r>
      <w:r w:rsidR="00107882" w:rsidRPr="00CB65C1">
        <w:t xml:space="preserve"> [2016] VSC 784</w:t>
      </w:r>
      <w:r w:rsidR="00107882" w:rsidRPr="00652603">
        <w:t xml:space="preserve"> at [163]-[176]</w:t>
      </w:r>
      <w:r w:rsidR="0050236E">
        <w:t xml:space="preserve"> (Digby J)</w:t>
      </w:r>
      <w:r w:rsidR="00107882" w:rsidRPr="00652603">
        <w:t xml:space="preserve">; </w:t>
      </w:r>
      <w:proofErr w:type="spellStart"/>
      <w:r w:rsidR="00107882" w:rsidRPr="00CB65C1">
        <w:rPr>
          <w:i/>
          <w:iCs/>
        </w:rPr>
        <w:t>Petrusevski</w:t>
      </w:r>
      <w:proofErr w:type="spellEnd"/>
      <w:r w:rsidR="00107882" w:rsidRPr="00CB65C1">
        <w:rPr>
          <w:i/>
          <w:iCs/>
        </w:rPr>
        <w:t xml:space="preserve"> v Bulldogs Rugby League Club Ltd </w:t>
      </w:r>
      <w:r w:rsidR="00107882" w:rsidRPr="00CB65C1">
        <w:t>[2004] FCA 1712</w:t>
      </w:r>
      <w:r w:rsidR="00107882" w:rsidRPr="00652603">
        <w:t xml:space="preserve"> at [13]</w:t>
      </w:r>
      <w:r w:rsidR="00EB4F2F">
        <w:t xml:space="preserve"> (Gyles J)</w:t>
      </w:r>
      <w:r w:rsidR="00107882" w:rsidRPr="00652603">
        <w:t xml:space="preserve">; </w:t>
      </w:r>
      <w:r w:rsidR="00107882" w:rsidRPr="00CB65C1">
        <w:rPr>
          <w:i/>
          <w:iCs/>
        </w:rPr>
        <w:t xml:space="preserve">Lee v Bank of Queensland Ltd </w:t>
      </w:r>
      <w:r w:rsidR="00213C73" w:rsidRPr="00CB65C1">
        <w:t>[</w:t>
      </w:r>
      <w:r w:rsidR="00107882" w:rsidRPr="00CB65C1">
        <w:t>2014</w:t>
      </w:r>
      <w:r w:rsidR="00213C73" w:rsidRPr="00CB65C1">
        <w:t>]</w:t>
      </w:r>
      <w:r w:rsidR="00107882" w:rsidRPr="00CB65C1">
        <w:t xml:space="preserve"> </w:t>
      </w:r>
      <w:r w:rsidR="00213C73" w:rsidRPr="00CB65C1">
        <w:t xml:space="preserve">FCA 1376; </w:t>
      </w:r>
      <w:r w:rsidR="00107882" w:rsidRPr="00CB65C1">
        <w:t>103 ACSR 436</w:t>
      </w:r>
      <w:r w:rsidR="00107882" w:rsidRPr="00652603">
        <w:t xml:space="preserve"> at [55]-[56]</w:t>
      </w:r>
      <w:r w:rsidR="0050236E">
        <w:t xml:space="preserve"> (Collier J)</w:t>
      </w:r>
      <w:r w:rsidR="00107882" w:rsidRPr="00652603">
        <w:t>.</w:t>
      </w:r>
    </w:p>
    <w:p w14:paraId="53CFC99A" w14:textId="69EF3C82" w:rsidR="00107882" w:rsidRDefault="009A6595" w:rsidP="00C854A0">
      <w:pPr>
        <w:pStyle w:val="Heading2"/>
      </w:pPr>
      <w:r>
        <w:t>C</w:t>
      </w:r>
      <w:r w:rsidR="00107882" w:rsidRPr="00652603">
        <w:t xml:space="preserve">onclusion </w:t>
      </w:r>
      <w:r w:rsidR="0028125F">
        <w:t>on approval</w:t>
      </w:r>
    </w:p>
    <w:p w14:paraId="62A1A80A" w14:textId="563377F7" w:rsidR="006F5323" w:rsidRDefault="00B6500C" w:rsidP="00B6500C">
      <w:pPr>
        <w:pStyle w:val="ParaNumbering"/>
        <w:numPr>
          <w:ilvl w:val="0"/>
          <w:numId w:val="0"/>
        </w:numPr>
        <w:ind w:hanging="720"/>
      </w:pPr>
      <w:r>
        <w:rPr>
          <w:iCs/>
          <w:sz w:val="20"/>
        </w:rPr>
        <w:t>118</w:t>
      </w:r>
      <w:r>
        <w:rPr>
          <w:iCs/>
          <w:sz w:val="20"/>
        </w:rPr>
        <w:tab/>
      </w:r>
      <w:r w:rsidR="0036703E">
        <w:t>For these reasons, and on the basis indicated, the settlement is approved.</w:t>
      </w:r>
    </w:p>
    <w:p w14:paraId="1AC239F7" w14:textId="68DDC734" w:rsidR="0028125F" w:rsidRDefault="00B6500C" w:rsidP="0028125F">
      <w:pPr>
        <w:pStyle w:val="Heading1"/>
      </w:pPr>
      <w:r>
        <w:rPr>
          <w:caps w:val="0"/>
        </w:rPr>
        <w:t>THE APPLICATION FOR DIRECTIONS</w:t>
      </w:r>
    </w:p>
    <w:p w14:paraId="2337F841" w14:textId="0A0E0070" w:rsidR="00E424F7" w:rsidRPr="004009C1" w:rsidRDefault="00B6500C" w:rsidP="00B6500C">
      <w:pPr>
        <w:pStyle w:val="ParaNumbering"/>
        <w:numPr>
          <w:ilvl w:val="0"/>
          <w:numId w:val="0"/>
        </w:numPr>
        <w:ind w:hanging="720"/>
      </w:pPr>
      <w:r w:rsidRPr="004009C1">
        <w:rPr>
          <w:iCs/>
          <w:sz w:val="20"/>
        </w:rPr>
        <w:t>119</w:t>
      </w:r>
      <w:r w:rsidRPr="004009C1">
        <w:rPr>
          <w:iCs/>
          <w:sz w:val="20"/>
        </w:rPr>
        <w:tab/>
      </w:r>
      <w:r w:rsidR="00D575C9" w:rsidRPr="004009C1">
        <w:t xml:space="preserve">The DOCA was executed while the </w:t>
      </w:r>
      <w:r w:rsidR="00285470" w:rsidRPr="004009C1">
        <w:t>Watson Proceedings was</w:t>
      </w:r>
      <w:r w:rsidR="00D575C9" w:rsidRPr="004009C1">
        <w:t xml:space="preserve"> on foot. </w:t>
      </w:r>
      <w:r w:rsidR="005B2D90">
        <w:t>It has been amended twice. I</w:t>
      </w:r>
      <w:r w:rsidR="00D575C9" w:rsidRPr="004009C1">
        <w:t xml:space="preserve">t </w:t>
      </w:r>
      <w:r w:rsidR="00285470" w:rsidRPr="004009C1">
        <w:t>has been</w:t>
      </w:r>
      <w:r w:rsidR="00D575C9" w:rsidRPr="004009C1">
        <w:t xml:space="preserve"> drafted in terms that anticipated a settlement of </w:t>
      </w:r>
      <w:r w:rsidR="008969E0" w:rsidRPr="004009C1">
        <w:t>th</w:t>
      </w:r>
      <w:r w:rsidR="008969E0">
        <w:t>e</w:t>
      </w:r>
      <w:r w:rsidR="008F4FB2">
        <w:t xml:space="preserve"> Watson</w:t>
      </w:r>
      <w:r w:rsidR="008969E0" w:rsidRPr="004009C1">
        <w:t xml:space="preserve"> </w:t>
      </w:r>
      <w:r w:rsidR="008F4FB2">
        <w:t>P</w:t>
      </w:r>
      <w:r w:rsidR="00D575C9" w:rsidRPr="004009C1">
        <w:t xml:space="preserve">roceeding, with settlement funds </w:t>
      </w:r>
      <w:r w:rsidR="004009C1" w:rsidRPr="004009C1">
        <w:t xml:space="preserve">and </w:t>
      </w:r>
      <w:r w:rsidR="00D575C9" w:rsidRPr="004009C1">
        <w:t xml:space="preserve">insurance proceeds from policies held by E&amp;P on its own behalf and on behalf of other </w:t>
      </w:r>
      <w:r w:rsidR="002E5F07" w:rsidRPr="004009C1">
        <w:t>E&amp;P</w:t>
      </w:r>
      <w:r w:rsidR="00D575C9" w:rsidRPr="004009C1">
        <w:t xml:space="preserve"> Group companies (including </w:t>
      </w:r>
      <w:r w:rsidR="002E5F07" w:rsidRPr="004009C1">
        <w:t>DASS</w:t>
      </w:r>
      <w:r w:rsidR="00D575C9" w:rsidRPr="004009C1">
        <w:t>) intended to flow into the deed administration</w:t>
      </w:r>
      <w:r w:rsidR="00E424F7" w:rsidRPr="004009C1">
        <w:t xml:space="preserve"> to satisfy the claims made by the </w:t>
      </w:r>
      <w:r w:rsidR="004009C1">
        <w:t>f</w:t>
      </w:r>
      <w:r w:rsidR="00E424F7" w:rsidRPr="004009C1">
        <w:t xml:space="preserve">ormer </w:t>
      </w:r>
      <w:r w:rsidR="004009C1">
        <w:t>c</w:t>
      </w:r>
      <w:r w:rsidR="00E424F7" w:rsidRPr="004009C1">
        <w:t xml:space="preserve">lients. Its terms operate so that, once the settlement and insurance payments are made, the </w:t>
      </w:r>
      <w:r w:rsidR="004009C1">
        <w:t>f</w:t>
      </w:r>
      <w:r w:rsidR="00E424F7" w:rsidRPr="004009C1">
        <w:t xml:space="preserve">ormer </w:t>
      </w:r>
      <w:r w:rsidR="004009C1">
        <w:t>c</w:t>
      </w:r>
      <w:r w:rsidR="00E424F7" w:rsidRPr="004009C1">
        <w:t>lients may make claims against the deed fund and the Deed Administrators will adjudicate them.</w:t>
      </w:r>
    </w:p>
    <w:p w14:paraId="353B9A06" w14:textId="6F5E2713" w:rsidR="00E424F7" w:rsidRPr="004009C1" w:rsidRDefault="00B6500C" w:rsidP="00B6500C">
      <w:pPr>
        <w:pStyle w:val="ParaNumbering"/>
        <w:numPr>
          <w:ilvl w:val="0"/>
          <w:numId w:val="0"/>
        </w:numPr>
        <w:ind w:hanging="720"/>
      </w:pPr>
      <w:r w:rsidRPr="004009C1">
        <w:rPr>
          <w:iCs/>
          <w:sz w:val="20"/>
        </w:rPr>
        <w:lastRenderedPageBreak/>
        <w:t>120</w:t>
      </w:r>
      <w:r w:rsidRPr="004009C1">
        <w:rPr>
          <w:iCs/>
          <w:sz w:val="20"/>
        </w:rPr>
        <w:tab/>
      </w:r>
      <w:r w:rsidR="00E424F7" w:rsidRPr="004009C1">
        <w:t>The DOCA anticipates two payments into the deed fund, being:</w:t>
      </w:r>
    </w:p>
    <w:p w14:paraId="2B1BA639" w14:textId="48EE0C64" w:rsidR="00E424F7" w:rsidRPr="00E424F7" w:rsidRDefault="00B6500C" w:rsidP="00B6500C">
      <w:pPr>
        <w:pStyle w:val="ListNo1alt"/>
        <w:numPr>
          <w:ilvl w:val="0"/>
          <w:numId w:val="0"/>
        </w:numPr>
        <w:tabs>
          <w:tab w:val="left" w:pos="720"/>
        </w:tabs>
        <w:ind w:left="720" w:hanging="720"/>
      </w:pPr>
      <w:r w:rsidRPr="00E424F7">
        <w:t>(a)</w:t>
      </w:r>
      <w:r w:rsidRPr="00E424F7">
        <w:tab/>
      </w:r>
      <w:r w:rsidR="00E424F7" w:rsidRPr="00E424F7">
        <w:t xml:space="preserve">the </w:t>
      </w:r>
      <w:r w:rsidR="00CD113A">
        <w:t>“</w:t>
      </w:r>
      <w:r w:rsidR="00E424F7" w:rsidRPr="00E424F7">
        <w:t>Tranche A</w:t>
      </w:r>
      <w:r w:rsidR="00CD113A">
        <w:t>”</w:t>
      </w:r>
      <w:r w:rsidR="00E424F7" w:rsidRPr="00E424F7">
        <w:t xml:space="preserve"> payment of about $17</w:t>
      </w:r>
      <w:r w:rsidR="00EA20F7">
        <w:t>,66</w:t>
      </w:r>
      <w:r w:rsidR="00A163FA">
        <w:t>2,489</w:t>
      </w:r>
      <w:r w:rsidR="00E424F7" w:rsidRPr="00E424F7">
        <w:t xml:space="preserve"> (less some adjustments), which has already been paid; and</w:t>
      </w:r>
    </w:p>
    <w:p w14:paraId="5EC4AEDF" w14:textId="77887499" w:rsidR="00E424F7" w:rsidRPr="00E424F7" w:rsidRDefault="00B6500C" w:rsidP="00B6500C">
      <w:pPr>
        <w:pStyle w:val="ListNo1alt"/>
        <w:numPr>
          <w:ilvl w:val="0"/>
          <w:numId w:val="0"/>
        </w:numPr>
        <w:tabs>
          <w:tab w:val="left" w:pos="720"/>
        </w:tabs>
        <w:ind w:left="720" w:hanging="720"/>
      </w:pPr>
      <w:r w:rsidRPr="00E424F7">
        <w:t>(b)</w:t>
      </w:r>
      <w:r w:rsidRPr="00E424F7">
        <w:tab/>
      </w:r>
      <w:r w:rsidR="00E424F7" w:rsidRPr="00E424F7">
        <w:t xml:space="preserve">the </w:t>
      </w:r>
      <w:r w:rsidR="00CD113A">
        <w:t>“</w:t>
      </w:r>
      <w:r w:rsidR="00E424F7" w:rsidRPr="00E424F7">
        <w:t>Tranche B</w:t>
      </w:r>
      <w:r w:rsidR="00CD113A">
        <w:t>”</w:t>
      </w:r>
      <w:r w:rsidR="00E424F7" w:rsidRPr="00E424F7">
        <w:t xml:space="preserve"> payment, which comprises:</w:t>
      </w:r>
    </w:p>
    <w:p w14:paraId="4D0FD427" w14:textId="0A58462A" w:rsidR="00E424F7" w:rsidRPr="00E424F7" w:rsidRDefault="00B6500C" w:rsidP="00B6500C">
      <w:pPr>
        <w:pStyle w:val="ListNo2alt"/>
        <w:numPr>
          <w:ilvl w:val="0"/>
          <w:numId w:val="0"/>
        </w:numPr>
        <w:tabs>
          <w:tab w:val="left" w:pos="1440"/>
        </w:tabs>
        <w:ind w:left="1440" w:hanging="720"/>
      </w:pPr>
      <w:r w:rsidRPr="00E424F7">
        <w:t>(</w:t>
      </w:r>
      <w:proofErr w:type="spellStart"/>
      <w:r w:rsidRPr="00E424F7">
        <w:t>i</w:t>
      </w:r>
      <w:proofErr w:type="spellEnd"/>
      <w:r w:rsidRPr="00E424F7">
        <w:t>)</w:t>
      </w:r>
      <w:r w:rsidRPr="00E424F7">
        <w:tab/>
      </w:r>
      <w:r w:rsidR="00E424F7" w:rsidRPr="00E424F7">
        <w:t>a $4</w:t>
      </w:r>
      <w:r w:rsidR="004C5520">
        <w:t xml:space="preserve"> </w:t>
      </w:r>
      <w:r w:rsidR="00E424F7" w:rsidRPr="00E424F7">
        <w:t>m</w:t>
      </w:r>
      <w:r w:rsidR="004C5520">
        <w:t>illion</w:t>
      </w:r>
      <w:r w:rsidR="00E424F7" w:rsidRPr="00E424F7">
        <w:t xml:space="preserve"> payment by E</w:t>
      </w:r>
      <w:r w:rsidR="006C0D6F">
        <w:t>&amp;P</w:t>
      </w:r>
      <w:r w:rsidR="00E424F7" w:rsidRPr="00E424F7">
        <w:t xml:space="preserve"> and E&amp;P Operations Pty Ltd (</w:t>
      </w:r>
      <w:r w:rsidR="00E424F7" w:rsidRPr="00F16017">
        <w:rPr>
          <w:b/>
          <w:bCs/>
        </w:rPr>
        <w:t>E&amp;PO</w:t>
      </w:r>
      <w:r w:rsidR="00E424F7" w:rsidRPr="00E424F7">
        <w:t>), $1</w:t>
      </w:r>
      <w:r w:rsidR="004C5520">
        <w:t xml:space="preserve"> </w:t>
      </w:r>
      <w:r w:rsidR="00E424F7" w:rsidRPr="00E424F7">
        <w:t>m</w:t>
      </w:r>
      <w:r w:rsidR="004C5520">
        <w:t>illion</w:t>
      </w:r>
      <w:r w:rsidR="00E424F7" w:rsidRPr="00E424F7">
        <w:t xml:space="preserve"> of which has already been paid and $3</w:t>
      </w:r>
      <w:r w:rsidR="004C5520">
        <w:t xml:space="preserve"> </w:t>
      </w:r>
      <w:r w:rsidR="00E424F7" w:rsidRPr="00E424F7">
        <w:t>m</w:t>
      </w:r>
      <w:r w:rsidR="004C5520">
        <w:t>illion</w:t>
      </w:r>
      <w:r w:rsidR="00E424F7" w:rsidRPr="00E424F7">
        <w:t xml:space="preserve"> of which will be paid within 5 days of the </w:t>
      </w:r>
      <w:r w:rsidR="00CD113A">
        <w:t>“</w:t>
      </w:r>
      <w:r w:rsidR="00E424F7" w:rsidRPr="00E424F7">
        <w:t>Settlement of the Representative Proceedings</w:t>
      </w:r>
      <w:r w:rsidR="00CD113A">
        <w:t>”</w:t>
      </w:r>
      <w:r w:rsidR="00E424F7" w:rsidRPr="00E424F7">
        <w:t xml:space="preserve"> under the DOCA (</w:t>
      </w:r>
      <w:r w:rsidR="00E424F7" w:rsidRPr="006C0D6F">
        <w:rPr>
          <w:b/>
          <w:bCs/>
        </w:rPr>
        <w:t>Settlement Payment</w:t>
      </w:r>
      <w:r w:rsidR="00E424F7" w:rsidRPr="00E424F7">
        <w:t>); and</w:t>
      </w:r>
    </w:p>
    <w:p w14:paraId="734ABE65" w14:textId="4ED2DC3F" w:rsidR="00E424F7" w:rsidRPr="00E424F7" w:rsidRDefault="00B6500C" w:rsidP="00B6500C">
      <w:pPr>
        <w:pStyle w:val="ListNo2alt"/>
        <w:numPr>
          <w:ilvl w:val="0"/>
          <w:numId w:val="0"/>
        </w:numPr>
        <w:tabs>
          <w:tab w:val="left" w:pos="1440"/>
        </w:tabs>
        <w:ind w:left="1440" w:hanging="720"/>
      </w:pPr>
      <w:r w:rsidRPr="00E424F7">
        <w:t>(ii)</w:t>
      </w:r>
      <w:r w:rsidRPr="00E424F7">
        <w:tab/>
      </w:r>
      <w:r w:rsidR="00E424F7" w:rsidRPr="00E424F7">
        <w:t>proceeds of an insurance policy held by E</w:t>
      </w:r>
      <w:r w:rsidR="006C0D6F">
        <w:t>&amp;</w:t>
      </w:r>
      <w:r w:rsidR="00E424F7" w:rsidRPr="00E424F7">
        <w:t xml:space="preserve">P (and on behalf of </w:t>
      </w:r>
      <w:r w:rsidR="006C0D6F">
        <w:t>DASS</w:t>
      </w:r>
      <w:r w:rsidR="00E424F7" w:rsidRPr="00E424F7">
        <w:t>), which are expected to be approximately $12</w:t>
      </w:r>
      <w:r w:rsidR="004C5520">
        <w:t xml:space="preserve"> </w:t>
      </w:r>
      <w:r w:rsidR="00E424F7" w:rsidRPr="00E424F7">
        <w:t>m</w:t>
      </w:r>
      <w:r w:rsidR="004C5520">
        <w:t>illion</w:t>
      </w:r>
      <w:r w:rsidR="00E424F7" w:rsidRPr="00E424F7">
        <w:t xml:space="preserve">, less the costs of the Watson </w:t>
      </w:r>
      <w:r w:rsidR="004C5520">
        <w:t>Proceeding</w:t>
      </w:r>
      <w:r w:rsidR="00E424F7" w:rsidRPr="00E424F7">
        <w:t>.</w:t>
      </w:r>
    </w:p>
    <w:p w14:paraId="5963DBF7" w14:textId="736D9AA7" w:rsidR="00FB1BC5" w:rsidRDefault="00B6500C" w:rsidP="00B6500C">
      <w:pPr>
        <w:pStyle w:val="ParaNumbering"/>
        <w:numPr>
          <w:ilvl w:val="0"/>
          <w:numId w:val="0"/>
        </w:numPr>
        <w:ind w:hanging="720"/>
      </w:pPr>
      <w:r>
        <w:rPr>
          <w:iCs/>
          <w:sz w:val="20"/>
        </w:rPr>
        <w:t>121</w:t>
      </w:r>
      <w:r>
        <w:rPr>
          <w:iCs/>
          <w:sz w:val="20"/>
        </w:rPr>
        <w:tab/>
      </w:r>
      <w:r w:rsidR="00E424F7" w:rsidRPr="00E424F7">
        <w:t xml:space="preserve">If the proposed settlement is </w:t>
      </w:r>
      <w:r w:rsidR="00FB1BC5">
        <w:t>approved, which it is</w:t>
      </w:r>
      <w:r w:rsidR="00E424F7" w:rsidRPr="00E424F7">
        <w:t>, the second part of the Tranche B Payment (being the $3</w:t>
      </w:r>
      <w:r w:rsidR="004C5520">
        <w:t xml:space="preserve"> </w:t>
      </w:r>
      <w:r w:rsidR="00E424F7" w:rsidRPr="00E424F7">
        <w:t>m</w:t>
      </w:r>
      <w:r w:rsidR="004C5520">
        <w:t>illion</w:t>
      </w:r>
      <w:r w:rsidR="00E424F7" w:rsidRPr="00E424F7">
        <w:t xml:space="preserve"> remaining to be paid by E</w:t>
      </w:r>
      <w:r w:rsidR="00FB1BC5">
        <w:t>&amp;</w:t>
      </w:r>
      <w:r w:rsidR="00E424F7" w:rsidRPr="00E424F7">
        <w:t xml:space="preserve">P and E&amp;PO plus the </w:t>
      </w:r>
      <w:r w:rsidR="00CD113A">
        <w:t>“</w:t>
      </w:r>
      <w:r w:rsidR="00E424F7" w:rsidRPr="00E424F7">
        <w:t>Insurance Proceeds</w:t>
      </w:r>
      <w:r w:rsidR="00CD113A">
        <w:t>”</w:t>
      </w:r>
      <w:r w:rsidR="00E424F7" w:rsidRPr="00E424F7">
        <w:t xml:space="preserve"> as defined by clause 1.2 of the Deed of Settlement</w:t>
      </w:r>
      <w:r w:rsidR="008E494A">
        <w:t>)</w:t>
      </w:r>
      <w:r w:rsidR="00FB1BC5">
        <w:t xml:space="preserve"> can </w:t>
      </w:r>
      <w:r w:rsidR="00E424F7" w:rsidRPr="00E424F7">
        <w:t xml:space="preserve">be paid into the deed fund. </w:t>
      </w:r>
    </w:p>
    <w:p w14:paraId="53B00837" w14:textId="5604062C" w:rsidR="00E424F7" w:rsidRDefault="00B6500C" w:rsidP="00B6500C">
      <w:pPr>
        <w:pStyle w:val="ParaNumbering"/>
        <w:numPr>
          <w:ilvl w:val="0"/>
          <w:numId w:val="0"/>
        </w:numPr>
        <w:ind w:hanging="720"/>
      </w:pPr>
      <w:r>
        <w:rPr>
          <w:iCs/>
          <w:sz w:val="20"/>
        </w:rPr>
        <w:t>122</w:t>
      </w:r>
      <w:r>
        <w:rPr>
          <w:iCs/>
          <w:sz w:val="20"/>
        </w:rPr>
        <w:tab/>
      </w:r>
      <w:r w:rsidR="00DA6DF3">
        <w:t>The</w:t>
      </w:r>
      <w:r w:rsidR="00E424F7" w:rsidRPr="00E424F7">
        <w:t xml:space="preserve"> funds will </w:t>
      </w:r>
      <w:r w:rsidR="00DA6DF3">
        <w:t xml:space="preserve">then </w:t>
      </w:r>
      <w:r w:rsidR="00E424F7" w:rsidRPr="00E424F7">
        <w:t xml:space="preserve">be available to be distributed to the creditors of </w:t>
      </w:r>
      <w:r w:rsidR="00DA6DF3">
        <w:t>DASS</w:t>
      </w:r>
      <w:r w:rsidR="00E424F7" w:rsidRPr="00E424F7">
        <w:t>.</w:t>
      </w:r>
    </w:p>
    <w:p w14:paraId="0779D970" w14:textId="541573B0" w:rsidR="00A73F62" w:rsidRDefault="00B6500C" w:rsidP="00B6500C">
      <w:pPr>
        <w:pStyle w:val="ParaNumbering"/>
        <w:numPr>
          <w:ilvl w:val="0"/>
          <w:numId w:val="0"/>
        </w:numPr>
        <w:ind w:hanging="720"/>
      </w:pPr>
      <w:r>
        <w:rPr>
          <w:iCs/>
          <w:sz w:val="20"/>
        </w:rPr>
        <w:t>123</w:t>
      </w:r>
      <w:r>
        <w:rPr>
          <w:iCs/>
          <w:sz w:val="20"/>
        </w:rPr>
        <w:tab/>
      </w:r>
      <w:r w:rsidR="009A556F">
        <w:t xml:space="preserve">The affidavits </w:t>
      </w:r>
      <w:r w:rsidR="002440BC">
        <w:t xml:space="preserve">filed on behalf of the Deed Administrators reveal the following, in summary. </w:t>
      </w:r>
      <w:r w:rsidR="000A5BA2">
        <w:t>The</w:t>
      </w:r>
      <w:r w:rsidR="000A5BA2" w:rsidRPr="000A5BA2">
        <w:t xml:space="preserve"> Deed Administrators have conducted extensive investigations </w:t>
      </w:r>
      <w:r w:rsidR="000A5BA2">
        <w:t>in an attempt</w:t>
      </w:r>
      <w:r w:rsidR="000A5BA2" w:rsidRPr="000A5BA2">
        <w:t xml:space="preserve"> to determine the extent of each </w:t>
      </w:r>
      <w:r w:rsidR="000A5BA2">
        <w:t>f</w:t>
      </w:r>
      <w:r w:rsidR="000A5BA2" w:rsidRPr="000A5BA2">
        <w:t xml:space="preserve">ormer </w:t>
      </w:r>
      <w:r w:rsidR="002440BC">
        <w:t>c</w:t>
      </w:r>
      <w:r w:rsidR="000A5BA2" w:rsidRPr="000A5BA2">
        <w:t>lient</w:t>
      </w:r>
      <w:r w:rsidR="00CD113A">
        <w:t>’</w:t>
      </w:r>
      <w:r w:rsidR="000A5BA2" w:rsidRPr="000A5BA2">
        <w:t>s investment in the URF products. Their investigations have revealed that</w:t>
      </w:r>
      <w:r w:rsidR="009A556F">
        <w:t xml:space="preserve"> </w:t>
      </w:r>
      <w:r w:rsidR="000A5BA2" w:rsidRPr="000A5BA2">
        <w:t xml:space="preserve">there could be up to 8,000 </w:t>
      </w:r>
      <w:r w:rsidR="000A5BA2">
        <w:t>f</w:t>
      </w:r>
      <w:r w:rsidR="000A5BA2" w:rsidRPr="000A5BA2">
        <w:t xml:space="preserve">ormer </w:t>
      </w:r>
      <w:r w:rsidR="000A5BA2">
        <w:t>c</w:t>
      </w:r>
      <w:r w:rsidR="000A5BA2" w:rsidRPr="000A5BA2">
        <w:t>lients who may assert a claim as a result of losses suffered due to financial advice to invest in related party investment products, including the URF</w:t>
      </w:r>
      <w:r w:rsidR="009A556F">
        <w:t xml:space="preserve">. The total </w:t>
      </w:r>
      <w:r w:rsidR="000A5BA2" w:rsidRPr="000A5BA2">
        <w:t>losses may rise to approximately $350 million</w:t>
      </w:r>
      <w:r w:rsidR="009A556F">
        <w:t>. G</w:t>
      </w:r>
      <w:r w:rsidR="000A5BA2" w:rsidRPr="000A5BA2">
        <w:t xml:space="preserve">iven the limited pool of assets from which to pay a dividend to creditors under the DOCA, it is not commercially viable to assess each </w:t>
      </w:r>
      <w:r w:rsidR="00774F76">
        <w:t>f</w:t>
      </w:r>
      <w:r w:rsidR="000A5BA2" w:rsidRPr="000A5BA2">
        <w:t xml:space="preserve">ormer </w:t>
      </w:r>
      <w:r w:rsidR="00774F76">
        <w:t>c</w:t>
      </w:r>
      <w:r w:rsidR="000A5BA2" w:rsidRPr="000A5BA2">
        <w:t>lient</w:t>
      </w:r>
      <w:r w:rsidR="00CD113A">
        <w:t>’</w:t>
      </w:r>
      <w:r w:rsidR="000A5BA2" w:rsidRPr="000A5BA2">
        <w:t>s claim on a case</w:t>
      </w:r>
      <w:r w:rsidR="00D91CF7">
        <w:t>-</w:t>
      </w:r>
      <w:r w:rsidR="000A5BA2" w:rsidRPr="000A5BA2">
        <w:t>by</w:t>
      </w:r>
      <w:r w:rsidR="00D91CF7">
        <w:t>-</w:t>
      </w:r>
      <w:r w:rsidR="000A5BA2" w:rsidRPr="000A5BA2">
        <w:t>case basis</w:t>
      </w:r>
      <w:r w:rsidR="009A556F">
        <w:t>. R</w:t>
      </w:r>
      <w:r w:rsidR="009A556F" w:rsidRPr="009A556F">
        <w:t xml:space="preserve">ather, it </w:t>
      </w:r>
      <w:r w:rsidR="00A73F62">
        <w:t xml:space="preserve">is </w:t>
      </w:r>
      <w:r w:rsidR="009A556F" w:rsidRPr="009A556F">
        <w:t xml:space="preserve">necessary to formulate a loss methodology that </w:t>
      </w:r>
      <w:r w:rsidR="00A73F62">
        <w:t>can</w:t>
      </w:r>
      <w:r w:rsidR="009A556F" w:rsidRPr="009A556F">
        <w:t xml:space="preserve"> be used to assess the quantum of each </w:t>
      </w:r>
      <w:r w:rsidR="00A73F62">
        <w:t>f</w:t>
      </w:r>
      <w:r w:rsidR="009A556F" w:rsidRPr="009A556F">
        <w:t xml:space="preserve">ormer </w:t>
      </w:r>
      <w:r w:rsidR="00A73F62">
        <w:t>c</w:t>
      </w:r>
      <w:r w:rsidR="009A556F" w:rsidRPr="009A556F">
        <w:t>lient</w:t>
      </w:r>
      <w:r w:rsidR="00CD113A">
        <w:t>’</w:t>
      </w:r>
      <w:r w:rsidR="009A556F" w:rsidRPr="009A556F">
        <w:t>s claim without having to conduct a case- by-case assessment.</w:t>
      </w:r>
    </w:p>
    <w:p w14:paraId="3634D201" w14:textId="716BEAA3" w:rsidR="009A556F" w:rsidRPr="009A556F" w:rsidRDefault="00B6500C" w:rsidP="00B6500C">
      <w:pPr>
        <w:pStyle w:val="ParaNumbering"/>
        <w:numPr>
          <w:ilvl w:val="0"/>
          <w:numId w:val="0"/>
        </w:numPr>
        <w:ind w:hanging="720"/>
      </w:pPr>
      <w:r w:rsidRPr="009A556F">
        <w:rPr>
          <w:iCs/>
          <w:sz w:val="20"/>
        </w:rPr>
        <w:t>124</w:t>
      </w:r>
      <w:r w:rsidRPr="009A556F">
        <w:rPr>
          <w:iCs/>
          <w:sz w:val="20"/>
        </w:rPr>
        <w:tab/>
      </w:r>
      <w:r w:rsidR="009A556F" w:rsidRPr="009A556F">
        <w:t xml:space="preserve">The voluntary administrators engaged </w:t>
      </w:r>
      <w:r w:rsidR="00A73F62">
        <w:t xml:space="preserve">Mr </w:t>
      </w:r>
      <w:r w:rsidR="009A556F" w:rsidRPr="009A556F">
        <w:t xml:space="preserve">Campbell Jaski, a partner in the PwC </w:t>
      </w:r>
      <w:r w:rsidR="00CD113A">
        <w:t>“</w:t>
      </w:r>
      <w:r w:rsidR="009A556F" w:rsidRPr="009A556F">
        <w:t>Corporate Value Advisory</w:t>
      </w:r>
      <w:r w:rsidR="00CD113A">
        <w:t>”</w:t>
      </w:r>
      <w:r w:rsidR="009A556F" w:rsidRPr="009A556F">
        <w:t xml:space="preserve"> practice, to prepare an appropriate loss methodology.</w:t>
      </w:r>
      <w:r w:rsidR="00A73F62">
        <w:t xml:space="preserve"> </w:t>
      </w:r>
      <w:r w:rsidR="009A556F" w:rsidRPr="009A556F">
        <w:t xml:space="preserve">Mr Jaski </w:t>
      </w:r>
      <w:r w:rsidR="00A73F62">
        <w:t xml:space="preserve">took the view </w:t>
      </w:r>
      <w:r w:rsidR="009A556F" w:rsidRPr="009A556F">
        <w:t xml:space="preserve">that there </w:t>
      </w:r>
      <w:r w:rsidR="00A73F62">
        <w:t>were</w:t>
      </w:r>
      <w:r w:rsidR="009A556F" w:rsidRPr="009A556F">
        <w:t xml:space="preserve"> two available alternative loss methodologies, being:</w:t>
      </w:r>
    </w:p>
    <w:p w14:paraId="1A16D5A4" w14:textId="42DB4827" w:rsidR="009A556F" w:rsidRPr="009A556F" w:rsidRDefault="00B6500C" w:rsidP="00B6500C">
      <w:pPr>
        <w:pStyle w:val="ListNo1"/>
        <w:numPr>
          <w:ilvl w:val="0"/>
          <w:numId w:val="0"/>
        </w:numPr>
        <w:tabs>
          <w:tab w:val="left" w:pos="720"/>
        </w:tabs>
        <w:ind w:left="720" w:hanging="720"/>
      </w:pPr>
      <w:r w:rsidRPr="009A556F">
        <w:t>(1)</w:t>
      </w:r>
      <w:r w:rsidRPr="009A556F">
        <w:tab/>
      </w:r>
      <w:r w:rsidR="009A556F" w:rsidRPr="009A556F">
        <w:t xml:space="preserve">the loss of the capital sum actually invested by the </w:t>
      </w:r>
      <w:r w:rsidR="00A73F62">
        <w:t>f</w:t>
      </w:r>
      <w:r w:rsidR="009A556F" w:rsidRPr="009A556F">
        <w:t xml:space="preserve">ormer </w:t>
      </w:r>
      <w:r w:rsidR="00A73F62">
        <w:t>c</w:t>
      </w:r>
      <w:r w:rsidR="009A556F" w:rsidRPr="009A556F">
        <w:t>lients (</w:t>
      </w:r>
      <w:r w:rsidR="009A556F" w:rsidRPr="00A73F62">
        <w:rPr>
          <w:b/>
          <w:bCs/>
        </w:rPr>
        <w:t>Actual Loss Approach</w:t>
      </w:r>
      <w:r w:rsidR="009A556F" w:rsidRPr="009A556F">
        <w:t>); and</w:t>
      </w:r>
    </w:p>
    <w:p w14:paraId="790EBE28" w14:textId="2955278E" w:rsidR="009A556F" w:rsidRPr="009A556F" w:rsidRDefault="00B6500C" w:rsidP="00B6500C">
      <w:pPr>
        <w:pStyle w:val="ListNo1"/>
        <w:numPr>
          <w:ilvl w:val="0"/>
          <w:numId w:val="0"/>
        </w:numPr>
        <w:tabs>
          <w:tab w:val="left" w:pos="720"/>
        </w:tabs>
        <w:ind w:left="720" w:hanging="720"/>
      </w:pPr>
      <w:r w:rsidRPr="009A556F">
        <w:lastRenderedPageBreak/>
        <w:t>(2)</w:t>
      </w:r>
      <w:r w:rsidRPr="009A556F">
        <w:tab/>
      </w:r>
      <w:r w:rsidR="009A556F" w:rsidRPr="009A556F">
        <w:t>the loss of profit that could have been earned on that invested capital (</w:t>
      </w:r>
      <w:r w:rsidR="009A556F" w:rsidRPr="00A73F62">
        <w:rPr>
          <w:b/>
          <w:bCs/>
        </w:rPr>
        <w:t>Loss of Opportunity Approach</w:t>
      </w:r>
      <w:r w:rsidR="009A556F" w:rsidRPr="009A556F">
        <w:t>).</w:t>
      </w:r>
    </w:p>
    <w:p w14:paraId="5156B445" w14:textId="5DA54BAE" w:rsidR="00BC2735" w:rsidRDefault="00B6500C" w:rsidP="00B6500C">
      <w:pPr>
        <w:pStyle w:val="ParaNumbering"/>
        <w:numPr>
          <w:ilvl w:val="0"/>
          <w:numId w:val="0"/>
        </w:numPr>
        <w:ind w:hanging="720"/>
      </w:pPr>
      <w:r>
        <w:rPr>
          <w:iCs/>
          <w:sz w:val="20"/>
        </w:rPr>
        <w:t>125</w:t>
      </w:r>
      <w:r>
        <w:rPr>
          <w:iCs/>
          <w:sz w:val="20"/>
        </w:rPr>
        <w:tab/>
      </w:r>
      <w:r w:rsidR="00A73F62">
        <w:t>Mr Jaski</w:t>
      </w:r>
      <w:r w:rsidR="009A556F" w:rsidRPr="009A556F">
        <w:t xml:space="preserve"> concluded that the appropriate methodology is the Actual Loss Approach.</w:t>
      </w:r>
      <w:r w:rsidR="00A73F62">
        <w:t xml:space="preserve"> </w:t>
      </w:r>
      <w:r w:rsidR="009A556F" w:rsidRPr="009A556F">
        <w:t>The Deed Administrators agree</w:t>
      </w:r>
      <w:r w:rsidR="00A73F62">
        <w:t xml:space="preserve"> with this position</w:t>
      </w:r>
      <w:r w:rsidR="009A556F" w:rsidRPr="009A556F">
        <w:t xml:space="preserve">. </w:t>
      </w:r>
    </w:p>
    <w:p w14:paraId="45A1EC9B" w14:textId="5429AB81" w:rsidR="009A556F" w:rsidRPr="009A556F" w:rsidRDefault="00B6500C" w:rsidP="00B6500C">
      <w:pPr>
        <w:pStyle w:val="ParaNumbering"/>
        <w:numPr>
          <w:ilvl w:val="0"/>
          <w:numId w:val="0"/>
        </w:numPr>
        <w:ind w:hanging="720"/>
      </w:pPr>
      <w:r w:rsidRPr="009A556F">
        <w:rPr>
          <w:iCs/>
          <w:sz w:val="20"/>
        </w:rPr>
        <w:t>126</w:t>
      </w:r>
      <w:r w:rsidRPr="009A556F">
        <w:rPr>
          <w:iCs/>
          <w:sz w:val="20"/>
        </w:rPr>
        <w:tab/>
      </w:r>
      <w:r w:rsidR="009A556F" w:rsidRPr="009A556F">
        <w:t xml:space="preserve">The Actual Loss Approach simply requires the determination of the actual return received from investing in the URF by each </w:t>
      </w:r>
      <w:r w:rsidR="00A73F62">
        <w:t>f</w:t>
      </w:r>
      <w:r w:rsidR="009A556F" w:rsidRPr="009A556F">
        <w:t xml:space="preserve">ormer </w:t>
      </w:r>
      <w:r w:rsidR="00A73F62">
        <w:t>c</w:t>
      </w:r>
      <w:r w:rsidR="009A556F" w:rsidRPr="009A556F">
        <w:t xml:space="preserve">lient. The Loss of Opportunity Approach would require investigation into the </w:t>
      </w:r>
      <w:r w:rsidR="00A73F62">
        <w:t>f</w:t>
      </w:r>
      <w:r w:rsidR="009A556F" w:rsidRPr="009A556F">
        <w:t xml:space="preserve">ormer </w:t>
      </w:r>
      <w:r w:rsidR="00A73F62">
        <w:t>c</w:t>
      </w:r>
      <w:r w:rsidR="009A556F" w:rsidRPr="009A556F">
        <w:t>lients</w:t>
      </w:r>
      <w:r w:rsidR="00CD113A">
        <w:t>’</w:t>
      </w:r>
      <w:r w:rsidR="009A556F" w:rsidRPr="009A556F">
        <w:t xml:space="preserve"> investment history and investment goals, the advice they received and the alternative possible investments (along with the probability that they would have invested in them). It would be an expensive, protracted</w:t>
      </w:r>
      <w:r w:rsidR="00E60F79">
        <w:t>,</w:t>
      </w:r>
      <w:r w:rsidR="009A556F" w:rsidRPr="009A556F">
        <w:t xml:space="preserve"> and impractical process</w:t>
      </w:r>
      <w:r w:rsidR="00A73F62">
        <w:t xml:space="preserve">, assuming it were </w:t>
      </w:r>
      <w:r w:rsidR="009A556F" w:rsidRPr="009A556F">
        <w:t xml:space="preserve">possible. The deed fund will only compensate the </w:t>
      </w:r>
      <w:r w:rsidR="00A73F62">
        <w:t>f</w:t>
      </w:r>
      <w:r w:rsidR="009A556F" w:rsidRPr="009A556F">
        <w:t xml:space="preserve">ormer </w:t>
      </w:r>
      <w:r w:rsidR="00A73F62">
        <w:t>c</w:t>
      </w:r>
      <w:r w:rsidR="009A556F" w:rsidRPr="009A556F">
        <w:t>lients for a fraction of their losses even when the Actual Loss Approach is taken</w:t>
      </w:r>
      <w:r w:rsidR="000F4C35">
        <w:t xml:space="preserve">, with </w:t>
      </w:r>
      <w:r w:rsidR="009A556F" w:rsidRPr="009A556F">
        <w:t>a return of 5.54 to 5.92 cents in the dollar</w:t>
      </w:r>
      <w:r w:rsidR="000F4C35">
        <w:t xml:space="preserve"> being estimated</w:t>
      </w:r>
      <w:r w:rsidR="009A556F" w:rsidRPr="009A556F">
        <w:t>. The Loss of Opportunity Approach would reduce that compensation further and the costs and fees incurred in doing so would likely exceed the total value of the deed fund.</w:t>
      </w:r>
    </w:p>
    <w:p w14:paraId="647E5AA3" w14:textId="316D963F" w:rsidR="00B73220" w:rsidRDefault="00B6500C" w:rsidP="00B6500C">
      <w:pPr>
        <w:pStyle w:val="ParaNumbering"/>
        <w:numPr>
          <w:ilvl w:val="0"/>
          <w:numId w:val="0"/>
        </w:numPr>
        <w:ind w:hanging="720"/>
      </w:pPr>
      <w:r>
        <w:rPr>
          <w:iCs/>
          <w:sz w:val="20"/>
        </w:rPr>
        <w:t>127</w:t>
      </w:r>
      <w:r>
        <w:rPr>
          <w:iCs/>
          <w:sz w:val="20"/>
        </w:rPr>
        <w:tab/>
      </w:r>
      <w:r w:rsidR="009A556F" w:rsidRPr="009A556F">
        <w:t xml:space="preserve">In those circumstances, the Deed Administrators consider that the most practical course is to implement their proposed adjudication and distribution process, which would see them adopt the Methodology, facilitate a proof of claim process by pre-populating claim forms on behalf of </w:t>
      </w:r>
      <w:r w:rsidR="00353355">
        <w:t>f</w:t>
      </w:r>
      <w:r w:rsidR="009A556F" w:rsidRPr="009A556F">
        <w:t xml:space="preserve">ormer </w:t>
      </w:r>
      <w:r w:rsidR="00353355">
        <w:t>c</w:t>
      </w:r>
      <w:r w:rsidR="009A556F" w:rsidRPr="009A556F">
        <w:t xml:space="preserve">lients (based on the records they have been able to obtain from E&amp;PO) and pay those claims as assessed on a rateable basis. </w:t>
      </w:r>
    </w:p>
    <w:p w14:paraId="1F3EBF90" w14:textId="2398A138" w:rsidR="009A556F" w:rsidRPr="009A556F" w:rsidRDefault="00B6500C" w:rsidP="00B6500C">
      <w:pPr>
        <w:pStyle w:val="ParaNumbering"/>
        <w:numPr>
          <w:ilvl w:val="0"/>
          <w:numId w:val="0"/>
        </w:numPr>
        <w:ind w:hanging="720"/>
      </w:pPr>
      <w:r w:rsidRPr="009A556F">
        <w:rPr>
          <w:iCs/>
          <w:sz w:val="20"/>
        </w:rPr>
        <w:t>128</w:t>
      </w:r>
      <w:r w:rsidRPr="009A556F">
        <w:rPr>
          <w:iCs/>
          <w:sz w:val="20"/>
        </w:rPr>
        <w:tab/>
      </w:r>
      <w:r w:rsidR="00B73220">
        <w:t>T</w:t>
      </w:r>
      <w:r w:rsidR="009A556F" w:rsidRPr="009A556F">
        <w:t>he Deed Administrators seek orders endorsing:</w:t>
      </w:r>
    </w:p>
    <w:p w14:paraId="6BFF3B91" w14:textId="493C265D" w:rsidR="009A556F" w:rsidRPr="00F87846" w:rsidRDefault="00B6500C" w:rsidP="00B6500C">
      <w:pPr>
        <w:pStyle w:val="ListNo1alt"/>
        <w:numPr>
          <w:ilvl w:val="0"/>
          <w:numId w:val="0"/>
        </w:numPr>
        <w:tabs>
          <w:tab w:val="left" w:pos="720"/>
        </w:tabs>
        <w:ind w:left="720" w:hanging="720"/>
      </w:pPr>
      <w:r w:rsidRPr="00F87846">
        <w:t>(a)</w:t>
      </w:r>
      <w:r w:rsidRPr="00F87846">
        <w:tab/>
      </w:r>
      <w:r w:rsidR="009A556F" w:rsidRPr="00F87846">
        <w:t>their proposed process for administering and distributing the deed fund, including:</w:t>
      </w:r>
    </w:p>
    <w:p w14:paraId="16493F3F" w14:textId="49EDF77C" w:rsidR="00F87846" w:rsidRPr="00F87846" w:rsidRDefault="00B6500C" w:rsidP="00B6500C">
      <w:pPr>
        <w:pStyle w:val="ListNo2alt"/>
        <w:numPr>
          <w:ilvl w:val="0"/>
          <w:numId w:val="0"/>
        </w:numPr>
        <w:tabs>
          <w:tab w:val="left" w:pos="1440"/>
        </w:tabs>
        <w:ind w:left="1440" w:hanging="720"/>
      </w:pPr>
      <w:r w:rsidRPr="00F87846">
        <w:t>(</w:t>
      </w:r>
      <w:proofErr w:type="spellStart"/>
      <w:r w:rsidRPr="00F87846">
        <w:t>i</w:t>
      </w:r>
      <w:proofErr w:type="spellEnd"/>
      <w:r w:rsidRPr="00F87846">
        <w:t>)</w:t>
      </w:r>
      <w:r w:rsidRPr="00F87846">
        <w:tab/>
      </w:r>
      <w:r w:rsidR="00F87846" w:rsidRPr="00F87846">
        <w:t xml:space="preserve">their use of the </w:t>
      </w:r>
      <w:r w:rsidR="00CD113A">
        <w:t>“</w:t>
      </w:r>
      <w:r w:rsidR="00F87846" w:rsidRPr="00F87846">
        <w:t>Creditor Portal</w:t>
      </w:r>
      <w:r w:rsidR="00CD113A">
        <w:t>”</w:t>
      </w:r>
      <w:r w:rsidR="00F87846" w:rsidRPr="00F87846">
        <w:t xml:space="preserve"> to communicate with creditors of </w:t>
      </w:r>
      <w:r w:rsidR="00F87846">
        <w:t>DASS</w:t>
      </w:r>
      <w:r w:rsidR="00F87846" w:rsidRPr="00F87846">
        <w:t>;</w:t>
      </w:r>
    </w:p>
    <w:p w14:paraId="519154CA" w14:textId="453629CA" w:rsidR="00F87846" w:rsidRPr="00F87846" w:rsidRDefault="00B6500C" w:rsidP="00B6500C">
      <w:pPr>
        <w:pStyle w:val="ListNo2alt"/>
        <w:numPr>
          <w:ilvl w:val="0"/>
          <w:numId w:val="0"/>
        </w:numPr>
        <w:tabs>
          <w:tab w:val="left" w:pos="1440"/>
        </w:tabs>
        <w:ind w:left="1440" w:hanging="720"/>
      </w:pPr>
      <w:r w:rsidRPr="00F87846">
        <w:t>(ii)</w:t>
      </w:r>
      <w:r w:rsidRPr="00F87846">
        <w:tab/>
      </w:r>
      <w:r w:rsidR="00F87846" w:rsidRPr="00F87846">
        <w:t>the classes of documents to which they may have regard when considering whether a former client creditor has proven their claim;</w:t>
      </w:r>
    </w:p>
    <w:p w14:paraId="4F6EAFE2" w14:textId="3022E19E" w:rsidR="00F87846" w:rsidRPr="00F87846" w:rsidRDefault="00B6500C" w:rsidP="00B6500C">
      <w:pPr>
        <w:pStyle w:val="ListNo1alt"/>
        <w:numPr>
          <w:ilvl w:val="0"/>
          <w:numId w:val="0"/>
        </w:numPr>
        <w:tabs>
          <w:tab w:val="left" w:pos="720"/>
        </w:tabs>
        <w:ind w:left="720" w:hanging="720"/>
      </w:pPr>
      <w:r w:rsidRPr="00F87846">
        <w:t>(b)</w:t>
      </w:r>
      <w:r w:rsidRPr="00F87846">
        <w:tab/>
      </w:r>
      <w:r w:rsidR="00F87846" w:rsidRPr="00F87846">
        <w:t xml:space="preserve">their adjudication of the losses claimed by the </w:t>
      </w:r>
      <w:r w:rsidR="008C712D">
        <w:t>f</w:t>
      </w:r>
      <w:r w:rsidR="00F87846" w:rsidRPr="00F87846">
        <w:t xml:space="preserve">ormer </w:t>
      </w:r>
      <w:r w:rsidR="008C712D">
        <w:t>c</w:t>
      </w:r>
      <w:r w:rsidR="00F87846" w:rsidRPr="00F87846">
        <w:t>lients on the basis of the Actual Loss Approach, rather than the Loss of Opportunity Approach; and</w:t>
      </w:r>
    </w:p>
    <w:p w14:paraId="645E5D85" w14:textId="09B998AD" w:rsidR="00F87846" w:rsidRPr="00F87846" w:rsidRDefault="00B6500C" w:rsidP="00B6500C">
      <w:pPr>
        <w:pStyle w:val="ListNo1alt"/>
        <w:numPr>
          <w:ilvl w:val="0"/>
          <w:numId w:val="0"/>
        </w:numPr>
        <w:tabs>
          <w:tab w:val="left" w:pos="720"/>
        </w:tabs>
        <w:ind w:left="720" w:hanging="720"/>
      </w:pPr>
      <w:r w:rsidRPr="00F87846">
        <w:t>(c)</w:t>
      </w:r>
      <w:r w:rsidRPr="00F87846">
        <w:tab/>
      </w:r>
      <w:r w:rsidR="00F87846" w:rsidRPr="00F87846">
        <w:t xml:space="preserve">their application of a materiality threshold, which would allow them </w:t>
      </w:r>
      <w:r w:rsidR="008C712D" w:rsidRPr="00F87846">
        <w:t xml:space="preserve">automatically </w:t>
      </w:r>
      <w:r w:rsidR="00F87846" w:rsidRPr="00F87846">
        <w:t>to admit claims within a certain tolerance of specified benchmarks without further investigation where such further investigation would be uneconomic, so as to protect the deed fund from undue wastage.</w:t>
      </w:r>
    </w:p>
    <w:p w14:paraId="0535535B" w14:textId="5571CC5B" w:rsidR="00FB6FC6" w:rsidRPr="00FB6FC6" w:rsidRDefault="00B6500C" w:rsidP="00B6500C">
      <w:pPr>
        <w:pStyle w:val="ParaNumbering"/>
        <w:numPr>
          <w:ilvl w:val="0"/>
          <w:numId w:val="0"/>
        </w:numPr>
        <w:ind w:hanging="720"/>
      </w:pPr>
      <w:r w:rsidRPr="00FB6FC6">
        <w:rPr>
          <w:iCs/>
          <w:sz w:val="20"/>
        </w:rPr>
        <w:lastRenderedPageBreak/>
        <w:t>129</w:t>
      </w:r>
      <w:r w:rsidRPr="00FB6FC6">
        <w:rPr>
          <w:iCs/>
          <w:sz w:val="20"/>
        </w:rPr>
        <w:tab/>
      </w:r>
      <w:r w:rsidR="00FB6FC6" w:rsidRPr="00FB6FC6">
        <w:t>The Deed Administrators</w:t>
      </w:r>
      <w:r w:rsidR="00CD113A">
        <w:t>’</w:t>
      </w:r>
      <w:r w:rsidR="00FB6FC6" w:rsidRPr="00FB6FC6">
        <w:t xml:space="preserve"> application is made in circumstances where </w:t>
      </w:r>
      <w:r w:rsidR="00CE6539">
        <w:t xml:space="preserve">many of </w:t>
      </w:r>
      <w:r w:rsidR="00FB6FC6" w:rsidRPr="00FB6FC6">
        <w:t xml:space="preserve">the </w:t>
      </w:r>
      <w:r w:rsidR="00FB6FC6">
        <w:t>f</w:t>
      </w:r>
      <w:r w:rsidR="00FB6FC6" w:rsidRPr="00FB6FC6">
        <w:t xml:space="preserve">ormer </w:t>
      </w:r>
      <w:r w:rsidR="00FB6FC6">
        <w:t>c</w:t>
      </w:r>
      <w:r w:rsidR="00FB6FC6" w:rsidRPr="00FB6FC6">
        <w:t xml:space="preserve">lients are </w:t>
      </w:r>
      <w:r w:rsidR="00B406EE">
        <w:t xml:space="preserve">not </w:t>
      </w:r>
      <w:r w:rsidR="00FB6FC6" w:rsidRPr="00FB6FC6">
        <w:t xml:space="preserve">sophisticated investors, </w:t>
      </w:r>
      <w:r w:rsidR="00B406EE">
        <w:t xml:space="preserve">many are elderly and many </w:t>
      </w:r>
      <w:r w:rsidR="00FB6FC6" w:rsidRPr="00FB6FC6">
        <w:t xml:space="preserve">regard themselves as victims of </w:t>
      </w:r>
      <w:r w:rsidR="00B406EE">
        <w:t>DASS</w:t>
      </w:r>
      <w:r w:rsidR="00CD113A">
        <w:t>’</w:t>
      </w:r>
      <w:r w:rsidR="00B406EE">
        <w:t xml:space="preserve"> </w:t>
      </w:r>
      <w:r w:rsidR="00FB6FC6" w:rsidRPr="00FB6FC6">
        <w:t>misconduct</w:t>
      </w:r>
      <w:r w:rsidR="00B406EE">
        <w:t>. It would be natural for many of them to</w:t>
      </w:r>
      <w:r w:rsidR="00FB6FC6" w:rsidRPr="00FB6FC6">
        <w:t xml:space="preserve"> feel aggrieved by their losses. </w:t>
      </w:r>
      <w:r w:rsidR="001F4B7B">
        <w:t xml:space="preserve">The Deed Administrators submitted that many of these people </w:t>
      </w:r>
      <w:r w:rsidR="00FB6FC6" w:rsidRPr="00FB6FC6">
        <w:t>may not appreciate the reasoning behind the Deed Administrators</w:t>
      </w:r>
      <w:r w:rsidR="00CD113A">
        <w:t>’</w:t>
      </w:r>
      <w:r w:rsidR="00FB6FC6" w:rsidRPr="00FB6FC6">
        <w:t xml:space="preserve"> adjudication and distribution process</w:t>
      </w:r>
      <w:r w:rsidR="001F4B7B">
        <w:t xml:space="preserve"> and that i</w:t>
      </w:r>
      <w:r w:rsidR="00FB6FC6" w:rsidRPr="00FB6FC6">
        <w:t>t would be just and beneficial to the administration process to afford the Deed Administrators protection against any allegations that might be made that they have acted unreasonably or inappropriately or in breach of their duty in effecting that process.</w:t>
      </w:r>
      <w:r w:rsidR="001F4B7B">
        <w:t xml:space="preserve"> I accept this submission.</w:t>
      </w:r>
    </w:p>
    <w:p w14:paraId="5C2B4593" w14:textId="0959CF49" w:rsidR="000A5BA2" w:rsidRPr="005A6F7B" w:rsidRDefault="00B6500C" w:rsidP="00B6500C">
      <w:pPr>
        <w:pStyle w:val="ParaNumbering"/>
        <w:numPr>
          <w:ilvl w:val="0"/>
          <w:numId w:val="0"/>
        </w:numPr>
        <w:ind w:hanging="720"/>
      </w:pPr>
      <w:r w:rsidRPr="005A6F7B">
        <w:rPr>
          <w:iCs/>
          <w:sz w:val="20"/>
        </w:rPr>
        <w:t>130</w:t>
      </w:r>
      <w:r w:rsidRPr="005A6F7B">
        <w:rPr>
          <w:iCs/>
          <w:sz w:val="20"/>
        </w:rPr>
        <w:tab/>
      </w:r>
      <w:r w:rsidR="00D631E7" w:rsidRPr="005A6F7B">
        <w:rPr>
          <w:lang w:val="en-US"/>
        </w:rPr>
        <w:t>Section 90-15(1) of the IPS provides that the Court may make such orders as it thinks fit in relation to the external administration of a company which may include an order determining any question arising in the external administration of the company: see s 90-15(3)(a).</w:t>
      </w:r>
    </w:p>
    <w:p w14:paraId="0F4DE23F" w14:textId="52726357" w:rsidR="00ED3AB5" w:rsidRPr="00ED3AB5" w:rsidRDefault="00B6500C" w:rsidP="00B6500C">
      <w:pPr>
        <w:pStyle w:val="ParaNumbering"/>
        <w:numPr>
          <w:ilvl w:val="0"/>
          <w:numId w:val="0"/>
        </w:numPr>
        <w:ind w:hanging="720"/>
        <w:rPr>
          <w:lang w:val="en-US"/>
        </w:rPr>
      </w:pPr>
      <w:r w:rsidRPr="00ED3AB5">
        <w:rPr>
          <w:iCs/>
          <w:sz w:val="20"/>
          <w:lang w:val="en-US"/>
        </w:rPr>
        <w:t>131</w:t>
      </w:r>
      <w:r w:rsidRPr="00ED3AB5">
        <w:rPr>
          <w:iCs/>
          <w:sz w:val="20"/>
          <w:lang w:val="en-US"/>
        </w:rPr>
        <w:tab/>
      </w:r>
      <w:r w:rsidR="00F302CB">
        <w:rPr>
          <w:lang w:val="en-US"/>
        </w:rPr>
        <w:t xml:space="preserve">Relevant principles were set out by Gleeson J in </w:t>
      </w:r>
      <w:r w:rsidR="00EA4F08" w:rsidRPr="00CB65C1">
        <w:rPr>
          <w:i/>
          <w:lang w:val="en-US"/>
        </w:rPr>
        <w:t xml:space="preserve">Re </w:t>
      </w:r>
      <w:r w:rsidR="001E1690" w:rsidRPr="00CB65C1">
        <w:rPr>
          <w:i/>
          <w:lang w:val="en-US"/>
        </w:rPr>
        <w:t xml:space="preserve">Halifax Investments Services Pty Ltd (in </w:t>
      </w:r>
      <w:proofErr w:type="spellStart"/>
      <w:r w:rsidR="001E1690" w:rsidRPr="00CB65C1">
        <w:rPr>
          <w:i/>
          <w:lang w:val="en-US"/>
        </w:rPr>
        <w:t>liq</w:t>
      </w:r>
      <w:proofErr w:type="spellEnd"/>
      <w:r w:rsidR="001E1690" w:rsidRPr="00CB65C1">
        <w:rPr>
          <w:i/>
          <w:lang w:val="en-US"/>
        </w:rPr>
        <w:t>))</w:t>
      </w:r>
      <w:r w:rsidR="00EA4F08" w:rsidRPr="00CB65C1">
        <w:rPr>
          <w:i/>
          <w:lang w:val="en-US"/>
        </w:rPr>
        <w:t xml:space="preserve"> </w:t>
      </w:r>
      <w:r w:rsidR="00955294" w:rsidRPr="00CB65C1">
        <w:rPr>
          <w:iCs/>
          <w:lang w:val="en-US"/>
        </w:rPr>
        <w:t>[2020] FCA 533; 144 ACSR 292</w:t>
      </w:r>
      <w:r w:rsidR="00955294">
        <w:rPr>
          <w:iCs/>
          <w:lang w:val="en-US"/>
        </w:rPr>
        <w:t xml:space="preserve"> at</w:t>
      </w:r>
      <w:r w:rsidR="00955294" w:rsidRPr="00955294">
        <w:rPr>
          <w:iCs/>
          <w:lang w:val="en-US"/>
        </w:rPr>
        <w:t xml:space="preserve"> [50</w:t>
      </w:r>
      <w:r w:rsidR="00ED3AB5" w:rsidRPr="00955294">
        <w:rPr>
          <w:iCs/>
          <w:lang w:val="en-US"/>
        </w:rPr>
        <w:t>]</w:t>
      </w:r>
      <w:r w:rsidR="00ED3AB5">
        <w:rPr>
          <w:iCs/>
          <w:lang w:val="en-US"/>
        </w:rPr>
        <w:t xml:space="preserve"> to </w:t>
      </w:r>
      <w:r w:rsidR="00ED3AB5" w:rsidRPr="00955294">
        <w:rPr>
          <w:iCs/>
          <w:lang w:val="en-US"/>
        </w:rPr>
        <w:t>[</w:t>
      </w:r>
      <w:r w:rsidR="00955294" w:rsidRPr="00955294">
        <w:rPr>
          <w:iCs/>
          <w:lang w:val="en-US"/>
        </w:rPr>
        <w:t>59].</w:t>
      </w:r>
      <w:r w:rsidR="00F302CB" w:rsidRPr="00955294">
        <w:rPr>
          <w:iCs/>
          <w:lang w:val="en-US"/>
        </w:rPr>
        <w:t xml:space="preserve"> </w:t>
      </w:r>
      <w:r w:rsidR="00ED3AB5">
        <w:rPr>
          <w:iCs/>
          <w:lang w:val="en-US"/>
        </w:rPr>
        <w:t>It is not necessary to repeat them.</w:t>
      </w:r>
      <w:r w:rsidR="00955294">
        <w:rPr>
          <w:iCs/>
          <w:lang w:val="en-US"/>
        </w:rPr>
        <w:t xml:space="preserve"> </w:t>
      </w:r>
    </w:p>
    <w:p w14:paraId="03E8DAA3" w14:textId="06D2722A" w:rsidR="00ED1DC0" w:rsidRPr="00436657" w:rsidRDefault="00B6500C" w:rsidP="00B6500C">
      <w:pPr>
        <w:pStyle w:val="ParaNumbering"/>
        <w:numPr>
          <w:ilvl w:val="0"/>
          <w:numId w:val="0"/>
        </w:numPr>
        <w:ind w:hanging="720"/>
      </w:pPr>
      <w:r w:rsidRPr="00436657">
        <w:rPr>
          <w:iCs/>
          <w:sz w:val="20"/>
        </w:rPr>
        <w:t>132</w:t>
      </w:r>
      <w:r w:rsidRPr="00436657">
        <w:rPr>
          <w:iCs/>
          <w:sz w:val="20"/>
        </w:rPr>
        <w:tab/>
      </w:r>
      <w:r w:rsidR="00B405EB" w:rsidRPr="00B405EB">
        <w:rPr>
          <w:lang w:val="en-US"/>
        </w:rPr>
        <w:t xml:space="preserve">Directions providing for the </w:t>
      </w:r>
      <w:proofErr w:type="spellStart"/>
      <w:r w:rsidR="00B405EB" w:rsidRPr="00B405EB">
        <w:rPr>
          <w:lang w:val="en-US"/>
        </w:rPr>
        <w:t>rateable</w:t>
      </w:r>
      <w:proofErr w:type="spellEnd"/>
      <w:r w:rsidR="00B405EB" w:rsidRPr="00B405EB">
        <w:rPr>
          <w:lang w:val="en-US"/>
        </w:rPr>
        <w:t xml:space="preserve"> distribution of deficient funds have been made before</w:t>
      </w:r>
      <w:r w:rsidR="00B405EB">
        <w:rPr>
          <w:lang w:val="en-US"/>
        </w:rPr>
        <w:t xml:space="preserve"> – see: </w:t>
      </w:r>
      <w:r w:rsidR="00B405EB" w:rsidRPr="00CB65C1">
        <w:rPr>
          <w:i/>
          <w:lang w:val="en-US"/>
        </w:rPr>
        <w:t>A</w:t>
      </w:r>
      <w:r w:rsidR="00CE682C" w:rsidRPr="00CB65C1">
        <w:rPr>
          <w:i/>
          <w:lang w:val="en-US"/>
        </w:rPr>
        <w:t xml:space="preserve">ustralian </w:t>
      </w:r>
      <w:r w:rsidR="00B405EB" w:rsidRPr="00CB65C1">
        <w:rPr>
          <w:i/>
          <w:lang w:val="en-US"/>
        </w:rPr>
        <w:t>S</w:t>
      </w:r>
      <w:r w:rsidR="00CE682C" w:rsidRPr="00CB65C1">
        <w:rPr>
          <w:i/>
          <w:lang w:val="en-US"/>
        </w:rPr>
        <w:t xml:space="preserve">ecurities and </w:t>
      </w:r>
      <w:r w:rsidR="00B405EB" w:rsidRPr="00CB65C1">
        <w:rPr>
          <w:i/>
          <w:lang w:val="en-US"/>
        </w:rPr>
        <w:t>I</w:t>
      </w:r>
      <w:r w:rsidR="00CE682C" w:rsidRPr="00CB65C1">
        <w:rPr>
          <w:i/>
          <w:lang w:val="en-US"/>
        </w:rPr>
        <w:t xml:space="preserve">nvestments </w:t>
      </w:r>
      <w:r w:rsidR="00B405EB" w:rsidRPr="00CB65C1">
        <w:rPr>
          <w:i/>
          <w:lang w:val="en-US"/>
        </w:rPr>
        <w:t>C</w:t>
      </w:r>
      <w:r w:rsidR="00CE682C" w:rsidRPr="00CB65C1">
        <w:rPr>
          <w:i/>
          <w:lang w:val="en-US"/>
        </w:rPr>
        <w:t>ommission</w:t>
      </w:r>
      <w:r w:rsidR="00B405EB" w:rsidRPr="00CB65C1">
        <w:rPr>
          <w:i/>
          <w:lang w:val="en-US"/>
        </w:rPr>
        <w:t xml:space="preserve"> v </w:t>
      </w:r>
      <w:r w:rsidR="00B405EB" w:rsidRPr="00CB65C1">
        <w:rPr>
          <w:bCs/>
          <w:i/>
          <w:lang w:val="en-US"/>
        </w:rPr>
        <w:t>Letten</w:t>
      </w:r>
      <w:r w:rsidR="00B405EB" w:rsidRPr="00CB65C1">
        <w:rPr>
          <w:b/>
          <w:i/>
          <w:lang w:val="en-US"/>
        </w:rPr>
        <w:t xml:space="preserve"> </w:t>
      </w:r>
      <w:r w:rsidR="00B405EB" w:rsidRPr="00CB65C1">
        <w:rPr>
          <w:i/>
          <w:lang w:val="en-US"/>
        </w:rPr>
        <w:t>(No 7)</w:t>
      </w:r>
      <w:r w:rsidR="008A5654" w:rsidRPr="00CB65C1">
        <w:rPr>
          <w:i/>
          <w:lang w:val="en-US"/>
        </w:rPr>
        <w:t xml:space="preserve"> </w:t>
      </w:r>
      <w:r w:rsidR="00036EC9" w:rsidRPr="00CB65C1">
        <w:rPr>
          <w:iCs/>
          <w:lang w:val="en-US"/>
        </w:rPr>
        <w:t>[</w:t>
      </w:r>
      <w:r w:rsidR="008A5654" w:rsidRPr="00CB65C1">
        <w:rPr>
          <w:iCs/>
          <w:lang w:val="en-US"/>
        </w:rPr>
        <w:t>2010</w:t>
      </w:r>
      <w:r w:rsidR="00036EC9" w:rsidRPr="00CB65C1">
        <w:rPr>
          <w:iCs/>
          <w:lang w:val="en-US"/>
        </w:rPr>
        <w:t>] FCA 1231;</w:t>
      </w:r>
      <w:r w:rsidR="008A5654" w:rsidRPr="00CB65C1">
        <w:rPr>
          <w:iCs/>
          <w:lang w:val="en-US"/>
        </w:rPr>
        <w:t xml:space="preserve"> 190 FCR 59</w:t>
      </w:r>
      <w:r w:rsidR="00897EED">
        <w:rPr>
          <w:iCs/>
          <w:lang w:val="en-US"/>
        </w:rPr>
        <w:t xml:space="preserve">; </w:t>
      </w:r>
      <w:r w:rsidR="00897EED" w:rsidRPr="00CB65C1">
        <w:rPr>
          <w:i/>
          <w:iCs/>
          <w:lang w:val="en-US"/>
        </w:rPr>
        <w:t xml:space="preserve">Algeri, in the matter of Gem Management Group Pty Ltd (in </w:t>
      </w:r>
      <w:proofErr w:type="spellStart"/>
      <w:r w:rsidR="00897EED" w:rsidRPr="00CB65C1">
        <w:rPr>
          <w:i/>
          <w:iCs/>
          <w:lang w:val="en-US"/>
        </w:rPr>
        <w:t>liq</w:t>
      </w:r>
      <w:proofErr w:type="spellEnd"/>
      <w:r w:rsidR="00897EED" w:rsidRPr="00CB65C1">
        <w:rPr>
          <w:i/>
          <w:iCs/>
          <w:lang w:val="en-US"/>
        </w:rPr>
        <w:t>)</w:t>
      </w:r>
      <w:r w:rsidR="00ED1DC0" w:rsidRPr="00CB65C1">
        <w:rPr>
          <w:i/>
          <w:iCs/>
          <w:lang w:val="en-US"/>
        </w:rPr>
        <w:t xml:space="preserve"> </w:t>
      </w:r>
      <w:r w:rsidR="00ED1DC0" w:rsidRPr="00CB65C1">
        <w:rPr>
          <w:lang w:val="en-US"/>
        </w:rPr>
        <w:t>[2022] FCA 1229</w:t>
      </w:r>
      <w:r w:rsidR="00ED1DC0">
        <w:rPr>
          <w:lang w:val="en-US"/>
        </w:rPr>
        <w:t>.</w:t>
      </w:r>
    </w:p>
    <w:p w14:paraId="122611E8" w14:textId="77777777" w:rsidR="00436657" w:rsidRPr="00436657" w:rsidRDefault="00436657" w:rsidP="00436657">
      <w:pPr>
        <w:pStyle w:val="Heading2"/>
      </w:pPr>
      <w:r w:rsidRPr="00436657">
        <w:t>The Creditor Portal</w:t>
      </w:r>
    </w:p>
    <w:p w14:paraId="565E83B8" w14:textId="43BB6304" w:rsidR="00436657" w:rsidRPr="00436657" w:rsidRDefault="00B6500C" w:rsidP="00B6500C">
      <w:pPr>
        <w:pStyle w:val="ParaNumbering"/>
        <w:numPr>
          <w:ilvl w:val="0"/>
          <w:numId w:val="0"/>
        </w:numPr>
        <w:ind w:hanging="720"/>
      </w:pPr>
      <w:r w:rsidRPr="00436657">
        <w:rPr>
          <w:iCs/>
          <w:sz w:val="20"/>
        </w:rPr>
        <w:t>133</w:t>
      </w:r>
      <w:r w:rsidRPr="00436657">
        <w:rPr>
          <w:iCs/>
          <w:sz w:val="20"/>
        </w:rPr>
        <w:tab/>
      </w:r>
      <w:r w:rsidR="00436657" w:rsidRPr="00436657">
        <w:t xml:space="preserve">During the DOCA administration, the Deed Administrators have developed a bespoke digital platform </w:t>
      </w:r>
      <w:r w:rsidR="000627C6">
        <w:t>through</w:t>
      </w:r>
      <w:r w:rsidR="00436657" w:rsidRPr="00436657">
        <w:t xml:space="preserve"> which they have communicated with the creditors of </w:t>
      </w:r>
      <w:r w:rsidR="000627C6">
        <w:t>DASS</w:t>
      </w:r>
      <w:r w:rsidR="00436657" w:rsidRPr="00436657">
        <w:t xml:space="preserve">. </w:t>
      </w:r>
      <w:r w:rsidR="000627C6">
        <w:t>T</w:t>
      </w:r>
      <w:r w:rsidR="00436657" w:rsidRPr="00436657">
        <w:t>he purpose of the portal is to create a single point of contact between the Deed Administrators and the creditors for all aspects of the adjudication and distribution process.</w:t>
      </w:r>
      <w:r w:rsidR="000627C6">
        <w:t xml:space="preserve"> </w:t>
      </w:r>
      <w:r w:rsidR="00436657" w:rsidRPr="00436657">
        <w:t>The Deed Administrators consider that the Creditor Portal is the most efficient and effective means of engaging with the creditors during that process, because:</w:t>
      </w:r>
    </w:p>
    <w:p w14:paraId="02F002A3" w14:textId="281188D7" w:rsidR="00436657" w:rsidRPr="00436657" w:rsidRDefault="00B6500C" w:rsidP="00B6500C">
      <w:pPr>
        <w:pStyle w:val="FCBullets"/>
        <w:numPr>
          <w:ilvl w:val="0"/>
          <w:numId w:val="0"/>
        </w:numPr>
        <w:tabs>
          <w:tab w:val="left" w:pos="720"/>
        </w:tabs>
        <w:ind w:left="720" w:hanging="720"/>
      </w:pPr>
      <w:r w:rsidRPr="00436657">
        <w:rPr>
          <w:rFonts w:ascii="Symbol" w:hAnsi="Symbol"/>
        </w:rPr>
        <w:t></w:t>
      </w:r>
      <w:r w:rsidRPr="00436657">
        <w:rPr>
          <w:rFonts w:ascii="Symbol" w:hAnsi="Symbol"/>
        </w:rPr>
        <w:tab/>
      </w:r>
      <w:r w:rsidR="00436657" w:rsidRPr="00436657">
        <w:t xml:space="preserve">there are potentially up to 8,000 creditors, which would render a physical mail process </w:t>
      </w:r>
      <w:r w:rsidR="000627C6">
        <w:t xml:space="preserve">expensive and </w:t>
      </w:r>
      <w:r w:rsidR="00436657" w:rsidRPr="00436657">
        <w:t>impracticable;</w:t>
      </w:r>
    </w:p>
    <w:p w14:paraId="4CA1E40E" w14:textId="40481319" w:rsidR="00436657" w:rsidRPr="00436657" w:rsidRDefault="00B6500C" w:rsidP="00B6500C">
      <w:pPr>
        <w:pStyle w:val="FCBullets"/>
        <w:numPr>
          <w:ilvl w:val="0"/>
          <w:numId w:val="0"/>
        </w:numPr>
        <w:tabs>
          <w:tab w:val="left" w:pos="720"/>
        </w:tabs>
        <w:ind w:left="720" w:hanging="720"/>
      </w:pPr>
      <w:r w:rsidRPr="00436657">
        <w:rPr>
          <w:rFonts w:ascii="Symbol" w:hAnsi="Symbol"/>
        </w:rPr>
        <w:t></w:t>
      </w:r>
      <w:r w:rsidRPr="00436657">
        <w:rPr>
          <w:rFonts w:ascii="Symbol" w:hAnsi="Symbol"/>
        </w:rPr>
        <w:tab/>
      </w:r>
      <w:r w:rsidR="00436657" w:rsidRPr="00436657">
        <w:t>the Creditor Portal is a more secure way to engage with the creditors than physical post;</w:t>
      </w:r>
      <w:r w:rsidR="00BE1542">
        <w:t xml:space="preserve"> and</w:t>
      </w:r>
    </w:p>
    <w:p w14:paraId="79B6D9CE" w14:textId="4C785B01" w:rsidR="00436657" w:rsidRPr="00436657" w:rsidRDefault="00B6500C" w:rsidP="00B6500C">
      <w:pPr>
        <w:pStyle w:val="FCBullets"/>
        <w:numPr>
          <w:ilvl w:val="0"/>
          <w:numId w:val="0"/>
        </w:numPr>
        <w:tabs>
          <w:tab w:val="left" w:pos="720"/>
        </w:tabs>
        <w:ind w:left="720" w:hanging="720"/>
      </w:pPr>
      <w:r w:rsidRPr="00436657">
        <w:rPr>
          <w:rFonts w:ascii="Symbol" w:hAnsi="Symbol"/>
        </w:rPr>
        <w:t></w:t>
      </w:r>
      <w:r w:rsidRPr="00436657">
        <w:rPr>
          <w:rFonts w:ascii="Symbol" w:hAnsi="Symbol"/>
        </w:rPr>
        <w:tab/>
      </w:r>
      <w:r w:rsidR="00436657" w:rsidRPr="00436657">
        <w:t>the Creditor Portal has been purpose-built to conduct the distribution process and manage the complexity of the data that will underpin the loss claims</w:t>
      </w:r>
      <w:r w:rsidR="000627C6">
        <w:t>.</w:t>
      </w:r>
    </w:p>
    <w:p w14:paraId="76CEBA2E" w14:textId="5BAE657D" w:rsidR="00436657" w:rsidRPr="00436657" w:rsidRDefault="00B6500C" w:rsidP="00B6500C">
      <w:pPr>
        <w:pStyle w:val="ParaNumbering"/>
        <w:numPr>
          <w:ilvl w:val="0"/>
          <w:numId w:val="0"/>
        </w:numPr>
        <w:ind w:hanging="720"/>
      </w:pPr>
      <w:r w:rsidRPr="00436657">
        <w:rPr>
          <w:iCs/>
          <w:sz w:val="20"/>
        </w:rPr>
        <w:lastRenderedPageBreak/>
        <w:t>134</w:t>
      </w:r>
      <w:r w:rsidRPr="00436657">
        <w:rPr>
          <w:iCs/>
          <w:sz w:val="20"/>
        </w:rPr>
        <w:tab/>
      </w:r>
      <w:r w:rsidR="00436657" w:rsidRPr="00436657">
        <w:t xml:space="preserve">The Deed Administrators consider that the use of the Creditor Portal achieves the objective of maximising the return to creditors. The committee of inspection has endorsed its use. </w:t>
      </w:r>
      <w:r w:rsidR="00666EFB">
        <w:t>The Deed Administrators</w:t>
      </w:r>
      <w:r w:rsidR="00436657" w:rsidRPr="00436657">
        <w:t xml:space="preserve"> submitted that the use of technological platforms such as this to promote efficiency and reduce cost is properly the subject of relief under s 90-15.</w:t>
      </w:r>
      <w:r w:rsidR="00666EFB">
        <w:t xml:space="preserve"> I accept the Deed Administrators</w:t>
      </w:r>
      <w:r w:rsidR="00CD113A">
        <w:t>’</w:t>
      </w:r>
      <w:r w:rsidR="00666EFB">
        <w:t xml:space="preserve"> submissions.</w:t>
      </w:r>
    </w:p>
    <w:p w14:paraId="73C96AC6" w14:textId="77777777" w:rsidR="00436657" w:rsidRPr="00436657" w:rsidRDefault="00436657" w:rsidP="00666EFB">
      <w:pPr>
        <w:pStyle w:val="Heading2"/>
      </w:pPr>
      <w:r w:rsidRPr="00436657">
        <w:t>E&amp;P loss data</w:t>
      </w:r>
    </w:p>
    <w:p w14:paraId="7DD78A41" w14:textId="644C3C33" w:rsidR="00436657" w:rsidRDefault="00B6500C" w:rsidP="00B6500C">
      <w:pPr>
        <w:pStyle w:val="ParaNumbering"/>
        <w:numPr>
          <w:ilvl w:val="0"/>
          <w:numId w:val="0"/>
        </w:numPr>
        <w:ind w:hanging="720"/>
      </w:pPr>
      <w:r>
        <w:rPr>
          <w:iCs/>
          <w:sz w:val="20"/>
        </w:rPr>
        <w:t>135</w:t>
      </w:r>
      <w:r>
        <w:rPr>
          <w:iCs/>
          <w:sz w:val="20"/>
        </w:rPr>
        <w:tab/>
      </w:r>
      <w:r w:rsidR="00666EFB">
        <w:t>During</w:t>
      </w:r>
      <w:r w:rsidR="00436657" w:rsidRPr="00436657">
        <w:t xml:space="preserve"> the course of the deed administration, the Deed Administrators have not had direct access to any </w:t>
      </w:r>
      <w:r w:rsidR="00666EFB">
        <w:t>f</w:t>
      </w:r>
      <w:r w:rsidR="00436657" w:rsidRPr="00436657">
        <w:t xml:space="preserve">ormer </w:t>
      </w:r>
      <w:r w:rsidR="00666EFB">
        <w:t>c</w:t>
      </w:r>
      <w:r w:rsidR="00436657" w:rsidRPr="00436657">
        <w:t>lient creditor information, including any former client lists, client personal details, and client investment data. They consider that:</w:t>
      </w:r>
    </w:p>
    <w:p w14:paraId="1CEF498A" w14:textId="4A98D5BB" w:rsidR="00FB7152" w:rsidRPr="00FB7152" w:rsidRDefault="00B6500C" w:rsidP="00B6500C">
      <w:pPr>
        <w:pStyle w:val="ListNo1alt"/>
        <w:numPr>
          <w:ilvl w:val="0"/>
          <w:numId w:val="0"/>
        </w:numPr>
        <w:tabs>
          <w:tab w:val="left" w:pos="720"/>
        </w:tabs>
        <w:ind w:left="720" w:hanging="720"/>
      </w:pPr>
      <w:r w:rsidRPr="00FB7152">
        <w:t>(a)</w:t>
      </w:r>
      <w:r w:rsidRPr="00FB7152">
        <w:tab/>
      </w:r>
      <w:r w:rsidR="00FB7152">
        <w:t>DASS</w:t>
      </w:r>
      <w:r w:rsidR="00FB7152" w:rsidRPr="00FB7152">
        <w:t xml:space="preserve">, as a wholly owned subsidiary within the </w:t>
      </w:r>
      <w:r w:rsidR="00FB7152">
        <w:t xml:space="preserve">E&amp;P </w:t>
      </w:r>
      <w:r w:rsidR="00270CDF">
        <w:t>G</w:t>
      </w:r>
      <w:r w:rsidR="00FB7152" w:rsidRPr="00FB7152">
        <w:t>roup, did not maintain its own repository of this type of information;</w:t>
      </w:r>
    </w:p>
    <w:p w14:paraId="22E4F599" w14:textId="40AD1203" w:rsidR="00FB7152" w:rsidRPr="00FB7152" w:rsidRDefault="00B6500C" w:rsidP="00B6500C">
      <w:pPr>
        <w:pStyle w:val="ListNo1alt"/>
        <w:numPr>
          <w:ilvl w:val="0"/>
          <w:numId w:val="0"/>
        </w:numPr>
        <w:tabs>
          <w:tab w:val="left" w:pos="720"/>
        </w:tabs>
        <w:ind w:left="720" w:hanging="720"/>
      </w:pPr>
      <w:r w:rsidRPr="00FB7152">
        <w:t>(b)</w:t>
      </w:r>
      <w:r w:rsidRPr="00FB7152">
        <w:tab/>
      </w:r>
      <w:r w:rsidR="00FB7152" w:rsidRPr="00FB7152">
        <w:t xml:space="preserve">all client data was, and is, held by Evans and Partners Pty Ltd (on its own behalf and on behalf of other group companies, including </w:t>
      </w:r>
      <w:r w:rsidR="00684E47">
        <w:t>DASS</w:t>
      </w:r>
      <w:r w:rsidR="00FB7152" w:rsidRPr="00FB7152">
        <w:t>); and</w:t>
      </w:r>
    </w:p>
    <w:p w14:paraId="44AEA67B" w14:textId="7568630E" w:rsidR="00FB7152" w:rsidRPr="00FB7152" w:rsidRDefault="00B6500C" w:rsidP="00B6500C">
      <w:pPr>
        <w:pStyle w:val="ListNo1alt"/>
        <w:numPr>
          <w:ilvl w:val="0"/>
          <w:numId w:val="0"/>
        </w:numPr>
        <w:tabs>
          <w:tab w:val="left" w:pos="720"/>
        </w:tabs>
        <w:ind w:left="720" w:hanging="720"/>
      </w:pPr>
      <w:r w:rsidRPr="00FB7152">
        <w:t>(c)</w:t>
      </w:r>
      <w:r w:rsidRPr="00FB7152">
        <w:tab/>
      </w:r>
      <w:r w:rsidR="00684E47">
        <w:t>DASS</w:t>
      </w:r>
      <w:r w:rsidR="00FB7152" w:rsidRPr="00FB7152">
        <w:t xml:space="preserve"> was reliant on E&amp;PO (its immediate parent company) for all finance and operational services, including staffing.</w:t>
      </w:r>
    </w:p>
    <w:p w14:paraId="7B35837D" w14:textId="62E7E5D1" w:rsidR="00FB7152" w:rsidRPr="00FB7152" w:rsidRDefault="00B6500C" w:rsidP="00B6500C">
      <w:pPr>
        <w:pStyle w:val="ParaNumbering"/>
        <w:numPr>
          <w:ilvl w:val="0"/>
          <w:numId w:val="0"/>
        </w:numPr>
        <w:ind w:hanging="720"/>
      </w:pPr>
      <w:r w:rsidRPr="00FB7152">
        <w:rPr>
          <w:iCs/>
          <w:sz w:val="20"/>
        </w:rPr>
        <w:t>136</w:t>
      </w:r>
      <w:r w:rsidRPr="00FB7152">
        <w:rPr>
          <w:iCs/>
          <w:sz w:val="20"/>
        </w:rPr>
        <w:tab/>
      </w:r>
      <w:r w:rsidR="00FB7152" w:rsidRPr="00FB7152">
        <w:t xml:space="preserve">In those circumstances, the Deed Administrators </w:t>
      </w:r>
      <w:r w:rsidR="00684E47">
        <w:t xml:space="preserve">state that they </w:t>
      </w:r>
      <w:r w:rsidR="00FB7152" w:rsidRPr="00FB7152">
        <w:t>have been reliant upon other companies within the E</w:t>
      </w:r>
      <w:r w:rsidR="00684E47">
        <w:t>&amp;P</w:t>
      </w:r>
      <w:r w:rsidR="00FB7152" w:rsidRPr="00FB7152">
        <w:t xml:space="preserve"> Group to provide the information that will enable them to effect the proposed distribution. They have obtained an affidavit from the chief technology officer of E</w:t>
      </w:r>
      <w:r w:rsidR="00392DD4">
        <w:t>&amp;P</w:t>
      </w:r>
      <w:r w:rsidR="00FB7152" w:rsidRPr="00FB7152">
        <w:t xml:space="preserve">, Mr McPhillips, </w:t>
      </w:r>
      <w:r w:rsidR="00392DD4">
        <w:t>who</w:t>
      </w:r>
      <w:r w:rsidR="00FB7152" w:rsidRPr="00FB7152">
        <w:t xml:space="preserve"> explains the process by which the relevant data </w:t>
      </w:r>
      <w:r w:rsidR="00AC489B">
        <w:t>(</w:t>
      </w:r>
      <w:r w:rsidR="00AC489B">
        <w:rPr>
          <w:b/>
          <w:bCs/>
        </w:rPr>
        <w:t>E&amp;P Loss Data</w:t>
      </w:r>
      <w:r w:rsidR="00AC489B">
        <w:t xml:space="preserve">) </w:t>
      </w:r>
      <w:r w:rsidR="00FB7152" w:rsidRPr="00FB7152">
        <w:t xml:space="preserve">was extracted from the systems of the </w:t>
      </w:r>
      <w:r w:rsidR="00392DD4">
        <w:t>E&amp;P</w:t>
      </w:r>
      <w:r w:rsidR="00FB7152" w:rsidRPr="00FB7152">
        <w:t xml:space="preserve"> Group.</w:t>
      </w:r>
    </w:p>
    <w:p w14:paraId="4F024533" w14:textId="7551EC6C" w:rsidR="00FB7152" w:rsidRPr="00FB7152" w:rsidRDefault="00B6500C" w:rsidP="00B6500C">
      <w:pPr>
        <w:pStyle w:val="ParaNumbering"/>
        <w:numPr>
          <w:ilvl w:val="0"/>
          <w:numId w:val="0"/>
        </w:numPr>
        <w:ind w:hanging="720"/>
      </w:pPr>
      <w:r w:rsidRPr="00FB7152">
        <w:rPr>
          <w:iCs/>
          <w:sz w:val="20"/>
        </w:rPr>
        <w:t>137</w:t>
      </w:r>
      <w:r w:rsidRPr="00FB7152">
        <w:rPr>
          <w:iCs/>
          <w:sz w:val="20"/>
        </w:rPr>
        <w:tab/>
      </w:r>
      <w:r w:rsidR="00FB7152" w:rsidRPr="00FB7152">
        <w:t xml:space="preserve">On the basis of their review of that data and </w:t>
      </w:r>
      <w:r w:rsidR="00392DD4">
        <w:t xml:space="preserve">Mr </w:t>
      </w:r>
      <w:r w:rsidR="00FB7152" w:rsidRPr="00FB7152">
        <w:t>McPhillips</w:t>
      </w:r>
      <w:r w:rsidR="00CD113A">
        <w:t>’</w:t>
      </w:r>
      <w:r w:rsidR="00FB7152" w:rsidRPr="00FB7152">
        <w:t xml:space="preserve"> </w:t>
      </w:r>
      <w:r w:rsidR="00392DD4">
        <w:t>a</w:t>
      </w:r>
      <w:r w:rsidR="00FB7152" w:rsidRPr="00FB7152">
        <w:t xml:space="preserve">ffidavit, along with their dealings with Mr McPhillips, the Deed Administrators are satisfied that the E&amp;P Loss Data forms a reasonably reliable and complete set of records of the </w:t>
      </w:r>
      <w:r w:rsidR="00392DD4">
        <w:t>f</w:t>
      </w:r>
      <w:r w:rsidR="00FB7152" w:rsidRPr="00FB7152">
        <w:t xml:space="preserve">ormer </w:t>
      </w:r>
      <w:r w:rsidR="00392DD4">
        <w:t>c</w:t>
      </w:r>
      <w:r w:rsidR="00FB7152" w:rsidRPr="00FB7152">
        <w:t>lients</w:t>
      </w:r>
      <w:r w:rsidR="00CD113A">
        <w:t>’</w:t>
      </w:r>
      <w:r w:rsidR="00FB7152" w:rsidRPr="00FB7152">
        <w:t xml:space="preserve"> investment data and is sufficient to enable them to determine the appropriate distributions to be made.</w:t>
      </w:r>
    </w:p>
    <w:p w14:paraId="252599DC" w14:textId="77777777" w:rsidR="00FB7152" w:rsidRPr="00FB7152" w:rsidRDefault="00FB7152" w:rsidP="00392DD4">
      <w:pPr>
        <w:pStyle w:val="Heading2"/>
      </w:pPr>
      <w:r w:rsidRPr="00FB7152">
        <w:t>Proofs of debt</w:t>
      </w:r>
    </w:p>
    <w:p w14:paraId="56CE6C5F" w14:textId="288E474C" w:rsidR="00FB7152" w:rsidRPr="00FB7152" w:rsidRDefault="00B6500C" w:rsidP="00B6500C">
      <w:pPr>
        <w:pStyle w:val="ParaNumbering"/>
        <w:numPr>
          <w:ilvl w:val="0"/>
          <w:numId w:val="0"/>
        </w:numPr>
        <w:ind w:hanging="720"/>
      </w:pPr>
      <w:r w:rsidRPr="00FB7152">
        <w:rPr>
          <w:iCs/>
          <w:sz w:val="20"/>
        </w:rPr>
        <w:t>138</w:t>
      </w:r>
      <w:r w:rsidRPr="00FB7152">
        <w:rPr>
          <w:iCs/>
          <w:sz w:val="20"/>
        </w:rPr>
        <w:tab/>
      </w:r>
      <w:r w:rsidR="00FB7152" w:rsidRPr="00FB7152">
        <w:t>The Deed Administrators expect there to be two categories of creditors lodging proofs of debt:</w:t>
      </w:r>
    </w:p>
    <w:p w14:paraId="1B62F41A" w14:textId="64C65A97" w:rsidR="00FB7152" w:rsidRPr="00FB7152" w:rsidRDefault="00B6500C" w:rsidP="00B6500C">
      <w:pPr>
        <w:pStyle w:val="ListNo1"/>
        <w:numPr>
          <w:ilvl w:val="0"/>
          <w:numId w:val="0"/>
        </w:numPr>
        <w:tabs>
          <w:tab w:val="left" w:pos="720"/>
        </w:tabs>
        <w:ind w:left="720" w:hanging="720"/>
      </w:pPr>
      <w:r w:rsidRPr="00FB7152">
        <w:t>(1)</w:t>
      </w:r>
      <w:r w:rsidRPr="00FB7152">
        <w:tab/>
      </w:r>
      <w:r w:rsidR="00392DD4">
        <w:t>f</w:t>
      </w:r>
      <w:r w:rsidR="00FB7152" w:rsidRPr="00FB7152">
        <w:t xml:space="preserve">ormer </w:t>
      </w:r>
      <w:r w:rsidR="00392DD4">
        <w:t>c</w:t>
      </w:r>
      <w:r w:rsidR="00FB7152" w:rsidRPr="00FB7152">
        <w:t>lients; and</w:t>
      </w:r>
    </w:p>
    <w:p w14:paraId="04297E0E" w14:textId="5772A8E6" w:rsidR="00FB7152" w:rsidRPr="00FB7152" w:rsidRDefault="00B6500C" w:rsidP="00B6500C">
      <w:pPr>
        <w:pStyle w:val="ListNo1"/>
        <w:numPr>
          <w:ilvl w:val="0"/>
          <w:numId w:val="0"/>
        </w:numPr>
        <w:tabs>
          <w:tab w:val="left" w:pos="720"/>
        </w:tabs>
        <w:ind w:left="720" w:hanging="720"/>
      </w:pPr>
      <w:r w:rsidRPr="00FB7152">
        <w:t>(2)</w:t>
      </w:r>
      <w:r w:rsidRPr="00FB7152">
        <w:tab/>
      </w:r>
      <w:r w:rsidR="00FB7152" w:rsidRPr="00FB7152">
        <w:t>other creditors, for example employees or trade creditors</w:t>
      </w:r>
      <w:r w:rsidR="00392DD4">
        <w:t xml:space="preserve">. </w:t>
      </w:r>
    </w:p>
    <w:p w14:paraId="49E0B01A" w14:textId="35D8C10C" w:rsidR="003E6D18" w:rsidRDefault="00B6500C" w:rsidP="00B6500C">
      <w:pPr>
        <w:pStyle w:val="ParaNumbering"/>
        <w:numPr>
          <w:ilvl w:val="0"/>
          <w:numId w:val="0"/>
        </w:numPr>
        <w:ind w:hanging="720"/>
      </w:pPr>
      <w:r>
        <w:rPr>
          <w:iCs/>
          <w:sz w:val="20"/>
        </w:rPr>
        <w:lastRenderedPageBreak/>
        <w:t>139</w:t>
      </w:r>
      <w:r>
        <w:rPr>
          <w:iCs/>
          <w:sz w:val="20"/>
        </w:rPr>
        <w:tab/>
      </w:r>
      <w:r w:rsidR="00392DD4" w:rsidRPr="00FB7152">
        <w:t xml:space="preserve">The Deed Administrators </w:t>
      </w:r>
      <w:r w:rsidR="00FB7152" w:rsidRPr="00FB7152">
        <w:t xml:space="preserve">propose to call for proofs of debt broadly, because of the existence of </w:t>
      </w:r>
      <w:r w:rsidR="00507E18">
        <w:t xml:space="preserve">the </w:t>
      </w:r>
      <w:r w:rsidR="00FB7152" w:rsidRPr="00FB7152">
        <w:t xml:space="preserve">other creditors who may not be accessing the Creditor Portal. </w:t>
      </w:r>
      <w:r w:rsidR="00E15FDA">
        <w:t xml:space="preserve">The </w:t>
      </w:r>
      <w:r w:rsidR="00E15FDA" w:rsidRPr="00FB7152">
        <w:t xml:space="preserve">Deed Administrators believe there to be nine creditors </w:t>
      </w:r>
      <w:r w:rsidR="00E15FDA">
        <w:t xml:space="preserve">in the </w:t>
      </w:r>
      <w:r w:rsidR="00CD113A">
        <w:t>“</w:t>
      </w:r>
      <w:r w:rsidR="00E15FDA">
        <w:t>other creditors</w:t>
      </w:r>
      <w:r w:rsidR="00CD113A">
        <w:t>”</w:t>
      </w:r>
      <w:r w:rsidR="00E15FDA">
        <w:t xml:space="preserve"> category. </w:t>
      </w:r>
    </w:p>
    <w:p w14:paraId="030B2204" w14:textId="52AC44D0" w:rsidR="009C7203" w:rsidRDefault="00B6500C" w:rsidP="00B6500C">
      <w:pPr>
        <w:pStyle w:val="ParaNumbering"/>
        <w:numPr>
          <w:ilvl w:val="0"/>
          <w:numId w:val="0"/>
        </w:numPr>
        <w:ind w:hanging="720"/>
      </w:pPr>
      <w:r>
        <w:rPr>
          <w:iCs/>
          <w:sz w:val="20"/>
        </w:rPr>
        <w:t>140</w:t>
      </w:r>
      <w:r>
        <w:rPr>
          <w:iCs/>
          <w:sz w:val="20"/>
        </w:rPr>
        <w:tab/>
      </w:r>
      <w:r w:rsidR="0027687E">
        <w:t>The Deed Administrators</w:t>
      </w:r>
      <w:r w:rsidR="00FB7152" w:rsidRPr="00FB7152">
        <w:t xml:space="preserve"> will facilitate the submission of proofs by </w:t>
      </w:r>
      <w:r w:rsidR="00507E18">
        <w:t>f</w:t>
      </w:r>
      <w:r w:rsidR="00FB7152" w:rsidRPr="00FB7152">
        <w:t xml:space="preserve">ormer </w:t>
      </w:r>
      <w:r w:rsidR="00507E18">
        <w:t>c</w:t>
      </w:r>
      <w:r w:rsidR="00FB7152" w:rsidRPr="00FB7152">
        <w:t xml:space="preserve">lients by pre-populating their proofs with the E&amp;P Loss Data, which those clients will simply be able to confirm or object to. If the </w:t>
      </w:r>
      <w:r w:rsidR="00507E18">
        <w:t>f</w:t>
      </w:r>
      <w:r w:rsidR="00FB7152" w:rsidRPr="00FB7152">
        <w:t xml:space="preserve">ormer </w:t>
      </w:r>
      <w:r w:rsidR="00507E18">
        <w:t>c</w:t>
      </w:r>
      <w:r w:rsidR="00FB7152" w:rsidRPr="00FB7152">
        <w:t>lients disagree with the pre-populated data, they will have an opportunity to provide</w:t>
      </w:r>
      <w:r w:rsidR="003E6D18" w:rsidRPr="003E6D18">
        <w:t xml:space="preserve"> </w:t>
      </w:r>
      <w:r w:rsidR="003E6D18" w:rsidRPr="00FB7152">
        <w:t>to the Deed Administrators</w:t>
      </w:r>
      <w:r w:rsidR="00FB7152" w:rsidRPr="00FB7152">
        <w:t xml:space="preserve"> evidence </w:t>
      </w:r>
      <w:r w:rsidR="00507E18">
        <w:t>which</w:t>
      </w:r>
      <w:r w:rsidR="00FB7152" w:rsidRPr="00FB7152">
        <w:t xml:space="preserve"> supports their contentions</w:t>
      </w:r>
      <w:r w:rsidR="009C7203">
        <w:t>. That evidence will then be assessed</w:t>
      </w:r>
      <w:r w:rsidR="00FB7152" w:rsidRPr="00FB7152">
        <w:t>.</w:t>
      </w:r>
      <w:r w:rsidR="009C7203">
        <w:t xml:space="preserve"> </w:t>
      </w:r>
    </w:p>
    <w:p w14:paraId="1B335FCF" w14:textId="1654EA46" w:rsidR="00FB7152" w:rsidRPr="00FB7152" w:rsidRDefault="00B6500C" w:rsidP="00B6500C">
      <w:pPr>
        <w:pStyle w:val="ParaNumbering"/>
        <w:numPr>
          <w:ilvl w:val="0"/>
          <w:numId w:val="0"/>
        </w:numPr>
        <w:ind w:hanging="720"/>
      </w:pPr>
      <w:r w:rsidRPr="00FB7152">
        <w:rPr>
          <w:iCs/>
          <w:sz w:val="20"/>
        </w:rPr>
        <w:t>141</w:t>
      </w:r>
      <w:r w:rsidRPr="00FB7152">
        <w:rPr>
          <w:iCs/>
          <w:sz w:val="20"/>
        </w:rPr>
        <w:tab/>
      </w:r>
      <w:r w:rsidR="00FB7152" w:rsidRPr="00FB7152">
        <w:t>Paragraph 3 of the Deed Administrators</w:t>
      </w:r>
      <w:r w:rsidR="00CD113A">
        <w:t>’</w:t>
      </w:r>
      <w:r w:rsidR="00FB7152" w:rsidRPr="00FB7152">
        <w:t xml:space="preserve"> proposed form of order</w:t>
      </w:r>
      <w:r w:rsidR="003019FB">
        <w:t>s</w:t>
      </w:r>
      <w:r w:rsidR="00FB7152" w:rsidRPr="00FB7152">
        <w:t xml:space="preserve"> sets out the process the Deed Administrators propose to follow to administer the proof of debt process. It is based upon the terms of regs 5.6.48, 5.6.53 and 5.6.54 of the </w:t>
      </w:r>
      <w:r w:rsidR="00FB7152" w:rsidRPr="00CB65C1">
        <w:rPr>
          <w:b/>
          <w:bCs/>
          <w:i/>
          <w:iCs/>
        </w:rPr>
        <w:t>Corporations Regulations</w:t>
      </w:r>
      <w:r w:rsidR="00C1068B" w:rsidRPr="00CB65C1">
        <w:rPr>
          <w:i/>
          <w:iCs/>
        </w:rPr>
        <w:t xml:space="preserve"> 2001</w:t>
      </w:r>
      <w:r w:rsidR="00D662A7" w:rsidRPr="00CB65C1">
        <w:rPr>
          <w:i/>
          <w:iCs/>
        </w:rPr>
        <w:t xml:space="preserve"> </w:t>
      </w:r>
      <w:r w:rsidR="00D662A7" w:rsidRPr="00CB65C1">
        <w:t>(</w:t>
      </w:r>
      <w:proofErr w:type="spellStart"/>
      <w:r w:rsidR="00D662A7" w:rsidRPr="00CB65C1">
        <w:t>Cth</w:t>
      </w:r>
      <w:proofErr w:type="spellEnd"/>
      <w:r w:rsidR="00D662A7" w:rsidRPr="00CB65C1">
        <w:t>)</w:t>
      </w:r>
      <w:r w:rsidR="00FB7152" w:rsidRPr="00FB7152">
        <w:t>, with an amended timeframe permitted to the Deed Administrators to account for a number of factors, including:</w:t>
      </w:r>
    </w:p>
    <w:p w14:paraId="00B4A78D" w14:textId="19D83423" w:rsidR="0003097B" w:rsidRPr="0003097B" w:rsidRDefault="00B6500C" w:rsidP="00B6500C">
      <w:pPr>
        <w:pStyle w:val="ListNo1alt"/>
        <w:numPr>
          <w:ilvl w:val="0"/>
          <w:numId w:val="0"/>
        </w:numPr>
        <w:tabs>
          <w:tab w:val="left" w:pos="720"/>
        </w:tabs>
        <w:ind w:left="720" w:hanging="720"/>
      </w:pPr>
      <w:r w:rsidRPr="0003097B">
        <w:t>(a)</w:t>
      </w:r>
      <w:r w:rsidRPr="0003097B">
        <w:tab/>
      </w:r>
      <w:r w:rsidR="0003097B" w:rsidRPr="0003097B">
        <w:t>payment of the Tranche B Payment, which will not occur until after the expiry of the 49-day appeal period (should the settlement be approved);</w:t>
      </w:r>
    </w:p>
    <w:p w14:paraId="2D8C871E" w14:textId="5B3EF8B6" w:rsidR="0003097B" w:rsidRPr="0003097B" w:rsidRDefault="00B6500C" w:rsidP="00B6500C">
      <w:pPr>
        <w:pStyle w:val="ListNo1alt"/>
        <w:numPr>
          <w:ilvl w:val="0"/>
          <w:numId w:val="0"/>
        </w:numPr>
        <w:tabs>
          <w:tab w:val="left" w:pos="720"/>
        </w:tabs>
        <w:ind w:left="720" w:hanging="720"/>
      </w:pPr>
      <w:r w:rsidRPr="0003097B">
        <w:t>(b)</w:t>
      </w:r>
      <w:r w:rsidRPr="0003097B">
        <w:tab/>
      </w:r>
      <w:r w:rsidR="0003097B" w:rsidRPr="0003097B">
        <w:t xml:space="preserve">stress-testing the Creditor Portal with the </w:t>
      </w:r>
      <w:r w:rsidR="004D2B52">
        <w:t>committee of inspection</w:t>
      </w:r>
      <w:r w:rsidR="0003097B" w:rsidRPr="0003097B">
        <w:t xml:space="preserve"> prior to commencing the adjudication process, and any necessary maintenance to the Creditor Portal following that process to ensure it operates as intended; and</w:t>
      </w:r>
    </w:p>
    <w:p w14:paraId="03285AE7" w14:textId="1B1DA490" w:rsidR="0003097B" w:rsidRPr="0003097B" w:rsidRDefault="00B6500C" w:rsidP="00B6500C">
      <w:pPr>
        <w:pStyle w:val="ListNo1alt"/>
        <w:numPr>
          <w:ilvl w:val="0"/>
          <w:numId w:val="0"/>
        </w:numPr>
        <w:tabs>
          <w:tab w:val="left" w:pos="720"/>
        </w:tabs>
        <w:ind w:left="720" w:hanging="720"/>
      </w:pPr>
      <w:r w:rsidRPr="0003097B">
        <w:t>(c)</w:t>
      </w:r>
      <w:r w:rsidRPr="0003097B">
        <w:tab/>
      </w:r>
      <w:r w:rsidR="0003097B" w:rsidRPr="0003097B">
        <w:t>facilitating the notification and adjudication process to up to 8,000 creditors via electronic means and ordinary post.</w:t>
      </w:r>
    </w:p>
    <w:p w14:paraId="3E33F618" w14:textId="77777777" w:rsidR="0003097B" w:rsidRPr="0003097B" w:rsidRDefault="0003097B" w:rsidP="00E15FDA">
      <w:pPr>
        <w:pStyle w:val="Heading2"/>
      </w:pPr>
      <w:r w:rsidRPr="0003097B">
        <w:t>Documents to substantiate the proofs of debt</w:t>
      </w:r>
    </w:p>
    <w:p w14:paraId="1EB5738D" w14:textId="60E3B82E" w:rsidR="0003097B" w:rsidRPr="0003097B" w:rsidRDefault="00B6500C" w:rsidP="00B6500C">
      <w:pPr>
        <w:pStyle w:val="ParaNumbering"/>
        <w:numPr>
          <w:ilvl w:val="0"/>
          <w:numId w:val="0"/>
        </w:numPr>
        <w:ind w:hanging="720"/>
      </w:pPr>
      <w:r w:rsidRPr="0003097B">
        <w:rPr>
          <w:iCs/>
          <w:sz w:val="20"/>
        </w:rPr>
        <w:t>142</w:t>
      </w:r>
      <w:r w:rsidRPr="0003097B">
        <w:rPr>
          <w:iCs/>
          <w:sz w:val="20"/>
        </w:rPr>
        <w:tab/>
      </w:r>
      <w:r w:rsidR="009C7203">
        <w:t>As mentioned, during</w:t>
      </w:r>
      <w:r w:rsidR="0003097B" w:rsidRPr="0003097B">
        <w:t xml:space="preserve"> the deed administration, the Deed Administrators have formed the view that there are a substantial number of </w:t>
      </w:r>
      <w:r w:rsidR="009C7203">
        <w:t>f</w:t>
      </w:r>
      <w:r w:rsidR="0003097B" w:rsidRPr="0003097B">
        <w:t xml:space="preserve">ormer </w:t>
      </w:r>
      <w:r w:rsidR="009C7203">
        <w:t>c</w:t>
      </w:r>
      <w:r w:rsidR="0003097B" w:rsidRPr="0003097B">
        <w:t>lients who are unsophisticated investors</w:t>
      </w:r>
      <w:r w:rsidR="009C7203">
        <w:t>. These include people</w:t>
      </w:r>
      <w:r w:rsidR="0003097B" w:rsidRPr="0003097B">
        <w:t xml:space="preserve"> who may not have established document retention regimes. </w:t>
      </w:r>
      <w:r w:rsidR="00A766F7">
        <w:t>T</w:t>
      </w:r>
      <w:r w:rsidR="0003097B" w:rsidRPr="0003097B">
        <w:t xml:space="preserve">hey expect there to be a wide variation in the quality of record-keeping across the body of </w:t>
      </w:r>
      <w:r w:rsidR="00A766F7">
        <w:t>f</w:t>
      </w:r>
      <w:r w:rsidR="0003097B" w:rsidRPr="0003097B">
        <w:t xml:space="preserve">ormer </w:t>
      </w:r>
      <w:r w:rsidR="00A766F7">
        <w:t>c</w:t>
      </w:r>
      <w:r w:rsidR="0003097B" w:rsidRPr="0003097B">
        <w:t>lients.</w:t>
      </w:r>
    </w:p>
    <w:p w14:paraId="321EA0F2" w14:textId="1C897895" w:rsidR="0003097B" w:rsidRPr="0003097B" w:rsidRDefault="00B6500C" w:rsidP="00B6500C">
      <w:pPr>
        <w:pStyle w:val="ParaNumbering"/>
        <w:numPr>
          <w:ilvl w:val="0"/>
          <w:numId w:val="0"/>
        </w:numPr>
        <w:ind w:hanging="720"/>
      </w:pPr>
      <w:r w:rsidRPr="0003097B">
        <w:rPr>
          <w:iCs/>
          <w:sz w:val="20"/>
        </w:rPr>
        <w:t>143</w:t>
      </w:r>
      <w:r w:rsidRPr="0003097B">
        <w:rPr>
          <w:iCs/>
          <w:sz w:val="20"/>
        </w:rPr>
        <w:tab/>
      </w:r>
      <w:r w:rsidR="00644EC9">
        <w:t>The Deed Administrators</w:t>
      </w:r>
      <w:r w:rsidR="0003097B" w:rsidRPr="0003097B">
        <w:t xml:space="preserve"> seek a direction that they are justified and acting reasonably in accepting claims where evidence of the following nature has been provided:</w:t>
      </w:r>
    </w:p>
    <w:p w14:paraId="5C112AA5" w14:textId="53025BD2" w:rsidR="0003097B" w:rsidRPr="0003097B" w:rsidRDefault="00B6500C" w:rsidP="00B6500C">
      <w:pPr>
        <w:pStyle w:val="ListNo1alt"/>
        <w:numPr>
          <w:ilvl w:val="0"/>
          <w:numId w:val="0"/>
        </w:numPr>
        <w:tabs>
          <w:tab w:val="left" w:pos="720"/>
        </w:tabs>
        <w:ind w:left="720" w:hanging="720"/>
      </w:pPr>
      <w:r w:rsidRPr="0003097B">
        <w:t>(a)</w:t>
      </w:r>
      <w:r w:rsidRPr="0003097B">
        <w:tab/>
      </w:r>
      <w:r w:rsidR="0003097B" w:rsidRPr="0003097B">
        <w:t xml:space="preserve">documents created by the E&amp;P </w:t>
      </w:r>
      <w:r w:rsidR="006D5CBF">
        <w:t>G</w:t>
      </w:r>
      <w:r w:rsidR="0003097B" w:rsidRPr="0003097B">
        <w:t>roup, including portfolio and transactions statements, holding summaries, buy/sell statements or unit/share certificates;</w:t>
      </w:r>
    </w:p>
    <w:p w14:paraId="199DE7C4" w14:textId="14E93E29" w:rsidR="0003097B" w:rsidRPr="0003097B" w:rsidRDefault="00B6500C" w:rsidP="00B6500C">
      <w:pPr>
        <w:pStyle w:val="ListNo1alt"/>
        <w:numPr>
          <w:ilvl w:val="0"/>
          <w:numId w:val="0"/>
        </w:numPr>
        <w:tabs>
          <w:tab w:val="left" w:pos="720"/>
        </w:tabs>
        <w:ind w:left="720" w:hanging="720"/>
      </w:pPr>
      <w:r w:rsidRPr="0003097B">
        <w:lastRenderedPageBreak/>
        <w:t>(b)</w:t>
      </w:r>
      <w:r w:rsidRPr="0003097B">
        <w:tab/>
      </w:r>
      <w:r w:rsidR="0003097B" w:rsidRPr="0003097B">
        <w:t xml:space="preserve">workings prepared by </w:t>
      </w:r>
      <w:r w:rsidR="00687688">
        <w:t>f</w:t>
      </w:r>
      <w:r w:rsidR="0003097B" w:rsidRPr="0003097B">
        <w:t xml:space="preserve">ormer </w:t>
      </w:r>
      <w:r w:rsidR="00687688">
        <w:t>c</w:t>
      </w:r>
      <w:r w:rsidR="0003097B" w:rsidRPr="0003097B">
        <w:t xml:space="preserve">lients provided they are supported by bank statements and/or other documents created by the E&amp;P </w:t>
      </w:r>
      <w:r w:rsidR="006D5CBF">
        <w:t>G</w:t>
      </w:r>
      <w:r w:rsidR="0003097B" w:rsidRPr="0003097B">
        <w:t>roup;</w:t>
      </w:r>
    </w:p>
    <w:p w14:paraId="59D10C4A" w14:textId="1E008489" w:rsidR="0003097B" w:rsidRPr="0003097B" w:rsidRDefault="00B6500C" w:rsidP="00B6500C">
      <w:pPr>
        <w:pStyle w:val="ListNo1alt"/>
        <w:numPr>
          <w:ilvl w:val="0"/>
          <w:numId w:val="0"/>
        </w:numPr>
        <w:tabs>
          <w:tab w:val="left" w:pos="720"/>
        </w:tabs>
        <w:ind w:left="720" w:hanging="720"/>
      </w:pPr>
      <w:r w:rsidRPr="0003097B">
        <w:t>(c)</w:t>
      </w:r>
      <w:r w:rsidRPr="0003097B">
        <w:tab/>
      </w:r>
      <w:r w:rsidR="0003097B" w:rsidRPr="0003097B">
        <w:t>a statutory declaration supported by bank statements; and/or</w:t>
      </w:r>
    </w:p>
    <w:p w14:paraId="50A9D92B" w14:textId="649407EA" w:rsidR="0003097B" w:rsidRPr="0003097B" w:rsidRDefault="00B6500C" w:rsidP="00B6500C">
      <w:pPr>
        <w:pStyle w:val="ListNo1alt"/>
        <w:numPr>
          <w:ilvl w:val="0"/>
          <w:numId w:val="0"/>
        </w:numPr>
        <w:tabs>
          <w:tab w:val="left" w:pos="720"/>
        </w:tabs>
        <w:ind w:left="720" w:hanging="720"/>
      </w:pPr>
      <w:r w:rsidRPr="0003097B">
        <w:t>(d)</w:t>
      </w:r>
      <w:r w:rsidRPr="0003097B">
        <w:tab/>
      </w:r>
      <w:r w:rsidR="0003097B" w:rsidRPr="0003097B">
        <w:t>any other evidence the Deed Administrators reasonably consider</w:t>
      </w:r>
      <w:r w:rsidR="00687688">
        <w:t>s</w:t>
      </w:r>
      <w:r w:rsidR="0003097B" w:rsidRPr="0003097B">
        <w:t xml:space="preserve"> is sufficient to prove the claim.</w:t>
      </w:r>
    </w:p>
    <w:p w14:paraId="1EFD378A" w14:textId="7AA69AF8" w:rsidR="0003097B" w:rsidRPr="0003097B" w:rsidRDefault="00B6500C" w:rsidP="00B6500C">
      <w:pPr>
        <w:pStyle w:val="ParaNumbering"/>
        <w:numPr>
          <w:ilvl w:val="0"/>
          <w:numId w:val="0"/>
        </w:numPr>
        <w:ind w:hanging="720"/>
      </w:pPr>
      <w:r w:rsidRPr="0003097B">
        <w:rPr>
          <w:iCs/>
          <w:sz w:val="20"/>
        </w:rPr>
        <w:t>144</w:t>
      </w:r>
      <w:r w:rsidRPr="0003097B">
        <w:rPr>
          <w:iCs/>
          <w:sz w:val="20"/>
        </w:rPr>
        <w:tab/>
      </w:r>
      <w:r w:rsidR="0003097B" w:rsidRPr="0003097B">
        <w:t xml:space="preserve">The </w:t>
      </w:r>
      <w:r w:rsidR="00C86FEF">
        <w:t>Deed Administrators submitted that th</w:t>
      </w:r>
      <w:r w:rsidR="00264C2B">
        <w:t>is</w:t>
      </w:r>
      <w:r w:rsidR="00C86FEF">
        <w:t xml:space="preserve"> </w:t>
      </w:r>
      <w:r w:rsidR="0003097B" w:rsidRPr="0003097B">
        <w:t xml:space="preserve">direction would permit the Deed Administrators to act efficiently and cost-effectively in assessing claims, in circumstances where the quality of documentation </w:t>
      </w:r>
      <w:r w:rsidR="00C86FEF">
        <w:t>is likely to</w:t>
      </w:r>
      <w:r w:rsidR="0003097B" w:rsidRPr="0003097B">
        <w:t xml:space="preserve"> vary and it would be unrealistic to expect perfection in the documentary evidence available.</w:t>
      </w:r>
    </w:p>
    <w:p w14:paraId="734878B4" w14:textId="77777777" w:rsidR="0003097B" w:rsidRPr="0003097B" w:rsidRDefault="0003097B" w:rsidP="00C86FEF">
      <w:pPr>
        <w:pStyle w:val="Heading2"/>
      </w:pPr>
      <w:r w:rsidRPr="0003097B">
        <w:t>Materiality thresholds</w:t>
      </w:r>
    </w:p>
    <w:p w14:paraId="3407DEA3" w14:textId="1B0DC761" w:rsidR="00FD1A25" w:rsidRPr="00FD1A25" w:rsidRDefault="00B6500C" w:rsidP="00B6500C">
      <w:pPr>
        <w:pStyle w:val="ParaNumbering"/>
        <w:numPr>
          <w:ilvl w:val="0"/>
          <w:numId w:val="0"/>
        </w:numPr>
        <w:ind w:hanging="720"/>
      </w:pPr>
      <w:r w:rsidRPr="00FD1A25">
        <w:rPr>
          <w:iCs/>
          <w:sz w:val="20"/>
        </w:rPr>
        <w:t>145</w:t>
      </w:r>
      <w:r w:rsidRPr="00FD1A25">
        <w:rPr>
          <w:iCs/>
          <w:sz w:val="20"/>
        </w:rPr>
        <w:tab/>
      </w:r>
      <w:r w:rsidR="0062146E">
        <w:t xml:space="preserve">It </w:t>
      </w:r>
      <w:r w:rsidR="0003097B" w:rsidRPr="0003097B">
        <w:t xml:space="preserve">is possible that there will be a difference between the </w:t>
      </w:r>
      <w:r w:rsidR="0062146E">
        <w:t>quantification</w:t>
      </w:r>
      <w:r w:rsidR="0003097B" w:rsidRPr="0003097B">
        <w:t xml:space="preserve"> of the loss the Deed Administrators have calculated for some </w:t>
      </w:r>
      <w:r w:rsidR="0062146E">
        <w:t>f</w:t>
      </w:r>
      <w:r w:rsidR="0003097B" w:rsidRPr="0003097B">
        <w:t xml:space="preserve">ormer </w:t>
      </w:r>
      <w:r w:rsidR="0062146E">
        <w:t>c</w:t>
      </w:r>
      <w:r w:rsidR="0003097B" w:rsidRPr="0003097B">
        <w:t xml:space="preserve">lients (Quantified Claims) and the sum of the loss the </w:t>
      </w:r>
      <w:r w:rsidR="0062146E">
        <w:t>f</w:t>
      </w:r>
      <w:r w:rsidR="0003097B" w:rsidRPr="0003097B">
        <w:t xml:space="preserve">ormer </w:t>
      </w:r>
      <w:r w:rsidR="0062146E">
        <w:t>c</w:t>
      </w:r>
      <w:r w:rsidR="0003097B" w:rsidRPr="0003097B">
        <w:t>lients assert they suffered (Asserted Loss Claims). Where the Asserted Loss Claim sum</w:t>
      </w:r>
      <w:r w:rsidR="00FD1A25">
        <w:t xml:space="preserve"> </w:t>
      </w:r>
      <w:r w:rsidR="00FD1A25" w:rsidRPr="00FD1A25">
        <w:t xml:space="preserve">is higher, and the difference between those two amounts is immaterial, the Deed Administrators propose to accept </w:t>
      </w:r>
      <w:r w:rsidR="00946C66" w:rsidRPr="00FD1A25">
        <w:t xml:space="preserve">automatically </w:t>
      </w:r>
      <w:r w:rsidR="00FD1A25" w:rsidRPr="00FD1A25">
        <w:t xml:space="preserve">the Asserted Loss Claim figure. This proposal is aimed </w:t>
      </w:r>
      <w:r w:rsidR="00FD1A25">
        <w:t>at</w:t>
      </w:r>
      <w:r w:rsidR="00FD1A25" w:rsidRPr="00FD1A25">
        <w:t xml:space="preserve"> </w:t>
      </w:r>
      <w:r w:rsidR="00FD1A25">
        <w:t>addressing</w:t>
      </w:r>
      <w:r w:rsidR="00FD1A25" w:rsidRPr="00FD1A25">
        <w:t xml:space="preserve"> cases where the differences between the Quantified Claims and the Asserted Loss Claims are modest, and do not justify the incurring of further costs</w:t>
      </w:r>
      <w:r w:rsidR="00FD1A25">
        <w:t xml:space="preserve">. The </w:t>
      </w:r>
      <w:r w:rsidR="00FD1A25" w:rsidRPr="00FD1A25">
        <w:t>Deed Administrators have estimated that the cost of reviewing alternative calculations of each relevant claim will cost in the range of $1,200 to $1,900 per creditor</w:t>
      </w:r>
      <w:r w:rsidR="00FD1A25">
        <w:t>.</w:t>
      </w:r>
    </w:p>
    <w:p w14:paraId="47D8AA8E" w14:textId="44520EC7" w:rsidR="00FD1A25" w:rsidRPr="00FD1A25" w:rsidRDefault="00B6500C" w:rsidP="00B6500C">
      <w:pPr>
        <w:pStyle w:val="ParaNumbering"/>
        <w:numPr>
          <w:ilvl w:val="0"/>
          <w:numId w:val="0"/>
        </w:numPr>
        <w:ind w:hanging="720"/>
      </w:pPr>
      <w:r w:rsidRPr="00FD1A25">
        <w:rPr>
          <w:iCs/>
          <w:sz w:val="20"/>
        </w:rPr>
        <w:t>146</w:t>
      </w:r>
      <w:r w:rsidRPr="00FD1A25">
        <w:rPr>
          <w:iCs/>
          <w:sz w:val="20"/>
        </w:rPr>
        <w:tab/>
      </w:r>
      <w:r w:rsidR="00290B1E">
        <w:t>In this respect, the Deed Administrators referred to</w:t>
      </w:r>
      <w:r w:rsidR="00D1765B">
        <w:t xml:space="preserve"> the decision of Gordon J in</w:t>
      </w:r>
      <w:r w:rsidR="00290B1E">
        <w:t xml:space="preserve"> </w:t>
      </w:r>
      <w:r w:rsidR="00FD1A25" w:rsidRPr="00CB65C1">
        <w:rPr>
          <w:i/>
          <w:iCs/>
        </w:rPr>
        <w:t>Georges v Seaborn International (Trust</w:t>
      </w:r>
      <w:r w:rsidR="00743344" w:rsidRPr="00CB65C1">
        <w:rPr>
          <w:i/>
          <w:iCs/>
        </w:rPr>
        <w:t>ee</w:t>
      </w:r>
      <w:r w:rsidR="00FD1A25" w:rsidRPr="00CB65C1">
        <w:rPr>
          <w:i/>
          <w:iCs/>
        </w:rPr>
        <w:t>)</w:t>
      </w:r>
      <w:r w:rsidR="00743344" w:rsidRPr="00CB65C1">
        <w:rPr>
          <w:i/>
          <w:iCs/>
        </w:rPr>
        <w:t xml:space="preserve">, in the matter of </w:t>
      </w:r>
      <w:proofErr w:type="spellStart"/>
      <w:r w:rsidR="00743344" w:rsidRPr="00CB65C1">
        <w:rPr>
          <w:i/>
          <w:iCs/>
        </w:rPr>
        <w:t>Sonray</w:t>
      </w:r>
      <w:proofErr w:type="spellEnd"/>
      <w:r w:rsidR="00743344" w:rsidRPr="00CB65C1">
        <w:rPr>
          <w:i/>
          <w:iCs/>
        </w:rPr>
        <w:t xml:space="preserve"> Capital Markets Pty Ltd (in </w:t>
      </w:r>
      <w:proofErr w:type="spellStart"/>
      <w:r w:rsidR="00743344" w:rsidRPr="00CB65C1">
        <w:rPr>
          <w:i/>
          <w:iCs/>
        </w:rPr>
        <w:t>liq</w:t>
      </w:r>
      <w:proofErr w:type="spellEnd"/>
      <w:r w:rsidR="00743344" w:rsidRPr="00CB65C1">
        <w:rPr>
          <w:i/>
          <w:iCs/>
        </w:rPr>
        <w:t>)</w:t>
      </w:r>
      <w:r w:rsidR="00D65BDD" w:rsidRPr="00CB65C1">
        <w:rPr>
          <w:i/>
          <w:iCs/>
        </w:rPr>
        <w:t xml:space="preserve"> </w:t>
      </w:r>
      <w:r w:rsidR="00743344" w:rsidRPr="00CB65C1">
        <w:rPr>
          <w:lang w:val="en-US"/>
        </w:rPr>
        <w:t>[</w:t>
      </w:r>
      <w:r w:rsidR="00D65BDD" w:rsidRPr="00CB65C1">
        <w:rPr>
          <w:lang w:val="en-US"/>
        </w:rPr>
        <w:t>2012</w:t>
      </w:r>
      <w:r w:rsidR="00743344" w:rsidRPr="00CB65C1">
        <w:rPr>
          <w:lang w:val="en-US"/>
        </w:rPr>
        <w:t>] FCA 75;</w:t>
      </w:r>
      <w:r w:rsidR="00D65BDD" w:rsidRPr="00CB65C1">
        <w:rPr>
          <w:lang w:val="en-US"/>
        </w:rPr>
        <w:t xml:space="preserve"> 288 ALR 240</w:t>
      </w:r>
      <w:r w:rsidR="00D65BDD" w:rsidRPr="001412DD">
        <w:rPr>
          <w:lang w:val="en-US"/>
        </w:rPr>
        <w:t>.</w:t>
      </w:r>
      <w:r w:rsidR="00D1765B" w:rsidRPr="001412DD">
        <w:rPr>
          <w:lang w:val="en-US"/>
        </w:rPr>
        <w:t xml:space="preserve"> </w:t>
      </w:r>
      <w:r w:rsidR="00743344">
        <w:t>L</w:t>
      </w:r>
      <w:r w:rsidR="00743344" w:rsidRPr="00FD1A25">
        <w:t>iquidators</w:t>
      </w:r>
      <w:r w:rsidR="00FD1A25" w:rsidRPr="00FD1A25">
        <w:t xml:space="preserve"> had been appointed to </w:t>
      </w:r>
      <w:proofErr w:type="spellStart"/>
      <w:r w:rsidR="00FD1A25" w:rsidRPr="00FD1A25">
        <w:t>Sonray</w:t>
      </w:r>
      <w:proofErr w:type="spellEnd"/>
      <w:r w:rsidR="00FD1A25" w:rsidRPr="00FD1A25">
        <w:t xml:space="preserve">, which provided financial product advice and services to its clients about trading in financial products and provided access to trading platforms to enable clients to trade. The funds and assets were spread over a number of segregated accounts, denominated in various currencies, with numerous shareholdings and open trading positions held by a range of </w:t>
      </w:r>
      <w:r w:rsidR="00933688" w:rsidRPr="00FD1A25">
        <w:t>third-party</w:t>
      </w:r>
      <w:r w:rsidR="00FD1A25" w:rsidRPr="00FD1A25">
        <w:t xml:space="preserve"> institutions. The</w:t>
      </w:r>
      <w:r w:rsidR="001412DD">
        <w:t xml:space="preserve"> funds</w:t>
      </w:r>
      <w:r w:rsidR="00FD1A25" w:rsidRPr="00FD1A25">
        <w:t xml:space="preserve"> had been mixed and subjected to substantial unauthorised withdrawals, dealings</w:t>
      </w:r>
      <w:r w:rsidR="00933688">
        <w:t>,</w:t>
      </w:r>
      <w:r w:rsidR="00FD1A25" w:rsidRPr="00FD1A25">
        <w:t xml:space="preserve"> and trading</w:t>
      </w:r>
      <w:r w:rsidR="001412DD">
        <w:t>. This had</w:t>
      </w:r>
      <w:r w:rsidR="00FD1A25" w:rsidRPr="00FD1A25">
        <w:t xml:space="preserve"> result</w:t>
      </w:r>
      <w:r w:rsidR="001412DD">
        <w:t>ed</w:t>
      </w:r>
      <w:r w:rsidR="00FD1A25" w:rsidRPr="00FD1A25">
        <w:t xml:space="preserve"> in $45.6 million in losses. Approximately 4</w:t>
      </w:r>
      <w:r w:rsidR="00933688">
        <w:t>,</w:t>
      </w:r>
      <w:r w:rsidR="00FD1A25" w:rsidRPr="00FD1A25">
        <w:t xml:space="preserve">000 investors were affected. </w:t>
      </w:r>
      <w:proofErr w:type="spellStart"/>
      <w:r w:rsidR="00FD1A25" w:rsidRPr="00FD1A25">
        <w:t>Sonray</w:t>
      </w:r>
      <w:r w:rsidR="00CD113A">
        <w:t>’</w:t>
      </w:r>
      <w:r w:rsidR="00FD1A25" w:rsidRPr="00FD1A25">
        <w:t>s</w:t>
      </w:r>
      <w:proofErr w:type="spellEnd"/>
      <w:r w:rsidR="00FD1A25" w:rsidRPr="00FD1A25">
        <w:t xml:space="preserve"> records were incomplete, and it was practically impossible to ascertain entitlements to each of the segregated accounts.</w:t>
      </w:r>
      <w:r w:rsidR="001412DD">
        <w:t xml:space="preserve"> </w:t>
      </w:r>
      <w:r w:rsidR="00FD1A25" w:rsidRPr="00FD1A25">
        <w:t xml:space="preserve">The liquidators sought orders pooling the funds and distributing them rateably, along with a direction that they be entitled to treat </w:t>
      </w:r>
      <w:proofErr w:type="spellStart"/>
      <w:r w:rsidR="00FD1A25" w:rsidRPr="00FD1A25">
        <w:t>Sonray</w:t>
      </w:r>
      <w:proofErr w:type="spellEnd"/>
      <w:r w:rsidR="00FD1A25" w:rsidRPr="00FD1A25">
        <w:t xml:space="preserve"> clients whose entitlement to participate in the segregated accounts was $50 or less as having no </w:t>
      </w:r>
      <w:r w:rsidR="00FD1A25" w:rsidRPr="00FD1A25">
        <w:lastRenderedPageBreak/>
        <w:t>entitlement. It was common ground that the approach suggested by the liquidators was sensible, practical and expedient in the circumstances, and the court gave the direction sought</w:t>
      </w:r>
      <w:r w:rsidR="000623C1">
        <w:t xml:space="preserve"> – see order 4 made on 10 February 2012</w:t>
      </w:r>
      <w:r w:rsidR="00FD1A25" w:rsidRPr="00FD1A25">
        <w:t>.</w:t>
      </w:r>
    </w:p>
    <w:p w14:paraId="7458069B" w14:textId="2B3250CA" w:rsidR="00E31B87" w:rsidRDefault="00B6500C" w:rsidP="00B6500C">
      <w:pPr>
        <w:pStyle w:val="ParaNumbering"/>
        <w:numPr>
          <w:ilvl w:val="0"/>
          <w:numId w:val="0"/>
        </w:numPr>
        <w:ind w:hanging="720"/>
      </w:pPr>
      <w:r>
        <w:rPr>
          <w:iCs/>
          <w:sz w:val="20"/>
        </w:rPr>
        <w:t>147</w:t>
      </w:r>
      <w:r>
        <w:rPr>
          <w:iCs/>
          <w:sz w:val="20"/>
        </w:rPr>
        <w:tab/>
      </w:r>
      <w:r w:rsidR="00E31B87">
        <w:t xml:space="preserve">The Deed Administrators submitted that it was </w:t>
      </w:r>
      <w:r w:rsidR="00FD1A25" w:rsidRPr="00FD1A25">
        <w:t xml:space="preserve">appropriate to take a similar approach here. Balancing the cost of assessing the Asserted Loss Claims against the likely differences between the Quantified Claims and the Asserted Loss Claims (as </w:t>
      </w:r>
      <w:r w:rsidR="00E31B87">
        <w:t>set out in a</w:t>
      </w:r>
      <w:r w:rsidR="00FD1A25" w:rsidRPr="00FD1A25">
        <w:t xml:space="preserve"> Confidential Exhibit), it is evident that there is no material benefit to be gained by creditors from the Deed Administrators undertaking the work of reviewing Asserted Loss Claims that fall beneath the proposed materiality thresholds. </w:t>
      </w:r>
    </w:p>
    <w:p w14:paraId="5E13EBAA" w14:textId="1F08AF1B" w:rsidR="00FD1A25" w:rsidRDefault="00B6500C" w:rsidP="00B6500C">
      <w:pPr>
        <w:pStyle w:val="ParaNumbering"/>
        <w:numPr>
          <w:ilvl w:val="0"/>
          <w:numId w:val="0"/>
        </w:numPr>
        <w:ind w:hanging="720"/>
      </w:pPr>
      <w:r>
        <w:rPr>
          <w:iCs/>
          <w:sz w:val="20"/>
        </w:rPr>
        <w:t>148</w:t>
      </w:r>
      <w:r>
        <w:rPr>
          <w:iCs/>
          <w:sz w:val="20"/>
        </w:rPr>
        <w:tab/>
      </w:r>
      <w:r w:rsidR="00FD1A25" w:rsidRPr="00FD1A25">
        <w:t>The Deed Administrators</w:t>
      </w:r>
      <w:r w:rsidR="00CD113A">
        <w:t>’</w:t>
      </w:r>
      <w:r w:rsidR="00FD1A25" w:rsidRPr="00FD1A25">
        <w:t xml:space="preserve"> proposed approach is practical and expedient in the circumstances</w:t>
      </w:r>
      <w:r w:rsidR="00790905">
        <w:t xml:space="preserve"> and the directions the</w:t>
      </w:r>
      <w:r w:rsidR="00FD1A25" w:rsidRPr="00FD1A25">
        <w:t>y</w:t>
      </w:r>
      <w:r w:rsidR="00790905">
        <w:t xml:space="preserve"> seek should be made</w:t>
      </w:r>
      <w:r w:rsidR="00FD1A25" w:rsidRPr="00FD1A25">
        <w:t>.</w:t>
      </w:r>
    </w:p>
    <w:p w14:paraId="0C6C4819" w14:textId="771320A5" w:rsidR="003E7A0C" w:rsidRDefault="008A4598" w:rsidP="000057CD">
      <w:pPr>
        <w:pStyle w:val="Heading2"/>
      </w:pPr>
      <w:r>
        <w:t>Inconsistency between former client creditors and claimants</w:t>
      </w:r>
    </w:p>
    <w:p w14:paraId="168730B3" w14:textId="1995B335" w:rsidR="000057CD" w:rsidRDefault="00B6500C" w:rsidP="00B6500C">
      <w:pPr>
        <w:pStyle w:val="ParaNumbering"/>
        <w:numPr>
          <w:ilvl w:val="0"/>
          <w:numId w:val="0"/>
        </w:numPr>
        <w:ind w:hanging="720"/>
        <w:rPr>
          <w:lang w:eastAsia="en-AU"/>
        </w:rPr>
      </w:pPr>
      <w:r>
        <w:rPr>
          <w:iCs/>
          <w:sz w:val="20"/>
          <w:lang w:eastAsia="en-AU"/>
        </w:rPr>
        <w:t>149</w:t>
      </w:r>
      <w:r>
        <w:rPr>
          <w:iCs/>
          <w:sz w:val="20"/>
          <w:lang w:eastAsia="en-AU"/>
        </w:rPr>
        <w:tab/>
      </w:r>
      <w:r w:rsidR="00793388">
        <w:rPr>
          <w:lang w:eastAsia="en-AU"/>
        </w:rPr>
        <w:t xml:space="preserve">The Deed Administrators have become aware that some former clients may have taken steps to alter, dissolve </w:t>
      </w:r>
      <w:r w:rsidR="007E6358">
        <w:rPr>
          <w:lang w:eastAsia="en-AU"/>
        </w:rPr>
        <w:t>or</w:t>
      </w:r>
      <w:r w:rsidR="00793388">
        <w:rPr>
          <w:lang w:eastAsia="en-AU"/>
        </w:rPr>
        <w:t xml:space="preserve"> deregister</w:t>
      </w:r>
      <w:r w:rsidR="004838B9">
        <w:rPr>
          <w:lang w:eastAsia="en-AU"/>
        </w:rPr>
        <w:t xml:space="preserve"> the client entity that entered into the contract with DASS for the provision of services. This includes, for example, dissolving a self-managed superannuation fund </w:t>
      </w:r>
      <w:r w:rsidR="00AC3F87">
        <w:rPr>
          <w:lang w:eastAsia="en-AU"/>
        </w:rPr>
        <w:t>(</w:t>
      </w:r>
      <w:r w:rsidR="00AC3F87">
        <w:rPr>
          <w:b/>
          <w:bCs/>
          <w:lang w:eastAsia="en-AU"/>
        </w:rPr>
        <w:t>SMSF</w:t>
      </w:r>
      <w:r w:rsidR="00AC3F87">
        <w:rPr>
          <w:lang w:eastAsia="en-AU"/>
        </w:rPr>
        <w:t xml:space="preserve">) </w:t>
      </w:r>
      <w:r w:rsidR="004838B9">
        <w:rPr>
          <w:lang w:eastAsia="en-AU"/>
        </w:rPr>
        <w:t>and moving to an industry or retail superannuation fund</w:t>
      </w:r>
      <w:r w:rsidR="00AC3F87">
        <w:rPr>
          <w:lang w:eastAsia="en-AU"/>
        </w:rPr>
        <w:t xml:space="preserve"> or appointing a new trustee to manage the SMSF</w:t>
      </w:r>
      <w:r w:rsidR="00551716">
        <w:rPr>
          <w:lang w:eastAsia="en-AU"/>
        </w:rPr>
        <w:t xml:space="preserve">. The consequence </w:t>
      </w:r>
      <w:r w:rsidR="00303BC4">
        <w:rPr>
          <w:lang w:eastAsia="en-AU"/>
        </w:rPr>
        <w:t xml:space="preserve">of such steps is that the beneficiaries of the SMSF (being the persons who </w:t>
      </w:r>
      <w:r w:rsidR="00C811FE">
        <w:rPr>
          <w:lang w:eastAsia="en-AU"/>
        </w:rPr>
        <w:t>have in fact suffered the loss</w:t>
      </w:r>
      <w:r w:rsidR="007B35BD">
        <w:rPr>
          <w:lang w:eastAsia="en-AU"/>
        </w:rPr>
        <w:t>)</w:t>
      </w:r>
      <w:r w:rsidR="00D201B0">
        <w:rPr>
          <w:lang w:eastAsia="en-AU"/>
        </w:rPr>
        <w:t xml:space="preserve"> might be prevented from receiving a dividend under the DOCA because the entity making the claim</w:t>
      </w:r>
      <w:r w:rsidR="004D13A7">
        <w:rPr>
          <w:lang w:eastAsia="en-AU"/>
        </w:rPr>
        <w:t xml:space="preserve"> may not correspond to the entity recorded in the E&amp;P Loss Data. In her affidavit, Ms Gill gave the following example</w:t>
      </w:r>
      <w:r w:rsidR="005B72B0">
        <w:rPr>
          <w:lang w:eastAsia="en-AU"/>
        </w:rPr>
        <w:t xml:space="preserve"> at [65] of her affidavit</w:t>
      </w:r>
      <w:r w:rsidR="004D13A7">
        <w:rPr>
          <w:lang w:eastAsia="en-AU"/>
        </w:rPr>
        <w:t>:</w:t>
      </w:r>
    </w:p>
    <w:p w14:paraId="5034DECE" w14:textId="37301E10" w:rsidR="004D13A7" w:rsidRDefault="00C37545" w:rsidP="00C37545">
      <w:pPr>
        <w:pStyle w:val="Quote1"/>
        <w:rPr>
          <w:lang w:eastAsia="en-AU"/>
        </w:rPr>
      </w:pPr>
      <w:r>
        <w:rPr>
          <w:lang w:eastAsia="en-AU"/>
        </w:rPr>
        <w:t>… For example, suppose that:</w:t>
      </w:r>
    </w:p>
    <w:p w14:paraId="4BE52928" w14:textId="0288939D" w:rsidR="00C37545" w:rsidRPr="00C37545" w:rsidRDefault="00C37545" w:rsidP="00C37545">
      <w:pPr>
        <w:pStyle w:val="Quote1"/>
        <w:ind w:left="1418" w:hanging="681"/>
      </w:pPr>
      <w:r w:rsidRPr="00C37545">
        <w:t xml:space="preserve">(a) </w:t>
      </w:r>
      <w:r>
        <w:tab/>
      </w:r>
      <w:r w:rsidRPr="00C37545">
        <w:t xml:space="preserve">Jack and Jane Smith are the beneficiaries of the </w:t>
      </w:r>
      <w:r w:rsidR="00CD113A">
        <w:t>“</w:t>
      </w:r>
      <w:r w:rsidRPr="00C37545">
        <w:t>Jack and Jane Smith SMSF</w:t>
      </w:r>
      <w:r w:rsidR="00CD113A">
        <w:t>”</w:t>
      </w:r>
      <w:r w:rsidRPr="00C37545">
        <w:t>, and</w:t>
      </w:r>
      <w:r>
        <w:t xml:space="preserve"> </w:t>
      </w:r>
      <w:r w:rsidRPr="00C37545">
        <w:t xml:space="preserve">the trustee is </w:t>
      </w:r>
      <w:r w:rsidR="00CD113A">
        <w:t>“</w:t>
      </w:r>
      <w:r w:rsidRPr="00C37545">
        <w:t>JJ Smith Trustee Co Pty Ltd</w:t>
      </w:r>
      <w:r w:rsidR="00CD113A">
        <w:t>”</w:t>
      </w:r>
      <w:r w:rsidRPr="00C37545">
        <w:t>;</w:t>
      </w:r>
    </w:p>
    <w:p w14:paraId="18418DB0" w14:textId="6AB866E9" w:rsidR="00C37545" w:rsidRPr="00C37545" w:rsidRDefault="00C37545" w:rsidP="00C37545">
      <w:pPr>
        <w:pStyle w:val="Quote1"/>
        <w:ind w:left="1418" w:hanging="681"/>
      </w:pPr>
      <w:r w:rsidRPr="00C37545">
        <w:t xml:space="preserve">(b) </w:t>
      </w:r>
      <w:r>
        <w:tab/>
        <w:t>t</w:t>
      </w:r>
      <w:r w:rsidRPr="00C37545">
        <w:t>he Former Client Creditor recorded in the E&amp;P Loss Data is the corporate trustee,</w:t>
      </w:r>
      <w:r>
        <w:t xml:space="preserve"> </w:t>
      </w:r>
      <w:r w:rsidRPr="00C37545">
        <w:t>JJ Smith Trustee Co Pty Ltd;</w:t>
      </w:r>
    </w:p>
    <w:p w14:paraId="5D15C00D" w14:textId="3F50F2B4" w:rsidR="00C37545" w:rsidRPr="00C37545" w:rsidRDefault="00C37545" w:rsidP="00C37545">
      <w:pPr>
        <w:pStyle w:val="Quote1"/>
        <w:ind w:left="1418" w:hanging="681"/>
      </w:pPr>
      <w:r w:rsidRPr="00C37545">
        <w:t xml:space="preserve">(c) </w:t>
      </w:r>
      <w:r>
        <w:tab/>
      </w:r>
      <w:r w:rsidRPr="00C37545">
        <w:t>following the Voluntary Administration of the Company, Jack and Jane Smith decided</w:t>
      </w:r>
      <w:r>
        <w:t xml:space="preserve"> </w:t>
      </w:r>
      <w:r w:rsidRPr="00C37545">
        <w:t>to roll the assets of the Jack and Jane Smith SMSF into an industry fund, wind up the</w:t>
      </w:r>
      <w:r>
        <w:t xml:space="preserve"> </w:t>
      </w:r>
      <w:r w:rsidRPr="00C37545">
        <w:t>Jack and Jane Smith SMSF and deregister JJ Smith Trustee Co Pty Ltd; and</w:t>
      </w:r>
    </w:p>
    <w:p w14:paraId="072DFB86" w14:textId="1F7BB91C" w:rsidR="00C37545" w:rsidRPr="00C37545" w:rsidRDefault="00C37545" w:rsidP="00C37545">
      <w:pPr>
        <w:pStyle w:val="Quote1"/>
        <w:ind w:left="1418" w:hanging="681"/>
      </w:pPr>
      <w:r w:rsidRPr="00C37545">
        <w:t xml:space="preserve">(d) </w:t>
      </w:r>
      <w:r>
        <w:tab/>
      </w:r>
      <w:r w:rsidRPr="00C37545">
        <w:t>Jack and Jane Smith personally lodge a formal proof of debt in the DOCA</w:t>
      </w:r>
      <w:r>
        <w:t xml:space="preserve"> </w:t>
      </w:r>
      <w:r w:rsidRPr="00C37545">
        <w:t>administration of the Company.</w:t>
      </w:r>
    </w:p>
    <w:p w14:paraId="1005E517" w14:textId="0188FAD2" w:rsidR="00C37545" w:rsidRPr="00C37545" w:rsidRDefault="00C37545" w:rsidP="00C37545">
      <w:pPr>
        <w:pStyle w:val="Quote1"/>
      </w:pPr>
      <w:r w:rsidRPr="00C37545">
        <w:t xml:space="preserve">In the above scenario, the E&amp;P Loss Data would record </w:t>
      </w:r>
      <w:r w:rsidR="00CD113A">
        <w:t>“</w:t>
      </w:r>
      <w:r w:rsidRPr="00C37545">
        <w:t>JJ Smith Trustee Co Pty Ltd</w:t>
      </w:r>
      <w:r w:rsidR="00CD113A">
        <w:t>”</w:t>
      </w:r>
      <w:r w:rsidRPr="00C37545">
        <w:t xml:space="preserve"> as a</w:t>
      </w:r>
      <w:r>
        <w:t xml:space="preserve"> </w:t>
      </w:r>
      <w:r w:rsidRPr="00C37545">
        <w:t xml:space="preserve">creditor with a Loss Claim against the Company, but not Jack and Jane Smith, </w:t>
      </w:r>
      <w:r w:rsidRPr="00C37545">
        <w:lastRenderedPageBreak/>
        <w:t xml:space="preserve">because </w:t>
      </w:r>
      <w:r w:rsidR="00CD113A">
        <w:t>“</w:t>
      </w:r>
      <w:r w:rsidRPr="00C37545">
        <w:t>JJ</w:t>
      </w:r>
      <w:r>
        <w:t xml:space="preserve"> </w:t>
      </w:r>
      <w:r w:rsidRPr="00C37545">
        <w:t>Smith Trustee Co Pty Ltd</w:t>
      </w:r>
      <w:r w:rsidR="00CD113A">
        <w:t>”</w:t>
      </w:r>
      <w:r w:rsidRPr="00C37545">
        <w:t xml:space="preserve"> is the client entity listed within the E&amp;P Loss Data (and the entity that</w:t>
      </w:r>
      <w:r>
        <w:t xml:space="preserve"> </w:t>
      </w:r>
      <w:r w:rsidRPr="00C37545">
        <w:t>entered into a contract for services with the Company).</w:t>
      </w:r>
    </w:p>
    <w:p w14:paraId="62AE6AF0" w14:textId="15953EC4" w:rsidR="00C37545" w:rsidRDefault="00B6500C" w:rsidP="00B6500C">
      <w:pPr>
        <w:pStyle w:val="ParaNumbering"/>
        <w:numPr>
          <w:ilvl w:val="0"/>
          <w:numId w:val="0"/>
        </w:numPr>
        <w:ind w:hanging="720"/>
      </w:pPr>
      <w:r>
        <w:rPr>
          <w:iCs/>
          <w:sz w:val="20"/>
        </w:rPr>
        <w:t>150</w:t>
      </w:r>
      <w:r>
        <w:rPr>
          <w:iCs/>
          <w:sz w:val="20"/>
        </w:rPr>
        <w:tab/>
      </w:r>
      <w:r w:rsidR="00456A83">
        <w:t>Ms Gill explained</w:t>
      </w:r>
      <w:r w:rsidR="005B72B0">
        <w:t xml:space="preserve"> at [67]</w:t>
      </w:r>
      <w:r w:rsidR="00456A83">
        <w:t>:</w:t>
      </w:r>
    </w:p>
    <w:p w14:paraId="596E05C4" w14:textId="2470F267" w:rsidR="00456A83" w:rsidRDefault="00456A83" w:rsidP="00456A83">
      <w:pPr>
        <w:pStyle w:val="Quote1"/>
      </w:pPr>
      <w:r>
        <w:t>Given</w:t>
      </w:r>
      <w:r w:rsidRPr="00456A83">
        <w:rPr>
          <w:spacing w:val="-7"/>
        </w:rPr>
        <w:t xml:space="preserve"> </w:t>
      </w:r>
      <w:r>
        <w:t>the</w:t>
      </w:r>
      <w:r w:rsidRPr="00456A83">
        <w:rPr>
          <w:spacing w:val="-7"/>
        </w:rPr>
        <w:t xml:space="preserve"> </w:t>
      </w:r>
      <w:r>
        <w:t>large</w:t>
      </w:r>
      <w:r w:rsidRPr="00456A83">
        <w:rPr>
          <w:spacing w:val="-7"/>
        </w:rPr>
        <w:t xml:space="preserve"> </w:t>
      </w:r>
      <w:r>
        <w:t>number</w:t>
      </w:r>
      <w:r w:rsidRPr="00456A83">
        <w:rPr>
          <w:spacing w:val="-7"/>
        </w:rPr>
        <w:t xml:space="preserve"> </w:t>
      </w:r>
      <w:r>
        <w:t>of</w:t>
      </w:r>
      <w:r w:rsidRPr="00456A83">
        <w:rPr>
          <w:spacing w:val="-7"/>
        </w:rPr>
        <w:t xml:space="preserve"> </w:t>
      </w:r>
      <w:r>
        <w:t>Former</w:t>
      </w:r>
      <w:r w:rsidRPr="00456A83">
        <w:rPr>
          <w:spacing w:val="-6"/>
        </w:rPr>
        <w:t xml:space="preserve"> </w:t>
      </w:r>
      <w:r>
        <w:t>Client</w:t>
      </w:r>
      <w:r w:rsidRPr="00456A83">
        <w:rPr>
          <w:spacing w:val="-7"/>
        </w:rPr>
        <w:t xml:space="preserve"> </w:t>
      </w:r>
      <w:r>
        <w:t>Creditors</w:t>
      </w:r>
      <w:r w:rsidRPr="00456A83">
        <w:rPr>
          <w:spacing w:val="-7"/>
        </w:rPr>
        <w:t xml:space="preserve"> </w:t>
      </w:r>
      <w:r>
        <w:t>(currently</w:t>
      </w:r>
      <w:r w:rsidRPr="00456A83">
        <w:rPr>
          <w:spacing w:val="-7"/>
        </w:rPr>
        <w:t xml:space="preserve"> </w:t>
      </w:r>
      <w:r>
        <w:t>estimated</w:t>
      </w:r>
      <w:r w:rsidRPr="00456A83">
        <w:rPr>
          <w:spacing w:val="-7"/>
        </w:rPr>
        <w:t xml:space="preserve"> </w:t>
      </w:r>
      <w:r>
        <w:t>at</w:t>
      </w:r>
      <w:r w:rsidRPr="00456A83">
        <w:rPr>
          <w:spacing w:val="-7"/>
        </w:rPr>
        <w:t xml:space="preserve"> </w:t>
      </w:r>
      <w:r>
        <w:t>approximately</w:t>
      </w:r>
      <w:r w:rsidRPr="00456A83">
        <w:rPr>
          <w:spacing w:val="-7"/>
        </w:rPr>
        <w:t xml:space="preserve"> </w:t>
      </w:r>
      <w:r>
        <w:t>4,476), we</w:t>
      </w:r>
      <w:r w:rsidRPr="00456A83">
        <w:rPr>
          <w:spacing w:val="49"/>
        </w:rPr>
        <w:t xml:space="preserve"> </w:t>
      </w:r>
      <w:r>
        <w:t>are</w:t>
      </w:r>
      <w:r w:rsidRPr="00456A83">
        <w:rPr>
          <w:spacing w:val="48"/>
        </w:rPr>
        <w:t xml:space="preserve"> </w:t>
      </w:r>
      <w:r>
        <w:t>concerned</w:t>
      </w:r>
      <w:r w:rsidRPr="00456A83">
        <w:rPr>
          <w:spacing w:val="49"/>
        </w:rPr>
        <w:t xml:space="preserve"> </w:t>
      </w:r>
      <w:r>
        <w:t>that</w:t>
      </w:r>
      <w:r w:rsidRPr="00456A83">
        <w:rPr>
          <w:spacing w:val="49"/>
        </w:rPr>
        <w:t xml:space="preserve"> </w:t>
      </w:r>
      <w:r>
        <w:t>if</w:t>
      </w:r>
      <w:r w:rsidRPr="00456A83">
        <w:rPr>
          <w:spacing w:val="49"/>
        </w:rPr>
        <w:t xml:space="preserve"> </w:t>
      </w:r>
      <w:r>
        <w:t>there</w:t>
      </w:r>
      <w:r w:rsidRPr="00456A83">
        <w:rPr>
          <w:spacing w:val="49"/>
        </w:rPr>
        <w:t xml:space="preserve"> </w:t>
      </w:r>
      <w:r>
        <w:t>are</w:t>
      </w:r>
      <w:r w:rsidRPr="00456A83">
        <w:rPr>
          <w:spacing w:val="49"/>
        </w:rPr>
        <w:t xml:space="preserve"> </w:t>
      </w:r>
      <w:r>
        <w:t>a</w:t>
      </w:r>
      <w:r w:rsidRPr="00456A83">
        <w:rPr>
          <w:spacing w:val="48"/>
        </w:rPr>
        <w:t xml:space="preserve"> </w:t>
      </w:r>
      <w:r>
        <w:t>large</w:t>
      </w:r>
      <w:r w:rsidRPr="00456A83">
        <w:rPr>
          <w:spacing w:val="48"/>
        </w:rPr>
        <w:t xml:space="preserve"> </w:t>
      </w:r>
      <w:r>
        <w:t>number</w:t>
      </w:r>
      <w:r w:rsidRPr="00456A83">
        <w:rPr>
          <w:spacing w:val="49"/>
        </w:rPr>
        <w:t xml:space="preserve"> </w:t>
      </w:r>
      <w:r>
        <w:t>of</w:t>
      </w:r>
      <w:r w:rsidRPr="00456A83">
        <w:rPr>
          <w:spacing w:val="49"/>
        </w:rPr>
        <w:t xml:space="preserve"> </w:t>
      </w:r>
      <w:r>
        <w:t>these</w:t>
      </w:r>
      <w:r w:rsidRPr="00456A83">
        <w:rPr>
          <w:spacing w:val="48"/>
        </w:rPr>
        <w:t xml:space="preserve"> </w:t>
      </w:r>
      <w:r>
        <w:t>unaligned</w:t>
      </w:r>
      <w:r w:rsidRPr="00456A83">
        <w:rPr>
          <w:spacing w:val="48"/>
        </w:rPr>
        <w:t xml:space="preserve"> </w:t>
      </w:r>
      <w:r>
        <w:t>claims,</w:t>
      </w:r>
      <w:r w:rsidRPr="00456A83">
        <w:rPr>
          <w:spacing w:val="49"/>
        </w:rPr>
        <w:t xml:space="preserve"> </w:t>
      </w:r>
      <w:r>
        <w:t>significant resources</w:t>
      </w:r>
      <w:r w:rsidRPr="00456A83">
        <w:rPr>
          <w:spacing w:val="-14"/>
        </w:rPr>
        <w:t xml:space="preserve"> </w:t>
      </w:r>
      <w:r>
        <w:t>will</w:t>
      </w:r>
      <w:r w:rsidRPr="00456A83">
        <w:rPr>
          <w:spacing w:val="-14"/>
        </w:rPr>
        <w:t xml:space="preserve"> </w:t>
      </w:r>
      <w:r>
        <w:t>be</w:t>
      </w:r>
      <w:r w:rsidRPr="00456A83">
        <w:rPr>
          <w:spacing w:val="-13"/>
        </w:rPr>
        <w:t xml:space="preserve"> </w:t>
      </w:r>
      <w:r>
        <w:t>required</w:t>
      </w:r>
      <w:r w:rsidRPr="00456A83">
        <w:rPr>
          <w:spacing w:val="-13"/>
        </w:rPr>
        <w:t xml:space="preserve"> </w:t>
      </w:r>
      <w:r>
        <w:t>to</w:t>
      </w:r>
      <w:r w:rsidRPr="00456A83">
        <w:rPr>
          <w:spacing w:val="-13"/>
        </w:rPr>
        <w:t xml:space="preserve"> </w:t>
      </w:r>
      <w:r>
        <w:t>identify</w:t>
      </w:r>
      <w:r w:rsidRPr="00456A83">
        <w:rPr>
          <w:spacing w:val="-13"/>
        </w:rPr>
        <w:t xml:space="preserve"> </w:t>
      </w:r>
      <w:r>
        <w:t>and</w:t>
      </w:r>
      <w:r w:rsidRPr="00456A83">
        <w:rPr>
          <w:spacing w:val="-14"/>
        </w:rPr>
        <w:t xml:space="preserve"> </w:t>
      </w:r>
      <w:r>
        <w:t>investigate</w:t>
      </w:r>
      <w:r w:rsidRPr="00456A83">
        <w:rPr>
          <w:spacing w:val="-13"/>
        </w:rPr>
        <w:t xml:space="preserve"> </w:t>
      </w:r>
      <w:r>
        <w:t>these</w:t>
      </w:r>
      <w:r w:rsidRPr="00456A83">
        <w:rPr>
          <w:spacing w:val="-14"/>
        </w:rPr>
        <w:t xml:space="preserve"> </w:t>
      </w:r>
      <w:r>
        <w:t>claims,</w:t>
      </w:r>
      <w:r w:rsidRPr="00456A83">
        <w:rPr>
          <w:spacing w:val="-13"/>
        </w:rPr>
        <w:t xml:space="preserve"> </w:t>
      </w:r>
      <w:r>
        <w:t>correspond</w:t>
      </w:r>
      <w:r w:rsidRPr="00456A83">
        <w:rPr>
          <w:spacing w:val="-13"/>
        </w:rPr>
        <w:t xml:space="preserve"> </w:t>
      </w:r>
      <w:r>
        <w:t>with</w:t>
      </w:r>
      <w:r w:rsidRPr="00456A83">
        <w:rPr>
          <w:spacing w:val="-13"/>
        </w:rPr>
        <w:t xml:space="preserve"> </w:t>
      </w:r>
      <w:r>
        <w:t>Former</w:t>
      </w:r>
      <w:r w:rsidRPr="00456A83">
        <w:rPr>
          <w:spacing w:val="-14"/>
        </w:rPr>
        <w:t xml:space="preserve"> </w:t>
      </w:r>
      <w:r>
        <w:t>Client Creditors</w:t>
      </w:r>
      <w:r w:rsidRPr="00456A83">
        <w:rPr>
          <w:spacing w:val="33"/>
        </w:rPr>
        <w:t xml:space="preserve"> </w:t>
      </w:r>
      <w:r>
        <w:t>(or</w:t>
      </w:r>
      <w:r w:rsidRPr="00456A83">
        <w:rPr>
          <w:spacing w:val="33"/>
        </w:rPr>
        <w:t xml:space="preserve"> </w:t>
      </w:r>
      <w:r>
        <w:t>their</w:t>
      </w:r>
      <w:r w:rsidRPr="00456A83">
        <w:rPr>
          <w:spacing w:val="33"/>
        </w:rPr>
        <w:t xml:space="preserve"> </w:t>
      </w:r>
      <w:r>
        <w:t>representatives)</w:t>
      </w:r>
      <w:r w:rsidRPr="00456A83">
        <w:rPr>
          <w:spacing w:val="33"/>
        </w:rPr>
        <w:t xml:space="preserve"> </w:t>
      </w:r>
      <w:r>
        <w:t>and</w:t>
      </w:r>
      <w:r w:rsidRPr="00456A83">
        <w:rPr>
          <w:spacing w:val="33"/>
        </w:rPr>
        <w:t xml:space="preserve"> </w:t>
      </w:r>
      <w:r>
        <w:t>seek</w:t>
      </w:r>
      <w:r w:rsidRPr="00456A83">
        <w:rPr>
          <w:spacing w:val="34"/>
        </w:rPr>
        <w:t xml:space="preserve"> </w:t>
      </w:r>
      <w:r>
        <w:t>further</w:t>
      </w:r>
      <w:r w:rsidRPr="00456A83">
        <w:rPr>
          <w:spacing w:val="33"/>
        </w:rPr>
        <w:t xml:space="preserve"> </w:t>
      </w:r>
      <w:r>
        <w:t>information,</w:t>
      </w:r>
      <w:r w:rsidRPr="00456A83">
        <w:rPr>
          <w:spacing w:val="31"/>
        </w:rPr>
        <w:t xml:space="preserve"> </w:t>
      </w:r>
      <w:r>
        <w:t>and</w:t>
      </w:r>
      <w:r w:rsidRPr="00456A83">
        <w:rPr>
          <w:spacing w:val="33"/>
        </w:rPr>
        <w:t xml:space="preserve"> </w:t>
      </w:r>
      <w:r>
        <w:t>verify</w:t>
      </w:r>
      <w:r w:rsidRPr="00456A83">
        <w:rPr>
          <w:spacing w:val="33"/>
        </w:rPr>
        <w:t xml:space="preserve"> </w:t>
      </w:r>
      <w:r>
        <w:t>the</w:t>
      </w:r>
      <w:r w:rsidRPr="00456A83">
        <w:rPr>
          <w:spacing w:val="33"/>
        </w:rPr>
        <w:t xml:space="preserve"> </w:t>
      </w:r>
      <w:r>
        <w:t>identity</w:t>
      </w:r>
      <w:r w:rsidRPr="00456A83">
        <w:rPr>
          <w:spacing w:val="33"/>
        </w:rPr>
        <w:t xml:space="preserve"> </w:t>
      </w:r>
      <w:r>
        <w:t>and capacity</w:t>
      </w:r>
      <w:r w:rsidRPr="00456A83">
        <w:rPr>
          <w:spacing w:val="18"/>
        </w:rPr>
        <w:t xml:space="preserve"> </w:t>
      </w:r>
      <w:r>
        <w:t>of</w:t>
      </w:r>
      <w:r w:rsidRPr="00456A83">
        <w:rPr>
          <w:spacing w:val="17"/>
        </w:rPr>
        <w:t xml:space="preserve"> </w:t>
      </w:r>
      <w:r>
        <w:t>the</w:t>
      </w:r>
      <w:r w:rsidRPr="00456A83">
        <w:rPr>
          <w:spacing w:val="17"/>
        </w:rPr>
        <w:t xml:space="preserve"> </w:t>
      </w:r>
      <w:r>
        <w:t>claimant</w:t>
      </w:r>
      <w:r w:rsidRPr="00456A83">
        <w:rPr>
          <w:spacing w:val="17"/>
        </w:rPr>
        <w:t xml:space="preserve"> </w:t>
      </w:r>
      <w:r>
        <w:t>to</w:t>
      </w:r>
      <w:r w:rsidRPr="00456A83">
        <w:rPr>
          <w:spacing w:val="16"/>
        </w:rPr>
        <w:t xml:space="preserve"> </w:t>
      </w:r>
      <w:r>
        <w:t>make</w:t>
      </w:r>
      <w:r w:rsidRPr="00456A83">
        <w:rPr>
          <w:spacing w:val="16"/>
        </w:rPr>
        <w:t xml:space="preserve"> </w:t>
      </w:r>
      <w:r>
        <w:t>a</w:t>
      </w:r>
      <w:r w:rsidRPr="00456A83">
        <w:rPr>
          <w:spacing w:val="17"/>
        </w:rPr>
        <w:t xml:space="preserve"> </w:t>
      </w:r>
      <w:r>
        <w:t>claim</w:t>
      </w:r>
      <w:r w:rsidRPr="00456A83">
        <w:rPr>
          <w:spacing w:val="17"/>
        </w:rPr>
        <w:t xml:space="preserve"> </w:t>
      </w:r>
      <w:r>
        <w:t>on</w:t>
      </w:r>
      <w:r w:rsidRPr="00456A83">
        <w:rPr>
          <w:spacing w:val="17"/>
        </w:rPr>
        <w:t xml:space="preserve"> </w:t>
      </w:r>
      <w:r>
        <w:t>behalf</w:t>
      </w:r>
      <w:r w:rsidRPr="00456A83">
        <w:rPr>
          <w:spacing w:val="16"/>
        </w:rPr>
        <w:t xml:space="preserve"> </w:t>
      </w:r>
      <w:r>
        <w:t>of</w:t>
      </w:r>
      <w:r w:rsidRPr="00456A83">
        <w:rPr>
          <w:spacing w:val="17"/>
        </w:rPr>
        <w:t xml:space="preserve"> </w:t>
      </w:r>
      <w:r>
        <w:t>the</w:t>
      </w:r>
      <w:r w:rsidRPr="00456A83">
        <w:rPr>
          <w:spacing w:val="17"/>
        </w:rPr>
        <w:t xml:space="preserve"> </w:t>
      </w:r>
      <w:r>
        <w:t>Former</w:t>
      </w:r>
      <w:r w:rsidRPr="00456A83">
        <w:rPr>
          <w:spacing w:val="17"/>
        </w:rPr>
        <w:t xml:space="preserve"> </w:t>
      </w:r>
      <w:r>
        <w:t>Client</w:t>
      </w:r>
      <w:r w:rsidRPr="00456A83">
        <w:rPr>
          <w:spacing w:val="17"/>
        </w:rPr>
        <w:t xml:space="preserve"> </w:t>
      </w:r>
      <w:r>
        <w:t>Creditor.</w:t>
      </w:r>
      <w:r w:rsidRPr="00456A83">
        <w:rPr>
          <w:spacing w:val="62"/>
          <w:w w:val="150"/>
        </w:rPr>
        <w:t xml:space="preserve"> </w:t>
      </w:r>
      <w:r>
        <w:t>Expending these</w:t>
      </w:r>
      <w:r w:rsidRPr="00456A83">
        <w:rPr>
          <w:spacing w:val="37"/>
        </w:rPr>
        <w:t xml:space="preserve"> </w:t>
      </w:r>
      <w:r>
        <w:t>resources</w:t>
      </w:r>
      <w:r w:rsidRPr="00456A83">
        <w:rPr>
          <w:spacing w:val="38"/>
        </w:rPr>
        <w:t xml:space="preserve"> </w:t>
      </w:r>
      <w:r>
        <w:t>would</w:t>
      </w:r>
      <w:r w:rsidRPr="00456A83">
        <w:rPr>
          <w:spacing w:val="38"/>
        </w:rPr>
        <w:t xml:space="preserve"> </w:t>
      </w:r>
      <w:r>
        <w:t>potentially</w:t>
      </w:r>
      <w:r w:rsidRPr="00456A83">
        <w:rPr>
          <w:spacing w:val="36"/>
        </w:rPr>
        <w:t xml:space="preserve"> </w:t>
      </w:r>
      <w:r>
        <w:t>significantly</w:t>
      </w:r>
      <w:r w:rsidRPr="00456A83">
        <w:rPr>
          <w:spacing w:val="39"/>
        </w:rPr>
        <w:t xml:space="preserve"> </w:t>
      </w:r>
      <w:r>
        <w:t>reduce</w:t>
      </w:r>
      <w:r w:rsidRPr="00456A83">
        <w:rPr>
          <w:spacing w:val="38"/>
        </w:rPr>
        <w:t xml:space="preserve"> </w:t>
      </w:r>
      <w:r>
        <w:t>the</w:t>
      </w:r>
      <w:r w:rsidRPr="00456A83">
        <w:rPr>
          <w:spacing w:val="38"/>
        </w:rPr>
        <w:t xml:space="preserve"> </w:t>
      </w:r>
      <w:r>
        <w:t>funds</w:t>
      </w:r>
      <w:r w:rsidRPr="00456A83">
        <w:rPr>
          <w:spacing w:val="38"/>
        </w:rPr>
        <w:t xml:space="preserve"> </w:t>
      </w:r>
      <w:r>
        <w:t>available</w:t>
      </w:r>
      <w:r w:rsidRPr="00456A83">
        <w:rPr>
          <w:spacing w:val="38"/>
        </w:rPr>
        <w:t xml:space="preserve"> </w:t>
      </w:r>
      <w:r>
        <w:t>for</w:t>
      </w:r>
      <w:r w:rsidRPr="00456A83">
        <w:rPr>
          <w:spacing w:val="38"/>
        </w:rPr>
        <w:t xml:space="preserve"> </w:t>
      </w:r>
      <w:r>
        <w:t>distribution</w:t>
      </w:r>
      <w:r w:rsidRPr="00456A83">
        <w:rPr>
          <w:spacing w:val="38"/>
        </w:rPr>
        <w:t xml:space="preserve"> </w:t>
      </w:r>
      <w:r>
        <w:t>to creditors.</w:t>
      </w:r>
    </w:p>
    <w:p w14:paraId="6F3A9CA8" w14:textId="53EF1213" w:rsidR="009A3200" w:rsidRDefault="00B6500C" w:rsidP="00B6500C">
      <w:pPr>
        <w:pStyle w:val="ParaNumbering"/>
        <w:numPr>
          <w:ilvl w:val="0"/>
          <w:numId w:val="0"/>
        </w:numPr>
        <w:ind w:hanging="720"/>
      </w:pPr>
      <w:r>
        <w:rPr>
          <w:iCs/>
          <w:sz w:val="20"/>
        </w:rPr>
        <w:t>151</w:t>
      </w:r>
      <w:r>
        <w:rPr>
          <w:iCs/>
          <w:sz w:val="20"/>
        </w:rPr>
        <w:tab/>
      </w:r>
      <w:r w:rsidR="002A3FAB">
        <w:t>At [68] of her affidavit, Ms Gill stated</w:t>
      </w:r>
      <w:r w:rsidR="009A3200">
        <w:t>:</w:t>
      </w:r>
    </w:p>
    <w:p w14:paraId="0CD81261" w14:textId="7ADCFAD3" w:rsidR="002A3FAB" w:rsidRDefault="002A3FAB" w:rsidP="002D3A26">
      <w:pPr>
        <w:pStyle w:val="Quote1"/>
      </w:pPr>
      <w:r>
        <w:t>To</w:t>
      </w:r>
      <w:r w:rsidRPr="009A3200">
        <w:rPr>
          <w:spacing w:val="36"/>
        </w:rPr>
        <w:t xml:space="preserve"> </w:t>
      </w:r>
      <w:r>
        <w:t>mitigate</w:t>
      </w:r>
      <w:r w:rsidRPr="009A3200">
        <w:rPr>
          <w:spacing w:val="36"/>
        </w:rPr>
        <w:t xml:space="preserve"> </w:t>
      </w:r>
      <w:r>
        <w:t>the</w:t>
      </w:r>
      <w:r w:rsidRPr="009A3200">
        <w:rPr>
          <w:spacing w:val="36"/>
        </w:rPr>
        <w:t xml:space="preserve"> </w:t>
      </w:r>
      <w:r>
        <w:t>resource</w:t>
      </w:r>
      <w:r w:rsidRPr="009A3200">
        <w:rPr>
          <w:spacing w:val="36"/>
        </w:rPr>
        <w:t xml:space="preserve"> </w:t>
      </w:r>
      <w:r>
        <w:t>burden</w:t>
      </w:r>
      <w:r w:rsidRPr="009A3200">
        <w:rPr>
          <w:spacing w:val="36"/>
        </w:rPr>
        <w:t xml:space="preserve"> </w:t>
      </w:r>
      <w:r>
        <w:t>that</w:t>
      </w:r>
      <w:r w:rsidRPr="009A3200">
        <w:rPr>
          <w:spacing w:val="36"/>
        </w:rPr>
        <w:t xml:space="preserve"> </w:t>
      </w:r>
      <w:r>
        <w:t>this</w:t>
      </w:r>
      <w:r w:rsidRPr="009A3200">
        <w:rPr>
          <w:spacing w:val="35"/>
        </w:rPr>
        <w:t xml:space="preserve"> </w:t>
      </w:r>
      <w:r>
        <w:t>issue</w:t>
      </w:r>
      <w:r w:rsidRPr="009A3200">
        <w:rPr>
          <w:spacing w:val="36"/>
        </w:rPr>
        <w:t xml:space="preserve"> </w:t>
      </w:r>
      <w:r>
        <w:t>presents,</w:t>
      </w:r>
      <w:r w:rsidRPr="009A3200">
        <w:rPr>
          <w:spacing w:val="36"/>
        </w:rPr>
        <w:t xml:space="preserve"> </w:t>
      </w:r>
      <w:r>
        <w:t>we</w:t>
      </w:r>
      <w:r w:rsidRPr="009A3200">
        <w:rPr>
          <w:spacing w:val="36"/>
        </w:rPr>
        <w:t xml:space="preserve"> </w:t>
      </w:r>
      <w:r>
        <w:t>have</w:t>
      </w:r>
      <w:r w:rsidRPr="009A3200">
        <w:rPr>
          <w:spacing w:val="36"/>
        </w:rPr>
        <w:t xml:space="preserve"> </w:t>
      </w:r>
      <w:r>
        <w:t>sought</w:t>
      </w:r>
      <w:r w:rsidRPr="009A3200">
        <w:rPr>
          <w:spacing w:val="36"/>
        </w:rPr>
        <w:t xml:space="preserve"> </w:t>
      </w:r>
      <w:r>
        <w:t>to</w:t>
      </w:r>
      <w:r w:rsidRPr="009A3200">
        <w:rPr>
          <w:spacing w:val="35"/>
        </w:rPr>
        <w:t xml:space="preserve"> </w:t>
      </w:r>
      <w:r>
        <w:t>identify</w:t>
      </w:r>
      <w:r w:rsidRPr="009A3200">
        <w:rPr>
          <w:spacing w:val="36"/>
        </w:rPr>
        <w:t xml:space="preserve"> </w:t>
      </w:r>
      <w:r>
        <w:t>each</w:t>
      </w:r>
      <w:r w:rsidRPr="009A3200">
        <w:rPr>
          <w:spacing w:val="-1"/>
        </w:rPr>
        <w:t xml:space="preserve"> </w:t>
      </w:r>
      <w:r>
        <w:t>possible</w:t>
      </w:r>
      <w:r w:rsidRPr="009A3200">
        <w:rPr>
          <w:spacing w:val="25"/>
        </w:rPr>
        <w:t xml:space="preserve"> </w:t>
      </w:r>
      <w:r>
        <w:t>scenario</w:t>
      </w:r>
      <w:r w:rsidRPr="009A3200">
        <w:rPr>
          <w:spacing w:val="25"/>
        </w:rPr>
        <w:t xml:space="preserve"> </w:t>
      </w:r>
      <w:r>
        <w:t>in</w:t>
      </w:r>
      <w:r w:rsidRPr="009A3200">
        <w:rPr>
          <w:spacing w:val="25"/>
        </w:rPr>
        <w:t xml:space="preserve"> </w:t>
      </w:r>
      <w:r>
        <w:t>which</w:t>
      </w:r>
      <w:r w:rsidRPr="009A3200">
        <w:rPr>
          <w:spacing w:val="25"/>
        </w:rPr>
        <w:t xml:space="preserve"> </w:t>
      </w:r>
      <w:r>
        <w:t>the</w:t>
      </w:r>
      <w:r w:rsidRPr="009A3200">
        <w:rPr>
          <w:spacing w:val="25"/>
        </w:rPr>
        <w:t xml:space="preserve"> </w:t>
      </w:r>
      <w:r>
        <w:t>claimant</w:t>
      </w:r>
      <w:r w:rsidRPr="009A3200">
        <w:rPr>
          <w:spacing w:val="25"/>
        </w:rPr>
        <w:t xml:space="preserve"> </w:t>
      </w:r>
      <w:r>
        <w:t>entity</w:t>
      </w:r>
      <w:r w:rsidRPr="009A3200">
        <w:rPr>
          <w:spacing w:val="25"/>
        </w:rPr>
        <w:t xml:space="preserve"> </w:t>
      </w:r>
      <w:r>
        <w:t>may</w:t>
      </w:r>
      <w:r w:rsidRPr="009A3200">
        <w:rPr>
          <w:spacing w:val="25"/>
        </w:rPr>
        <w:t xml:space="preserve"> </w:t>
      </w:r>
      <w:r>
        <w:t>not</w:t>
      </w:r>
      <w:r w:rsidRPr="009A3200">
        <w:rPr>
          <w:spacing w:val="25"/>
        </w:rPr>
        <w:t xml:space="preserve"> </w:t>
      </w:r>
      <w:r>
        <w:t>align</w:t>
      </w:r>
      <w:r w:rsidRPr="009A3200">
        <w:rPr>
          <w:spacing w:val="25"/>
        </w:rPr>
        <w:t xml:space="preserve"> </w:t>
      </w:r>
      <w:r>
        <w:t>with</w:t>
      </w:r>
      <w:r w:rsidRPr="009A3200">
        <w:rPr>
          <w:spacing w:val="25"/>
        </w:rPr>
        <w:t xml:space="preserve"> </w:t>
      </w:r>
      <w:r>
        <w:t>the</w:t>
      </w:r>
      <w:r w:rsidRPr="009A3200">
        <w:rPr>
          <w:spacing w:val="25"/>
        </w:rPr>
        <w:t xml:space="preserve"> </w:t>
      </w:r>
      <w:r>
        <w:t>Former</w:t>
      </w:r>
      <w:r w:rsidRPr="009A3200">
        <w:rPr>
          <w:spacing w:val="25"/>
        </w:rPr>
        <w:t xml:space="preserve"> </w:t>
      </w:r>
      <w:r>
        <w:t>Client</w:t>
      </w:r>
      <w:r w:rsidRPr="009A3200">
        <w:rPr>
          <w:spacing w:val="25"/>
        </w:rPr>
        <w:t xml:space="preserve"> </w:t>
      </w:r>
      <w:r>
        <w:t>Creditor</w:t>
      </w:r>
      <w:r w:rsidRPr="009A3200">
        <w:rPr>
          <w:spacing w:val="-1"/>
        </w:rPr>
        <w:t xml:space="preserve"> </w:t>
      </w:r>
      <w:r>
        <w:t>entity,</w:t>
      </w:r>
      <w:r w:rsidRPr="009A3200">
        <w:rPr>
          <w:spacing w:val="-3"/>
        </w:rPr>
        <w:t xml:space="preserve"> </w:t>
      </w:r>
      <w:r>
        <w:t>and</w:t>
      </w:r>
      <w:r w:rsidRPr="009A3200">
        <w:rPr>
          <w:spacing w:val="-3"/>
        </w:rPr>
        <w:t xml:space="preserve"> </w:t>
      </w:r>
      <w:r>
        <w:t>we</w:t>
      </w:r>
      <w:r w:rsidRPr="009A3200">
        <w:rPr>
          <w:spacing w:val="-3"/>
        </w:rPr>
        <w:t xml:space="preserve"> </w:t>
      </w:r>
      <w:r>
        <w:t>have</w:t>
      </w:r>
      <w:r w:rsidRPr="009A3200">
        <w:rPr>
          <w:spacing w:val="-3"/>
        </w:rPr>
        <w:t xml:space="preserve"> </w:t>
      </w:r>
      <w:r>
        <w:t>developed</w:t>
      </w:r>
      <w:r w:rsidRPr="009A3200">
        <w:rPr>
          <w:spacing w:val="-3"/>
        </w:rPr>
        <w:t xml:space="preserve"> </w:t>
      </w:r>
      <w:r>
        <w:t>a</w:t>
      </w:r>
      <w:r w:rsidRPr="009A3200">
        <w:rPr>
          <w:spacing w:val="-3"/>
        </w:rPr>
        <w:t xml:space="preserve"> </w:t>
      </w:r>
      <w:r>
        <w:t>process</w:t>
      </w:r>
      <w:r w:rsidRPr="009A3200">
        <w:rPr>
          <w:spacing w:val="-3"/>
        </w:rPr>
        <w:t xml:space="preserve"> </w:t>
      </w:r>
      <w:r>
        <w:t>for</w:t>
      </w:r>
      <w:r w:rsidRPr="009A3200">
        <w:rPr>
          <w:spacing w:val="-3"/>
        </w:rPr>
        <w:t xml:space="preserve"> </w:t>
      </w:r>
      <w:r>
        <w:t>resolving</w:t>
      </w:r>
      <w:r w:rsidRPr="009A3200">
        <w:rPr>
          <w:spacing w:val="-3"/>
        </w:rPr>
        <w:t xml:space="preserve"> </w:t>
      </w:r>
      <w:r>
        <w:t>each</w:t>
      </w:r>
      <w:r w:rsidRPr="009A3200">
        <w:rPr>
          <w:spacing w:val="-3"/>
        </w:rPr>
        <w:t xml:space="preserve"> </w:t>
      </w:r>
      <w:r>
        <w:t>scenario,</w:t>
      </w:r>
      <w:r w:rsidRPr="009A3200">
        <w:rPr>
          <w:spacing w:val="-3"/>
        </w:rPr>
        <w:t xml:space="preserve"> </w:t>
      </w:r>
      <w:r>
        <w:t>with</w:t>
      </w:r>
      <w:r w:rsidRPr="009A3200">
        <w:rPr>
          <w:spacing w:val="-3"/>
        </w:rPr>
        <w:t xml:space="preserve"> </w:t>
      </w:r>
      <w:r>
        <w:t>an</w:t>
      </w:r>
      <w:r w:rsidRPr="009A3200">
        <w:rPr>
          <w:spacing w:val="-3"/>
        </w:rPr>
        <w:t xml:space="preserve"> </w:t>
      </w:r>
      <w:r>
        <w:t>aim</w:t>
      </w:r>
      <w:r w:rsidRPr="009A3200">
        <w:rPr>
          <w:spacing w:val="-3"/>
        </w:rPr>
        <w:t xml:space="preserve"> </w:t>
      </w:r>
      <w:r>
        <w:t>to</w:t>
      </w:r>
      <w:r w:rsidRPr="009A3200">
        <w:rPr>
          <w:spacing w:val="-3"/>
        </w:rPr>
        <w:t xml:space="preserve"> </w:t>
      </w:r>
      <w:r>
        <w:t>ensuring</w:t>
      </w:r>
      <w:r w:rsidRPr="009A3200">
        <w:rPr>
          <w:spacing w:val="-3"/>
        </w:rPr>
        <w:t xml:space="preserve"> </w:t>
      </w:r>
      <w:r>
        <w:t>a</w:t>
      </w:r>
      <w:r w:rsidRPr="009A3200">
        <w:rPr>
          <w:spacing w:val="-1"/>
        </w:rPr>
        <w:t xml:space="preserve"> </w:t>
      </w:r>
      <w:r>
        <w:t>consistent</w:t>
      </w:r>
      <w:r w:rsidRPr="009A3200">
        <w:rPr>
          <w:spacing w:val="17"/>
        </w:rPr>
        <w:t xml:space="preserve"> </w:t>
      </w:r>
      <w:r>
        <w:t>and</w:t>
      </w:r>
      <w:r w:rsidRPr="009A3200">
        <w:rPr>
          <w:spacing w:val="17"/>
        </w:rPr>
        <w:t xml:space="preserve"> </w:t>
      </w:r>
      <w:r>
        <w:t>methodical</w:t>
      </w:r>
      <w:r w:rsidRPr="009A3200">
        <w:rPr>
          <w:spacing w:val="16"/>
        </w:rPr>
        <w:t xml:space="preserve"> </w:t>
      </w:r>
      <w:r>
        <w:t>approach</w:t>
      </w:r>
      <w:r w:rsidRPr="009A3200">
        <w:rPr>
          <w:spacing w:val="17"/>
        </w:rPr>
        <w:t xml:space="preserve"> </w:t>
      </w:r>
      <w:r>
        <w:t>that</w:t>
      </w:r>
      <w:r w:rsidRPr="009A3200">
        <w:rPr>
          <w:spacing w:val="17"/>
        </w:rPr>
        <w:t xml:space="preserve"> </w:t>
      </w:r>
      <w:r>
        <w:t>will</w:t>
      </w:r>
      <w:r w:rsidRPr="009A3200">
        <w:rPr>
          <w:spacing w:val="17"/>
        </w:rPr>
        <w:t xml:space="preserve"> </w:t>
      </w:r>
      <w:r>
        <w:t>reduce</w:t>
      </w:r>
      <w:r w:rsidRPr="009A3200">
        <w:rPr>
          <w:spacing w:val="17"/>
        </w:rPr>
        <w:t xml:space="preserve"> </w:t>
      </w:r>
      <w:r>
        <w:t>the</w:t>
      </w:r>
      <w:r w:rsidRPr="009A3200">
        <w:rPr>
          <w:spacing w:val="17"/>
        </w:rPr>
        <w:t xml:space="preserve"> </w:t>
      </w:r>
      <w:r>
        <w:t>resource</w:t>
      </w:r>
      <w:r w:rsidRPr="009A3200">
        <w:rPr>
          <w:spacing w:val="16"/>
        </w:rPr>
        <w:t xml:space="preserve"> </w:t>
      </w:r>
      <w:r>
        <w:t>burden</w:t>
      </w:r>
      <w:r w:rsidRPr="009A3200">
        <w:rPr>
          <w:spacing w:val="17"/>
        </w:rPr>
        <w:t xml:space="preserve"> </w:t>
      </w:r>
      <w:r>
        <w:t>of</w:t>
      </w:r>
      <w:r w:rsidRPr="009A3200">
        <w:rPr>
          <w:spacing w:val="17"/>
        </w:rPr>
        <w:t xml:space="preserve"> </w:t>
      </w:r>
      <w:r>
        <w:t>investigating</w:t>
      </w:r>
      <w:r w:rsidRPr="009A3200">
        <w:rPr>
          <w:spacing w:val="17"/>
        </w:rPr>
        <w:t xml:space="preserve"> </w:t>
      </w:r>
      <w:r>
        <w:t>the</w:t>
      </w:r>
      <w:r w:rsidRPr="009A3200">
        <w:rPr>
          <w:spacing w:val="-1"/>
        </w:rPr>
        <w:t xml:space="preserve"> </w:t>
      </w:r>
      <w:r>
        <w:t>unaligned</w:t>
      </w:r>
      <w:r w:rsidRPr="009A3200">
        <w:rPr>
          <w:spacing w:val="11"/>
        </w:rPr>
        <w:t xml:space="preserve"> </w:t>
      </w:r>
      <w:r>
        <w:t>claims.</w:t>
      </w:r>
      <w:r w:rsidRPr="009A3200">
        <w:rPr>
          <w:spacing w:val="80"/>
        </w:rPr>
        <w:t xml:space="preserve"> </w:t>
      </w:r>
      <w:r>
        <w:t>Each</w:t>
      </w:r>
      <w:r w:rsidRPr="009A3200">
        <w:rPr>
          <w:spacing w:val="13"/>
        </w:rPr>
        <w:t xml:space="preserve"> </w:t>
      </w:r>
      <w:r>
        <w:t>scenario</w:t>
      </w:r>
      <w:r w:rsidRPr="009A3200">
        <w:rPr>
          <w:spacing w:val="13"/>
        </w:rPr>
        <w:t xml:space="preserve"> </w:t>
      </w:r>
      <w:r>
        <w:t>that</w:t>
      </w:r>
      <w:r w:rsidRPr="009A3200">
        <w:rPr>
          <w:spacing w:val="13"/>
        </w:rPr>
        <w:t xml:space="preserve"> </w:t>
      </w:r>
      <w:r>
        <w:t>we</w:t>
      </w:r>
      <w:r w:rsidRPr="009A3200">
        <w:rPr>
          <w:spacing w:val="13"/>
        </w:rPr>
        <w:t xml:space="preserve"> </w:t>
      </w:r>
      <w:r>
        <w:t>have</w:t>
      </w:r>
      <w:r w:rsidRPr="009A3200">
        <w:rPr>
          <w:spacing w:val="13"/>
        </w:rPr>
        <w:t xml:space="preserve"> </w:t>
      </w:r>
      <w:r>
        <w:t>identified,</w:t>
      </w:r>
      <w:r w:rsidRPr="009A3200">
        <w:rPr>
          <w:spacing w:val="13"/>
        </w:rPr>
        <w:t xml:space="preserve"> </w:t>
      </w:r>
      <w:r>
        <w:t>and</w:t>
      </w:r>
      <w:r w:rsidRPr="009A3200">
        <w:rPr>
          <w:spacing w:val="13"/>
        </w:rPr>
        <w:t xml:space="preserve"> </w:t>
      </w:r>
      <w:r>
        <w:t>our</w:t>
      </w:r>
      <w:r w:rsidRPr="009A3200">
        <w:rPr>
          <w:spacing w:val="13"/>
        </w:rPr>
        <w:t xml:space="preserve"> </w:t>
      </w:r>
      <w:r>
        <w:t>proposed</w:t>
      </w:r>
      <w:r w:rsidRPr="009A3200">
        <w:rPr>
          <w:spacing w:val="13"/>
        </w:rPr>
        <w:t xml:space="preserve"> </w:t>
      </w:r>
      <w:r>
        <w:t>approach</w:t>
      </w:r>
      <w:r w:rsidRPr="009A3200">
        <w:rPr>
          <w:spacing w:val="13"/>
        </w:rPr>
        <w:t xml:space="preserve"> </w:t>
      </w:r>
      <w:r>
        <w:t>to</w:t>
      </w:r>
      <w:r w:rsidRPr="009A3200">
        <w:rPr>
          <w:spacing w:val="13"/>
        </w:rPr>
        <w:t xml:space="preserve"> </w:t>
      </w:r>
      <w:r>
        <w:t>deal</w:t>
      </w:r>
      <w:r w:rsidRPr="009A3200">
        <w:rPr>
          <w:spacing w:val="-2"/>
        </w:rPr>
        <w:t xml:space="preserve"> </w:t>
      </w:r>
      <w:r>
        <w:t>with</w:t>
      </w:r>
      <w:r w:rsidRPr="009A3200">
        <w:rPr>
          <w:spacing w:val="3"/>
        </w:rPr>
        <w:t xml:space="preserve"> </w:t>
      </w:r>
      <w:r>
        <w:t>them,</w:t>
      </w:r>
      <w:r w:rsidRPr="009A3200">
        <w:rPr>
          <w:spacing w:val="3"/>
        </w:rPr>
        <w:t xml:space="preserve"> </w:t>
      </w:r>
      <w:r>
        <w:t>is set</w:t>
      </w:r>
      <w:r w:rsidRPr="009A3200">
        <w:rPr>
          <w:spacing w:val="3"/>
        </w:rPr>
        <w:t xml:space="preserve"> </w:t>
      </w:r>
      <w:r>
        <w:t>out</w:t>
      </w:r>
      <w:r w:rsidRPr="009A3200">
        <w:rPr>
          <w:spacing w:val="3"/>
        </w:rPr>
        <w:t xml:space="preserve"> </w:t>
      </w:r>
      <w:r>
        <w:t>in</w:t>
      </w:r>
      <w:r w:rsidRPr="009A3200">
        <w:rPr>
          <w:spacing w:val="3"/>
        </w:rPr>
        <w:t xml:space="preserve"> </w:t>
      </w:r>
      <w:r>
        <w:t>the table</w:t>
      </w:r>
      <w:r w:rsidRPr="009A3200">
        <w:rPr>
          <w:spacing w:val="3"/>
        </w:rPr>
        <w:t xml:space="preserve"> </w:t>
      </w:r>
      <w:r>
        <w:t>below.</w:t>
      </w:r>
      <w:r w:rsidRPr="009A3200">
        <w:rPr>
          <w:spacing w:val="61"/>
        </w:rPr>
        <w:t xml:space="preserve"> </w:t>
      </w:r>
      <w:r>
        <w:t>Not</w:t>
      </w:r>
      <w:r w:rsidRPr="009A3200">
        <w:rPr>
          <w:spacing w:val="3"/>
        </w:rPr>
        <w:t xml:space="preserve"> </w:t>
      </w:r>
      <w:r>
        <w:t>all</w:t>
      </w:r>
      <w:r w:rsidRPr="009A3200">
        <w:rPr>
          <w:spacing w:val="3"/>
        </w:rPr>
        <w:t xml:space="preserve"> </w:t>
      </w:r>
      <w:r>
        <w:t>the scenarios</w:t>
      </w:r>
      <w:r w:rsidRPr="009A3200">
        <w:rPr>
          <w:spacing w:val="3"/>
        </w:rPr>
        <w:t xml:space="preserve"> </w:t>
      </w:r>
      <w:r>
        <w:t>identified</w:t>
      </w:r>
      <w:r w:rsidRPr="009A3200">
        <w:rPr>
          <w:spacing w:val="3"/>
        </w:rPr>
        <w:t xml:space="preserve"> </w:t>
      </w:r>
      <w:r>
        <w:t>below</w:t>
      </w:r>
      <w:r w:rsidRPr="009A3200">
        <w:rPr>
          <w:spacing w:val="3"/>
        </w:rPr>
        <w:t xml:space="preserve"> </w:t>
      </w:r>
      <w:r>
        <w:t>represent</w:t>
      </w:r>
      <w:r w:rsidRPr="009A3200">
        <w:rPr>
          <w:spacing w:val="3"/>
        </w:rPr>
        <w:t xml:space="preserve"> </w:t>
      </w:r>
      <w:r>
        <w:t>issues</w:t>
      </w:r>
      <w:r w:rsidRPr="009A3200">
        <w:rPr>
          <w:spacing w:val="-1"/>
        </w:rPr>
        <w:t xml:space="preserve"> </w:t>
      </w:r>
      <w:r>
        <w:t>with</w:t>
      </w:r>
      <w:r w:rsidRPr="009A3200">
        <w:rPr>
          <w:spacing w:val="-9"/>
        </w:rPr>
        <w:t xml:space="preserve"> </w:t>
      </w:r>
      <w:r>
        <w:t>aligning</w:t>
      </w:r>
      <w:r w:rsidRPr="009A3200">
        <w:rPr>
          <w:spacing w:val="-9"/>
        </w:rPr>
        <w:t xml:space="preserve"> </w:t>
      </w:r>
      <w:r>
        <w:t>the</w:t>
      </w:r>
      <w:r w:rsidRPr="009A3200">
        <w:rPr>
          <w:spacing w:val="-9"/>
        </w:rPr>
        <w:t xml:space="preserve"> </w:t>
      </w:r>
      <w:r>
        <w:t>claimant</w:t>
      </w:r>
      <w:r w:rsidRPr="009A3200">
        <w:rPr>
          <w:spacing w:val="-9"/>
        </w:rPr>
        <w:t xml:space="preserve"> </w:t>
      </w:r>
      <w:r>
        <w:t>with</w:t>
      </w:r>
      <w:r w:rsidRPr="009A3200">
        <w:rPr>
          <w:spacing w:val="-9"/>
        </w:rPr>
        <w:t xml:space="preserve"> </w:t>
      </w:r>
      <w:r>
        <w:t>the</w:t>
      </w:r>
      <w:r w:rsidRPr="009A3200">
        <w:rPr>
          <w:spacing w:val="-9"/>
        </w:rPr>
        <w:t xml:space="preserve"> </w:t>
      </w:r>
      <w:r>
        <w:t>Former</w:t>
      </w:r>
      <w:r w:rsidRPr="009A3200">
        <w:rPr>
          <w:spacing w:val="-9"/>
        </w:rPr>
        <w:t xml:space="preserve"> </w:t>
      </w:r>
      <w:r>
        <w:t>Client</w:t>
      </w:r>
      <w:r w:rsidRPr="009A3200">
        <w:rPr>
          <w:spacing w:val="-9"/>
        </w:rPr>
        <w:t xml:space="preserve"> </w:t>
      </w:r>
      <w:r>
        <w:t>Creditor</w:t>
      </w:r>
      <w:r w:rsidRPr="009A3200">
        <w:rPr>
          <w:spacing w:val="-9"/>
        </w:rPr>
        <w:t xml:space="preserve"> </w:t>
      </w:r>
      <w:r>
        <w:t>listed</w:t>
      </w:r>
      <w:r w:rsidRPr="009A3200">
        <w:rPr>
          <w:spacing w:val="-9"/>
        </w:rPr>
        <w:t xml:space="preserve"> </w:t>
      </w:r>
      <w:r>
        <w:t>in</w:t>
      </w:r>
      <w:r w:rsidRPr="009A3200">
        <w:rPr>
          <w:spacing w:val="-9"/>
        </w:rPr>
        <w:t xml:space="preserve"> </w:t>
      </w:r>
      <w:r>
        <w:t>the</w:t>
      </w:r>
      <w:r w:rsidRPr="009A3200">
        <w:rPr>
          <w:spacing w:val="-9"/>
        </w:rPr>
        <w:t xml:space="preserve"> </w:t>
      </w:r>
      <w:r>
        <w:t>E&amp;P</w:t>
      </w:r>
      <w:r w:rsidRPr="009A3200">
        <w:rPr>
          <w:spacing w:val="-9"/>
        </w:rPr>
        <w:t xml:space="preserve"> </w:t>
      </w:r>
      <w:r>
        <w:t>Loss</w:t>
      </w:r>
      <w:r w:rsidRPr="009A3200">
        <w:rPr>
          <w:spacing w:val="-8"/>
        </w:rPr>
        <w:t xml:space="preserve"> </w:t>
      </w:r>
      <w:r>
        <w:t>Data.</w:t>
      </w:r>
      <w:r w:rsidRPr="009A3200">
        <w:rPr>
          <w:spacing w:val="38"/>
        </w:rPr>
        <w:t xml:space="preserve"> </w:t>
      </w:r>
      <w:r>
        <w:t>However, we have considered and included each scenario for completeness.</w:t>
      </w:r>
    </w:p>
    <w:p w14:paraId="4B7F2CF3" w14:textId="0A8F6D43" w:rsidR="00760ECF" w:rsidRDefault="009A3200" w:rsidP="00471D41">
      <w:pPr>
        <w:pStyle w:val="Quote1"/>
        <w:ind w:left="0" w:firstLine="720"/>
        <w:rPr>
          <w:sz w:val="24"/>
        </w:rPr>
      </w:pPr>
      <w:r>
        <w:t>(a)</w:t>
      </w:r>
      <w:r>
        <w:tab/>
      </w:r>
      <w:r>
        <w:rPr>
          <w:b/>
          <w:bCs/>
        </w:rPr>
        <w:t>SMSF with individual trustees</w:t>
      </w:r>
    </w:p>
    <w:tbl>
      <w:tblPr>
        <w:tblStyle w:val="TableGrid1"/>
        <w:tblW w:w="8310" w:type="dxa"/>
        <w:tblInd w:w="701" w:type="dxa"/>
        <w:tblLook w:val="04A0" w:firstRow="1" w:lastRow="0" w:firstColumn="1" w:lastColumn="0" w:noHBand="0" w:noVBand="1"/>
      </w:tblPr>
      <w:tblGrid>
        <w:gridCol w:w="1035"/>
        <w:gridCol w:w="3926"/>
        <w:gridCol w:w="3349"/>
      </w:tblGrid>
      <w:tr w:rsidR="00760ECF" w:rsidRPr="00F14679" w14:paraId="43B44F26" w14:textId="77777777" w:rsidTr="00E11D1F">
        <w:tc>
          <w:tcPr>
            <w:tcW w:w="1035" w:type="dxa"/>
            <w:shd w:val="clear" w:color="auto" w:fill="FFFFFF" w:themeFill="background1"/>
          </w:tcPr>
          <w:p w14:paraId="31F091E5" w14:textId="08BB4507" w:rsidR="00760ECF" w:rsidRPr="00191F28" w:rsidRDefault="00760ECF" w:rsidP="004F2506">
            <w:pPr>
              <w:pStyle w:val="Small-TableswithinQuotes"/>
            </w:pPr>
            <w:r w:rsidRPr="00191F28">
              <w:t>Scenario</w:t>
            </w:r>
          </w:p>
        </w:tc>
        <w:tc>
          <w:tcPr>
            <w:tcW w:w="3926" w:type="dxa"/>
            <w:shd w:val="clear" w:color="auto" w:fill="FFFFFF" w:themeFill="background1"/>
          </w:tcPr>
          <w:p w14:paraId="12124EE8" w14:textId="1C5E3CEE" w:rsidR="00760ECF" w:rsidRPr="00191F28" w:rsidRDefault="00760ECF" w:rsidP="004F2506">
            <w:pPr>
              <w:pStyle w:val="Small-TableswithinQuotes"/>
            </w:pPr>
            <w:r w:rsidRPr="00191F28">
              <w:t>Features</w:t>
            </w:r>
          </w:p>
        </w:tc>
        <w:tc>
          <w:tcPr>
            <w:tcW w:w="3349" w:type="dxa"/>
            <w:shd w:val="clear" w:color="auto" w:fill="FFFFFF" w:themeFill="background1"/>
          </w:tcPr>
          <w:p w14:paraId="77BDB421" w14:textId="46F3612F" w:rsidR="00760ECF" w:rsidRPr="00191F28" w:rsidRDefault="00760ECF" w:rsidP="004F2506">
            <w:pPr>
              <w:pStyle w:val="Small-TableswithinQuotes"/>
            </w:pPr>
            <w:r w:rsidRPr="00191F28">
              <w:t>Deed Administrators’ Approach</w:t>
            </w:r>
          </w:p>
        </w:tc>
      </w:tr>
      <w:tr w:rsidR="00760ECF" w:rsidRPr="00F14679" w14:paraId="1AAD2964" w14:textId="77777777" w:rsidTr="00471D41">
        <w:tc>
          <w:tcPr>
            <w:tcW w:w="1035" w:type="dxa"/>
          </w:tcPr>
          <w:p w14:paraId="3FAFCB9C" w14:textId="1353E3E7" w:rsidR="00760ECF" w:rsidRPr="00191F28" w:rsidRDefault="00760ECF" w:rsidP="004F2506">
            <w:pPr>
              <w:pStyle w:val="Small-TableswithinQuotes"/>
            </w:pPr>
            <w:r w:rsidRPr="00191F28">
              <w:t>1</w:t>
            </w:r>
          </w:p>
        </w:tc>
        <w:tc>
          <w:tcPr>
            <w:tcW w:w="3926" w:type="dxa"/>
          </w:tcPr>
          <w:p w14:paraId="0CC9D282" w14:textId="77777777" w:rsidR="00760ECF" w:rsidRPr="00191F28" w:rsidRDefault="00760ECF" w:rsidP="004F2506">
            <w:pPr>
              <w:pStyle w:val="Small-TableswithinQuotes"/>
            </w:pPr>
            <w:r w:rsidRPr="00191F28">
              <w:t>The benefits of the SMSF have been paid out to its members, or the benefits have been rolled over into another fund; and</w:t>
            </w:r>
          </w:p>
          <w:p w14:paraId="359D7003" w14:textId="77777777" w:rsidR="00760ECF" w:rsidRPr="00191F28" w:rsidRDefault="00760ECF" w:rsidP="004F2506">
            <w:pPr>
              <w:pStyle w:val="Small-TableswithinQuotes"/>
            </w:pPr>
            <w:r w:rsidRPr="00191F28">
              <w:t>there has not been an assignment of the claim against the Company; and</w:t>
            </w:r>
          </w:p>
          <w:p w14:paraId="00953265" w14:textId="77777777" w:rsidR="00760ECF" w:rsidRPr="00191F28" w:rsidRDefault="00760ECF" w:rsidP="004F2506">
            <w:pPr>
              <w:pStyle w:val="Small-TableswithinQuotes"/>
            </w:pPr>
            <w:r w:rsidRPr="00191F28">
              <w:t>the SMSF has been wound up (i.e. administrative steps have been taken to wind up the SMSF as required under SMSF laws and regulations, including finalising outstanding tax and compliance obligations, appointing auditor for final audit, and lodging final return).</w:t>
            </w:r>
          </w:p>
          <w:p w14:paraId="7CF20520" w14:textId="2FEBB540" w:rsidR="00760ECF" w:rsidRPr="00191F28" w:rsidRDefault="00760ECF" w:rsidP="004F2506">
            <w:pPr>
              <w:pStyle w:val="Small-TableswithinQuotes"/>
            </w:pPr>
            <w:r w:rsidRPr="00191F28">
              <w:t>When we say the SMSF has been "wound up" in this context, we do not mean that the trust has been dissolved, if there are other assets that remain held on trust (e.g. a right of action against the Company that has not been formally appointed to the beneficiaries).</w:t>
            </w:r>
          </w:p>
        </w:tc>
        <w:tc>
          <w:tcPr>
            <w:tcW w:w="3349" w:type="dxa"/>
          </w:tcPr>
          <w:p w14:paraId="67C5647E" w14:textId="644B6A49" w:rsidR="00760ECF" w:rsidRPr="00191F28" w:rsidRDefault="00233AB4" w:rsidP="004F2506">
            <w:pPr>
              <w:pStyle w:val="Small-TableswithinQuotes"/>
            </w:pPr>
            <w:r w:rsidRPr="00191F28">
              <w:t>No issues, as the individual trustees remain the legal owner of the claim against the Company. Moreover, the trustees will align with the beneficiaries, so we do not perceive any risk the claimant will differ from the Client Creditor.</w:t>
            </w:r>
          </w:p>
        </w:tc>
      </w:tr>
      <w:tr w:rsidR="00760ECF" w:rsidRPr="00F14679" w14:paraId="38B3F76C" w14:textId="77777777" w:rsidTr="00471D41">
        <w:tc>
          <w:tcPr>
            <w:tcW w:w="1035" w:type="dxa"/>
          </w:tcPr>
          <w:p w14:paraId="7C70208A" w14:textId="145ADDE7" w:rsidR="00760ECF" w:rsidRPr="00191F28" w:rsidRDefault="00760ECF" w:rsidP="004F2506">
            <w:pPr>
              <w:pStyle w:val="Small-TableswithinQuotes"/>
            </w:pPr>
            <w:r w:rsidRPr="00191F28">
              <w:t>2</w:t>
            </w:r>
          </w:p>
        </w:tc>
        <w:tc>
          <w:tcPr>
            <w:tcW w:w="3926" w:type="dxa"/>
          </w:tcPr>
          <w:p w14:paraId="6F864AAE" w14:textId="77777777" w:rsidR="009A5BB5" w:rsidRPr="00191F28" w:rsidRDefault="009A5BB5" w:rsidP="004F2506">
            <w:pPr>
              <w:pStyle w:val="Small-TableswithinQuotes"/>
            </w:pPr>
            <w:r w:rsidRPr="00191F28">
              <w:t>The benefits of the SMSF have been paid out to its members, or the benefits have been rolled over into another fund; and</w:t>
            </w:r>
          </w:p>
          <w:p w14:paraId="0DEBF50B" w14:textId="77777777" w:rsidR="009A5BB5" w:rsidRPr="00191F28" w:rsidRDefault="009A5BB5" w:rsidP="004F2506">
            <w:pPr>
              <w:pStyle w:val="Small-TableswithinQuotes"/>
            </w:pPr>
            <w:r w:rsidRPr="00191F28">
              <w:t>there has not been an assignment of the claim against the Company; and</w:t>
            </w:r>
          </w:p>
          <w:p w14:paraId="52ED49D3" w14:textId="6B4720EC" w:rsidR="00EC2137" w:rsidRPr="00191F28" w:rsidRDefault="00EC2137" w:rsidP="004F2506">
            <w:pPr>
              <w:pStyle w:val="Small-TableswithinQuotes"/>
            </w:pPr>
            <w:r w:rsidRPr="00191F28">
              <w:t>the SMSF has not yet been wound up.</w:t>
            </w:r>
          </w:p>
          <w:p w14:paraId="5D6E9CE7" w14:textId="77777777" w:rsidR="00760ECF" w:rsidRPr="00191F28" w:rsidRDefault="00760ECF" w:rsidP="004F2506">
            <w:pPr>
              <w:pStyle w:val="Small-TableswithinQuotes"/>
            </w:pPr>
          </w:p>
        </w:tc>
        <w:tc>
          <w:tcPr>
            <w:tcW w:w="3349" w:type="dxa"/>
          </w:tcPr>
          <w:p w14:paraId="71FE0287" w14:textId="3411CF25" w:rsidR="00760ECF" w:rsidRPr="00191F28" w:rsidRDefault="00EC2137" w:rsidP="004F2506">
            <w:pPr>
              <w:pStyle w:val="Small-TableswithinQuotes"/>
            </w:pPr>
            <w:r w:rsidRPr="00191F28">
              <w:t>Follow approach per scenario 1.</w:t>
            </w:r>
          </w:p>
        </w:tc>
      </w:tr>
      <w:tr w:rsidR="00760ECF" w:rsidRPr="00F14679" w14:paraId="42786FBE" w14:textId="77777777" w:rsidTr="00471D41">
        <w:tc>
          <w:tcPr>
            <w:tcW w:w="1035" w:type="dxa"/>
          </w:tcPr>
          <w:p w14:paraId="413A913E" w14:textId="7CFF973E" w:rsidR="00760ECF" w:rsidRPr="00191F28" w:rsidRDefault="00760ECF" w:rsidP="004F2506">
            <w:pPr>
              <w:pStyle w:val="Small-TableswithinQuotes"/>
            </w:pPr>
            <w:r w:rsidRPr="00191F28">
              <w:lastRenderedPageBreak/>
              <w:t>3</w:t>
            </w:r>
          </w:p>
        </w:tc>
        <w:tc>
          <w:tcPr>
            <w:tcW w:w="3926" w:type="dxa"/>
          </w:tcPr>
          <w:p w14:paraId="7F5CFD05" w14:textId="77777777" w:rsidR="00760ECF" w:rsidRPr="00191F28" w:rsidRDefault="00EC2137" w:rsidP="004F2506">
            <w:pPr>
              <w:pStyle w:val="Small-TableswithinQuotes"/>
            </w:pPr>
            <w:r w:rsidRPr="00191F28">
              <w:t>The benefits of the SMSF have been paid out to its members, or the benefits have been rolled over into another fund; and</w:t>
            </w:r>
          </w:p>
          <w:p w14:paraId="6F3A0988" w14:textId="77777777" w:rsidR="007F1EBC" w:rsidRPr="00191F28" w:rsidRDefault="007F1EBC" w:rsidP="004F2506">
            <w:pPr>
              <w:pStyle w:val="Small-TableswithinQuotes"/>
            </w:pPr>
            <w:r w:rsidRPr="00191F28">
              <w:t>there has been assignment, or purported assignment, of the claim against the Company; and</w:t>
            </w:r>
          </w:p>
          <w:p w14:paraId="300A083C" w14:textId="2D5ADC1D" w:rsidR="007F1EBC" w:rsidRPr="00191F28" w:rsidRDefault="007F1EBC" w:rsidP="004F2506">
            <w:pPr>
              <w:pStyle w:val="Small-TableswithinQuotes"/>
            </w:pPr>
            <w:r w:rsidRPr="00191F28">
              <w:t>the SMSF has been wound up.</w:t>
            </w:r>
          </w:p>
        </w:tc>
        <w:tc>
          <w:tcPr>
            <w:tcW w:w="3349" w:type="dxa"/>
          </w:tcPr>
          <w:p w14:paraId="06D1FE51" w14:textId="77777777" w:rsidR="00760ECF" w:rsidRPr="00191F28" w:rsidRDefault="007F1EBC" w:rsidP="004F2506">
            <w:pPr>
              <w:pStyle w:val="Small-TableswithinQuotes"/>
            </w:pPr>
            <w:r w:rsidRPr="00191F28">
              <w:t>We will:</w:t>
            </w:r>
          </w:p>
          <w:p w14:paraId="25F41899" w14:textId="77777777" w:rsidR="007F1EBC" w:rsidRPr="00191F28" w:rsidRDefault="002C0509" w:rsidP="004F2506">
            <w:pPr>
              <w:pStyle w:val="Small-TableswithinQuotes"/>
            </w:pPr>
            <w:r w:rsidRPr="00191F28">
              <w:t>1) request that the claimant provide details of the purported assignment (i.e. who is the assignor, and copies of assignment documentation);</w:t>
            </w:r>
          </w:p>
          <w:p w14:paraId="66573689" w14:textId="77777777" w:rsidR="004223B8" w:rsidRPr="00191F28" w:rsidRDefault="004223B8" w:rsidP="004F2506">
            <w:pPr>
              <w:pStyle w:val="Small-TableswithinQuotes"/>
            </w:pPr>
            <w:r w:rsidRPr="00191F28">
              <w:t>2) assess the validity of the assignment; and</w:t>
            </w:r>
          </w:p>
          <w:p w14:paraId="13346E92" w14:textId="77777777" w:rsidR="004223B8" w:rsidRPr="00191F28" w:rsidRDefault="004223B8" w:rsidP="004F2506">
            <w:pPr>
              <w:pStyle w:val="Small-TableswithinQuotes"/>
            </w:pPr>
            <w:r w:rsidRPr="00191F28">
              <w:t>3) accept or reject the claim based on the validity of the assignment.</w:t>
            </w:r>
          </w:p>
          <w:p w14:paraId="6C3B855F" w14:textId="7ED4A033" w:rsidR="004223B8" w:rsidRPr="00191F28" w:rsidRDefault="004223B8" w:rsidP="004F2506">
            <w:pPr>
              <w:pStyle w:val="Small-TableswithinQuotes"/>
            </w:pPr>
            <w:r w:rsidRPr="00191F28">
              <w:t>4) if the claim is rejected, notify claimant of our view that the purported assignor is the proper claimant.</w:t>
            </w:r>
          </w:p>
        </w:tc>
      </w:tr>
      <w:tr w:rsidR="00760ECF" w:rsidRPr="00F14679" w14:paraId="7A1D10F5" w14:textId="77777777" w:rsidTr="00471D41">
        <w:tc>
          <w:tcPr>
            <w:tcW w:w="1035" w:type="dxa"/>
          </w:tcPr>
          <w:p w14:paraId="55454021" w14:textId="745A2BCB" w:rsidR="00760ECF" w:rsidRPr="00191F28" w:rsidRDefault="00760ECF" w:rsidP="004F2506">
            <w:pPr>
              <w:pStyle w:val="Small-TableswithinQuotes"/>
            </w:pPr>
            <w:r w:rsidRPr="00191F28">
              <w:t>4</w:t>
            </w:r>
          </w:p>
        </w:tc>
        <w:tc>
          <w:tcPr>
            <w:tcW w:w="3926" w:type="dxa"/>
          </w:tcPr>
          <w:p w14:paraId="16F7ED02" w14:textId="77777777" w:rsidR="002D226E" w:rsidRPr="00191F28" w:rsidRDefault="002D226E" w:rsidP="004F2506">
            <w:pPr>
              <w:pStyle w:val="Small-TableswithinQuotes"/>
            </w:pPr>
            <w:r w:rsidRPr="00191F28">
              <w:t>The benefits of the SMSF have been paid out to its members, or the benefits have been rolled over into another fund; and</w:t>
            </w:r>
          </w:p>
          <w:p w14:paraId="6FFA93C5" w14:textId="77777777" w:rsidR="002D226E" w:rsidRPr="00191F28" w:rsidRDefault="002D226E" w:rsidP="004F2506">
            <w:pPr>
              <w:pStyle w:val="Small-TableswithinQuotes"/>
            </w:pPr>
            <w:r w:rsidRPr="00191F28">
              <w:t>there has been assignment, or purported assignment, of the claim against the Company; and</w:t>
            </w:r>
          </w:p>
          <w:p w14:paraId="7084480C" w14:textId="4A72B086" w:rsidR="00760ECF" w:rsidRPr="00191F28" w:rsidRDefault="002D226E" w:rsidP="004F2506">
            <w:pPr>
              <w:pStyle w:val="Small-TableswithinQuotes"/>
            </w:pPr>
            <w:r w:rsidRPr="00191F28">
              <w:t>the SMSF has not yet been wound up.</w:t>
            </w:r>
          </w:p>
        </w:tc>
        <w:tc>
          <w:tcPr>
            <w:tcW w:w="3349" w:type="dxa"/>
          </w:tcPr>
          <w:p w14:paraId="07A2582B" w14:textId="1CC91FCA" w:rsidR="00760ECF" w:rsidRPr="00191F28" w:rsidRDefault="002D226E" w:rsidP="004F2506">
            <w:pPr>
              <w:pStyle w:val="Small-TableswithinQuotes"/>
            </w:pPr>
            <w:r w:rsidRPr="00191F28">
              <w:t>Follow approach per scenario 3.</w:t>
            </w:r>
          </w:p>
        </w:tc>
      </w:tr>
    </w:tbl>
    <w:p w14:paraId="142628DC" w14:textId="77777777" w:rsidR="002D226E" w:rsidRDefault="002D226E" w:rsidP="004F2506">
      <w:pPr>
        <w:pStyle w:val="Small-TableswithinQuotes"/>
      </w:pPr>
    </w:p>
    <w:p w14:paraId="72AC6250" w14:textId="0C9D3E09" w:rsidR="002D226E" w:rsidRPr="00471D41" w:rsidRDefault="002D226E" w:rsidP="004F2506">
      <w:pPr>
        <w:pStyle w:val="Small-TableswithinQuotes"/>
        <w:rPr>
          <w:bCs/>
        </w:rPr>
      </w:pPr>
      <w:r>
        <w:t>(b)</w:t>
      </w:r>
      <w:r>
        <w:tab/>
      </w:r>
      <w:r>
        <w:rPr>
          <w:bCs/>
        </w:rPr>
        <w:t>SMSF with a corporate trustee</w:t>
      </w:r>
    </w:p>
    <w:tbl>
      <w:tblPr>
        <w:tblStyle w:val="TableGrid1"/>
        <w:tblW w:w="8310" w:type="dxa"/>
        <w:tblInd w:w="701" w:type="dxa"/>
        <w:tblLook w:val="04A0" w:firstRow="1" w:lastRow="0" w:firstColumn="1" w:lastColumn="0" w:noHBand="0" w:noVBand="1"/>
      </w:tblPr>
      <w:tblGrid>
        <w:gridCol w:w="1035"/>
        <w:gridCol w:w="3926"/>
        <w:gridCol w:w="3349"/>
      </w:tblGrid>
      <w:tr w:rsidR="009E595D" w:rsidRPr="00F14679" w14:paraId="7DCAC79D" w14:textId="77777777" w:rsidTr="00E11D1F">
        <w:tc>
          <w:tcPr>
            <w:tcW w:w="0" w:type="dxa"/>
            <w:shd w:val="clear" w:color="auto" w:fill="FFFFFF" w:themeFill="background1"/>
          </w:tcPr>
          <w:p w14:paraId="5AB88FCD" w14:textId="24EFAB68" w:rsidR="009E595D" w:rsidRPr="00191F28" w:rsidRDefault="009E595D" w:rsidP="004F2506">
            <w:pPr>
              <w:pStyle w:val="Small-TableswithinQuotes"/>
            </w:pPr>
            <w:r w:rsidRPr="00191F28">
              <w:t>Scenario</w:t>
            </w:r>
          </w:p>
        </w:tc>
        <w:tc>
          <w:tcPr>
            <w:tcW w:w="0" w:type="dxa"/>
            <w:shd w:val="clear" w:color="auto" w:fill="FFFFFF" w:themeFill="background1"/>
          </w:tcPr>
          <w:p w14:paraId="75717F3D" w14:textId="198F864E" w:rsidR="009E595D" w:rsidRPr="00191F28" w:rsidRDefault="009E595D" w:rsidP="004F2506">
            <w:pPr>
              <w:pStyle w:val="Small-TableswithinQuotes"/>
            </w:pPr>
            <w:r w:rsidRPr="00191F28">
              <w:t>Features</w:t>
            </w:r>
          </w:p>
        </w:tc>
        <w:tc>
          <w:tcPr>
            <w:tcW w:w="0" w:type="dxa"/>
            <w:shd w:val="clear" w:color="auto" w:fill="FFFFFF" w:themeFill="background1"/>
          </w:tcPr>
          <w:p w14:paraId="1E2B4A36" w14:textId="322029CA" w:rsidR="009E595D" w:rsidRPr="00191F28" w:rsidRDefault="009E595D" w:rsidP="004F2506">
            <w:pPr>
              <w:pStyle w:val="Small-TableswithinQuotes"/>
            </w:pPr>
            <w:r w:rsidRPr="00191F28">
              <w:t>Deed Administrators’ Approach</w:t>
            </w:r>
          </w:p>
        </w:tc>
      </w:tr>
      <w:tr w:rsidR="004E2DA2" w:rsidRPr="00F14679" w14:paraId="08CA943E" w14:textId="77777777" w:rsidTr="00471D41">
        <w:tc>
          <w:tcPr>
            <w:tcW w:w="1035" w:type="dxa"/>
          </w:tcPr>
          <w:p w14:paraId="5E0AB0CE" w14:textId="424EF7C4" w:rsidR="004E2DA2" w:rsidRPr="00191F28" w:rsidRDefault="004E2DA2" w:rsidP="004F2506">
            <w:pPr>
              <w:pStyle w:val="Small-TableswithinQuotes"/>
            </w:pPr>
            <w:r w:rsidRPr="00191F28">
              <w:t>5</w:t>
            </w:r>
          </w:p>
        </w:tc>
        <w:tc>
          <w:tcPr>
            <w:tcW w:w="3926" w:type="dxa"/>
          </w:tcPr>
          <w:p w14:paraId="161E0537" w14:textId="77777777" w:rsidR="004E2DA2" w:rsidRPr="00191F28" w:rsidRDefault="004E2DA2" w:rsidP="004F2506">
            <w:pPr>
              <w:pStyle w:val="Small-TableswithinQuotes"/>
            </w:pPr>
            <w:r w:rsidRPr="00191F28">
              <w:t>The benefits of the SMSF have been paid out to its members, or the benefits have been rolled over into another fund; and</w:t>
            </w:r>
          </w:p>
          <w:p w14:paraId="1EB45DD4" w14:textId="77777777" w:rsidR="004E2DA2" w:rsidRPr="00191F28" w:rsidRDefault="004E2DA2" w:rsidP="004F2506">
            <w:pPr>
              <w:pStyle w:val="Small-TableswithinQuotes"/>
            </w:pPr>
            <w:r w:rsidRPr="00191F28">
              <w:t>there has not been assignment of the claim against the Company; and</w:t>
            </w:r>
          </w:p>
          <w:p w14:paraId="0D2B305D" w14:textId="7C59B733" w:rsidR="004E2DA2" w:rsidRPr="00191F28" w:rsidRDefault="004E2DA2" w:rsidP="004F2506">
            <w:pPr>
              <w:pStyle w:val="Small-TableswithinQuotes"/>
            </w:pPr>
            <w:r w:rsidRPr="00191F28">
              <w:t>the SMSF has been wound up and the corporate entity deregistered.</w:t>
            </w:r>
          </w:p>
        </w:tc>
        <w:tc>
          <w:tcPr>
            <w:tcW w:w="3349" w:type="dxa"/>
          </w:tcPr>
          <w:p w14:paraId="10FAD667" w14:textId="3BE238C8" w:rsidR="004E2DA2" w:rsidRPr="00191F28" w:rsidRDefault="004E2DA2" w:rsidP="004F2506">
            <w:pPr>
              <w:pStyle w:val="Small-TableswithinQuotes"/>
            </w:pPr>
            <w:r w:rsidRPr="00191F28">
              <w:t xml:space="preserve">The </w:t>
            </w:r>
            <w:r w:rsidR="00D64E72" w:rsidRPr="00191F28">
              <w:t xml:space="preserve">right of action by the corporate trustee against the Company will have vested in the Commonwealth </w:t>
            </w:r>
            <w:r w:rsidR="00E74545" w:rsidRPr="00191F28">
              <w:t>immediately</w:t>
            </w:r>
            <w:r w:rsidR="00D64E72" w:rsidRPr="00191F28">
              <w:t xml:space="preserve"> before deregistration.</w:t>
            </w:r>
          </w:p>
          <w:p w14:paraId="1F43D838" w14:textId="41895CD3" w:rsidR="00D64E72" w:rsidRPr="00191F28" w:rsidRDefault="00D64E72" w:rsidP="004F2506">
            <w:pPr>
              <w:pStyle w:val="Small-TableswithinQuotes"/>
              <w:rPr>
                <w:lang w:eastAsia="en-AU"/>
              </w:rPr>
            </w:pPr>
            <w:r w:rsidRPr="00191F28">
              <w:t xml:space="preserve">We will advise the claimant that the proper claimant is the corporate trustee, and if the trustee wishes to make a claim against the Company it will need to </w:t>
            </w:r>
            <w:r w:rsidR="0094421C" w:rsidRPr="00191F28">
              <w:t xml:space="preserve">be reinstated, or an application will need to be made to ASIC to transfer the right of action to the beneficiaries. </w:t>
            </w:r>
          </w:p>
        </w:tc>
      </w:tr>
      <w:tr w:rsidR="004E2DA2" w:rsidRPr="00F14679" w14:paraId="672A96AA" w14:textId="77777777" w:rsidTr="00471D41">
        <w:tc>
          <w:tcPr>
            <w:tcW w:w="1035" w:type="dxa"/>
          </w:tcPr>
          <w:p w14:paraId="1EFD992D" w14:textId="6A83FF21" w:rsidR="004E2DA2" w:rsidRPr="00191F28" w:rsidRDefault="004E2DA2" w:rsidP="004F2506">
            <w:pPr>
              <w:pStyle w:val="Small-TableswithinQuotes"/>
            </w:pPr>
            <w:r w:rsidRPr="00191F28">
              <w:t>6</w:t>
            </w:r>
          </w:p>
        </w:tc>
        <w:tc>
          <w:tcPr>
            <w:tcW w:w="3926" w:type="dxa"/>
          </w:tcPr>
          <w:p w14:paraId="6B0941B5" w14:textId="77777777" w:rsidR="00E74545" w:rsidRPr="00191F28" w:rsidRDefault="00E74545" w:rsidP="004F2506">
            <w:pPr>
              <w:pStyle w:val="Small-TableswithinQuotes"/>
            </w:pPr>
            <w:r w:rsidRPr="00191F28">
              <w:t>The benefits of the SMSF have been paid out to its members, or the benefits have been rolled over into another fund; and</w:t>
            </w:r>
          </w:p>
          <w:p w14:paraId="20E3858A" w14:textId="77777777" w:rsidR="00603751" w:rsidRPr="00191F28" w:rsidRDefault="00E74545" w:rsidP="004F2506">
            <w:pPr>
              <w:pStyle w:val="Small-TableswithinQuotes"/>
            </w:pPr>
            <w:r w:rsidRPr="00191F28">
              <w:t>there has not been assignment of the claim against the Company; and</w:t>
            </w:r>
          </w:p>
          <w:p w14:paraId="3ED3401D" w14:textId="57EBB383" w:rsidR="004E2DA2" w:rsidRPr="00191F28" w:rsidRDefault="00E74545" w:rsidP="004F2506">
            <w:pPr>
              <w:pStyle w:val="Small-TableswithinQuotes"/>
            </w:pPr>
            <w:r w:rsidRPr="00191F28">
              <w:t xml:space="preserve">the SMSF has </w:t>
            </w:r>
            <w:r w:rsidR="00603751" w:rsidRPr="00191F28">
              <w:t xml:space="preserve">not yet </w:t>
            </w:r>
            <w:r w:rsidRPr="00191F28">
              <w:t>been wound up.</w:t>
            </w:r>
          </w:p>
        </w:tc>
        <w:tc>
          <w:tcPr>
            <w:tcW w:w="3349" w:type="dxa"/>
          </w:tcPr>
          <w:p w14:paraId="16387F33" w14:textId="77777777" w:rsidR="004E2DA2" w:rsidRPr="00191F28" w:rsidRDefault="00603751" w:rsidP="004F2506">
            <w:pPr>
              <w:pStyle w:val="Small-TableswithinQuotes"/>
            </w:pPr>
            <w:r w:rsidRPr="00191F28">
              <w:t xml:space="preserve">The right of action </w:t>
            </w:r>
            <w:r w:rsidR="00C632CF" w:rsidRPr="00191F28">
              <w:t>remains with the corporate trustee, which can make a claim against the Company.</w:t>
            </w:r>
          </w:p>
          <w:p w14:paraId="1AF5EA4F" w14:textId="293AFBDF" w:rsidR="00C632CF" w:rsidRPr="00191F28" w:rsidRDefault="00C632CF" w:rsidP="004F2506">
            <w:pPr>
              <w:pStyle w:val="Small-TableswithinQuotes"/>
            </w:pPr>
            <w:r w:rsidRPr="00191F28">
              <w:t>If the beneficiaries of the SMSF attempt to make a claim against the Company, we will advise the claimants that the proper claimant is the corporate trustee.</w:t>
            </w:r>
          </w:p>
        </w:tc>
      </w:tr>
      <w:tr w:rsidR="004E2DA2" w:rsidRPr="00F14679" w14:paraId="0A57FCDF" w14:textId="77777777" w:rsidTr="004F2506">
        <w:tc>
          <w:tcPr>
            <w:tcW w:w="1035" w:type="dxa"/>
          </w:tcPr>
          <w:p w14:paraId="211BAABA" w14:textId="64DF8887" w:rsidR="004E2DA2" w:rsidRPr="00191F28" w:rsidRDefault="004E2DA2" w:rsidP="004F2506">
            <w:pPr>
              <w:pStyle w:val="Small-TableswithinQuotes"/>
            </w:pPr>
            <w:r w:rsidRPr="00191F28">
              <w:t>7</w:t>
            </w:r>
          </w:p>
        </w:tc>
        <w:tc>
          <w:tcPr>
            <w:tcW w:w="3926" w:type="dxa"/>
          </w:tcPr>
          <w:p w14:paraId="698C1A44" w14:textId="77777777" w:rsidR="00C632CF" w:rsidRPr="00191F28" w:rsidRDefault="00C632CF" w:rsidP="004F2506">
            <w:pPr>
              <w:pStyle w:val="Small-TableswithinQuotes"/>
            </w:pPr>
            <w:r w:rsidRPr="00191F28">
              <w:t>The benefits of the SMSF have been paid out to its members, or the benefits have been rolled over into another fund; and</w:t>
            </w:r>
          </w:p>
          <w:p w14:paraId="6BBCEC92" w14:textId="77777777" w:rsidR="00FA0CF1" w:rsidRPr="00191F28" w:rsidRDefault="00C632CF" w:rsidP="004F2506">
            <w:pPr>
              <w:pStyle w:val="Small-TableswithinQuotes"/>
            </w:pPr>
            <w:r w:rsidRPr="00191F28">
              <w:t>there has been an assignment, or purported assignment</w:t>
            </w:r>
            <w:r w:rsidR="00FA0CF1" w:rsidRPr="00191F28">
              <w:t>,</w:t>
            </w:r>
            <w:r w:rsidRPr="00191F28">
              <w:t xml:space="preserve"> of the claim against the Company; and</w:t>
            </w:r>
          </w:p>
          <w:p w14:paraId="5B4B13CE" w14:textId="17D458CA" w:rsidR="004E2DA2" w:rsidRPr="00191F28" w:rsidRDefault="00C632CF" w:rsidP="004F2506">
            <w:pPr>
              <w:pStyle w:val="Small-TableswithinQuotes"/>
            </w:pPr>
            <w:r w:rsidRPr="00191F28">
              <w:t>the SMSF has been wound up</w:t>
            </w:r>
            <w:r w:rsidR="00FA0CF1" w:rsidRPr="00191F28">
              <w:t xml:space="preserve"> and the corporate entity deregistered</w:t>
            </w:r>
            <w:r w:rsidRPr="00191F28">
              <w:t>.</w:t>
            </w:r>
          </w:p>
        </w:tc>
        <w:tc>
          <w:tcPr>
            <w:tcW w:w="3349" w:type="dxa"/>
          </w:tcPr>
          <w:p w14:paraId="31B5082F" w14:textId="0548EF9C" w:rsidR="004E2DA2" w:rsidRPr="00191F28" w:rsidRDefault="00FA0CF1" w:rsidP="004F2506">
            <w:pPr>
              <w:pStyle w:val="Small-TableswithinQuotes"/>
            </w:pPr>
            <w:r w:rsidRPr="00191F28">
              <w:t>1)</w:t>
            </w:r>
            <w:r w:rsidR="002D3A26" w:rsidRPr="00191F28">
              <w:t>:</w:t>
            </w:r>
            <w:r w:rsidRPr="00191F28">
              <w:t xml:space="preserve"> Follow approach per scenario 3</w:t>
            </w:r>
          </w:p>
          <w:p w14:paraId="4A13476E" w14:textId="77777777" w:rsidR="00FA0CF1" w:rsidRPr="00191F28" w:rsidRDefault="00FA0CF1" w:rsidP="004F2506">
            <w:pPr>
              <w:pStyle w:val="Small-TableswithinQuotes"/>
            </w:pPr>
            <w:r w:rsidRPr="00191F28">
              <w:t>PLUS</w:t>
            </w:r>
          </w:p>
          <w:p w14:paraId="59A194E1" w14:textId="374FEC29" w:rsidR="00FA0CF1" w:rsidRPr="00191F28" w:rsidRDefault="002D3A26" w:rsidP="004F2506">
            <w:pPr>
              <w:pStyle w:val="Small-TableswithinQuotes"/>
            </w:pPr>
            <w:r w:rsidRPr="00191F28">
              <w:t>i</w:t>
            </w:r>
            <w:r w:rsidR="00FA0CF1" w:rsidRPr="00191F28">
              <w:t>f we consider the assignment is not effective,</w:t>
            </w:r>
          </w:p>
          <w:p w14:paraId="04CEBDE7" w14:textId="71DF0E74" w:rsidR="00FA0CF1" w:rsidRPr="00191F28" w:rsidRDefault="00FA0CF1" w:rsidP="004F2506">
            <w:pPr>
              <w:pStyle w:val="Small-TableswithinQuotes"/>
            </w:pPr>
            <w:r w:rsidRPr="00191F28">
              <w:t>2)</w:t>
            </w:r>
            <w:r w:rsidR="002D3A26" w:rsidRPr="00191F28">
              <w:t>:</w:t>
            </w:r>
            <w:r w:rsidRPr="00191F28">
              <w:t xml:space="preserve"> Follow approach per scenario 5.</w:t>
            </w:r>
          </w:p>
        </w:tc>
      </w:tr>
      <w:tr w:rsidR="004E2DA2" w:rsidRPr="00F14679" w14:paraId="3AA32921" w14:textId="77777777" w:rsidTr="00471D41">
        <w:tc>
          <w:tcPr>
            <w:tcW w:w="1035" w:type="dxa"/>
          </w:tcPr>
          <w:p w14:paraId="7EB4E42D" w14:textId="206DA6CA" w:rsidR="004E2DA2" w:rsidRPr="00191F28" w:rsidRDefault="004E2DA2" w:rsidP="004F2506">
            <w:pPr>
              <w:pStyle w:val="Small-TableswithinQuotes"/>
            </w:pPr>
            <w:r w:rsidRPr="00191F28">
              <w:lastRenderedPageBreak/>
              <w:t>8</w:t>
            </w:r>
          </w:p>
        </w:tc>
        <w:tc>
          <w:tcPr>
            <w:tcW w:w="3926" w:type="dxa"/>
          </w:tcPr>
          <w:p w14:paraId="5F35F5FE" w14:textId="77777777" w:rsidR="00FA0CF1" w:rsidRPr="00191F28" w:rsidRDefault="00FA0CF1" w:rsidP="004F2506">
            <w:pPr>
              <w:pStyle w:val="Small-TableswithinQuotes"/>
            </w:pPr>
            <w:r w:rsidRPr="00191F28">
              <w:t>The benefits of the SMSF have been paid out to its members, or the benefits have been rolled over into another fund; and</w:t>
            </w:r>
          </w:p>
          <w:p w14:paraId="19A7CA39" w14:textId="77777777" w:rsidR="00FA0CF1" w:rsidRPr="00191F28" w:rsidRDefault="00FA0CF1" w:rsidP="004F2506">
            <w:pPr>
              <w:pStyle w:val="Small-TableswithinQuotes"/>
            </w:pPr>
            <w:r w:rsidRPr="00191F28">
              <w:t>there has been an assignment, or purported assignment, of the claim against the Company; and</w:t>
            </w:r>
          </w:p>
          <w:p w14:paraId="0378616D" w14:textId="4BEF3D5C" w:rsidR="004E2DA2" w:rsidRPr="00191F28" w:rsidRDefault="00FA0CF1" w:rsidP="004F2506">
            <w:pPr>
              <w:pStyle w:val="Small-TableswithinQuotes"/>
            </w:pPr>
            <w:r w:rsidRPr="00191F28">
              <w:t>the SMSF has not yet been wound up.</w:t>
            </w:r>
          </w:p>
        </w:tc>
        <w:tc>
          <w:tcPr>
            <w:tcW w:w="3349" w:type="dxa"/>
          </w:tcPr>
          <w:p w14:paraId="330473FF" w14:textId="28E16E0A" w:rsidR="004E2DA2" w:rsidRPr="00191F28" w:rsidRDefault="00FA0CF1" w:rsidP="004F2506">
            <w:pPr>
              <w:pStyle w:val="Small-TableswithinQuotes"/>
            </w:pPr>
            <w:r w:rsidRPr="00191F28">
              <w:t>1)</w:t>
            </w:r>
            <w:r w:rsidR="002D3A26" w:rsidRPr="00191F28">
              <w:t>:</w:t>
            </w:r>
            <w:r w:rsidRPr="00191F28">
              <w:t xml:space="preserve"> </w:t>
            </w:r>
            <w:r w:rsidR="002D3A26" w:rsidRPr="00191F28">
              <w:t>Follow approach per scenario 3</w:t>
            </w:r>
          </w:p>
          <w:p w14:paraId="721A9618" w14:textId="77777777" w:rsidR="002D3A26" w:rsidRPr="00191F28" w:rsidRDefault="002D3A26" w:rsidP="004F2506">
            <w:pPr>
              <w:pStyle w:val="Small-TableswithinQuotes"/>
            </w:pPr>
            <w:r w:rsidRPr="00191F28">
              <w:t>PLUS</w:t>
            </w:r>
          </w:p>
          <w:p w14:paraId="086A1CD6" w14:textId="77777777" w:rsidR="002D3A26" w:rsidRPr="00191F28" w:rsidRDefault="002D3A26" w:rsidP="004F2506">
            <w:pPr>
              <w:pStyle w:val="Small-TableswithinQuotes"/>
            </w:pPr>
            <w:r w:rsidRPr="00191F28">
              <w:t>if we consider the assignment is not effective,</w:t>
            </w:r>
          </w:p>
          <w:p w14:paraId="3C3E3C7C" w14:textId="642B6167" w:rsidR="002D3A26" w:rsidRPr="00191F28" w:rsidRDefault="002D3A26" w:rsidP="004F2506">
            <w:pPr>
              <w:pStyle w:val="Small-TableswithinQuotes"/>
            </w:pPr>
            <w:r w:rsidRPr="00191F28">
              <w:t>2): Folow approach per scenario 6.</w:t>
            </w:r>
          </w:p>
        </w:tc>
      </w:tr>
    </w:tbl>
    <w:p w14:paraId="1E036CC3" w14:textId="77777777" w:rsidR="00760ECF" w:rsidRPr="00E075A2" w:rsidRDefault="00760ECF" w:rsidP="004F2506">
      <w:pPr>
        <w:pStyle w:val="Small-TableswithinQuotes"/>
      </w:pPr>
    </w:p>
    <w:p w14:paraId="1177EF10" w14:textId="4A0F9C61" w:rsidR="005F4CA4" w:rsidRDefault="00B6500C" w:rsidP="00B6500C">
      <w:pPr>
        <w:pStyle w:val="ParaNumbering"/>
        <w:numPr>
          <w:ilvl w:val="0"/>
          <w:numId w:val="0"/>
        </w:numPr>
        <w:ind w:hanging="720"/>
        <w:rPr>
          <w:lang w:eastAsia="en-AU"/>
        </w:rPr>
      </w:pPr>
      <w:r>
        <w:rPr>
          <w:iCs/>
          <w:sz w:val="20"/>
          <w:lang w:eastAsia="en-AU"/>
        </w:rPr>
        <w:t>152</w:t>
      </w:r>
      <w:r>
        <w:rPr>
          <w:iCs/>
          <w:sz w:val="20"/>
          <w:lang w:eastAsia="en-AU"/>
        </w:rPr>
        <w:tab/>
      </w:r>
      <w:r w:rsidR="005F4CA4">
        <w:rPr>
          <w:lang w:eastAsia="en-AU"/>
        </w:rPr>
        <w:t>The Deed Administrators seek an order in the following terms to address this difficulty:</w:t>
      </w:r>
    </w:p>
    <w:p w14:paraId="6318DCBF" w14:textId="4A9D594E" w:rsidR="000057CD" w:rsidRDefault="000057CD" w:rsidP="005F4CA4">
      <w:pPr>
        <w:pStyle w:val="Quote1"/>
        <w:rPr>
          <w:lang w:eastAsia="en-AU"/>
        </w:rPr>
      </w:pPr>
      <w:r>
        <w:rPr>
          <w:lang w:eastAsia="en-AU"/>
        </w:rPr>
        <w:t>Pursuant to section 90-15 of the IPS, the Deed Administrators are justified and acting reasonably in proceeding on the basis that any review of Claims by Former Client Claimants is to be undertaken in accordance with the scenarios described at paragraph 68 of the March 2024 Gill Affidavit.</w:t>
      </w:r>
    </w:p>
    <w:p w14:paraId="7124EBD9" w14:textId="001C29C0" w:rsidR="003C721D" w:rsidRDefault="003C721D" w:rsidP="003C721D">
      <w:pPr>
        <w:pStyle w:val="Heading2"/>
      </w:pPr>
      <w:r>
        <w:t>Conclusions on application for directions under s 90-15 of the IPS</w:t>
      </w:r>
    </w:p>
    <w:p w14:paraId="312C1EFE" w14:textId="6D1E9A3A" w:rsidR="003C721D" w:rsidRPr="00AA2419" w:rsidRDefault="00B6500C" w:rsidP="00B6500C">
      <w:pPr>
        <w:pStyle w:val="ParaNumbering"/>
        <w:numPr>
          <w:ilvl w:val="0"/>
          <w:numId w:val="0"/>
        </w:numPr>
        <w:ind w:hanging="720"/>
      </w:pPr>
      <w:r w:rsidRPr="00AA2419">
        <w:rPr>
          <w:iCs/>
          <w:sz w:val="20"/>
        </w:rPr>
        <w:t>153</w:t>
      </w:r>
      <w:r w:rsidRPr="00AA2419">
        <w:rPr>
          <w:iCs/>
          <w:sz w:val="20"/>
        </w:rPr>
        <w:tab/>
      </w:r>
      <w:r w:rsidR="005F4CA4" w:rsidRPr="00AA2419">
        <w:t>I accept that direction</w:t>
      </w:r>
      <w:r w:rsidR="00AA2419" w:rsidRPr="00AA2419">
        <w:t>s</w:t>
      </w:r>
      <w:r w:rsidR="005F4CA4" w:rsidRPr="00AA2419">
        <w:t xml:space="preserve"> should be made</w:t>
      </w:r>
      <w:r w:rsidR="00946C66" w:rsidRPr="00946C66">
        <w:t xml:space="preserve"> </w:t>
      </w:r>
      <w:r w:rsidR="00946C66" w:rsidRPr="00AA2419">
        <w:t>in the terms sought</w:t>
      </w:r>
      <w:r w:rsidR="005F4CA4" w:rsidRPr="00AA2419">
        <w:t>.</w:t>
      </w:r>
      <w:r w:rsidR="00AE22BC" w:rsidRPr="00AA2419">
        <w:t xml:space="preserve"> The return likely to Claimants under the settlement are already </w:t>
      </w:r>
      <w:r w:rsidR="00A253EE" w:rsidRPr="00AA2419">
        <w:t xml:space="preserve">very small compared to the losses which they have sustained. As noted earlier, </w:t>
      </w:r>
      <w:r w:rsidR="003C721D" w:rsidRPr="00AA2419">
        <w:t xml:space="preserve">whilst this is unfortunate, the evidence indicates that this is as much as is ever likely to be recovered.  </w:t>
      </w:r>
    </w:p>
    <w:p w14:paraId="67ECCE89" w14:textId="37C07393" w:rsidR="005F4CA4" w:rsidRPr="00AA2419" w:rsidRDefault="00B6500C" w:rsidP="00B6500C">
      <w:pPr>
        <w:pStyle w:val="ParaNumbering"/>
        <w:numPr>
          <w:ilvl w:val="0"/>
          <w:numId w:val="0"/>
        </w:numPr>
        <w:ind w:hanging="720"/>
      </w:pPr>
      <w:r w:rsidRPr="00AA2419">
        <w:rPr>
          <w:iCs/>
          <w:sz w:val="20"/>
        </w:rPr>
        <w:t>154</w:t>
      </w:r>
      <w:r w:rsidRPr="00AA2419">
        <w:rPr>
          <w:iCs/>
          <w:sz w:val="20"/>
        </w:rPr>
        <w:tab/>
      </w:r>
      <w:r w:rsidR="00BB481D" w:rsidRPr="00AA2419">
        <w:t>In the unfortunate circumstances which have occurred it is necessary to take a practical approach in order to maximise the return to the Claimants and creditors. Perfection is not po</w:t>
      </w:r>
      <w:r w:rsidR="002F7BE6" w:rsidRPr="00AA2419">
        <w:t>ssible because the Deed Administrators</w:t>
      </w:r>
      <w:r w:rsidR="00CD113A" w:rsidRPr="00AA2419">
        <w:t>’</w:t>
      </w:r>
      <w:r w:rsidR="002F7BE6" w:rsidRPr="00AA2419">
        <w:t xml:space="preserve"> costs of achieving perfection would substantially</w:t>
      </w:r>
      <w:r w:rsidR="00946C66">
        <w:t>,</w:t>
      </w:r>
      <w:r w:rsidR="002F7BE6" w:rsidRPr="00AA2419">
        <w:t xml:space="preserve"> if not entirely</w:t>
      </w:r>
      <w:r w:rsidR="00946C66">
        <w:t>,</w:t>
      </w:r>
      <w:r w:rsidR="002F7BE6" w:rsidRPr="00AA2419">
        <w:t xml:space="preserve"> consume the amount available for distribution.  </w:t>
      </w:r>
    </w:p>
    <w:p w14:paraId="0DD16F0A" w14:textId="059D55D8" w:rsidR="0028125F" w:rsidRDefault="00B6500C" w:rsidP="0028125F">
      <w:pPr>
        <w:pStyle w:val="Heading1"/>
      </w:pPr>
      <w:r>
        <w:rPr>
          <w:caps w:val="0"/>
        </w:rPr>
        <w:t>BALANCE’S COSTS</w:t>
      </w:r>
    </w:p>
    <w:p w14:paraId="698FAFCB" w14:textId="0BE258DE" w:rsidR="000732F2" w:rsidRDefault="000732F2" w:rsidP="002E041D">
      <w:pPr>
        <w:pStyle w:val="Heading2"/>
      </w:pPr>
      <w:r>
        <w:t>Introduction</w:t>
      </w:r>
    </w:p>
    <w:p w14:paraId="68198353" w14:textId="5F0E041B" w:rsidR="0028125F" w:rsidRDefault="00B6500C" w:rsidP="00B6500C">
      <w:pPr>
        <w:pStyle w:val="ParaNumbering"/>
        <w:numPr>
          <w:ilvl w:val="0"/>
          <w:numId w:val="0"/>
        </w:numPr>
        <w:ind w:hanging="720"/>
      </w:pPr>
      <w:r>
        <w:rPr>
          <w:iCs/>
          <w:sz w:val="20"/>
        </w:rPr>
        <w:t>155</w:t>
      </w:r>
      <w:r>
        <w:rPr>
          <w:iCs/>
          <w:sz w:val="20"/>
        </w:rPr>
        <w:tab/>
      </w:r>
      <w:r w:rsidR="002A03E9">
        <w:t xml:space="preserve">Section 33V(2) </w:t>
      </w:r>
      <w:r w:rsidR="00B07842">
        <w:t xml:space="preserve">of the </w:t>
      </w:r>
      <w:r w:rsidR="00EE075D">
        <w:t xml:space="preserve">FCA Act </w:t>
      </w:r>
      <w:r w:rsidR="002A03E9">
        <w:t>provides that</w:t>
      </w:r>
      <w:r w:rsidR="009A66C5">
        <w:t xml:space="preserve">, if the Court gives approval for settlement of a representative proceeding, the Court </w:t>
      </w:r>
      <w:r w:rsidR="00CD113A">
        <w:t>“</w:t>
      </w:r>
      <w:r w:rsidR="00162F69" w:rsidRPr="00162F69">
        <w:t>may make such orders as are just with respect to the distribution of any money paid under a settlement or paid into the Court</w:t>
      </w:r>
      <w:r w:rsidR="00CD113A">
        <w:t>”</w:t>
      </w:r>
      <w:r w:rsidR="00162F69">
        <w:t>.</w:t>
      </w:r>
    </w:p>
    <w:p w14:paraId="19BBF343" w14:textId="47E95FD3" w:rsidR="00737FB4" w:rsidRDefault="00B6500C" w:rsidP="00B6500C">
      <w:pPr>
        <w:pStyle w:val="ParaNumbering"/>
        <w:numPr>
          <w:ilvl w:val="0"/>
          <w:numId w:val="0"/>
        </w:numPr>
        <w:ind w:hanging="720"/>
      </w:pPr>
      <w:r>
        <w:rPr>
          <w:iCs/>
          <w:sz w:val="20"/>
        </w:rPr>
        <w:t>156</w:t>
      </w:r>
      <w:r>
        <w:rPr>
          <w:iCs/>
          <w:sz w:val="20"/>
        </w:rPr>
        <w:tab/>
      </w:r>
      <w:r w:rsidR="00AA6343">
        <w:t>The c</w:t>
      </w:r>
      <w:r w:rsidR="002A5E61">
        <w:t xml:space="preserve">osts </w:t>
      </w:r>
      <w:r w:rsidR="00252EDF">
        <w:t>which Balance seeks to</w:t>
      </w:r>
      <w:r w:rsidR="002A5E61">
        <w:t xml:space="preserve"> recover are costs incurred in </w:t>
      </w:r>
      <w:r w:rsidR="007E4F26">
        <w:t xml:space="preserve">connection with </w:t>
      </w:r>
      <w:r w:rsidR="002A5E61">
        <w:t>the Kosen-</w:t>
      </w:r>
      <w:proofErr w:type="spellStart"/>
      <w:r w:rsidR="002A5E61">
        <w:t>Rufu</w:t>
      </w:r>
      <w:proofErr w:type="spellEnd"/>
      <w:r w:rsidR="002A5E61">
        <w:t xml:space="preserve"> </w:t>
      </w:r>
      <w:r w:rsidR="00AA6343">
        <w:t>P</w:t>
      </w:r>
      <w:r w:rsidR="002A5E61">
        <w:t>roceeding</w:t>
      </w:r>
      <w:r w:rsidR="007E4F26">
        <w:t xml:space="preserve">, although not always </w:t>
      </w:r>
      <w:r w:rsidR="00E40965">
        <w:t>directly in that proceeding</w:t>
      </w:r>
      <w:r w:rsidR="00AA6343">
        <w:t xml:space="preserve">. </w:t>
      </w:r>
    </w:p>
    <w:p w14:paraId="39324756" w14:textId="09E59748" w:rsidR="00BE5F37" w:rsidRDefault="00B6500C" w:rsidP="00B6500C">
      <w:pPr>
        <w:pStyle w:val="ParaNumbering"/>
        <w:numPr>
          <w:ilvl w:val="0"/>
          <w:numId w:val="0"/>
        </w:numPr>
        <w:ind w:hanging="720"/>
      </w:pPr>
      <w:r>
        <w:rPr>
          <w:iCs/>
          <w:sz w:val="20"/>
        </w:rPr>
        <w:t>157</w:t>
      </w:r>
      <w:r>
        <w:rPr>
          <w:iCs/>
          <w:sz w:val="20"/>
        </w:rPr>
        <w:tab/>
      </w:r>
      <w:r w:rsidR="001C563D">
        <w:t>Balance</w:t>
      </w:r>
      <w:r w:rsidR="00723658">
        <w:t xml:space="preserve"> sought costs in the amount of $969,339.71 as identified at [8] of the Affidavit of Ms Elizabeth </w:t>
      </w:r>
      <w:r w:rsidR="00723658" w:rsidRPr="008F3A1D">
        <w:rPr>
          <w:b/>
          <w:bCs/>
        </w:rPr>
        <w:t>Harris</w:t>
      </w:r>
      <w:r w:rsidR="00723658">
        <w:t xml:space="preserve"> dated 26 March 2024</w:t>
      </w:r>
      <w:r w:rsidR="00F84D67">
        <w:t>.</w:t>
      </w:r>
      <w:r w:rsidR="00750609">
        <w:t xml:space="preserve"> </w:t>
      </w:r>
      <w:r w:rsidR="00566C70">
        <w:t xml:space="preserve">Ms Harris identifies, amongst other things, whether the costs were </w:t>
      </w:r>
      <w:r w:rsidR="00CD113A">
        <w:t>“</w:t>
      </w:r>
      <w:r w:rsidR="00566C70">
        <w:t>fair and reasonable and properly incurred on a solicitor and own client basis</w:t>
      </w:r>
      <w:r w:rsidR="00CD113A">
        <w:t>”</w:t>
      </w:r>
      <w:r w:rsidR="00566C70">
        <w:t xml:space="preserve">: Harris at [2]. </w:t>
      </w:r>
      <w:r w:rsidR="005C4072">
        <w:t>Ms Harris provided</w:t>
      </w:r>
      <w:r w:rsidR="00566C70">
        <w:t xml:space="preserve"> various calculations depending on whether the costs in </w:t>
      </w:r>
      <w:r w:rsidR="00566C70">
        <w:lastRenderedPageBreak/>
        <w:t xml:space="preserve">relation to the carriage motion and </w:t>
      </w:r>
      <w:r w:rsidR="00D66D30">
        <w:t xml:space="preserve">the establishment of a </w:t>
      </w:r>
      <w:r w:rsidR="00D94214">
        <w:t>Managed Investment Scheme (</w:t>
      </w:r>
      <w:r w:rsidR="00D94214">
        <w:rPr>
          <w:b/>
          <w:bCs/>
        </w:rPr>
        <w:t>MIS</w:t>
      </w:r>
      <w:r w:rsidR="00D94214">
        <w:t>)</w:t>
      </w:r>
      <w:r w:rsidR="00566C70">
        <w:t xml:space="preserve"> were </w:t>
      </w:r>
      <w:r w:rsidR="005C4072">
        <w:t>allowed or not</w:t>
      </w:r>
      <w:r w:rsidR="00566C70">
        <w:t xml:space="preserve">. </w:t>
      </w:r>
      <w:r w:rsidR="00EC1B46">
        <w:t>Balance did not</w:t>
      </w:r>
      <w:r w:rsidR="007C34D5">
        <w:t xml:space="preserve"> ultimately</w:t>
      </w:r>
      <w:r w:rsidR="00EC1B46">
        <w:t xml:space="preserve"> seek costs associated with the carriage motion. </w:t>
      </w:r>
    </w:p>
    <w:p w14:paraId="6415532F" w14:textId="28FCEB8F" w:rsidR="002E041D" w:rsidRDefault="00B6500C" w:rsidP="00B6500C">
      <w:pPr>
        <w:pStyle w:val="ParaNumbering"/>
        <w:numPr>
          <w:ilvl w:val="0"/>
          <w:numId w:val="0"/>
        </w:numPr>
        <w:ind w:hanging="720"/>
      </w:pPr>
      <w:r>
        <w:rPr>
          <w:iCs/>
          <w:sz w:val="20"/>
        </w:rPr>
        <w:t>158</w:t>
      </w:r>
      <w:r>
        <w:rPr>
          <w:iCs/>
          <w:sz w:val="20"/>
        </w:rPr>
        <w:tab/>
      </w:r>
      <w:r w:rsidR="008E1725">
        <w:t xml:space="preserve">The total of </w:t>
      </w:r>
      <w:r w:rsidR="00BE5F37">
        <w:t xml:space="preserve">$969,339.71 claimed by Balance </w:t>
      </w:r>
      <w:r w:rsidR="008E1725">
        <w:t>comprised</w:t>
      </w:r>
      <w:r w:rsidR="008A7DF9">
        <w:t>:</w:t>
      </w:r>
      <w:r w:rsidR="008E1725">
        <w:t xml:space="preserve"> professional fees of </w:t>
      </w:r>
      <w:r w:rsidR="0047212C">
        <w:t>$568,622.98; counsels</w:t>
      </w:r>
      <w:r w:rsidR="00CD113A">
        <w:t>’</w:t>
      </w:r>
      <w:r w:rsidR="0047212C">
        <w:t xml:space="preserve"> fees of </w:t>
      </w:r>
      <w:r w:rsidR="00881C55">
        <w:t>$147,208.13;</w:t>
      </w:r>
      <w:r w:rsidR="00F17408">
        <w:t xml:space="preserve"> and disbursements of $253,508.60.</w:t>
      </w:r>
      <w:r w:rsidR="00881C55">
        <w:t xml:space="preserve"> </w:t>
      </w:r>
      <w:r w:rsidR="002E041D">
        <w:t xml:space="preserve">Broadly speaking, the costs </w:t>
      </w:r>
      <w:r w:rsidR="00354FDD">
        <w:t xml:space="preserve">which were claimed </w:t>
      </w:r>
      <w:r w:rsidR="002E041D">
        <w:t>can be divided into the following categories:</w:t>
      </w:r>
    </w:p>
    <w:p w14:paraId="31BDDA19" w14:textId="5AB6919C" w:rsidR="00100B4B" w:rsidRDefault="00B6500C" w:rsidP="00B6500C">
      <w:pPr>
        <w:pStyle w:val="ListNo1"/>
        <w:numPr>
          <w:ilvl w:val="0"/>
          <w:numId w:val="0"/>
        </w:numPr>
        <w:tabs>
          <w:tab w:val="left" w:pos="720"/>
        </w:tabs>
        <w:ind w:left="720" w:hanging="720"/>
      </w:pPr>
      <w:r>
        <w:t>(1)</w:t>
      </w:r>
      <w:r>
        <w:tab/>
      </w:r>
      <w:r w:rsidR="00100B4B">
        <w:t xml:space="preserve">Costs associated with the establishment of a </w:t>
      </w:r>
      <w:r w:rsidR="00100B4B" w:rsidRPr="00F16017">
        <w:t>MIS</w:t>
      </w:r>
      <w:r w:rsidR="00100B4B">
        <w:t xml:space="preserve"> in relation to the </w:t>
      </w:r>
      <w:proofErr w:type="spellStart"/>
      <w:r w:rsidR="00100B4B">
        <w:t>Kofen-Rufu</w:t>
      </w:r>
      <w:proofErr w:type="spellEnd"/>
      <w:r w:rsidR="00100B4B">
        <w:t xml:space="preserve"> </w:t>
      </w:r>
      <w:r w:rsidR="00D66D30">
        <w:t>P</w:t>
      </w:r>
      <w:r w:rsidR="00100B4B">
        <w:t>roceeding</w:t>
      </w:r>
      <w:r w:rsidR="00CD179B">
        <w:t xml:space="preserve">. </w:t>
      </w:r>
      <w:r w:rsidR="00DD7B4B">
        <w:t>The</w:t>
      </w:r>
      <w:r w:rsidR="00EB7B62">
        <w:t xml:space="preserve"> relevant </w:t>
      </w:r>
      <w:r w:rsidR="00DD7B4B">
        <w:t xml:space="preserve">costs </w:t>
      </w:r>
      <w:r w:rsidR="00EB7B62">
        <w:t xml:space="preserve">and disbursements </w:t>
      </w:r>
      <w:r w:rsidR="00DD7B4B">
        <w:t>totalled $209,009.86: Harris</w:t>
      </w:r>
      <w:r w:rsidR="00D66D30">
        <w:t xml:space="preserve"> </w:t>
      </w:r>
      <w:r w:rsidR="00DD7B4B">
        <w:t>at [23].</w:t>
      </w:r>
    </w:p>
    <w:p w14:paraId="2E20109B" w14:textId="37EB58B3" w:rsidR="002F518B" w:rsidRDefault="00B6500C" w:rsidP="00B6500C">
      <w:pPr>
        <w:pStyle w:val="ListNo1"/>
        <w:numPr>
          <w:ilvl w:val="0"/>
          <w:numId w:val="0"/>
        </w:numPr>
        <w:tabs>
          <w:tab w:val="left" w:pos="720"/>
        </w:tabs>
        <w:ind w:left="720" w:hanging="720"/>
      </w:pPr>
      <w:r>
        <w:t>(2)</w:t>
      </w:r>
      <w:r>
        <w:tab/>
      </w:r>
      <w:r w:rsidR="002F518B">
        <w:t>Costs associated with an application made to intervene in the ASIC Proceeding referred to earlier, in which a civil penalty was agreed to be paid to the Commonwealth. The relevant costs and disbursements totalled $126,797.55: Harris at [31].</w:t>
      </w:r>
    </w:p>
    <w:p w14:paraId="5DE001CD" w14:textId="33900A63" w:rsidR="00A366C5" w:rsidRDefault="00B6500C" w:rsidP="00B6500C">
      <w:pPr>
        <w:pStyle w:val="ListNo1"/>
        <w:numPr>
          <w:ilvl w:val="0"/>
          <w:numId w:val="0"/>
        </w:numPr>
        <w:tabs>
          <w:tab w:val="left" w:pos="720"/>
        </w:tabs>
        <w:ind w:left="720" w:hanging="720"/>
      </w:pPr>
      <w:r>
        <w:t>(3)</w:t>
      </w:r>
      <w:r>
        <w:tab/>
      </w:r>
      <w:r w:rsidR="00A366C5">
        <w:t>Costs incurred in an application to re</w:t>
      </w:r>
      <w:r w:rsidR="005166C9">
        <w:t>-register</w:t>
      </w:r>
      <w:r w:rsidR="005166C9" w:rsidRPr="00F16017">
        <w:rPr>
          <w:b/>
          <w:bCs/>
        </w:rPr>
        <w:t xml:space="preserve"> </w:t>
      </w:r>
      <w:r w:rsidR="005166C9" w:rsidRPr="008F3A1D">
        <w:t>Kosen-</w:t>
      </w:r>
      <w:proofErr w:type="spellStart"/>
      <w:r w:rsidR="005166C9" w:rsidRPr="008F3A1D">
        <w:t>rufu</w:t>
      </w:r>
      <w:proofErr w:type="spellEnd"/>
      <w:r w:rsidR="005166C9" w:rsidRPr="007C34D5">
        <w:t xml:space="preserve"> </w:t>
      </w:r>
      <w:r w:rsidR="005166C9">
        <w:t>Pty Ltd and costs to provide advice and indemnity to the lead applicants in the Kosen-</w:t>
      </w:r>
      <w:proofErr w:type="spellStart"/>
      <w:r w:rsidR="005166C9">
        <w:t>Rufu</w:t>
      </w:r>
      <w:proofErr w:type="spellEnd"/>
      <w:r w:rsidR="005166C9">
        <w:t xml:space="preserve"> Proceeding: Harris</w:t>
      </w:r>
      <w:r w:rsidR="00D66D30">
        <w:t xml:space="preserve"> </w:t>
      </w:r>
      <w:r w:rsidR="005166C9">
        <w:t>at [32] to [39].</w:t>
      </w:r>
    </w:p>
    <w:p w14:paraId="1C9994A0" w14:textId="36248F09" w:rsidR="00CD179B" w:rsidRDefault="00B6500C" w:rsidP="00B6500C">
      <w:pPr>
        <w:pStyle w:val="ListNo1"/>
        <w:numPr>
          <w:ilvl w:val="0"/>
          <w:numId w:val="0"/>
        </w:numPr>
        <w:tabs>
          <w:tab w:val="left" w:pos="720"/>
        </w:tabs>
        <w:ind w:left="720" w:hanging="720"/>
      </w:pPr>
      <w:r>
        <w:t>(4)</w:t>
      </w:r>
      <w:r>
        <w:tab/>
      </w:r>
      <w:r w:rsidR="00CD179B">
        <w:t>Costs incurred</w:t>
      </w:r>
      <w:r w:rsidR="00354FDD" w:rsidRPr="00354FDD">
        <w:t xml:space="preserve"> </w:t>
      </w:r>
      <w:r w:rsidR="00354FDD">
        <w:t>before the carriage motion</w:t>
      </w:r>
      <w:r w:rsidR="00CD179B">
        <w:t xml:space="preserve"> in commencing </w:t>
      </w:r>
      <w:r w:rsidR="00354FDD">
        <w:t xml:space="preserve">and prosecuting </w:t>
      </w:r>
      <w:r w:rsidR="00CD179B">
        <w:t>the proceeding</w:t>
      </w:r>
      <w:r w:rsidR="00354FDD">
        <w:t>.</w:t>
      </w:r>
      <w:r w:rsidR="00CD179B">
        <w:t xml:space="preserve"> </w:t>
      </w:r>
      <w:r w:rsidR="00271326" w:rsidRPr="00EF389E">
        <w:t>The costs include</w:t>
      </w:r>
      <w:r w:rsidR="00271326">
        <w:t>d</w:t>
      </w:r>
      <w:r w:rsidR="00271326" w:rsidRPr="00EF389E">
        <w:t xml:space="preserve"> the costs of preparing the pleadings in the Kosen-</w:t>
      </w:r>
      <w:proofErr w:type="spellStart"/>
      <w:r w:rsidR="00271326" w:rsidRPr="00EF389E">
        <w:t>Rufu</w:t>
      </w:r>
      <w:proofErr w:type="spellEnd"/>
      <w:r w:rsidR="00271326" w:rsidRPr="00EF389E">
        <w:t xml:space="preserve"> Proceeding</w:t>
      </w:r>
      <w:r w:rsidR="00E44457">
        <w:t xml:space="preserve"> and</w:t>
      </w:r>
      <w:r w:rsidR="00271326" w:rsidRPr="00EF389E">
        <w:t xml:space="preserve"> reviewing initial discovery.</w:t>
      </w:r>
      <w:r w:rsidR="005B2E10">
        <w:t xml:space="preserve"> </w:t>
      </w:r>
    </w:p>
    <w:p w14:paraId="316262E1" w14:textId="024BEF36" w:rsidR="002A5E61" w:rsidRDefault="00B6500C" w:rsidP="00B6500C">
      <w:pPr>
        <w:pStyle w:val="ParaNumbering"/>
        <w:numPr>
          <w:ilvl w:val="0"/>
          <w:numId w:val="0"/>
        </w:numPr>
        <w:ind w:hanging="720"/>
      </w:pPr>
      <w:r>
        <w:rPr>
          <w:iCs/>
          <w:sz w:val="20"/>
        </w:rPr>
        <w:t>159</w:t>
      </w:r>
      <w:r>
        <w:rPr>
          <w:iCs/>
          <w:sz w:val="20"/>
        </w:rPr>
        <w:tab/>
      </w:r>
      <w:r w:rsidR="00AA6343" w:rsidRPr="00EF389E">
        <w:t xml:space="preserve">It was submitted that </w:t>
      </w:r>
      <w:r w:rsidR="00EF389E">
        <w:t xml:space="preserve">all of </w:t>
      </w:r>
      <w:r w:rsidR="00AA6343" w:rsidRPr="00EF389E">
        <w:t>the</w:t>
      </w:r>
      <w:r w:rsidR="00EF389E">
        <w:t>se</w:t>
      </w:r>
      <w:r w:rsidR="00F84D67" w:rsidRPr="00EF389E">
        <w:t xml:space="preserve"> costs</w:t>
      </w:r>
      <w:r w:rsidR="00AA6343" w:rsidRPr="00EF389E">
        <w:t xml:space="preserve"> were incurred</w:t>
      </w:r>
      <w:r w:rsidR="002A5E61" w:rsidRPr="00EF389E">
        <w:t xml:space="preserve"> to advance the interests of group members in the period before </w:t>
      </w:r>
      <w:r w:rsidR="004A0BA2">
        <w:t>and</w:t>
      </w:r>
      <w:r w:rsidR="002A5E61" w:rsidRPr="00EF389E">
        <w:t xml:space="preserve"> shortly</w:t>
      </w:r>
      <w:r w:rsidR="00AA6343" w:rsidRPr="00EF389E">
        <w:t xml:space="preserve"> after the Watson Proceeding was filed. </w:t>
      </w:r>
      <w:r w:rsidR="00CC5990" w:rsidRPr="00EF389E">
        <w:t>Balance submitted that,</w:t>
      </w:r>
      <w:r w:rsidR="00AA6343" w:rsidRPr="00EF389E">
        <w:t xml:space="preserve"> </w:t>
      </w:r>
      <w:r w:rsidR="00CC5990" w:rsidRPr="00EF389E">
        <w:t>i</w:t>
      </w:r>
      <w:r w:rsidR="00AA6343" w:rsidRPr="00EF389E">
        <w:t xml:space="preserve">n circumstances where Balance </w:t>
      </w:r>
      <w:r w:rsidR="00CC5990" w:rsidRPr="00EF389E">
        <w:t xml:space="preserve">had </w:t>
      </w:r>
      <w:r w:rsidR="00AA6343" w:rsidRPr="00EF389E">
        <w:t>provided funding, including an indemnity for adverse costs</w:t>
      </w:r>
      <w:r w:rsidR="00CC5990" w:rsidRPr="00EF389E">
        <w:t xml:space="preserve"> and</w:t>
      </w:r>
      <w:r w:rsidR="00AA6343" w:rsidRPr="00EF389E">
        <w:t xml:space="preserve"> does not seek any funding commission</w:t>
      </w:r>
      <w:r w:rsidR="00CC5990" w:rsidRPr="00EF389E">
        <w:t xml:space="preserve">, </w:t>
      </w:r>
      <w:r w:rsidR="00AA6343" w:rsidRPr="00EF389E">
        <w:t xml:space="preserve">it is reasonable for the Court to allow </w:t>
      </w:r>
      <w:r w:rsidR="00CC5990" w:rsidRPr="00EF389E">
        <w:t>its</w:t>
      </w:r>
      <w:r w:rsidR="00AA6343" w:rsidRPr="00EF389E">
        <w:t xml:space="preserve"> costs on a </w:t>
      </w:r>
      <w:r w:rsidR="00CD113A">
        <w:t>“</w:t>
      </w:r>
      <w:r w:rsidR="00AA6343" w:rsidRPr="00EF389E">
        <w:t>costs recovery</w:t>
      </w:r>
      <w:r w:rsidR="00CD113A">
        <w:t>”</w:t>
      </w:r>
      <w:r w:rsidR="00AA6343" w:rsidRPr="00EF389E">
        <w:t xml:space="preserve"> basis. Th</w:t>
      </w:r>
      <w:r w:rsidR="00CC5990" w:rsidRPr="00EF389E">
        <w:t>is was because, it was submitted, the</w:t>
      </w:r>
      <w:r w:rsidR="00AA6343" w:rsidRPr="00EF389E">
        <w:t xml:space="preserve"> costs were incurred for the benefit of group members.</w:t>
      </w:r>
      <w:r w:rsidR="005B2E10">
        <w:t xml:space="preserve"> </w:t>
      </w:r>
    </w:p>
    <w:p w14:paraId="605CD24E" w14:textId="635D0314" w:rsidR="00426A77" w:rsidRDefault="00B6500C" w:rsidP="00B6500C">
      <w:pPr>
        <w:pStyle w:val="ParaNumbering"/>
        <w:numPr>
          <w:ilvl w:val="0"/>
          <w:numId w:val="0"/>
        </w:numPr>
        <w:ind w:hanging="720"/>
      </w:pPr>
      <w:r>
        <w:rPr>
          <w:iCs/>
          <w:sz w:val="20"/>
        </w:rPr>
        <w:t>160</w:t>
      </w:r>
      <w:r>
        <w:rPr>
          <w:iCs/>
          <w:sz w:val="20"/>
        </w:rPr>
        <w:tab/>
      </w:r>
      <w:r w:rsidR="00426A77">
        <w:t>Balance did not seek costs after the carriage motion, although it did claim the amount of $5,830 in relation to the approval application: Harris at [10].</w:t>
      </w:r>
    </w:p>
    <w:p w14:paraId="29810411" w14:textId="7B89EAC2" w:rsidR="00B94315" w:rsidRPr="00EF389E" w:rsidRDefault="003A6A48" w:rsidP="00B94315">
      <w:pPr>
        <w:pStyle w:val="Heading2"/>
      </w:pPr>
      <w:r>
        <w:t>F</w:t>
      </w:r>
      <w:r w:rsidR="00B94315">
        <w:t>urther factual background</w:t>
      </w:r>
    </w:p>
    <w:p w14:paraId="01180C4A" w14:textId="7A7E890F" w:rsidR="00CE1852" w:rsidRDefault="00B6500C" w:rsidP="00B6500C">
      <w:pPr>
        <w:pStyle w:val="ParaNumbering"/>
        <w:numPr>
          <w:ilvl w:val="0"/>
          <w:numId w:val="0"/>
        </w:numPr>
        <w:ind w:hanging="720"/>
      </w:pPr>
      <w:r>
        <w:rPr>
          <w:iCs/>
          <w:sz w:val="20"/>
        </w:rPr>
        <w:t>161</w:t>
      </w:r>
      <w:r>
        <w:rPr>
          <w:iCs/>
          <w:sz w:val="20"/>
        </w:rPr>
        <w:tab/>
      </w:r>
      <w:r w:rsidR="00CE1852">
        <w:t xml:space="preserve">In addition to the evidence of Ms Harris, </w:t>
      </w:r>
      <w:r w:rsidR="00FF2F76">
        <w:t xml:space="preserve">Balance relied on an affidavit </w:t>
      </w:r>
      <w:r w:rsidR="005A1558">
        <w:t xml:space="preserve">from </w:t>
      </w:r>
      <w:r w:rsidR="00FF2F76">
        <w:t>Mr</w:t>
      </w:r>
      <w:r w:rsidR="00425217">
        <w:t xml:space="preserve"> Simon Robert</w:t>
      </w:r>
      <w:r w:rsidR="00FF2F76">
        <w:t xml:space="preserve"> </w:t>
      </w:r>
      <w:r w:rsidR="00FF2F76" w:rsidRPr="008F3A1D">
        <w:rPr>
          <w:b/>
          <w:bCs/>
        </w:rPr>
        <w:t>Burnett</w:t>
      </w:r>
      <w:r w:rsidR="007A578E">
        <w:t>, a director of Balance</w:t>
      </w:r>
      <w:r w:rsidR="00425217">
        <w:t xml:space="preserve">, </w:t>
      </w:r>
      <w:r w:rsidR="00A279F8">
        <w:t>dated 26 March 2024</w:t>
      </w:r>
      <w:r w:rsidR="007A578E">
        <w:t>.</w:t>
      </w:r>
      <w:r w:rsidR="00245332">
        <w:t xml:space="preserve"> </w:t>
      </w:r>
      <w:r w:rsidR="00821747">
        <w:t>Mr Burnett described how initial investigations were undertaken by the firm Brown Ward King</w:t>
      </w:r>
      <w:r w:rsidR="001E2B29">
        <w:t xml:space="preserve"> which had approached Balance for funding on 29 January 2021: Burnett at [1]</w:t>
      </w:r>
      <w:r w:rsidR="00821747">
        <w:t>. A second firm, Piper Alderman</w:t>
      </w:r>
      <w:r w:rsidR="006D7595">
        <w:t>,</w:t>
      </w:r>
      <w:r w:rsidR="00821747">
        <w:t xml:space="preserve"> </w:t>
      </w:r>
      <w:r w:rsidR="004004F3">
        <w:t xml:space="preserve">was </w:t>
      </w:r>
      <w:r w:rsidR="00C45AA0">
        <w:t>later</w:t>
      </w:r>
      <w:r w:rsidR="006D7595">
        <w:t xml:space="preserve"> also engaged</w:t>
      </w:r>
      <w:r w:rsidR="004004F3">
        <w:t>. Ms Harris did not allow for recovery of costs beyond what would have been allowed had only one firm been engaged: Harris at [13].</w:t>
      </w:r>
    </w:p>
    <w:p w14:paraId="5BFA2B9C" w14:textId="0E94B8B4" w:rsidR="0075486D" w:rsidRDefault="00B6500C" w:rsidP="00B6500C">
      <w:pPr>
        <w:pStyle w:val="ParaNumbering"/>
        <w:numPr>
          <w:ilvl w:val="0"/>
          <w:numId w:val="0"/>
        </w:numPr>
        <w:ind w:hanging="720"/>
      </w:pPr>
      <w:r>
        <w:rPr>
          <w:iCs/>
          <w:sz w:val="20"/>
        </w:rPr>
        <w:lastRenderedPageBreak/>
        <w:t>162</w:t>
      </w:r>
      <w:r>
        <w:rPr>
          <w:iCs/>
          <w:sz w:val="20"/>
        </w:rPr>
        <w:tab/>
      </w:r>
      <w:r w:rsidR="00245332">
        <w:t xml:space="preserve">It was submitted </w:t>
      </w:r>
      <w:r w:rsidR="009049CC">
        <w:t>by reference to [15]</w:t>
      </w:r>
      <w:r w:rsidR="00A279F8">
        <w:t xml:space="preserve"> to </w:t>
      </w:r>
      <w:r w:rsidR="009049CC">
        <w:t>[25] of</w:t>
      </w:r>
      <w:r w:rsidR="00245332">
        <w:t xml:space="preserve"> </w:t>
      </w:r>
      <w:r w:rsidR="00FF2F76">
        <w:t>Mr</w:t>
      </w:r>
      <w:r w:rsidR="00FF2F76" w:rsidRPr="00A636AB">
        <w:rPr>
          <w:spacing w:val="-7"/>
        </w:rPr>
        <w:t xml:space="preserve"> </w:t>
      </w:r>
      <w:r w:rsidR="00FF2F76">
        <w:t>Burnett</w:t>
      </w:r>
      <w:r w:rsidR="00CD113A">
        <w:rPr>
          <w:spacing w:val="-5"/>
        </w:rPr>
        <w:t>’</w:t>
      </w:r>
      <w:r w:rsidR="009049CC" w:rsidRPr="00A636AB">
        <w:rPr>
          <w:spacing w:val="-5"/>
        </w:rPr>
        <w:t xml:space="preserve">s </w:t>
      </w:r>
      <w:r w:rsidR="008B4577">
        <w:t>a</w:t>
      </w:r>
      <w:r w:rsidR="00FF2F76">
        <w:t xml:space="preserve">ffidavit, </w:t>
      </w:r>
      <w:r w:rsidR="00245332">
        <w:t xml:space="preserve">that </w:t>
      </w:r>
      <w:r w:rsidR="00CD113A">
        <w:t>“</w:t>
      </w:r>
      <w:r w:rsidR="00FF2F76">
        <w:t>Balance agreed to fund the proceedings after forming the view</w:t>
      </w:r>
      <w:r w:rsidR="00FF2F76" w:rsidRPr="00A636AB">
        <w:rPr>
          <w:spacing w:val="-2"/>
        </w:rPr>
        <w:t xml:space="preserve"> </w:t>
      </w:r>
      <w:r w:rsidR="00FF2F76">
        <w:t>that</w:t>
      </w:r>
      <w:r w:rsidR="00FF2F76" w:rsidRPr="00A636AB">
        <w:rPr>
          <w:spacing w:val="-1"/>
        </w:rPr>
        <w:t xml:space="preserve"> </w:t>
      </w:r>
      <w:r w:rsidR="00CE482B">
        <w:t>Shine</w:t>
      </w:r>
      <w:r w:rsidR="00FF2F76">
        <w:t xml:space="preserve"> no</w:t>
      </w:r>
      <w:r w:rsidR="00FF2F76" w:rsidRPr="00A636AB">
        <w:rPr>
          <w:spacing w:val="-1"/>
        </w:rPr>
        <w:t xml:space="preserve"> </w:t>
      </w:r>
      <w:r w:rsidR="00FF2F76">
        <w:t>longer</w:t>
      </w:r>
      <w:r w:rsidR="00FF2F76" w:rsidRPr="00A636AB">
        <w:rPr>
          <w:spacing w:val="-2"/>
        </w:rPr>
        <w:t xml:space="preserve"> </w:t>
      </w:r>
      <w:r w:rsidR="00FF2F76">
        <w:t>appeared</w:t>
      </w:r>
      <w:r w:rsidR="00FF2F76" w:rsidRPr="00A636AB">
        <w:rPr>
          <w:spacing w:val="-1"/>
        </w:rPr>
        <w:t xml:space="preserve"> </w:t>
      </w:r>
      <w:r w:rsidR="00FF2F76">
        <w:t>to</w:t>
      </w:r>
      <w:r w:rsidR="00FF2F76" w:rsidRPr="00A636AB">
        <w:rPr>
          <w:spacing w:val="-1"/>
        </w:rPr>
        <w:t xml:space="preserve"> </w:t>
      </w:r>
      <w:r w:rsidR="00FF2F76">
        <w:t>be pursuing</w:t>
      </w:r>
      <w:r w:rsidR="00FF2F76" w:rsidRPr="00A636AB">
        <w:rPr>
          <w:spacing w:val="-1"/>
        </w:rPr>
        <w:t xml:space="preserve"> </w:t>
      </w:r>
      <w:r w:rsidR="00FF2F76">
        <w:t>proceedings</w:t>
      </w:r>
      <w:r w:rsidR="00CD113A">
        <w:t>”</w:t>
      </w:r>
      <w:r w:rsidR="00FF2F76">
        <w:t xml:space="preserve">. </w:t>
      </w:r>
      <w:r w:rsidR="00F876F5">
        <w:t>Mr Burnett</w:t>
      </w:r>
      <w:r w:rsidR="00CD113A">
        <w:t>’</w:t>
      </w:r>
      <w:r w:rsidR="00F876F5">
        <w:t xml:space="preserve">s affidavit </w:t>
      </w:r>
      <w:r w:rsidR="0083659E">
        <w:t xml:space="preserve">does not </w:t>
      </w:r>
      <w:r w:rsidR="00F876F5">
        <w:t>state any such proposition at [15]</w:t>
      </w:r>
      <w:r w:rsidR="00A279F8">
        <w:t xml:space="preserve"> to </w:t>
      </w:r>
      <w:r w:rsidR="00F876F5">
        <w:t xml:space="preserve">[25] </w:t>
      </w:r>
      <w:r w:rsidR="0083659E">
        <w:t>and</w:t>
      </w:r>
      <w:r w:rsidR="00F876F5">
        <w:t xml:space="preserve"> an inference </w:t>
      </w:r>
      <w:r w:rsidR="0083659E">
        <w:t>to that effect is not</w:t>
      </w:r>
      <w:r w:rsidR="00F876F5">
        <w:t xml:space="preserve"> a natural one to draw from what is stated. </w:t>
      </w:r>
      <w:r w:rsidR="00791EAB">
        <w:t>Mr Burnett’s evidence was that the majority of investors spoken to</w:t>
      </w:r>
      <w:r w:rsidR="00542332">
        <w:t xml:space="preserve"> in connection with Kosen-</w:t>
      </w:r>
      <w:proofErr w:type="spellStart"/>
      <w:r w:rsidR="00542332">
        <w:t>Rufu</w:t>
      </w:r>
      <w:proofErr w:type="spellEnd"/>
      <w:r w:rsidR="00542332">
        <w:t xml:space="preserve"> Proceeding</w:t>
      </w:r>
      <w:r w:rsidR="00791EAB">
        <w:t xml:space="preserve"> had registered with Shine several months earlier and were said to be frustrated with the lack of progress: Burnett at [19(c)], [20]. </w:t>
      </w:r>
      <w:r w:rsidR="00C939DD">
        <w:t>If Balance had thought Shine was not pursuing the proceedings</w:t>
      </w:r>
      <w:r w:rsidR="00543572">
        <w:t xml:space="preserve"> at that time it could have given direct evidence to that effect. </w:t>
      </w:r>
      <w:r w:rsidR="00717290">
        <w:t xml:space="preserve">Balance observed in submissions that Mr Burnett was not cross-examined. </w:t>
      </w:r>
      <w:r w:rsidR="00666632">
        <w:t xml:space="preserve">There was no reason to cross-examine Mr Burnett on this topic. The evidence </w:t>
      </w:r>
      <w:r w:rsidR="00122AE9">
        <w:t xml:space="preserve">did </w:t>
      </w:r>
      <w:r w:rsidR="00666632">
        <w:t xml:space="preserve">not establish that </w:t>
      </w:r>
      <w:r w:rsidR="00791290">
        <w:t xml:space="preserve">Balance thought </w:t>
      </w:r>
      <w:r w:rsidR="00CE482B">
        <w:t>Shine</w:t>
      </w:r>
      <w:r w:rsidR="00791290">
        <w:t xml:space="preserve"> was not pursuing proceedings.</w:t>
      </w:r>
      <w:r w:rsidR="00060038">
        <w:t xml:space="preserve"> </w:t>
      </w:r>
    </w:p>
    <w:p w14:paraId="4C4488CD" w14:textId="39D07E94" w:rsidR="00543572" w:rsidRDefault="00B6500C" w:rsidP="00B6500C">
      <w:pPr>
        <w:pStyle w:val="ParaNumbering"/>
        <w:numPr>
          <w:ilvl w:val="0"/>
          <w:numId w:val="0"/>
        </w:numPr>
        <w:ind w:hanging="720"/>
      </w:pPr>
      <w:r>
        <w:rPr>
          <w:iCs/>
          <w:sz w:val="20"/>
        </w:rPr>
        <w:t>163</w:t>
      </w:r>
      <w:r>
        <w:rPr>
          <w:iCs/>
          <w:sz w:val="20"/>
        </w:rPr>
        <w:tab/>
      </w:r>
      <w:r w:rsidR="00060038">
        <w:t>To the extent it is relevant,</w:t>
      </w:r>
      <w:r w:rsidR="00DC5443">
        <w:t xml:space="preserve"> I do not accept that Balance or its advisers were so commercially naïve as to think that </w:t>
      </w:r>
      <w:r w:rsidR="00CE482B">
        <w:t>Shine</w:t>
      </w:r>
      <w:r w:rsidR="00DC5443">
        <w:t xml:space="preserve"> would not </w:t>
      </w:r>
      <w:r w:rsidR="00D24A14">
        <w:t>seek to progress the class action</w:t>
      </w:r>
      <w:r w:rsidR="00060038">
        <w:t xml:space="preserve"> which Balance knew</w:t>
      </w:r>
      <w:r w:rsidR="00D24A14">
        <w:t xml:space="preserve"> that firm had been </w:t>
      </w:r>
      <w:r w:rsidR="00060038">
        <w:t>investigating since mid-2019</w:t>
      </w:r>
      <w:r w:rsidR="00DE34D9">
        <w:t>.</w:t>
      </w:r>
      <w:r w:rsidR="00966626">
        <w:t xml:space="preserve"> </w:t>
      </w:r>
    </w:p>
    <w:p w14:paraId="468FF9EF" w14:textId="0DB6D330" w:rsidR="00AD3B09" w:rsidRDefault="00B6500C" w:rsidP="00B6500C">
      <w:pPr>
        <w:pStyle w:val="ParaNumbering"/>
        <w:numPr>
          <w:ilvl w:val="0"/>
          <w:numId w:val="0"/>
        </w:numPr>
        <w:ind w:hanging="720"/>
      </w:pPr>
      <w:r>
        <w:rPr>
          <w:iCs/>
          <w:sz w:val="20"/>
        </w:rPr>
        <w:t>164</w:t>
      </w:r>
      <w:r>
        <w:rPr>
          <w:iCs/>
          <w:sz w:val="20"/>
        </w:rPr>
        <w:tab/>
      </w:r>
      <w:r w:rsidR="00DD59D8">
        <w:t>On 9 July 20</w:t>
      </w:r>
      <w:r w:rsidR="00D66C5D">
        <w:t xml:space="preserve">21, a conditional settlement of the ASIC Proceeding </w:t>
      </w:r>
      <w:r w:rsidR="00122AE9">
        <w:t>was</w:t>
      </w:r>
      <w:r w:rsidR="00D66C5D">
        <w:t xml:space="preserve"> announced: Burnett at [18(b)]. </w:t>
      </w:r>
    </w:p>
    <w:p w14:paraId="63703B91" w14:textId="2CF6A8CF" w:rsidR="00DD06D3" w:rsidRDefault="00B6500C" w:rsidP="00B6500C">
      <w:pPr>
        <w:pStyle w:val="ParaNumbering"/>
        <w:numPr>
          <w:ilvl w:val="0"/>
          <w:numId w:val="0"/>
        </w:numPr>
        <w:ind w:hanging="720"/>
      </w:pPr>
      <w:r>
        <w:rPr>
          <w:iCs/>
          <w:sz w:val="20"/>
        </w:rPr>
        <w:t>165</w:t>
      </w:r>
      <w:r>
        <w:rPr>
          <w:iCs/>
          <w:sz w:val="20"/>
        </w:rPr>
        <w:tab/>
      </w:r>
      <w:r w:rsidR="00F3796A" w:rsidRPr="00F3796A">
        <w:t>An important aspect of Balance</w:t>
      </w:r>
      <w:r w:rsidR="00CD113A">
        <w:t>’</w:t>
      </w:r>
      <w:r w:rsidR="00F3796A" w:rsidRPr="00F3796A">
        <w:t>s due diligence in relation to the potential claims was</w:t>
      </w:r>
      <w:r w:rsidR="00F3796A">
        <w:t xml:space="preserve"> </w:t>
      </w:r>
      <w:r w:rsidR="00F3796A" w:rsidRPr="00F3796A">
        <w:t xml:space="preserve">assessing the ability of the respondents and their insurers to settle the proceedings or satisfy a judgment at a level that would cover the costs (including </w:t>
      </w:r>
      <w:r w:rsidR="00D90CE9">
        <w:t xml:space="preserve">the </w:t>
      </w:r>
      <w:r w:rsidR="00F3796A" w:rsidRPr="00F3796A">
        <w:t>funding commission) and deliver meaningful compensation to group members</w:t>
      </w:r>
      <w:r w:rsidR="00F3796A">
        <w:t>: Burnett</w:t>
      </w:r>
      <w:r w:rsidR="00D90CE9">
        <w:t xml:space="preserve"> </w:t>
      </w:r>
      <w:r w:rsidR="00F3796A">
        <w:t>at [29].</w:t>
      </w:r>
      <w:r w:rsidR="00165BCA">
        <w:t xml:space="preserve"> </w:t>
      </w:r>
    </w:p>
    <w:p w14:paraId="65E58B4E" w14:textId="5ED859B7" w:rsidR="000820BF" w:rsidRDefault="00B6500C" w:rsidP="00B6500C">
      <w:pPr>
        <w:pStyle w:val="ParaNumbering"/>
        <w:numPr>
          <w:ilvl w:val="0"/>
          <w:numId w:val="0"/>
        </w:numPr>
        <w:ind w:hanging="720"/>
      </w:pPr>
      <w:r>
        <w:rPr>
          <w:iCs/>
          <w:sz w:val="20"/>
        </w:rPr>
        <w:t>166</w:t>
      </w:r>
      <w:r>
        <w:rPr>
          <w:iCs/>
          <w:sz w:val="20"/>
        </w:rPr>
        <w:tab/>
      </w:r>
      <w:r w:rsidR="009B1419">
        <w:t>On 28 July 2021, Balance engaged an accountant</w:t>
      </w:r>
      <w:r w:rsidR="005374D0">
        <w:t xml:space="preserve"> with Basford Consulting</w:t>
      </w:r>
      <w:r w:rsidR="009B1419">
        <w:t xml:space="preserve"> to prepare a report on the financial position of E&amp;P</w:t>
      </w:r>
      <w:r w:rsidR="005374D0">
        <w:t xml:space="preserve">: Burnett at </w:t>
      </w:r>
      <w:r w:rsidR="008262C1">
        <w:t>[30]</w:t>
      </w:r>
      <w:r w:rsidR="00F31C6B">
        <w:t xml:space="preserve">. </w:t>
      </w:r>
    </w:p>
    <w:p w14:paraId="0D165353" w14:textId="455EBF29" w:rsidR="00D17B64" w:rsidRDefault="00B6500C" w:rsidP="00B6500C">
      <w:pPr>
        <w:pStyle w:val="ParaNumbering"/>
        <w:numPr>
          <w:ilvl w:val="0"/>
          <w:numId w:val="0"/>
        </w:numPr>
        <w:ind w:hanging="720"/>
        <w:rPr>
          <w:lang w:val="en-US"/>
        </w:rPr>
      </w:pPr>
      <w:r>
        <w:rPr>
          <w:iCs/>
          <w:sz w:val="20"/>
          <w:lang w:val="en-US"/>
        </w:rPr>
        <w:t>167</w:t>
      </w:r>
      <w:r>
        <w:rPr>
          <w:iCs/>
          <w:sz w:val="20"/>
          <w:lang w:val="en-US"/>
        </w:rPr>
        <w:tab/>
      </w:r>
      <w:r w:rsidR="00DD06D3">
        <w:t>On 29 July 2021, Balance engaged Piper Alderman to establish a</w:t>
      </w:r>
      <w:r w:rsidR="00727910">
        <w:t>n</w:t>
      </w:r>
      <w:r w:rsidR="00DD06D3">
        <w:t xml:space="preserve"> </w:t>
      </w:r>
      <w:r w:rsidR="00DD06D3" w:rsidRPr="000B5495">
        <w:rPr>
          <w:lang w:val="en-US"/>
        </w:rPr>
        <w:t>M</w:t>
      </w:r>
      <w:r w:rsidR="00D90CE9">
        <w:rPr>
          <w:lang w:val="en-US"/>
        </w:rPr>
        <w:t>IS</w:t>
      </w:r>
      <w:r w:rsidR="00DD06D3">
        <w:t xml:space="preserve"> for the purposes of the proceeding</w:t>
      </w:r>
      <w:r w:rsidR="008871C0">
        <w:t>: Burnett at [48]</w:t>
      </w:r>
      <w:r w:rsidR="00DD06D3">
        <w:t xml:space="preserve">. </w:t>
      </w:r>
      <w:r w:rsidR="00D17B64" w:rsidRPr="000B5495">
        <w:rPr>
          <w:lang w:val="en-US"/>
        </w:rPr>
        <w:t xml:space="preserve">In 2020, the </w:t>
      </w:r>
      <w:r w:rsidR="00D17B64" w:rsidRPr="000B5495">
        <w:rPr>
          <w:i/>
          <w:iCs/>
          <w:lang w:val="en-US"/>
        </w:rPr>
        <w:t>Corporations Regulations</w:t>
      </w:r>
      <w:r w:rsidR="00D17B64" w:rsidRPr="000B5495">
        <w:rPr>
          <w:lang w:val="en-US"/>
        </w:rPr>
        <w:t xml:space="preserve"> </w:t>
      </w:r>
      <w:r w:rsidR="002D0A68">
        <w:rPr>
          <w:lang w:val="en-US"/>
        </w:rPr>
        <w:t xml:space="preserve">were </w:t>
      </w:r>
      <w:r w:rsidR="00D17B64">
        <w:rPr>
          <w:lang w:val="en-US"/>
        </w:rPr>
        <w:t xml:space="preserve">amended </w:t>
      </w:r>
      <w:r w:rsidR="00D17B64" w:rsidRPr="000B5495">
        <w:rPr>
          <w:lang w:val="en-US"/>
        </w:rPr>
        <w:t xml:space="preserve">to remove the exemptions for funded class actions and funded class actions were </w:t>
      </w:r>
      <w:r w:rsidR="00D17B64">
        <w:rPr>
          <w:lang w:val="en-US"/>
        </w:rPr>
        <w:t xml:space="preserve">declared </w:t>
      </w:r>
      <w:r w:rsidR="00D17B64" w:rsidRPr="000B5495">
        <w:rPr>
          <w:lang w:val="en-US"/>
        </w:rPr>
        <w:t xml:space="preserve">a financial product for the purpose of the Corporations Act: reg 7.1.04N(3). The Explanatory Statement of the </w:t>
      </w:r>
      <w:r w:rsidR="00D17B64" w:rsidRPr="00CB65C1">
        <w:rPr>
          <w:i/>
          <w:lang w:val="en-US"/>
        </w:rPr>
        <w:t xml:space="preserve">Corporations Amendment (Litigation Funding) Regulations 2020 </w:t>
      </w:r>
      <w:r w:rsidR="00D662A7" w:rsidRPr="00CB65C1">
        <w:rPr>
          <w:iCs/>
          <w:lang w:val="en-US"/>
        </w:rPr>
        <w:t>(</w:t>
      </w:r>
      <w:proofErr w:type="spellStart"/>
      <w:r w:rsidR="00D662A7" w:rsidRPr="00CB65C1">
        <w:rPr>
          <w:iCs/>
          <w:lang w:val="en-US"/>
        </w:rPr>
        <w:t>Cth</w:t>
      </w:r>
      <w:proofErr w:type="spellEnd"/>
      <w:r w:rsidR="00D662A7" w:rsidRPr="00CB65C1">
        <w:rPr>
          <w:iCs/>
          <w:lang w:val="en-US"/>
        </w:rPr>
        <w:t>)</w:t>
      </w:r>
      <w:r w:rsidR="00D662A7">
        <w:rPr>
          <w:iCs/>
          <w:lang w:val="en-US"/>
        </w:rPr>
        <w:t xml:space="preserve"> </w:t>
      </w:r>
      <w:r w:rsidR="00D17B64" w:rsidRPr="000B5495">
        <w:rPr>
          <w:lang w:val="en-US"/>
        </w:rPr>
        <w:t xml:space="preserve">explained </w:t>
      </w:r>
      <w:r w:rsidR="00D17B64">
        <w:rPr>
          <w:lang w:val="en-US"/>
        </w:rPr>
        <w:t xml:space="preserve">(at page 10) </w:t>
      </w:r>
      <w:r w:rsidR="00D17B64" w:rsidRPr="000B5495">
        <w:rPr>
          <w:lang w:val="en-US"/>
        </w:rPr>
        <w:t>that</w:t>
      </w:r>
      <w:r w:rsidR="00D17B64">
        <w:rPr>
          <w:lang w:val="en-US"/>
        </w:rPr>
        <w:t xml:space="preserve"> </w:t>
      </w:r>
      <w:r w:rsidR="00CD113A">
        <w:rPr>
          <w:lang w:val="en-US"/>
        </w:rPr>
        <w:t>“</w:t>
      </w:r>
      <w:r w:rsidR="00D17B64" w:rsidRPr="000B5495">
        <w:rPr>
          <w:lang w:val="en-US"/>
        </w:rPr>
        <w:t>class action structures will be required to be registered</w:t>
      </w:r>
      <w:r w:rsidR="00CD113A">
        <w:rPr>
          <w:lang w:val="en-US"/>
        </w:rPr>
        <w:t>”</w:t>
      </w:r>
      <w:r w:rsidR="00D17B64">
        <w:rPr>
          <w:lang w:val="en-US"/>
        </w:rPr>
        <w:t xml:space="preserve"> and that:</w:t>
      </w:r>
    </w:p>
    <w:p w14:paraId="2C874CE1" w14:textId="22A673AA" w:rsidR="00D17B64" w:rsidRPr="000B5495" w:rsidRDefault="00D17B64" w:rsidP="00D17B64">
      <w:pPr>
        <w:pStyle w:val="Quote1"/>
        <w:rPr>
          <w:lang w:val="en-US"/>
        </w:rPr>
      </w:pPr>
      <w:r w:rsidRPr="000B5495">
        <w:rPr>
          <w:lang w:val="en-US"/>
        </w:rPr>
        <w:t xml:space="preserve">… consumers will benefit from increased ASIC oversight of the entities funding their litigation, improved and </w:t>
      </w:r>
      <w:proofErr w:type="spellStart"/>
      <w:r w:rsidRPr="000B5495">
        <w:rPr>
          <w:lang w:val="en-US"/>
        </w:rPr>
        <w:t>formalised</w:t>
      </w:r>
      <w:proofErr w:type="spellEnd"/>
      <w:r w:rsidRPr="000B5495">
        <w:rPr>
          <w:lang w:val="en-US"/>
        </w:rPr>
        <w:t xml:space="preserve"> disclosure of the risks involved in engaging third-party litigation funding, and reinforced confidence that funders will act in consumers</w:t>
      </w:r>
      <w:r w:rsidR="00CD113A">
        <w:rPr>
          <w:lang w:val="en-US"/>
        </w:rPr>
        <w:t>’</w:t>
      </w:r>
      <w:r w:rsidRPr="000B5495">
        <w:rPr>
          <w:lang w:val="en-US"/>
        </w:rPr>
        <w:t xml:space="preserve"> best interests, with access to dispute resolution and redress in circumstances where </w:t>
      </w:r>
      <w:r w:rsidRPr="000B5495">
        <w:rPr>
          <w:lang w:val="en-US"/>
        </w:rPr>
        <w:lastRenderedPageBreak/>
        <w:t>they do not</w:t>
      </w:r>
      <w:r>
        <w:rPr>
          <w:lang w:val="en-US"/>
        </w:rPr>
        <w:t>.</w:t>
      </w:r>
    </w:p>
    <w:p w14:paraId="5D9D1047" w14:textId="1CBE2359" w:rsidR="00D17B64" w:rsidRDefault="00B6500C" w:rsidP="00B6500C">
      <w:pPr>
        <w:pStyle w:val="ParaNumbering"/>
        <w:numPr>
          <w:ilvl w:val="0"/>
          <w:numId w:val="0"/>
        </w:numPr>
        <w:ind w:hanging="720"/>
      </w:pPr>
      <w:r>
        <w:rPr>
          <w:iCs/>
          <w:sz w:val="20"/>
        </w:rPr>
        <w:t>168</w:t>
      </w:r>
      <w:r>
        <w:rPr>
          <w:iCs/>
          <w:sz w:val="20"/>
        </w:rPr>
        <w:tab/>
      </w:r>
      <w:r w:rsidR="00D17B64">
        <w:t>The manager of Balance (Balance Legal Capital LLP (</w:t>
      </w:r>
      <w:r w:rsidR="00D17B64" w:rsidRPr="00675818">
        <w:rPr>
          <w:b/>
          <w:bCs/>
        </w:rPr>
        <w:t>BLC</w:t>
      </w:r>
      <w:r w:rsidR="00D17B64">
        <w:t xml:space="preserve">)) had been funding class actions in Australia since 2017. The new regulations introduced additional regulatory requirements for funders seeking to fund class actions in Australia, making that activity more time-consuming and expensive. Notwithstanding, </w:t>
      </w:r>
      <w:r w:rsidR="00B95B19">
        <w:t>BLC</w:t>
      </w:r>
      <w:r w:rsidR="00D17B64">
        <w:t xml:space="preserve"> decided it wished to continue to fund class actions in Australia. </w:t>
      </w:r>
      <w:r w:rsidR="00D17B64" w:rsidRPr="00D92E69">
        <w:t>BLC engaged advisors in November 2020</w:t>
      </w:r>
      <w:r w:rsidR="00D17B64">
        <w:t>.</w:t>
      </w:r>
      <w:r w:rsidR="00D17B64" w:rsidRPr="00D92E69">
        <w:t xml:space="preserve"> </w:t>
      </w:r>
      <w:r w:rsidR="00D17B64">
        <w:t>It</w:t>
      </w:r>
      <w:r w:rsidR="00D17B64" w:rsidRPr="00D92E69">
        <w:t xml:space="preserve"> submitted its application for an</w:t>
      </w:r>
      <w:r w:rsidR="001523CC">
        <w:t xml:space="preserve"> Australian </w:t>
      </w:r>
      <w:r w:rsidR="00854287">
        <w:t>financial services licence</w:t>
      </w:r>
      <w:r w:rsidR="00D17B64" w:rsidRPr="00D92E69">
        <w:t xml:space="preserve"> </w:t>
      </w:r>
      <w:r w:rsidR="00854287">
        <w:t>(</w:t>
      </w:r>
      <w:r w:rsidR="00D17B64" w:rsidRPr="008F3A1D">
        <w:rPr>
          <w:b/>
          <w:bCs/>
        </w:rPr>
        <w:t>AFSL</w:t>
      </w:r>
      <w:r w:rsidR="00854287">
        <w:t>)</w:t>
      </w:r>
      <w:r w:rsidR="00D17B64" w:rsidRPr="00D92E69">
        <w:t xml:space="preserve"> with ASIC</w:t>
      </w:r>
      <w:r w:rsidR="00D17B64">
        <w:t xml:space="preserve"> and was ultimately</w:t>
      </w:r>
      <w:r w:rsidR="00D17B64" w:rsidRPr="00D92E69">
        <w:t xml:space="preserve"> granted </w:t>
      </w:r>
      <w:r w:rsidR="00D17B64">
        <w:t>an</w:t>
      </w:r>
      <w:r w:rsidR="00D17B64" w:rsidRPr="00D92E69">
        <w:t xml:space="preserve"> AFSL on 21 April 2021. </w:t>
      </w:r>
    </w:p>
    <w:p w14:paraId="6D866B00" w14:textId="0BC196AD" w:rsidR="00D17B64" w:rsidRDefault="00B6500C" w:rsidP="00B6500C">
      <w:pPr>
        <w:pStyle w:val="ParaNumbering"/>
        <w:numPr>
          <w:ilvl w:val="0"/>
          <w:numId w:val="0"/>
        </w:numPr>
        <w:ind w:hanging="720"/>
      </w:pPr>
      <w:r>
        <w:rPr>
          <w:iCs/>
          <w:sz w:val="20"/>
        </w:rPr>
        <w:t>169</w:t>
      </w:r>
      <w:r>
        <w:rPr>
          <w:iCs/>
          <w:sz w:val="20"/>
        </w:rPr>
        <w:tab/>
      </w:r>
      <w:r w:rsidR="00D17B64" w:rsidRPr="00D92E69">
        <w:t xml:space="preserve">BLC </w:t>
      </w:r>
      <w:r w:rsidR="002F180E">
        <w:t xml:space="preserve">also </w:t>
      </w:r>
      <w:r w:rsidR="00D17B64" w:rsidRPr="00D92E69">
        <w:t xml:space="preserve">decided not to seek </w:t>
      </w:r>
      <w:r w:rsidR="00D17B64">
        <w:t xml:space="preserve">for its funding entities </w:t>
      </w:r>
      <w:r w:rsidR="00D17B64" w:rsidRPr="00D92E69">
        <w:t>to become authorised responsible entit</w:t>
      </w:r>
      <w:r w:rsidR="0061534F">
        <w:t>ies</w:t>
      </w:r>
      <w:r w:rsidR="00D17B64">
        <w:t>,</w:t>
      </w:r>
      <w:r w:rsidR="00D17B64" w:rsidRPr="00D92E69">
        <w:t xml:space="preserve"> but instead decided </w:t>
      </w:r>
      <w:r w:rsidR="00D17B64">
        <w:t>the relevant entities</w:t>
      </w:r>
      <w:r w:rsidR="00D17B64" w:rsidRPr="00D92E69">
        <w:t xml:space="preserve"> would outsource that function.</w:t>
      </w:r>
    </w:p>
    <w:p w14:paraId="513584FB" w14:textId="17073D26" w:rsidR="00147003" w:rsidRDefault="00B6500C" w:rsidP="00B6500C">
      <w:pPr>
        <w:pStyle w:val="ParaNumbering"/>
        <w:numPr>
          <w:ilvl w:val="0"/>
          <w:numId w:val="0"/>
        </w:numPr>
        <w:ind w:hanging="720"/>
      </w:pPr>
      <w:r>
        <w:rPr>
          <w:iCs/>
          <w:sz w:val="20"/>
        </w:rPr>
        <w:t>170</w:t>
      </w:r>
      <w:r>
        <w:rPr>
          <w:iCs/>
          <w:sz w:val="20"/>
        </w:rPr>
        <w:tab/>
      </w:r>
      <w:r w:rsidR="00A71AEB">
        <w:t>On 10 August 2021, Balance entered into an agreement with Kosen-</w:t>
      </w:r>
      <w:proofErr w:type="spellStart"/>
      <w:r w:rsidR="00A71AEB">
        <w:t>rufu</w:t>
      </w:r>
      <w:proofErr w:type="spellEnd"/>
      <w:r w:rsidR="00A71AEB">
        <w:t xml:space="preserve"> and Ms Stott, a director of that company, to provide funding to support the investigation of potential proceedings: Burnett at [22]. Kosen-</w:t>
      </w:r>
      <w:proofErr w:type="spellStart"/>
      <w:r w:rsidR="00A71AEB">
        <w:t>rufu</w:t>
      </w:r>
      <w:proofErr w:type="spellEnd"/>
      <w:r w:rsidR="00A71AEB">
        <w:t xml:space="preserve"> was de-registered </w:t>
      </w:r>
      <w:r w:rsidR="00F22CA3">
        <w:t>o</w:t>
      </w:r>
      <w:r w:rsidR="00A71AEB">
        <w:t xml:space="preserve">n 11 August 2021, pursuant to an application made by Ms Stott on 8 June 2021, and Balance agreed to fund an application for its re-instatement under s 601AH of the Corporations Act. That relief was subsequently granted: </w:t>
      </w:r>
      <w:r w:rsidR="00A71AEB" w:rsidRPr="00CB65C1">
        <w:rPr>
          <w:i/>
          <w:iCs/>
        </w:rPr>
        <w:t xml:space="preserve">Stott v Australian Securities and Investment Commission </w:t>
      </w:r>
      <w:r w:rsidR="00A71AEB" w:rsidRPr="00CB65C1">
        <w:t>[2021] FCA 1222</w:t>
      </w:r>
      <w:r w:rsidR="00A71AEB">
        <w:t xml:space="preserve">. Ms Harris quantified these costs separately on the basis that the costs were arguably solely for the benefit of the lead applicants, although she considered it was reasonable to have pursued this course when considered against the additional work which would have been required to identify an alternative lead applicant: Harris at [36]. </w:t>
      </w:r>
    </w:p>
    <w:p w14:paraId="3F9F3D3C" w14:textId="74CA7C16" w:rsidR="00A71AEB" w:rsidRDefault="00B6500C" w:rsidP="00B6500C">
      <w:pPr>
        <w:pStyle w:val="ParaNumbering"/>
        <w:numPr>
          <w:ilvl w:val="0"/>
          <w:numId w:val="0"/>
        </w:numPr>
        <w:ind w:hanging="720"/>
      </w:pPr>
      <w:r>
        <w:rPr>
          <w:iCs/>
          <w:sz w:val="20"/>
        </w:rPr>
        <w:t>171</w:t>
      </w:r>
      <w:r>
        <w:rPr>
          <w:iCs/>
          <w:sz w:val="20"/>
        </w:rPr>
        <w:tab/>
      </w:r>
      <w:r w:rsidR="00A71AEB">
        <w:t>Ms Harris also separately quantified costs in respect of independent advice and the provision of indemnity to the lead applicants which she considered were not recoverable: Harris at [39].</w:t>
      </w:r>
    </w:p>
    <w:p w14:paraId="059D9481" w14:textId="54845C01" w:rsidR="00930ABD" w:rsidRDefault="00B6500C" w:rsidP="00B6500C">
      <w:pPr>
        <w:pStyle w:val="ParaNumbering"/>
        <w:numPr>
          <w:ilvl w:val="0"/>
          <w:numId w:val="0"/>
        </w:numPr>
        <w:ind w:hanging="720"/>
      </w:pPr>
      <w:r>
        <w:rPr>
          <w:iCs/>
          <w:sz w:val="20"/>
        </w:rPr>
        <w:t>172</w:t>
      </w:r>
      <w:r>
        <w:rPr>
          <w:iCs/>
          <w:sz w:val="20"/>
        </w:rPr>
        <w:tab/>
      </w:r>
      <w:r w:rsidR="00930ABD">
        <w:t xml:space="preserve">On 10 September 2021, Balance engaged </w:t>
      </w:r>
      <w:r w:rsidR="00930ABD" w:rsidRPr="00F16017">
        <w:rPr>
          <w:b/>
          <w:bCs/>
        </w:rPr>
        <w:t>CASL</w:t>
      </w:r>
      <w:r w:rsidR="00930ABD">
        <w:t xml:space="preserve"> Governance Ltd to </w:t>
      </w:r>
      <w:r w:rsidR="00476BBC">
        <w:t xml:space="preserve">act </w:t>
      </w:r>
      <w:r w:rsidR="00930ABD">
        <w:t xml:space="preserve">as </w:t>
      </w:r>
      <w:r w:rsidR="00476BBC">
        <w:t xml:space="preserve">the </w:t>
      </w:r>
      <w:r w:rsidR="006A72C6">
        <w:t>responsible</w:t>
      </w:r>
      <w:r w:rsidR="00930ABD">
        <w:t xml:space="preserve"> entity</w:t>
      </w:r>
      <w:r w:rsidR="00097016">
        <w:t xml:space="preserve"> of the MIS intended to be registered in respect of the litigation funding scheme</w:t>
      </w:r>
      <w:r w:rsidR="00942E00">
        <w:t xml:space="preserve"> </w:t>
      </w:r>
      <w:r w:rsidR="00097016">
        <w:t xml:space="preserve">concerning the proposed claims: </w:t>
      </w:r>
      <w:r w:rsidR="00942E00">
        <w:t>Burnett at [48(b)].</w:t>
      </w:r>
    </w:p>
    <w:p w14:paraId="0EC7FE8B" w14:textId="473EEFDA" w:rsidR="00A96CCB" w:rsidRDefault="00B6500C" w:rsidP="00B6500C">
      <w:pPr>
        <w:pStyle w:val="ParaNumbering"/>
        <w:numPr>
          <w:ilvl w:val="0"/>
          <w:numId w:val="0"/>
        </w:numPr>
        <w:ind w:hanging="720"/>
      </w:pPr>
      <w:r>
        <w:rPr>
          <w:iCs/>
          <w:sz w:val="20"/>
        </w:rPr>
        <w:t>173</w:t>
      </w:r>
      <w:r>
        <w:rPr>
          <w:iCs/>
          <w:sz w:val="20"/>
        </w:rPr>
        <w:tab/>
      </w:r>
      <w:r w:rsidR="00A96CCB" w:rsidRPr="00A96CCB">
        <w:t>On 1 October 2021, CASL submitted a copy of the Constitution, Compliance Plan, and Litigation Management and Funding Agreement (</w:t>
      </w:r>
      <w:r w:rsidR="00A96CCB" w:rsidRPr="00A96CCB">
        <w:rPr>
          <w:b/>
          <w:bCs/>
        </w:rPr>
        <w:t>LMFA</w:t>
      </w:r>
      <w:r w:rsidR="00A96CCB" w:rsidRPr="00A96CCB">
        <w:t>) (annexing the Litigation</w:t>
      </w:r>
      <w:r w:rsidR="00CD3442">
        <w:t xml:space="preserve"> </w:t>
      </w:r>
      <w:r w:rsidR="00A96CCB" w:rsidRPr="00A96CCB">
        <w:t>Funding Relationship Agreement) to ASIC in order to register the MIS</w:t>
      </w:r>
      <w:r w:rsidR="00CD3442">
        <w:t>: Burnett at [48].</w:t>
      </w:r>
    </w:p>
    <w:p w14:paraId="36C61D02" w14:textId="1B1D1F1A" w:rsidR="000F2DDD" w:rsidRDefault="00B6500C" w:rsidP="00B6500C">
      <w:pPr>
        <w:pStyle w:val="ParaNumbering"/>
        <w:numPr>
          <w:ilvl w:val="0"/>
          <w:numId w:val="0"/>
        </w:numPr>
        <w:ind w:hanging="720"/>
      </w:pPr>
      <w:r>
        <w:rPr>
          <w:iCs/>
          <w:sz w:val="20"/>
        </w:rPr>
        <w:t>174</w:t>
      </w:r>
      <w:r>
        <w:rPr>
          <w:iCs/>
          <w:sz w:val="20"/>
        </w:rPr>
        <w:tab/>
      </w:r>
      <w:r w:rsidR="000F2DDD">
        <w:t xml:space="preserve">The </w:t>
      </w:r>
      <w:r w:rsidR="000F2DDD" w:rsidRPr="008F3A1D">
        <w:rPr>
          <w:b/>
          <w:bCs/>
        </w:rPr>
        <w:t>Dixon</w:t>
      </w:r>
      <w:r w:rsidR="000F2DDD">
        <w:t xml:space="preserve"> Advisory Litigation Funding </w:t>
      </w:r>
      <w:r w:rsidR="000F2DDD" w:rsidRPr="008F3A1D">
        <w:rPr>
          <w:b/>
          <w:bCs/>
        </w:rPr>
        <w:t>Scheme</w:t>
      </w:r>
      <w:r w:rsidR="000F2DDD">
        <w:t xml:space="preserve"> was registered on about 12</w:t>
      </w:r>
      <w:r w:rsidR="00AE2E66">
        <w:t> </w:t>
      </w:r>
      <w:r w:rsidR="000F2DDD">
        <w:t>October 2021.</w:t>
      </w:r>
    </w:p>
    <w:p w14:paraId="658C9C6C" w14:textId="62CE303A" w:rsidR="004C60B2" w:rsidRDefault="00B6500C" w:rsidP="00B6500C">
      <w:pPr>
        <w:pStyle w:val="ParaNumbering"/>
        <w:numPr>
          <w:ilvl w:val="0"/>
          <w:numId w:val="0"/>
        </w:numPr>
        <w:ind w:hanging="720"/>
      </w:pPr>
      <w:r>
        <w:rPr>
          <w:iCs/>
          <w:sz w:val="20"/>
        </w:rPr>
        <w:lastRenderedPageBreak/>
        <w:t>175</w:t>
      </w:r>
      <w:r>
        <w:rPr>
          <w:iCs/>
          <w:sz w:val="20"/>
        </w:rPr>
        <w:tab/>
      </w:r>
      <w:r w:rsidR="004C60B2">
        <w:t>A report was provided by Basford Consulting to Balance on 21 October 2021: Burnett</w:t>
      </w:r>
      <w:r w:rsidR="0093353A">
        <w:t xml:space="preserve"> </w:t>
      </w:r>
      <w:r w:rsidR="004C60B2">
        <w:t>at [30]. As a result of this report, Balance had concerns about the financial position of the proposed respondents.</w:t>
      </w:r>
    </w:p>
    <w:p w14:paraId="3DDCBBAC" w14:textId="6A9B4C62" w:rsidR="004C60B2" w:rsidRDefault="00B6500C" w:rsidP="00B6500C">
      <w:pPr>
        <w:pStyle w:val="ParaNumbering"/>
        <w:numPr>
          <w:ilvl w:val="0"/>
          <w:numId w:val="0"/>
        </w:numPr>
        <w:ind w:hanging="720"/>
      </w:pPr>
      <w:r>
        <w:rPr>
          <w:iCs/>
          <w:sz w:val="20"/>
        </w:rPr>
        <w:t>176</w:t>
      </w:r>
      <w:r>
        <w:rPr>
          <w:iCs/>
          <w:sz w:val="20"/>
        </w:rPr>
        <w:tab/>
      </w:r>
      <w:r w:rsidR="004C60B2">
        <w:t>Balance considered that insurance proceeds would be an important part of any resolution of a future proceeding. Piper Alderman and Balance sought copies of relevant insurance policies and engaged in correspondence with solicitors acting for the insurers: Burnett</w:t>
      </w:r>
      <w:r w:rsidR="00766584">
        <w:t xml:space="preserve"> </w:t>
      </w:r>
      <w:r w:rsidR="004C60B2">
        <w:t>at [31]. No policies had been obtained at the time of the carriage motion.</w:t>
      </w:r>
    </w:p>
    <w:p w14:paraId="33ED8665" w14:textId="19D3BA35" w:rsidR="004C60B2" w:rsidRDefault="00B6500C" w:rsidP="00B6500C">
      <w:pPr>
        <w:pStyle w:val="ParaNumbering"/>
        <w:numPr>
          <w:ilvl w:val="0"/>
          <w:numId w:val="0"/>
        </w:numPr>
        <w:ind w:hanging="720"/>
      </w:pPr>
      <w:r>
        <w:rPr>
          <w:iCs/>
          <w:sz w:val="20"/>
        </w:rPr>
        <w:t>177</w:t>
      </w:r>
      <w:r>
        <w:rPr>
          <w:iCs/>
          <w:sz w:val="20"/>
        </w:rPr>
        <w:tab/>
      </w:r>
      <w:r w:rsidR="004C60B2">
        <w:t>Full funding was approved by Balance on 21 October 2021.</w:t>
      </w:r>
    </w:p>
    <w:p w14:paraId="22045D61" w14:textId="07F6958B" w:rsidR="007D0E8A" w:rsidRDefault="00B6500C" w:rsidP="00B6500C">
      <w:pPr>
        <w:pStyle w:val="ParaNumbering"/>
        <w:numPr>
          <w:ilvl w:val="0"/>
          <w:numId w:val="0"/>
        </w:numPr>
        <w:ind w:hanging="720"/>
      </w:pPr>
      <w:r>
        <w:rPr>
          <w:iCs/>
          <w:sz w:val="20"/>
        </w:rPr>
        <w:t>178</w:t>
      </w:r>
      <w:r>
        <w:rPr>
          <w:iCs/>
          <w:sz w:val="20"/>
        </w:rPr>
        <w:tab/>
      </w:r>
      <w:r w:rsidR="00B65F1F" w:rsidRPr="00063EF0">
        <w:t xml:space="preserve">On 25 October 2021, CASL held a Board meeting in which they approved </w:t>
      </w:r>
      <w:r w:rsidR="00063EF0">
        <w:t>amongst other things</w:t>
      </w:r>
      <w:r w:rsidR="00B65F1F" w:rsidRPr="00063EF0">
        <w:t>:</w:t>
      </w:r>
      <w:r w:rsidR="00063EF0">
        <w:t xml:space="preserve"> </w:t>
      </w:r>
    </w:p>
    <w:p w14:paraId="644E2D46" w14:textId="716D44D5" w:rsidR="007D0E8A" w:rsidRDefault="00B6500C" w:rsidP="00B6500C">
      <w:pPr>
        <w:pStyle w:val="ListNo1alt"/>
        <w:numPr>
          <w:ilvl w:val="0"/>
          <w:numId w:val="0"/>
        </w:numPr>
        <w:tabs>
          <w:tab w:val="left" w:pos="720"/>
        </w:tabs>
        <w:ind w:left="720" w:hanging="720"/>
      </w:pPr>
      <w:r>
        <w:t>(a)</w:t>
      </w:r>
      <w:r>
        <w:tab/>
      </w:r>
      <w:r w:rsidR="00063EF0">
        <w:t>t</w:t>
      </w:r>
      <w:r w:rsidR="00B65F1F" w:rsidRPr="00063EF0">
        <w:t>o issue the Dixon Advisory Scheme Product Disclosure Statement (</w:t>
      </w:r>
      <w:r w:rsidR="00B65F1F" w:rsidRPr="007D0E8A">
        <w:rPr>
          <w:b/>
          <w:bCs/>
        </w:rPr>
        <w:t>PDS</w:t>
      </w:r>
      <w:r w:rsidR="00B65F1F" w:rsidRPr="00063EF0">
        <w:t>)</w:t>
      </w:r>
      <w:r w:rsidR="005527F9">
        <w:t xml:space="preserve"> </w:t>
      </w:r>
      <w:r w:rsidR="00B65F1F" w:rsidRPr="00063EF0">
        <w:t>following an extensive verification process; and</w:t>
      </w:r>
      <w:r w:rsidR="005527F9">
        <w:t xml:space="preserve"> </w:t>
      </w:r>
    </w:p>
    <w:p w14:paraId="4E3E4B93" w14:textId="2EAB01B5" w:rsidR="00063EF0" w:rsidRPr="00063EF0" w:rsidRDefault="00B6500C" w:rsidP="00B6500C">
      <w:pPr>
        <w:pStyle w:val="ListNo1alt"/>
        <w:numPr>
          <w:ilvl w:val="0"/>
          <w:numId w:val="0"/>
        </w:numPr>
        <w:tabs>
          <w:tab w:val="left" w:pos="720"/>
        </w:tabs>
        <w:ind w:left="720" w:hanging="720"/>
      </w:pPr>
      <w:r w:rsidRPr="00063EF0">
        <w:t>(b)</w:t>
      </w:r>
      <w:r w:rsidRPr="00063EF0">
        <w:tab/>
      </w:r>
      <w:r w:rsidR="005527F9">
        <w:t>t</w:t>
      </w:r>
      <w:r w:rsidR="00B65F1F" w:rsidRPr="00063EF0">
        <w:t>o approve</w:t>
      </w:r>
      <w:r w:rsidR="007D0E8A">
        <w:t xml:space="preserve"> and/or execute</w:t>
      </w:r>
      <w:r w:rsidR="00B65F1F" w:rsidRPr="00063EF0">
        <w:t xml:space="preserve"> the following Dixon Scheme documents</w:t>
      </w:r>
      <w:r w:rsidR="00495446">
        <w:t xml:space="preserve">: the </w:t>
      </w:r>
      <w:r w:rsidR="00B65F1F" w:rsidRPr="00063EF0">
        <w:t>LMFA;</w:t>
      </w:r>
      <w:r w:rsidR="00495446">
        <w:t xml:space="preserve"> the </w:t>
      </w:r>
      <w:r w:rsidR="00063EF0" w:rsidRPr="00063EF0">
        <w:t>Law Firm Relationship Agreement</w:t>
      </w:r>
      <w:r w:rsidR="00495446">
        <w:t xml:space="preserve">; the </w:t>
      </w:r>
      <w:r w:rsidR="00063EF0" w:rsidRPr="00063EF0">
        <w:t>Litigation Funding Relationship Deed</w:t>
      </w:r>
      <w:r w:rsidR="00495446">
        <w:t xml:space="preserve">; the </w:t>
      </w:r>
      <w:r w:rsidR="00063EF0" w:rsidRPr="00063EF0">
        <w:t>Lawyer</w:t>
      </w:r>
      <w:r w:rsidR="00CD113A">
        <w:t>’</w:t>
      </w:r>
      <w:r w:rsidR="00063EF0" w:rsidRPr="00063EF0">
        <w:t>s Retainer for general Group Members</w:t>
      </w:r>
      <w:r w:rsidR="00495446">
        <w:t xml:space="preserve">; the </w:t>
      </w:r>
      <w:r w:rsidR="00063EF0" w:rsidRPr="00063EF0">
        <w:t>Lawyer</w:t>
      </w:r>
      <w:r w:rsidR="00CD113A">
        <w:t>’</w:t>
      </w:r>
      <w:r w:rsidR="00063EF0" w:rsidRPr="00063EF0">
        <w:t>s Retainer for the Representative Member</w:t>
      </w:r>
      <w:r w:rsidR="00495446">
        <w:t xml:space="preserve">; </w:t>
      </w:r>
      <w:r w:rsidR="00063EF0" w:rsidRPr="00063EF0">
        <w:t>CASL</w:t>
      </w:r>
      <w:r w:rsidR="00CD113A">
        <w:t>’</w:t>
      </w:r>
      <w:r w:rsidR="00063EF0" w:rsidRPr="00063EF0">
        <w:t>s Financial Services Guide</w:t>
      </w:r>
      <w:r w:rsidR="00495446">
        <w:t xml:space="preserve">; </w:t>
      </w:r>
      <w:r w:rsidR="00063EF0" w:rsidRPr="00063EF0">
        <w:t>Balance</w:t>
      </w:r>
      <w:r w:rsidR="00CD113A">
        <w:t>’</w:t>
      </w:r>
      <w:r w:rsidR="00063EF0" w:rsidRPr="00063EF0">
        <w:t>s Financial Services Guide</w:t>
      </w:r>
      <w:r w:rsidR="00C23A5D">
        <w:t>; the PDS; the</w:t>
      </w:r>
      <w:r w:rsidR="00063EF0" w:rsidRPr="00063EF0">
        <w:t xml:space="preserve"> Target Market Determination</w:t>
      </w:r>
      <w:r w:rsidR="008D2522">
        <w:t>.</w:t>
      </w:r>
    </w:p>
    <w:p w14:paraId="07D6954E" w14:textId="3DEC55F9" w:rsidR="00C94A84" w:rsidRDefault="00B6500C" w:rsidP="00B6500C">
      <w:pPr>
        <w:pStyle w:val="ParaNumbering"/>
        <w:numPr>
          <w:ilvl w:val="0"/>
          <w:numId w:val="0"/>
        </w:numPr>
        <w:ind w:hanging="720"/>
      </w:pPr>
      <w:r>
        <w:rPr>
          <w:iCs/>
          <w:sz w:val="20"/>
        </w:rPr>
        <w:t>179</w:t>
      </w:r>
      <w:r>
        <w:rPr>
          <w:iCs/>
          <w:sz w:val="20"/>
        </w:rPr>
        <w:tab/>
      </w:r>
      <w:r w:rsidR="00C23A5D">
        <w:t xml:space="preserve">On 31 October 2021, a scheme website for the </w:t>
      </w:r>
      <w:r w:rsidR="00CD113A">
        <w:t>“</w:t>
      </w:r>
      <w:r w:rsidR="00C23A5D">
        <w:t>Dixon Managed Investment Scheme</w:t>
      </w:r>
      <w:r w:rsidR="00CD113A">
        <w:t>”</w:t>
      </w:r>
      <w:r w:rsidR="00C23A5D">
        <w:t xml:space="preserve"> went live.</w:t>
      </w:r>
      <w:r w:rsidR="002A16D3">
        <w:t xml:space="preserve"> </w:t>
      </w:r>
      <w:r w:rsidR="00010DCE">
        <w:t>The</w:t>
      </w:r>
      <w:r w:rsidR="00C94A84">
        <w:t xml:space="preserve"> Kosen-</w:t>
      </w:r>
      <w:proofErr w:type="spellStart"/>
      <w:r w:rsidR="00C94A84">
        <w:t>Rufu</w:t>
      </w:r>
      <w:proofErr w:type="spellEnd"/>
      <w:r w:rsidR="00C94A84">
        <w:t xml:space="preserve"> Proceeding was filed on 1 November 2021.</w:t>
      </w:r>
    </w:p>
    <w:p w14:paraId="301B202C" w14:textId="51D044CD" w:rsidR="001314EB" w:rsidRDefault="00B6500C" w:rsidP="00B6500C">
      <w:pPr>
        <w:pStyle w:val="ParaNumbering"/>
        <w:numPr>
          <w:ilvl w:val="0"/>
          <w:numId w:val="0"/>
        </w:numPr>
        <w:ind w:hanging="720"/>
      </w:pPr>
      <w:r>
        <w:rPr>
          <w:iCs/>
          <w:sz w:val="20"/>
        </w:rPr>
        <w:t>180</w:t>
      </w:r>
      <w:r>
        <w:rPr>
          <w:iCs/>
          <w:sz w:val="20"/>
        </w:rPr>
        <w:tab/>
      </w:r>
      <w:r w:rsidR="001314EB">
        <w:t xml:space="preserve">On 10 November 2021, Piper Alderman wrote to ASIC foreshadowing an application for leave to intervene in </w:t>
      </w:r>
      <w:r w:rsidR="00C157D3">
        <w:t>the ASIC Proceeding</w:t>
      </w:r>
      <w:r w:rsidR="000720E9">
        <w:t xml:space="preserve"> to seek </w:t>
      </w:r>
      <w:r w:rsidR="00F12237">
        <w:t xml:space="preserve">an order under s 1317QF of the Corporations Act for the penalty sum to be </w:t>
      </w:r>
      <w:r w:rsidR="00FF485D">
        <w:t xml:space="preserve">made available to compensate group members. </w:t>
      </w:r>
    </w:p>
    <w:p w14:paraId="078F7DCA" w14:textId="0EAB044A" w:rsidR="00CC5990" w:rsidRDefault="00B6500C" w:rsidP="00B6500C">
      <w:pPr>
        <w:pStyle w:val="ParaNumbering"/>
        <w:numPr>
          <w:ilvl w:val="0"/>
          <w:numId w:val="0"/>
        </w:numPr>
        <w:ind w:hanging="720"/>
      </w:pPr>
      <w:r>
        <w:rPr>
          <w:iCs/>
          <w:sz w:val="20"/>
        </w:rPr>
        <w:t>181</w:t>
      </w:r>
      <w:r>
        <w:rPr>
          <w:iCs/>
          <w:sz w:val="20"/>
        </w:rPr>
        <w:tab/>
      </w:r>
      <w:r w:rsidR="00542EA4">
        <w:t xml:space="preserve">On 15 November 2021, Piper Alderman instructed Dawna Wright of FTI Consulting to prepare an expert report addressing the estimated total loss suffered </w:t>
      </w:r>
      <w:r w:rsidR="0059304E">
        <w:t>by group members</w:t>
      </w:r>
      <w:r w:rsidR="00840A2B">
        <w:t xml:space="preserve"> and the financial position of DASS and E&amp;P</w:t>
      </w:r>
      <w:r w:rsidR="00702606">
        <w:t xml:space="preserve"> (the </w:t>
      </w:r>
      <w:r w:rsidR="00702606">
        <w:rPr>
          <w:b/>
          <w:bCs/>
        </w:rPr>
        <w:t>Wright Report</w:t>
      </w:r>
      <w:r w:rsidR="00702606">
        <w:t>)</w:t>
      </w:r>
      <w:r w:rsidR="00840A2B">
        <w:t xml:space="preserve">. </w:t>
      </w:r>
      <w:r w:rsidR="00513B38">
        <w:t>The applicants filed an interlocutory application</w:t>
      </w:r>
      <w:r w:rsidR="009D224D">
        <w:t>, affidavit</w:t>
      </w:r>
      <w:r w:rsidR="00702606">
        <w:t>,</w:t>
      </w:r>
      <w:r w:rsidR="009D224D">
        <w:t xml:space="preserve"> and written submissions in the ASIC Proceeding on 15 November 2021.</w:t>
      </w:r>
      <w:r w:rsidR="009D224D" w:rsidRPr="009D224D">
        <w:t xml:space="preserve"> </w:t>
      </w:r>
      <w:r w:rsidR="00A4372A">
        <w:t>The Wright</w:t>
      </w:r>
      <w:r w:rsidR="009D224D">
        <w:t xml:space="preserve"> </w:t>
      </w:r>
      <w:r w:rsidR="00A4372A">
        <w:t>R</w:t>
      </w:r>
      <w:r w:rsidR="009D224D">
        <w:t xml:space="preserve">eport was </w:t>
      </w:r>
      <w:r w:rsidR="00A4372A">
        <w:t>served in</w:t>
      </w:r>
      <w:r w:rsidR="009D224D">
        <w:t xml:space="preserve"> the ASIC Proceeding</w:t>
      </w:r>
      <w:r w:rsidR="00A4372A">
        <w:t xml:space="preserve"> on 22 November 2021</w:t>
      </w:r>
      <w:r w:rsidR="00CF6AFC">
        <w:t>: Burnett at [38]</w:t>
      </w:r>
      <w:r w:rsidR="009D224D">
        <w:t>.</w:t>
      </w:r>
    </w:p>
    <w:p w14:paraId="361E1D2A" w14:textId="3E278F23" w:rsidR="00FD1990" w:rsidRDefault="00B6500C" w:rsidP="00B6500C">
      <w:pPr>
        <w:pStyle w:val="ParaNumbering"/>
        <w:numPr>
          <w:ilvl w:val="0"/>
          <w:numId w:val="0"/>
        </w:numPr>
        <w:ind w:hanging="720"/>
      </w:pPr>
      <w:r>
        <w:rPr>
          <w:iCs/>
          <w:sz w:val="20"/>
        </w:rPr>
        <w:t>182</w:t>
      </w:r>
      <w:r>
        <w:rPr>
          <w:iCs/>
          <w:sz w:val="20"/>
        </w:rPr>
        <w:tab/>
      </w:r>
      <w:r w:rsidR="00FD1990">
        <w:t xml:space="preserve">The applications (which were considered to be novel) were not ultimately pursued because of the </w:t>
      </w:r>
      <w:r w:rsidR="00CD113A">
        <w:t>“</w:t>
      </w:r>
      <w:r w:rsidR="00FD1990">
        <w:t>carriage issues</w:t>
      </w:r>
      <w:r w:rsidR="00CD113A">
        <w:t>”</w:t>
      </w:r>
      <w:r w:rsidR="00FD1990">
        <w:t xml:space="preserve"> which </w:t>
      </w:r>
      <w:r w:rsidR="00273CE9">
        <w:t xml:space="preserve">later </w:t>
      </w:r>
      <w:r w:rsidR="00FD1990">
        <w:t>emerged.</w:t>
      </w:r>
      <w:r w:rsidR="004B5645">
        <w:t xml:space="preserve"> </w:t>
      </w:r>
    </w:p>
    <w:p w14:paraId="1E3EDBF1" w14:textId="48D568F0" w:rsidR="00987BC4" w:rsidRDefault="00B6500C" w:rsidP="00B6500C">
      <w:pPr>
        <w:pStyle w:val="ParaNumbering"/>
        <w:numPr>
          <w:ilvl w:val="0"/>
          <w:numId w:val="0"/>
        </w:numPr>
        <w:ind w:hanging="720"/>
        <w:rPr>
          <w:lang w:val="en-US"/>
        </w:rPr>
      </w:pPr>
      <w:r>
        <w:rPr>
          <w:iCs/>
          <w:sz w:val="20"/>
          <w:lang w:val="en-US"/>
        </w:rPr>
        <w:lastRenderedPageBreak/>
        <w:t>183</w:t>
      </w:r>
      <w:r>
        <w:rPr>
          <w:iCs/>
          <w:sz w:val="20"/>
          <w:lang w:val="en-US"/>
        </w:rPr>
        <w:tab/>
      </w:r>
      <w:r w:rsidR="00987BC4" w:rsidRPr="000B5495">
        <w:rPr>
          <w:lang w:val="en-US"/>
        </w:rPr>
        <w:t>As part of the operation of the MIS, updates were provided to group members on 20 January 2022, 3 February 2022, and 12 May 2022, as required by the L</w:t>
      </w:r>
      <w:r w:rsidR="004934A5">
        <w:rPr>
          <w:lang w:val="en-US"/>
        </w:rPr>
        <w:t>MFA</w:t>
      </w:r>
      <w:r w:rsidR="00987BC4" w:rsidRPr="000B5495">
        <w:rPr>
          <w:lang w:val="en-US"/>
        </w:rPr>
        <w:t xml:space="preserve"> and </w:t>
      </w:r>
      <w:r w:rsidR="009A7CFE">
        <w:rPr>
          <w:lang w:val="en-US"/>
        </w:rPr>
        <w:t>the PDS</w:t>
      </w:r>
      <w:r w:rsidR="00987BC4" w:rsidRPr="000B5495">
        <w:rPr>
          <w:lang w:val="en-US"/>
        </w:rPr>
        <w:t xml:space="preserve">: Burnett at [50]. </w:t>
      </w:r>
      <w:r w:rsidR="009A7CFE">
        <w:rPr>
          <w:lang w:val="en-US"/>
        </w:rPr>
        <w:t>Further</w:t>
      </w:r>
      <w:r w:rsidR="00987BC4" w:rsidRPr="000B5495">
        <w:rPr>
          <w:lang w:val="en-US"/>
        </w:rPr>
        <w:t>, as required by the Litigation Funding Relationship Deed between CASL and Balance, Balance provided reports to CASL on 22 February 2022, 14 April 2022, and 18 July 2022: Burnett at [51] and [52].</w:t>
      </w:r>
    </w:p>
    <w:p w14:paraId="2CB2A062" w14:textId="74B3E928" w:rsidR="00843489" w:rsidRPr="000B5495" w:rsidRDefault="002A16D3" w:rsidP="002A16D3">
      <w:pPr>
        <w:pStyle w:val="Heading2"/>
        <w:rPr>
          <w:lang w:val="en-US"/>
        </w:rPr>
      </w:pPr>
      <w:r>
        <w:rPr>
          <w:lang w:val="en-US"/>
        </w:rPr>
        <w:t>Consideration</w:t>
      </w:r>
    </w:p>
    <w:p w14:paraId="5A8117AE" w14:textId="32D4EF8F" w:rsidR="00375EA8" w:rsidRDefault="00375EA8" w:rsidP="00375EA8">
      <w:pPr>
        <w:pStyle w:val="Heading3"/>
      </w:pPr>
      <w:r>
        <w:t>General principles</w:t>
      </w:r>
    </w:p>
    <w:p w14:paraId="69DD0DBA" w14:textId="2BADE275" w:rsidR="00837471" w:rsidRDefault="00B6500C" w:rsidP="00B6500C">
      <w:pPr>
        <w:pStyle w:val="ParaNumbering"/>
        <w:numPr>
          <w:ilvl w:val="0"/>
          <w:numId w:val="0"/>
        </w:numPr>
        <w:ind w:hanging="720"/>
      </w:pPr>
      <w:r>
        <w:rPr>
          <w:iCs/>
          <w:sz w:val="20"/>
        </w:rPr>
        <w:t>184</w:t>
      </w:r>
      <w:r>
        <w:rPr>
          <w:iCs/>
          <w:sz w:val="20"/>
        </w:rPr>
        <w:tab/>
      </w:r>
      <w:r w:rsidR="002627C6">
        <w:t>Balance submitted that it was seeking a form of common fund order.</w:t>
      </w:r>
      <w:r w:rsidR="00BE679D">
        <w:t xml:space="preserve"> Balance </w:t>
      </w:r>
      <w:r w:rsidR="0076131F">
        <w:t xml:space="preserve">referred to the decision of Gordon J in </w:t>
      </w:r>
      <w:proofErr w:type="spellStart"/>
      <w:r w:rsidR="00B6505D" w:rsidRPr="0036207F">
        <w:rPr>
          <w:i/>
          <w:iCs/>
        </w:rPr>
        <w:t>Modtech</w:t>
      </w:r>
      <w:proofErr w:type="spellEnd"/>
      <w:r w:rsidR="00B6505D" w:rsidRPr="0076400A">
        <w:rPr>
          <w:i/>
          <w:iCs/>
        </w:rPr>
        <w:t xml:space="preserve"> </w:t>
      </w:r>
      <w:r w:rsidR="00B6505D">
        <w:t xml:space="preserve">at [24] and submitted that </w:t>
      </w:r>
      <w:r w:rsidR="00CD113A">
        <w:t>“</w:t>
      </w:r>
      <w:r w:rsidR="0076400A">
        <w:t xml:space="preserve">the legal costs </w:t>
      </w:r>
      <w:r w:rsidR="00A01D7C">
        <w:t>should be borne by those who benefitted from those legal costs being incurred – the group members as a whole</w:t>
      </w:r>
      <w:r w:rsidR="00CD113A">
        <w:t>”</w:t>
      </w:r>
      <w:r w:rsidR="00A01D7C">
        <w:t>.</w:t>
      </w:r>
      <w:r w:rsidR="00B8629B">
        <w:t xml:space="preserve"> </w:t>
      </w:r>
    </w:p>
    <w:p w14:paraId="04B85566" w14:textId="20D87930" w:rsidR="006774BC" w:rsidRPr="006774BC" w:rsidRDefault="00B6500C" w:rsidP="00B6500C">
      <w:pPr>
        <w:pStyle w:val="ParaNumbering"/>
        <w:numPr>
          <w:ilvl w:val="0"/>
          <w:numId w:val="0"/>
        </w:numPr>
        <w:ind w:hanging="720"/>
      </w:pPr>
      <w:r w:rsidRPr="006774BC">
        <w:rPr>
          <w:iCs/>
          <w:sz w:val="20"/>
        </w:rPr>
        <w:t>185</w:t>
      </w:r>
      <w:r w:rsidRPr="006774BC">
        <w:rPr>
          <w:iCs/>
          <w:sz w:val="20"/>
        </w:rPr>
        <w:tab/>
      </w:r>
      <w:proofErr w:type="spellStart"/>
      <w:r w:rsidR="00837471">
        <w:rPr>
          <w:i/>
          <w:iCs/>
        </w:rPr>
        <w:t>Modtech</w:t>
      </w:r>
      <w:proofErr w:type="spellEnd"/>
      <w:r w:rsidR="00B8629B">
        <w:t xml:space="preserve"> involved a situation in which only some group members</w:t>
      </w:r>
      <w:r w:rsidR="009C610D">
        <w:t xml:space="preserve"> had signed a costs agreement.</w:t>
      </w:r>
      <w:r w:rsidR="00331F71">
        <w:t xml:space="preserve"> Her Honour concluded that the group members who did not sign a </w:t>
      </w:r>
      <w:r w:rsidR="0011052E">
        <w:t xml:space="preserve">costs agreement </w:t>
      </w:r>
      <w:r w:rsidR="00CD113A">
        <w:t>“</w:t>
      </w:r>
      <w:r w:rsidR="0011052E" w:rsidRPr="0011052E">
        <w:rPr>
          <w:rFonts w:ascii="TimesNewRomanPSMT" w:hAnsi="TimesNewRomanPSMT" w:cs="TimesNewRomanPSMT"/>
          <w:szCs w:val="24"/>
          <w:lang w:eastAsia="en-AU"/>
        </w:rPr>
        <w:t>should not be entitled to receive a windfall by reason of their refusal to sign</w:t>
      </w:r>
      <w:r w:rsidR="00CD113A">
        <w:rPr>
          <w:rFonts w:ascii="TimesNewRomanPSMT" w:hAnsi="TimesNewRomanPSMT" w:cs="TimesNewRomanPSMT"/>
          <w:szCs w:val="24"/>
          <w:lang w:eastAsia="en-AU"/>
        </w:rPr>
        <w:t>”</w:t>
      </w:r>
      <w:r w:rsidR="006774BC">
        <w:rPr>
          <w:rFonts w:ascii="TimesNewRomanPSMT" w:hAnsi="TimesNewRomanPSMT" w:cs="TimesNewRomanPSMT"/>
          <w:szCs w:val="24"/>
          <w:lang w:eastAsia="en-AU"/>
        </w:rPr>
        <w:t xml:space="preserve">. </w:t>
      </w:r>
    </w:p>
    <w:p w14:paraId="3001AC42" w14:textId="0A4F5765" w:rsidR="001B41EE" w:rsidRDefault="00B6500C" w:rsidP="00B6500C">
      <w:pPr>
        <w:pStyle w:val="ParaNumbering"/>
        <w:numPr>
          <w:ilvl w:val="0"/>
          <w:numId w:val="0"/>
        </w:numPr>
        <w:ind w:hanging="720"/>
      </w:pPr>
      <w:r>
        <w:rPr>
          <w:iCs/>
          <w:sz w:val="20"/>
        </w:rPr>
        <w:t>186</w:t>
      </w:r>
      <w:r>
        <w:rPr>
          <w:iCs/>
          <w:sz w:val="20"/>
        </w:rPr>
        <w:tab/>
      </w:r>
      <w:r w:rsidR="00184390">
        <w:t xml:space="preserve">Balance also referred </w:t>
      </w:r>
      <w:r w:rsidR="007F51D4">
        <w:t>to</w:t>
      </w:r>
      <w:r w:rsidR="007F51D4" w:rsidRPr="007F51D4">
        <w:rPr>
          <w:i/>
          <w:iCs/>
        </w:rPr>
        <w:t xml:space="preserve"> </w:t>
      </w:r>
      <w:r w:rsidR="007F51D4" w:rsidRPr="00CB65C1">
        <w:rPr>
          <w:i/>
          <w:iCs/>
        </w:rPr>
        <w:t>Elliott-Carde v McDonald</w:t>
      </w:r>
      <w:r w:rsidR="00CD113A" w:rsidRPr="00CB65C1">
        <w:rPr>
          <w:i/>
          <w:iCs/>
        </w:rPr>
        <w:t>’</w:t>
      </w:r>
      <w:r w:rsidR="007F51D4" w:rsidRPr="00CB65C1">
        <w:rPr>
          <w:i/>
          <w:iCs/>
        </w:rPr>
        <w:t>s Australia Limited</w:t>
      </w:r>
      <w:r w:rsidR="007F51D4" w:rsidRPr="00CB65C1">
        <w:t xml:space="preserve"> [2023] FCAFC 162</w:t>
      </w:r>
      <w:r w:rsidR="007F51D4">
        <w:t>, in particular the reasoning of Beach J</w:t>
      </w:r>
      <w:r w:rsidR="00E62C0C">
        <w:t xml:space="preserve"> from </w:t>
      </w:r>
      <w:r w:rsidR="00373DBA">
        <w:t>[95] to [105]</w:t>
      </w:r>
      <w:r w:rsidR="00B5231D">
        <w:t xml:space="preserve">, and </w:t>
      </w:r>
      <w:r w:rsidR="00DF00A1">
        <w:t xml:space="preserve">to the decision </w:t>
      </w:r>
      <w:r w:rsidR="00F50698">
        <w:t xml:space="preserve">of Button J in </w:t>
      </w:r>
      <w:r w:rsidR="00F50698" w:rsidRPr="00CB65C1">
        <w:rPr>
          <w:i/>
          <w:iCs/>
        </w:rPr>
        <w:t>Ewok Pty Ltd as trustee for the E &amp; E Magee Superannuation Fund v Wellard Limited</w:t>
      </w:r>
      <w:r w:rsidR="00F50698" w:rsidRPr="00CB65C1">
        <w:t xml:space="preserve"> [2024] FCA 296</w:t>
      </w:r>
      <w:r w:rsidR="00C51D90">
        <w:t>, particularly at [85] and [88].</w:t>
      </w:r>
    </w:p>
    <w:p w14:paraId="2D3C7128" w14:textId="1C552A95" w:rsidR="00C26D7A" w:rsidRDefault="00B6500C" w:rsidP="00B6500C">
      <w:pPr>
        <w:pStyle w:val="ParaNumbering"/>
        <w:numPr>
          <w:ilvl w:val="0"/>
          <w:numId w:val="0"/>
        </w:numPr>
        <w:ind w:hanging="720"/>
      </w:pPr>
      <w:r>
        <w:rPr>
          <w:iCs/>
          <w:sz w:val="20"/>
        </w:rPr>
        <w:t>187</w:t>
      </w:r>
      <w:r>
        <w:rPr>
          <w:iCs/>
          <w:sz w:val="20"/>
        </w:rPr>
        <w:tab/>
      </w:r>
      <w:r w:rsidR="00531C8A">
        <w:t xml:space="preserve">None of these cases dealt </w:t>
      </w:r>
      <w:r w:rsidR="00C26D7A">
        <w:t xml:space="preserve">directly </w:t>
      </w:r>
      <w:r w:rsidR="00531C8A">
        <w:t>with</w:t>
      </w:r>
      <w:r w:rsidR="004A0D54">
        <w:t xml:space="preserve"> the </w:t>
      </w:r>
      <w:r w:rsidR="00CD43B8">
        <w:t xml:space="preserve">question of whether it was </w:t>
      </w:r>
      <w:r w:rsidR="00CD113A">
        <w:t>“</w:t>
      </w:r>
      <w:r w:rsidR="00CD43B8">
        <w:t>just</w:t>
      </w:r>
      <w:r w:rsidR="00CD113A">
        <w:t>”</w:t>
      </w:r>
      <w:r w:rsidR="00243647">
        <w:t xml:space="preserve"> within the meaning of s 33V(2) of the FCA Act</w:t>
      </w:r>
      <w:r w:rsidR="00CD43B8">
        <w:t xml:space="preserve"> to </w:t>
      </w:r>
      <w:r w:rsidR="00243647">
        <w:t xml:space="preserve">make an order in favour of a litigation funder for legal costs </w:t>
      </w:r>
      <w:r w:rsidR="00930064">
        <w:t>and disbursements paid to solicitors in the context of commencing and</w:t>
      </w:r>
      <w:r w:rsidR="00611CE4">
        <w:t>, for a time, pursuing representative proceedings</w:t>
      </w:r>
      <w:r w:rsidR="00C26D7A">
        <w:t xml:space="preserve"> which are then stayed after a carriage dispute</w:t>
      </w:r>
      <w:r w:rsidR="00611CE4">
        <w:t xml:space="preserve">. </w:t>
      </w:r>
    </w:p>
    <w:p w14:paraId="577F6004" w14:textId="24062F66" w:rsidR="00C51D90" w:rsidRDefault="00B6500C" w:rsidP="00B6500C">
      <w:pPr>
        <w:pStyle w:val="ParaNumbering"/>
        <w:numPr>
          <w:ilvl w:val="0"/>
          <w:numId w:val="0"/>
        </w:numPr>
        <w:ind w:hanging="720"/>
      </w:pPr>
      <w:r>
        <w:rPr>
          <w:iCs/>
          <w:sz w:val="20"/>
        </w:rPr>
        <w:t>188</w:t>
      </w:r>
      <w:r>
        <w:rPr>
          <w:iCs/>
          <w:sz w:val="20"/>
        </w:rPr>
        <w:tab/>
      </w:r>
      <w:r w:rsidR="003849F2">
        <w:t xml:space="preserve">The issue was addressed under the heading </w:t>
      </w:r>
      <w:r w:rsidR="00CD113A">
        <w:t>“</w:t>
      </w:r>
      <w:r w:rsidR="003849F2">
        <w:t>Pre-Multiplicity Dispute Costs</w:t>
      </w:r>
      <w:r w:rsidR="00CD113A">
        <w:t>”</w:t>
      </w:r>
      <w:r w:rsidR="003849F2">
        <w:t xml:space="preserve"> by Lee J in</w:t>
      </w:r>
      <w:r w:rsidR="003849F2" w:rsidRPr="008D0B51">
        <w:t xml:space="preserve"> </w:t>
      </w:r>
      <w:r w:rsidR="008D0B51" w:rsidRPr="00CB65C1">
        <w:rPr>
          <w:i/>
          <w:iCs/>
        </w:rPr>
        <w:t xml:space="preserve">Perera v </w:t>
      </w:r>
      <w:proofErr w:type="spellStart"/>
      <w:r w:rsidR="008D0B51" w:rsidRPr="00CB65C1">
        <w:rPr>
          <w:i/>
          <w:iCs/>
        </w:rPr>
        <w:t>GetSwift</w:t>
      </w:r>
      <w:proofErr w:type="spellEnd"/>
      <w:r w:rsidR="008D0B51" w:rsidRPr="00CB65C1">
        <w:rPr>
          <w:i/>
          <w:iCs/>
        </w:rPr>
        <w:t xml:space="preserve"> Limited (No 2)</w:t>
      </w:r>
      <w:r w:rsidR="008D0B51" w:rsidRPr="00CB65C1">
        <w:t xml:space="preserve"> [2018] FCA 909</w:t>
      </w:r>
      <w:r w:rsidR="00BB0705">
        <w:t xml:space="preserve"> </w:t>
      </w:r>
      <w:r w:rsidR="007C1E30">
        <w:t>(</w:t>
      </w:r>
      <w:proofErr w:type="spellStart"/>
      <w:r w:rsidR="007C1E30">
        <w:rPr>
          <w:b/>
          <w:bCs/>
          <w:i/>
          <w:iCs/>
        </w:rPr>
        <w:t>GetSwift</w:t>
      </w:r>
      <w:proofErr w:type="spellEnd"/>
      <w:r w:rsidR="007C1E30">
        <w:rPr>
          <w:b/>
          <w:bCs/>
          <w:i/>
          <w:iCs/>
        </w:rPr>
        <w:t xml:space="preserve"> (</w:t>
      </w:r>
      <w:r w:rsidR="007159E5">
        <w:rPr>
          <w:b/>
          <w:bCs/>
          <w:i/>
          <w:iCs/>
        </w:rPr>
        <w:t>No 2</w:t>
      </w:r>
      <w:r w:rsidR="007159E5">
        <w:t xml:space="preserve">) </w:t>
      </w:r>
      <w:r w:rsidR="00BB0705">
        <w:t>at [28] to [35].</w:t>
      </w:r>
    </w:p>
    <w:p w14:paraId="5B9091C3" w14:textId="2048CDA6" w:rsidR="00EC0AF6" w:rsidRDefault="00B6500C" w:rsidP="00B6500C">
      <w:pPr>
        <w:pStyle w:val="ParaNumbering"/>
        <w:numPr>
          <w:ilvl w:val="0"/>
          <w:numId w:val="0"/>
        </w:numPr>
        <w:ind w:hanging="720"/>
      </w:pPr>
      <w:r>
        <w:rPr>
          <w:iCs/>
          <w:sz w:val="20"/>
        </w:rPr>
        <w:t>189</w:t>
      </w:r>
      <w:r>
        <w:rPr>
          <w:iCs/>
          <w:sz w:val="20"/>
        </w:rPr>
        <w:tab/>
      </w:r>
      <w:r w:rsidR="003B4532">
        <w:t>Section 33V(2) contains a wide judicial discretion</w:t>
      </w:r>
      <w:r w:rsidR="008E0C71">
        <w:t xml:space="preserve">. The only express requirement apart from justness is that the orders be </w:t>
      </w:r>
      <w:r w:rsidR="00CD113A">
        <w:t>“</w:t>
      </w:r>
      <w:r w:rsidR="008E0C71">
        <w:t>with respect to the distribution of any money paid under a settlement</w:t>
      </w:r>
      <w:r w:rsidR="00CD113A">
        <w:t>”</w:t>
      </w:r>
      <w:r w:rsidR="005D5BCC">
        <w:t xml:space="preserve">. </w:t>
      </w:r>
    </w:p>
    <w:p w14:paraId="6CEDE25E" w14:textId="44738F2F" w:rsidR="003834BD" w:rsidRDefault="00B6500C" w:rsidP="00B6500C">
      <w:pPr>
        <w:pStyle w:val="ParaNumbering"/>
        <w:numPr>
          <w:ilvl w:val="0"/>
          <w:numId w:val="0"/>
        </w:numPr>
        <w:ind w:hanging="720"/>
      </w:pPr>
      <w:r>
        <w:rPr>
          <w:iCs/>
          <w:sz w:val="20"/>
        </w:rPr>
        <w:t>190</w:t>
      </w:r>
      <w:r>
        <w:rPr>
          <w:iCs/>
          <w:sz w:val="20"/>
        </w:rPr>
        <w:tab/>
      </w:r>
      <w:r w:rsidR="00E2248C">
        <w:t xml:space="preserve">In determining what is </w:t>
      </w:r>
      <w:r w:rsidR="00CD113A">
        <w:t>“</w:t>
      </w:r>
      <w:r w:rsidR="00E2248C">
        <w:t>just</w:t>
      </w:r>
      <w:r w:rsidR="00CD113A">
        <w:t>”</w:t>
      </w:r>
      <w:r w:rsidR="002A2073">
        <w:t>, it is relevant to consider</w:t>
      </w:r>
      <w:r w:rsidR="006C361E">
        <w:t>:</w:t>
      </w:r>
      <w:r w:rsidR="002A2073">
        <w:t xml:space="preserve"> whether </w:t>
      </w:r>
      <w:r w:rsidR="00D12CF7">
        <w:t xml:space="preserve">the cost was incurred with the object of benefitting </w:t>
      </w:r>
      <w:r w:rsidR="002A2073">
        <w:t>group members</w:t>
      </w:r>
      <w:r w:rsidR="00AD489F">
        <w:t>;</w:t>
      </w:r>
      <w:r w:rsidR="00D12CF7">
        <w:t xml:space="preserve"> whether a </w:t>
      </w:r>
      <w:r w:rsidR="002A2073">
        <w:t xml:space="preserve">benefit </w:t>
      </w:r>
      <w:r w:rsidR="00D12CF7">
        <w:t xml:space="preserve">to group members was obtained </w:t>
      </w:r>
      <w:r w:rsidR="002A2073">
        <w:t>from the work</w:t>
      </w:r>
      <w:r w:rsidR="00653477">
        <w:t>;</w:t>
      </w:r>
      <w:r w:rsidR="002A2073">
        <w:t xml:space="preserve"> </w:t>
      </w:r>
      <w:r w:rsidR="00D12CF7">
        <w:t>whether a</w:t>
      </w:r>
      <w:r w:rsidR="007A52E2">
        <w:t>ny</w:t>
      </w:r>
      <w:r w:rsidR="00A603A5">
        <w:t xml:space="preserve"> benefit endured</w:t>
      </w:r>
      <w:r w:rsidR="002A2073">
        <w:t xml:space="preserve">. </w:t>
      </w:r>
      <w:r w:rsidR="00A603A5">
        <w:t xml:space="preserve">There is no reason why </w:t>
      </w:r>
      <w:r w:rsidR="007A52E2">
        <w:t>each of these matters might not be potentially relevant in a given case</w:t>
      </w:r>
      <w:r w:rsidR="005A5792">
        <w:t xml:space="preserve">, in particular where recovery in respect of the work </w:t>
      </w:r>
      <w:r w:rsidR="005A5792">
        <w:lastRenderedPageBreak/>
        <w:t>would not result in group members</w:t>
      </w:r>
      <w:r w:rsidR="004E04FD">
        <w:t xml:space="preserve"> paying twice (or more) for substantially the same work</w:t>
      </w:r>
      <w:r w:rsidR="007A52E2">
        <w:t xml:space="preserve">. </w:t>
      </w:r>
      <w:r w:rsidR="00813C5F">
        <w:t>The significance will depend on the particular circumstances.</w:t>
      </w:r>
      <w:r w:rsidR="000D60D7">
        <w:t xml:space="preserve"> The strongest case for it to be </w:t>
      </w:r>
      <w:r w:rsidR="00CD113A">
        <w:t>“</w:t>
      </w:r>
      <w:r w:rsidR="000D60D7">
        <w:t>just</w:t>
      </w:r>
      <w:r w:rsidR="00CD113A">
        <w:t>”</w:t>
      </w:r>
      <w:r w:rsidR="000D60D7">
        <w:t xml:space="preserve"> to </w:t>
      </w:r>
      <w:r w:rsidR="0091471E">
        <w:t>make an order</w:t>
      </w:r>
      <w:r w:rsidR="0010097B">
        <w:t xml:space="preserve"> under s 33v(2) of the FCA Act</w:t>
      </w:r>
      <w:r w:rsidR="0091471E">
        <w:t xml:space="preserve"> is where the outlays</w:t>
      </w:r>
      <w:r w:rsidR="00173B1D">
        <w:t xml:space="preserve"> in connection with the stayed proceeding</w:t>
      </w:r>
      <w:r w:rsidR="0091471E">
        <w:t xml:space="preserve"> created a</w:t>
      </w:r>
      <w:r w:rsidR="005903D9">
        <w:t xml:space="preserve">n enduring </w:t>
      </w:r>
      <w:r w:rsidR="0091471E">
        <w:t>benefit for group members</w:t>
      </w:r>
      <w:r w:rsidR="003A6DB2">
        <w:t xml:space="preserve"> in the other proceeding</w:t>
      </w:r>
      <w:r w:rsidR="00670A20">
        <w:t>.</w:t>
      </w:r>
    </w:p>
    <w:p w14:paraId="27E039F6" w14:textId="5B9A2B14" w:rsidR="00F65A92" w:rsidRDefault="00B6500C" w:rsidP="00B6500C">
      <w:pPr>
        <w:pStyle w:val="ParaNumbering"/>
        <w:numPr>
          <w:ilvl w:val="0"/>
          <w:numId w:val="0"/>
        </w:numPr>
        <w:ind w:hanging="720"/>
      </w:pPr>
      <w:r>
        <w:rPr>
          <w:iCs/>
          <w:sz w:val="20"/>
        </w:rPr>
        <w:t>191</w:t>
      </w:r>
      <w:r>
        <w:rPr>
          <w:iCs/>
          <w:sz w:val="20"/>
        </w:rPr>
        <w:tab/>
      </w:r>
      <w:r w:rsidR="003A6DB2">
        <w:t>Also relevant is</w:t>
      </w:r>
      <w:r w:rsidR="002A2073">
        <w:t xml:space="preserve"> the fact that the funder </w:t>
      </w:r>
      <w:r w:rsidR="00C3722A">
        <w:t xml:space="preserve">is not acting altogether </w:t>
      </w:r>
      <w:r w:rsidR="000F6509">
        <w:t xml:space="preserve">– or perhaps even predominantly – </w:t>
      </w:r>
      <w:r w:rsidR="00C3722A">
        <w:t>altruistically</w:t>
      </w:r>
      <w:r w:rsidR="007E6556">
        <w:t>. The funder is</w:t>
      </w:r>
      <w:r w:rsidR="002A2073">
        <w:t xml:space="preserve"> pursuing </w:t>
      </w:r>
      <w:r w:rsidR="00C3722A">
        <w:t>its own business</w:t>
      </w:r>
      <w:r w:rsidR="00325785">
        <w:t xml:space="preserve"> and commercial gain. </w:t>
      </w:r>
      <w:r w:rsidR="007E6556">
        <w:t xml:space="preserve">That involves costs, including costs in the nature of sunk costs. </w:t>
      </w:r>
      <w:r w:rsidR="00F65A92">
        <w:t xml:space="preserve">Funders </w:t>
      </w:r>
      <w:r w:rsidR="00091DB3">
        <w:t>must be</w:t>
      </w:r>
      <w:r w:rsidR="00F65A92">
        <w:t xml:space="preserve"> well aware that </w:t>
      </w:r>
      <w:r w:rsidR="00091DB3">
        <w:t xml:space="preserve">the costs expended might not be recovered if the litigation commenced is stayed </w:t>
      </w:r>
      <w:r w:rsidR="000A04CA">
        <w:t xml:space="preserve">as a result of a carriage dispute </w:t>
      </w:r>
      <w:r w:rsidR="00091DB3">
        <w:t xml:space="preserve">– see: </w:t>
      </w:r>
      <w:r w:rsidR="00064B20" w:rsidRPr="00CB65C1">
        <w:rPr>
          <w:i/>
          <w:iCs/>
        </w:rPr>
        <w:t xml:space="preserve">Perera v </w:t>
      </w:r>
      <w:proofErr w:type="spellStart"/>
      <w:r w:rsidR="00064B20" w:rsidRPr="00CB65C1">
        <w:rPr>
          <w:b/>
          <w:bCs/>
          <w:i/>
          <w:iCs/>
        </w:rPr>
        <w:t>GetSwift</w:t>
      </w:r>
      <w:proofErr w:type="spellEnd"/>
      <w:r w:rsidR="00064B20" w:rsidRPr="00CB65C1">
        <w:rPr>
          <w:i/>
          <w:iCs/>
        </w:rPr>
        <w:t xml:space="preserve"> Limited</w:t>
      </w:r>
      <w:r w:rsidR="00064B20" w:rsidRPr="00CB65C1">
        <w:t xml:space="preserve"> [2018] FCA 732</w:t>
      </w:r>
      <w:r w:rsidR="00FA3B67" w:rsidRPr="00CB65C1">
        <w:t>; 263 FC</w:t>
      </w:r>
      <w:r w:rsidR="00E550DF" w:rsidRPr="00CB65C1">
        <w:t>R</w:t>
      </w:r>
      <w:r w:rsidR="00FA3B67" w:rsidRPr="00CB65C1">
        <w:t xml:space="preserve"> 1</w:t>
      </w:r>
      <w:r w:rsidR="00064B20">
        <w:t xml:space="preserve"> at [323]</w:t>
      </w:r>
      <w:r w:rsidR="00FA3B67">
        <w:t xml:space="preserve">; </w:t>
      </w:r>
      <w:proofErr w:type="spellStart"/>
      <w:r w:rsidR="00FA3B67">
        <w:rPr>
          <w:i/>
          <w:iCs/>
        </w:rPr>
        <w:t>Getswift</w:t>
      </w:r>
      <w:proofErr w:type="spellEnd"/>
      <w:r w:rsidR="00FA3B67">
        <w:rPr>
          <w:i/>
          <w:iCs/>
        </w:rPr>
        <w:t xml:space="preserve"> (No 2)</w:t>
      </w:r>
      <w:r w:rsidR="00FA3B67">
        <w:t xml:space="preserve"> at [33]</w:t>
      </w:r>
      <w:r w:rsidR="00F24F21">
        <w:t>.</w:t>
      </w:r>
    </w:p>
    <w:p w14:paraId="14603E2C" w14:textId="74FAFBC8" w:rsidR="008A7DF9" w:rsidRDefault="00B6500C" w:rsidP="00B6500C">
      <w:pPr>
        <w:pStyle w:val="ParaNumbering"/>
        <w:numPr>
          <w:ilvl w:val="0"/>
          <w:numId w:val="0"/>
        </w:numPr>
        <w:ind w:hanging="720"/>
      </w:pPr>
      <w:r>
        <w:rPr>
          <w:iCs/>
          <w:sz w:val="20"/>
        </w:rPr>
        <w:t>192</w:t>
      </w:r>
      <w:r>
        <w:rPr>
          <w:iCs/>
          <w:sz w:val="20"/>
        </w:rPr>
        <w:tab/>
      </w:r>
      <w:r w:rsidR="00325785">
        <w:t xml:space="preserve">In this case, Balance must have known that it was likely to face a carriage motion. It took steps </w:t>
      </w:r>
      <w:r w:rsidR="00E4494E">
        <w:t xml:space="preserve">in pursuit of its own commercial interests, in substance </w:t>
      </w:r>
      <w:r w:rsidR="00325785">
        <w:t xml:space="preserve">in competition </w:t>
      </w:r>
      <w:r w:rsidR="00F14AEF">
        <w:t>with</w:t>
      </w:r>
      <w:r w:rsidR="00893B52">
        <w:t xml:space="preserve"> </w:t>
      </w:r>
      <w:r w:rsidR="00CE482B">
        <w:t>Shine</w:t>
      </w:r>
      <w:r w:rsidR="00511EE0">
        <w:t>, including commencing proceedings</w:t>
      </w:r>
      <w:r w:rsidR="00512E76">
        <w:t>.</w:t>
      </w:r>
      <w:r w:rsidR="00D7452F">
        <w:t xml:space="preserve"> In this case, it was only two</w:t>
      </w:r>
      <w:r w:rsidR="00FF06D7">
        <w:t xml:space="preserve"> </w:t>
      </w:r>
      <w:r w:rsidR="005649C6">
        <w:t>players in the competition to bring the class action, but in other cases it is more.</w:t>
      </w:r>
      <w:r w:rsidR="00E16307">
        <w:t xml:space="preserve"> </w:t>
      </w:r>
      <w:r w:rsidR="00F224E1">
        <w:t xml:space="preserve">Balance must </w:t>
      </w:r>
      <w:r w:rsidR="00810D1E">
        <w:t xml:space="preserve">also </w:t>
      </w:r>
      <w:r w:rsidR="00F224E1">
        <w:t xml:space="preserve">have </w:t>
      </w:r>
      <w:r w:rsidR="00D2429F">
        <w:t>known</w:t>
      </w:r>
      <w:r w:rsidR="00F224E1">
        <w:t xml:space="preserve"> that </w:t>
      </w:r>
      <w:r w:rsidR="003040FF">
        <w:t xml:space="preserve">the work it instructed be undertaken </w:t>
      </w:r>
      <w:r w:rsidR="00D2429F">
        <w:t>was likely</w:t>
      </w:r>
      <w:r w:rsidR="003040FF">
        <w:t>, in various respects,</w:t>
      </w:r>
      <w:r w:rsidR="00D2429F">
        <w:t xml:space="preserve"> to be duplicative of work being undertaken by </w:t>
      </w:r>
      <w:r w:rsidR="00CE482B">
        <w:t>Shine</w:t>
      </w:r>
      <w:r w:rsidR="003040FF">
        <w:t xml:space="preserve"> or work which it was likely would be necessary to be undertaken</w:t>
      </w:r>
      <w:r w:rsidR="00C935A6">
        <w:t xml:space="preserve">. </w:t>
      </w:r>
    </w:p>
    <w:p w14:paraId="4D44E47C" w14:textId="50CD747F" w:rsidR="00226609" w:rsidRDefault="00B6500C" w:rsidP="00B6500C">
      <w:pPr>
        <w:pStyle w:val="ParaNumbering"/>
        <w:numPr>
          <w:ilvl w:val="0"/>
          <w:numId w:val="0"/>
        </w:numPr>
        <w:ind w:hanging="720"/>
      </w:pPr>
      <w:r>
        <w:rPr>
          <w:iCs/>
          <w:sz w:val="20"/>
        </w:rPr>
        <w:t>193</w:t>
      </w:r>
      <w:r>
        <w:rPr>
          <w:iCs/>
          <w:sz w:val="20"/>
        </w:rPr>
        <w:tab/>
      </w:r>
      <w:r w:rsidR="00E16307">
        <w:t xml:space="preserve">There is nothing unjust in </w:t>
      </w:r>
      <w:r w:rsidR="00F5185C">
        <w:t xml:space="preserve">funders </w:t>
      </w:r>
      <w:r w:rsidR="00C553F4">
        <w:t xml:space="preserve">wearing costs </w:t>
      </w:r>
      <w:r w:rsidR="00DD5602">
        <w:t xml:space="preserve">expended in their own pursuit of a commercial gain in circumstances such as the present. </w:t>
      </w:r>
      <w:r w:rsidR="00F14AEF">
        <w:t>And there is much which would be unjust in visiting the costs of unsu</w:t>
      </w:r>
      <w:r w:rsidR="00DE6BA4">
        <w:t>ccessful funders on group members</w:t>
      </w:r>
      <w:r w:rsidR="002407EA">
        <w:t>, particularly where there are many unsuccessful funders</w:t>
      </w:r>
      <w:r w:rsidR="00DE6BA4">
        <w:t xml:space="preserve">. </w:t>
      </w:r>
      <w:r w:rsidR="00F06A5F">
        <w:t>For</w:t>
      </w:r>
      <w:r w:rsidR="00DE6BA4">
        <w:t xml:space="preserve"> example, </w:t>
      </w:r>
      <w:r w:rsidR="00F06A5F">
        <w:t>it is difficult to think why it would be</w:t>
      </w:r>
      <w:r w:rsidR="00DE6BA4">
        <w:t xml:space="preserve"> </w:t>
      </w:r>
      <w:r w:rsidR="00CD113A">
        <w:t>“</w:t>
      </w:r>
      <w:r w:rsidR="00DE6BA4">
        <w:t>just</w:t>
      </w:r>
      <w:r w:rsidR="00CD113A">
        <w:t>”</w:t>
      </w:r>
      <w:r w:rsidR="00DE6BA4">
        <w:t xml:space="preserve"> for group members to pay for </w:t>
      </w:r>
      <w:r w:rsidR="00FF6B8E">
        <w:t xml:space="preserve">all the investigations and </w:t>
      </w:r>
      <w:r w:rsidR="00DE6BA4">
        <w:t xml:space="preserve">each of the statements of claim filed in </w:t>
      </w:r>
      <w:r w:rsidR="00F06A5F">
        <w:t>numerous</w:t>
      </w:r>
      <w:r w:rsidR="00DE6BA4">
        <w:t xml:space="preserve"> </w:t>
      </w:r>
      <w:r w:rsidR="00F06A5F">
        <w:t xml:space="preserve">stayed </w:t>
      </w:r>
      <w:r w:rsidR="00DE6BA4">
        <w:t>class action</w:t>
      </w:r>
      <w:r w:rsidR="00F06A5F">
        <w:t>s.</w:t>
      </w:r>
      <w:r w:rsidR="004F0EB1">
        <w:t xml:space="preserve"> That would result in </w:t>
      </w:r>
      <w:r w:rsidR="008C0100">
        <w:t xml:space="preserve">group members </w:t>
      </w:r>
      <w:r w:rsidR="004F0EB1">
        <w:t>paying for substantially the same work a number of times, when the work was undertaken</w:t>
      </w:r>
      <w:r w:rsidR="00A5098B">
        <w:t xml:space="preserve"> by the funders </w:t>
      </w:r>
      <w:r w:rsidR="008C0100">
        <w:t>with eyes open</w:t>
      </w:r>
      <w:r w:rsidR="00A5098B">
        <w:t>, in substantial part</w:t>
      </w:r>
      <w:r w:rsidR="008C0100">
        <w:t xml:space="preserve"> </w:t>
      </w:r>
      <w:r w:rsidR="004F0EB1">
        <w:t>in</w:t>
      </w:r>
      <w:r w:rsidR="008C0100">
        <w:t xml:space="preserve"> </w:t>
      </w:r>
      <w:r w:rsidR="004F0EB1">
        <w:t>pursuit</w:t>
      </w:r>
      <w:r w:rsidR="008C0100">
        <w:t xml:space="preserve"> of a commercial opportunity.</w:t>
      </w:r>
      <w:r w:rsidR="0065552F">
        <w:t xml:space="preserve"> No doubt this is taken into account by litigation funders in setting their fees.</w:t>
      </w:r>
    </w:p>
    <w:p w14:paraId="474B23CF" w14:textId="6712A193" w:rsidR="002E0E5F" w:rsidRDefault="00B6500C" w:rsidP="00B6500C">
      <w:pPr>
        <w:pStyle w:val="ParaNumbering"/>
        <w:numPr>
          <w:ilvl w:val="0"/>
          <w:numId w:val="0"/>
        </w:numPr>
        <w:ind w:hanging="720"/>
      </w:pPr>
      <w:r>
        <w:rPr>
          <w:iCs/>
          <w:sz w:val="20"/>
        </w:rPr>
        <w:t>194</w:t>
      </w:r>
      <w:r>
        <w:rPr>
          <w:iCs/>
          <w:sz w:val="20"/>
        </w:rPr>
        <w:tab/>
      </w:r>
      <w:r w:rsidR="009F4A62">
        <w:t>I</w:t>
      </w:r>
      <w:r w:rsidR="00DD5602">
        <w:t xml:space="preserve">t may be accepted that </w:t>
      </w:r>
      <w:r w:rsidR="00C45F99">
        <w:t xml:space="preserve">there </w:t>
      </w:r>
      <w:r w:rsidR="00694524">
        <w:t xml:space="preserve">will </w:t>
      </w:r>
      <w:r w:rsidR="00C45F99">
        <w:t>be circumstances in which it</w:t>
      </w:r>
      <w:r w:rsidR="00DD5602">
        <w:t xml:space="preserve"> would be </w:t>
      </w:r>
      <w:r w:rsidR="00CD113A">
        <w:t>“</w:t>
      </w:r>
      <w:r w:rsidR="00DD5602">
        <w:t>just</w:t>
      </w:r>
      <w:r w:rsidR="00CD113A">
        <w:t>”</w:t>
      </w:r>
      <w:r w:rsidR="00DD5602">
        <w:t xml:space="preserve"> to order costs</w:t>
      </w:r>
      <w:r w:rsidR="002E0E5F">
        <w:t>. An obvious case is</w:t>
      </w:r>
      <w:r w:rsidR="00DD5602">
        <w:t xml:space="preserve"> </w:t>
      </w:r>
      <w:r w:rsidR="002E0E5F">
        <w:t>where</w:t>
      </w:r>
      <w:r w:rsidR="00DD5602">
        <w:t xml:space="preserve"> there </w:t>
      </w:r>
      <w:r w:rsidR="00E374FD">
        <w:t>w</w:t>
      </w:r>
      <w:r w:rsidR="00AF4731">
        <w:t>as a</w:t>
      </w:r>
      <w:r w:rsidR="00DD5602">
        <w:t xml:space="preserve"> benefit obtained by group members</w:t>
      </w:r>
      <w:r w:rsidR="008A7B58">
        <w:t xml:space="preserve"> from the funder</w:t>
      </w:r>
      <w:r w:rsidR="00CD113A">
        <w:t>’</w:t>
      </w:r>
      <w:r w:rsidR="0045756F">
        <w:t>s activities</w:t>
      </w:r>
      <w:r w:rsidR="001B646F">
        <w:t>,</w:t>
      </w:r>
      <w:r w:rsidR="00226609">
        <w:t xml:space="preserve"> particularly where the</w:t>
      </w:r>
      <w:r w:rsidR="008D20F2">
        <w:t xml:space="preserve"> work was not duplicative and the</w:t>
      </w:r>
      <w:r w:rsidR="00226609">
        <w:t xml:space="preserve"> benefit </w:t>
      </w:r>
      <w:r w:rsidR="008D20F2">
        <w:t xml:space="preserve">derived by group members </w:t>
      </w:r>
      <w:r w:rsidR="008C022D">
        <w:t>is enduring</w:t>
      </w:r>
      <w:r w:rsidR="00DD5602">
        <w:t>.</w:t>
      </w:r>
      <w:r w:rsidR="00302C69">
        <w:t xml:space="preserve"> </w:t>
      </w:r>
    </w:p>
    <w:p w14:paraId="10C3F61C" w14:textId="03B58DEE" w:rsidR="008A0227" w:rsidRDefault="00B6500C" w:rsidP="00B6500C">
      <w:pPr>
        <w:pStyle w:val="ParaNumbering"/>
        <w:numPr>
          <w:ilvl w:val="0"/>
          <w:numId w:val="0"/>
        </w:numPr>
        <w:ind w:hanging="720"/>
      </w:pPr>
      <w:r>
        <w:rPr>
          <w:iCs/>
          <w:sz w:val="20"/>
        </w:rPr>
        <w:t>195</w:t>
      </w:r>
      <w:r>
        <w:rPr>
          <w:iCs/>
          <w:sz w:val="20"/>
        </w:rPr>
        <w:tab/>
      </w:r>
      <w:r w:rsidR="00302C69">
        <w:t xml:space="preserve">The funder bears the onus of establishing </w:t>
      </w:r>
      <w:r w:rsidR="00340DA0">
        <w:t>that the order sought under s 33V(2)</w:t>
      </w:r>
      <w:r w:rsidR="001B646F">
        <w:t xml:space="preserve"> of the FCA Act</w:t>
      </w:r>
      <w:r w:rsidR="00340DA0">
        <w:t xml:space="preserve"> is just. </w:t>
      </w:r>
    </w:p>
    <w:p w14:paraId="78227336" w14:textId="445F257F" w:rsidR="00375EA8" w:rsidRDefault="00CE6C93" w:rsidP="00CE6C93">
      <w:pPr>
        <w:pStyle w:val="Heading3"/>
      </w:pPr>
      <w:r>
        <w:lastRenderedPageBreak/>
        <w:t>The Wright Report</w:t>
      </w:r>
    </w:p>
    <w:p w14:paraId="61F89253" w14:textId="3060915E" w:rsidR="00F246B4" w:rsidRDefault="00B6500C" w:rsidP="00B6500C">
      <w:pPr>
        <w:pStyle w:val="ParaNumbering"/>
        <w:numPr>
          <w:ilvl w:val="0"/>
          <w:numId w:val="0"/>
        </w:numPr>
        <w:ind w:hanging="720"/>
      </w:pPr>
      <w:r>
        <w:rPr>
          <w:iCs/>
          <w:sz w:val="20"/>
        </w:rPr>
        <w:t>196</w:t>
      </w:r>
      <w:r>
        <w:rPr>
          <w:iCs/>
          <w:sz w:val="20"/>
        </w:rPr>
        <w:tab/>
      </w:r>
      <w:r w:rsidR="006814D8">
        <w:t xml:space="preserve">The applicant in the Watson Proceeding accepted that </w:t>
      </w:r>
      <w:r w:rsidR="002D23E2">
        <w:t>the report which was prepared by Ms</w:t>
      </w:r>
      <w:r w:rsidR="00A23C79">
        <w:t> </w:t>
      </w:r>
      <w:r w:rsidR="002D23E2">
        <w:t>Wright ha</w:t>
      </w:r>
      <w:r w:rsidR="009534B7">
        <w:t>s</w:t>
      </w:r>
      <w:r w:rsidR="002D23E2">
        <w:t xml:space="preserve"> been of assistance to the group members in the Watson Proceeding</w:t>
      </w:r>
      <w:r w:rsidR="0067115F">
        <w:t xml:space="preserve"> and accepted that those costs were </w:t>
      </w:r>
      <w:r w:rsidR="00CD113A">
        <w:t>“</w:t>
      </w:r>
      <w:r w:rsidR="0067115F">
        <w:t>properly recovered</w:t>
      </w:r>
      <w:r w:rsidR="00CD113A">
        <w:t>”</w:t>
      </w:r>
      <w:r w:rsidR="001A0CDA">
        <w:t xml:space="preserve"> by Balance because it was work that was done, and endured, for the benefit of </w:t>
      </w:r>
      <w:r w:rsidR="004831A9">
        <w:t xml:space="preserve">group members in the Watson Proceeding: T74.26-31. </w:t>
      </w:r>
      <w:r w:rsidR="007B54A2">
        <w:t>The</w:t>
      </w:r>
      <w:r w:rsidR="007B54A2">
        <w:rPr>
          <w:spacing w:val="-8"/>
        </w:rPr>
        <w:t xml:space="preserve"> </w:t>
      </w:r>
      <w:r w:rsidR="007B54A2">
        <w:t>applicant</w:t>
      </w:r>
      <w:r w:rsidR="007B54A2">
        <w:rPr>
          <w:spacing w:val="-9"/>
        </w:rPr>
        <w:t xml:space="preserve"> </w:t>
      </w:r>
      <w:r w:rsidR="007B54A2">
        <w:t>in the</w:t>
      </w:r>
      <w:r w:rsidR="007B54A2">
        <w:rPr>
          <w:spacing w:val="-15"/>
        </w:rPr>
        <w:t xml:space="preserve"> </w:t>
      </w:r>
      <w:r w:rsidR="007B54A2">
        <w:t>Watson</w:t>
      </w:r>
      <w:r w:rsidR="007B54A2">
        <w:rPr>
          <w:spacing w:val="-15"/>
        </w:rPr>
        <w:t xml:space="preserve"> </w:t>
      </w:r>
      <w:r w:rsidR="007B54A2">
        <w:t>Proceeding</w:t>
      </w:r>
      <w:r w:rsidR="007B54A2">
        <w:rPr>
          <w:spacing w:val="-15"/>
        </w:rPr>
        <w:t xml:space="preserve"> </w:t>
      </w:r>
      <w:r w:rsidR="007B54A2">
        <w:t>has</w:t>
      </w:r>
      <w:r w:rsidR="007B54A2">
        <w:rPr>
          <w:spacing w:val="-15"/>
        </w:rPr>
        <w:t xml:space="preserve"> </w:t>
      </w:r>
      <w:r w:rsidR="007B54A2">
        <w:t>not</w:t>
      </w:r>
      <w:r w:rsidR="007B54A2">
        <w:rPr>
          <w:spacing w:val="-15"/>
        </w:rPr>
        <w:t xml:space="preserve"> </w:t>
      </w:r>
      <w:r w:rsidR="007B54A2">
        <w:t>had</w:t>
      </w:r>
      <w:r w:rsidR="007B54A2">
        <w:rPr>
          <w:spacing w:val="-15"/>
        </w:rPr>
        <w:t xml:space="preserve"> </w:t>
      </w:r>
      <w:r w:rsidR="007B54A2">
        <w:t>the</w:t>
      </w:r>
      <w:r w:rsidR="007B54A2">
        <w:rPr>
          <w:spacing w:val="-15"/>
        </w:rPr>
        <w:t xml:space="preserve"> </w:t>
      </w:r>
      <w:r w:rsidR="007B54A2">
        <w:t>value</w:t>
      </w:r>
      <w:r w:rsidR="007B54A2">
        <w:rPr>
          <w:spacing w:val="-15"/>
        </w:rPr>
        <w:t xml:space="preserve"> </w:t>
      </w:r>
      <w:r w:rsidR="007B54A2">
        <w:t>of</w:t>
      </w:r>
      <w:r w:rsidR="007B54A2">
        <w:rPr>
          <w:spacing w:val="-15"/>
        </w:rPr>
        <w:t xml:space="preserve"> </w:t>
      </w:r>
      <w:r w:rsidR="007B54A2">
        <w:t>the</w:t>
      </w:r>
      <w:r w:rsidR="007B54A2">
        <w:rPr>
          <w:spacing w:val="-15"/>
        </w:rPr>
        <w:t xml:space="preserve"> </w:t>
      </w:r>
      <w:r w:rsidR="007B54A2">
        <w:t>group</w:t>
      </w:r>
      <w:r w:rsidR="007B54A2">
        <w:rPr>
          <w:spacing w:val="-15"/>
        </w:rPr>
        <w:t xml:space="preserve"> </w:t>
      </w:r>
      <w:r w:rsidR="007B54A2">
        <w:t>member</w:t>
      </w:r>
      <w:r w:rsidR="007B54A2">
        <w:rPr>
          <w:spacing w:val="-15"/>
        </w:rPr>
        <w:t xml:space="preserve"> </w:t>
      </w:r>
      <w:r w:rsidR="007B54A2">
        <w:t>claims</w:t>
      </w:r>
      <w:r w:rsidR="007B54A2">
        <w:rPr>
          <w:spacing w:val="-15"/>
        </w:rPr>
        <w:t xml:space="preserve"> </w:t>
      </w:r>
      <w:r w:rsidR="007B54A2">
        <w:t>independently valued, but has used the Wright Report as one of the bases for valuing group member claims.</w:t>
      </w:r>
      <w:r w:rsidR="008B01F2">
        <w:t xml:space="preserve"> </w:t>
      </w:r>
      <w:r w:rsidR="001E46A7">
        <w:t xml:space="preserve">The </w:t>
      </w:r>
      <w:r w:rsidR="00E35DAC">
        <w:t xml:space="preserve">relevant disbursement was $31,386.30: Harris </w:t>
      </w:r>
      <w:r w:rsidR="0025409A">
        <w:t xml:space="preserve">Affidavit </w:t>
      </w:r>
      <w:r w:rsidR="00E35DAC">
        <w:t>at [31].</w:t>
      </w:r>
    </w:p>
    <w:p w14:paraId="5682167E" w14:textId="168AD99F" w:rsidR="00B84AE0" w:rsidRDefault="00F137DF" w:rsidP="00F137DF">
      <w:pPr>
        <w:pStyle w:val="Heading3"/>
      </w:pPr>
      <w:r>
        <w:t>The MIS</w:t>
      </w:r>
    </w:p>
    <w:p w14:paraId="143D190B" w14:textId="1E229952" w:rsidR="00390DB2" w:rsidRDefault="00B6500C" w:rsidP="00B6500C">
      <w:pPr>
        <w:pStyle w:val="ParaNumbering"/>
        <w:numPr>
          <w:ilvl w:val="0"/>
          <w:numId w:val="0"/>
        </w:numPr>
        <w:ind w:hanging="720"/>
        <w:rPr>
          <w:lang w:val="en-US"/>
        </w:rPr>
      </w:pPr>
      <w:r>
        <w:rPr>
          <w:iCs/>
          <w:sz w:val="20"/>
          <w:lang w:val="en-US"/>
        </w:rPr>
        <w:t>197</w:t>
      </w:r>
      <w:r>
        <w:rPr>
          <w:iCs/>
          <w:sz w:val="20"/>
          <w:lang w:val="en-US"/>
        </w:rPr>
        <w:tab/>
      </w:r>
      <w:r w:rsidR="00390DB2">
        <w:t>The MIS work was undertaken at a time when a MIS was thought to be necessary</w:t>
      </w:r>
      <w:r w:rsidR="008A7DF9">
        <w:t xml:space="preserve"> as part of the funding structure</w:t>
      </w:r>
      <w:r w:rsidR="0003149A">
        <w:t xml:space="preserve"> of a representative proceeding</w:t>
      </w:r>
      <w:r w:rsidR="00390DB2">
        <w:t xml:space="preserve">. On 16 June 2022, a Full Court of this Court held that litigation funding schemes were not managed investment schemes: </w:t>
      </w:r>
      <w:r w:rsidR="00390DB2" w:rsidRPr="00CB65C1">
        <w:rPr>
          <w:i/>
          <w:iCs/>
        </w:rPr>
        <w:t>LCM Funding Pty Ltd v Stanwell Corporation Limited</w:t>
      </w:r>
      <w:r w:rsidR="00390DB2" w:rsidRPr="00CB65C1">
        <w:t xml:space="preserve"> [2022] FCAFC 103; 1</w:t>
      </w:r>
      <w:r w:rsidR="00FE3806" w:rsidRPr="00CB65C1">
        <w:t>60</w:t>
      </w:r>
      <w:r w:rsidR="00390DB2" w:rsidRPr="00CB65C1">
        <w:t xml:space="preserve"> ACSR </w:t>
      </w:r>
      <w:r w:rsidR="00FE3806" w:rsidRPr="00CB65C1">
        <w:t>530</w:t>
      </w:r>
      <w:r w:rsidR="00390DB2">
        <w:t>.</w:t>
      </w:r>
      <w:r w:rsidR="00390DB2" w:rsidRPr="00527D62">
        <w:rPr>
          <w:lang w:val="en-US"/>
        </w:rPr>
        <w:t xml:space="preserve"> </w:t>
      </w:r>
      <w:r w:rsidR="00390DB2" w:rsidRPr="000B5495">
        <w:rPr>
          <w:lang w:val="en-US"/>
        </w:rPr>
        <w:t>CASL applied to ASIC to deregister the Dixon Scheme in October 2022 and the Dixon Scheme was deregistered on 15 January 2023.</w:t>
      </w:r>
    </w:p>
    <w:p w14:paraId="11DD0A92" w14:textId="653ADC4E" w:rsidR="001F4E05" w:rsidRDefault="00B6500C" w:rsidP="00B6500C">
      <w:pPr>
        <w:pStyle w:val="ParaNumbering"/>
        <w:numPr>
          <w:ilvl w:val="0"/>
          <w:numId w:val="0"/>
        </w:numPr>
        <w:ind w:hanging="720"/>
      </w:pPr>
      <w:r>
        <w:rPr>
          <w:iCs/>
          <w:sz w:val="20"/>
        </w:rPr>
        <w:t>198</w:t>
      </w:r>
      <w:r>
        <w:rPr>
          <w:iCs/>
          <w:sz w:val="20"/>
        </w:rPr>
        <w:tab/>
      </w:r>
      <w:r w:rsidR="00C516EE">
        <w:t>I</w:t>
      </w:r>
      <w:r w:rsidR="001F4E05">
        <w:t xml:space="preserve">n my view, </w:t>
      </w:r>
      <w:r w:rsidR="00C516EE">
        <w:t xml:space="preserve">it would not be </w:t>
      </w:r>
      <w:r w:rsidR="00CD113A">
        <w:t>“</w:t>
      </w:r>
      <w:r w:rsidR="00C516EE">
        <w:t>just</w:t>
      </w:r>
      <w:r w:rsidR="00CD113A">
        <w:t>”</w:t>
      </w:r>
      <w:r w:rsidR="00C516EE">
        <w:t xml:space="preserve"> to make an order under s 33V(2)</w:t>
      </w:r>
      <w:r w:rsidR="001F4E05">
        <w:t xml:space="preserve"> </w:t>
      </w:r>
      <w:r w:rsidR="00AA17AB">
        <w:t xml:space="preserve">of the FCA Act </w:t>
      </w:r>
      <w:r w:rsidR="001F4E05">
        <w:t>which resulted in the group members bearing the cost of the structure set up for the Kosen-</w:t>
      </w:r>
      <w:proofErr w:type="spellStart"/>
      <w:r w:rsidR="001F4E05">
        <w:t>Rufu</w:t>
      </w:r>
      <w:proofErr w:type="spellEnd"/>
      <w:r w:rsidR="001F4E05">
        <w:t xml:space="preserve"> Proceeding</w:t>
      </w:r>
      <w:r w:rsidR="00C516EE">
        <w:t xml:space="preserve">. </w:t>
      </w:r>
    </w:p>
    <w:p w14:paraId="2502B880" w14:textId="5A721274" w:rsidR="00A95C7A" w:rsidRDefault="00B6500C" w:rsidP="00B6500C">
      <w:pPr>
        <w:pStyle w:val="ParaNumbering"/>
        <w:numPr>
          <w:ilvl w:val="0"/>
          <w:numId w:val="0"/>
        </w:numPr>
        <w:ind w:hanging="720"/>
      </w:pPr>
      <w:r>
        <w:rPr>
          <w:iCs/>
          <w:sz w:val="20"/>
        </w:rPr>
        <w:t>199</w:t>
      </w:r>
      <w:r>
        <w:rPr>
          <w:iCs/>
          <w:sz w:val="20"/>
        </w:rPr>
        <w:tab/>
      </w:r>
      <w:r w:rsidR="00C516EE">
        <w:t xml:space="preserve">The </w:t>
      </w:r>
      <w:r w:rsidR="001F4E05">
        <w:t xml:space="preserve">MIS </w:t>
      </w:r>
      <w:r w:rsidR="00C516EE">
        <w:t xml:space="preserve">costs </w:t>
      </w:r>
      <w:r w:rsidR="00A808AF">
        <w:t>were</w:t>
      </w:r>
      <w:r w:rsidR="009444FF">
        <w:t xml:space="preserve"> expended in establishing </w:t>
      </w:r>
      <w:r w:rsidR="00D94B82">
        <w:t xml:space="preserve">a part of the structure that was then </w:t>
      </w:r>
      <w:r w:rsidR="00C47C1B">
        <w:t xml:space="preserve">regarded </w:t>
      </w:r>
      <w:r w:rsidR="009444FF">
        <w:t xml:space="preserve">on the law as it stood </w:t>
      </w:r>
      <w:r w:rsidR="00C47C1B">
        <w:t xml:space="preserve">as </w:t>
      </w:r>
      <w:r w:rsidR="00D94B82">
        <w:t xml:space="preserve">necessary </w:t>
      </w:r>
      <w:r w:rsidR="009444FF">
        <w:t>for the anticipated litigation</w:t>
      </w:r>
      <w:r w:rsidR="00C47C1B">
        <w:t xml:space="preserve">. </w:t>
      </w:r>
      <w:r w:rsidR="0019663E">
        <w:t xml:space="preserve">The costs were incurred as part of </w:t>
      </w:r>
      <w:r w:rsidR="00B31D4F">
        <w:t xml:space="preserve">the structure for costs recovery. </w:t>
      </w:r>
      <w:r w:rsidR="00800CC4">
        <w:t xml:space="preserve">The costs of establishing the MIS were incurred at a time when Balance had concerns about the financial capacity of the proposed respondents to meet a judgment against them. </w:t>
      </w:r>
      <w:r w:rsidR="001F4E05">
        <w:t xml:space="preserve">The costs were incurred by Balance at a time when it must have known that it was likely </w:t>
      </w:r>
      <w:r w:rsidR="00ED3AB5">
        <w:t xml:space="preserve">ultimately </w:t>
      </w:r>
      <w:r w:rsidR="001F4E05">
        <w:t>to face a carriage motion.</w:t>
      </w:r>
      <w:r w:rsidR="00983589">
        <w:t xml:space="preserve"> Pre-carriage costs of unsuccessful funders </w:t>
      </w:r>
      <w:r w:rsidR="0075444A">
        <w:t xml:space="preserve">had been treated as sunk costs: </w:t>
      </w:r>
      <w:proofErr w:type="spellStart"/>
      <w:r w:rsidR="0075444A" w:rsidRPr="0075444A">
        <w:rPr>
          <w:i/>
          <w:iCs/>
        </w:rPr>
        <w:t>GetSwift</w:t>
      </w:r>
      <w:proofErr w:type="spellEnd"/>
      <w:r w:rsidR="0075444A" w:rsidRPr="0052102D">
        <w:rPr>
          <w:i/>
          <w:iCs/>
        </w:rPr>
        <w:t xml:space="preserve"> </w:t>
      </w:r>
      <w:r w:rsidR="0075444A">
        <w:t xml:space="preserve">at [323]; </w:t>
      </w:r>
      <w:proofErr w:type="spellStart"/>
      <w:r w:rsidR="0075444A">
        <w:rPr>
          <w:i/>
          <w:iCs/>
        </w:rPr>
        <w:t>Getswift</w:t>
      </w:r>
      <w:proofErr w:type="spellEnd"/>
      <w:r w:rsidR="0075444A">
        <w:rPr>
          <w:i/>
          <w:iCs/>
        </w:rPr>
        <w:t xml:space="preserve"> (No 2)</w:t>
      </w:r>
      <w:r w:rsidR="0075444A">
        <w:t xml:space="preserve"> at [33]. </w:t>
      </w:r>
      <w:r w:rsidR="00B31D4F">
        <w:t>The</w:t>
      </w:r>
      <w:r w:rsidR="0075444A">
        <w:t xml:space="preserve"> MIS</w:t>
      </w:r>
      <w:r w:rsidR="00B31D4F">
        <w:t xml:space="preserve"> costs were </w:t>
      </w:r>
      <w:r w:rsidR="0019663E">
        <w:t xml:space="preserve">not ultimately of any benefit to group members. </w:t>
      </w:r>
    </w:p>
    <w:p w14:paraId="3B56B7C4" w14:textId="1E69C332" w:rsidR="008A7B58" w:rsidRDefault="00B6500C" w:rsidP="00B6500C">
      <w:pPr>
        <w:pStyle w:val="ParaNumbering"/>
        <w:numPr>
          <w:ilvl w:val="0"/>
          <w:numId w:val="0"/>
        </w:numPr>
        <w:ind w:hanging="720"/>
      </w:pPr>
      <w:r>
        <w:rPr>
          <w:iCs/>
          <w:sz w:val="20"/>
        </w:rPr>
        <w:t>200</w:t>
      </w:r>
      <w:r>
        <w:rPr>
          <w:iCs/>
          <w:sz w:val="20"/>
        </w:rPr>
        <w:tab/>
      </w:r>
      <w:r w:rsidR="0019663E">
        <w:t>In my view, it would</w:t>
      </w:r>
      <w:r w:rsidR="00014118">
        <w:t xml:space="preserve"> not be </w:t>
      </w:r>
      <w:r w:rsidR="0019663E">
        <w:t xml:space="preserve">just for the group members to </w:t>
      </w:r>
      <w:r w:rsidR="007C20E3">
        <w:t>bear these costs</w:t>
      </w:r>
      <w:r w:rsidR="00A1300C">
        <w:t xml:space="preserve"> by making an order under s 33V(2)</w:t>
      </w:r>
      <w:r w:rsidR="007C20E3">
        <w:t xml:space="preserve">. That is particularly so when regard is also had to the </w:t>
      </w:r>
      <w:r w:rsidR="00A06E68">
        <w:t xml:space="preserve">terms of the settlement which see the group members obtaining a paltry return because of the unfortunate circumstances referred to earlier. </w:t>
      </w:r>
    </w:p>
    <w:p w14:paraId="01EE8732" w14:textId="2255F9E1" w:rsidR="00F137DF" w:rsidRDefault="00F137DF" w:rsidP="00F137DF">
      <w:pPr>
        <w:pStyle w:val="Heading3"/>
      </w:pPr>
      <w:r>
        <w:lastRenderedPageBreak/>
        <w:t>The ASIC Proceeding</w:t>
      </w:r>
    </w:p>
    <w:p w14:paraId="74600C46" w14:textId="2AC9E52D" w:rsidR="00F71BD7" w:rsidRDefault="00B6500C" w:rsidP="00B6500C">
      <w:pPr>
        <w:pStyle w:val="ParaNumbering"/>
        <w:numPr>
          <w:ilvl w:val="0"/>
          <w:numId w:val="0"/>
        </w:numPr>
        <w:ind w:hanging="720"/>
      </w:pPr>
      <w:r>
        <w:rPr>
          <w:iCs/>
          <w:sz w:val="20"/>
        </w:rPr>
        <w:t>201</w:t>
      </w:r>
      <w:r>
        <w:rPr>
          <w:iCs/>
          <w:sz w:val="20"/>
        </w:rPr>
        <w:tab/>
      </w:r>
      <w:r w:rsidR="00F71BD7">
        <w:t>Piper Alderman advised Balance that the application under s 1317QF was novel and that the prospects of success were difficult to estimate.  Mr Burnett stated</w:t>
      </w:r>
      <w:r w:rsidR="00E840FC" w:rsidRPr="00E840FC">
        <w:t xml:space="preserve"> </w:t>
      </w:r>
      <w:r w:rsidR="00E840FC">
        <w:t>at [37]</w:t>
      </w:r>
      <w:r w:rsidR="00F71BD7">
        <w:t>:</w:t>
      </w:r>
    </w:p>
    <w:p w14:paraId="23C3E16D" w14:textId="77777777" w:rsidR="00F71BD7" w:rsidRPr="00A161EB" w:rsidRDefault="00F71BD7" w:rsidP="00F71BD7">
      <w:pPr>
        <w:pStyle w:val="Quote1"/>
      </w:pPr>
      <w:r w:rsidRPr="00A161EB">
        <w:t>In Balance</w:t>
      </w:r>
      <w:r>
        <w:t>’</w:t>
      </w:r>
      <w:r w:rsidRPr="00A161EB">
        <w:t>s assessment, there was a significant chance that such an application would fail, and in that event Balance could be liable to both ASIC and DASS for adverse costs (in relation to the application) in addition to Balance having lost significant costs incurred up to that point. However, notwithstanding these risks (and the cost), Balance decided to agree to the steps recommended by Piper Alderman (and to fund such steps) for two primary reasons: (</w:t>
      </w:r>
      <w:proofErr w:type="spellStart"/>
      <w:r w:rsidRPr="00A161EB">
        <w:t>i</w:t>
      </w:r>
      <w:proofErr w:type="spellEnd"/>
      <w:r w:rsidRPr="00A161EB">
        <w:t>) the concerns it had about recoverability from the respondents in the Kosen-</w:t>
      </w:r>
      <w:proofErr w:type="spellStart"/>
      <w:r w:rsidRPr="00A161EB">
        <w:t>rufu</w:t>
      </w:r>
      <w:proofErr w:type="spellEnd"/>
      <w:r w:rsidRPr="00A161EB">
        <w:t xml:space="preserve"> Proceedings; and (ii) in the interests of preserving as much compensation as possible for affected group members.·</w:t>
      </w:r>
    </w:p>
    <w:p w14:paraId="47E7D311" w14:textId="73E17171" w:rsidR="00BF14AD" w:rsidRDefault="00B6500C" w:rsidP="00B6500C">
      <w:pPr>
        <w:pStyle w:val="ParaNumbering"/>
        <w:numPr>
          <w:ilvl w:val="0"/>
          <w:numId w:val="0"/>
        </w:numPr>
        <w:ind w:hanging="720"/>
      </w:pPr>
      <w:r>
        <w:rPr>
          <w:iCs/>
          <w:sz w:val="20"/>
        </w:rPr>
        <w:t>202</w:t>
      </w:r>
      <w:r>
        <w:rPr>
          <w:iCs/>
          <w:sz w:val="20"/>
        </w:rPr>
        <w:tab/>
      </w:r>
      <w:r w:rsidR="00D47DED">
        <w:t>Balance</w:t>
      </w:r>
      <w:r w:rsidR="004B5645">
        <w:t xml:space="preserve"> submitted that </w:t>
      </w:r>
      <w:r w:rsidR="00FB037E">
        <w:t>the</w:t>
      </w:r>
      <w:r w:rsidR="00F71BD7">
        <w:t xml:space="preserve"> application</w:t>
      </w:r>
      <w:r w:rsidR="00FB037E">
        <w:t xml:space="preserve"> to intervene</w:t>
      </w:r>
      <w:r w:rsidR="004B5645">
        <w:t xml:space="preserve"> was of practical benefit to group members in the sense that, without the proceeding, the penalty </w:t>
      </w:r>
      <w:r w:rsidR="00C91439">
        <w:t xml:space="preserve">of about $7.2 million </w:t>
      </w:r>
      <w:r w:rsidR="004B5645">
        <w:t xml:space="preserve">would have been paid to the Commonwealth. </w:t>
      </w:r>
      <w:r w:rsidR="00D47DED">
        <w:t>Balance submitted that</w:t>
      </w:r>
      <w:r w:rsidR="00396DDC">
        <w:t xml:space="preserve"> –</w:t>
      </w:r>
      <w:r w:rsidR="00D47DED">
        <w:t xml:space="preserve"> a</w:t>
      </w:r>
      <w:r w:rsidR="004B5645">
        <w:t>lthough</w:t>
      </w:r>
      <w:r w:rsidR="00396DDC">
        <w:t xml:space="preserve"> </w:t>
      </w:r>
      <w:r w:rsidR="004B5645">
        <w:t>the application</w:t>
      </w:r>
      <w:r w:rsidR="004B5645">
        <w:rPr>
          <w:spacing w:val="-15"/>
        </w:rPr>
        <w:t xml:space="preserve"> </w:t>
      </w:r>
      <w:r w:rsidR="004B5645">
        <w:t>was</w:t>
      </w:r>
      <w:r w:rsidR="004B5645">
        <w:rPr>
          <w:spacing w:val="-14"/>
        </w:rPr>
        <w:t xml:space="preserve"> </w:t>
      </w:r>
      <w:r w:rsidR="004B5645">
        <w:t>ultimately</w:t>
      </w:r>
      <w:r w:rsidR="004B5645">
        <w:rPr>
          <w:spacing w:val="-15"/>
        </w:rPr>
        <w:t xml:space="preserve"> </w:t>
      </w:r>
      <w:r w:rsidR="004B5645">
        <w:t>not</w:t>
      </w:r>
      <w:r w:rsidR="004B5645">
        <w:rPr>
          <w:spacing w:val="-15"/>
        </w:rPr>
        <w:t xml:space="preserve"> </w:t>
      </w:r>
      <w:r w:rsidR="004B5645">
        <w:t>determined</w:t>
      </w:r>
      <w:r w:rsidR="002675B1">
        <w:t>,</w:t>
      </w:r>
      <w:r w:rsidR="004B5645">
        <w:rPr>
          <w:spacing w:val="-13"/>
        </w:rPr>
        <w:t xml:space="preserve"> </w:t>
      </w:r>
      <w:r w:rsidR="004B5645">
        <w:t>because</w:t>
      </w:r>
      <w:r w:rsidR="004B5645">
        <w:rPr>
          <w:spacing w:val="-14"/>
        </w:rPr>
        <w:t xml:space="preserve"> </w:t>
      </w:r>
      <w:r w:rsidR="004B5645">
        <w:t>DASS</w:t>
      </w:r>
      <w:r w:rsidR="004B5645">
        <w:rPr>
          <w:spacing w:val="-15"/>
        </w:rPr>
        <w:t xml:space="preserve"> </w:t>
      </w:r>
      <w:r w:rsidR="004B5645">
        <w:t>entered</w:t>
      </w:r>
      <w:r w:rsidR="004B5645">
        <w:rPr>
          <w:spacing w:val="-14"/>
        </w:rPr>
        <w:t xml:space="preserve"> </w:t>
      </w:r>
      <w:r w:rsidR="004B5645">
        <w:t>administration</w:t>
      </w:r>
      <w:r w:rsidR="004B5645">
        <w:rPr>
          <w:spacing w:val="-15"/>
        </w:rPr>
        <w:t xml:space="preserve"> </w:t>
      </w:r>
      <w:r w:rsidR="004B5645">
        <w:t>before it</w:t>
      </w:r>
      <w:r w:rsidR="004B5645">
        <w:rPr>
          <w:spacing w:val="-7"/>
        </w:rPr>
        <w:t xml:space="preserve"> </w:t>
      </w:r>
      <w:r w:rsidR="004B5645">
        <w:t>could</w:t>
      </w:r>
      <w:r w:rsidR="004B5645">
        <w:rPr>
          <w:spacing w:val="-7"/>
        </w:rPr>
        <w:t xml:space="preserve"> </w:t>
      </w:r>
      <w:r w:rsidR="004B5645">
        <w:t>be</w:t>
      </w:r>
      <w:r w:rsidR="004B5645">
        <w:rPr>
          <w:spacing w:val="-8"/>
        </w:rPr>
        <w:t xml:space="preserve"> </w:t>
      </w:r>
      <w:r w:rsidR="004B5645">
        <w:t>heard</w:t>
      </w:r>
      <w:r w:rsidR="00396DDC">
        <w:t xml:space="preserve"> – </w:t>
      </w:r>
      <w:r w:rsidR="004B5645">
        <w:t>that</w:t>
      </w:r>
      <w:r w:rsidR="00396DDC">
        <w:t xml:space="preserve"> </w:t>
      </w:r>
      <w:r w:rsidR="00C91439">
        <w:t>was</w:t>
      </w:r>
      <w:r w:rsidR="004B5645">
        <w:rPr>
          <w:spacing w:val="-7"/>
        </w:rPr>
        <w:t xml:space="preserve"> </w:t>
      </w:r>
      <w:r w:rsidR="004B5645">
        <w:t>no</w:t>
      </w:r>
      <w:r w:rsidR="004B5645">
        <w:rPr>
          <w:spacing w:val="-7"/>
        </w:rPr>
        <w:t xml:space="preserve"> </w:t>
      </w:r>
      <w:r w:rsidR="004B5645">
        <w:t>reason</w:t>
      </w:r>
      <w:r w:rsidR="004B5645">
        <w:rPr>
          <w:spacing w:val="-7"/>
        </w:rPr>
        <w:t xml:space="preserve"> </w:t>
      </w:r>
      <w:r w:rsidR="004B5645">
        <w:t>not</w:t>
      </w:r>
      <w:r w:rsidR="00CF2FBE" w:rsidRPr="00CF2FBE">
        <w:t xml:space="preserve"> </w:t>
      </w:r>
      <w:r w:rsidR="00CF2FBE">
        <w:t>to</w:t>
      </w:r>
      <w:r w:rsidR="004B5645">
        <w:rPr>
          <w:spacing w:val="-7"/>
        </w:rPr>
        <w:t xml:space="preserve"> </w:t>
      </w:r>
      <w:r w:rsidR="004B5645">
        <w:t>recognise</w:t>
      </w:r>
      <w:r w:rsidR="004B5645">
        <w:rPr>
          <w:spacing w:val="-8"/>
        </w:rPr>
        <w:t xml:space="preserve"> </w:t>
      </w:r>
      <w:r w:rsidR="004B5645">
        <w:t>that</w:t>
      </w:r>
      <w:r w:rsidR="004B5645">
        <w:rPr>
          <w:spacing w:val="-7"/>
        </w:rPr>
        <w:t xml:space="preserve"> </w:t>
      </w:r>
      <w:r w:rsidR="004B5645">
        <w:t>the</w:t>
      </w:r>
      <w:r w:rsidR="004B5645">
        <w:rPr>
          <w:spacing w:val="-8"/>
        </w:rPr>
        <w:t xml:space="preserve"> </w:t>
      </w:r>
      <w:r w:rsidR="004B5645">
        <w:t>work</w:t>
      </w:r>
      <w:r w:rsidR="004B5645">
        <w:rPr>
          <w:spacing w:val="-5"/>
        </w:rPr>
        <w:t xml:space="preserve"> </w:t>
      </w:r>
      <w:r w:rsidR="004B5645">
        <w:t>was</w:t>
      </w:r>
      <w:r w:rsidR="004B5645">
        <w:rPr>
          <w:spacing w:val="-7"/>
        </w:rPr>
        <w:t xml:space="preserve"> </w:t>
      </w:r>
      <w:r w:rsidR="004B5645">
        <w:t>performed</w:t>
      </w:r>
      <w:r w:rsidR="004B5645">
        <w:rPr>
          <w:spacing w:val="-7"/>
        </w:rPr>
        <w:t xml:space="preserve"> </w:t>
      </w:r>
      <w:r w:rsidR="004B5645">
        <w:t>for</w:t>
      </w:r>
      <w:r w:rsidR="004B5645">
        <w:rPr>
          <w:spacing w:val="-8"/>
        </w:rPr>
        <w:t xml:space="preserve"> </w:t>
      </w:r>
      <w:r w:rsidR="004B5645">
        <w:t>the benefit of group members.</w:t>
      </w:r>
      <w:r w:rsidR="002675B1">
        <w:t xml:space="preserve"> </w:t>
      </w:r>
    </w:p>
    <w:p w14:paraId="2A84FDC1" w14:textId="6EA2BAB4" w:rsidR="00D36878" w:rsidRDefault="00B6500C" w:rsidP="00B6500C">
      <w:pPr>
        <w:pStyle w:val="ParaNumbering"/>
        <w:numPr>
          <w:ilvl w:val="0"/>
          <w:numId w:val="0"/>
        </w:numPr>
        <w:ind w:hanging="720"/>
      </w:pPr>
      <w:r>
        <w:rPr>
          <w:iCs/>
          <w:sz w:val="20"/>
        </w:rPr>
        <w:t>203</w:t>
      </w:r>
      <w:r>
        <w:rPr>
          <w:iCs/>
          <w:sz w:val="20"/>
        </w:rPr>
        <w:tab/>
      </w:r>
      <w:r w:rsidR="00FB037E">
        <w:t>On 15 October 2021</w:t>
      </w:r>
      <w:r w:rsidR="003A5B82">
        <w:t>, consent order</w:t>
      </w:r>
      <w:r w:rsidR="00015E50">
        <w:t>s</w:t>
      </w:r>
      <w:r w:rsidR="003A5B82">
        <w:t xml:space="preserve"> were signed </w:t>
      </w:r>
      <w:r w:rsidR="00365333">
        <w:t xml:space="preserve">between ASIC and DASS which included orders for payment of a pecuniary penalty of $7.2 million and $800,000 in costs: CB1984. ASIC was also proposing </w:t>
      </w:r>
      <w:r w:rsidR="00973F40">
        <w:t xml:space="preserve">to make an order under s 91 of the </w:t>
      </w:r>
      <w:r w:rsidR="00973F40" w:rsidRPr="00CB65C1">
        <w:rPr>
          <w:i/>
          <w:iCs/>
        </w:rPr>
        <w:t xml:space="preserve">Australian Securities and Investments Commission Act 2001 </w:t>
      </w:r>
      <w:r w:rsidR="00973F40" w:rsidRPr="00CB65C1">
        <w:t>(</w:t>
      </w:r>
      <w:proofErr w:type="spellStart"/>
      <w:r w:rsidR="0081378F" w:rsidRPr="00CB65C1">
        <w:t>C</w:t>
      </w:r>
      <w:r w:rsidR="00973F40" w:rsidRPr="00CB65C1">
        <w:t>th</w:t>
      </w:r>
      <w:proofErr w:type="spellEnd"/>
      <w:r w:rsidR="00973F40" w:rsidRPr="00CB65C1">
        <w:t>)</w:t>
      </w:r>
      <w:r w:rsidR="00973F40">
        <w:t xml:space="preserve"> that DASS pay ASIC’s investigation costs </w:t>
      </w:r>
      <w:r w:rsidR="0081378F">
        <w:t>of $200,000. The Kosen-</w:t>
      </w:r>
      <w:proofErr w:type="spellStart"/>
      <w:r w:rsidR="0081378F">
        <w:t>Rufu</w:t>
      </w:r>
      <w:proofErr w:type="spellEnd"/>
      <w:r w:rsidR="0081378F">
        <w:t xml:space="preserve"> Proceeding and the </w:t>
      </w:r>
      <w:r w:rsidR="00350D65">
        <w:t>Watson Proceeding were commenced on 1 November 2021 and 22 December 202</w:t>
      </w:r>
      <w:r w:rsidR="005107AB">
        <w:t>1, respectively</w:t>
      </w:r>
      <w:r w:rsidR="00350D65">
        <w:t>.</w:t>
      </w:r>
      <w:r w:rsidR="00F67B70">
        <w:t xml:space="preserve"> </w:t>
      </w:r>
    </w:p>
    <w:p w14:paraId="36951CBC" w14:textId="075BFA6C" w:rsidR="007B1520" w:rsidRDefault="00B6500C" w:rsidP="00B6500C">
      <w:pPr>
        <w:pStyle w:val="ParaNumbering"/>
        <w:numPr>
          <w:ilvl w:val="0"/>
          <w:numId w:val="0"/>
        </w:numPr>
        <w:ind w:hanging="720"/>
      </w:pPr>
      <w:r>
        <w:rPr>
          <w:iCs/>
          <w:sz w:val="20"/>
        </w:rPr>
        <w:t>204</w:t>
      </w:r>
      <w:r>
        <w:rPr>
          <w:iCs/>
          <w:sz w:val="20"/>
        </w:rPr>
        <w:tab/>
      </w:r>
      <w:r w:rsidR="0035141C">
        <w:t>T</w:t>
      </w:r>
      <w:r w:rsidR="00A53EC8">
        <w:t>he ASIC Proceeding was stayed under s 440D of the Corporations Act when administrators were appointed to DASS</w:t>
      </w:r>
      <w:r w:rsidR="00BE5CAD">
        <w:t xml:space="preserve"> on 19 January 2022</w:t>
      </w:r>
      <w:r w:rsidR="000F34FD">
        <w:t>: CB373</w:t>
      </w:r>
      <w:r w:rsidR="005C46E7">
        <w:t>. O</w:t>
      </w:r>
      <w:r w:rsidR="00AB0AAE">
        <w:t xml:space="preserve">n 19 September 2022, the Court made orders which included that DASS pay pecuniary </w:t>
      </w:r>
      <w:r w:rsidR="007358B0">
        <w:t xml:space="preserve">penalties of $7.2 million and ASIC’s costs of $800,000: </w:t>
      </w:r>
      <w:r w:rsidR="007B1520" w:rsidRPr="00CB65C1">
        <w:rPr>
          <w:i/>
          <w:iCs/>
        </w:rPr>
        <w:t>Australian Securities and Investments Commission v Dixon Advisory &amp; Superannuation Services Ltd</w:t>
      </w:r>
      <w:r w:rsidR="007B1520" w:rsidRPr="00CB65C1">
        <w:t xml:space="preserve"> [2022] FCA 1105</w:t>
      </w:r>
      <w:r w:rsidR="00341FB4">
        <w:t xml:space="preserve">. The Court also ordered that ASIC </w:t>
      </w:r>
      <w:r w:rsidR="00EB1ECF">
        <w:t>“</w:t>
      </w:r>
      <w:r w:rsidR="00EB1ECF" w:rsidRPr="00EB1ECF">
        <w:t>not seek to enforce any orders for pecuniary penalties, or any costs order</w:t>
      </w:r>
      <w:r w:rsidR="00EB1ECF">
        <w:t xml:space="preserve"> … </w:t>
      </w:r>
      <w:r w:rsidR="00EB1ECF" w:rsidRPr="00EB1ECF">
        <w:t>without first obtaining leave of the Court to do so</w:t>
      </w:r>
      <w:r w:rsidR="00EB1ECF">
        <w:t>”.</w:t>
      </w:r>
      <w:r w:rsidR="00551239">
        <w:t xml:space="preserve"> </w:t>
      </w:r>
      <w:r w:rsidR="00860DE2">
        <w:t>I</w:t>
      </w:r>
      <w:r w:rsidR="00F01BB7">
        <w:t>t was not suggested that ASIC could or would seek to enforce the penalty</w:t>
      </w:r>
      <w:r w:rsidR="00440B9B">
        <w:t xml:space="preserve"> and it may be that ASIC is not able to </w:t>
      </w:r>
      <w:r w:rsidR="0082159A">
        <w:t>enforce at all: CB1825.</w:t>
      </w:r>
    </w:p>
    <w:p w14:paraId="4AFA294A" w14:textId="0AE4D214" w:rsidR="00431ED8" w:rsidRDefault="00B6500C" w:rsidP="00B6500C">
      <w:pPr>
        <w:pStyle w:val="ParaNumbering"/>
        <w:numPr>
          <w:ilvl w:val="0"/>
          <w:numId w:val="0"/>
        </w:numPr>
        <w:ind w:hanging="720"/>
      </w:pPr>
      <w:r>
        <w:rPr>
          <w:iCs/>
          <w:sz w:val="20"/>
        </w:rPr>
        <w:t>205</w:t>
      </w:r>
      <w:r>
        <w:rPr>
          <w:iCs/>
          <w:sz w:val="20"/>
        </w:rPr>
        <w:tab/>
      </w:r>
      <w:r w:rsidR="0038448F">
        <w:t xml:space="preserve">It is possible that group members have obtained a benefit from the steps taken to intervene in the ASIC Proceeding. The agreed penalty </w:t>
      </w:r>
      <w:r w:rsidR="00F06AAD">
        <w:t>required</w:t>
      </w:r>
      <w:r w:rsidR="0038448F">
        <w:t xml:space="preserve"> Court approval </w:t>
      </w:r>
      <w:r w:rsidR="00F06AAD">
        <w:t>and the matter had been</w:t>
      </w:r>
      <w:r w:rsidR="00037F72">
        <w:t xml:space="preserve"> listed for 25 November 2021</w:t>
      </w:r>
      <w:r w:rsidR="004E0334">
        <w:t>: CB1542</w:t>
      </w:r>
      <w:r w:rsidR="00F06AAD">
        <w:t>.</w:t>
      </w:r>
      <w:r w:rsidR="0004308A" w:rsidRPr="0004308A">
        <w:t xml:space="preserve"> </w:t>
      </w:r>
      <w:r w:rsidR="00A71D7D">
        <w:t xml:space="preserve">Ordinarily, such </w:t>
      </w:r>
      <w:r w:rsidR="00DB231F">
        <w:t xml:space="preserve">an application would be addressed </w:t>
      </w:r>
      <w:r w:rsidR="00DB231F">
        <w:lastRenderedPageBreak/>
        <w:t xml:space="preserve">either immediately or expeditiously. </w:t>
      </w:r>
      <w:r w:rsidR="0004308A">
        <w:t>The penalty hearing was adjourned to 28 January 2022, it would seem as a consequence of the application to intervene: CB1546.</w:t>
      </w:r>
    </w:p>
    <w:p w14:paraId="3BF8B97B" w14:textId="527FC63C" w:rsidR="00F23CAE" w:rsidRDefault="00B6500C" w:rsidP="00B6500C">
      <w:pPr>
        <w:pStyle w:val="ParaNumbering"/>
        <w:numPr>
          <w:ilvl w:val="0"/>
          <w:numId w:val="0"/>
        </w:numPr>
        <w:ind w:hanging="720"/>
      </w:pPr>
      <w:r>
        <w:rPr>
          <w:iCs/>
          <w:sz w:val="20"/>
        </w:rPr>
        <w:t>206</w:t>
      </w:r>
      <w:r>
        <w:rPr>
          <w:iCs/>
          <w:sz w:val="20"/>
        </w:rPr>
        <w:tab/>
      </w:r>
      <w:r w:rsidR="00784990">
        <w:t xml:space="preserve">Taking all the circumstances into account, </w:t>
      </w:r>
      <w:r w:rsidR="004E0334">
        <w:t>it is “just” to make an order for Balance to recoup its costs in relation to the ASIC Proceeding.</w:t>
      </w:r>
      <w:r w:rsidR="00B52C07">
        <w:t xml:space="preserve"> These costs total $126,797.55</w:t>
      </w:r>
      <w:r w:rsidR="009779AB">
        <w:t>. T</w:t>
      </w:r>
      <w:r w:rsidR="00B52C07">
        <w:t xml:space="preserve">his amount includes the disbursement for the </w:t>
      </w:r>
      <w:r w:rsidR="001946F2">
        <w:t xml:space="preserve">Wright </w:t>
      </w:r>
      <w:r w:rsidR="00B52C07">
        <w:t>Report in the amount of $31,386.30.</w:t>
      </w:r>
    </w:p>
    <w:p w14:paraId="5A3D7ED3" w14:textId="5E221AA8" w:rsidR="00F137DF" w:rsidRDefault="00F137DF" w:rsidP="00F137DF">
      <w:pPr>
        <w:pStyle w:val="Heading3"/>
      </w:pPr>
      <w:r>
        <w:t>Re-registration and advice and indemnity to the lead applicants</w:t>
      </w:r>
    </w:p>
    <w:p w14:paraId="1B4D787E" w14:textId="6DB84D70" w:rsidR="00B8318E" w:rsidRDefault="00B6500C" w:rsidP="00B6500C">
      <w:pPr>
        <w:pStyle w:val="ParaNumbering"/>
        <w:numPr>
          <w:ilvl w:val="0"/>
          <w:numId w:val="0"/>
        </w:numPr>
        <w:ind w:hanging="720"/>
      </w:pPr>
      <w:r>
        <w:rPr>
          <w:iCs/>
          <w:sz w:val="20"/>
        </w:rPr>
        <w:t>207</w:t>
      </w:r>
      <w:r>
        <w:rPr>
          <w:iCs/>
          <w:sz w:val="20"/>
        </w:rPr>
        <w:tab/>
      </w:r>
      <w:r w:rsidR="00B8318E">
        <w:t xml:space="preserve">I do not consider it “just” to make an order in respect of </w:t>
      </w:r>
      <w:r w:rsidR="00DB231F">
        <w:t xml:space="preserve">registration </w:t>
      </w:r>
      <w:r w:rsidR="00B8318E">
        <w:t>costs in the Watson Proceeding</w:t>
      </w:r>
      <w:r w:rsidR="007223D9">
        <w:t xml:space="preserve"> or of the indemnity advice given to the lead applicants</w:t>
      </w:r>
      <w:r w:rsidR="00B8318E">
        <w:t>.</w:t>
      </w:r>
    </w:p>
    <w:p w14:paraId="4B032FE9" w14:textId="1997C048" w:rsidR="00B8318E" w:rsidRPr="00B8318E" w:rsidRDefault="00B6500C" w:rsidP="00B6500C">
      <w:pPr>
        <w:pStyle w:val="ParaNumbering"/>
        <w:numPr>
          <w:ilvl w:val="0"/>
          <w:numId w:val="0"/>
        </w:numPr>
        <w:ind w:hanging="720"/>
      </w:pPr>
      <w:r w:rsidRPr="00B8318E">
        <w:rPr>
          <w:iCs/>
          <w:sz w:val="20"/>
        </w:rPr>
        <w:t>208</w:t>
      </w:r>
      <w:r w:rsidRPr="00B8318E">
        <w:rPr>
          <w:iCs/>
          <w:sz w:val="20"/>
        </w:rPr>
        <w:tab/>
      </w:r>
      <w:r w:rsidR="0006203B">
        <w:t>These costs are duplicative so far as concerns group members</w:t>
      </w:r>
      <w:r w:rsidR="000A4352">
        <w:t xml:space="preserve"> and t</w:t>
      </w:r>
      <w:r w:rsidR="0006203B">
        <w:t xml:space="preserve">here is no </w:t>
      </w:r>
      <w:r w:rsidR="00271822">
        <w:t xml:space="preserve">enduring </w:t>
      </w:r>
      <w:r w:rsidR="0006203B">
        <w:t>benefit which has been obtained by group members</w:t>
      </w:r>
      <w:r w:rsidR="00542CCA">
        <w:t xml:space="preserve">. </w:t>
      </w:r>
    </w:p>
    <w:p w14:paraId="60FE0281" w14:textId="25F74085" w:rsidR="00AB1354" w:rsidRDefault="00AB1354" w:rsidP="00AB1354">
      <w:pPr>
        <w:pStyle w:val="Heading3"/>
      </w:pPr>
      <w:r>
        <w:t>Other costs</w:t>
      </w:r>
    </w:p>
    <w:p w14:paraId="6D201280" w14:textId="50BA63E9" w:rsidR="00E0632D" w:rsidRDefault="00B6500C" w:rsidP="00B6500C">
      <w:pPr>
        <w:pStyle w:val="ParaNumbering"/>
        <w:numPr>
          <w:ilvl w:val="0"/>
          <w:numId w:val="0"/>
        </w:numPr>
        <w:ind w:hanging="720"/>
      </w:pPr>
      <w:r>
        <w:rPr>
          <w:iCs/>
          <w:sz w:val="20"/>
        </w:rPr>
        <w:t>209</w:t>
      </w:r>
      <w:r>
        <w:rPr>
          <w:iCs/>
          <w:sz w:val="20"/>
        </w:rPr>
        <w:tab/>
      </w:r>
      <w:r w:rsidR="00E0632D">
        <w:t>As mentioned, Balance sought an order for recovery of the costs it incurred</w:t>
      </w:r>
      <w:r w:rsidR="00E0632D" w:rsidRPr="00354FDD">
        <w:t xml:space="preserve"> </w:t>
      </w:r>
      <w:r w:rsidR="00E0632D">
        <w:t xml:space="preserve">before the carriage motion in commencing and prosecuting the proceeding. </w:t>
      </w:r>
      <w:r w:rsidR="00E0632D" w:rsidRPr="00EF389E">
        <w:t>The costs include</w:t>
      </w:r>
      <w:r w:rsidR="00E0632D">
        <w:t>d</w:t>
      </w:r>
      <w:r w:rsidR="00E0632D" w:rsidRPr="00EF389E">
        <w:t xml:space="preserve"> the costs of preparing the pleadings in the Kosen-</w:t>
      </w:r>
      <w:proofErr w:type="spellStart"/>
      <w:r w:rsidR="00E0632D" w:rsidRPr="00EF389E">
        <w:t>Rufu</w:t>
      </w:r>
      <w:proofErr w:type="spellEnd"/>
      <w:r w:rsidR="00E0632D" w:rsidRPr="00EF389E">
        <w:t xml:space="preserve"> Proceeding</w:t>
      </w:r>
      <w:r w:rsidR="00E0632D">
        <w:t xml:space="preserve"> and</w:t>
      </w:r>
      <w:r w:rsidR="00E0632D" w:rsidRPr="00EF389E">
        <w:t xml:space="preserve"> reviewing initial discovery</w:t>
      </w:r>
      <w:r w:rsidR="00E0632D">
        <w:t xml:space="preserve"> and other matters, including </w:t>
      </w:r>
      <w:r w:rsidR="00341F8B">
        <w:t>(for example)</w:t>
      </w:r>
      <w:r w:rsidR="00922E3B">
        <w:t>,</w:t>
      </w:r>
      <w:r w:rsidR="00341F8B">
        <w:t xml:space="preserve"> </w:t>
      </w:r>
      <w:r w:rsidR="00E0632D">
        <w:t>liaising with insurers</w:t>
      </w:r>
      <w:r w:rsidR="00E0632D" w:rsidRPr="00EF389E">
        <w:t>.</w:t>
      </w:r>
      <w:r w:rsidR="00E0632D">
        <w:t xml:space="preserve"> </w:t>
      </w:r>
    </w:p>
    <w:p w14:paraId="5CBC9435" w14:textId="22707EBA" w:rsidR="001B3806" w:rsidRDefault="00B6500C" w:rsidP="00B6500C">
      <w:pPr>
        <w:pStyle w:val="ParaNumbering"/>
        <w:numPr>
          <w:ilvl w:val="0"/>
          <w:numId w:val="0"/>
        </w:numPr>
        <w:ind w:hanging="720"/>
      </w:pPr>
      <w:r>
        <w:rPr>
          <w:iCs/>
          <w:sz w:val="20"/>
        </w:rPr>
        <w:t>210</w:t>
      </w:r>
      <w:r>
        <w:rPr>
          <w:iCs/>
          <w:sz w:val="20"/>
        </w:rPr>
        <w:tab/>
      </w:r>
      <w:r w:rsidR="00AB1354">
        <w:t>Ms Harris’ analysis was predominantly focussed on whether the costs were fair and reasonable in the context of the Kosen-</w:t>
      </w:r>
      <w:proofErr w:type="spellStart"/>
      <w:r w:rsidR="00AB1354">
        <w:t>Rufu</w:t>
      </w:r>
      <w:proofErr w:type="spellEnd"/>
      <w:r w:rsidR="00AB1354">
        <w:t xml:space="preserve"> Proceeding. There was no analysis by Ms Harris of work performed which </w:t>
      </w:r>
      <w:r w:rsidR="00542CCA">
        <w:t>was</w:t>
      </w:r>
      <w:r w:rsidR="00AB1354">
        <w:t xml:space="preserve"> duplicative of work performed by </w:t>
      </w:r>
      <w:r w:rsidR="00CE482B">
        <w:t>Shine</w:t>
      </w:r>
      <w:r w:rsidR="00AB1354">
        <w:t>. This is not intended as a criticism of Ms Harris’ report. Ms Harris was not asked to undertake such a task</w:t>
      </w:r>
      <w:r w:rsidR="000822D2">
        <w:t xml:space="preserve"> and the task is complicated by not having access to Shine’s files</w:t>
      </w:r>
      <w:r w:rsidR="00AB1354">
        <w:t xml:space="preserve">. </w:t>
      </w:r>
      <w:r w:rsidR="000822D2">
        <w:t xml:space="preserve"> T</w:t>
      </w:r>
      <w:r w:rsidR="00AB1354">
        <w:t xml:space="preserve">he fact is that much of the pre-carriage motion work performed by Piper Alderman </w:t>
      </w:r>
      <w:r w:rsidR="000822D2">
        <w:t>is</w:t>
      </w:r>
      <w:r w:rsidR="00AB1354">
        <w:t xml:space="preserve"> likely to be duplicative of work which had already been performed by </w:t>
      </w:r>
      <w:r w:rsidR="00CE482B">
        <w:t>Shine</w:t>
      </w:r>
      <w:r w:rsidR="00AB1354">
        <w:t xml:space="preserve">, or was </w:t>
      </w:r>
      <w:r w:rsidR="000822D2">
        <w:t xml:space="preserve">then </w:t>
      </w:r>
      <w:r w:rsidR="00AB1354">
        <w:t>being performed</w:t>
      </w:r>
      <w:r w:rsidR="00501348">
        <w:t xml:space="preserve"> or would have to be performed</w:t>
      </w:r>
      <w:r w:rsidR="00A56627">
        <w:t>.</w:t>
      </w:r>
      <w:r w:rsidR="008B1CBE">
        <w:t xml:space="preserve"> </w:t>
      </w:r>
    </w:p>
    <w:p w14:paraId="6A9E51F7" w14:textId="2BF2F367" w:rsidR="00AB1354" w:rsidRDefault="00B6500C" w:rsidP="00B6500C">
      <w:pPr>
        <w:pStyle w:val="ParaNumbering"/>
        <w:numPr>
          <w:ilvl w:val="0"/>
          <w:numId w:val="0"/>
        </w:numPr>
        <w:ind w:hanging="720"/>
      </w:pPr>
      <w:r>
        <w:rPr>
          <w:iCs/>
          <w:sz w:val="20"/>
        </w:rPr>
        <w:t>211</w:t>
      </w:r>
      <w:r>
        <w:rPr>
          <w:iCs/>
          <w:sz w:val="20"/>
        </w:rPr>
        <w:tab/>
      </w:r>
      <w:r w:rsidR="005342F3">
        <w:t>The evidence does not</w:t>
      </w:r>
      <w:r w:rsidR="00653EBB">
        <w:t xml:space="preserve"> enable </w:t>
      </w:r>
      <w:r w:rsidR="003850A4">
        <w:t>the Court</w:t>
      </w:r>
      <w:r w:rsidR="00653EBB">
        <w:t xml:space="preserve"> to determine what work can properly be regarded as work which </w:t>
      </w:r>
      <w:r w:rsidR="003C46EF">
        <w:t>has benefitted the group members</w:t>
      </w:r>
      <w:r w:rsidR="005342F3">
        <w:t xml:space="preserve"> and is not work which would result in them paying twice for substantially the same work.</w:t>
      </w:r>
    </w:p>
    <w:p w14:paraId="1066C76B" w14:textId="4C5D2220" w:rsidR="008B5A1D" w:rsidRDefault="00B6500C" w:rsidP="00B6500C">
      <w:pPr>
        <w:pStyle w:val="ParaNumbering"/>
        <w:numPr>
          <w:ilvl w:val="0"/>
          <w:numId w:val="0"/>
        </w:numPr>
        <w:ind w:hanging="720"/>
      </w:pPr>
      <w:r>
        <w:rPr>
          <w:iCs/>
          <w:sz w:val="20"/>
        </w:rPr>
        <w:t>212</w:t>
      </w:r>
      <w:r>
        <w:rPr>
          <w:iCs/>
          <w:sz w:val="20"/>
        </w:rPr>
        <w:tab/>
      </w:r>
      <w:r w:rsidR="00341F8B">
        <w:t>In my view</w:t>
      </w:r>
      <w:r w:rsidR="003850A4">
        <w:t>,</w:t>
      </w:r>
      <w:r w:rsidR="00E74F13">
        <w:t xml:space="preserve"> it would not be just to make an order under s 33V(2) </w:t>
      </w:r>
      <w:r w:rsidR="00D65EC3">
        <w:t xml:space="preserve">of the FCA Act </w:t>
      </w:r>
      <w:r w:rsidR="00E74F13">
        <w:t xml:space="preserve">in respect of these costs. Much of </w:t>
      </w:r>
      <w:r w:rsidR="00990D99">
        <w:t>the work</w:t>
      </w:r>
      <w:r w:rsidR="00E74F13">
        <w:t xml:space="preserve"> is necessarily duplicative. Non-recovery </w:t>
      </w:r>
      <w:r w:rsidR="0035534B">
        <w:t xml:space="preserve">of costs expended in pursuing </w:t>
      </w:r>
      <w:r w:rsidR="00776B77">
        <w:t xml:space="preserve">a commercial opportunity </w:t>
      </w:r>
      <w:r w:rsidR="0035534B">
        <w:t>was</w:t>
      </w:r>
      <w:r w:rsidR="00E74F13">
        <w:t xml:space="preserve"> </w:t>
      </w:r>
      <w:r w:rsidR="00776B77">
        <w:t xml:space="preserve">and is </w:t>
      </w:r>
      <w:r w:rsidR="00E74F13">
        <w:t>a risk</w:t>
      </w:r>
      <w:r w:rsidR="00776B77">
        <w:t xml:space="preserve"> in Balance’s business</w:t>
      </w:r>
      <w:r w:rsidR="00C72371">
        <w:t xml:space="preserve">, which it presumably addresses through </w:t>
      </w:r>
      <w:r w:rsidR="00DA5F02">
        <w:t xml:space="preserve">the </w:t>
      </w:r>
      <w:r w:rsidR="005722F3">
        <w:t>level of charges</w:t>
      </w:r>
      <w:r w:rsidR="00DA5F02">
        <w:t xml:space="preserve"> it sets for </w:t>
      </w:r>
      <w:r w:rsidR="005722F3">
        <w:t>funding</w:t>
      </w:r>
      <w:r w:rsidR="00B40400">
        <w:t xml:space="preserve">. It is not </w:t>
      </w:r>
      <w:r w:rsidR="00ED0C36">
        <w:t>“</w:t>
      </w:r>
      <w:r w:rsidR="00B40400">
        <w:t>just</w:t>
      </w:r>
      <w:r w:rsidR="00ED0C36">
        <w:t>”</w:t>
      </w:r>
      <w:r w:rsidR="00B40400">
        <w:t xml:space="preserve"> to make </w:t>
      </w:r>
      <w:r w:rsidR="00ED0C36">
        <w:t xml:space="preserve">an order the effect of which is for </w:t>
      </w:r>
      <w:r w:rsidR="00B40400">
        <w:t xml:space="preserve">group members </w:t>
      </w:r>
      <w:r w:rsidR="00ED0C36">
        <w:t xml:space="preserve">to </w:t>
      </w:r>
      <w:r w:rsidR="00B40400">
        <w:t xml:space="preserve">pay </w:t>
      </w:r>
      <w:r w:rsidR="00ED0C36">
        <w:t>duplicative costs</w:t>
      </w:r>
      <w:r w:rsidR="00205A49">
        <w:t xml:space="preserve"> in this context</w:t>
      </w:r>
      <w:r w:rsidR="00B40400">
        <w:t>.</w:t>
      </w:r>
      <w:r w:rsidR="00412713">
        <w:t xml:space="preserve"> </w:t>
      </w:r>
    </w:p>
    <w:p w14:paraId="651D98B2" w14:textId="0EE04253" w:rsidR="000F2EF7" w:rsidRDefault="00B6500C" w:rsidP="00B6500C">
      <w:pPr>
        <w:pStyle w:val="ParaNumbering"/>
        <w:numPr>
          <w:ilvl w:val="0"/>
          <w:numId w:val="0"/>
        </w:numPr>
        <w:ind w:hanging="720"/>
      </w:pPr>
      <w:r>
        <w:rPr>
          <w:iCs/>
          <w:sz w:val="20"/>
        </w:rPr>
        <w:lastRenderedPageBreak/>
        <w:t>213</w:t>
      </w:r>
      <w:r>
        <w:rPr>
          <w:iCs/>
          <w:sz w:val="20"/>
        </w:rPr>
        <w:tab/>
      </w:r>
      <w:r w:rsidR="000F2EF7">
        <w:t xml:space="preserve">Balance also claimed the amount of $5,830 in relation to </w:t>
      </w:r>
      <w:r w:rsidR="00A75789">
        <w:t>this</w:t>
      </w:r>
      <w:r w:rsidR="000F2EF7">
        <w:t xml:space="preserve"> approval application: Harris at [10]. I </w:t>
      </w:r>
      <w:r w:rsidR="00A75789">
        <w:t>do not consider it appropriate to allow costs in this respect.</w:t>
      </w:r>
      <w:r w:rsidR="002076E4">
        <w:t xml:space="preserve"> This is duplicative from the perspective of group members,</w:t>
      </w:r>
      <w:r w:rsidR="00A77149">
        <w:t xml:space="preserve"> of no benefit to group members, and in the nature of </w:t>
      </w:r>
      <w:r w:rsidR="00F54C19">
        <w:t>costs incurred in Balance’s business pursuing its own commercial activities.</w:t>
      </w:r>
    </w:p>
    <w:p w14:paraId="15C85F51" w14:textId="41CC993A" w:rsidR="00116BF6" w:rsidRDefault="00116BF6" w:rsidP="00116BF6">
      <w:pPr>
        <w:pStyle w:val="Heading3"/>
      </w:pPr>
      <w:r>
        <w:t>Conclusion in relation to Balance’s application</w:t>
      </w:r>
    </w:p>
    <w:p w14:paraId="000FB6BB" w14:textId="7FFC589B" w:rsidR="00116BF6" w:rsidRPr="008F3A1D" w:rsidRDefault="00B6500C" w:rsidP="00B6500C">
      <w:pPr>
        <w:pStyle w:val="ParaNumbering"/>
        <w:numPr>
          <w:ilvl w:val="0"/>
          <w:numId w:val="0"/>
        </w:numPr>
        <w:ind w:hanging="720"/>
      </w:pPr>
      <w:r w:rsidRPr="008F3A1D">
        <w:rPr>
          <w:iCs/>
          <w:sz w:val="20"/>
        </w:rPr>
        <w:t>214</w:t>
      </w:r>
      <w:r w:rsidRPr="008F3A1D">
        <w:rPr>
          <w:iCs/>
          <w:sz w:val="20"/>
        </w:rPr>
        <w:tab/>
      </w:r>
      <w:r w:rsidR="00C64642" w:rsidRPr="00C64642">
        <w:rPr>
          <w:lang w:val="en-US"/>
        </w:rPr>
        <w:t>Pursuant to s</w:t>
      </w:r>
      <w:r w:rsidR="00C64642">
        <w:rPr>
          <w:lang w:val="en-US"/>
        </w:rPr>
        <w:t> </w:t>
      </w:r>
      <w:r w:rsidR="00C64642" w:rsidRPr="00C64642">
        <w:rPr>
          <w:lang w:val="en-US"/>
        </w:rPr>
        <w:t xml:space="preserve">33V(2) </w:t>
      </w:r>
      <w:r w:rsidR="001B1D46">
        <w:rPr>
          <w:lang w:val="en-US"/>
        </w:rPr>
        <w:t xml:space="preserve">of the FCA Act, </w:t>
      </w:r>
      <w:r w:rsidR="00C64642" w:rsidRPr="00C64642">
        <w:rPr>
          <w:lang w:val="en-US"/>
        </w:rPr>
        <w:t>the Court approves</w:t>
      </w:r>
      <w:r w:rsidR="00C64642">
        <w:rPr>
          <w:lang w:val="en-US"/>
        </w:rPr>
        <w:t xml:space="preserve"> </w:t>
      </w:r>
      <w:r w:rsidR="00C64642" w:rsidRPr="00C64642">
        <w:rPr>
          <w:lang w:val="en-US"/>
        </w:rPr>
        <w:t xml:space="preserve">the sum of </w:t>
      </w:r>
      <w:r w:rsidR="00C64642">
        <w:t>$126,797.55</w:t>
      </w:r>
      <w:r w:rsidR="00C64642" w:rsidRPr="00C64642">
        <w:rPr>
          <w:lang w:val="en-US"/>
        </w:rPr>
        <w:t xml:space="preserve"> </w:t>
      </w:r>
      <w:r w:rsidR="00502E3E">
        <w:rPr>
          <w:lang w:val="en-US"/>
        </w:rPr>
        <w:t xml:space="preserve">being paid </w:t>
      </w:r>
      <w:r w:rsidR="00C64642" w:rsidRPr="00C64642">
        <w:rPr>
          <w:lang w:val="en-US"/>
        </w:rPr>
        <w:t>to Balance Legal Capital II UK Ltd.</w:t>
      </w:r>
    </w:p>
    <w:p w14:paraId="75C4B0CB" w14:textId="270B77D4" w:rsidR="004D5078" w:rsidRDefault="00B6500C" w:rsidP="004D5078">
      <w:pPr>
        <w:pStyle w:val="Heading1"/>
      </w:pPr>
      <w:r>
        <w:rPr>
          <w:caps w:val="0"/>
        </w:rPr>
        <w:t>CONCLUSION</w:t>
      </w:r>
    </w:p>
    <w:p w14:paraId="702F9F5D" w14:textId="18368E43" w:rsidR="004D5078" w:rsidRDefault="00B6500C" w:rsidP="00B6500C">
      <w:pPr>
        <w:pStyle w:val="ParaNumbering"/>
        <w:numPr>
          <w:ilvl w:val="0"/>
          <w:numId w:val="0"/>
        </w:numPr>
        <w:ind w:hanging="720"/>
      </w:pPr>
      <w:r>
        <w:rPr>
          <w:iCs/>
          <w:sz w:val="20"/>
        </w:rPr>
        <w:t>215</w:t>
      </w:r>
      <w:r>
        <w:rPr>
          <w:iCs/>
          <w:sz w:val="20"/>
        </w:rPr>
        <w:tab/>
      </w:r>
      <w:r w:rsidR="004D5078">
        <w:t>The settlement is approved on the basis indicated above</w:t>
      </w:r>
      <w:r w:rsidR="005B402A">
        <w:t xml:space="preserve"> and directions should be made under </w:t>
      </w:r>
      <w:r w:rsidR="005B402A" w:rsidRPr="00EE47BF">
        <w:rPr>
          <w:szCs w:val="24"/>
        </w:rPr>
        <w:t>s</w:t>
      </w:r>
      <w:r w:rsidR="00B34B34">
        <w:rPr>
          <w:szCs w:val="24"/>
        </w:rPr>
        <w:t> </w:t>
      </w:r>
      <w:r w:rsidR="005B402A" w:rsidRPr="00EE47BF">
        <w:rPr>
          <w:szCs w:val="24"/>
        </w:rPr>
        <w:t>90-15</w:t>
      </w:r>
      <w:r w:rsidR="00B34B34">
        <w:rPr>
          <w:szCs w:val="24"/>
        </w:rPr>
        <w:t xml:space="preserve"> of the IPS for the reasons given</w:t>
      </w:r>
      <w:r w:rsidR="004D5078">
        <w:t>.</w:t>
      </w:r>
    </w:p>
    <w:p w14:paraId="79E7FA48" w14:textId="77777777" w:rsidR="00723A96" w:rsidRDefault="00723A96" w:rsidP="00835C28">
      <w:pPr>
        <w:pStyle w:val="BodyText"/>
      </w:pPr>
      <w:bookmarkStart w:id="33" w:name="Certification"/>
    </w:p>
    <w:tbl>
      <w:tblPr>
        <w:tblW w:w="0" w:type="auto"/>
        <w:tblLook w:val="04A0" w:firstRow="1" w:lastRow="0" w:firstColumn="1" w:lastColumn="0" w:noHBand="0" w:noVBand="1"/>
      </w:tblPr>
      <w:tblGrid>
        <w:gridCol w:w="3794"/>
      </w:tblGrid>
      <w:tr w:rsidR="00723A96" w:rsidRPr="00723A96" w14:paraId="7BDEF226" w14:textId="77777777">
        <w:tc>
          <w:tcPr>
            <w:tcW w:w="3794" w:type="dxa"/>
            <w:shd w:val="clear" w:color="auto" w:fill="auto"/>
          </w:tcPr>
          <w:p w14:paraId="53799F3E" w14:textId="382C1D52" w:rsidR="00723A96" w:rsidRPr="00723A96" w:rsidRDefault="00723A96" w:rsidP="00723A96">
            <w:pPr>
              <w:pStyle w:val="Normal1linespace"/>
            </w:pPr>
            <w:r w:rsidRPr="00723A96">
              <w:t xml:space="preserve">I certify that the preceding </w:t>
            </w:r>
            <w:bookmarkStart w:id="34" w:name="NumberWord"/>
            <w:r>
              <w:t xml:space="preserve">two hundred and </w:t>
            </w:r>
            <w:r w:rsidR="00DB0F30">
              <w:t>fifteen</w:t>
            </w:r>
            <w:bookmarkEnd w:id="34"/>
            <w:r w:rsidRPr="00723A96">
              <w:t xml:space="preserve"> (</w:t>
            </w:r>
            <w:bookmarkStart w:id="35" w:name="NumberNumeral"/>
            <w:r>
              <w:t>21</w:t>
            </w:r>
            <w:r w:rsidR="00DB0F30">
              <w:t>5</w:t>
            </w:r>
            <w:bookmarkEnd w:id="35"/>
            <w:r w:rsidRPr="00723A96">
              <w:t xml:space="preserve">) numbered </w:t>
            </w:r>
            <w:bookmarkStart w:id="36" w:name="CertPara"/>
            <w:r>
              <w:t>paragraphs are</w:t>
            </w:r>
            <w:bookmarkEnd w:id="36"/>
            <w:r w:rsidRPr="00723A96">
              <w:t xml:space="preserve"> a true copy of the Reasons for Judgment of </w:t>
            </w:r>
            <w:bookmarkStart w:id="37" w:name="bkHonourable"/>
            <w:r w:rsidRPr="00723A96">
              <w:t xml:space="preserve">the Honourable </w:t>
            </w:r>
            <w:bookmarkStart w:id="38" w:name="Justice"/>
            <w:bookmarkEnd w:id="37"/>
            <w:r>
              <w:t>Justice Thawley</w:t>
            </w:r>
            <w:bookmarkEnd w:id="38"/>
            <w:r w:rsidRPr="00723A96">
              <w:t>.</w:t>
            </w:r>
          </w:p>
        </w:tc>
      </w:tr>
    </w:tbl>
    <w:p w14:paraId="32FC99D6" w14:textId="75F3FBF1" w:rsidR="00723A96" w:rsidRDefault="00723A96" w:rsidP="00835C28">
      <w:pPr>
        <w:pStyle w:val="BodyText"/>
      </w:pPr>
    </w:p>
    <w:p w14:paraId="1FA66E4D" w14:textId="34204699" w:rsidR="00723A96" w:rsidRDefault="00723A96" w:rsidP="00835C28">
      <w:pPr>
        <w:pStyle w:val="BodyText"/>
      </w:pPr>
    </w:p>
    <w:p w14:paraId="65B39A0B" w14:textId="0C57308F" w:rsidR="00723A96" w:rsidRDefault="00723A96" w:rsidP="00835C28">
      <w:pPr>
        <w:pStyle w:val="BodyText"/>
      </w:pPr>
    </w:p>
    <w:p w14:paraId="7C48C55B" w14:textId="77777777" w:rsidR="00AC1F66" w:rsidRDefault="00AC1F66" w:rsidP="00835C28">
      <w:pPr>
        <w:pStyle w:val="BodyText"/>
      </w:pPr>
    </w:p>
    <w:p w14:paraId="66A959E6" w14:textId="77777777" w:rsidR="00AC1F66" w:rsidRDefault="00AC1F66" w:rsidP="00835C28">
      <w:pPr>
        <w:pStyle w:val="BodyText"/>
      </w:pPr>
    </w:p>
    <w:p w14:paraId="598B958A" w14:textId="53475AB3" w:rsidR="00723A96" w:rsidRDefault="00723A96" w:rsidP="00835C28">
      <w:pPr>
        <w:pStyle w:val="BodyText"/>
      </w:pPr>
      <w:r>
        <w:t xml:space="preserve">Associate: </w:t>
      </w:r>
    </w:p>
    <w:p w14:paraId="5AF4B509" w14:textId="00759FAF" w:rsidR="00723A96" w:rsidRDefault="00723A96" w:rsidP="00835C28">
      <w:pPr>
        <w:pStyle w:val="BodyText"/>
      </w:pPr>
    </w:p>
    <w:p w14:paraId="78D1F54E" w14:textId="4FCD17A7" w:rsidR="00723A96" w:rsidRDefault="00723A96" w:rsidP="00835C28">
      <w:pPr>
        <w:pStyle w:val="BodyText"/>
        <w:tabs>
          <w:tab w:val="left" w:pos="1134"/>
        </w:tabs>
      </w:pPr>
      <w:r>
        <w:t>Dated:</w:t>
      </w:r>
      <w:r>
        <w:tab/>
      </w:r>
      <w:bookmarkStart w:id="39" w:name="CertifyDated"/>
      <w:r>
        <w:t>17 April 2024</w:t>
      </w:r>
      <w:bookmarkEnd w:id="39"/>
    </w:p>
    <w:p w14:paraId="29BCA5C7" w14:textId="77777777" w:rsidR="00723A96" w:rsidRDefault="00723A96" w:rsidP="00835C28">
      <w:pPr>
        <w:pStyle w:val="BodyText"/>
      </w:pPr>
    </w:p>
    <w:bookmarkEnd w:id="33"/>
    <w:p w14:paraId="19EED181" w14:textId="77777777" w:rsidR="00723A96" w:rsidRPr="004D5078" w:rsidRDefault="00723A96" w:rsidP="00723A96">
      <w:pPr>
        <w:pStyle w:val="BodyText"/>
      </w:pPr>
    </w:p>
    <w:sectPr w:rsidR="00723A96" w:rsidRPr="004D5078" w:rsidSect="00A84FD0">
      <w:headerReference w:type="even" r:id="rId16"/>
      <w:headerReference w:type="default" r:id="rId17"/>
      <w:footerReference w:type="default" r:id="rId18"/>
      <w:headerReference w:type="first" r:id="rId19"/>
      <w:footerReference w:type="first" r:id="rId2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D50C" w14:textId="77777777" w:rsidR="00774AED" w:rsidRDefault="00774AED">
      <w:pPr>
        <w:spacing w:line="20" w:lineRule="exact"/>
      </w:pPr>
    </w:p>
    <w:p w14:paraId="2E7CE5B5" w14:textId="77777777" w:rsidR="00774AED" w:rsidRDefault="00774AED"/>
    <w:p w14:paraId="08851B03" w14:textId="77777777" w:rsidR="00774AED" w:rsidRDefault="00774AED"/>
  </w:endnote>
  <w:endnote w:type="continuationSeparator" w:id="0">
    <w:p w14:paraId="7D072CF5" w14:textId="77777777" w:rsidR="00774AED" w:rsidRDefault="00774AED">
      <w:r>
        <w:t xml:space="preserve"> </w:t>
      </w:r>
    </w:p>
    <w:p w14:paraId="1754A679" w14:textId="77777777" w:rsidR="00774AED" w:rsidRDefault="00774AED"/>
    <w:p w14:paraId="25831FFD" w14:textId="77777777" w:rsidR="00774AED" w:rsidRDefault="00774AED"/>
  </w:endnote>
  <w:endnote w:type="continuationNotice" w:id="1">
    <w:p w14:paraId="651E4B0E" w14:textId="77777777" w:rsidR="00774AED" w:rsidRDefault="00774AED">
      <w:r>
        <w:t xml:space="preserve"> </w:t>
      </w:r>
    </w:p>
    <w:p w14:paraId="56323B71" w14:textId="77777777" w:rsidR="00774AED" w:rsidRDefault="00774AED"/>
    <w:p w14:paraId="601F3258" w14:textId="77777777" w:rsidR="00774AED" w:rsidRDefault="0077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nsit-Normal">
    <w:altName w:val="Cambria"/>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C10" w14:textId="2B13BF2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14740C63" wp14:editId="430BEAB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72B9A"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23A96">
          <w:rPr>
            <w:bCs/>
            <w:sz w:val="18"/>
            <w:szCs w:val="18"/>
          </w:rPr>
          <w:t xml:space="preserve">Watson &amp; Co Superannuation Pty Ltd v Dixon Advisory and Superannuation Services Ltd (Settlement Approval) [2024] FCA 386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68FF" w14:textId="301BC68B"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3B3728AC" wp14:editId="4E2013F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6B9EB"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790F7EC833E041C18AA570B8F5B2DA5E"/>
        </w:placeholder>
        <w:dataBinding w:prefixMappings="xmlns:ns0='http://schemas.globalmacros.com/FCA'" w:xpath="/ns0:root[1]/ns0:Name[1]" w:storeItemID="{687E7CCB-4AA5-44E7-B148-17BA2B6F57C0}"/>
        <w:text w:multiLine="1"/>
      </w:sdtPr>
      <w:sdtEndPr/>
      <w:sdtContent>
        <w:r w:rsidR="00723A96">
          <w:rPr>
            <w:bCs/>
            <w:sz w:val="18"/>
            <w:szCs w:val="18"/>
          </w:rPr>
          <w:t xml:space="preserve">Watson &amp; Co Superannuation Pty Ltd v Dixon Advisory and Superannuation Services Ltd (Settlement Approval) [2024] FCA 386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1A16" w14:textId="217A51B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3FA9ED00" wp14:editId="74F5FAC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A3DAA"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4F92078B1C7544A7BC76D2D21582D3DD"/>
        </w:placeholder>
        <w:dataBinding w:prefixMappings="xmlns:ns0='http://schemas.globalmacros.com/FCA'" w:xpath="/ns0:root[1]/ns0:Name[1]" w:storeItemID="{687E7CCB-4AA5-44E7-B148-17BA2B6F57C0}"/>
        <w:text w:multiLine="1"/>
      </w:sdtPr>
      <w:sdtEndPr/>
      <w:sdtContent>
        <w:r w:rsidR="00723A96">
          <w:rPr>
            <w:bCs/>
            <w:sz w:val="18"/>
            <w:szCs w:val="18"/>
          </w:rPr>
          <w:t xml:space="preserve">Watson &amp; Co Superannuation Pty Ltd v Dixon Advisory and Superannuation Services Ltd (Settlement Approval) [2024] FCA 386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FEF0" w14:textId="02CECAE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1BA2A612" wp14:editId="49C9CB1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835B7"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F1A5AD49A4F642468FE3D340CE7AF3C4"/>
        </w:placeholder>
        <w:dataBinding w:prefixMappings="xmlns:ns0='http://schemas.globalmacros.com/FCA'" w:xpath="/ns0:root[1]/ns0:Name[1]" w:storeItemID="{687E7CCB-4AA5-44E7-B148-17BA2B6F57C0}"/>
        <w:text w:multiLine="1"/>
      </w:sdtPr>
      <w:sdtEndPr/>
      <w:sdtContent>
        <w:r w:rsidR="00723A96">
          <w:rPr>
            <w:bCs/>
            <w:sz w:val="18"/>
            <w:szCs w:val="18"/>
          </w:rPr>
          <w:t xml:space="preserve">Watson &amp; Co Superannuation Pty Ltd v Dixon Advisory and Superannuation Services Ltd (Settlement Approval) [2024] FCA 386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F1E8" w14:textId="31FC2D4C" w:rsidR="002F1E49" w:rsidRPr="00835C28" w:rsidRDefault="00A84FD0" w:rsidP="00835C28">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5D81274B" wp14:editId="3ECD3E5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3F96C"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B91B03B6D2894FBEAE8AE2FBF66ED79D"/>
        </w:placeholder>
        <w:dataBinding w:prefixMappings="xmlns:ns0='http://schemas.globalmacros.com/FCA'" w:xpath="/ns0:root[1]/ns0:Name[1]" w:storeItemID="{687E7CCB-4AA5-44E7-B148-17BA2B6F57C0}"/>
        <w:text w:multiLine="1"/>
      </w:sdtPr>
      <w:sdtEndPr/>
      <w:sdtContent>
        <w:r w:rsidR="00723A96">
          <w:rPr>
            <w:bCs/>
            <w:sz w:val="18"/>
            <w:szCs w:val="18"/>
          </w:rPr>
          <w:t xml:space="preserve">Watson &amp; Co Superannuation Pty Ltd v Dixon Advisory and Superannuation Services Ltd (Settlement Approval) [2024] FCA 386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A331" w14:textId="77777777" w:rsidR="00774AED" w:rsidRDefault="00774AED"/>
  </w:footnote>
  <w:footnote w:type="continuationSeparator" w:id="0">
    <w:p w14:paraId="62A4F104" w14:textId="77777777" w:rsidR="00774AED" w:rsidRDefault="00774AED">
      <w:r>
        <w:continuationSeparator/>
      </w:r>
    </w:p>
    <w:p w14:paraId="6CBF0AEE" w14:textId="77777777" w:rsidR="00774AED" w:rsidRDefault="00774AED"/>
    <w:p w14:paraId="78133C8D" w14:textId="77777777" w:rsidR="00774AED" w:rsidRDefault="00774AED"/>
  </w:footnote>
  <w:footnote w:type="continuationNotice" w:id="1">
    <w:p w14:paraId="444851EF" w14:textId="77777777" w:rsidR="00774AED" w:rsidRDefault="00774A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7424"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EA95"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2B4C" w14:textId="77777777" w:rsidR="00395B24" w:rsidRDefault="00395B24"/>
  <w:p w14:paraId="3D90A1E2" w14:textId="77777777" w:rsidR="00107882" w:rsidRDefault="00107882"/>
  <w:p w14:paraId="2DFFC682" w14:textId="77777777" w:rsidR="00107882" w:rsidRDefault="00107882"/>
  <w:p w14:paraId="2C796A4C" w14:textId="77777777" w:rsidR="00107882" w:rsidRDefault="00107882"/>
  <w:p w14:paraId="036400B0" w14:textId="77777777" w:rsidR="00107882" w:rsidRDefault="00107882"/>
  <w:p w14:paraId="547EAD92" w14:textId="77777777" w:rsidR="00107882" w:rsidRDefault="00107882"/>
  <w:p w14:paraId="7CF4C526" w14:textId="77777777" w:rsidR="00107882" w:rsidRDefault="00107882"/>
  <w:p w14:paraId="2660AC7F" w14:textId="77777777" w:rsidR="00107882" w:rsidRDefault="00107882"/>
  <w:p w14:paraId="07178A01" w14:textId="77777777" w:rsidR="00107882" w:rsidRDefault="001078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C5AD" w14:textId="77777777" w:rsidR="00107882" w:rsidRDefault="001078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E427" w14:textId="77777777" w:rsidR="00107882" w:rsidRPr="00AB5CDA" w:rsidRDefault="00107882" w:rsidP="00AB5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696"/>
        </w:tabs>
        <w:ind w:left="696"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26"/>
      <w:numFmt w:val="decimal"/>
      <w:lvlText w:val="%1."/>
      <w:lvlJc w:val="left"/>
      <w:pPr>
        <w:ind w:left="655" w:hanging="552"/>
      </w:pPr>
      <w:rPr>
        <w:rFonts w:ascii="Arial" w:hAnsi="Arial" w:cs="Arial"/>
        <w:b w:val="0"/>
        <w:bCs w:val="0"/>
        <w:i w:val="0"/>
        <w:iCs w:val="0"/>
        <w:spacing w:val="-1"/>
        <w:w w:val="99"/>
        <w:sz w:val="21"/>
        <w:szCs w:val="21"/>
      </w:rPr>
    </w:lvl>
    <w:lvl w:ilvl="1">
      <w:numFmt w:val="bullet"/>
      <w:lvlText w:val="•"/>
      <w:lvlJc w:val="left"/>
      <w:pPr>
        <w:ind w:left="1514" w:hanging="552"/>
      </w:pPr>
    </w:lvl>
    <w:lvl w:ilvl="2">
      <w:numFmt w:val="bullet"/>
      <w:lvlText w:val="•"/>
      <w:lvlJc w:val="left"/>
      <w:pPr>
        <w:ind w:left="2368" w:hanging="552"/>
      </w:pPr>
    </w:lvl>
    <w:lvl w:ilvl="3">
      <w:numFmt w:val="bullet"/>
      <w:lvlText w:val="•"/>
      <w:lvlJc w:val="left"/>
      <w:pPr>
        <w:ind w:left="3222" w:hanging="552"/>
      </w:pPr>
    </w:lvl>
    <w:lvl w:ilvl="4">
      <w:numFmt w:val="bullet"/>
      <w:lvlText w:val="•"/>
      <w:lvlJc w:val="left"/>
      <w:pPr>
        <w:ind w:left="4076" w:hanging="552"/>
      </w:pPr>
    </w:lvl>
    <w:lvl w:ilvl="5">
      <w:numFmt w:val="bullet"/>
      <w:lvlText w:val="•"/>
      <w:lvlJc w:val="left"/>
      <w:pPr>
        <w:ind w:left="4930" w:hanging="552"/>
      </w:pPr>
    </w:lvl>
    <w:lvl w:ilvl="6">
      <w:numFmt w:val="bullet"/>
      <w:lvlText w:val="•"/>
      <w:lvlJc w:val="left"/>
      <w:pPr>
        <w:ind w:left="5784" w:hanging="552"/>
      </w:pPr>
    </w:lvl>
    <w:lvl w:ilvl="7">
      <w:numFmt w:val="bullet"/>
      <w:lvlText w:val="•"/>
      <w:lvlJc w:val="left"/>
      <w:pPr>
        <w:ind w:left="6638" w:hanging="552"/>
      </w:pPr>
    </w:lvl>
    <w:lvl w:ilvl="8">
      <w:numFmt w:val="bullet"/>
      <w:lvlText w:val="•"/>
      <w:lvlJc w:val="left"/>
      <w:pPr>
        <w:ind w:left="7492" w:hanging="552"/>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E994378"/>
    <w:multiLevelType w:val="hybridMultilevel"/>
    <w:tmpl w:val="4282C0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5E6386"/>
    <w:multiLevelType w:val="hybridMultilevel"/>
    <w:tmpl w:val="D5B4D448"/>
    <w:lvl w:ilvl="0" w:tplc="D422B9FE">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20121900"/>
    <w:multiLevelType w:val="hybridMultilevel"/>
    <w:tmpl w:val="D3D29C0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04E17F5"/>
    <w:multiLevelType w:val="hybridMultilevel"/>
    <w:tmpl w:val="7A1C1100"/>
    <w:lvl w:ilvl="0" w:tplc="D422B9FE">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6A1CAC"/>
    <w:multiLevelType w:val="hybridMultilevel"/>
    <w:tmpl w:val="30D6E0CC"/>
    <w:lvl w:ilvl="0" w:tplc="D422B9FE">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AE3DD1"/>
    <w:multiLevelType w:val="singleLevel"/>
    <w:tmpl w:val="3DB83934"/>
    <w:lvl w:ilvl="0">
      <w:start w:val="1"/>
      <w:numFmt w:val="decimal"/>
      <w:lvlRestart w:val="0"/>
      <w:pStyle w:val="ParaNumbering"/>
      <w:lvlText w:val="%1"/>
      <w:lvlJc w:val="left"/>
      <w:pPr>
        <w:tabs>
          <w:tab w:val="num" w:pos="720"/>
        </w:tabs>
        <w:ind w:left="0" w:hanging="720"/>
      </w:pPr>
      <w:rPr>
        <w:rFonts w:hint="default"/>
        <w:i w:val="0"/>
        <w:iCs/>
        <w:sz w:val="20"/>
      </w:rPr>
    </w:lvl>
  </w:abstractNum>
  <w:abstractNum w:abstractNumId="21" w15:restartNumberingAfterBreak="0">
    <w:nsid w:val="2AD4345C"/>
    <w:multiLevelType w:val="multilevel"/>
    <w:tmpl w:val="A1C8FFD0"/>
    <w:styleLink w:val="FCOrders"/>
    <w:lvl w:ilvl="0">
      <w:start w:val="1"/>
      <w:numFmt w:val="decimal"/>
      <w:pStyle w:val="Order1"/>
      <w:lvlText w:val="%1."/>
      <w:lvlJc w:val="left"/>
      <w:pPr>
        <w:tabs>
          <w:tab w:val="num" w:pos="1287"/>
        </w:tabs>
        <w:ind w:left="1287" w:hanging="720"/>
      </w:pPr>
      <w:rPr>
        <w:rFonts w:ascii="Times New Roman" w:hAnsi="Times New Roman" w:hint="default"/>
        <w:sz w:val="24"/>
      </w:rPr>
    </w:lvl>
    <w:lvl w:ilvl="1">
      <w:start w:val="1"/>
      <w:numFmt w:val="lowerLetter"/>
      <w:pStyle w:val="Order2"/>
      <w:lvlText w:val="(%2)"/>
      <w:lvlJc w:val="left"/>
      <w:pPr>
        <w:tabs>
          <w:tab w:val="num" w:pos="2007"/>
        </w:tabs>
        <w:ind w:left="2007" w:hanging="720"/>
      </w:pPr>
      <w:rPr>
        <w:rFonts w:hint="default"/>
      </w:rPr>
    </w:lvl>
    <w:lvl w:ilvl="2">
      <w:start w:val="1"/>
      <w:numFmt w:val="lowerRoman"/>
      <w:pStyle w:val="Order3"/>
      <w:lvlText w:val="(%3)"/>
      <w:lvlJc w:val="left"/>
      <w:pPr>
        <w:tabs>
          <w:tab w:val="num" w:pos="2007"/>
        </w:tabs>
        <w:ind w:left="2727" w:hanging="720"/>
      </w:pPr>
      <w:rPr>
        <w:rFonts w:hint="default"/>
      </w:rPr>
    </w:lvl>
    <w:lvl w:ilvl="3">
      <w:start w:val="1"/>
      <w:numFmt w:val="upperLetter"/>
      <w:pStyle w:val="Order4"/>
      <w:lvlText w:val="%4."/>
      <w:lvlJc w:val="left"/>
      <w:pPr>
        <w:tabs>
          <w:tab w:val="num" w:pos="2727"/>
        </w:tabs>
        <w:ind w:left="3447" w:hanging="720"/>
      </w:pPr>
      <w:rPr>
        <w:rFonts w:hint="default"/>
      </w:rPr>
    </w:lvl>
    <w:lvl w:ilvl="4">
      <w:numFmt w:val="none"/>
      <w:lvlRestart w:val="0"/>
      <w:suff w:val="nothing"/>
      <w:lvlText w:val=""/>
      <w:lvlJc w:val="left"/>
      <w:pPr>
        <w:ind w:left="-32200" w:firstLine="0"/>
      </w:pPr>
      <w:rPr>
        <w:rFonts w:hint="default"/>
      </w:rPr>
    </w:lvl>
    <w:lvl w:ilvl="5">
      <w:start w:val="1"/>
      <w:numFmt w:val="none"/>
      <w:lvlRestart w:val="0"/>
      <w:suff w:val="nothing"/>
      <w:lvlText w:val=""/>
      <w:lvlJc w:val="left"/>
      <w:pPr>
        <w:ind w:left="-32200" w:firstLine="0"/>
      </w:pPr>
      <w:rPr>
        <w:rFonts w:hint="default"/>
      </w:rPr>
    </w:lvl>
    <w:lvl w:ilvl="6">
      <w:start w:val="1"/>
      <w:numFmt w:val="none"/>
      <w:lvlRestart w:val="0"/>
      <w:suff w:val="nothing"/>
      <w:lvlText w:val=""/>
      <w:lvlJc w:val="left"/>
      <w:pPr>
        <w:ind w:left="-32200" w:firstLine="0"/>
      </w:pPr>
      <w:rPr>
        <w:rFonts w:hint="default"/>
      </w:rPr>
    </w:lvl>
    <w:lvl w:ilvl="7">
      <w:start w:val="1"/>
      <w:numFmt w:val="none"/>
      <w:lvlRestart w:val="0"/>
      <w:suff w:val="nothing"/>
      <w:lvlText w:val=""/>
      <w:lvlJc w:val="left"/>
      <w:pPr>
        <w:ind w:left="-32200" w:firstLine="0"/>
      </w:pPr>
      <w:rPr>
        <w:rFonts w:hint="default"/>
      </w:rPr>
    </w:lvl>
    <w:lvl w:ilvl="8">
      <w:start w:val="1"/>
      <w:numFmt w:val="none"/>
      <w:suff w:val="nothing"/>
      <w:lvlText w:val=""/>
      <w:lvlJc w:val="left"/>
      <w:pPr>
        <w:ind w:left="-32200" w:firstLine="0"/>
      </w:pPr>
      <w:rPr>
        <w:rFonts w:hint="default"/>
      </w:rPr>
    </w:lvl>
  </w:abstractNum>
  <w:abstractNum w:abstractNumId="22"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5" w15:restartNumberingAfterBreak="0">
    <w:nsid w:val="3DA06676"/>
    <w:multiLevelType w:val="hybridMultilevel"/>
    <w:tmpl w:val="DD86144C"/>
    <w:lvl w:ilvl="0" w:tplc="7A16246E">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3E2E205D"/>
    <w:multiLevelType w:val="multilevel"/>
    <w:tmpl w:val="B15C947A"/>
    <w:lvl w:ilvl="0">
      <w:start w:val="1"/>
      <w:numFmt w:val="decimal"/>
      <w:lvlText w:val="%1."/>
      <w:lvlJc w:val="left"/>
      <w:pPr>
        <w:ind w:left="567" w:hanging="567"/>
      </w:pPr>
      <w:rPr>
        <w:rFonts w:hint="default"/>
        <w:b w:val="0"/>
        <w:bCs w:val="0"/>
        <w:i w:val="0"/>
        <w:iCs w:val="0"/>
        <w:spacing w:val="0"/>
        <w:w w:val="99"/>
        <w:sz w:val="22"/>
        <w:szCs w:val="22"/>
        <w:lang w:val="en-US" w:eastAsia="en-US" w:bidi="ar-SA"/>
      </w:rPr>
    </w:lvl>
    <w:lvl w:ilvl="1">
      <w:start w:val="1"/>
      <w:numFmt w:val="lowerLetter"/>
      <w:lvlText w:val="(%2)"/>
      <w:lvlJc w:val="left"/>
      <w:pPr>
        <w:tabs>
          <w:tab w:val="num" w:pos="1134"/>
        </w:tabs>
        <w:ind w:left="1134" w:hanging="567"/>
      </w:pPr>
      <w:rPr>
        <w:rFonts w:hint="default"/>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7" w15:restartNumberingAfterBreak="0">
    <w:nsid w:val="3F6C5F6A"/>
    <w:multiLevelType w:val="hybridMultilevel"/>
    <w:tmpl w:val="7BB68E50"/>
    <w:lvl w:ilvl="0" w:tplc="9DBCCC9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8831B8C"/>
    <w:multiLevelType w:val="hybridMultilevel"/>
    <w:tmpl w:val="E98C30CA"/>
    <w:lvl w:ilvl="0" w:tplc="D422B9FE">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4817A7"/>
    <w:multiLevelType w:val="multilevel"/>
    <w:tmpl w:val="0F0EC90E"/>
    <w:numStyleLink w:val="FCListNo"/>
  </w:abstractNum>
  <w:abstractNum w:abstractNumId="3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F340FA"/>
    <w:multiLevelType w:val="hybridMultilevel"/>
    <w:tmpl w:val="9D9AC4B2"/>
    <w:lvl w:ilvl="0" w:tplc="26FAB094">
      <w:start w:val="1"/>
      <w:numFmt w:val="decimal"/>
      <w:lvlText w:val="%1."/>
      <w:lvlJc w:val="left"/>
      <w:pPr>
        <w:ind w:left="720" w:hanging="360"/>
      </w:pPr>
      <w:rPr>
        <w:rFonts w:hint="default"/>
      </w:rPr>
    </w:lvl>
    <w:lvl w:ilvl="1" w:tplc="D0A041A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C007096"/>
    <w:multiLevelType w:val="multilevel"/>
    <w:tmpl w:val="A950DC0A"/>
    <w:lvl w:ilvl="0">
      <w:start w:val="1"/>
      <w:numFmt w:val="lowerLetter"/>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15:restartNumberingAfterBreak="0">
    <w:nsid w:val="503D6A88"/>
    <w:multiLevelType w:val="hybridMultilevel"/>
    <w:tmpl w:val="FBAC8F64"/>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591E0B72"/>
    <w:multiLevelType w:val="hybridMultilevel"/>
    <w:tmpl w:val="2C68D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8F379E6"/>
    <w:multiLevelType w:val="multilevel"/>
    <w:tmpl w:val="0F98864A"/>
    <w:lvl w:ilvl="0">
      <w:start w:val="1"/>
      <w:numFmt w:val="decimal"/>
      <w:lvlText w:val="%1."/>
      <w:lvlJc w:val="left"/>
      <w:pPr>
        <w:tabs>
          <w:tab w:val="num" w:pos="687"/>
        </w:tabs>
        <w:ind w:left="687" w:hanging="709"/>
      </w:pPr>
    </w:lvl>
    <w:lvl w:ilvl="1">
      <w:start w:val="1"/>
      <w:numFmt w:val="lowerLetter"/>
      <w:lvlText w:val="(%2)"/>
      <w:lvlJc w:val="left"/>
      <w:pPr>
        <w:tabs>
          <w:tab w:val="num" w:pos="1396"/>
        </w:tabs>
        <w:ind w:left="1418" w:hanging="731"/>
      </w:pPr>
      <w:rPr>
        <w:b w:val="0"/>
        <w:bCs w:val="0"/>
        <w:strike w:val="0"/>
        <w:dstrike w:val="0"/>
        <w:u w:val="none"/>
        <w:effect w:val="none"/>
      </w:rPr>
    </w:lvl>
    <w:lvl w:ilvl="2">
      <w:start w:val="1"/>
      <w:numFmt w:val="lowerRoman"/>
      <w:lvlText w:val="(%3)"/>
      <w:lvlJc w:val="left"/>
      <w:pPr>
        <w:tabs>
          <w:tab w:val="num" w:pos="1963"/>
        </w:tabs>
        <w:ind w:left="1963" w:hanging="567"/>
      </w:pPr>
    </w:lvl>
    <w:lvl w:ilvl="3">
      <w:start w:val="1"/>
      <w:numFmt w:val="upperLetter"/>
      <w:lvlText w:val="%4."/>
      <w:lvlJc w:val="left"/>
      <w:pPr>
        <w:ind w:left="285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4298"/>
        </w:tabs>
        <w:ind w:left="4298" w:hanging="360"/>
      </w:pPr>
    </w:lvl>
    <w:lvl w:ilvl="6">
      <w:start w:val="1"/>
      <w:numFmt w:val="decimal"/>
      <w:lvlText w:val="%7."/>
      <w:lvlJc w:val="left"/>
      <w:pPr>
        <w:tabs>
          <w:tab w:val="num" w:pos="5018"/>
        </w:tabs>
        <w:ind w:left="5018" w:hanging="360"/>
      </w:pPr>
    </w:lvl>
    <w:lvl w:ilvl="7">
      <w:start w:val="1"/>
      <w:numFmt w:val="decimal"/>
      <w:lvlText w:val="%8."/>
      <w:lvlJc w:val="left"/>
      <w:pPr>
        <w:tabs>
          <w:tab w:val="num" w:pos="5738"/>
        </w:tabs>
        <w:ind w:left="5738" w:hanging="360"/>
      </w:pPr>
    </w:lvl>
    <w:lvl w:ilvl="8">
      <w:start w:val="1"/>
      <w:numFmt w:val="decimal"/>
      <w:lvlText w:val="%9."/>
      <w:lvlJc w:val="left"/>
      <w:pPr>
        <w:tabs>
          <w:tab w:val="num" w:pos="6458"/>
        </w:tabs>
        <w:ind w:left="6458" w:hanging="360"/>
      </w:pPr>
    </w:lvl>
  </w:abstractNum>
  <w:abstractNum w:abstractNumId="3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9" w15:restartNumberingAfterBreak="0">
    <w:nsid w:val="70EF4DD4"/>
    <w:multiLevelType w:val="hybridMultilevel"/>
    <w:tmpl w:val="7BF605E6"/>
    <w:lvl w:ilvl="0" w:tplc="1E1A3CA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00999737">
    <w:abstractNumId w:val="20"/>
  </w:num>
  <w:num w:numId="2" w16cid:durableId="1225986529">
    <w:abstractNumId w:val="9"/>
  </w:num>
  <w:num w:numId="3" w16cid:durableId="729185828">
    <w:abstractNumId w:val="7"/>
  </w:num>
  <w:num w:numId="4" w16cid:durableId="658851614">
    <w:abstractNumId w:val="6"/>
  </w:num>
  <w:num w:numId="5" w16cid:durableId="2041129600">
    <w:abstractNumId w:val="5"/>
  </w:num>
  <w:num w:numId="6" w16cid:durableId="1759867610">
    <w:abstractNumId w:val="4"/>
  </w:num>
  <w:num w:numId="7" w16cid:durableId="2044355854">
    <w:abstractNumId w:val="8"/>
  </w:num>
  <w:num w:numId="8" w16cid:durableId="1283725670">
    <w:abstractNumId w:val="3"/>
  </w:num>
  <w:num w:numId="9" w16cid:durableId="2020308860">
    <w:abstractNumId w:val="2"/>
  </w:num>
  <w:num w:numId="10" w16cid:durableId="1656446447">
    <w:abstractNumId w:val="1"/>
  </w:num>
  <w:num w:numId="11" w16cid:durableId="922644415">
    <w:abstractNumId w:val="0"/>
  </w:num>
  <w:num w:numId="12" w16cid:durableId="662701445">
    <w:abstractNumId w:val="36"/>
  </w:num>
  <w:num w:numId="13" w16cid:durableId="1653488713">
    <w:abstractNumId w:val="30"/>
  </w:num>
  <w:num w:numId="14" w16cid:durableId="841510712">
    <w:abstractNumId w:val="32"/>
  </w:num>
  <w:num w:numId="15" w16cid:durableId="225457798">
    <w:abstractNumId w:val="40"/>
  </w:num>
  <w:num w:numId="16" w16cid:durableId="1993172179">
    <w:abstractNumId w:val="16"/>
  </w:num>
  <w:num w:numId="17" w16cid:durableId="1932813638">
    <w:abstractNumId w:val="38"/>
  </w:num>
  <w:num w:numId="18" w16cid:durableId="1634672789">
    <w:abstractNumId w:val="12"/>
  </w:num>
  <w:num w:numId="19" w16cid:durableId="135801567">
    <w:abstractNumId w:val="24"/>
  </w:num>
  <w:num w:numId="20" w16cid:durableId="1160347303">
    <w:abstractNumId w:val="21"/>
  </w:num>
  <w:num w:numId="21" w16cid:durableId="805659445">
    <w:abstractNumId w:val="22"/>
  </w:num>
  <w:num w:numId="22" w16cid:durableId="1323659820">
    <w:abstractNumId w:val="29"/>
  </w:num>
  <w:num w:numId="23" w16cid:durableId="103815298">
    <w:abstractNumId w:val="11"/>
  </w:num>
  <w:num w:numId="24" w16cid:durableId="1827890390">
    <w:abstractNumId w:val="11"/>
  </w:num>
  <w:num w:numId="25" w16cid:durableId="1827475601">
    <w:abstractNumId w:val="15"/>
  </w:num>
  <w:num w:numId="26" w16cid:durableId="1915043120">
    <w:abstractNumId w:val="23"/>
  </w:num>
  <w:num w:numId="27" w16cid:durableId="775173539">
    <w:abstractNumId w:val="23"/>
  </w:num>
  <w:num w:numId="28" w16cid:durableId="257059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860660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377778">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530516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580429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3911403">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454751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168821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480901">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730563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150683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915498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4090399">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3363549">
    <w:abstractNumId w:val="18"/>
  </w:num>
  <w:num w:numId="42" w16cid:durableId="2080398626">
    <w:abstractNumId w:val="19"/>
  </w:num>
  <w:num w:numId="43" w16cid:durableId="1956715401">
    <w:abstractNumId w:val="14"/>
  </w:num>
  <w:num w:numId="44" w16cid:durableId="726344277">
    <w:abstractNumId w:val="28"/>
  </w:num>
  <w:num w:numId="45" w16cid:durableId="601452211">
    <w:abstractNumId w:val="29"/>
    <w:lvlOverride w:ilvl="0">
      <w:startOverride w:val="1"/>
    </w:lvlOverride>
  </w:num>
  <w:num w:numId="46" w16cid:durableId="1811709628">
    <w:abstractNumId w:val="33"/>
  </w:num>
  <w:num w:numId="47" w16cid:durableId="584995253">
    <w:abstractNumId w:val="10"/>
  </w:num>
  <w:num w:numId="48" w16cid:durableId="283922674">
    <w:abstractNumId w:val="13"/>
  </w:num>
  <w:num w:numId="49" w16cid:durableId="133144262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493292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681992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188345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6280544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140439">
    <w:abstractNumId w:val="21"/>
  </w:num>
  <w:num w:numId="55" w16cid:durableId="71004153">
    <w:abstractNumId w:val="37"/>
  </w:num>
  <w:num w:numId="56" w16cid:durableId="1971476985">
    <w:abstractNumId w:val="35"/>
  </w:num>
  <w:num w:numId="57" w16cid:durableId="1620381420">
    <w:abstractNumId w:val="27"/>
  </w:num>
  <w:num w:numId="58" w16cid:durableId="762335138">
    <w:abstractNumId w:val="34"/>
  </w:num>
  <w:num w:numId="59" w16cid:durableId="947935336">
    <w:abstractNumId w:val="17"/>
  </w:num>
  <w:num w:numId="60" w16cid:durableId="957878906">
    <w:abstractNumId w:val="39"/>
  </w:num>
  <w:num w:numId="61" w16cid:durableId="542060151">
    <w:abstractNumId w:val="25"/>
  </w:num>
  <w:num w:numId="62" w16cid:durableId="1150177015">
    <w:abstractNumId w:val="21"/>
  </w:num>
  <w:num w:numId="63" w16cid:durableId="138151347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4" w16cid:durableId="1235893550">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5" w16cid:durableId="1560553995">
    <w:abstractNumId w:val="31"/>
  </w:num>
  <w:num w:numId="66" w16cid:durableId="1902784563">
    <w:abstractNumId w:val="21"/>
  </w:num>
  <w:num w:numId="67" w16cid:durableId="926763984">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8" w16cid:durableId="2101636116">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16cid:durableId="2129162186">
    <w:abstractNumId w:val="21"/>
    <w:lvlOverride w:ilvl="0">
      <w:startOverride w:val="2"/>
    </w:lvlOverride>
  </w:num>
  <w:num w:numId="70" w16cid:durableId="1541553527">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16cid:durableId="727920812">
    <w:abstractNumId w:val="26"/>
  </w:num>
  <w:num w:numId="72" w16cid:durableId="488909863">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24"/>
    <w:rsid w:val="000005D4"/>
    <w:rsid w:val="00000747"/>
    <w:rsid w:val="000008ED"/>
    <w:rsid w:val="000026A6"/>
    <w:rsid w:val="0000355E"/>
    <w:rsid w:val="00003978"/>
    <w:rsid w:val="00004577"/>
    <w:rsid w:val="000057CD"/>
    <w:rsid w:val="0000680F"/>
    <w:rsid w:val="00010DCE"/>
    <w:rsid w:val="000115C5"/>
    <w:rsid w:val="00013366"/>
    <w:rsid w:val="00014118"/>
    <w:rsid w:val="0001469E"/>
    <w:rsid w:val="00014917"/>
    <w:rsid w:val="00015993"/>
    <w:rsid w:val="00015E50"/>
    <w:rsid w:val="00015EB0"/>
    <w:rsid w:val="00016C6A"/>
    <w:rsid w:val="00017155"/>
    <w:rsid w:val="000174DD"/>
    <w:rsid w:val="000176E3"/>
    <w:rsid w:val="00021CCB"/>
    <w:rsid w:val="00022289"/>
    <w:rsid w:val="00022C7E"/>
    <w:rsid w:val="000233E4"/>
    <w:rsid w:val="000237E9"/>
    <w:rsid w:val="00023933"/>
    <w:rsid w:val="00024803"/>
    <w:rsid w:val="000265A7"/>
    <w:rsid w:val="00027398"/>
    <w:rsid w:val="0002748C"/>
    <w:rsid w:val="00027580"/>
    <w:rsid w:val="0003097B"/>
    <w:rsid w:val="0003149A"/>
    <w:rsid w:val="00031B32"/>
    <w:rsid w:val="0003201A"/>
    <w:rsid w:val="0003207A"/>
    <w:rsid w:val="000322F6"/>
    <w:rsid w:val="00032F9F"/>
    <w:rsid w:val="00033822"/>
    <w:rsid w:val="0003514F"/>
    <w:rsid w:val="00036EC9"/>
    <w:rsid w:val="0003790D"/>
    <w:rsid w:val="00037F72"/>
    <w:rsid w:val="00041608"/>
    <w:rsid w:val="000416F0"/>
    <w:rsid w:val="00041C07"/>
    <w:rsid w:val="00042A32"/>
    <w:rsid w:val="0004308A"/>
    <w:rsid w:val="00045113"/>
    <w:rsid w:val="00045BB7"/>
    <w:rsid w:val="00046F3B"/>
    <w:rsid w:val="00050351"/>
    <w:rsid w:val="00050571"/>
    <w:rsid w:val="00051FED"/>
    <w:rsid w:val="0005235B"/>
    <w:rsid w:val="00053EBC"/>
    <w:rsid w:val="00054780"/>
    <w:rsid w:val="000552AF"/>
    <w:rsid w:val="00055678"/>
    <w:rsid w:val="00055719"/>
    <w:rsid w:val="0005641B"/>
    <w:rsid w:val="00056D14"/>
    <w:rsid w:val="00060038"/>
    <w:rsid w:val="000604E7"/>
    <w:rsid w:val="0006196A"/>
    <w:rsid w:val="00061A3E"/>
    <w:rsid w:val="00061E76"/>
    <w:rsid w:val="0006203B"/>
    <w:rsid w:val="000623C1"/>
    <w:rsid w:val="000627C6"/>
    <w:rsid w:val="00062A1E"/>
    <w:rsid w:val="00063D82"/>
    <w:rsid w:val="00063EF0"/>
    <w:rsid w:val="00064B20"/>
    <w:rsid w:val="00065006"/>
    <w:rsid w:val="000650F0"/>
    <w:rsid w:val="0007062F"/>
    <w:rsid w:val="00071FB3"/>
    <w:rsid w:val="000720E9"/>
    <w:rsid w:val="00072329"/>
    <w:rsid w:val="0007240C"/>
    <w:rsid w:val="000732F2"/>
    <w:rsid w:val="00073CA4"/>
    <w:rsid w:val="00073CCD"/>
    <w:rsid w:val="00077768"/>
    <w:rsid w:val="00077D4A"/>
    <w:rsid w:val="00080978"/>
    <w:rsid w:val="00080BBF"/>
    <w:rsid w:val="00081497"/>
    <w:rsid w:val="00081F66"/>
    <w:rsid w:val="000820BF"/>
    <w:rsid w:val="000822D2"/>
    <w:rsid w:val="000831EC"/>
    <w:rsid w:val="000836EB"/>
    <w:rsid w:val="00083BD8"/>
    <w:rsid w:val="00084126"/>
    <w:rsid w:val="00085255"/>
    <w:rsid w:val="00087B92"/>
    <w:rsid w:val="00090893"/>
    <w:rsid w:val="00091DB3"/>
    <w:rsid w:val="00091F3D"/>
    <w:rsid w:val="0009383E"/>
    <w:rsid w:val="00093E17"/>
    <w:rsid w:val="00097016"/>
    <w:rsid w:val="00097BE9"/>
    <w:rsid w:val="00097D33"/>
    <w:rsid w:val="00097F9B"/>
    <w:rsid w:val="000A04CA"/>
    <w:rsid w:val="000A2E76"/>
    <w:rsid w:val="000A2F76"/>
    <w:rsid w:val="000A3821"/>
    <w:rsid w:val="000A4352"/>
    <w:rsid w:val="000A4807"/>
    <w:rsid w:val="000A4BE4"/>
    <w:rsid w:val="000A509C"/>
    <w:rsid w:val="000A5301"/>
    <w:rsid w:val="000A5BA2"/>
    <w:rsid w:val="000A609E"/>
    <w:rsid w:val="000A642C"/>
    <w:rsid w:val="000A6A77"/>
    <w:rsid w:val="000A774C"/>
    <w:rsid w:val="000A77B3"/>
    <w:rsid w:val="000B0791"/>
    <w:rsid w:val="000B3645"/>
    <w:rsid w:val="000B5495"/>
    <w:rsid w:val="000B7ECC"/>
    <w:rsid w:val="000C023E"/>
    <w:rsid w:val="000C08A6"/>
    <w:rsid w:val="000C0DD2"/>
    <w:rsid w:val="000C1BD1"/>
    <w:rsid w:val="000C2662"/>
    <w:rsid w:val="000C3549"/>
    <w:rsid w:val="000C405D"/>
    <w:rsid w:val="000C4E1F"/>
    <w:rsid w:val="000C5195"/>
    <w:rsid w:val="000C5698"/>
    <w:rsid w:val="000C5D12"/>
    <w:rsid w:val="000C5DBD"/>
    <w:rsid w:val="000C62EF"/>
    <w:rsid w:val="000C6AAD"/>
    <w:rsid w:val="000C7BA8"/>
    <w:rsid w:val="000C7DB6"/>
    <w:rsid w:val="000D0F67"/>
    <w:rsid w:val="000D2137"/>
    <w:rsid w:val="000D315F"/>
    <w:rsid w:val="000D3230"/>
    <w:rsid w:val="000D3FD2"/>
    <w:rsid w:val="000D4B2E"/>
    <w:rsid w:val="000D5EA8"/>
    <w:rsid w:val="000D60D7"/>
    <w:rsid w:val="000D64C0"/>
    <w:rsid w:val="000D6C02"/>
    <w:rsid w:val="000D7B9D"/>
    <w:rsid w:val="000E0653"/>
    <w:rsid w:val="000E0AE1"/>
    <w:rsid w:val="000E33E9"/>
    <w:rsid w:val="000E3845"/>
    <w:rsid w:val="000E3FC8"/>
    <w:rsid w:val="000E5A03"/>
    <w:rsid w:val="000E687F"/>
    <w:rsid w:val="000E77C3"/>
    <w:rsid w:val="000E7BAE"/>
    <w:rsid w:val="000F03C6"/>
    <w:rsid w:val="000F133D"/>
    <w:rsid w:val="000F13C5"/>
    <w:rsid w:val="000F2DDD"/>
    <w:rsid w:val="000F2EF7"/>
    <w:rsid w:val="000F34FD"/>
    <w:rsid w:val="000F3628"/>
    <w:rsid w:val="000F3E7E"/>
    <w:rsid w:val="000F4C35"/>
    <w:rsid w:val="000F6509"/>
    <w:rsid w:val="000F6CCA"/>
    <w:rsid w:val="000F776E"/>
    <w:rsid w:val="0010097B"/>
    <w:rsid w:val="00100B4B"/>
    <w:rsid w:val="00100D99"/>
    <w:rsid w:val="00100FFF"/>
    <w:rsid w:val="00101F04"/>
    <w:rsid w:val="001036F4"/>
    <w:rsid w:val="00104378"/>
    <w:rsid w:val="001047FE"/>
    <w:rsid w:val="0010536B"/>
    <w:rsid w:val="001066BA"/>
    <w:rsid w:val="00106C16"/>
    <w:rsid w:val="00106F17"/>
    <w:rsid w:val="00107882"/>
    <w:rsid w:val="0011052E"/>
    <w:rsid w:val="0011145C"/>
    <w:rsid w:val="0011285C"/>
    <w:rsid w:val="0011289E"/>
    <w:rsid w:val="001128BD"/>
    <w:rsid w:val="0011419D"/>
    <w:rsid w:val="00114833"/>
    <w:rsid w:val="00114B02"/>
    <w:rsid w:val="00116BF6"/>
    <w:rsid w:val="0011726B"/>
    <w:rsid w:val="00117F0C"/>
    <w:rsid w:val="001206B4"/>
    <w:rsid w:val="001226C0"/>
    <w:rsid w:val="00122AE9"/>
    <w:rsid w:val="00122BBA"/>
    <w:rsid w:val="00122FEB"/>
    <w:rsid w:val="00126EC8"/>
    <w:rsid w:val="0012731C"/>
    <w:rsid w:val="001277E6"/>
    <w:rsid w:val="001314EB"/>
    <w:rsid w:val="00131E8D"/>
    <w:rsid w:val="00132054"/>
    <w:rsid w:val="00132C69"/>
    <w:rsid w:val="00133D65"/>
    <w:rsid w:val="00134964"/>
    <w:rsid w:val="001351B9"/>
    <w:rsid w:val="00135CE6"/>
    <w:rsid w:val="001369D8"/>
    <w:rsid w:val="00136F32"/>
    <w:rsid w:val="001401E6"/>
    <w:rsid w:val="001411B2"/>
    <w:rsid w:val="001412DD"/>
    <w:rsid w:val="00141E9A"/>
    <w:rsid w:val="001422E0"/>
    <w:rsid w:val="0014394D"/>
    <w:rsid w:val="001439A5"/>
    <w:rsid w:val="001466A1"/>
    <w:rsid w:val="00147003"/>
    <w:rsid w:val="00151EB3"/>
    <w:rsid w:val="0015234D"/>
    <w:rsid w:val="001523CC"/>
    <w:rsid w:val="00152ABB"/>
    <w:rsid w:val="00153846"/>
    <w:rsid w:val="00155726"/>
    <w:rsid w:val="00155CD2"/>
    <w:rsid w:val="00155E34"/>
    <w:rsid w:val="0016085D"/>
    <w:rsid w:val="00161997"/>
    <w:rsid w:val="00161A56"/>
    <w:rsid w:val="00162F69"/>
    <w:rsid w:val="00164852"/>
    <w:rsid w:val="0016580A"/>
    <w:rsid w:val="00165BCA"/>
    <w:rsid w:val="00165C16"/>
    <w:rsid w:val="00167035"/>
    <w:rsid w:val="00167665"/>
    <w:rsid w:val="0017269F"/>
    <w:rsid w:val="001727A4"/>
    <w:rsid w:val="00172A0A"/>
    <w:rsid w:val="0017376C"/>
    <w:rsid w:val="001738AB"/>
    <w:rsid w:val="00173B1D"/>
    <w:rsid w:val="00174778"/>
    <w:rsid w:val="00174F12"/>
    <w:rsid w:val="001756D0"/>
    <w:rsid w:val="0017577C"/>
    <w:rsid w:val="00175F41"/>
    <w:rsid w:val="001765E0"/>
    <w:rsid w:val="00176974"/>
    <w:rsid w:val="00176DE5"/>
    <w:rsid w:val="00177759"/>
    <w:rsid w:val="00180BB3"/>
    <w:rsid w:val="00180C33"/>
    <w:rsid w:val="00180F2D"/>
    <w:rsid w:val="001840E9"/>
    <w:rsid w:val="00184390"/>
    <w:rsid w:val="00185DD6"/>
    <w:rsid w:val="00185E6B"/>
    <w:rsid w:val="00185EAF"/>
    <w:rsid w:val="001867F5"/>
    <w:rsid w:val="00187BBC"/>
    <w:rsid w:val="00190168"/>
    <w:rsid w:val="00191022"/>
    <w:rsid w:val="00191F28"/>
    <w:rsid w:val="00192DAE"/>
    <w:rsid w:val="001932F3"/>
    <w:rsid w:val="001943DC"/>
    <w:rsid w:val="001946F2"/>
    <w:rsid w:val="00194984"/>
    <w:rsid w:val="0019514B"/>
    <w:rsid w:val="0019570E"/>
    <w:rsid w:val="00195A73"/>
    <w:rsid w:val="0019663E"/>
    <w:rsid w:val="001967E2"/>
    <w:rsid w:val="001A0CDA"/>
    <w:rsid w:val="001A10B0"/>
    <w:rsid w:val="001A1164"/>
    <w:rsid w:val="001A2B40"/>
    <w:rsid w:val="001A331D"/>
    <w:rsid w:val="001A3804"/>
    <w:rsid w:val="001A3B52"/>
    <w:rsid w:val="001A4309"/>
    <w:rsid w:val="001A46AE"/>
    <w:rsid w:val="001A4A5B"/>
    <w:rsid w:val="001A521A"/>
    <w:rsid w:val="001A638A"/>
    <w:rsid w:val="001A6C52"/>
    <w:rsid w:val="001A7ECB"/>
    <w:rsid w:val="001B08D1"/>
    <w:rsid w:val="001B1053"/>
    <w:rsid w:val="001B14A0"/>
    <w:rsid w:val="001B14AC"/>
    <w:rsid w:val="001B1D46"/>
    <w:rsid w:val="001B3503"/>
    <w:rsid w:val="001B3806"/>
    <w:rsid w:val="001B41EE"/>
    <w:rsid w:val="001B639C"/>
    <w:rsid w:val="001B646F"/>
    <w:rsid w:val="001B6BB9"/>
    <w:rsid w:val="001B7940"/>
    <w:rsid w:val="001C0541"/>
    <w:rsid w:val="001C171A"/>
    <w:rsid w:val="001C1A08"/>
    <w:rsid w:val="001C1F30"/>
    <w:rsid w:val="001C2FE0"/>
    <w:rsid w:val="001C37CA"/>
    <w:rsid w:val="001C4085"/>
    <w:rsid w:val="001C4DDA"/>
    <w:rsid w:val="001C563D"/>
    <w:rsid w:val="001C5674"/>
    <w:rsid w:val="001C6F79"/>
    <w:rsid w:val="001D16F6"/>
    <w:rsid w:val="001D3CF4"/>
    <w:rsid w:val="001D402F"/>
    <w:rsid w:val="001D4303"/>
    <w:rsid w:val="001D6746"/>
    <w:rsid w:val="001D6958"/>
    <w:rsid w:val="001D7276"/>
    <w:rsid w:val="001D7B12"/>
    <w:rsid w:val="001E0C61"/>
    <w:rsid w:val="001E131E"/>
    <w:rsid w:val="001E1690"/>
    <w:rsid w:val="001E1E43"/>
    <w:rsid w:val="001E1E63"/>
    <w:rsid w:val="001E2B29"/>
    <w:rsid w:val="001E3576"/>
    <w:rsid w:val="001E3B49"/>
    <w:rsid w:val="001E46A7"/>
    <w:rsid w:val="001E4A05"/>
    <w:rsid w:val="001E5710"/>
    <w:rsid w:val="001E6A19"/>
    <w:rsid w:val="001E6EDF"/>
    <w:rsid w:val="001E7388"/>
    <w:rsid w:val="001F0AAA"/>
    <w:rsid w:val="001F13DD"/>
    <w:rsid w:val="001F2473"/>
    <w:rsid w:val="001F2DBC"/>
    <w:rsid w:val="001F34E3"/>
    <w:rsid w:val="001F4B7B"/>
    <w:rsid w:val="001F4C21"/>
    <w:rsid w:val="001F4E05"/>
    <w:rsid w:val="001F5123"/>
    <w:rsid w:val="001F5DBC"/>
    <w:rsid w:val="001F6734"/>
    <w:rsid w:val="001F7001"/>
    <w:rsid w:val="001F73E8"/>
    <w:rsid w:val="00200465"/>
    <w:rsid w:val="00201404"/>
    <w:rsid w:val="0020262C"/>
    <w:rsid w:val="00202723"/>
    <w:rsid w:val="00204CA2"/>
    <w:rsid w:val="00205767"/>
    <w:rsid w:val="00205A49"/>
    <w:rsid w:val="002071B4"/>
    <w:rsid w:val="002076E4"/>
    <w:rsid w:val="00211A3E"/>
    <w:rsid w:val="00213705"/>
    <w:rsid w:val="00213C73"/>
    <w:rsid w:val="00213F20"/>
    <w:rsid w:val="00214055"/>
    <w:rsid w:val="002157E7"/>
    <w:rsid w:val="00215BCA"/>
    <w:rsid w:val="002160F5"/>
    <w:rsid w:val="00216DA8"/>
    <w:rsid w:val="00217AC4"/>
    <w:rsid w:val="00221461"/>
    <w:rsid w:val="00222AB2"/>
    <w:rsid w:val="00223B03"/>
    <w:rsid w:val="00224537"/>
    <w:rsid w:val="00226609"/>
    <w:rsid w:val="00227EC8"/>
    <w:rsid w:val="00231538"/>
    <w:rsid w:val="00231C8C"/>
    <w:rsid w:val="00233652"/>
    <w:rsid w:val="00233747"/>
    <w:rsid w:val="00233AB4"/>
    <w:rsid w:val="0023552C"/>
    <w:rsid w:val="00235956"/>
    <w:rsid w:val="00235A8D"/>
    <w:rsid w:val="002366F7"/>
    <w:rsid w:val="002407EA"/>
    <w:rsid w:val="00241F1E"/>
    <w:rsid w:val="00243647"/>
    <w:rsid w:val="00243E5E"/>
    <w:rsid w:val="002440BC"/>
    <w:rsid w:val="00244962"/>
    <w:rsid w:val="00245332"/>
    <w:rsid w:val="00246401"/>
    <w:rsid w:val="002467A6"/>
    <w:rsid w:val="00247C9A"/>
    <w:rsid w:val="00247E3D"/>
    <w:rsid w:val="0025160C"/>
    <w:rsid w:val="00252EDF"/>
    <w:rsid w:val="002535D0"/>
    <w:rsid w:val="002539B3"/>
    <w:rsid w:val="0025409A"/>
    <w:rsid w:val="00256336"/>
    <w:rsid w:val="0025697F"/>
    <w:rsid w:val="00256CDD"/>
    <w:rsid w:val="00257556"/>
    <w:rsid w:val="00257951"/>
    <w:rsid w:val="00257C3E"/>
    <w:rsid w:val="002602C2"/>
    <w:rsid w:val="00261677"/>
    <w:rsid w:val="00261E27"/>
    <w:rsid w:val="002627C6"/>
    <w:rsid w:val="00262F03"/>
    <w:rsid w:val="00262F12"/>
    <w:rsid w:val="002631CD"/>
    <w:rsid w:val="0026433F"/>
    <w:rsid w:val="00264C2B"/>
    <w:rsid w:val="0026506A"/>
    <w:rsid w:val="00265128"/>
    <w:rsid w:val="002666C9"/>
    <w:rsid w:val="0026701A"/>
    <w:rsid w:val="002675B1"/>
    <w:rsid w:val="00270136"/>
    <w:rsid w:val="0027066C"/>
    <w:rsid w:val="00270CDF"/>
    <w:rsid w:val="00270FD7"/>
    <w:rsid w:val="00271075"/>
    <w:rsid w:val="00271326"/>
    <w:rsid w:val="00271822"/>
    <w:rsid w:val="00271C6B"/>
    <w:rsid w:val="00273CE9"/>
    <w:rsid w:val="00273F0C"/>
    <w:rsid w:val="00274C15"/>
    <w:rsid w:val="00274F5B"/>
    <w:rsid w:val="00275857"/>
    <w:rsid w:val="0027687E"/>
    <w:rsid w:val="00280051"/>
    <w:rsid w:val="002805D3"/>
    <w:rsid w:val="00280836"/>
    <w:rsid w:val="0028125F"/>
    <w:rsid w:val="00281C4D"/>
    <w:rsid w:val="00282E1A"/>
    <w:rsid w:val="00283998"/>
    <w:rsid w:val="002840F1"/>
    <w:rsid w:val="002842AF"/>
    <w:rsid w:val="0028453E"/>
    <w:rsid w:val="00285252"/>
    <w:rsid w:val="00285470"/>
    <w:rsid w:val="00285922"/>
    <w:rsid w:val="00285E50"/>
    <w:rsid w:val="00290B1E"/>
    <w:rsid w:val="0029113B"/>
    <w:rsid w:val="00292521"/>
    <w:rsid w:val="00292BB2"/>
    <w:rsid w:val="002934C0"/>
    <w:rsid w:val="00293E1F"/>
    <w:rsid w:val="0029764C"/>
    <w:rsid w:val="002A03E9"/>
    <w:rsid w:val="002A16D3"/>
    <w:rsid w:val="002A1B50"/>
    <w:rsid w:val="002A2073"/>
    <w:rsid w:val="002A34A3"/>
    <w:rsid w:val="002A3FAB"/>
    <w:rsid w:val="002A520E"/>
    <w:rsid w:val="002A571C"/>
    <w:rsid w:val="002A5E61"/>
    <w:rsid w:val="002B05D3"/>
    <w:rsid w:val="002B0E91"/>
    <w:rsid w:val="002B132C"/>
    <w:rsid w:val="002B2FCA"/>
    <w:rsid w:val="002B3F23"/>
    <w:rsid w:val="002B485C"/>
    <w:rsid w:val="002B4EB5"/>
    <w:rsid w:val="002B5A5E"/>
    <w:rsid w:val="002B5AF5"/>
    <w:rsid w:val="002B6779"/>
    <w:rsid w:val="002B71C0"/>
    <w:rsid w:val="002B7A34"/>
    <w:rsid w:val="002C0509"/>
    <w:rsid w:val="002C31AD"/>
    <w:rsid w:val="002C4234"/>
    <w:rsid w:val="002C7280"/>
    <w:rsid w:val="002C7385"/>
    <w:rsid w:val="002D0A68"/>
    <w:rsid w:val="002D104C"/>
    <w:rsid w:val="002D226E"/>
    <w:rsid w:val="002D23E2"/>
    <w:rsid w:val="002D2DBB"/>
    <w:rsid w:val="002D37D8"/>
    <w:rsid w:val="002D3A26"/>
    <w:rsid w:val="002D54A6"/>
    <w:rsid w:val="002D79A8"/>
    <w:rsid w:val="002E023B"/>
    <w:rsid w:val="002E041D"/>
    <w:rsid w:val="002E0841"/>
    <w:rsid w:val="002E0E5F"/>
    <w:rsid w:val="002E1E4E"/>
    <w:rsid w:val="002E1E74"/>
    <w:rsid w:val="002E2477"/>
    <w:rsid w:val="002E3779"/>
    <w:rsid w:val="002E5BF9"/>
    <w:rsid w:val="002E5F07"/>
    <w:rsid w:val="002E6A7A"/>
    <w:rsid w:val="002F0192"/>
    <w:rsid w:val="002F0B3F"/>
    <w:rsid w:val="002F1324"/>
    <w:rsid w:val="002F1433"/>
    <w:rsid w:val="002F1480"/>
    <w:rsid w:val="002F180E"/>
    <w:rsid w:val="002F1E49"/>
    <w:rsid w:val="002F2882"/>
    <w:rsid w:val="002F488F"/>
    <w:rsid w:val="002F4E9C"/>
    <w:rsid w:val="002F518B"/>
    <w:rsid w:val="002F583B"/>
    <w:rsid w:val="002F6E15"/>
    <w:rsid w:val="002F7B52"/>
    <w:rsid w:val="002F7BE6"/>
    <w:rsid w:val="002F7F3B"/>
    <w:rsid w:val="003019FB"/>
    <w:rsid w:val="00302C69"/>
    <w:rsid w:val="00302F4E"/>
    <w:rsid w:val="00303BC4"/>
    <w:rsid w:val="003040FF"/>
    <w:rsid w:val="00305A03"/>
    <w:rsid w:val="00305E6F"/>
    <w:rsid w:val="00307399"/>
    <w:rsid w:val="003079BF"/>
    <w:rsid w:val="0031239E"/>
    <w:rsid w:val="0031256C"/>
    <w:rsid w:val="00313864"/>
    <w:rsid w:val="00313FF0"/>
    <w:rsid w:val="00314000"/>
    <w:rsid w:val="00314D6C"/>
    <w:rsid w:val="00316D2A"/>
    <w:rsid w:val="00317CD1"/>
    <w:rsid w:val="00317FC7"/>
    <w:rsid w:val="00320B6D"/>
    <w:rsid w:val="00321491"/>
    <w:rsid w:val="0032237C"/>
    <w:rsid w:val="00322780"/>
    <w:rsid w:val="00322A7C"/>
    <w:rsid w:val="00322D77"/>
    <w:rsid w:val="00322EEC"/>
    <w:rsid w:val="00323061"/>
    <w:rsid w:val="00323F43"/>
    <w:rsid w:val="00324419"/>
    <w:rsid w:val="00325785"/>
    <w:rsid w:val="003268E3"/>
    <w:rsid w:val="00326E93"/>
    <w:rsid w:val="00327411"/>
    <w:rsid w:val="00327934"/>
    <w:rsid w:val="00327FF5"/>
    <w:rsid w:val="00331F71"/>
    <w:rsid w:val="00332317"/>
    <w:rsid w:val="00334B1F"/>
    <w:rsid w:val="003400C1"/>
    <w:rsid w:val="003402D3"/>
    <w:rsid w:val="0034068E"/>
    <w:rsid w:val="00340DA0"/>
    <w:rsid w:val="00341110"/>
    <w:rsid w:val="00341F8B"/>
    <w:rsid w:val="00341FB4"/>
    <w:rsid w:val="00343ABC"/>
    <w:rsid w:val="00344BAF"/>
    <w:rsid w:val="003463FE"/>
    <w:rsid w:val="0034696D"/>
    <w:rsid w:val="003472FC"/>
    <w:rsid w:val="00347D41"/>
    <w:rsid w:val="00347F06"/>
    <w:rsid w:val="00350D65"/>
    <w:rsid w:val="00350F0A"/>
    <w:rsid w:val="0035141C"/>
    <w:rsid w:val="00352879"/>
    <w:rsid w:val="00353355"/>
    <w:rsid w:val="00354FDD"/>
    <w:rsid w:val="0035534B"/>
    <w:rsid w:val="003554B3"/>
    <w:rsid w:val="00356632"/>
    <w:rsid w:val="00357657"/>
    <w:rsid w:val="0035773C"/>
    <w:rsid w:val="00357C33"/>
    <w:rsid w:val="00357C7E"/>
    <w:rsid w:val="00360B74"/>
    <w:rsid w:val="00361278"/>
    <w:rsid w:val="0036207F"/>
    <w:rsid w:val="0036369F"/>
    <w:rsid w:val="00364301"/>
    <w:rsid w:val="00364DBA"/>
    <w:rsid w:val="00365333"/>
    <w:rsid w:val="003653B6"/>
    <w:rsid w:val="00365D27"/>
    <w:rsid w:val="0036703E"/>
    <w:rsid w:val="00367AFA"/>
    <w:rsid w:val="00370277"/>
    <w:rsid w:val="00370327"/>
    <w:rsid w:val="00370D4D"/>
    <w:rsid w:val="00372AE4"/>
    <w:rsid w:val="00372BB4"/>
    <w:rsid w:val="00373DBA"/>
    <w:rsid w:val="00374630"/>
    <w:rsid w:val="00374961"/>
    <w:rsid w:val="00374CC4"/>
    <w:rsid w:val="00375EA8"/>
    <w:rsid w:val="00376A3B"/>
    <w:rsid w:val="003774B2"/>
    <w:rsid w:val="00380F2D"/>
    <w:rsid w:val="00382733"/>
    <w:rsid w:val="00382883"/>
    <w:rsid w:val="003834BD"/>
    <w:rsid w:val="0038448F"/>
    <w:rsid w:val="003845A9"/>
    <w:rsid w:val="003849E0"/>
    <w:rsid w:val="003849F2"/>
    <w:rsid w:val="003850A4"/>
    <w:rsid w:val="003850C9"/>
    <w:rsid w:val="00387201"/>
    <w:rsid w:val="00390772"/>
    <w:rsid w:val="00390883"/>
    <w:rsid w:val="00390A9E"/>
    <w:rsid w:val="00390DB2"/>
    <w:rsid w:val="00391DCA"/>
    <w:rsid w:val="003922F8"/>
    <w:rsid w:val="00392340"/>
    <w:rsid w:val="003929D7"/>
    <w:rsid w:val="00392DD4"/>
    <w:rsid w:val="00393AE3"/>
    <w:rsid w:val="00394E2B"/>
    <w:rsid w:val="0039532D"/>
    <w:rsid w:val="00395B24"/>
    <w:rsid w:val="00395F62"/>
    <w:rsid w:val="00396885"/>
    <w:rsid w:val="00396DDC"/>
    <w:rsid w:val="00396DEB"/>
    <w:rsid w:val="003A09FB"/>
    <w:rsid w:val="003A0A42"/>
    <w:rsid w:val="003A2D38"/>
    <w:rsid w:val="003A324E"/>
    <w:rsid w:val="003A4CBB"/>
    <w:rsid w:val="003A5B82"/>
    <w:rsid w:val="003A6066"/>
    <w:rsid w:val="003A6A48"/>
    <w:rsid w:val="003A6DB2"/>
    <w:rsid w:val="003A7B31"/>
    <w:rsid w:val="003A7ECC"/>
    <w:rsid w:val="003B102F"/>
    <w:rsid w:val="003B1716"/>
    <w:rsid w:val="003B204A"/>
    <w:rsid w:val="003B29CB"/>
    <w:rsid w:val="003B2C72"/>
    <w:rsid w:val="003B2FE5"/>
    <w:rsid w:val="003B4532"/>
    <w:rsid w:val="003B58B4"/>
    <w:rsid w:val="003C024C"/>
    <w:rsid w:val="003C0782"/>
    <w:rsid w:val="003C0E0E"/>
    <w:rsid w:val="003C1333"/>
    <w:rsid w:val="003C13D7"/>
    <w:rsid w:val="003C1E90"/>
    <w:rsid w:val="003C20FF"/>
    <w:rsid w:val="003C46EF"/>
    <w:rsid w:val="003C47F5"/>
    <w:rsid w:val="003C5233"/>
    <w:rsid w:val="003C550A"/>
    <w:rsid w:val="003C5DB6"/>
    <w:rsid w:val="003C6055"/>
    <w:rsid w:val="003C721D"/>
    <w:rsid w:val="003C7CBD"/>
    <w:rsid w:val="003C7CBF"/>
    <w:rsid w:val="003D08F3"/>
    <w:rsid w:val="003D1C5D"/>
    <w:rsid w:val="003D22CE"/>
    <w:rsid w:val="003D2650"/>
    <w:rsid w:val="003D37DA"/>
    <w:rsid w:val="003D3D6E"/>
    <w:rsid w:val="003D560C"/>
    <w:rsid w:val="003D5C00"/>
    <w:rsid w:val="003D62B6"/>
    <w:rsid w:val="003D6C0D"/>
    <w:rsid w:val="003D7E22"/>
    <w:rsid w:val="003E012B"/>
    <w:rsid w:val="003E3154"/>
    <w:rsid w:val="003E5874"/>
    <w:rsid w:val="003E6D18"/>
    <w:rsid w:val="003E6E9E"/>
    <w:rsid w:val="003E72D3"/>
    <w:rsid w:val="003E7A0C"/>
    <w:rsid w:val="003F1765"/>
    <w:rsid w:val="003F193E"/>
    <w:rsid w:val="003F242C"/>
    <w:rsid w:val="003F34F1"/>
    <w:rsid w:val="003F4D2E"/>
    <w:rsid w:val="003F5498"/>
    <w:rsid w:val="003F5A40"/>
    <w:rsid w:val="003F5B18"/>
    <w:rsid w:val="003F7F3C"/>
    <w:rsid w:val="004004F3"/>
    <w:rsid w:val="004009C1"/>
    <w:rsid w:val="00400B35"/>
    <w:rsid w:val="00401186"/>
    <w:rsid w:val="00402080"/>
    <w:rsid w:val="0040248D"/>
    <w:rsid w:val="004031D8"/>
    <w:rsid w:val="00403646"/>
    <w:rsid w:val="0040371D"/>
    <w:rsid w:val="00403BB8"/>
    <w:rsid w:val="00406C3C"/>
    <w:rsid w:val="00406C57"/>
    <w:rsid w:val="004075A0"/>
    <w:rsid w:val="00407824"/>
    <w:rsid w:val="00410358"/>
    <w:rsid w:val="004104B6"/>
    <w:rsid w:val="00411735"/>
    <w:rsid w:val="00411AE8"/>
    <w:rsid w:val="00412713"/>
    <w:rsid w:val="00413289"/>
    <w:rsid w:val="00413B74"/>
    <w:rsid w:val="00414128"/>
    <w:rsid w:val="00414C73"/>
    <w:rsid w:val="00420429"/>
    <w:rsid w:val="004223B8"/>
    <w:rsid w:val="004238EC"/>
    <w:rsid w:val="00423A9B"/>
    <w:rsid w:val="00424E0E"/>
    <w:rsid w:val="00425217"/>
    <w:rsid w:val="004259A1"/>
    <w:rsid w:val="00426A77"/>
    <w:rsid w:val="00426B6E"/>
    <w:rsid w:val="0043098B"/>
    <w:rsid w:val="00431ED8"/>
    <w:rsid w:val="004320A9"/>
    <w:rsid w:val="00432371"/>
    <w:rsid w:val="004327D9"/>
    <w:rsid w:val="00433077"/>
    <w:rsid w:val="004342F3"/>
    <w:rsid w:val="00434CF6"/>
    <w:rsid w:val="00434F43"/>
    <w:rsid w:val="00435C5F"/>
    <w:rsid w:val="00436155"/>
    <w:rsid w:val="00436460"/>
    <w:rsid w:val="00436657"/>
    <w:rsid w:val="00440679"/>
    <w:rsid w:val="00440B9B"/>
    <w:rsid w:val="0044135A"/>
    <w:rsid w:val="00441A6D"/>
    <w:rsid w:val="00441E98"/>
    <w:rsid w:val="00445319"/>
    <w:rsid w:val="00446C21"/>
    <w:rsid w:val="00446F24"/>
    <w:rsid w:val="004474C8"/>
    <w:rsid w:val="00447E6E"/>
    <w:rsid w:val="004503EB"/>
    <w:rsid w:val="00450580"/>
    <w:rsid w:val="00450F3A"/>
    <w:rsid w:val="004519E7"/>
    <w:rsid w:val="004523F1"/>
    <w:rsid w:val="004532F7"/>
    <w:rsid w:val="004545A5"/>
    <w:rsid w:val="00455737"/>
    <w:rsid w:val="00455A8A"/>
    <w:rsid w:val="00456145"/>
    <w:rsid w:val="00456A83"/>
    <w:rsid w:val="00456B19"/>
    <w:rsid w:val="0045756F"/>
    <w:rsid w:val="004606B4"/>
    <w:rsid w:val="00460F3B"/>
    <w:rsid w:val="00462981"/>
    <w:rsid w:val="00462F67"/>
    <w:rsid w:val="0046414E"/>
    <w:rsid w:val="00464803"/>
    <w:rsid w:val="00464D51"/>
    <w:rsid w:val="004668A6"/>
    <w:rsid w:val="00467727"/>
    <w:rsid w:val="00470F94"/>
    <w:rsid w:val="00471BC4"/>
    <w:rsid w:val="00471D41"/>
    <w:rsid w:val="00471EC4"/>
    <w:rsid w:val="00472027"/>
    <w:rsid w:val="004720ED"/>
    <w:rsid w:val="0047212C"/>
    <w:rsid w:val="00473987"/>
    <w:rsid w:val="0047398A"/>
    <w:rsid w:val="00475628"/>
    <w:rsid w:val="00476883"/>
    <w:rsid w:val="00476BBC"/>
    <w:rsid w:val="004804CF"/>
    <w:rsid w:val="00481E47"/>
    <w:rsid w:val="004831A9"/>
    <w:rsid w:val="00483314"/>
    <w:rsid w:val="004838B9"/>
    <w:rsid w:val="00484962"/>
    <w:rsid w:val="00484C0F"/>
    <w:rsid w:val="00484F6D"/>
    <w:rsid w:val="00484FB7"/>
    <w:rsid w:val="0048554D"/>
    <w:rsid w:val="00486B72"/>
    <w:rsid w:val="00486C09"/>
    <w:rsid w:val="0048787D"/>
    <w:rsid w:val="0049338A"/>
    <w:rsid w:val="004934A5"/>
    <w:rsid w:val="0049386A"/>
    <w:rsid w:val="0049417F"/>
    <w:rsid w:val="00494BF5"/>
    <w:rsid w:val="00495446"/>
    <w:rsid w:val="00496C3C"/>
    <w:rsid w:val="00496D41"/>
    <w:rsid w:val="00497727"/>
    <w:rsid w:val="004A03ED"/>
    <w:rsid w:val="004A0BA2"/>
    <w:rsid w:val="004A0C82"/>
    <w:rsid w:val="004A0D54"/>
    <w:rsid w:val="004A1677"/>
    <w:rsid w:val="004A3645"/>
    <w:rsid w:val="004A4D01"/>
    <w:rsid w:val="004A54E0"/>
    <w:rsid w:val="004A5AB6"/>
    <w:rsid w:val="004A6602"/>
    <w:rsid w:val="004B0731"/>
    <w:rsid w:val="004B0C34"/>
    <w:rsid w:val="004B1BEE"/>
    <w:rsid w:val="004B21DB"/>
    <w:rsid w:val="004B2285"/>
    <w:rsid w:val="004B3EFA"/>
    <w:rsid w:val="004B4EEA"/>
    <w:rsid w:val="004B504B"/>
    <w:rsid w:val="004B50C3"/>
    <w:rsid w:val="004B5645"/>
    <w:rsid w:val="004C0EE6"/>
    <w:rsid w:val="004C254A"/>
    <w:rsid w:val="004C2662"/>
    <w:rsid w:val="004C2A87"/>
    <w:rsid w:val="004C2C15"/>
    <w:rsid w:val="004C2EF0"/>
    <w:rsid w:val="004C4D7B"/>
    <w:rsid w:val="004C4ED3"/>
    <w:rsid w:val="004C5520"/>
    <w:rsid w:val="004C60B2"/>
    <w:rsid w:val="004C667B"/>
    <w:rsid w:val="004C7ECD"/>
    <w:rsid w:val="004D13A7"/>
    <w:rsid w:val="004D2294"/>
    <w:rsid w:val="004D2337"/>
    <w:rsid w:val="004D2B52"/>
    <w:rsid w:val="004D2EA5"/>
    <w:rsid w:val="004D312C"/>
    <w:rsid w:val="004D32A6"/>
    <w:rsid w:val="004D5078"/>
    <w:rsid w:val="004D53E5"/>
    <w:rsid w:val="004D7950"/>
    <w:rsid w:val="004E01B9"/>
    <w:rsid w:val="004E0334"/>
    <w:rsid w:val="004E04FD"/>
    <w:rsid w:val="004E08B9"/>
    <w:rsid w:val="004E142F"/>
    <w:rsid w:val="004E2DA2"/>
    <w:rsid w:val="004E3F75"/>
    <w:rsid w:val="004E5EB0"/>
    <w:rsid w:val="004E6DC4"/>
    <w:rsid w:val="004E7C29"/>
    <w:rsid w:val="004E7DB8"/>
    <w:rsid w:val="004F0B59"/>
    <w:rsid w:val="004F0EB1"/>
    <w:rsid w:val="004F194F"/>
    <w:rsid w:val="004F21C1"/>
    <w:rsid w:val="004F24CB"/>
    <w:rsid w:val="004F2506"/>
    <w:rsid w:val="004F35A1"/>
    <w:rsid w:val="004F3E76"/>
    <w:rsid w:val="004F3FD5"/>
    <w:rsid w:val="004F43F1"/>
    <w:rsid w:val="004F499A"/>
    <w:rsid w:val="004F6CF1"/>
    <w:rsid w:val="00500147"/>
    <w:rsid w:val="005005CD"/>
    <w:rsid w:val="00501348"/>
    <w:rsid w:val="00501A12"/>
    <w:rsid w:val="0050236E"/>
    <w:rsid w:val="005029F2"/>
    <w:rsid w:val="00502AA8"/>
    <w:rsid w:val="00502E3E"/>
    <w:rsid w:val="0050309C"/>
    <w:rsid w:val="005038EA"/>
    <w:rsid w:val="00503D47"/>
    <w:rsid w:val="0050590D"/>
    <w:rsid w:val="00507E18"/>
    <w:rsid w:val="005107AB"/>
    <w:rsid w:val="0051182A"/>
    <w:rsid w:val="00511EE0"/>
    <w:rsid w:val="005121AB"/>
    <w:rsid w:val="00512E76"/>
    <w:rsid w:val="0051327C"/>
    <w:rsid w:val="0051346D"/>
    <w:rsid w:val="00513B38"/>
    <w:rsid w:val="00513EAE"/>
    <w:rsid w:val="0051434F"/>
    <w:rsid w:val="005166C9"/>
    <w:rsid w:val="00516806"/>
    <w:rsid w:val="0052098C"/>
    <w:rsid w:val="0052102D"/>
    <w:rsid w:val="005247B0"/>
    <w:rsid w:val="00525290"/>
    <w:rsid w:val="00525A49"/>
    <w:rsid w:val="00525A67"/>
    <w:rsid w:val="00525EF1"/>
    <w:rsid w:val="005262D1"/>
    <w:rsid w:val="00526BC5"/>
    <w:rsid w:val="00527269"/>
    <w:rsid w:val="00527D62"/>
    <w:rsid w:val="00530876"/>
    <w:rsid w:val="00531205"/>
    <w:rsid w:val="00531C8A"/>
    <w:rsid w:val="0053250D"/>
    <w:rsid w:val="005332A0"/>
    <w:rsid w:val="005342F3"/>
    <w:rsid w:val="005347EA"/>
    <w:rsid w:val="00534A93"/>
    <w:rsid w:val="00535613"/>
    <w:rsid w:val="005359EB"/>
    <w:rsid w:val="005374D0"/>
    <w:rsid w:val="00537DEB"/>
    <w:rsid w:val="00540D47"/>
    <w:rsid w:val="00542332"/>
    <w:rsid w:val="0054254A"/>
    <w:rsid w:val="00542B39"/>
    <w:rsid w:val="00542CCA"/>
    <w:rsid w:val="00542EA4"/>
    <w:rsid w:val="005432E4"/>
    <w:rsid w:val="00543572"/>
    <w:rsid w:val="0054367E"/>
    <w:rsid w:val="00543A66"/>
    <w:rsid w:val="00544BE3"/>
    <w:rsid w:val="00544D09"/>
    <w:rsid w:val="0054500B"/>
    <w:rsid w:val="0054621D"/>
    <w:rsid w:val="005466B5"/>
    <w:rsid w:val="00550A3B"/>
    <w:rsid w:val="0055111E"/>
    <w:rsid w:val="00551239"/>
    <w:rsid w:val="00551716"/>
    <w:rsid w:val="005520AF"/>
    <w:rsid w:val="005527F9"/>
    <w:rsid w:val="005535DD"/>
    <w:rsid w:val="005538F3"/>
    <w:rsid w:val="00554314"/>
    <w:rsid w:val="00555762"/>
    <w:rsid w:val="00555E47"/>
    <w:rsid w:val="00561ADF"/>
    <w:rsid w:val="00562829"/>
    <w:rsid w:val="005629B3"/>
    <w:rsid w:val="00562C10"/>
    <w:rsid w:val="005646FB"/>
    <w:rsid w:val="005648D4"/>
    <w:rsid w:val="005649C6"/>
    <w:rsid w:val="00564A94"/>
    <w:rsid w:val="0056525B"/>
    <w:rsid w:val="00565559"/>
    <w:rsid w:val="00565574"/>
    <w:rsid w:val="00565FF0"/>
    <w:rsid w:val="00566C70"/>
    <w:rsid w:val="0057128A"/>
    <w:rsid w:val="005722F3"/>
    <w:rsid w:val="005724F6"/>
    <w:rsid w:val="005738C5"/>
    <w:rsid w:val="0057395F"/>
    <w:rsid w:val="00573AC4"/>
    <w:rsid w:val="005752D4"/>
    <w:rsid w:val="005801FC"/>
    <w:rsid w:val="00580FB7"/>
    <w:rsid w:val="00582675"/>
    <w:rsid w:val="005859AE"/>
    <w:rsid w:val="00585BA9"/>
    <w:rsid w:val="00587359"/>
    <w:rsid w:val="005903D9"/>
    <w:rsid w:val="00590AE1"/>
    <w:rsid w:val="0059304E"/>
    <w:rsid w:val="00595016"/>
    <w:rsid w:val="00595660"/>
    <w:rsid w:val="005960F9"/>
    <w:rsid w:val="00596764"/>
    <w:rsid w:val="00597AAE"/>
    <w:rsid w:val="005A1558"/>
    <w:rsid w:val="005A222C"/>
    <w:rsid w:val="005A264A"/>
    <w:rsid w:val="005A3F0E"/>
    <w:rsid w:val="005A4DF8"/>
    <w:rsid w:val="005A4F11"/>
    <w:rsid w:val="005A5792"/>
    <w:rsid w:val="005A5CB8"/>
    <w:rsid w:val="005A69B9"/>
    <w:rsid w:val="005A6F7B"/>
    <w:rsid w:val="005A7780"/>
    <w:rsid w:val="005A78C8"/>
    <w:rsid w:val="005B1426"/>
    <w:rsid w:val="005B2388"/>
    <w:rsid w:val="005B2D90"/>
    <w:rsid w:val="005B2E10"/>
    <w:rsid w:val="005B402A"/>
    <w:rsid w:val="005B4377"/>
    <w:rsid w:val="005B5445"/>
    <w:rsid w:val="005B5668"/>
    <w:rsid w:val="005B65CB"/>
    <w:rsid w:val="005B72B0"/>
    <w:rsid w:val="005C0A8E"/>
    <w:rsid w:val="005C1767"/>
    <w:rsid w:val="005C185C"/>
    <w:rsid w:val="005C2473"/>
    <w:rsid w:val="005C2A49"/>
    <w:rsid w:val="005C2ED9"/>
    <w:rsid w:val="005C3908"/>
    <w:rsid w:val="005C4072"/>
    <w:rsid w:val="005C42EF"/>
    <w:rsid w:val="005C465C"/>
    <w:rsid w:val="005C46E7"/>
    <w:rsid w:val="005C4DC5"/>
    <w:rsid w:val="005C5EA2"/>
    <w:rsid w:val="005C686D"/>
    <w:rsid w:val="005C7DB2"/>
    <w:rsid w:val="005D0C72"/>
    <w:rsid w:val="005D13F4"/>
    <w:rsid w:val="005D1CA0"/>
    <w:rsid w:val="005D1F18"/>
    <w:rsid w:val="005D2C1C"/>
    <w:rsid w:val="005D3513"/>
    <w:rsid w:val="005D38D2"/>
    <w:rsid w:val="005D43B0"/>
    <w:rsid w:val="005D55CD"/>
    <w:rsid w:val="005D5BCC"/>
    <w:rsid w:val="005D5FE8"/>
    <w:rsid w:val="005D7577"/>
    <w:rsid w:val="005E02F5"/>
    <w:rsid w:val="005E0510"/>
    <w:rsid w:val="005E176E"/>
    <w:rsid w:val="005E218E"/>
    <w:rsid w:val="005E35A0"/>
    <w:rsid w:val="005E445C"/>
    <w:rsid w:val="005E45A7"/>
    <w:rsid w:val="005E569F"/>
    <w:rsid w:val="005E6FEB"/>
    <w:rsid w:val="005F0D1B"/>
    <w:rsid w:val="005F1865"/>
    <w:rsid w:val="005F1C88"/>
    <w:rsid w:val="005F22F9"/>
    <w:rsid w:val="005F2A44"/>
    <w:rsid w:val="005F3307"/>
    <w:rsid w:val="005F4CA4"/>
    <w:rsid w:val="005F5426"/>
    <w:rsid w:val="005F5F3D"/>
    <w:rsid w:val="005F7817"/>
    <w:rsid w:val="005F7B44"/>
    <w:rsid w:val="00600522"/>
    <w:rsid w:val="006007BD"/>
    <w:rsid w:val="00600A2D"/>
    <w:rsid w:val="0060133A"/>
    <w:rsid w:val="006013A5"/>
    <w:rsid w:val="006013C8"/>
    <w:rsid w:val="006013CC"/>
    <w:rsid w:val="00601EDD"/>
    <w:rsid w:val="00601EE4"/>
    <w:rsid w:val="0060270D"/>
    <w:rsid w:val="00603556"/>
    <w:rsid w:val="00603751"/>
    <w:rsid w:val="006041D4"/>
    <w:rsid w:val="00604342"/>
    <w:rsid w:val="00604611"/>
    <w:rsid w:val="006050D3"/>
    <w:rsid w:val="00610B11"/>
    <w:rsid w:val="00611586"/>
    <w:rsid w:val="00611CE4"/>
    <w:rsid w:val="00611E3A"/>
    <w:rsid w:val="00612D26"/>
    <w:rsid w:val="00612DDC"/>
    <w:rsid w:val="0061372C"/>
    <w:rsid w:val="00613FA5"/>
    <w:rsid w:val="0061534F"/>
    <w:rsid w:val="00615855"/>
    <w:rsid w:val="0061634B"/>
    <w:rsid w:val="00620DA8"/>
    <w:rsid w:val="0062146E"/>
    <w:rsid w:val="00621887"/>
    <w:rsid w:val="00623357"/>
    <w:rsid w:val="0062365A"/>
    <w:rsid w:val="006243AF"/>
    <w:rsid w:val="00624520"/>
    <w:rsid w:val="0062452A"/>
    <w:rsid w:val="00624543"/>
    <w:rsid w:val="006248DE"/>
    <w:rsid w:val="00624EBE"/>
    <w:rsid w:val="0062572A"/>
    <w:rsid w:val="00625D96"/>
    <w:rsid w:val="00626D2C"/>
    <w:rsid w:val="006271F5"/>
    <w:rsid w:val="00627806"/>
    <w:rsid w:val="006306DE"/>
    <w:rsid w:val="00631205"/>
    <w:rsid w:val="00632300"/>
    <w:rsid w:val="00632BB7"/>
    <w:rsid w:val="0063532C"/>
    <w:rsid w:val="00635B36"/>
    <w:rsid w:val="00636871"/>
    <w:rsid w:val="00636B2A"/>
    <w:rsid w:val="00637412"/>
    <w:rsid w:val="006408BF"/>
    <w:rsid w:val="00640EE1"/>
    <w:rsid w:val="00640F4E"/>
    <w:rsid w:val="006421D5"/>
    <w:rsid w:val="00642DD1"/>
    <w:rsid w:val="00643DE0"/>
    <w:rsid w:val="0064437D"/>
    <w:rsid w:val="00644666"/>
    <w:rsid w:val="00644E85"/>
    <w:rsid w:val="00644EC9"/>
    <w:rsid w:val="0064510E"/>
    <w:rsid w:val="0064592B"/>
    <w:rsid w:val="00646819"/>
    <w:rsid w:val="00647DC6"/>
    <w:rsid w:val="00650769"/>
    <w:rsid w:val="006508F3"/>
    <w:rsid w:val="006516D8"/>
    <w:rsid w:val="0065254D"/>
    <w:rsid w:val="00652603"/>
    <w:rsid w:val="00652C52"/>
    <w:rsid w:val="00653477"/>
    <w:rsid w:val="00653895"/>
    <w:rsid w:val="00653EBB"/>
    <w:rsid w:val="0065552F"/>
    <w:rsid w:val="006601D9"/>
    <w:rsid w:val="0066063F"/>
    <w:rsid w:val="00662BB0"/>
    <w:rsid w:val="00663878"/>
    <w:rsid w:val="00664AF5"/>
    <w:rsid w:val="00666632"/>
    <w:rsid w:val="00666B12"/>
    <w:rsid w:val="00666EFB"/>
    <w:rsid w:val="00667773"/>
    <w:rsid w:val="00670743"/>
    <w:rsid w:val="00670A20"/>
    <w:rsid w:val="0067115F"/>
    <w:rsid w:val="006719FE"/>
    <w:rsid w:val="006721E9"/>
    <w:rsid w:val="006724F2"/>
    <w:rsid w:val="0067352F"/>
    <w:rsid w:val="00674A8B"/>
    <w:rsid w:val="0067528D"/>
    <w:rsid w:val="00675818"/>
    <w:rsid w:val="006764B0"/>
    <w:rsid w:val="006774BC"/>
    <w:rsid w:val="006778CA"/>
    <w:rsid w:val="00677B23"/>
    <w:rsid w:val="00677D66"/>
    <w:rsid w:val="006808C5"/>
    <w:rsid w:val="00680A85"/>
    <w:rsid w:val="006812B8"/>
    <w:rsid w:val="006814D8"/>
    <w:rsid w:val="00681ADF"/>
    <w:rsid w:val="00682E78"/>
    <w:rsid w:val="0068399E"/>
    <w:rsid w:val="00683AA8"/>
    <w:rsid w:val="00684E47"/>
    <w:rsid w:val="00685685"/>
    <w:rsid w:val="00687688"/>
    <w:rsid w:val="00690EE2"/>
    <w:rsid w:val="00691D57"/>
    <w:rsid w:val="006923A0"/>
    <w:rsid w:val="00692B70"/>
    <w:rsid w:val="00693854"/>
    <w:rsid w:val="00694524"/>
    <w:rsid w:val="00694BEB"/>
    <w:rsid w:val="0069530E"/>
    <w:rsid w:val="006956C6"/>
    <w:rsid w:val="00696EE1"/>
    <w:rsid w:val="006976B2"/>
    <w:rsid w:val="00697C68"/>
    <w:rsid w:val="006A0E20"/>
    <w:rsid w:val="006A145D"/>
    <w:rsid w:val="006A24E3"/>
    <w:rsid w:val="006A52E8"/>
    <w:rsid w:val="006A5695"/>
    <w:rsid w:val="006A5F16"/>
    <w:rsid w:val="006A72C6"/>
    <w:rsid w:val="006A735F"/>
    <w:rsid w:val="006A796F"/>
    <w:rsid w:val="006A7A8E"/>
    <w:rsid w:val="006B0439"/>
    <w:rsid w:val="006B2377"/>
    <w:rsid w:val="006B2FCC"/>
    <w:rsid w:val="006B3904"/>
    <w:rsid w:val="006B4E81"/>
    <w:rsid w:val="006B509F"/>
    <w:rsid w:val="006B574F"/>
    <w:rsid w:val="006B5B7D"/>
    <w:rsid w:val="006B64B9"/>
    <w:rsid w:val="006C0D6F"/>
    <w:rsid w:val="006C11EB"/>
    <w:rsid w:val="006C361E"/>
    <w:rsid w:val="006C3ECF"/>
    <w:rsid w:val="006C515F"/>
    <w:rsid w:val="006C5B46"/>
    <w:rsid w:val="006C63A6"/>
    <w:rsid w:val="006C63C7"/>
    <w:rsid w:val="006C6E39"/>
    <w:rsid w:val="006D04D7"/>
    <w:rsid w:val="006D0758"/>
    <w:rsid w:val="006D0ECF"/>
    <w:rsid w:val="006D13C7"/>
    <w:rsid w:val="006D1D15"/>
    <w:rsid w:val="006D27B0"/>
    <w:rsid w:val="006D3D5B"/>
    <w:rsid w:val="006D4094"/>
    <w:rsid w:val="006D4C92"/>
    <w:rsid w:val="006D4EB6"/>
    <w:rsid w:val="006D5CBF"/>
    <w:rsid w:val="006D7595"/>
    <w:rsid w:val="006D7855"/>
    <w:rsid w:val="006D7A63"/>
    <w:rsid w:val="006D7DFB"/>
    <w:rsid w:val="006D7FBC"/>
    <w:rsid w:val="006E12DE"/>
    <w:rsid w:val="006E2832"/>
    <w:rsid w:val="006E35BF"/>
    <w:rsid w:val="006E4077"/>
    <w:rsid w:val="006E4ACD"/>
    <w:rsid w:val="006E65EC"/>
    <w:rsid w:val="006E6FB4"/>
    <w:rsid w:val="006E7850"/>
    <w:rsid w:val="006E792E"/>
    <w:rsid w:val="006F1053"/>
    <w:rsid w:val="006F1415"/>
    <w:rsid w:val="006F19D8"/>
    <w:rsid w:val="006F1B22"/>
    <w:rsid w:val="006F35B4"/>
    <w:rsid w:val="006F46D6"/>
    <w:rsid w:val="006F4BBB"/>
    <w:rsid w:val="006F5323"/>
    <w:rsid w:val="006F5C02"/>
    <w:rsid w:val="006F6F46"/>
    <w:rsid w:val="006F7535"/>
    <w:rsid w:val="00701AB0"/>
    <w:rsid w:val="00701BF4"/>
    <w:rsid w:val="00702606"/>
    <w:rsid w:val="007028D9"/>
    <w:rsid w:val="007032C4"/>
    <w:rsid w:val="0070410A"/>
    <w:rsid w:val="007044B4"/>
    <w:rsid w:val="00704DEE"/>
    <w:rsid w:val="00705720"/>
    <w:rsid w:val="00705B41"/>
    <w:rsid w:val="00707218"/>
    <w:rsid w:val="00710D04"/>
    <w:rsid w:val="007118C9"/>
    <w:rsid w:val="00711E27"/>
    <w:rsid w:val="00712B1D"/>
    <w:rsid w:val="00712DE2"/>
    <w:rsid w:val="0071375D"/>
    <w:rsid w:val="00713E0F"/>
    <w:rsid w:val="0071513E"/>
    <w:rsid w:val="00715596"/>
    <w:rsid w:val="00715751"/>
    <w:rsid w:val="007159E5"/>
    <w:rsid w:val="00716123"/>
    <w:rsid w:val="007171BA"/>
    <w:rsid w:val="00717290"/>
    <w:rsid w:val="00717616"/>
    <w:rsid w:val="007178BF"/>
    <w:rsid w:val="007205DC"/>
    <w:rsid w:val="007209A0"/>
    <w:rsid w:val="007223D9"/>
    <w:rsid w:val="00723658"/>
    <w:rsid w:val="00723A96"/>
    <w:rsid w:val="00723B38"/>
    <w:rsid w:val="00727148"/>
    <w:rsid w:val="00727910"/>
    <w:rsid w:val="00727FD0"/>
    <w:rsid w:val="00730F7F"/>
    <w:rsid w:val="00731C54"/>
    <w:rsid w:val="007325D9"/>
    <w:rsid w:val="00732C2E"/>
    <w:rsid w:val="0073413F"/>
    <w:rsid w:val="00734AAB"/>
    <w:rsid w:val="00734E63"/>
    <w:rsid w:val="00735689"/>
    <w:rsid w:val="0073583B"/>
    <w:rsid w:val="007358B0"/>
    <w:rsid w:val="00736067"/>
    <w:rsid w:val="007360CA"/>
    <w:rsid w:val="0073734C"/>
    <w:rsid w:val="00737AEF"/>
    <w:rsid w:val="00737FB4"/>
    <w:rsid w:val="00740767"/>
    <w:rsid w:val="007413DF"/>
    <w:rsid w:val="0074295F"/>
    <w:rsid w:val="00743344"/>
    <w:rsid w:val="007441BF"/>
    <w:rsid w:val="0074667B"/>
    <w:rsid w:val="007470BD"/>
    <w:rsid w:val="00747CC9"/>
    <w:rsid w:val="00750609"/>
    <w:rsid w:val="007514A6"/>
    <w:rsid w:val="00751576"/>
    <w:rsid w:val="00752AEA"/>
    <w:rsid w:val="00753C47"/>
    <w:rsid w:val="0075444A"/>
    <w:rsid w:val="0075486D"/>
    <w:rsid w:val="00754A9B"/>
    <w:rsid w:val="00754CAB"/>
    <w:rsid w:val="00755393"/>
    <w:rsid w:val="00755AFE"/>
    <w:rsid w:val="00760EC0"/>
    <w:rsid w:val="00760ECF"/>
    <w:rsid w:val="0076131F"/>
    <w:rsid w:val="00761D5C"/>
    <w:rsid w:val="00762642"/>
    <w:rsid w:val="00763667"/>
    <w:rsid w:val="0076400A"/>
    <w:rsid w:val="00764271"/>
    <w:rsid w:val="007660E5"/>
    <w:rsid w:val="00766584"/>
    <w:rsid w:val="0076675A"/>
    <w:rsid w:val="00766D36"/>
    <w:rsid w:val="00767CB5"/>
    <w:rsid w:val="007711BD"/>
    <w:rsid w:val="00771566"/>
    <w:rsid w:val="0077283C"/>
    <w:rsid w:val="00773F1D"/>
    <w:rsid w:val="0077443C"/>
    <w:rsid w:val="00774AED"/>
    <w:rsid w:val="00774F76"/>
    <w:rsid w:val="00775C46"/>
    <w:rsid w:val="0077648D"/>
    <w:rsid w:val="007766CC"/>
    <w:rsid w:val="00776B77"/>
    <w:rsid w:val="00776DA4"/>
    <w:rsid w:val="00777121"/>
    <w:rsid w:val="0078003A"/>
    <w:rsid w:val="00780296"/>
    <w:rsid w:val="00780771"/>
    <w:rsid w:val="00781585"/>
    <w:rsid w:val="00781958"/>
    <w:rsid w:val="00784990"/>
    <w:rsid w:val="00784CC6"/>
    <w:rsid w:val="0078513B"/>
    <w:rsid w:val="00790905"/>
    <w:rsid w:val="00791290"/>
    <w:rsid w:val="00791EAB"/>
    <w:rsid w:val="007922A5"/>
    <w:rsid w:val="007929CF"/>
    <w:rsid w:val="00793388"/>
    <w:rsid w:val="0079354D"/>
    <w:rsid w:val="0079445E"/>
    <w:rsid w:val="00794C72"/>
    <w:rsid w:val="00797BA8"/>
    <w:rsid w:val="007A081D"/>
    <w:rsid w:val="007A3BEA"/>
    <w:rsid w:val="007A3CA9"/>
    <w:rsid w:val="007A49E7"/>
    <w:rsid w:val="007A4A87"/>
    <w:rsid w:val="007A52E2"/>
    <w:rsid w:val="007A578E"/>
    <w:rsid w:val="007A59BD"/>
    <w:rsid w:val="007A6F28"/>
    <w:rsid w:val="007A73BE"/>
    <w:rsid w:val="007A768E"/>
    <w:rsid w:val="007A7D43"/>
    <w:rsid w:val="007B03C6"/>
    <w:rsid w:val="007B0DB1"/>
    <w:rsid w:val="007B120B"/>
    <w:rsid w:val="007B1520"/>
    <w:rsid w:val="007B1699"/>
    <w:rsid w:val="007B236E"/>
    <w:rsid w:val="007B2735"/>
    <w:rsid w:val="007B35BD"/>
    <w:rsid w:val="007B54A2"/>
    <w:rsid w:val="007B5673"/>
    <w:rsid w:val="007B5BBC"/>
    <w:rsid w:val="007B64A0"/>
    <w:rsid w:val="007B7238"/>
    <w:rsid w:val="007B76FF"/>
    <w:rsid w:val="007B7C6C"/>
    <w:rsid w:val="007B7CBA"/>
    <w:rsid w:val="007C0236"/>
    <w:rsid w:val="007C1E30"/>
    <w:rsid w:val="007C20E3"/>
    <w:rsid w:val="007C34D5"/>
    <w:rsid w:val="007C3582"/>
    <w:rsid w:val="007C3BF6"/>
    <w:rsid w:val="007C40DF"/>
    <w:rsid w:val="007C6115"/>
    <w:rsid w:val="007C65A9"/>
    <w:rsid w:val="007C67B3"/>
    <w:rsid w:val="007C7B8F"/>
    <w:rsid w:val="007D0A85"/>
    <w:rsid w:val="007D0E8A"/>
    <w:rsid w:val="007D0FD2"/>
    <w:rsid w:val="007D2195"/>
    <w:rsid w:val="007D289B"/>
    <w:rsid w:val="007D2EF8"/>
    <w:rsid w:val="007D3136"/>
    <w:rsid w:val="007D3977"/>
    <w:rsid w:val="007D480F"/>
    <w:rsid w:val="007D49C7"/>
    <w:rsid w:val="007D561F"/>
    <w:rsid w:val="007D7E0F"/>
    <w:rsid w:val="007D7FD2"/>
    <w:rsid w:val="007E09AB"/>
    <w:rsid w:val="007E13D9"/>
    <w:rsid w:val="007E2467"/>
    <w:rsid w:val="007E2AEC"/>
    <w:rsid w:val="007E41BE"/>
    <w:rsid w:val="007E4A3B"/>
    <w:rsid w:val="007E4B06"/>
    <w:rsid w:val="007E4DB6"/>
    <w:rsid w:val="007E4F17"/>
    <w:rsid w:val="007E4F26"/>
    <w:rsid w:val="007E50CE"/>
    <w:rsid w:val="007E6358"/>
    <w:rsid w:val="007E6556"/>
    <w:rsid w:val="007E6733"/>
    <w:rsid w:val="007E722A"/>
    <w:rsid w:val="007E7C76"/>
    <w:rsid w:val="007E7CD4"/>
    <w:rsid w:val="007F016D"/>
    <w:rsid w:val="007F0F37"/>
    <w:rsid w:val="007F0F40"/>
    <w:rsid w:val="007F12AC"/>
    <w:rsid w:val="007F1EBC"/>
    <w:rsid w:val="007F30BE"/>
    <w:rsid w:val="007F34BD"/>
    <w:rsid w:val="007F4501"/>
    <w:rsid w:val="007F4FFF"/>
    <w:rsid w:val="007F5054"/>
    <w:rsid w:val="007F51D4"/>
    <w:rsid w:val="007F60DF"/>
    <w:rsid w:val="00800944"/>
    <w:rsid w:val="00800CC4"/>
    <w:rsid w:val="00801800"/>
    <w:rsid w:val="00801861"/>
    <w:rsid w:val="00801B5B"/>
    <w:rsid w:val="00801BF5"/>
    <w:rsid w:val="00801C46"/>
    <w:rsid w:val="00801C5E"/>
    <w:rsid w:val="00803F22"/>
    <w:rsid w:val="00804374"/>
    <w:rsid w:val="00804D3D"/>
    <w:rsid w:val="008053B3"/>
    <w:rsid w:val="00805A30"/>
    <w:rsid w:val="00806138"/>
    <w:rsid w:val="00806CCB"/>
    <w:rsid w:val="00806DF3"/>
    <w:rsid w:val="00807226"/>
    <w:rsid w:val="008078D7"/>
    <w:rsid w:val="00810D1E"/>
    <w:rsid w:val="008134FA"/>
    <w:rsid w:val="0081354E"/>
    <w:rsid w:val="0081378F"/>
    <w:rsid w:val="00813C5F"/>
    <w:rsid w:val="008158B1"/>
    <w:rsid w:val="00820268"/>
    <w:rsid w:val="00820EBB"/>
    <w:rsid w:val="008212A5"/>
    <w:rsid w:val="0082159A"/>
    <w:rsid w:val="008216E7"/>
    <w:rsid w:val="00821747"/>
    <w:rsid w:val="008228A8"/>
    <w:rsid w:val="00825887"/>
    <w:rsid w:val="00825AC7"/>
    <w:rsid w:val="00825BE6"/>
    <w:rsid w:val="008262C1"/>
    <w:rsid w:val="00826D0B"/>
    <w:rsid w:val="00827035"/>
    <w:rsid w:val="008276B4"/>
    <w:rsid w:val="00827868"/>
    <w:rsid w:val="00827B26"/>
    <w:rsid w:val="00831927"/>
    <w:rsid w:val="00835C28"/>
    <w:rsid w:val="0083659E"/>
    <w:rsid w:val="00837288"/>
    <w:rsid w:val="00837471"/>
    <w:rsid w:val="008379EF"/>
    <w:rsid w:val="008409B2"/>
    <w:rsid w:val="00840A2B"/>
    <w:rsid w:val="00840F4A"/>
    <w:rsid w:val="00841BD3"/>
    <w:rsid w:val="008420C9"/>
    <w:rsid w:val="0084273D"/>
    <w:rsid w:val="00843489"/>
    <w:rsid w:val="00844B9D"/>
    <w:rsid w:val="00844E3F"/>
    <w:rsid w:val="00844ED5"/>
    <w:rsid w:val="00845097"/>
    <w:rsid w:val="0084538C"/>
    <w:rsid w:val="00845A83"/>
    <w:rsid w:val="00846BB9"/>
    <w:rsid w:val="00850D28"/>
    <w:rsid w:val="00851D08"/>
    <w:rsid w:val="00854287"/>
    <w:rsid w:val="00855DCB"/>
    <w:rsid w:val="008575BC"/>
    <w:rsid w:val="00857BDF"/>
    <w:rsid w:val="00857CA1"/>
    <w:rsid w:val="008600E0"/>
    <w:rsid w:val="00860DE2"/>
    <w:rsid w:val="00862AE0"/>
    <w:rsid w:val="00863CA2"/>
    <w:rsid w:val="00863D6F"/>
    <w:rsid w:val="008649D5"/>
    <w:rsid w:val="00867E82"/>
    <w:rsid w:val="008712BB"/>
    <w:rsid w:val="008714F2"/>
    <w:rsid w:val="008745E8"/>
    <w:rsid w:val="00877816"/>
    <w:rsid w:val="00877A87"/>
    <w:rsid w:val="00880264"/>
    <w:rsid w:val="0088033C"/>
    <w:rsid w:val="008806AB"/>
    <w:rsid w:val="00880729"/>
    <w:rsid w:val="00880B49"/>
    <w:rsid w:val="00880EA3"/>
    <w:rsid w:val="0088131A"/>
    <w:rsid w:val="00881553"/>
    <w:rsid w:val="00881C55"/>
    <w:rsid w:val="008830E7"/>
    <w:rsid w:val="00883C89"/>
    <w:rsid w:val="0088514B"/>
    <w:rsid w:val="008857D5"/>
    <w:rsid w:val="008871C0"/>
    <w:rsid w:val="0088732F"/>
    <w:rsid w:val="00887A98"/>
    <w:rsid w:val="00890EDE"/>
    <w:rsid w:val="00891876"/>
    <w:rsid w:val="00892B38"/>
    <w:rsid w:val="00893B52"/>
    <w:rsid w:val="00894011"/>
    <w:rsid w:val="00896312"/>
    <w:rsid w:val="008969E0"/>
    <w:rsid w:val="00897EED"/>
    <w:rsid w:val="008A0227"/>
    <w:rsid w:val="008A1463"/>
    <w:rsid w:val="008A1741"/>
    <w:rsid w:val="008A2358"/>
    <w:rsid w:val="008A2484"/>
    <w:rsid w:val="008A3C95"/>
    <w:rsid w:val="008A4598"/>
    <w:rsid w:val="008A52F3"/>
    <w:rsid w:val="008A5654"/>
    <w:rsid w:val="008A622F"/>
    <w:rsid w:val="008A6962"/>
    <w:rsid w:val="008A6CDD"/>
    <w:rsid w:val="008A70B0"/>
    <w:rsid w:val="008A7336"/>
    <w:rsid w:val="008A7B58"/>
    <w:rsid w:val="008A7B9D"/>
    <w:rsid w:val="008A7BB8"/>
    <w:rsid w:val="008A7DF9"/>
    <w:rsid w:val="008B01F2"/>
    <w:rsid w:val="008B1CBE"/>
    <w:rsid w:val="008B4310"/>
    <w:rsid w:val="008B4577"/>
    <w:rsid w:val="008B567D"/>
    <w:rsid w:val="008B5A1D"/>
    <w:rsid w:val="008B5A43"/>
    <w:rsid w:val="008B678E"/>
    <w:rsid w:val="008B68E2"/>
    <w:rsid w:val="008C0100"/>
    <w:rsid w:val="008C022D"/>
    <w:rsid w:val="008C0766"/>
    <w:rsid w:val="008C26D9"/>
    <w:rsid w:val="008C3D39"/>
    <w:rsid w:val="008C6D50"/>
    <w:rsid w:val="008C712D"/>
    <w:rsid w:val="008C7167"/>
    <w:rsid w:val="008C7503"/>
    <w:rsid w:val="008C776D"/>
    <w:rsid w:val="008D0B51"/>
    <w:rsid w:val="008D0EB6"/>
    <w:rsid w:val="008D1617"/>
    <w:rsid w:val="008D20F2"/>
    <w:rsid w:val="008D2522"/>
    <w:rsid w:val="008D2978"/>
    <w:rsid w:val="008D330F"/>
    <w:rsid w:val="008D40EB"/>
    <w:rsid w:val="008D45CB"/>
    <w:rsid w:val="008D46D4"/>
    <w:rsid w:val="008D48C1"/>
    <w:rsid w:val="008E0C03"/>
    <w:rsid w:val="008E0C71"/>
    <w:rsid w:val="008E1725"/>
    <w:rsid w:val="008E22E0"/>
    <w:rsid w:val="008E494A"/>
    <w:rsid w:val="008E5070"/>
    <w:rsid w:val="008E5FFF"/>
    <w:rsid w:val="008E6223"/>
    <w:rsid w:val="008E6315"/>
    <w:rsid w:val="008E6C05"/>
    <w:rsid w:val="008E7306"/>
    <w:rsid w:val="008E7E85"/>
    <w:rsid w:val="008F016D"/>
    <w:rsid w:val="008F0480"/>
    <w:rsid w:val="008F07FC"/>
    <w:rsid w:val="008F1092"/>
    <w:rsid w:val="008F11E0"/>
    <w:rsid w:val="008F210F"/>
    <w:rsid w:val="008F3A1D"/>
    <w:rsid w:val="008F3EA7"/>
    <w:rsid w:val="008F4FB2"/>
    <w:rsid w:val="008F5899"/>
    <w:rsid w:val="008F638D"/>
    <w:rsid w:val="008F6E0B"/>
    <w:rsid w:val="008F70EB"/>
    <w:rsid w:val="008F78BC"/>
    <w:rsid w:val="008F7B63"/>
    <w:rsid w:val="008F7D6A"/>
    <w:rsid w:val="008F7F71"/>
    <w:rsid w:val="009001BA"/>
    <w:rsid w:val="0090187D"/>
    <w:rsid w:val="00901C86"/>
    <w:rsid w:val="00903603"/>
    <w:rsid w:val="00903DAA"/>
    <w:rsid w:val="009049CC"/>
    <w:rsid w:val="00904AF9"/>
    <w:rsid w:val="009054CB"/>
    <w:rsid w:val="0090622E"/>
    <w:rsid w:val="00906711"/>
    <w:rsid w:val="00910713"/>
    <w:rsid w:val="00911F8D"/>
    <w:rsid w:val="00912F94"/>
    <w:rsid w:val="00912FBA"/>
    <w:rsid w:val="0091471E"/>
    <w:rsid w:val="00916E96"/>
    <w:rsid w:val="0091710B"/>
    <w:rsid w:val="009171BC"/>
    <w:rsid w:val="00922E3B"/>
    <w:rsid w:val="00923F50"/>
    <w:rsid w:val="0092497E"/>
    <w:rsid w:val="00924B65"/>
    <w:rsid w:val="00925392"/>
    <w:rsid w:val="0092590B"/>
    <w:rsid w:val="00925B86"/>
    <w:rsid w:val="00925BF3"/>
    <w:rsid w:val="00925E60"/>
    <w:rsid w:val="009264B3"/>
    <w:rsid w:val="00926FB0"/>
    <w:rsid w:val="00927062"/>
    <w:rsid w:val="00930064"/>
    <w:rsid w:val="009301C3"/>
    <w:rsid w:val="00930758"/>
    <w:rsid w:val="00930ABD"/>
    <w:rsid w:val="00930B4D"/>
    <w:rsid w:val="00931682"/>
    <w:rsid w:val="00931AAD"/>
    <w:rsid w:val="00931BD9"/>
    <w:rsid w:val="00931E4C"/>
    <w:rsid w:val="0093353A"/>
    <w:rsid w:val="00933688"/>
    <w:rsid w:val="00933DBE"/>
    <w:rsid w:val="009353AC"/>
    <w:rsid w:val="009365E0"/>
    <w:rsid w:val="00941B48"/>
    <w:rsid w:val="00942BA2"/>
    <w:rsid w:val="00942E00"/>
    <w:rsid w:val="009432B7"/>
    <w:rsid w:val="009433AC"/>
    <w:rsid w:val="0094421C"/>
    <w:rsid w:val="009444FF"/>
    <w:rsid w:val="00944C86"/>
    <w:rsid w:val="00945291"/>
    <w:rsid w:val="00946C66"/>
    <w:rsid w:val="00946D8F"/>
    <w:rsid w:val="009478E9"/>
    <w:rsid w:val="00947C02"/>
    <w:rsid w:val="009503DB"/>
    <w:rsid w:val="00950604"/>
    <w:rsid w:val="00950BE6"/>
    <w:rsid w:val="00951A83"/>
    <w:rsid w:val="00952569"/>
    <w:rsid w:val="009534B7"/>
    <w:rsid w:val="00954738"/>
    <w:rsid w:val="00954AD0"/>
    <w:rsid w:val="00955051"/>
    <w:rsid w:val="00955294"/>
    <w:rsid w:val="0095559F"/>
    <w:rsid w:val="00955C2E"/>
    <w:rsid w:val="00955F6F"/>
    <w:rsid w:val="00957DE8"/>
    <w:rsid w:val="00960DA2"/>
    <w:rsid w:val="00960ECB"/>
    <w:rsid w:val="009615D6"/>
    <w:rsid w:val="00961789"/>
    <w:rsid w:val="009633E1"/>
    <w:rsid w:val="00963645"/>
    <w:rsid w:val="00966493"/>
    <w:rsid w:val="00966626"/>
    <w:rsid w:val="00966C91"/>
    <w:rsid w:val="00966F05"/>
    <w:rsid w:val="00967855"/>
    <w:rsid w:val="00971CD1"/>
    <w:rsid w:val="00972375"/>
    <w:rsid w:val="009732C1"/>
    <w:rsid w:val="00973F40"/>
    <w:rsid w:val="00974162"/>
    <w:rsid w:val="00974709"/>
    <w:rsid w:val="009779AB"/>
    <w:rsid w:val="009801AE"/>
    <w:rsid w:val="009805AE"/>
    <w:rsid w:val="00980736"/>
    <w:rsid w:val="00980855"/>
    <w:rsid w:val="00980CCD"/>
    <w:rsid w:val="00981A39"/>
    <w:rsid w:val="00982D56"/>
    <w:rsid w:val="00982F4F"/>
    <w:rsid w:val="00983589"/>
    <w:rsid w:val="009836FA"/>
    <w:rsid w:val="00983DBF"/>
    <w:rsid w:val="009846BE"/>
    <w:rsid w:val="00987097"/>
    <w:rsid w:val="00987BC4"/>
    <w:rsid w:val="009908C1"/>
    <w:rsid w:val="00990D99"/>
    <w:rsid w:val="00991123"/>
    <w:rsid w:val="00991185"/>
    <w:rsid w:val="00991CAB"/>
    <w:rsid w:val="009924C5"/>
    <w:rsid w:val="009957DF"/>
    <w:rsid w:val="0099614F"/>
    <w:rsid w:val="00996751"/>
    <w:rsid w:val="00996A4C"/>
    <w:rsid w:val="009A0C41"/>
    <w:rsid w:val="009A1D83"/>
    <w:rsid w:val="009A2435"/>
    <w:rsid w:val="009A3200"/>
    <w:rsid w:val="009A39E2"/>
    <w:rsid w:val="009A3A9C"/>
    <w:rsid w:val="009A54C6"/>
    <w:rsid w:val="009A556F"/>
    <w:rsid w:val="009A5BB5"/>
    <w:rsid w:val="009A649D"/>
    <w:rsid w:val="009A6583"/>
    <w:rsid w:val="009A6595"/>
    <w:rsid w:val="009A66C5"/>
    <w:rsid w:val="009A6B30"/>
    <w:rsid w:val="009A708F"/>
    <w:rsid w:val="009A7986"/>
    <w:rsid w:val="009A7CFE"/>
    <w:rsid w:val="009A7D01"/>
    <w:rsid w:val="009B046C"/>
    <w:rsid w:val="009B0BA1"/>
    <w:rsid w:val="009B13FA"/>
    <w:rsid w:val="009B1419"/>
    <w:rsid w:val="009B1E2D"/>
    <w:rsid w:val="009B285C"/>
    <w:rsid w:val="009B4944"/>
    <w:rsid w:val="009B62CD"/>
    <w:rsid w:val="009B74A2"/>
    <w:rsid w:val="009C05AE"/>
    <w:rsid w:val="009C0ECB"/>
    <w:rsid w:val="009C160B"/>
    <w:rsid w:val="009C19E0"/>
    <w:rsid w:val="009C59FB"/>
    <w:rsid w:val="009C610D"/>
    <w:rsid w:val="009C6732"/>
    <w:rsid w:val="009C6F3B"/>
    <w:rsid w:val="009C7203"/>
    <w:rsid w:val="009C79E2"/>
    <w:rsid w:val="009C7AA0"/>
    <w:rsid w:val="009C7FB2"/>
    <w:rsid w:val="009D062D"/>
    <w:rsid w:val="009D079E"/>
    <w:rsid w:val="009D0AA1"/>
    <w:rsid w:val="009D0F23"/>
    <w:rsid w:val="009D1467"/>
    <w:rsid w:val="009D1CEC"/>
    <w:rsid w:val="009D224D"/>
    <w:rsid w:val="009D3098"/>
    <w:rsid w:val="009D328D"/>
    <w:rsid w:val="009D457B"/>
    <w:rsid w:val="009E02B5"/>
    <w:rsid w:val="009E4272"/>
    <w:rsid w:val="009E4FA6"/>
    <w:rsid w:val="009E5265"/>
    <w:rsid w:val="009E595D"/>
    <w:rsid w:val="009E641A"/>
    <w:rsid w:val="009E6576"/>
    <w:rsid w:val="009E7D93"/>
    <w:rsid w:val="009F1E2B"/>
    <w:rsid w:val="009F27C6"/>
    <w:rsid w:val="009F379A"/>
    <w:rsid w:val="009F39AC"/>
    <w:rsid w:val="009F3C34"/>
    <w:rsid w:val="009F3DC2"/>
    <w:rsid w:val="009F4611"/>
    <w:rsid w:val="009F462C"/>
    <w:rsid w:val="009F4A62"/>
    <w:rsid w:val="009F5C33"/>
    <w:rsid w:val="009F6340"/>
    <w:rsid w:val="009F6681"/>
    <w:rsid w:val="009F6733"/>
    <w:rsid w:val="009F70A3"/>
    <w:rsid w:val="00A00292"/>
    <w:rsid w:val="00A0034D"/>
    <w:rsid w:val="00A01B66"/>
    <w:rsid w:val="00A01D7C"/>
    <w:rsid w:val="00A026F0"/>
    <w:rsid w:val="00A038B9"/>
    <w:rsid w:val="00A03EAC"/>
    <w:rsid w:val="00A04DBB"/>
    <w:rsid w:val="00A059C2"/>
    <w:rsid w:val="00A06E68"/>
    <w:rsid w:val="00A07393"/>
    <w:rsid w:val="00A07EA0"/>
    <w:rsid w:val="00A10873"/>
    <w:rsid w:val="00A10FC6"/>
    <w:rsid w:val="00A11BEC"/>
    <w:rsid w:val="00A11CA6"/>
    <w:rsid w:val="00A1285B"/>
    <w:rsid w:val="00A12D7B"/>
    <w:rsid w:val="00A1300C"/>
    <w:rsid w:val="00A132B1"/>
    <w:rsid w:val="00A1355E"/>
    <w:rsid w:val="00A161EB"/>
    <w:rsid w:val="00A163FA"/>
    <w:rsid w:val="00A16E87"/>
    <w:rsid w:val="00A20C49"/>
    <w:rsid w:val="00A20D95"/>
    <w:rsid w:val="00A22932"/>
    <w:rsid w:val="00A23C79"/>
    <w:rsid w:val="00A24DAE"/>
    <w:rsid w:val="00A24F4E"/>
    <w:rsid w:val="00A253EE"/>
    <w:rsid w:val="00A265CF"/>
    <w:rsid w:val="00A269CA"/>
    <w:rsid w:val="00A279F8"/>
    <w:rsid w:val="00A309FC"/>
    <w:rsid w:val="00A32296"/>
    <w:rsid w:val="00A3229D"/>
    <w:rsid w:val="00A335A2"/>
    <w:rsid w:val="00A336EE"/>
    <w:rsid w:val="00A33A10"/>
    <w:rsid w:val="00A33F46"/>
    <w:rsid w:val="00A3427E"/>
    <w:rsid w:val="00A342B6"/>
    <w:rsid w:val="00A34638"/>
    <w:rsid w:val="00A34E10"/>
    <w:rsid w:val="00A359AC"/>
    <w:rsid w:val="00A366C5"/>
    <w:rsid w:val="00A3714E"/>
    <w:rsid w:val="00A403C9"/>
    <w:rsid w:val="00A40E6C"/>
    <w:rsid w:val="00A40F83"/>
    <w:rsid w:val="00A410FB"/>
    <w:rsid w:val="00A41413"/>
    <w:rsid w:val="00A41536"/>
    <w:rsid w:val="00A41AE0"/>
    <w:rsid w:val="00A431E6"/>
    <w:rsid w:val="00A43533"/>
    <w:rsid w:val="00A436E8"/>
    <w:rsid w:val="00A4372A"/>
    <w:rsid w:val="00A43FD7"/>
    <w:rsid w:val="00A45FB1"/>
    <w:rsid w:val="00A46139"/>
    <w:rsid w:val="00A46A0F"/>
    <w:rsid w:val="00A46C19"/>
    <w:rsid w:val="00A46CCC"/>
    <w:rsid w:val="00A47996"/>
    <w:rsid w:val="00A47C6A"/>
    <w:rsid w:val="00A502FF"/>
    <w:rsid w:val="00A50777"/>
    <w:rsid w:val="00A5098B"/>
    <w:rsid w:val="00A51CFE"/>
    <w:rsid w:val="00A5204D"/>
    <w:rsid w:val="00A5220D"/>
    <w:rsid w:val="00A53E24"/>
    <w:rsid w:val="00A53EC8"/>
    <w:rsid w:val="00A54811"/>
    <w:rsid w:val="00A5524C"/>
    <w:rsid w:val="00A55658"/>
    <w:rsid w:val="00A55852"/>
    <w:rsid w:val="00A55866"/>
    <w:rsid w:val="00A55A9A"/>
    <w:rsid w:val="00A56627"/>
    <w:rsid w:val="00A56E77"/>
    <w:rsid w:val="00A578FC"/>
    <w:rsid w:val="00A57E3A"/>
    <w:rsid w:val="00A602D8"/>
    <w:rsid w:val="00A603A5"/>
    <w:rsid w:val="00A606B1"/>
    <w:rsid w:val="00A60B10"/>
    <w:rsid w:val="00A6126B"/>
    <w:rsid w:val="00A61605"/>
    <w:rsid w:val="00A61C31"/>
    <w:rsid w:val="00A62567"/>
    <w:rsid w:val="00A62D73"/>
    <w:rsid w:val="00A636AB"/>
    <w:rsid w:val="00A63A04"/>
    <w:rsid w:val="00A65F97"/>
    <w:rsid w:val="00A67AF7"/>
    <w:rsid w:val="00A67EC1"/>
    <w:rsid w:val="00A701E8"/>
    <w:rsid w:val="00A7072E"/>
    <w:rsid w:val="00A70DF9"/>
    <w:rsid w:val="00A71AEB"/>
    <w:rsid w:val="00A71D7D"/>
    <w:rsid w:val="00A72485"/>
    <w:rsid w:val="00A72CE1"/>
    <w:rsid w:val="00A72D9B"/>
    <w:rsid w:val="00A73981"/>
    <w:rsid w:val="00A73B04"/>
    <w:rsid w:val="00A73F62"/>
    <w:rsid w:val="00A75789"/>
    <w:rsid w:val="00A766F7"/>
    <w:rsid w:val="00A76C13"/>
    <w:rsid w:val="00A76DCF"/>
    <w:rsid w:val="00A77149"/>
    <w:rsid w:val="00A77AB1"/>
    <w:rsid w:val="00A808AF"/>
    <w:rsid w:val="00A81821"/>
    <w:rsid w:val="00A82835"/>
    <w:rsid w:val="00A832A1"/>
    <w:rsid w:val="00A84896"/>
    <w:rsid w:val="00A84FD0"/>
    <w:rsid w:val="00A875BC"/>
    <w:rsid w:val="00A8790F"/>
    <w:rsid w:val="00A917B8"/>
    <w:rsid w:val="00A92E79"/>
    <w:rsid w:val="00A950B6"/>
    <w:rsid w:val="00A95C7A"/>
    <w:rsid w:val="00A95D45"/>
    <w:rsid w:val="00A95D7F"/>
    <w:rsid w:val="00A96CCB"/>
    <w:rsid w:val="00A97942"/>
    <w:rsid w:val="00AA0215"/>
    <w:rsid w:val="00AA14AC"/>
    <w:rsid w:val="00AA17AB"/>
    <w:rsid w:val="00AA2419"/>
    <w:rsid w:val="00AA2EB7"/>
    <w:rsid w:val="00AA3EA8"/>
    <w:rsid w:val="00AA6343"/>
    <w:rsid w:val="00AA7270"/>
    <w:rsid w:val="00AA7E7F"/>
    <w:rsid w:val="00AB038E"/>
    <w:rsid w:val="00AB0AAE"/>
    <w:rsid w:val="00AB0C81"/>
    <w:rsid w:val="00AB0F64"/>
    <w:rsid w:val="00AB1354"/>
    <w:rsid w:val="00AB1D35"/>
    <w:rsid w:val="00AB241C"/>
    <w:rsid w:val="00AB41C1"/>
    <w:rsid w:val="00AB48C2"/>
    <w:rsid w:val="00AB4CF2"/>
    <w:rsid w:val="00AB5CDA"/>
    <w:rsid w:val="00AB6CCA"/>
    <w:rsid w:val="00AB71DD"/>
    <w:rsid w:val="00AC00F5"/>
    <w:rsid w:val="00AC1F66"/>
    <w:rsid w:val="00AC223F"/>
    <w:rsid w:val="00AC23FF"/>
    <w:rsid w:val="00AC28BD"/>
    <w:rsid w:val="00AC33B1"/>
    <w:rsid w:val="00AC3F87"/>
    <w:rsid w:val="00AC436D"/>
    <w:rsid w:val="00AC489B"/>
    <w:rsid w:val="00AC76A6"/>
    <w:rsid w:val="00AD12A8"/>
    <w:rsid w:val="00AD3B09"/>
    <w:rsid w:val="00AD489F"/>
    <w:rsid w:val="00AD4F20"/>
    <w:rsid w:val="00AD74D7"/>
    <w:rsid w:val="00AE023F"/>
    <w:rsid w:val="00AE03D0"/>
    <w:rsid w:val="00AE0F3C"/>
    <w:rsid w:val="00AE22BC"/>
    <w:rsid w:val="00AE2E66"/>
    <w:rsid w:val="00AE4C25"/>
    <w:rsid w:val="00AE5980"/>
    <w:rsid w:val="00AE6135"/>
    <w:rsid w:val="00AF22FD"/>
    <w:rsid w:val="00AF343E"/>
    <w:rsid w:val="00AF3577"/>
    <w:rsid w:val="00AF35F9"/>
    <w:rsid w:val="00AF36D9"/>
    <w:rsid w:val="00AF43B1"/>
    <w:rsid w:val="00AF4731"/>
    <w:rsid w:val="00AF4E0F"/>
    <w:rsid w:val="00AF53B5"/>
    <w:rsid w:val="00AF5C81"/>
    <w:rsid w:val="00AF6068"/>
    <w:rsid w:val="00AF6425"/>
    <w:rsid w:val="00AF657B"/>
    <w:rsid w:val="00AF77A3"/>
    <w:rsid w:val="00AF77BC"/>
    <w:rsid w:val="00B00A03"/>
    <w:rsid w:val="00B01276"/>
    <w:rsid w:val="00B03FC0"/>
    <w:rsid w:val="00B0424C"/>
    <w:rsid w:val="00B05C7D"/>
    <w:rsid w:val="00B05F9A"/>
    <w:rsid w:val="00B06215"/>
    <w:rsid w:val="00B06425"/>
    <w:rsid w:val="00B065BB"/>
    <w:rsid w:val="00B06A75"/>
    <w:rsid w:val="00B0735E"/>
    <w:rsid w:val="00B07842"/>
    <w:rsid w:val="00B10A36"/>
    <w:rsid w:val="00B12375"/>
    <w:rsid w:val="00B124FE"/>
    <w:rsid w:val="00B1387E"/>
    <w:rsid w:val="00B143ED"/>
    <w:rsid w:val="00B14AC0"/>
    <w:rsid w:val="00B1530F"/>
    <w:rsid w:val="00B157F5"/>
    <w:rsid w:val="00B15D57"/>
    <w:rsid w:val="00B16347"/>
    <w:rsid w:val="00B17209"/>
    <w:rsid w:val="00B17583"/>
    <w:rsid w:val="00B17D6E"/>
    <w:rsid w:val="00B2047F"/>
    <w:rsid w:val="00B20C88"/>
    <w:rsid w:val="00B217BA"/>
    <w:rsid w:val="00B21AA9"/>
    <w:rsid w:val="00B241D8"/>
    <w:rsid w:val="00B2435E"/>
    <w:rsid w:val="00B26B46"/>
    <w:rsid w:val="00B27E35"/>
    <w:rsid w:val="00B300F0"/>
    <w:rsid w:val="00B305A3"/>
    <w:rsid w:val="00B3076B"/>
    <w:rsid w:val="00B30D0E"/>
    <w:rsid w:val="00B31042"/>
    <w:rsid w:val="00B31D4F"/>
    <w:rsid w:val="00B3225E"/>
    <w:rsid w:val="00B33754"/>
    <w:rsid w:val="00B337C9"/>
    <w:rsid w:val="00B346C3"/>
    <w:rsid w:val="00B34B34"/>
    <w:rsid w:val="00B36E49"/>
    <w:rsid w:val="00B37B6A"/>
    <w:rsid w:val="00B4005C"/>
    <w:rsid w:val="00B403E2"/>
    <w:rsid w:val="00B40400"/>
    <w:rsid w:val="00B405EB"/>
    <w:rsid w:val="00B406EE"/>
    <w:rsid w:val="00B408B3"/>
    <w:rsid w:val="00B417C8"/>
    <w:rsid w:val="00B418FC"/>
    <w:rsid w:val="00B4227E"/>
    <w:rsid w:val="00B4471C"/>
    <w:rsid w:val="00B451A6"/>
    <w:rsid w:val="00B464B8"/>
    <w:rsid w:val="00B47FDD"/>
    <w:rsid w:val="00B516F3"/>
    <w:rsid w:val="00B51D9C"/>
    <w:rsid w:val="00B5231D"/>
    <w:rsid w:val="00B526A0"/>
    <w:rsid w:val="00B52C07"/>
    <w:rsid w:val="00B53995"/>
    <w:rsid w:val="00B55056"/>
    <w:rsid w:val="00B563E8"/>
    <w:rsid w:val="00B56649"/>
    <w:rsid w:val="00B56D6E"/>
    <w:rsid w:val="00B57773"/>
    <w:rsid w:val="00B60FFE"/>
    <w:rsid w:val="00B64347"/>
    <w:rsid w:val="00B64409"/>
    <w:rsid w:val="00B64923"/>
    <w:rsid w:val="00B6500C"/>
    <w:rsid w:val="00B6505D"/>
    <w:rsid w:val="00B65DC6"/>
    <w:rsid w:val="00B65F1F"/>
    <w:rsid w:val="00B66B22"/>
    <w:rsid w:val="00B67AC2"/>
    <w:rsid w:val="00B700B9"/>
    <w:rsid w:val="00B70459"/>
    <w:rsid w:val="00B7058A"/>
    <w:rsid w:val="00B71FF6"/>
    <w:rsid w:val="00B72019"/>
    <w:rsid w:val="00B72198"/>
    <w:rsid w:val="00B722DE"/>
    <w:rsid w:val="00B73220"/>
    <w:rsid w:val="00B7326A"/>
    <w:rsid w:val="00B751E3"/>
    <w:rsid w:val="00B75BA6"/>
    <w:rsid w:val="00B7664E"/>
    <w:rsid w:val="00B76C44"/>
    <w:rsid w:val="00B802BF"/>
    <w:rsid w:val="00B807B9"/>
    <w:rsid w:val="00B8184A"/>
    <w:rsid w:val="00B82283"/>
    <w:rsid w:val="00B828D8"/>
    <w:rsid w:val="00B82B3C"/>
    <w:rsid w:val="00B830E8"/>
    <w:rsid w:val="00B8318E"/>
    <w:rsid w:val="00B83F87"/>
    <w:rsid w:val="00B84AE0"/>
    <w:rsid w:val="00B8629B"/>
    <w:rsid w:val="00B874E9"/>
    <w:rsid w:val="00B87CA8"/>
    <w:rsid w:val="00B87CDC"/>
    <w:rsid w:val="00B9042F"/>
    <w:rsid w:val="00B90619"/>
    <w:rsid w:val="00B910C1"/>
    <w:rsid w:val="00B916C2"/>
    <w:rsid w:val="00B920C1"/>
    <w:rsid w:val="00B94030"/>
    <w:rsid w:val="00B94315"/>
    <w:rsid w:val="00B95448"/>
    <w:rsid w:val="00B95989"/>
    <w:rsid w:val="00B95B19"/>
    <w:rsid w:val="00B965DA"/>
    <w:rsid w:val="00BA0C0E"/>
    <w:rsid w:val="00BA2CA4"/>
    <w:rsid w:val="00BA2EFA"/>
    <w:rsid w:val="00BA37F7"/>
    <w:rsid w:val="00BA3DBC"/>
    <w:rsid w:val="00BA6547"/>
    <w:rsid w:val="00BA6D48"/>
    <w:rsid w:val="00BA707A"/>
    <w:rsid w:val="00BB0705"/>
    <w:rsid w:val="00BB0DB8"/>
    <w:rsid w:val="00BB12F5"/>
    <w:rsid w:val="00BB1AFB"/>
    <w:rsid w:val="00BB27AE"/>
    <w:rsid w:val="00BB287F"/>
    <w:rsid w:val="00BB2AF2"/>
    <w:rsid w:val="00BB2DA2"/>
    <w:rsid w:val="00BB2FCC"/>
    <w:rsid w:val="00BB34FD"/>
    <w:rsid w:val="00BB4609"/>
    <w:rsid w:val="00BB481D"/>
    <w:rsid w:val="00BB48AA"/>
    <w:rsid w:val="00BB5064"/>
    <w:rsid w:val="00BB56DC"/>
    <w:rsid w:val="00BB728B"/>
    <w:rsid w:val="00BC16C0"/>
    <w:rsid w:val="00BC2291"/>
    <w:rsid w:val="00BC2735"/>
    <w:rsid w:val="00BC3365"/>
    <w:rsid w:val="00BC369E"/>
    <w:rsid w:val="00BD3001"/>
    <w:rsid w:val="00BD3665"/>
    <w:rsid w:val="00BD4EDE"/>
    <w:rsid w:val="00BD60BE"/>
    <w:rsid w:val="00BD66EB"/>
    <w:rsid w:val="00BD6F6E"/>
    <w:rsid w:val="00BD7B15"/>
    <w:rsid w:val="00BE1113"/>
    <w:rsid w:val="00BE1542"/>
    <w:rsid w:val="00BE183D"/>
    <w:rsid w:val="00BE1A99"/>
    <w:rsid w:val="00BE2A4C"/>
    <w:rsid w:val="00BE41AE"/>
    <w:rsid w:val="00BE4DD5"/>
    <w:rsid w:val="00BE4FBB"/>
    <w:rsid w:val="00BE5CAD"/>
    <w:rsid w:val="00BE5E42"/>
    <w:rsid w:val="00BE5F37"/>
    <w:rsid w:val="00BE679D"/>
    <w:rsid w:val="00BF14AD"/>
    <w:rsid w:val="00BF24C2"/>
    <w:rsid w:val="00BF2705"/>
    <w:rsid w:val="00BF2922"/>
    <w:rsid w:val="00BF2CB3"/>
    <w:rsid w:val="00BF3143"/>
    <w:rsid w:val="00BF383D"/>
    <w:rsid w:val="00BF3C52"/>
    <w:rsid w:val="00BF4F50"/>
    <w:rsid w:val="00BF5D7A"/>
    <w:rsid w:val="00BF5E5A"/>
    <w:rsid w:val="00BF6D3B"/>
    <w:rsid w:val="00BF6EF7"/>
    <w:rsid w:val="00BF7571"/>
    <w:rsid w:val="00BF7BBA"/>
    <w:rsid w:val="00C0077C"/>
    <w:rsid w:val="00C0106B"/>
    <w:rsid w:val="00C0192C"/>
    <w:rsid w:val="00C01C2E"/>
    <w:rsid w:val="00C0255C"/>
    <w:rsid w:val="00C02D33"/>
    <w:rsid w:val="00C04866"/>
    <w:rsid w:val="00C04B53"/>
    <w:rsid w:val="00C04F83"/>
    <w:rsid w:val="00C051FE"/>
    <w:rsid w:val="00C0563D"/>
    <w:rsid w:val="00C066A7"/>
    <w:rsid w:val="00C06879"/>
    <w:rsid w:val="00C06CD6"/>
    <w:rsid w:val="00C07BDC"/>
    <w:rsid w:val="00C10622"/>
    <w:rsid w:val="00C1068B"/>
    <w:rsid w:val="00C12104"/>
    <w:rsid w:val="00C1232C"/>
    <w:rsid w:val="00C135FF"/>
    <w:rsid w:val="00C14244"/>
    <w:rsid w:val="00C1474C"/>
    <w:rsid w:val="00C14FA1"/>
    <w:rsid w:val="00C15609"/>
    <w:rsid w:val="00C157D3"/>
    <w:rsid w:val="00C17918"/>
    <w:rsid w:val="00C17C52"/>
    <w:rsid w:val="00C2210C"/>
    <w:rsid w:val="00C2267E"/>
    <w:rsid w:val="00C2355F"/>
    <w:rsid w:val="00C23A5D"/>
    <w:rsid w:val="00C246B0"/>
    <w:rsid w:val="00C24E98"/>
    <w:rsid w:val="00C2528C"/>
    <w:rsid w:val="00C25FD8"/>
    <w:rsid w:val="00C261E9"/>
    <w:rsid w:val="00C26D7A"/>
    <w:rsid w:val="00C27C6B"/>
    <w:rsid w:val="00C30DFE"/>
    <w:rsid w:val="00C31368"/>
    <w:rsid w:val="00C32297"/>
    <w:rsid w:val="00C3276D"/>
    <w:rsid w:val="00C347B8"/>
    <w:rsid w:val="00C3542C"/>
    <w:rsid w:val="00C3594D"/>
    <w:rsid w:val="00C36442"/>
    <w:rsid w:val="00C3722A"/>
    <w:rsid w:val="00C37545"/>
    <w:rsid w:val="00C400A6"/>
    <w:rsid w:val="00C400CE"/>
    <w:rsid w:val="00C410FD"/>
    <w:rsid w:val="00C413B6"/>
    <w:rsid w:val="00C445E1"/>
    <w:rsid w:val="00C457DE"/>
    <w:rsid w:val="00C45AA0"/>
    <w:rsid w:val="00C45F99"/>
    <w:rsid w:val="00C46765"/>
    <w:rsid w:val="00C4676E"/>
    <w:rsid w:val="00C47ABE"/>
    <w:rsid w:val="00C47C1B"/>
    <w:rsid w:val="00C47DD3"/>
    <w:rsid w:val="00C516EE"/>
    <w:rsid w:val="00C51D90"/>
    <w:rsid w:val="00C52682"/>
    <w:rsid w:val="00C5316F"/>
    <w:rsid w:val="00C53562"/>
    <w:rsid w:val="00C539FB"/>
    <w:rsid w:val="00C54011"/>
    <w:rsid w:val="00C553F4"/>
    <w:rsid w:val="00C55BDD"/>
    <w:rsid w:val="00C5750C"/>
    <w:rsid w:val="00C57A83"/>
    <w:rsid w:val="00C62D4A"/>
    <w:rsid w:val="00C631E0"/>
    <w:rsid w:val="00C632CF"/>
    <w:rsid w:val="00C642CE"/>
    <w:rsid w:val="00C64642"/>
    <w:rsid w:val="00C64958"/>
    <w:rsid w:val="00C64FD0"/>
    <w:rsid w:val="00C6692C"/>
    <w:rsid w:val="00C66AA3"/>
    <w:rsid w:val="00C66E57"/>
    <w:rsid w:val="00C718E1"/>
    <w:rsid w:val="00C71B40"/>
    <w:rsid w:val="00C71DA4"/>
    <w:rsid w:val="00C72371"/>
    <w:rsid w:val="00C724D7"/>
    <w:rsid w:val="00C73822"/>
    <w:rsid w:val="00C74150"/>
    <w:rsid w:val="00C7539C"/>
    <w:rsid w:val="00C75594"/>
    <w:rsid w:val="00C763F0"/>
    <w:rsid w:val="00C76A92"/>
    <w:rsid w:val="00C80977"/>
    <w:rsid w:val="00C811FE"/>
    <w:rsid w:val="00C82015"/>
    <w:rsid w:val="00C82DE1"/>
    <w:rsid w:val="00C83117"/>
    <w:rsid w:val="00C84102"/>
    <w:rsid w:val="00C854A0"/>
    <w:rsid w:val="00C85982"/>
    <w:rsid w:val="00C86435"/>
    <w:rsid w:val="00C86507"/>
    <w:rsid w:val="00C86FEF"/>
    <w:rsid w:val="00C87211"/>
    <w:rsid w:val="00C906D5"/>
    <w:rsid w:val="00C91176"/>
    <w:rsid w:val="00C91439"/>
    <w:rsid w:val="00C91913"/>
    <w:rsid w:val="00C91AB3"/>
    <w:rsid w:val="00C926F5"/>
    <w:rsid w:val="00C92805"/>
    <w:rsid w:val="00C935A6"/>
    <w:rsid w:val="00C939DD"/>
    <w:rsid w:val="00C93A2D"/>
    <w:rsid w:val="00C94A84"/>
    <w:rsid w:val="00C95A6B"/>
    <w:rsid w:val="00C95CFF"/>
    <w:rsid w:val="00C97469"/>
    <w:rsid w:val="00CA0466"/>
    <w:rsid w:val="00CA1F46"/>
    <w:rsid w:val="00CA246D"/>
    <w:rsid w:val="00CA398C"/>
    <w:rsid w:val="00CA3CF3"/>
    <w:rsid w:val="00CA50D9"/>
    <w:rsid w:val="00CA5738"/>
    <w:rsid w:val="00CA5D99"/>
    <w:rsid w:val="00CA62B2"/>
    <w:rsid w:val="00CA7045"/>
    <w:rsid w:val="00CA75A6"/>
    <w:rsid w:val="00CA7DF9"/>
    <w:rsid w:val="00CB0315"/>
    <w:rsid w:val="00CB3054"/>
    <w:rsid w:val="00CB33DB"/>
    <w:rsid w:val="00CB38FF"/>
    <w:rsid w:val="00CB5636"/>
    <w:rsid w:val="00CB5F30"/>
    <w:rsid w:val="00CB65C1"/>
    <w:rsid w:val="00CC30B2"/>
    <w:rsid w:val="00CC3167"/>
    <w:rsid w:val="00CC3CE4"/>
    <w:rsid w:val="00CC3EE5"/>
    <w:rsid w:val="00CC44A8"/>
    <w:rsid w:val="00CC5990"/>
    <w:rsid w:val="00CC6E47"/>
    <w:rsid w:val="00CC6EDE"/>
    <w:rsid w:val="00CD0089"/>
    <w:rsid w:val="00CD0F77"/>
    <w:rsid w:val="00CD113A"/>
    <w:rsid w:val="00CD1346"/>
    <w:rsid w:val="00CD179B"/>
    <w:rsid w:val="00CD19C3"/>
    <w:rsid w:val="00CD1BB8"/>
    <w:rsid w:val="00CD3442"/>
    <w:rsid w:val="00CD43B8"/>
    <w:rsid w:val="00CD6366"/>
    <w:rsid w:val="00CE104C"/>
    <w:rsid w:val="00CE13A1"/>
    <w:rsid w:val="00CE1852"/>
    <w:rsid w:val="00CE3350"/>
    <w:rsid w:val="00CE4220"/>
    <w:rsid w:val="00CE425C"/>
    <w:rsid w:val="00CE482B"/>
    <w:rsid w:val="00CE58AC"/>
    <w:rsid w:val="00CE6539"/>
    <w:rsid w:val="00CE682C"/>
    <w:rsid w:val="00CE6C93"/>
    <w:rsid w:val="00CE79D4"/>
    <w:rsid w:val="00CF1D0F"/>
    <w:rsid w:val="00CF1E3B"/>
    <w:rsid w:val="00CF2772"/>
    <w:rsid w:val="00CF2C6A"/>
    <w:rsid w:val="00CF2FBE"/>
    <w:rsid w:val="00CF3154"/>
    <w:rsid w:val="00CF5A80"/>
    <w:rsid w:val="00CF6AFC"/>
    <w:rsid w:val="00CF733A"/>
    <w:rsid w:val="00D02470"/>
    <w:rsid w:val="00D038DF"/>
    <w:rsid w:val="00D03D73"/>
    <w:rsid w:val="00D045EE"/>
    <w:rsid w:val="00D05091"/>
    <w:rsid w:val="00D068FF"/>
    <w:rsid w:val="00D070FC"/>
    <w:rsid w:val="00D07CDB"/>
    <w:rsid w:val="00D10CA6"/>
    <w:rsid w:val="00D10D27"/>
    <w:rsid w:val="00D10F21"/>
    <w:rsid w:val="00D12CF7"/>
    <w:rsid w:val="00D12E97"/>
    <w:rsid w:val="00D1311F"/>
    <w:rsid w:val="00D134CF"/>
    <w:rsid w:val="00D146CE"/>
    <w:rsid w:val="00D1573B"/>
    <w:rsid w:val="00D16C4A"/>
    <w:rsid w:val="00D1765B"/>
    <w:rsid w:val="00D17A4F"/>
    <w:rsid w:val="00D17B64"/>
    <w:rsid w:val="00D17CB0"/>
    <w:rsid w:val="00D20102"/>
    <w:rsid w:val="00D201B0"/>
    <w:rsid w:val="00D20765"/>
    <w:rsid w:val="00D2079A"/>
    <w:rsid w:val="00D216F5"/>
    <w:rsid w:val="00D22A81"/>
    <w:rsid w:val="00D2429F"/>
    <w:rsid w:val="00D2474D"/>
    <w:rsid w:val="00D24806"/>
    <w:rsid w:val="00D24A14"/>
    <w:rsid w:val="00D2704A"/>
    <w:rsid w:val="00D30500"/>
    <w:rsid w:val="00D32446"/>
    <w:rsid w:val="00D33026"/>
    <w:rsid w:val="00D334F2"/>
    <w:rsid w:val="00D33FA4"/>
    <w:rsid w:val="00D34040"/>
    <w:rsid w:val="00D3465E"/>
    <w:rsid w:val="00D34E69"/>
    <w:rsid w:val="00D35076"/>
    <w:rsid w:val="00D358BB"/>
    <w:rsid w:val="00D3625E"/>
    <w:rsid w:val="00D36878"/>
    <w:rsid w:val="00D36B68"/>
    <w:rsid w:val="00D36C78"/>
    <w:rsid w:val="00D36CD2"/>
    <w:rsid w:val="00D375EE"/>
    <w:rsid w:val="00D401D1"/>
    <w:rsid w:val="00D404A5"/>
    <w:rsid w:val="00D4397B"/>
    <w:rsid w:val="00D447B2"/>
    <w:rsid w:val="00D459D8"/>
    <w:rsid w:val="00D46561"/>
    <w:rsid w:val="00D4693F"/>
    <w:rsid w:val="00D47DED"/>
    <w:rsid w:val="00D51297"/>
    <w:rsid w:val="00D517C1"/>
    <w:rsid w:val="00D51D78"/>
    <w:rsid w:val="00D5371A"/>
    <w:rsid w:val="00D54529"/>
    <w:rsid w:val="00D551C9"/>
    <w:rsid w:val="00D55AE8"/>
    <w:rsid w:val="00D55BBD"/>
    <w:rsid w:val="00D56056"/>
    <w:rsid w:val="00D575A2"/>
    <w:rsid w:val="00D575C9"/>
    <w:rsid w:val="00D57C01"/>
    <w:rsid w:val="00D6085F"/>
    <w:rsid w:val="00D60C5D"/>
    <w:rsid w:val="00D62699"/>
    <w:rsid w:val="00D631E7"/>
    <w:rsid w:val="00D6364B"/>
    <w:rsid w:val="00D64E72"/>
    <w:rsid w:val="00D65BDD"/>
    <w:rsid w:val="00D65EC3"/>
    <w:rsid w:val="00D662A7"/>
    <w:rsid w:val="00D66C5D"/>
    <w:rsid w:val="00D66D30"/>
    <w:rsid w:val="00D66EBD"/>
    <w:rsid w:val="00D67597"/>
    <w:rsid w:val="00D67F59"/>
    <w:rsid w:val="00D71802"/>
    <w:rsid w:val="00D7452F"/>
    <w:rsid w:val="00D754E6"/>
    <w:rsid w:val="00D75F93"/>
    <w:rsid w:val="00D765F5"/>
    <w:rsid w:val="00D778E9"/>
    <w:rsid w:val="00D812BF"/>
    <w:rsid w:val="00D82620"/>
    <w:rsid w:val="00D8340E"/>
    <w:rsid w:val="00D83741"/>
    <w:rsid w:val="00D837F7"/>
    <w:rsid w:val="00D85707"/>
    <w:rsid w:val="00D8672E"/>
    <w:rsid w:val="00D90CE9"/>
    <w:rsid w:val="00D91359"/>
    <w:rsid w:val="00D9180A"/>
    <w:rsid w:val="00D91CF7"/>
    <w:rsid w:val="00D92E69"/>
    <w:rsid w:val="00D93920"/>
    <w:rsid w:val="00D94214"/>
    <w:rsid w:val="00D949BE"/>
    <w:rsid w:val="00D94B82"/>
    <w:rsid w:val="00D94C25"/>
    <w:rsid w:val="00D95033"/>
    <w:rsid w:val="00D9725F"/>
    <w:rsid w:val="00D977EB"/>
    <w:rsid w:val="00DA01B1"/>
    <w:rsid w:val="00DA11A2"/>
    <w:rsid w:val="00DA14ED"/>
    <w:rsid w:val="00DA26D6"/>
    <w:rsid w:val="00DA2776"/>
    <w:rsid w:val="00DA2E0C"/>
    <w:rsid w:val="00DA3C52"/>
    <w:rsid w:val="00DA4738"/>
    <w:rsid w:val="00DA5F02"/>
    <w:rsid w:val="00DA6DF3"/>
    <w:rsid w:val="00DA71B5"/>
    <w:rsid w:val="00DA7EF1"/>
    <w:rsid w:val="00DB059C"/>
    <w:rsid w:val="00DB0ECC"/>
    <w:rsid w:val="00DB0F30"/>
    <w:rsid w:val="00DB231F"/>
    <w:rsid w:val="00DB2EDB"/>
    <w:rsid w:val="00DB2EF1"/>
    <w:rsid w:val="00DB2F51"/>
    <w:rsid w:val="00DB3DE1"/>
    <w:rsid w:val="00DB413A"/>
    <w:rsid w:val="00DB5DA0"/>
    <w:rsid w:val="00DB6A07"/>
    <w:rsid w:val="00DB716C"/>
    <w:rsid w:val="00DB7CBA"/>
    <w:rsid w:val="00DC24F8"/>
    <w:rsid w:val="00DC2E23"/>
    <w:rsid w:val="00DC5443"/>
    <w:rsid w:val="00DC5606"/>
    <w:rsid w:val="00DC5C85"/>
    <w:rsid w:val="00DC62C6"/>
    <w:rsid w:val="00DC68C0"/>
    <w:rsid w:val="00DC747D"/>
    <w:rsid w:val="00DC7C5D"/>
    <w:rsid w:val="00DD06D3"/>
    <w:rsid w:val="00DD178F"/>
    <w:rsid w:val="00DD1C48"/>
    <w:rsid w:val="00DD4115"/>
    <w:rsid w:val="00DD4236"/>
    <w:rsid w:val="00DD44F1"/>
    <w:rsid w:val="00DD4D8C"/>
    <w:rsid w:val="00DD5602"/>
    <w:rsid w:val="00DD59D8"/>
    <w:rsid w:val="00DD6957"/>
    <w:rsid w:val="00DD6E7A"/>
    <w:rsid w:val="00DD6FAD"/>
    <w:rsid w:val="00DD7B4B"/>
    <w:rsid w:val="00DE147A"/>
    <w:rsid w:val="00DE161C"/>
    <w:rsid w:val="00DE1668"/>
    <w:rsid w:val="00DE2339"/>
    <w:rsid w:val="00DE233D"/>
    <w:rsid w:val="00DE2443"/>
    <w:rsid w:val="00DE2F0C"/>
    <w:rsid w:val="00DE3067"/>
    <w:rsid w:val="00DE34D9"/>
    <w:rsid w:val="00DE58AF"/>
    <w:rsid w:val="00DE5ECD"/>
    <w:rsid w:val="00DE674A"/>
    <w:rsid w:val="00DE6BA4"/>
    <w:rsid w:val="00DF00A1"/>
    <w:rsid w:val="00DF0CED"/>
    <w:rsid w:val="00DF11D3"/>
    <w:rsid w:val="00DF3501"/>
    <w:rsid w:val="00DF3968"/>
    <w:rsid w:val="00DF3EEE"/>
    <w:rsid w:val="00DF4555"/>
    <w:rsid w:val="00DF54CE"/>
    <w:rsid w:val="00DF75E1"/>
    <w:rsid w:val="00DF79FE"/>
    <w:rsid w:val="00E027BC"/>
    <w:rsid w:val="00E0380A"/>
    <w:rsid w:val="00E03DD8"/>
    <w:rsid w:val="00E042EA"/>
    <w:rsid w:val="00E045BE"/>
    <w:rsid w:val="00E0632D"/>
    <w:rsid w:val="00E075A2"/>
    <w:rsid w:val="00E10F0D"/>
    <w:rsid w:val="00E11853"/>
    <w:rsid w:val="00E11864"/>
    <w:rsid w:val="00E11D1F"/>
    <w:rsid w:val="00E12233"/>
    <w:rsid w:val="00E1349C"/>
    <w:rsid w:val="00E14892"/>
    <w:rsid w:val="00E14D22"/>
    <w:rsid w:val="00E14EA5"/>
    <w:rsid w:val="00E14FB9"/>
    <w:rsid w:val="00E159B8"/>
    <w:rsid w:val="00E15EEB"/>
    <w:rsid w:val="00E15FDA"/>
    <w:rsid w:val="00E16307"/>
    <w:rsid w:val="00E16570"/>
    <w:rsid w:val="00E1732B"/>
    <w:rsid w:val="00E2070E"/>
    <w:rsid w:val="00E21133"/>
    <w:rsid w:val="00E21240"/>
    <w:rsid w:val="00E22072"/>
    <w:rsid w:val="00E22152"/>
    <w:rsid w:val="00E223E1"/>
    <w:rsid w:val="00E2248C"/>
    <w:rsid w:val="00E2327E"/>
    <w:rsid w:val="00E23577"/>
    <w:rsid w:val="00E24017"/>
    <w:rsid w:val="00E2439E"/>
    <w:rsid w:val="00E24DCE"/>
    <w:rsid w:val="00E266EF"/>
    <w:rsid w:val="00E30EAE"/>
    <w:rsid w:val="00E319CB"/>
    <w:rsid w:val="00E31B87"/>
    <w:rsid w:val="00E32658"/>
    <w:rsid w:val="00E326A8"/>
    <w:rsid w:val="00E33B8D"/>
    <w:rsid w:val="00E34087"/>
    <w:rsid w:val="00E35DAC"/>
    <w:rsid w:val="00E36331"/>
    <w:rsid w:val="00E37009"/>
    <w:rsid w:val="00E374FD"/>
    <w:rsid w:val="00E37E8A"/>
    <w:rsid w:val="00E37F8D"/>
    <w:rsid w:val="00E40965"/>
    <w:rsid w:val="00E4226B"/>
    <w:rsid w:val="00E424F7"/>
    <w:rsid w:val="00E442EB"/>
    <w:rsid w:val="00E44457"/>
    <w:rsid w:val="00E4494E"/>
    <w:rsid w:val="00E47428"/>
    <w:rsid w:val="00E52A3D"/>
    <w:rsid w:val="00E5398B"/>
    <w:rsid w:val="00E550DF"/>
    <w:rsid w:val="00E557C7"/>
    <w:rsid w:val="00E56C8E"/>
    <w:rsid w:val="00E5716B"/>
    <w:rsid w:val="00E57F1F"/>
    <w:rsid w:val="00E60F79"/>
    <w:rsid w:val="00E612F9"/>
    <w:rsid w:val="00E6285D"/>
    <w:rsid w:val="00E62C0C"/>
    <w:rsid w:val="00E658B8"/>
    <w:rsid w:val="00E66B9F"/>
    <w:rsid w:val="00E66EC6"/>
    <w:rsid w:val="00E70A6A"/>
    <w:rsid w:val="00E710D6"/>
    <w:rsid w:val="00E7253F"/>
    <w:rsid w:val="00E73381"/>
    <w:rsid w:val="00E736EA"/>
    <w:rsid w:val="00E73DA4"/>
    <w:rsid w:val="00E73E47"/>
    <w:rsid w:val="00E74330"/>
    <w:rsid w:val="00E74545"/>
    <w:rsid w:val="00E74F13"/>
    <w:rsid w:val="00E7577F"/>
    <w:rsid w:val="00E76525"/>
    <w:rsid w:val="00E76E45"/>
    <w:rsid w:val="00E777C9"/>
    <w:rsid w:val="00E8127F"/>
    <w:rsid w:val="00E81472"/>
    <w:rsid w:val="00E81DA6"/>
    <w:rsid w:val="00E82C27"/>
    <w:rsid w:val="00E83303"/>
    <w:rsid w:val="00E840FC"/>
    <w:rsid w:val="00E84212"/>
    <w:rsid w:val="00E84C73"/>
    <w:rsid w:val="00E867B6"/>
    <w:rsid w:val="00E8697B"/>
    <w:rsid w:val="00E87E0C"/>
    <w:rsid w:val="00E9086C"/>
    <w:rsid w:val="00E90AAA"/>
    <w:rsid w:val="00E90F09"/>
    <w:rsid w:val="00E913C5"/>
    <w:rsid w:val="00E91731"/>
    <w:rsid w:val="00E91A0F"/>
    <w:rsid w:val="00E91FE2"/>
    <w:rsid w:val="00E93273"/>
    <w:rsid w:val="00E93EC8"/>
    <w:rsid w:val="00E940A6"/>
    <w:rsid w:val="00E94A71"/>
    <w:rsid w:val="00E94CBF"/>
    <w:rsid w:val="00E95261"/>
    <w:rsid w:val="00E95C01"/>
    <w:rsid w:val="00EA03CE"/>
    <w:rsid w:val="00EA18B6"/>
    <w:rsid w:val="00EA20F7"/>
    <w:rsid w:val="00EA2203"/>
    <w:rsid w:val="00EA23E5"/>
    <w:rsid w:val="00EA2947"/>
    <w:rsid w:val="00EA3573"/>
    <w:rsid w:val="00EA3ECB"/>
    <w:rsid w:val="00EA4E2E"/>
    <w:rsid w:val="00EA4F08"/>
    <w:rsid w:val="00EA4FA9"/>
    <w:rsid w:val="00EA5EAB"/>
    <w:rsid w:val="00EA68B5"/>
    <w:rsid w:val="00EA795E"/>
    <w:rsid w:val="00EA7A06"/>
    <w:rsid w:val="00EB0475"/>
    <w:rsid w:val="00EB14B3"/>
    <w:rsid w:val="00EB1736"/>
    <w:rsid w:val="00EB1ECF"/>
    <w:rsid w:val="00EB2417"/>
    <w:rsid w:val="00EB2CCB"/>
    <w:rsid w:val="00EB4019"/>
    <w:rsid w:val="00EB4E56"/>
    <w:rsid w:val="00EB4F2F"/>
    <w:rsid w:val="00EB699E"/>
    <w:rsid w:val="00EB7A25"/>
    <w:rsid w:val="00EB7B12"/>
    <w:rsid w:val="00EB7B62"/>
    <w:rsid w:val="00EC00B8"/>
    <w:rsid w:val="00EC02DF"/>
    <w:rsid w:val="00EC0AF6"/>
    <w:rsid w:val="00EC0F0A"/>
    <w:rsid w:val="00EC0F3E"/>
    <w:rsid w:val="00EC1B46"/>
    <w:rsid w:val="00EC2137"/>
    <w:rsid w:val="00EC44DD"/>
    <w:rsid w:val="00EC57A7"/>
    <w:rsid w:val="00EC5E45"/>
    <w:rsid w:val="00EC6DF3"/>
    <w:rsid w:val="00ED0567"/>
    <w:rsid w:val="00ED0817"/>
    <w:rsid w:val="00ED0B09"/>
    <w:rsid w:val="00ED0C36"/>
    <w:rsid w:val="00ED1DC0"/>
    <w:rsid w:val="00ED29D2"/>
    <w:rsid w:val="00ED3AB5"/>
    <w:rsid w:val="00ED3FA9"/>
    <w:rsid w:val="00ED4B43"/>
    <w:rsid w:val="00ED59C8"/>
    <w:rsid w:val="00ED7DD9"/>
    <w:rsid w:val="00EE075D"/>
    <w:rsid w:val="00EE36F2"/>
    <w:rsid w:val="00EE445B"/>
    <w:rsid w:val="00EE47BF"/>
    <w:rsid w:val="00EE4F44"/>
    <w:rsid w:val="00EE693B"/>
    <w:rsid w:val="00EE7D38"/>
    <w:rsid w:val="00EF100C"/>
    <w:rsid w:val="00EF2F86"/>
    <w:rsid w:val="00EF3113"/>
    <w:rsid w:val="00EF3667"/>
    <w:rsid w:val="00EF389E"/>
    <w:rsid w:val="00EF39EC"/>
    <w:rsid w:val="00EF3F28"/>
    <w:rsid w:val="00EF3F84"/>
    <w:rsid w:val="00EF3FDB"/>
    <w:rsid w:val="00EF72F0"/>
    <w:rsid w:val="00EF73DB"/>
    <w:rsid w:val="00EF7562"/>
    <w:rsid w:val="00F01AE3"/>
    <w:rsid w:val="00F01BB7"/>
    <w:rsid w:val="00F01CD2"/>
    <w:rsid w:val="00F02083"/>
    <w:rsid w:val="00F033CE"/>
    <w:rsid w:val="00F04982"/>
    <w:rsid w:val="00F04F86"/>
    <w:rsid w:val="00F0516B"/>
    <w:rsid w:val="00F053C9"/>
    <w:rsid w:val="00F05CA0"/>
    <w:rsid w:val="00F06780"/>
    <w:rsid w:val="00F06A5F"/>
    <w:rsid w:val="00F06AAD"/>
    <w:rsid w:val="00F06BD0"/>
    <w:rsid w:val="00F07AA0"/>
    <w:rsid w:val="00F07B9B"/>
    <w:rsid w:val="00F1207D"/>
    <w:rsid w:val="00F12237"/>
    <w:rsid w:val="00F13187"/>
    <w:rsid w:val="00F137DF"/>
    <w:rsid w:val="00F13979"/>
    <w:rsid w:val="00F14183"/>
    <w:rsid w:val="00F14679"/>
    <w:rsid w:val="00F14A94"/>
    <w:rsid w:val="00F14AEF"/>
    <w:rsid w:val="00F15E16"/>
    <w:rsid w:val="00F16017"/>
    <w:rsid w:val="00F17408"/>
    <w:rsid w:val="00F176AC"/>
    <w:rsid w:val="00F17B6E"/>
    <w:rsid w:val="00F17E85"/>
    <w:rsid w:val="00F213E9"/>
    <w:rsid w:val="00F2240C"/>
    <w:rsid w:val="00F224E1"/>
    <w:rsid w:val="00F224E8"/>
    <w:rsid w:val="00F22CA3"/>
    <w:rsid w:val="00F23CAE"/>
    <w:rsid w:val="00F246B4"/>
    <w:rsid w:val="00F24847"/>
    <w:rsid w:val="00F24F21"/>
    <w:rsid w:val="00F256B6"/>
    <w:rsid w:val="00F26742"/>
    <w:rsid w:val="00F26F28"/>
    <w:rsid w:val="00F27714"/>
    <w:rsid w:val="00F302CB"/>
    <w:rsid w:val="00F3098A"/>
    <w:rsid w:val="00F31C6B"/>
    <w:rsid w:val="00F3276E"/>
    <w:rsid w:val="00F33215"/>
    <w:rsid w:val="00F33AEE"/>
    <w:rsid w:val="00F33D3C"/>
    <w:rsid w:val="00F341DF"/>
    <w:rsid w:val="00F34AE0"/>
    <w:rsid w:val="00F34B52"/>
    <w:rsid w:val="00F359D7"/>
    <w:rsid w:val="00F36A0C"/>
    <w:rsid w:val="00F3796A"/>
    <w:rsid w:val="00F37A91"/>
    <w:rsid w:val="00F408A0"/>
    <w:rsid w:val="00F40CFD"/>
    <w:rsid w:val="00F42080"/>
    <w:rsid w:val="00F422AB"/>
    <w:rsid w:val="00F42FB3"/>
    <w:rsid w:val="00F43EC5"/>
    <w:rsid w:val="00F45989"/>
    <w:rsid w:val="00F45CF5"/>
    <w:rsid w:val="00F47720"/>
    <w:rsid w:val="00F47DB0"/>
    <w:rsid w:val="00F504DC"/>
    <w:rsid w:val="00F50698"/>
    <w:rsid w:val="00F50C3F"/>
    <w:rsid w:val="00F50E34"/>
    <w:rsid w:val="00F5185C"/>
    <w:rsid w:val="00F51AFB"/>
    <w:rsid w:val="00F51DE9"/>
    <w:rsid w:val="00F51E2C"/>
    <w:rsid w:val="00F51EAD"/>
    <w:rsid w:val="00F5246A"/>
    <w:rsid w:val="00F534EF"/>
    <w:rsid w:val="00F53EF7"/>
    <w:rsid w:val="00F5457D"/>
    <w:rsid w:val="00F548C7"/>
    <w:rsid w:val="00F54BF2"/>
    <w:rsid w:val="00F54C19"/>
    <w:rsid w:val="00F55082"/>
    <w:rsid w:val="00F55454"/>
    <w:rsid w:val="00F5600F"/>
    <w:rsid w:val="00F573AE"/>
    <w:rsid w:val="00F65A92"/>
    <w:rsid w:val="00F66102"/>
    <w:rsid w:val="00F66BE3"/>
    <w:rsid w:val="00F671A5"/>
    <w:rsid w:val="00F67B70"/>
    <w:rsid w:val="00F67DAB"/>
    <w:rsid w:val="00F67F46"/>
    <w:rsid w:val="00F71798"/>
    <w:rsid w:val="00F71BD7"/>
    <w:rsid w:val="00F73A86"/>
    <w:rsid w:val="00F74001"/>
    <w:rsid w:val="00F742C6"/>
    <w:rsid w:val="00F74B50"/>
    <w:rsid w:val="00F7553B"/>
    <w:rsid w:val="00F75CC9"/>
    <w:rsid w:val="00F760A9"/>
    <w:rsid w:val="00F7712F"/>
    <w:rsid w:val="00F775AC"/>
    <w:rsid w:val="00F80772"/>
    <w:rsid w:val="00F81010"/>
    <w:rsid w:val="00F819FB"/>
    <w:rsid w:val="00F827E1"/>
    <w:rsid w:val="00F84D67"/>
    <w:rsid w:val="00F876F5"/>
    <w:rsid w:val="00F87765"/>
    <w:rsid w:val="00F87846"/>
    <w:rsid w:val="00F8792F"/>
    <w:rsid w:val="00F906D0"/>
    <w:rsid w:val="00F91D90"/>
    <w:rsid w:val="00F9214D"/>
    <w:rsid w:val="00F92355"/>
    <w:rsid w:val="00F93963"/>
    <w:rsid w:val="00F94291"/>
    <w:rsid w:val="00F951BE"/>
    <w:rsid w:val="00F96104"/>
    <w:rsid w:val="00F96EC4"/>
    <w:rsid w:val="00F96EE8"/>
    <w:rsid w:val="00FA0AA5"/>
    <w:rsid w:val="00FA0CF1"/>
    <w:rsid w:val="00FA298A"/>
    <w:rsid w:val="00FA2D90"/>
    <w:rsid w:val="00FA3B67"/>
    <w:rsid w:val="00FA4B54"/>
    <w:rsid w:val="00FA5B66"/>
    <w:rsid w:val="00FA6873"/>
    <w:rsid w:val="00FA71DF"/>
    <w:rsid w:val="00FB037E"/>
    <w:rsid w:val="00FB0B9C"/>
    <w:rsid w:val="00FB1BC5"/>
    <w:rsid w:val="00FB2114"/>
    <w:rsid w:val="00FB30EB"/>
    <w:rsid w:val="00FB3123"/>
    <w:rsid w:val="00FB3D6A"/>
    <w:rsid w:val="00FB55B9"/>
    <w:rsid w:val="00FB5F68"/>
    <w:rsid w:val="00FB6FC6"/>
    <w:rsid w:val="00FB7152"/>
    <w:rsid w:val="00FB7982"/>
    <w:rsid w:val="00FB798D"/>
    <w:rsid w:val="00FC0734"/>
    <w:rsid w:val="00FC0FC5"/>
    <w:rsid w:val="00FC2ECF"/>
    <w:rsid w:val="00FC588F"/>
    <w:rsid w:val="00FC58D2"/>
    <w:rsid w:val="00FC6879"/>
    <w:rsid w:val="00FD0B1B"/>
    <w:rsid w:val="00FD1940"/>
    <w:rsid w:val="00FD1990"/>
    <w:rsid w:val="00FD1A25"/>
    <w:rsid w:val="00FD274E"/>
    <w:rsid w:val="00FD2CEF"/>
    <w:rsid w:val="00FD3823"/>
    <w:rsid w:val="00FD43C2"/>
    <w:rsid w:val="00FD57CC"/>
    <w:rsid w:val="00FD5EE0"/>
    <w:rsid w:val="00FD6396"/>
    <w:rsid w:val="00FD7403"/>
    <w:rsid w:val="00FE03FB"/>
    <w:rsid w:val="00FE0A86"/>
    <w:rsid w:val="00FE1B30"/>
    <w:rsid w:val="00FE31A2"/>
    <w:rsid w:val="00FE3302"/>
    <w:rsid w:val="00FE3806"/>
    <w:rsid w:val="00FE381E"/>
    <w:rsid w:val="00FE3C88"/>
    <w:rsid w:val="00FE3E78"/>
    <w:rsid w:val="00FE7B44"/>
    <w:rsid w:val="00FE7C3D"/>
    <w:rsid w:val="00FE7FBA"/>
    <w:rsid w:val="00FF06D7"/>
    <w:rsid w:val="00FF1149"/>
    <w:rsid w:val="00FF2116"/>
    <w:rsid w:val="00FF226F"/>
    <w:rsid w:val="00FF2D47"/>
    <w:rsid w:val="00FF2F76"/>
    <w:rsid w:val="00FF4060"/>
    <w:rsid w:val="00FF485D"/>
    <w:rsid w:val="00FF5461"/>
    <w:rsid w:val="00FF69BD"/>
    <w:rsid w:val="00FF6B8E"/>
    <w:rsid w:val="00FF6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0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0ECF"/>
    <w:pPr>
      <w:spacing w:line="360" w:lineRule="auto"/>
      <w:jc w:val="both"/>
    </w:pPr>
    <w:rPr>
      <w:sz w:val="24"/>
      <w:lang w:eastAsia="en-US"/>
    </w:rPr>
  </w:style>
  <w:style w:type="paragraph" w:styleId="Heading1">
    <w:name w:val="heading 1"/>
    <w:basedOn w:val="Normal"/>
    <w:next w:val="ParaNumbering"/>
    <w:uiPriority w:val="9"/>
    <w:qFormat/>
    <w:pPr>
      <w:keepNext/>
      <w:spacing w:before="240" w:after="60" w:line="240" w:lineRule="auto"/>
      <w:outlineLvl w:val="0"/>
    </w:pPr>
    <w:rPr>
      <w:b/>
      <w:caps/>
      <w:kern w:val="28"/>
    </w:rPr>
  </w:style>
  <w:style w:type="paragraph" w:styleId="Heading2">
    <w:name w:val="heading 2"/>
    <w:basedOn w:val="Normal"/>
    <w:next w:val="ParaNumbering"/>
    <w:uiPriority w:val="9"/>
    <w:qFormat/>
    <w:pPr>
      <w:keepNext/>
      <w:spacing w:before="240" w:after="60" w:line="240" w:lineRule="auto"/>
      <w:outlineLvl w:val="1"/>
    </w:pPr>
    <w:rPr>
      <w:b/>
      <w:szCs w:val="24"/>
    </w:rPr>
  </w:style>
  <w:style w:type="paragraph" w:styleId="Heading3">
    <w:name w:val="heading 3"/>
    <w:basedOn w:val="Normal"/>
    <w:next w:val="ParaNumbering"/>
    <w:uiPriority w:val="9"/>
    <w:qFormat/>
    <w:pPr>
      <w:keepNext/>
      <w:spacing w:before="240" w:after="60" w:line="240" w:lineRule="auto"/>
      <w:outlineLvl w:val="2"/>
    </w:pPr>
    <w:rPr>
      <w:b/>
      <w:i/>
    </w:rPr>
  </w:style>
  <w:style w:type="paragraph" w:styleId="Heading4">
    <w:name w:val="heading 4"/>
    <w:basedOn w:val="Normal"/>
    <w:next w:val="ParaNumbering"/>
    <w:uiPriority w:val="9"/>
    <w:qFormat/>
    <w:rsid w:val="009F5C33"/>
    <w:pPr>
      <w:keepNext/>
      <w:spacing w:before="240" w:after="60" w:line="240" w:lineRule="auto"/>
      <w:jc w:val="left"/>
      <w:outlineLvl w:val="3"/>
    </w:pPr>
    <w:rPr>
      <w:i/>
      <w:szCs w:val="24"/>
    </w:rPr>
  </w:style>
  <w:style w:type="paragraph" w:styleId="Heading5">
    <w:name w:val="heading 5"/>
    <w:basedOn w:val="fcHeading1"/>
    <w:next w:val="ParaNumbering"/>
    <w:uiPriority w:val="9"/>
    <w:qFormat/>
    <w:rsid w:val="000E7BAE"/>
    <w:pPr>
      <w:outlineLvl w:val="4"/>
    </w:pPr>
    <w:rPr>
      <w:caps w:val="0"/>
    </w:rPr>
  </w:style>
  <w:style w:type="paragraph" w:styleId="Heading6">
    <w:name w:val="heading 6"/>
    <w:basedOn w:val="fcHeading2"/>
    <w:next w:val="ParaNumbering"/>
    <w:uiPriority w:val="9"/>
    <w:qFormat/>
    <w:pPr>
      <w:outlineLvl w:val="5"/>
    </w:pPr>
  </w:style>
  <w:style w:type="paragraph" w:styleId="Heading7">
    <w:name w:val="heading 7"/>
    <w:basedOn w:val="fcHeading3"/>
    <w:next w:val="ParaNumbering"/>
    <w:uiPriority w:val="9"/>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66"/>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styleId="UnresolvedMention">
    <w:name w:val="Unresolved Mention"/>
    <w:basedOn w:val="DefaultParagraphFont"/>
    <w:uiPriority w:val="99"/>
    <w:semiHidden/>
    <w:unhideWhenUsed/>
    <w:rsid w:val="00A53E24"/>
    <w:rPr>
      <w:color w:val="605E5C"/>
      <w:shd w:val="clear" w:color="auto" w:fill="E1DFDD"/>
    </w:rPr>
  </w:style>
  <w:style w:type="paragraph" w:styleId="ListParagraph">
    <w:name w:val="List Paragraph"/>
    <w:basedOn w:val="Normal"/>
    <w:uiPriority w:val="1"/>
    <w:qFormat/>
    <w:rsid w:val="00A53E24"/>
    <w:pPr>
      <w:widowControl w:val="0"/>
      <w:autoSpaceDE w:val="0"/>
      <w:autoSpaceDN w:val="0"/>
      <w:spacing w:line="240" w:lineRule="auto"/>
      <w:ind w:left="840" w:hanging="721"/>
      <w:jc w:val="left"/>
    </w:pPr>
    <w:rPr>
      <w:rFonts w:eastAsia="Times New Roman"/>
      <w:sz w:val="22"/>
      <w:szCs w:val="22"/>
      <w:lang w:val="en-US"/>
    </w:rPr>
  </w:style>
  <w:style w:type="character" w:customStyle="1" w:styleId="HeaderChar">
    <w:name w:val="Header Char"/>
    <w:basedOn w:val="DefaultParagraphFont"/>
    <w:link w:val="Header"/>
    <w:uiPriority w:val="99"/>
    <w:rsid w:val="006F5323"/>
    <w:rPr>
      <w:sz w:val="24"/>
      <w:lang w:eastAsia="en-US"/>
    </w:rPr>
  </w:style>
  <w:style w:type="paragraph" w:customStyle="1" w:styleId="TableParagraph">
    <w:name w:val="Table Paragraph"/>
    <w:basedOn w:val="Normal"/>
    <w:uiPriority w:val="1"/>
    <w:qFormat/>
    <w:rsid w:val="00D575C9"/>
    <w:pPr>
      <w:widowControl w:val="0"/>
      <w:autoSpaceDE w:val="0"/>
      <w:autoSpaceDN w:val="0"/>
      <w:spacing w:before="50" w:line="240" w:lineRule="auto"/>
      <w:ind w:left="50"/>
      <w:jc w:val="left"/>
    </w:pPr>
    <w:rPr>
      <w:rFonts w:eastAsia="Times New Roman"/>
      <w:sz w:val="22"/>
      <w:szCs w:val="22"/>
      <w:lang w:val="en-US"/>
    </w:rPr>
  </w:style>
  <w:style w:type="paragraph" w:styleId="Revision">
    <w:name w:val="Revision"/>
    <w:hidden/>
    <w:uiPriority w:val="99"/>
    <w:semiHidden/>
    <w:rsid w:val="00334B1F"/>
    <w:rPr>
      <w:sz w:val="24"/>
      <w:lang w:eastAsia="en-US"/>
    </w:rPr>
  </w:style>
  <w:style w:type="paragraph" w:styleId="NoSpacing">
    <w:name w:val="No Spacing"/>
    <w:uiPriority w:val="1"/>
    <w:qFormat/>
    <w:rsid w:val="00F74B50"/>
    <w:pPr>
      <w:jc w:val="both"/>
    </w:pPr>
    <w:rPr>
      <w:sz w:val="24"/>
      <w:lang w:eastAsia="en-US"/>
    </w:rPr>
  </w:style>
  <w:style w:type="paragraph" w:customStyle="1" w:styleId="Default">
    <w:name w:val="Default"/>
    <w:rsid w:val="005646FB"/>
    <w:pPr>
      <w:autoSpaceDE w:val="0"/>
      <w:autoSpaceDN w:val="0"/>
      <w:adjustRightInd w:val="0"/>
    </w:pPr>
    <w:rPr>
      <w:rFonts w:eastAsia="Times New Roman"/>
      <w:color w:val="000000"/>
      <w:sz w:val="24"/>
      <w:szCs w:val="24"/>
      <w:lang w:eastAsia="en-US"/>
    </w:rPr>
  </w:style>
  <w:style w:type="paragraph" w:customStyle="1" w:styleId="SHINEHeading2">
    <w:name w:val="SHINE Heading 2"/>
    <w:basedOn w:val="Normal"/>
    <w:qFormat/>
    <w:rsid w:val="0071375D"/>
    <w:pPr>
      <w:widowControl w:val="0"/>
      <w:suppressAutoHyphens/>
      <w:autoSpaceDE w:val="0"/>
      <w:autoSpaceDN w:val="0"/>
      <w:adjustRightInd w:val="0"/>
      <w:spacing w:before="120" w:after="120" w:line="280" w:lineRule="atLeast"/>
      <w:jc w:val="left"/>
      <w:textAlignment w:val="center"/>
    </w:pPr>
    <w:rPr>
      <w:rFonts w:asciiTheme="minorHAnsi" w:eastAsia="Times New Roman" w:hAnsiTheme="minorHAnsi" w:cs="Transit-Normal"/>
      <w:b/>
      <w:color w:val="000000" w:themeColor="text1"/>
      <w:kern w:val="2"/>
      <w:szCs w:val="19"/>
      <w:lang w:val="en-GB"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20320">
      <w:bodyDiv w:val="1"/>
      <w:marLeft w:val="0"/>
      <w:marRight w:val="0"/>
      <w:marTop w:val="0"/>
      <w:marBottom w:val="0"/>
      <w:divBdr>
        <w:top w:val="none" w:sz="0" w:space="0" w:color="auto"/>
        <w:left w:val="none" w:sz="0" w:space="0" w:color="auto"/>
        <w:bottom w:val="none" w:sz="0" w:space="0" w:color="auto"/>
        <w:right w:val="none" w:sz="0" w:space="0" w:color="auto"/>
      </w:divBdr>
    </w:div>
    <w:div w:id="1080831406">
      <w:bodyDiv w:val="1"/>
      <w:marLeft w:val="0"/>
      <w:marRight w:val="0"/>
      <w:marTop w:val="0"/>
      <w:marBottom w:val="0"/>
      <w:divBdr>
        <w:top w:val="none" w:sz="0" w:space="0" w:color="auto"/>
        <w:left w:val="none" w:sz="0" w:space="0" w:color="auto"/>
        <w:bottom w:val="none" w:sz="0" w:space="0" w:color="auto"/>
        <w:right w:val="none" w:sz="0" w:space="0" w:color="auto"/>
      </w:divBdr>
    </w:div>
    <w:div w:id="1167986683">
      <w:bodyDiv w:val="1"/>
      <w:marLeft w:val="0"/>
      <w:marRight w:val="0"/>
      <w:marTop w:val="0"/>
      <w:marBottom w:val="0"/>
      <w:divBdr>
        <w:top w:val="none" w:sz="0" w:space="0" w:color="auto"/>
        <w:left w:val="none" w:sz="0" w:space="0" w:color="auto"/>
        <w:bottom w:val="none" w:sz="0" w:space="0" w:color="auto"/>
        <w:right w:val="none" w:sz="0" w:space="0" w:color="auto"/>
      </w:divBdr>
    </w:div>
    <w:div w:id="1279026870">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548837993">
      <w:bodyDiv w:val="1"/>
      <w:marLeft w:val="0"/>
      <w:marRight w:val="0"/>
      <w:marTop w:val="0"/>
      <w:marBottom w:val="0"/>
      <w:divBdr>
        <w:top w:val="none" w:sz="0" w:space="0" w:color="auto"/>
        <w:left w:val="none" w:sz="0" w:space="0" w:color="auto"/>
        <w:bottom w:val="none" w:sz="0" w:space="0" w:color="auto"/>
        <w:right w:val="none" w:sz="0" w:space="0" w:color="auto"/>
      </w:divBdr>
    </w:div>
    <w:div w:id="1681200880">
      <w:bodyDiv w:val="1"/>
      <w:marLeft w:val="0"/>
      <w:marRight w:val="0"/>
      <w:marTop w:val="0"/>
      <w:marBottom w:val="0"/>
      <w:divBdr>
        <w:top w:val="none" w:sz="0" w:space="0" w:color="auto"/>
        <w:left w:val="none" w:sz="0" w:space="0" w:color="auto"/>
        <w:bottom w:val="none" w:sz="0" w:space="0" w:color="auto"/>
        <w:right w:val="none" w:sz="0" w:space="0" w:color="auto"/>
      </w:divBdr>
    </w:div>
    <w:div w:id="1746756434">
      <w:bodyDiv w:val="1"/>
      <w:marLeft w:val="0"/>
      <w:marRight w:val="0"/>
      <w:marTop w:val="0"/>
      <w:marBottom w:val="0"/>
      <w:divBdr>
        <w:top w:val="none" w:sz="0" w:space="0" w:color="auto"/>
        <w:left w:val="none" w:sz="0" w:space="0" w:color="auto"/>
        <w:bottom w:val="none" w:sz="0" w:space="0" w:color="auto"/>
        <w:right w:val="none" w:sz="0" w:space="0" w:color="auto"/>
      </w:divBdr>
    </w:div>
    <w:div w:id="1763449292">
      <w:bodyDiv w:val="1"/>
      <w:marLeft w:val="0"/>
      <w:marRight w:val="0"/>
      <w:marTop w:val="0"/>
      <w:marBottom w:val="0"/>
      <w:divBdr>
        <w:top w:val="none" w:sz="0" w:space="0" w:color="auto"/>
        <w:left w:val="none" w:sz="0" w:space="0" w:color="auto"/>
        <w:bottom w:val="none" w:sz="0" w:space="0" w:color="auto"/>
        <w:right w:val="none" w:sz="0" w:space="0" w:color="auto"/>
      </w:divBdr>
    </w:div>
    <w:div w:id="1958482001">
      <w:bodyDiv w:val="1"/>
      <w:marLeft w:val="0"/>
      <w:marRight w:val="0"/>
      <w:marTop w:val="0"/>
      <w:marBottom w:val="0"/>
      <w:divBdr>
        <w:top w:val="none" w:sz="0" w:space="0" w:color="auto"/>
        <w:left w:val="none" w:sz="0" w:space="0" w:color="auto"/>
        <w:bottom w:val="none" w:sz="0" w:space="0" w:color="auto"/>
        <w:right w:val="none" w:sz="0" w:space="0" w:color="auto"/>
      </w:divBdr>
    </w:div>
    <w:div w:id="2060199063">
      <w:bodyDiv w:val="1"/>
      <w:marLeft w:val="0"/>
      <w:marRight w:val="0"/>
      <w:marTop w:val="0"/>
      <w:marBottom w:val="0"/>
      <w:divBdr>
        <w:top w:val="none" w:sz="0" w:space="0" w:color="auto"/>
        <w:left w:val="none" w:sz="0" w:space="0" w:color="auto"/>
        <w:bottom w:val="none" w:sz="0" w:space="0" w:color="auto"/>
        <w:right w:val="none" w:sz="0" w:space="0" w:color="auto"/>
      </w:divBdr>
    </w:div>
    <w:div w:id="208529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reg@fedcourt.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vicreg@fedcourt.gov.au"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006876DDB45518293564410814C37"/>
        <w:category>
          <w:name w:val="General"/>
          <w:gallery w:val="placeholder"/>
        </w:category>
        <w:types>
          <w:type w:val="bbPlcHdr"/>
        </w:types>
        <w:behaviors>
          <w:behavior w:val="content"/>
        </w:behaviors>
        <w:guid w:val="{D6529451-FA03-450B-8254-382B20933F6A}"/>
      </w:docPartPr>
      <w:docPartBody>
        <w:p w:rsidR="00C765B1" w:rsidRDefault="00C765B1">
          <w:pPr>
            <w:pStyle w:val="58C006876DDB45518293564410814C37"/>
          </w:pPr>
          <w:r>
            <w:rPr>
              <w:rStyle w:val="PlaceholderText"/>
            </w:rPr>
            <w:t>MNC Text</w:t>
          </w:r>
        </w:p>
      </w:docPartBody>
    </w:docPart>
    <w:docPart>
      <w:docPartPr>
        <w:name w:val="790F7EC833E041C18AA570B8F5B2DA5E"/>
        <w:category>
          <w:name w:val="General"/>
          <w:gallery w:val="placeholder"/>
        </w:category>
        <w:types>
          <w:type w:val="bbPlcHdr"/>
        </w:types>
        <w:behaviors>
          <w:behavior w:val="content"/>
        </w:behaviors>
        <w:guid w:val="{43101ACA-0CD1-4617-A812-53BA0C41899C}"/>
      </w:docPartPr>
      <w:docPartBody>
        <w:p w:rsidR="00C765B1" w:rsidRDefault="00C765B1">
          <w:pPr>
            <w:pStyle w:val="790F7EC833E041C18AA570B8F5B2DA5E"/>
          </w:pPr>
          <w:r w:rsidRPr="005C44BE">
            <w:rPr>
              <w:rStyle w:val="PlaceholderText"/>
            </w:rPr>
            <w:t>Click or tap here to enter text.</w:t>
          </w:r>
        </w:p>
      </w:docPartBody>
    </w:docPart>
    <w:docPart>
      <w:docPartPr>
        <w:name w:val="4F92078B1C7544A7BC76D2D21582D3DD"/>
        <w:category>
          <w:name w:val="General"/>
          <w:gallery w:val="placeholder"/>
        </w:category>
        <w:types>
          <w:type w:val="bbPlcHdr"/>
        </w:types>
        <w:behaviors>
          <w:behavior w:val="content"/>
        </w:behaviors>
        <w:guid w:val="{F573BF78-6A84-4208-A2D3-FD8EC1BE8009}"/>
      </w:docPartPr>
      <w:docPartBody>
        <w:p w:rsidR="00C765B1" w:rsidRDefault="00C765B1">
          <w:pPr>
            <w:pStyle w:val="4F92078B1C7544A7BC76D2D21582D3DD"/>
          </w:pPr>
          <w:r w:rsidRPr="005C44BE">
            <w:rPr>
              <w:rStyle w:val="PlaceholderText"/>
            </w:rPr>
            <w:t>Click or tap here to enter text.</w:t>
          </w:r>
        </w:p>
      </w:docPartBody>
    </w:docPart>
    <w:docPart>
      <w:docPartPr>
        <w:name w:val="F1A5AD49A4F642468FE3D340CE7AF3C4"/>
        <w:category>
          <w:name w:val="General"/>
          <w:gallery w:val="placeholder"/>
        </w:category>
        <w:types>
          <w:type w:val="bbPlcHdr"/>
        </w:types>
        <w:behaviors>
          <w:behavior w:val="content"/>
        </w:behaviors>
        <w:guid w:val="{594601BF-5B98-4DC6-AA9E-8E4C2DA985D4}"/>
      </w:docPartPr>
      <w:docPartBody>
        <w:p w:rsidR="00C765B1" w:rsidRDefault="00C765B1">
          <w:pPr>
            <w:pStyle w:val="F1A5AD49A4F642468FE3D340CE7AF3C4"/>
          </w:pPr>
          <w:r w:rsidRPr="005C44BE">
            <w:rPr>
              <w:rStyle w:val="PlaceholderText"/>
            </w:rPr>
            <w:t>Click or tap here to enter text.</w:t>
          </w:r>
        </w:p>
      </w:docPartBody>
    </w:docPart>
    <w:docPart>
      <w:docPartPr>
        <w:name w:val="B91B03B6D2894FBEAE8AE2FBF66ED79D"/>
        <w:category>
          <w:name w:val="General"/>
          <w:gallery w:val="placeholder"/>
        </w:category>
        <w:types>
          <w:type w:val="bbPlcHdr"/>
        </w:types>
        <w:behaviors>
          <w:behavior w:val="content"/>
        </w:behaviors>
        <w:guid w:val="{75CB6AFE-FAE9-4400-80A9-284921598F5F}"/>
      </w:docPartPr>
      <w:docPartBody>
        <w:p w:rsidR="00C765B1" w:rsidRDefault="00C765B1">
          <w:pPr>
            <w:pStyle w:val="B91B03B6D2894FBEAE8AE2FBF66ED79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nsit-Normal">
    <w:altName w:val="Cambria"/>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1"/>
    <w:rsid w:val="00167CB1"/>
    <w:rsid w:val="0019232D"/>
    <w:rsid w:val="0031111A"/>
    <w:rsid w:val="0052504D"/>
    <w:rsid w:val="005A18BA"/>
    <w:rsid w:val="005E62DC"/>
    <w:rsid w:val="0074715A"/>
    <w:rsid w:val="00750C74"/>
    <w:rsid w:val="007B1D8F"/>
    <w:rsid w:val="00800663"/>
    <w:rsid w:val="00803534"/>
    <w:rsid w:val="008123A2"/>
    <w:rsid w:val="00885EDF"/>
    <w:rsid w:val="009069C6"/>
    <w:rsid w:val="009966E1"/>
    <w:rsid w:val="00A05C05"/>
    <w:rsid w:val="00A410F5"/>
    <w:rsid w:val="00A61136"/>
    <w:rsid w:val="00AE7394"/>
    <w:rsid w:val="00C765B1"/>
    <w:rsid w:val="00CB0C96"/>
    <w:rsid w:val="00F07CF6"/>
    <w:rsid w:val="00F63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006876DDB45518293564410814C37">
    <w:name w:val="58C006876DDB45518293564410814C37"/>
  </w:style>
  <w:style w:type="paragraph" w:customStyle="1" w:styleId="790F7EC833E041C18AA570B8F5B2DA5E">
    <w:name w:val="790F7EC833E041C18AA570B8F5B2DA5E"/>
  </w:style>
  <w:style w:type="paragraph" w:customStyle="1" w:styleId="4F92078B1C7544A7BC76D2D21582D3DD">
    <w:name w:val="4F92078B1C7544A7BC76D2D21582D3DD"/>
  </w:style>
  <w:style w:type="paragraph" w:customStyle="1" w:styleId="F1A5AD49A4F642468FE3D340CE7AF3C4">
    <w:name w:val="F1A5AD49A4F642468FE3D340CE7AF3C4"/>
  </w:style>
  <w:style w:type="paragraph" w:customStyle="1" w:styleId="B91B03B6D2894FBEAE8AE2FBF66ED79D">
    <w:name w:val="B91B03B6D2894FBEAE8AE2FBF66ED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Watson &amp; Co Superannuation Pty Ltd v Dixon Advisory and Superannuation Services Ltd (Settlement Approval) [2024] FCA 386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69</Pages>
  <Words>24139</Words>
  <Characters>122628</Characters>
  <Application>Microsoft Office Word</Application>
  <DocSecurity>0</DocSecurity>
  <PresentationFormat/>
  <Lines>2554</Lines>
  <Paragraphs>1243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Watson &amp; Co Superannuation Pty Ltd v Dixon Advisory and Superannuation Services Ltd (Settlement Approval) [2024] FCA 386 </vt:lpstr>
    </vt:vector>
  </TitlesOfParts>
  <Manager/>
  <Company/>
  <LinksUpToDate>false</LinksUpToDate>
  <CharactersWithSpaces>145524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Watson &amp; Co Superannuation Pty Ltd v Dixon Advisory and Superannuation Services Ltd (Settlement Approval) [2024] FCA 386</dc:title>
  <dc:subject/>
  <dc:creator/>
  <cp:keywords/>
  <dc:description/>
  <cp:lastModifiedBy/>
  <cp:revision>1</cp:revision>
  <cp:lastPrinted>2024-04-17T19:07:00Z</cp:lastPrinted>
  <dcterms:created xsi:type="dcterms:W3CDTF">2024-04-19T04:09:00Z</dcterms:created>
  <dcterms:modified xsi:type="dcterms:W3CDTF">2024-04-19T04:10:00Z</dcterms:modified>
  <cp:category/>
  <cp:contentStatus/>
  <dc:language/>
  <cp:version/>
</cp:coreProperties>
</file>