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DE0405">
      <w:pPr>
        <w:pStyle w:val="MediaNeutralStyle"/>
      </w:pPr>
      <w:bookmarkStart w:id="0" w:name="MNC"/>
      <w:r>
        <w:t xml:space="preserve">Nichia Corporation v Arrow Electronics Australia Pty Ltd [2015] </w:t>
      </w:r>
      <w:proofErr w:type="spellStart"/>
      <w:r>
        <w:t>FCA</w:t>
      </w:r>
      <w:proofErr w:type="spellEnd"/>
      <w:r w:rsidR="00725428">
        <w:t xml:space="preserve"> </w:t>
      </w:r>
      <w:r w:rsidR="009910BE">
        <w:t>699</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154F74">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DE0405" w:rsidP="009910BE">
            <w:pPr>
              <w:pStyle w:val="Normal1linespace"/>
              <w:widowControl w:val="0"/>
              <w:jc w:val="left"/>
            </w:pPr>
            <w:r>
              <w:t xml:space="preserve">Nichia Corporation v Arrow Electronics Australia Pty Ltd [2015] </w:t>
            </w:r>
            <w:proofErr w:type="spellStart"/>
            <w:r>
              <w:t>FCA</w:t>
            </w:r>
            <w:proofErr w:type="spellEnd"/>
            <w:r>
              <w:t xml:space="preserve"> </w:t>
            </w:r>
            <w:r w:rsidR="009910BE">
              <w:t>699</w:t>
            </w:r>
          </w:p>
        </w:tc>
      </w:tr>
      <w:tr w:rsidR="00395B24" w:rsidTr="00154F74">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54F74">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D6450A" w:rsidRDefault="00B2764A">
            <w:pPr>
              <w:pStyle w:val="Normal1linespace"/>
              <w:widowControl w:val="0"/>
              <w:jc w:val="left"/>
              <w:rPr>
                <w:b/>
              </w:rPr>
            </w:pPr>
            <w:bookmarkStart w:id="1" w:name="JudgmentFP"/>
            <w:r>
              <w:rPr>
                <w:b/>
              </w:rPr>
              <w:t xml:space="preserve">NICHIA CORPORATION v ARROW ELECTRONICS AUSTRALIA PTY LTD </w:t>
            </w:r>
            <w:proofErr w:type="spellStart"/>
            <w:r>
              <w:rPr>
                <w:b/>
              </w:rPr>
              <w:t>ACN</w:t>
            </w:r>
            <w:proofErr w:type="spellEnd"/>
            <w:r>
              <w:rPr>
                <w:b/>
              </w:rPr>
              <w:t xml:space="preserve"> 065 151 626; </w:t>
            </w:r>
          </w:p>
          <w:bookmarkEnd w:id="1"/>
          <w:p w:rsidR="00395B24" w:rsidRDefault="00395B24" w:rsidP="00D6450A">
            <w:pPr>
              <w:pStyle w:val="Normal1linespace"/>
              <w:widowControl w:val="0"/>
              <w:jc w:val="left"/>
              <w:rPr>
                <w:b/>
              </w:rPr>
            </w:pPr>
          </w:p>
        </w:tc>
      </w:tr>
      <w:tr w:rsidR="007706C1" w:rsidTr="00154F74">
        <w:tc>
          <w:tcPr>
            <w:tcW w:w="3085" w:type="dxa"/>
            <w:shd w:val="clear" w:color="auto" w:fill="auto"/>
          </w:tcPr>
          <w:p w:rsidR="007706C1" w:rsidRDefault="007706C1">
            <w:pPr>
              <w:pStyle w:val="Normal1linespace"/>
              <w:widowControl w:val="0"/>
            </w:pPr>
          </w:p>
        </w:tc>
        <w:tc>
          <w:tcPr>
            <w:tcW w:w="5989" w:type="dxa"/>
            <w:shd w:val="clear" w:color="auto" w:fill="auto"/>
          </w:tcPr>
          <w:p w:rsidR="007706C1" w:rsidRDefault="007706C1">
            <w:pPr>
              <w:pStyle w:val="Normal1linespace"/>
              <w:widowControl w:val="0"/>
              <w:jc w:val="left"/>
              <w:rPr>
                <w:b/>
              </w:rPr>
            </w:pPr>
            <w:r>
              <w:rPr>
                <w:b/>
              </w:rPr>
              <w:t xml:space="preserve">ARROW ELECTRONICS AUSTRALIA PTY LTD </w:t>
            </w:r>
            <w:proofErr w:type="spellStart"/>
            <w:r>
              <w:rPr>
                <w:b/>
              </w:rPr>
              <w:t>ACN</w:t>
            </w:r>
            <w:proofErr w:type="spellEnd"/>
            <w:r>
              <w:rPr>
                <w:b/>
              </w:rPr>
              <w:t xml:space="preserve"> 065 151 626 v NICHIA CORPORATION</w:t>
            </w:r>
          </w:p>
        </w:tc>
      </w:tr>
      <w:tr w:rsidR="00395B24" w:rsidTr="00154F74">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54F74">
        <w:tc>
          <w:tcPr>
            <w:tcW w:w="3085" w:type="dxa"/>
            <w:shd w:val="clear" w:color="auto" w:fill="auto"/>
          </w:tcPr>
          <w:p w:rsidR="00395B24" w:rsidRDefault="002C7385">
            <w:pPr>
              <w:pStyle w:val="Normal1linespace"/>
              <w:widowControl w:val="0"/>
            </w:pPr>
            <w:r>
              <w:t>File number(s):</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B2764A">
              <w:rPr>
                <w:szCs w:val="24"/>
              </w:rPr>
              <w:t>NSD</w:t>
            </w:r>
            <w:proofErr w:type="spellEnd"/>
            <w:r w:rsidR="00B2764A">
              <w:rPr>
                <w:szCs w:val="24"/>
              </w:rPr>
              <w:t xml:space="preserve"> 558 of 2014</w:t>
            </w:r>
            <w:r>
              <w:rPr>
                <w:szCs w:val="24"/>
              </w:rPr>
              <w:fldChar w:fldCharType="end"/>
            </w:r>
          </w:p>
        </w:tc>
      </w:tr>
      <w:tr w:rsidR="00395B24" w:rsidTr="00154F74">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54F74">
        <w:tc>
          <w:tcPr>
            <w:tcW w:w="3085" w:type="dxa"/>
            <w:shd w:val="clear" w:color="auto" w:fill="auto"/>
          </w:tcPr>
          <w:p w:rsidR="00395B24" w:rsidRDefault="002C7385">
            <w:pPr>
              <w:pStyle w:val="Normal1linespace"/>
              <w:widowControl w:val="0"/>
            </w:pPr>
            <w:r>
              <w:t>Judge(s):</w:t>
            </w:r>
          </w:p>
        </w:tc>
        <w:tc>
          <w:tcPr>
            <w:tcW w:w="5989" w:type="dxa"/>
            <w:shd w:val="clear" w:color="auto" w:fill="auto"/>
          </w:tcPr>
          <w:p w:rsidR="00395B24" w:rsidRDefault="002C7385">
            <w:pPr>
              <w:pStyle w:val="Normal1linespace"/>
              <w:widowControl w:val="0"/>
              <w:jc w:val="left"/>
              <w:rPr>
                <w:b/>
              </w:rPr>
            </w:pPr>
            <w:r w:rsidRPr="00B2764A">
              <w:rPr>
                <w:b/>
              </w:rPr>
              <w:fldChar w:fldCharType="begin" w:fldLock="1"/>
            </w:r>
            <w:r w:rsidRPr="00B2764A">
              <w:rPr>
                <w:b/>
              </w:rPr>
              <w:instrText xml:space="preserve"> REF  Judge  \* MERGEFORMAT </w:instrText>
            </w:r>
            <w:r w:rsidRPr="00B2764A">
              <w:rPr>
                <w:b/>
              </w:rPr>
              <w:fldChar w:fldCharType="separate"/>
            </w:r>
            <w:r w:rsidR="00B2764A" w:rsidRPr="00B2764A">
              <w:rPr>
                <w:b/>
                <w:caps/>
                <w:szCs w:val="24"/>
              </w:rPr>
              <w:t>YATES J</w:t>
            </w:r>
            <w:r w:rsidRPr="00B2764A">
              <w:rPr>
                <w:b/>
              </w:rPr>
              <w:fldChar w:fldCharType="end"/>
            </w:r>
          </w:p>
        </w:tc>
      </w:tr>
      <w:tr w:rsidR="00395B24" w:rsidTr="00154F74">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54F74">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DE0405">
            <w:pPr>
              <w:pStyle w:val="Normal1linespace"/>
              <w:widowControl w:val="0"/>
              <w:jc w:val="left"/>
            </w:pPr>
            <w:bookmarkStart w:id="2" w:name="JudgmentDate"/>
            <w:r>
              <w:t>10 July</w:t>
            </w:r>
            <w:r w:rsidR="00B2764A">
              <w:t xml:space="preserve"> 2015</w:t>
            </w:r>
            <w:bookmarkEnd w:id="2"/>
          </w:p>
        </w:tc>
      </w:tr>
      <w:tr w:rsidR="00395B24" w:rsidTr="00154F74">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54F74">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DE0405" w:rsidRDefault="00DE0405">
            <w:pPr>
              <w:pStyle w:val="Normal1linespace"/>
              <w:widowControl w:val="0"/>
              <w:jc w:val="left"/>
            </w:pPr>
            <w:bookmarkStart w:id="3" w:name="Catchwords"/>
            <w:r>
              <w:rPr>
                <w:b/>
              </w:rPr>
              <w:t xml:space="preserve">PATENTS </w:t>
            </w:r>
            <w:r>
              <w:t xml:space="preserve">– </w:t>
            </w:r>
            <w:r w:rsidR="0005382A">
              <w:t xml:space="preserve">standard patent for a light emitting device and display device – </w:t>
            </w:r>
            <w:r>
              <w:t>determination of priority date</w:t>
            </w:r>
            <w:r w:rsidR="00D52A62">
              <w:t xml:space="preserve"> of claims in suit</w:t>
            </w:r>
            <w:r w:rsidR="0005382A">
              <w:t xml:space="preserve"> – whether claims in suit define more than one form of the invention – whether claims in suit fairly based on</w:t>
            </w:r>
            <w:r w:rsidR="00D52A62">
              <w:t xml:space="preserve"> matter disclosed</w:t>
            </w:r>
            <w:r w:rsidR="0005382A">
              <w:t xml:space="preserve"> </w:t>
            </w:r>
            <w:r w:rsidR="00D52A62">
              <w:t>in priority documents</w:t>
            </w:r>
          </w:p>
          <w:p w:rsidR="0005382A" w:rsidRDefault="0005382A">
            <w:pPr>
              <w:pStyle w:val="Normal1linespace"/>
              <w:widowControl w:val="0"/>
              <w:jc w:val="left"/>
            </w:pPr>
          </w:p>
          <w:p w:rsidR="00395B24" w:rsidRDefault="00DE0405" w:rsidP="00DE0405">
            <w:pPr>
              <w:pStyle w:val="Normal1linespace"/>
              <w:widowControl w:val="0"/>
              <w:jc w:val="left"/>
            </w:pPr>
            <w:r>
              <w:rPr>
                <w:b/>
              </w:rPr>
              <w:t xml:space="preserve">PRACTICE AND PROCEDURE </w:t>
            </w:r>
            <w:r>
              <w:t>– determination of separate question</w:t>
            </w:r>
            <w:r w:rsidR="002C7385">
              <w:t xml:space="preserve"> </w:t>
            </w:r>
            <w:bookmarkEnd w:id="3"/>
          </w:p>
        </w:tc>
      </w:tr>
      <w:tr w:rsidR="00395B24" w:rsidTr="00154F74">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54F74">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DE0405" w:rsidRDefault="00DE0405">
            <w:pPr>
              <w:pStyle w:val="Normal1linespace"/>
              <w:widowControl w:val="0"/>
              <w:jc w:val="left"/>
              <w:rPr>
                <w:i/>
              </w:rPr>
            </w:pPr>
            <w:bookmarkStart w:id="4" w:name="Legislation"/>
            <w:r w:rsidRPr="00973E96">
              <w:rPr>
                <w:i/>
              </w:rPr>
              <w:t>Evidence Act 1995</w:t>
            </w:r>
            <w:r>
              <w:t xml:space="preserve"> (</w:t>
            </w:r>
            <w:proofErr w:type="spellStart"/>
            <w:r>
              <w:t>Cth</w:t>
            </w:r>
            <w:proofErr w:type="spellEnd"/>
            <w:r>
              <w:t>) s 136</w:t>
            </w:r>
          </w:p>
          <w:p w:rsidR="00DE0405" w:rsidRDefault="00DE0405">
            <w:pPr>
              <w:pStyle w:val="Normal1linespace"/>
              <w:widowControl w:val="0"/>
              <w:jc w:val="left"/>
            </w:pPr>
            <w:r>
              <w:rPr>
                <w:i/>
              </w:rPr>
              <w:t>Federal Court Rules 2011</w:t>
            </w:r>
            <w:r>
              <w:t xml:space="preserve"> r 30.01</w:t>
            </w:r>
          </w:p>
          <w:p w:rsidR="00154F74" w:rsidRDefault="00154F74">
            <w:pPr>
              <w:pStyle w:val="Normal1linespace"/>
              <w:widowControl w:val="0"/>
              <w:jc w:val="left"/>
              <w:rPr>
                <w:i/>
              </w:rPr>
            </w:pPr>
            <w:r w:rsidRPr="00154F74">
              <w:t>Patents Act 1949</w:t>
            </w:r>
            <w:r>
              <w:t xml:space="preserve"> (UK)</w:t>
            </w:r>
          </w:p>
          <w:p w:rsidR="00DE0405" w:rsidRDefault="00DE0405">
            <w:pPr>
              <w:pStyle w:val="Normal1linespace"/>
              <w:widowControl w:val="0"/>
              <w:jc w:val="left"/>
            </w:pPr>
            <w:r>
              <w:rPr>
                <w:i/>
              </w:rPr>
              <w:t>Patents Act 1952</w:t>
            </w:r>
            <w:r>
              <w:t xml:space="preserve"> (</w:t>
            </w:r>
            <w:proofErr w:type="spellStart"/>
            <w:r>
              <w:t>Cth</w:t>
            </w:r>
            <w:proofErr w:type="spellEnd"/>
            <w:r>
              <w:t>)</w:t>
            </w:r>
          </w:p>
          <w:p w:rsidR="00DE0405" w:rsidRPr="00DE0405" w:rsidRDefault="00DE0405">
            <w:pPr>
              <w:pStyle w:val="Normal1linespace"/>
              <w:widowControl w:val="0"/>
              <w:jc w:val="left"/>
            </w:pPr>
            <w:r w:rsidRPr="00DE0405">
              <w:t>Patents Act 1977</w:t>
            </w:r>
            <w:r>
              <w:t xml:space="preserve"> (UK) s 125</w:t>
            </w:r>
          </w:p>
          <w:p w:rsidR="00DE0405" w:rsidRDefault="00DE0405">
            <w:pPr>
              <w:pStyle w:val="Normal1linespace"/>
              <w:widowControl w:val="0"/>
              <w:jc w:val="left"/>
            </w:pPr>
            <w:r>
              <w:rPr>
                <w:i/>
              </w:rPr>
              <w:t xml:space="preserve">Patents Act 1990 </w:t>
            </w:r>
            <w:r>
              <w:t>(</w:t>
            </w:r>
            <w:proofErr w:type="spellStart"/>
            <w:r>
              <w:t>Cth</w:t>
            </w:r>
            <w:proofErr w:type="spellEnd"/>
            <w:r>
              <w:t>) s 43</w:t>
            </w:r>
          </w:p>
          <w:p w:rsidR="00395B24" w:rsidRDefault="00DE0405">
            <w:pPr>
              <w:pStyle w:val="Normal1linespace"/>
              <w:widowControl w:val="0"/>
              <w:jc w:val="left"/>
            </w:pPr>
            <w:r w:rsidRPr="00600006">
              <w:rPr>
                <w:i/>
              </w:rPr>
              <w:t>Patents Regulations 1991</w:t>
            </w:r>
            <w:r>
              <w:t xml:space="preserve"> (</w:t>
            </w:r>
            <w:proofErr w:type="spellStart"/>
            <w:r>
              <w:t>Cth</w:t>
            </w:r>
            <w:proofErr w:type="spellEnd"/>
            <w:r>
              <w:t xml:space="preserve">) </w:t>
            </w:r>
            <w:proofErr w:type="spellStart"/>
            <w:r>
              <w:t>reg</w:t>
            </w:r>
            <w:proofErr w:type="spellEnd"/>
            <w:r>
              <w:t xml:space="preserve"> 3.12</w:t>
            </w:r>
            <w:r w:rsidR="002C7385">
              <w:t xml:space="preserve"> </w:t>
            </w:r>
            <w:bookmarkEnd w:id="4"/>
          </w:p>
        </w:tc>
      </w:tr>
      <w:tr w:rsidR="00395B24" w:rsidTr="00154F74">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54F74">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154F74" w:rsidRDefault="00154F74">
            <w:pPr>
              <w:pStyle w:val="Normal1linespace"/>
              <w:widowControl w:val="0"/>
              <w:jc w:val="left"/>
              <w:rPr>
                <w:i/>
              </w:rPr>
            </w:pPr>
            <w:bookmarkStart w:id="5" w:name="Cases_Cited"/>
            <w:r w:rsidRPr="00263BB5">
              <w:rPr>
                <w:i/>
              </w:rPr>
              <w:t xml:space="preserve">Anderson’s Application </w:t>
            </w:r>
            <w:r>
              <w:t xml:space="preserve">[1966] </w:t>
            </w:r>
            <w:proofErr w:type="spellStart"/>
            <w:r>
              <w:t>FSR</w:t>
            </w:r>
            <w:proofErr w:type="spellEnd"/>
            <w:r>
              <w:t xml:space="preserve"> 218</w:t>
            </w:r>
          </w:p>
          <w:p w:rsidR="00DE0405" w:rsidRDefault="00DE0405">
            <w:pPr>
              <w:pStyle w:val="Normal1linespace"/>
              <w:widowControl w:val="0"/>
              <w:jc w:val="left"/>
              <w:rPr>
                <w:i/>
              </w:rPr>
            </w:pPr>
            <w:r>
              <w:rPr>
                <w:i/>
              </w:rPr>
              <w:t xml:space="preserve">AstraZeneca AB v </w:t>
            </w:r>
            <w:proofErr w:type="spellStart"/>
            <w:r>
              <w:rPr>
                <w:i/>
              </w:rPr>
              <w:t>Apotex</w:t>
            </w:r>
            <w:proofErr w:type="spellEnd"/>
            <w:r>
              <w:rPr>
                <w:i/>
              </w:rPr>
              <w:t xml:space="preserve"> Pty Ltd</w:t>
            </w:r>
            <w:r>
              <w:t xml:space="preserve"> (2014) 226 </w:t>
            </w:r>
            <w:proofErr w:type="spellStart"/>
            <w:r>
              <w:t>FCR</w:t>
            </w:r>
            <w:proofErr w:type="spellEnd"/>
            <w:r>
              <w:t xml:space="preserve"> 324</w:t>
            </w:r>
          </w:p>
          <w:p w:rsidR="00154F74" w:rsidRDefault="00154F74">
            <w:pPr>
              <w:pStyle w:val="Normal1linespace"/>
              <w:widowControl w:val="0"/>
              <w:jc w:val="left"/>
              <w:rPr>
                <w:i/>
              </w:rPr>
            </w:pPr>
            <w:proofErr w:type="spellStart"/>
            <w:r w:rsidRPr="00263BB5">
              <w:rPr>
                <w:i/>
              </w:rPr>
              <w:t>Farbenfabriken</w:t>
            </w:r>
            <w:proofErr w:type="spellEnd"/>
            <w:r w:rsidRPr="00263BB5">
              <w:rPr>
                <w:i/>
              </w:rPr>
              <w:t xml:space="preserve"> Bayer AG’s Patent</w:t>
            </w:r>
            <w:r>
              <w:t xml:space="preserve"> [1966] RPC 278</w:t>
            </w:r>
          </w:p>
          <w:p w:rsidR="00154F74" w:rsidRDefault="00154F74">
            <w:pPr>
              <w:pStyle w:val="Normal1linespace"/>
              <w:widowControl w:val="0"/>
              <w:jc w:val="left"/>
              <w:rPr>
                <w:i/>
              </w:rPr>
            </w:pPr>
            <w:proofErr w:type="spellStart"/>
            <w:r>
              <w:rPr>
                <w:i/>
              </w:rPr>
              <w:t>Hallen</w:t>
            </w:r>
            <w:proofErr w:type="spellEnd"/>
            <w:r>
              <w:rPr>
                <w:i/>
              </w:rPr>
              <w:t xml:space="preserve"> Company</w:t>
            </w:r>
            <w:r w:rsidRPr="003A3B9D">
              <w:rPr>
                <w:i/>
              </w:rPr>
              <w:t xml:space="preserve"> v </w:t>
            </w:r>
            <w:proofErr w:type="spellStart"/>
            <w:r w:rsidRPr="003A3B9D">
              <w:rPr>
                <w:i/>
              </w:rPr>
              <w:t>Brabantia</w:t>
            </w:r>
            <w:proofErr w:type="spellEnd"/>
            <w:r w:rsidRPr="003A3B9D">
              <w:rPr>
                <w:i/>
              </w:rPr>
              <w:t xml:space="preserve"> (UK) Ltd</w:t>
            </w:r>
            <w:r>
              <w:t xml:space="preserve"> [1990] </w:t>
            </w:r>
            <w:proofErr w:type="spellStart"/>
            <w:r>
              <w:t>FSR</w:t>
            </w:r>
            <w:proofErr w:type="spellEnd"/>
            <w:r>
              <w:t xml:space="preserve"> 134</w:t>
            </w:r>
          </w:p>
          <w:p w:rsidR="00DE0405" w:rsidRDefault="00DE0405">
            <w:pPr>
              <w:pStyle w:val="Normal1linespace"/>
              <w:widowControl w:val="0"/>
              <w:jc w:val="left"/>
              <w:rPr>
                <w:i/>
              </w:rPr>
            </w:pPr>
            <w:proofErr w:type="spellStart"/>
            <w:r w:rsidRPr="00D24D65">
              <w:rPr>
                <w:i/>
              </w:rPr>
              <w:t>Leonardis</w:t>
            </w:r>
            <w:proofErr w:type="spellEnd"/>
            <w:r w:rsidRPr="00D24D65">
              <w:rPr>
                <w:i/>
              </w:rPr>
              <w:t xml:space="preserve"> v </w:t>
            </w:r>
            <w:proofErr w:type="spellStart"/>
            <w:r w:rsidRPr="00D24D65">
              <w:rPr>
                <w:i/>
              </w:rPr>
              <w:t>Sartas</w:t>
            </w:r>
            <w:proofErr w:type="spellEnd"/>
            <w:r w:rsidRPr="00D24D65">
              <w:rPr>
                <w:i/>
              </w:rPr>
              <w:t xml:space="preserve"> No 1 Pty Ltd</w:t>
            </w:r>
            <w:r>
              <w:t xml:space="preserve"> (1996) 67 </w:t>
            </w:r>
            <w:proofErr w:type="spellStart"/>
            <w:r>
              <w:t>FCR</w:t>
            </w:r>
            <w:proofErr w:type="spellEnd"/>
            <w:r>
              <w:t xml:space="preserve"> 126</w:t>
            </w:r>
          </w:p>
          <w:p w:rsidR="00DE0405" w:rsidRDefault="00DE0405">
            <w:pPr>
              <w:pStyle w:val="Normal1linespace"/>
              <w:widowControl w:val="0"/>
              <w:jc w:val="left"/>
            </w:pPr>
            <w:r>
              <w:rPr>
                <w:i/>
              </w:rPr>
              <w:t xml:space="preserve">Lockwood Security Products Pty Limited v Doric Products Pty Limited </w:t>
            </w:r>
            <w:r>
              <w:t xml:space="preserve">(2004) 217 </w:t>
            </w:r>
            <w:proofErr w:type="spellStart"/>
            <w:r>
              <w:t>CLR</w:t>
            </w:r>
            <w:proofErr w:type="spellEnd"/>
            <w:r>
              <w:t xml:space="preserve"> 274</w:t>
            </w:r>
          </w:p>
          <w:p w:rsidR="000F0DBF" w:rsidRDefault="00154F74">
            <w:pPr>
              <w:pStyle w:val="Normal1linespace"/>
              <w:widowControl w:val="0"/>
              <w:jc w:val="left"/>
            </w:pPr>
            <w:r>
              <w:rPr>
                <w:i/>
              </w:rPr>
              <w:t>Merck &amp; Company (</w:t>
            </w:r>
            <w:proofErr w:type="spellStart"/>
            <w:r>
              <w:rPr>
                <w:i/>
              </w:rPr>
              <w:t>Macek’s</w:t>
            </w:r>
            <w:proofErr w:type="spellEnd"/>
            <w:r>
              <w:rPr>
                <w:i/>
              </w:rPr>
              <w:t>) Patent</w:t>
            </w:r>
            <w:r w:rsidR="000F0DBF">
              <w:t xml:space="preserve"> [1967] RPC 157</w:t>
            </w:r>
          </w:p>
          <w:p w:rsidR="00DE0405" w:rsidRDefault="00DE0405">
            <w:pPr>
              <w:pStyle w:val="Normal1linespace"/>
              <w:widowControl w:val="0"/>
              <w:jc w:val="left"/>
              <w:rPr>
                <w:i/>
              </w:rPr>
            </w:pPr>
            <w:proofErr w:type="spellStart"/>
            <w:r>
              <w:rPr>
                <w:i/>
              </w:rPr>
              <w:t>Thornhill’s</w:t>
            </w:r>
            <w:proofErr w:type="spellEnd"/>
            <w:r>
              <w:rPr>
                <w:i/>
              </w:rPr>
              <w:t xml:space="preserve"> Application</w:t>
            </w:r>
            <w:r>
              <w:t xml:space="preserve"> [1962] RPC 199</w:t>
            </w:r>
          </w:p>
          <w:p w:rsidR="00D52A62" w:rsidRDefault="00DE0405" w:rsidP="00D52A62">
            <w:pPr>
              <w:pStyle w:val="Normal1linespace"/>
              <w:widowControl w:val="0"/>
              <w:jc w:val="left"/>
            </w:pPr>
            <w:r>
              <w:rPr>
                <w:i/>
              </w:rPr>
              <w:t xml:space="preserve">Vehicle Monitoring Systems Pty Ltd v </w:t>
            </w:r>
            <w:proofErr w:type="spellStart"/>
            <w:r>
              <w:rPr>
                <w:i/>
              </w:rPr>
              <w:t>Sarb</w:t>
            </w:r>
            <w:proofErr w:type="spellEnd"/>
            <w:r>
              <w:rPr>
                <w:i/>
              </w:rPr>
              <w:t xml:space="preserve"> Management Group Pty </w:t>
            </w:r>
            <w:r w:rsidRPr="00461F7A">
              <w:rPr>
                <w:i/>
              </w:rPr>
              <w:t>Ltd (t/as Database Consultants Australia) (No 2)</w:t>
            </w:r>
            <w:r>
              <w:t xml:space="preserve"> (2013) 101 </w:t>
            </w:r>
            <w:proofErr w:type="spellStart"/>
            <w:r>
              <w:t>IPR</w:t>
            </w:r>
            <w:proofErr w:type="spellEnd"/>
            <w:r>
              <w:t xml:space="preserve"> 496</w:t>
            </w:r>
          </w:p>
          <w:p w:rsidR="00D52A62" w:rsidRDefault="00D52A62" w:rsidP="00D52A62">
            <w:pPr>
              <w:pStyle w:val="Normal1linespace"/>
              <w:widowControl w:val="0"/>
              <w:jc w:val="left"/>
            </w:pPr>
          </w:p>
          <w:p w:rsidR="00395B24" w:rsidRDefault="00154F74" w:rsidP="00D52A62">
            <w:pPr>
              <w:pStyle w:val="Normal1linespace"/>
              <w:widowControl w:val="0"/>
              <w:jc w:val="left"/>
            </w:pPr>
            <w:r>
              <w:t xml:space="preserve">Miller R, </w:t>
            </w:r>
            <w:proofErr w:type="spellStart"/>
            <w:r>
              <w:t>Burkill</w:t>
            </w:r>
            <w:proofErr w:type="spellEnd"/>
            <w:r>
              <w:t xml:space="preserve"> G, </w:t>
            </w:r>
            <w:proofErr w:type="spellStart"/>
            <w:r>
              <w:t>Birss</w:t>
            </w:r>
            <w:proofErr w:type="spellEnd"/>
            <w:r>
              <w:t xml:space="preserve"> C and Campbell D, </w:t>
            </w:r>
            <w:r w:rsidRPr="008A14C5">
              <w:rPr>
                <w:i/>
              </w:rPr>
              <w:t>Terrell on the Law of Patents</w:t>
            </w:r>
            <w:r w:rsidRPr="00C078F4">
              <w:t xml:space="preserve"> </w:t>
            </w:r>
            <w:r>
              <w:t>(</w:t>
            </w:r>
            <w:r w:rsidRPr="00C078F4">
              <w:t>1</w:t>
            </w:r>
            <w:r>
              <w:t xml:space="preserve">7th </w:t>
            </w:r>
            <w:proofErr w:type="spellStart"/>
            <w:r>
              <w:t>ed</w:t>
            </w:r>
            <w:proofErr w:type="spellEnd"/>
            <w:r>
              <w:t>, Sweet and Maxwell, 2011)</w:t>
            </w:r>
            <w:r w:rsidR="002C7385">
              <w:t xml:space="preserve"> </w:t>
            </w:r>
            <w:bookmarkEnd w:id="5"/>
          </w:p>
        </w:tc>
      </w:tr>
      <w:tr w:rsidR="00154F74" w:rsidRPr="00154F74" w:rsidTr="00154F74">
        <w:tc>
          <w:tcPr>
            <w:tcW w:w="3085" w:type="dxa"/>
            <w:shd w:val="clear" w:color="auto" w:fill="auto"/>
          </w:tcPr>
          <w:p w:rsidR="00154F74" w:rsidRPr="00154F74" w:rsidRDefault="00154F74" w:rsidP="00154F74">
            <w:pPr>
              <w:pStyle w:val="Normal1linespace"/>
              <w:jc w:val="left"/>
            </w:pPr>
          </w:p>
        </w:tc>
        <w:tc>
          <w:tcPr>
            <w:tcW w:w="5989" w:type="dxa"/>
            <w:shd w:val="clear" w:color="auto" w:fill="auto"/>
          </w:tcPr>
          <w:p w:rsidR="00154F74" w:rsidRPr="00154F74" w:rsidRDefault="00154F74" w:rsidP="00154F74">
            <w:pPr>
              <w:pStyle w:val="Normal1linespace"/>
              <w:jc w:val="left"/>
            </w:pPr>
          </w:p>
        </w:tc>
      </w:tr>
      <w:tr w:rsidR="00154F74" w:rsidRPr="00154F74" w:rsidTr="00154F74">
        <w:tc>
          <w:tcPr>
            <w:tcW w:w="3085" w:type="dxa"/>
            <w:shd w:val="clear" w:color="auto" w:fill="auto"/>
          </w:tcPr>
          <w:p w:rsidR="00154F74" w:rsidRPr="00154F74" w:rsidRDefault="00154F74" w:rsidP="00154F74">
            <w:pPr>
              <w:pStyle w:val="Normal1linespace"/>
              <w:jc w:val="left"/>
            </w:pPr>
            <w:bookmarkStart w:id="6" w:name="CounselDate" w:colFirst="0" w:colLast="2"/>
            <w:r w:rsidRPr="00154F74">
              <w:t>Date of hearing:</w:t>
            </w:r>
          </w:p>
        </w:tc>
        <w:tc>
          <w:tcPr>
            <w:tcW w:w="5989" w:type="dxa"/>
            <w:shd w:val="clear" w:color="auto" w:fill="auto"/>
          </w:tcPr>
          <w:p w:rsidR="00154F74" w:rsidRPr="00154F74" w:rsidRDefault="00154F74" w:rsidP="00154F74">
            <w:pPr>
              <w:pStyle w:val="Normal1linespace"/>
              <w:jc w:val="left"/>
            </w:pPr>
            <w:bookmarkStart w:id="7" w:name="HearingDate"/>
            <w:r>
              <w:t>15, 19 and 25 June 2015</w:t>
            </w:r>
            <w:bookmarkEnd w:id="7"/>
          </w:p>
        </w:tc>
      </w:tr>
      <w:tr w:rsidR="00154F74" w:rsidRPr="00154F74" w:rsidTr="00154F74">
        <w:tc>
          <w:tcPr>
            <w:tcW w:w="3085" w:type="dxa"/>
            <w:shd w:val="clear" w:color="auto" w:fill="auto"/>
          </w:tcPr>
          <w:p w:rsidR="00154F74" w:rsidRPr="00154F74" w:rsidRDefault="00154F74" w:rsidP="00154F74">
            <w:pPr>
              <w:pStyle w:val="Normal1linespace"/>
              <w:jc w:val="left"/>
            </w:pPr>
          </w:p>
        </w:tc>
        <w:tc>
          <w:tcPr>
            <w:tcW w:w="5989" w:type="dxa"/>
            <w:shd w:val="clear" w:color="auto" w:fill="auto"/>
          </w:tcPr>
          <w:p w:rsidR="00154F74" w:rsidRPr="00154F74" w:rsidRDefault="00154F74" w:rsidP="00154F74">
            <w:pPr>
              <w:pStyle w:val="Normal1linespace"/>
              <w:jc w:val="left"/>
            </w:pPr>
          </w:p>
        </w:tc>
      </w:tr>
      <w:bookmarkEnd w:id="6"/>
      <w:tr w:rsidR="00154F74" w:rsidTr="00154F74">
        <w:tc>
          <w:tcPr>
            <w:tcW w:w="3085" w:type="dxa"/>
            <w:shd w:val="clear" w:color="auto" w:fill="auto"/>
          </w:tcPr>
          <w:p w:rsidR="00154F74" w:rsidRDefault="00154F74" w:rsidP="00154F74">
            <w:pPr>
              <w:pStyle w:val="Normal1linespace"/>
              <w:widowControl w:val="0"/>
              <w:jc w:val="left"/>
            </w:pPr>
            <w:r>
              <w:t>Place:</w:t>
            </w:r>
          </w:p>
        </w:tc>
        <w:tc>
          <w:tcPr>
            <w:tcW w:w="5989" w:type="dxa"/>
            <w:shd w:val="clear" w:color="auto" w:fill="auto"/>
          </w:tcPr>
          <w:p w:rsidR="00154F74" w:rsidRDefault="00DD63C5" w:rsidP="00154F74">
            <w:pPr>
              <w:pStyle w:val="Normal1linespace"/>
              <w:widowControl w:val="0"/>
              <w:jc w:val="left"/>
            </w:pPr>
            <w:fldSimple w:instr=" DOCVARIABLE  Place_SentenceCase  \* MERGEFORMAT ">
              <w:r w:rsidR="00154F74">
                <w:t>Sydney</w:t>
              </w:r>
            </w:fldSimple>
          </w:p>
        </w:tc>
      </w:tr>
      <w:tr w:rsidR="00154F74" w:rsidTr="00154F74">
        <w:tc>
          <w:tcPr>
            <w:tcW w:w="3085" w:type="dxa"/>
            <w:shd w:val="clear" w:color="auto" w:fill="auto"/>
          </w:tcPr>
          <w:p w:rsidR="00154F74" w:rsidRDefault="00154F74" w:rsidP="00154F74">
            <w:pPr>
              <w:pStyle w:val="Normal1linespace"/>
              <w:widowControl w:val="0"/>
              <w:jc w:val="left"/>
            </w:pPr>
          </w:p>
        </w:tc>
        <w:tc>
          <w:tcPr>
            <w:tcW w:w="5989" w:type="dxa"/>
            <w:shd w:val="clear" w:color="auto" w:fill="auto"/>
          </w:tcPr>
          <w:p w:rsidR="00154F74" w:rsidRDefault="00154F74" w:rsidP="00154F74">
            <w:pPr>
              <w:pStyle w:val="Normal1linespace"/>
              <w:widowControl w:val="0"/>
              <w:jc w:val="left"/>
            </w:pPr>
          </w:p>
        </w:tc>
      </w:tr>
      <w:tr w:rsidR="00154F74" w:rsidTr="00154F74">
        <w:tc>
          <w:tcPr>
            <w:tcW w:w="3085" w:type="dxa"/>
            <w:shd w:val="clear" w:color="auto" w:fill="auto"/>
          </w:tcPr>
          <w:p w:rsidR="00154F74" w:rsidRDefault="00154F74" w:rsidP="00154F74">
            <w:pPr>
              <w:pStyle w:val="Normal1linespace"/>
              <w:widowControl w:val="0"/>
              <w:jc w:val="left"/>
            </w:pPr>
            <w:r>
              <w:t>Division:</w:t>
            </w:r>
          </w:p>
        </w:tc>
        <w:tc>
          <w:tcPr>
            <w:tcW w:w="5989" w:type="dxa"/>
            <w:shd w:val="clear" w:color="auto" w:fill="auto"/>
          </w:tcPr>
          <w:p w:rsidR="00154F74" w:rsidRPr="00C67B37" w:rsidRDefault="00154F74" w:rsidP="00154F74">
            <w:pPr>
              <w:pStyle w:val="Normal1linespace"/>
              <w:widowControl w:val="0"/>
              <w:jc w:val="left"/>
              <w:rPr>
                <w:caps/>
              </w:rPr>
            </w:pPr>
            <w:r>
              <w:rPr>
                <w:caps/>
              </w:rPr>
              <w:fldChar w:fldCharType="begin"/>
            </w:r>
            <w:r>
              <w:rPr>
                <w:caps/>
              </w:rPr>
              <w:instrText xml:space="preserve"> REF  Division </w:instrText>
            </w:r>
            <w:r>
              <w:rPr>
                <w:caps/>
              </w:rPr>
              <w:fldChar w:fldCharType="separate"/>
            </w:r>
            <w:r w:rsidR="0036177A">
              <w:rPr>
                <w:caps/>
                <w:szCs w:val="24"/>
              </w:rPr>
              <w:t>GENERAL DIVISION</w:t>
            </w:r>
            <w:r>
              <w:rPr>
                <w:caps/>
              </w:rPr>
              <w:fldChar w:fldCharType="end"/>
            </w:r>
          </w:p>
        </w:tc>
      </w:tr>
      <w:tr w:rsidR="00154F74" w:rsidTr="00154F74">
        <w:tc>
          <w:tcPr>
            <w:tcW w:w="3085" w:type="dxa"/>
            <w:shd w:val="clear" w:color="auto" w:fill="auto"/>
          </w:tcPr>
          <w:p w:rsidR="00154F74" w:rsidRDefault="00154F74" w:rsidP="00154F74">
            <w:pPr>
              <w:pStyle w:val="Normal1linespace"/>
              <w:widowControl w:val="0"/>
              <w:jc w:val="left"/>
            </w:pPr>
          </w:p>
        </w:tc>
        <w:tc>
          <w:tcPr>
            <w:tcW w:w="5989" w:type="dxa"/>
            <w:shd w:val="clear" w:color="auto" w:fill="auto"/>
          </w:tcPr>
          <w:p w:rsidR="00154F74" w:rsidRDefault="00154F74" w:rsidP="00154F74">
            <w:pPr>
              <w:pStyle w:val="Normal1linespace"/>
              <w:widowControl w:val="0"/>
              <w:jc w:val="left"/>
              <w:rPr>
                <w:b/>
              </w:rPr>
            </w:pPr>
          </w:p>
        </w:tc>
      </w:tr>
      <w:tr w:rsidR="00154F74" w:rsidTr="00154F74">
        <w:tc>
          <w:tcPr>
            <w:tcW w:w="3085" w:type="dxa"/>
            <w:shd w:val="clear" w:color="auto" w:fill="auto"/>
          </w:tcPr>
          <w:p w:rsidR="00154F74" w:rsidRDefault="00154F74" w:rsidP="00154F74">
            <w:pPr>
              <w:pStyle w:val="Normal1linespace"/>
              <w:widowControl w:val="0"/>
              <w:jc w:val="left"/>
            </w:pPr>
            <w:r>
              <w:t>Category:</w:t>
            </w:r>
          </w:p>
        </w:tc>
        <w:tc>
          <w:tcPr>
            <w:tcW w:w="5989" w:type="dxa"/>
            <w:shd w:val="clear" w:color="auto" w:fill="auto"/>
          </w:tcPr>
          <w:p w:rsidR="00154F74" w:rsidRPr="00154F74" w:rsidRDefault="00154F74" w:rsidP="00154F74">
            <w:pPr>
              <w:pStyle w:val="Normal1linespace"/>
              <w:widowControl w:val="0"/>
              <w:jc w:val="left"/>
            </w:pPr>
            <w:r w:rsidRPr="00154F74">
              <w:t>Catchwords</w:t>
            </w:r>
          </w:p>
        </w:tc>
      </w:tr>
      <w:tr w:rsidR="00154F74" w:rsidTr="00154F74">
        <w:tc>
          <w:tcPr>
            <w:tcW w:w="3085" w:type="dxa"/>
            <w:shd w:val="clear" w:color="auto" w:fill="auto"/>
          </w:tcPr>
          <w:p w:rsidR="00154F74" w:rsidRDefault="00154F74" w:rsidP="00154F74">
            <w:pPr>
              <w:pStyle w:val="Normal1linespace"/>
              <w:widowControl w:val="0"/>
              <w:jc w:val="left"/>
            </w:pPr>
          </w:p>
        </w:tc>
        <w:tc>
          <w:tcPr>
            <w:tcW w:w="5989" w:type="dxa"/>
            <w:shd w:val="clear" w:color="auto" w:fill="auto"/>
          </w:tcPr>
          <w:p w:rsidR="00154F74" w:rsidRDefault="00154F74" w:rsidP="00154F74">
            <w:pPr>
              <w:pStyle w:val="Normal1linespace"/>
              <w:widowControl w:val="0"/>
              <w:jc w:val="left"/>
            </w:pPr>
          </w:p>
        </w:tc>
      </w:tr>
      <w:tr w:rsidR="00154F74" w:rsidTr="00154F74">
        <w:tc>
          <w:tcPr>
            <w:tcW w:w="3085" w:type="dxa"/>
            <w:shd w:val="clear" w:color="auto" w:fill="auto"/>
          </w:tcPr>
          <w:p w:rsidR="00154F74" w:rsidRDefault="00154F74" w:rsidP="00154F74">
            <w:pPr>
              <w:pStyle w:val="Normal1linespace"/>
              <w:widowControl w:val="0"/>
              <w:jc w:val="left"/>
            </w:pPr>
            <w:r>
              <w:t>Number of paragraphs:</w:t>
            </w:r>
          </w:p>
        </w:tc>
        <w:tc>
          <w:tcPr>
            <w:tcW w:w="5989" w:type="dxa"/>
            <w:shd w:val="clear" w:color="auto" w:fill="auto"/>
          </w:tcPr>
          <w:p w:rsidR="00154F74" w:rsidRDefault="00154F74" w:rsidP="00154F74">
            <w:pPr>
              <w:pStyle w:val="Normal1linespace"/>
              <w:widowControl w:val="0"/>
              <w:jc w:val="left"/>
            </w:pPr>
            <w:bookmarkStart w:id="8" w:name="PlaceCategoryParagraphs"/>
            <w:r>
              <w:t>164</w:t>
            </w:r>
            <w:bookmarkEnd w:id="8"/>
          </w:p>
        </w:tc>
      </w:tr>
      <w:tr w:rsidR="00154F74" w:rsidTr="00154F74">
        <w:tc>
          <w:tcPr>
            <w:tcW w:w="3085" w:type="dxa"/>
            <w:shd w:val="clear" w:color="auto" w:fill="auto"/>
          </w:tcPr>
          <w:p w:rsidR="00154F74" w:rsidRDefault="00154F74" w:rsidP="00154F74">
            <w:pPr>
              <w:pStyle w:val="Normal1linespace"/>
              <w:widowControl w:val="0"/>
              <w:jc w:val="left"/>
            </w:pPr>
          </w:p>
        </w:tc>
        <w:tc>
          <w:tcPr>
            <w:tcW w:w="5989" w:type="dxa"/>
            <w:shd w:val="clear" w:color="auto" w:fill="auto"/>
          </w:tcPr>
          <w:p w:rsidR="00154F74" w:rsidRDefault="00154F74" w:rsidP="00154F74">
            <w:pPr>
              <w:pStyle w:val="Normal1linespace"/>
              <w:widowControl w:val="0"/>
              <w:jc w:val="left"/>
            </w:pPr>
          </w:p>
        </w:tc>
      </w:tr>
      <w:tr w:rsidR="00154F74" w:rsidTr="00154F74">
        <w:tc>
          <w:tcPr>
            <w:tcW w:w="3085" w:type="dxa"/>
            <w:shd w:val="clear" w:color="auto" w:fill="auto"/>
          </w:tcPr>
          <w:p w:rsidR="00154F74" w:rsidRDefault="00154F74" w:rsidP="00154F74">
            <w:pPr>
              <w:pStyle w:val="Normal1linespace"/>
              <w:widowControl w:val="0"/>
              <w:jc w:val="left"/>
            </w:pPr>
            <w:bookmarkStart w:id="9" w:name="Counsel" w:colFirst="0" w:colLast="2"/>
            <w:r>
              <w:t>Counsel for the Applicant</w:t>
            </w:r>
            <w:r w:rsidR="000F0DBF">
              <w:t>/Cross-Respondent</w:t>
            </w:r>
            <w:r>
              <w:t>:</w:t>
            </w:r>
          </w:p>
        </w:tc>
        <w:tc>
          <w:tcPr>
            <w:tcW w:w="5989" w:type="dxa"/>
            <w:shd w:val="clear" w:color="auto" w:fill="auto"/>
          </w:tcPr>
          <w:p w:rsidR="000F0DBF" w:rsidRDefault="000F0DBF" w:rsidP="00154F74">
            <w:pPr>
              <w:pStyle w:val="Normal1linespace"/>
              <w:widowControl w:val="0"/>
              <w:jc w:val="left"/>
            </w:pPr>
            <w:bookmarkStart w:id="10" w:name="AppCounsel"/>
            <w:bookmarkEnd w:id="10"/>
          </w:p>
          <w:p w:rsidR="00154F74" w:rsidRDefault="00154F74" w:rsidP="00154F74">
            <w:pPr>
              <w:pStyle w:val="Normal1linespace"/>
              <w:widowControl w:val="0"/>
              <w:jc w:val="left"/>
            </w:pPr>
            <w:r>
              <w:t xml:space="preserve">Mr </w:t>
            </w:r>
            <w:proofErr w:type="spellStart"/>
            <w:r>
              <w:t>SCG</w:t>
            </w:r>
            <w:proofErr w:type="spellEnd"/>
            <w:r>
              <w:t xml:space="preserve"> Burley SC with Ms CL Cochrane and Mr B </w:t>
            </w:r>
            <w:proofErr w:type="spellStart"/>
            <w:r>
              <w:t>Mee</w:t>
            </w:r>
            <w:proofErr w:type="spellEnd"/>
          </w:p>
        </w:tc>
      </w:tr>
      <w:tr w:rsidR="00154F74" w:rsidTr="00154F74">
        <w:tc>
          <w:tcPr>
            <w:tcW w:w="3085" w:type="dxa"/>
            <w:shd w:val="clear" w:color="auto" w:fill="auto"/>
          </w:tcPr>
          <w:p w:rsidR="00154F74" w:rsidRDefault="00154F74" w:rsidP="00154F74">
            <w:pPr>
              <w:pStyle w:val="Normal1linespace"/>
              <w:widowControl w:val="0"/>
              <w:jc w:val="left"/>
            </w:pPr>
          </w:p>
        </w:tc>
        <w:tc>
          <w:tcPr>
            <w:tcW w:w="5989" w:type="dxa"/>
            <w:shd w:val="clear" w:color="auto" w:fill="auto"/>
          </w:tcPr>
          <w:p w:rsidR="00154F74" w:rsidRDefault="00154F74" w:rsidP="00154F74">
            <w:pPr>
              <w:pStyle w:val="Normal1linespace"/>
              <w:widowControl w:val="0"/>
              <w:jc w:val="left"/>
            </w:pPr>
          </w:p>
        </w:tc>
      </w:tr>
      <w:tr w:rsidR="00154F74" w:rsidTr="00154F74">
        <w:tc>
          <w:tcPr>
            <w:tcW w:w="3085" w:type="dxa"/>
            <w:shd w:val="clear" w:color="auto" w:fill="auto"/>
          </w:tcPr>
          <w:p w:rsidR="00154F74" w:rsidRDefault="00154F74" w:rsidP="00154F74">
            <w:pPr>
              <w:pStyle w:val="Normal1linespace"/>
              <w:widowControl w:val="0"/>
              <w:jc w:val="left"/>
            </w:pPr>
            <w:r>
              <w:t>Solicitor for the Applicant</w:t>
            </w:r>
            <w:r w:rsidR="000F0DBF">
              <w:t>/Cross-Respondent</w:t>
            </w:r>
            <w:r>
              <w:t>:</w:t>
            </w:r>
          </w:p>
        </w:tc>
        <w:tc>
          <w:tcPr>
            <w:tcW w:w="5989" w:type="dxa"/>
            <w:shd w:val="clear" w:color="auto" w:fill="auto"/>
          </w:tcPr>
          <w:p w:rsidR="000F0DBF" w:rsidRDefault="000F0DBF" w:rsidP="00154F74">
            <w:pPr>
              <w:pStyle w:val="Normal1linespace"/>
              <w:widowControl w:val="0"/>
              <w:jc w:val="left"/>
            </w:pPr>
          </w:p>
          <w:p w:rsidR="00154F74" w:rsidRDefault="00154F74" w:rsidP="00154F74">
            <w:pPr>
              <w:pStyle w:val="Normal1linespace"/>
              <w:widowControl w:val="0"/>
              <w:jc w:val="left"/>
            </w:pPr>
            <w:proofErr w:type="spellStart"/>
            <w:r>
              <w:t>Allens</w:t>
            </w:r>
            <w:proofErr w:type="spellEnd"/>
          </w:p>
        </w:tc>
      </w:tr>
      <w:tr w:rsidR="00154F74" w:rsidTr="00154F74">
        <w:tc>
          <w:tcPr>
            <w:tcW w:w="3085" w:type="dxa"/>
            <w:shd w:val="clear" w:color="auto" w:fill="auto"/>
          </w:tcPr>
          <w:p w:rsidR="00154F74" w:rsidRDefault="00154F74" w:rsidP="00154F74">
            <w:pPr>
              <w:pStyle w:val="Normal1linespace"/>
              <w:widowControl w:val="0"/>
              <w:jc w:val="left"/>
            </w:pPr>
          </w:p>
        </w:tc>
        <w:tc>
          <w:tcPr>
            <w:tcW w:w="5989" w:type="dxa"/>
            <w:shd w:val="clear" w:color="auto" w:fill="auto"/>
          </w:tcPr>
          <w:p w:rsidR="00154F74" w:rsidRDefault="00154F74" w:rsidP="00154F74">
            <w:pPr>
              <w:pStyle w:val="Normal1linespace"/>
              <w:widowControl w:val="0"/>
              <w:jc w:val="left"/>
            </w:pPr>
          </w:p>
        </w:tc>
      </w:tr>
      <w:tr w:rsidR="00154F74" w:rsidTr="00154F74">
        <w:tc>
          <w:tcPr>
            <w:tcW w:w="3085" w:type="dxa"/>
            <w:shd w:val="clear" w:color="auto" w:fill="auto"/>
          </w:tcPr>
          <w:p w:rsidR="00154F74" w:rsidRDefault="00154F74" w:rsidP="00154F74">
            <w:pPr>
              <w:pStyle w:val="Normal1linespace"/>
              <w:widowControl w:val="0"/>
              <w:jc w:val="left"/>
            </w:pPr>
            <w:r>
              <w:t>Counsel for the Respondent</w:t>
            </w:r>
            <w:r w:rsidR="000F0DBF">
              <w:t>/Cross-Claimant</w:t>
            </w:r>
            <w:r>
              <w:t>:</w:t>
            </w:r>
          </w:p>
        </w:tc>
        <w:tc>
          <w:tcPr>
            <w:tcW w:w="5989" w:type="dxa"/>
            <w:shd w:val="clear" w:color="auto" w:fill="auto"/>
          </w:tcPr>
          <w:p w:rsidR="000F0DBF" w:rsidRDefault="000F0DBF" w:rsidP="00154F74">
            <w:pPr>
              <w:pStyle w:val="Normal1linespace"/>
              <w:widowControl w:val="0"/>
              <w:jc w:val="left"/>
            </w:pPr>
          </w:p>
          <w:p w:rsidR="00154F74" w:rsidRDefault="00154F74" w:rsidP="00154F74">
            <w:pPr>
              <w:pStyle w:val="Normal1linespace"/>
              <w:widowControl w:val="0"/>
              <w:jc w:val="left"/>
            </w:pPr>
            <w:r>
              <w:t xml:space="preserve">Mr RJ Webb SC with Mr </w:t>
            </w:r>
            <w:proofErr w:type="spellStart"/>
            <w:r>
              <w:t>HPT</w:t>
            </w:r>
            <w:proofErr w:type="spellEnd"/>
            <w:r>
              <w:t xml:space="preserve"> Bevan</w:t>
            </w:r>
          </w:p>
        </w:tc>
      </w:tr>
      <w:tr w:rsidR="00154F74" w:rsidTr="00154F74">
        <w:tc>
          <w:tcPr>
            <w:tcW w:w="3085" w:type="dxa"/>
            <w:shd w:val="clear" w:color="auto" w:fill="auto"/>
          </w:tcPr>
          <w:p w:rsidR="00154F74" w:rsidRDefault="00154F74" w:rsidP="00154F74">
            <w:pPr>
              <w:pStyle w:val="Normal1linespace"/>
              <w:widowControl w:val="0"/>
              <w:jc w:val="left"/>
            </w:pPr>
          </w:p>
        </w:tc>
        <w:tc>
          <w:tcPr>
            <w:tcW w:w="5989" w:type="dxa"/>
            <w:shd w:val="clear" w:color="auto" w:fill="auto"/>
          </w:tcPr>
          <w:p w:rsidR="00154F74" w:rsidRDefault="00154F74" w:rsidP="00154F74">
            <w:pPr>
              <w:pStyle w:val="Normal1linespace"/>
              <w:widowControl w:val="0"/>
              <w:jc w:val="left"/>
            </w:pPr>
          </w:p>
        </w:tc>
      </w:tr>
      <w:tr w:rsidR="00154F74" w:rsidTr="00154F74">
        <w:tc>
          <w:tcPr>
            <w:tcW w:w="3085" w:type="dxa"/>
            <w:shd w:val="clear" w:color="auto" w:fill="auto"/>
          </w:tcPr>
          <w:p w:rsidR="00154F74" w:rsidRDefault="00154F74" w:rsidP="00154F74">
            <w:pPr>
              <w:pStyle w:val="Normal1linespace"/>
              <w:widowControl w:val="0"/>
              <w:jc w:val="left"/>
            </w:pPr>
            <w:r>
              <w:t>Solicitor for the Respondent</w:t>
            </w:r>
            <w:r w:rsidR="000F0DBF">
              <w:t>/Cross-Claimant</w:t>
            </w:r>
            <w:r>
              <w:t>:</w:t>
            </w:r>
          </w:p>
        </w:tc>
        <w:tc>
          <w:tcPr>
            <w:tcW w:w="5989" w:type="dxa"/>
            <w:shd w:val="clear" w:color="auto" w:fill="auto"/>
          </w:tcPr>
          <w:p w:rsidR="000F0DBF" w:rsidRDefault="000F0DBF" w:rsidP="00481E2D">
            <w:pPr>
              <w:pStyle w:val="Normal1linespace"/>
              <w:widowControl w:val="0"/>
              <w:jc w:val="left"/>
            </w:pPr>
          </w:p>
          <w:p w:rsidR="00154F74" w:rsidRDefault="00154F74" w:rsidP="00481E2D">
            <w:pPr>
              <w:pStyle w:val="Normal1linespace"/>
              <w:widowControl w:val="0"/>
              <w:jc w:val="left"/>
            </w:pPr>
            <w:r>
              <w:t>Norton Rose Fulbright Australia</w:t>
            </w:r>
          </w:p>
        </w:tc>
      </w:tr>
      <w:bookmarkEnd w:id="9"/>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defaul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B2764A">
            <w:pPr>
              <w:pStyle w:val="NormalHeadings"/>
              <w:spacing w:after="120"/>
              <w:jc w:val="left"/>
              <w:rPr>
                <w:caps/>
                <w:szCs w:val="24"/>
              </w:rPr>
            </w:pPr>
            <w:bookmarkStart w:id="11" w:name="State"/>
            <w:r>
              <w:rPr>
                <w:caps/>
                <w:szCs w:val="24"/>
              </w:rPr>
              <w:t>NEW SOUTH WALES</w:t>
            </w:r>
            <w:bookmarkEnd w:id="11"/>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B2764A">
            <w:pPr>
              <w:pStyle w:val="NormalHeadings"/>
              <w:spacing w:after="120"/>
              <w:jc w:val="left"/>
              <w:rPr>
                <w:caps/>
                <w:szCs w:val="24"/>
              </w:rPr>
            </w:pPr>
            <w:bookmarkStart w:id="12" w:name="Division"/>
            <w:r>
              <w:rPr>
                <w:caps/>
                <w:szCs w:val="24"/>
              </w:rPr>
              <w:t>GENERAL DIVISION</w:t>
            </w:r>
            <w:bookmarkEnd w:id="12"/>
          </w:p>
        </w:tc>
        <w:tc>
          <w:tcPr>
            <w:tcW w:w="2471" w:type="dxa"/>
          </w:tcPr>
          <w:p w:rsidR="00395B24" w:rsidRDefault="00B2764A">
            <w:pPr>
              <w:pStyle w:val="NormalHeadings"/>
              <w:tabs>
                <w:tab w:val="right" w:pos="3609"/>
              </w:tabs>
              <w:jc w:val="right"/>
              <w:rPr>
                <w:szCs w:val="24"/>
              </w:rPr>
            </w:pPr>
            <w:bookmarkStart w:id="13" w:name="Num"/>
            <w:proofErr w:type="spellStart"/>
            <w:r>
              <w:rPr>
                <w:szCs w:val="24"/>
              </w:rPr>
              <w:t>NSD</w:t>
            </w:r>
            <w:proofErr w:type="spellEnd"/>
            <w:r>
              <w:rPr>
                <w:szCs w:val="24"/>
              </w:rPr>
              <w:t xml:space="preserve"> 558 of 2014</w:t>
            </w:r>
            <w:bookmarkEnd w:id="13"/>
          </w:p>
        </w:tc>
      </w:tr>
    </w:tbl>
    <w:p w:rsidR="00395B24" w:rsidRPr="00B2764A" w:rsidRDefault="002C7385">
      <w:pPr>
        <w:pStyle w:val="AppealTable"/>
        <w:rPr>
          <w:sz w:val="24"/>
        </w:rPr>
      </w:pPr>
      <w:bookmarkStart w:id="14" w:name="AppealTable"/>
      <w:r w:rsidRPr="00B2764A">
        <w:rPr>
          <w:sz w:val="24"/>
        </w:rPr>
        <w:t xml:space="preserve"> </w:t>
      </w:r>
      <w:bookmarkEnd w:id="14"/>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5" w:name="Parties"/>
            <w:r>
              <w:rPr>
                <w:caps/>
                <w:szCs w:val="24"/>
              </w:rPr>
              <w:t>BETWEEN:</w:t>
            </w:r>
          </w:p>
        </w:tc>
        <w:tc>
          <w:tcPr>
            <w:tcW w:w="6866" w:type="dxa"/>
          </w:tcPr>
          <w:p w:rsidR="00B2764A" w:rsidRDefault="00B2764A">
            <w:pPr>
              <w:pStyle w:val="NormalHeadings"/>
              <w:jc w:val="left"/>
              <w:rPr>
                <w:szCs w:val="24"/>
              </w:rPr>
            </w:pPr>
            <w:bookmarkStart w:id="16" w:name="Applicant"/>
            <w:r>
              <w:rPr>
                <w:szCs w:val="24"/>
              </w:rPr>
              <w:t>NICHIA CORPORATION</w:t>
            </w:r>
          </w:p>
          <w:p w:rsidR="00B2764A" w:rsidRDefault="00D6450A">
            <w:pPr>
              <w:pStyle w:val="NormalHeadings"/>
              <w:jc w:val="left"/>
              <w:rPr>
                <w:szCs w:val="24"/>
              </w:rPr>
            </w:pPr>
            <w:r>
              <w:rPr>
                <w:szCs w:val="24"/>
              </w:rPr>
              <w:t>Applicant</w:t>
            </w:r>
          </w:p>
          <w:bookmarkEnd w:id="16"/>
          <w:p w:rsidR="00395B24" w:rsidRDefault="00395B24">
            <w:pPr>
              <w:pStyle w:val="NormalHeadings"/>
              <w:jc w:val="left"/>
              <w:rPr>
                <w:szCs w:val="24"/>
              </w:rPr>
            </w:pPr>
          </w:p>
        </w:tc>
      </w:tr>
      <w:tr w:rsidR="007706C1">
        <w:trPr>
          <w:trHeight w:val="386"/>
        </w:trPr>
        <w:tc>
          <w:tcPr>
            <w:tcW w:w="2376" w:type="dxa"/>
          </w:tcPr>
          <w:p w:rsidR="007706C1" w:rsidRDefault="007706C1" w:rsidP="007706C1">
            <w:pPr>
              <w:pStyle w:val="NormalHeadings"/>
              <w:jc w:val="left"/>
              <w:rPr>
                <w:caps/>
                <w:szCs w:val="24"/>
              </w:rPr>
            </w:pPr>
            <w:r>
              <w:rPr>
                <w:caps/>
                <w:szCs w:val="24"/>
              </w:rPr>
              <w:t>AND:</w:t>
            </w:r>
          </w:p>
        </w:tc>
        <w:tc>
          <w:tcPr>
            <w:tcW w:w="6866" w:type="dxa"/>
          </w:tcPr>
          <w:p w:rsidR="007706C1" w:rsidRDefault="007706C1" w:rsidP="007706C1">
            <w:pPr>
              <w:pStyle w:val="NormalHeadings"/>
              <w:jc w:val="left"/>
              <w:rPr>
                <w:szCs w:val="24"/>
              </w:rPr>
            </w:pPr>
            <w:r>
              <w:rPr>
                <w:szCs w:val="24"/>
              </w:rPr>
              <w:t xml:space="preserve">ARROW ELECTRONICS AUSTRALIA PTY LTD </w:t>
            </w:r>
            <w:proofErr w:type="spellStart"/>
            <w:r>
              <w:rPr>
                <w:szCs w:val="24"/>
              </w:rPr>
              <w:t>ACN</w:t>
            </w:r>
            <w:proofErr w:type="spellEnd"/>
            <w:r>
              <w:rPr>
                <w:szCs w:val="24"/>
              </w:rPr>
              <w:t xml:space="preserve"> 065 151 626</w:t>
            </w:r>
          </w:p>
          <w:p w:rsidR="007706C1" w:rsidRDefault="007706C1" w:rsidP="007706C1">
            <w:pPr>
              <w:pStyle w:val="NormalHeadings"/>
              <w:jc w:val="left"/>
              <w:rPr>
                <w:szCs w:val="24"/>
              </w:rPr>
            </w:pPr>
            <w:r>
              <w:rPr>
                <w:szCs w:val="24"/>
              </w:rPr>
              <w:t>Respondent</w:t>
            </w:r>
          </w:p>
          <w:p w:rsidR="007706C1" w:rsidRDefault="007706C1">
            <w:pPr>
              <w:pStyle w:val="NormalHeadings"/>
              <w:jc w:val="left"/>
              <w:rPr>
                <w:szCs w:val="24"/>
              </w:rPr>
            </w:pPr>
          </w:p>
        </w:tc>
      </w:tr>
      <w:tr w:rsidR="007706C1">
        <w:trPr>
          <w:trHeight w:val="386"/>
        </w:trPr>
        <w:tc>
          <w:tcPr>
            <w:tcW w:w="2376" w:type="dxa"/>
          </w:tcPr>
          <w:p w:rsidR="007706C1" w:rsidRDefault="007706C1" w:rsidP="007706C1">
            <w:pPr>
              <w:pStyle w:val="NormalHeadings"/>
              <w:jc w:val="left"/>
              <w:rPr>
                <w:caps/>
                <w:szCs w:val="24"/>
              </w:rPr>
            </w:pPr>
            <w:r>
              <w:rPr>
                <w:caps/>
                <w:szCs w:val="24"/>
              </w:rPr>
              <w:t>AND BETWEEN:</w:t>
            </w:r>
          </w:p>
        </w:tc>
        <w:tc>
          <w:tcPr>
            <w:tcW w:w="6866" w:type="dxa"/>
          </w:tcPr>
          <w:p w:rsidR="007706C1" w:rsidRDefault="007706C1" w:rsidP="007706C1">
            <w:pPr>
              <w:pStyle w:val="NormalHeadings"/>
              <w:jc w:val="left"/>
              <w:rPr>
                <w:szCs w:val="24"/>
              </w:rPr>
            </w:pPr>
            <w:r>
              <w:rPr>
                <w:szCs w:val="24"/>
              </w:rPr>
              <w:t xml:space="preserve">ARROW ELECTRONICS AUSTRALIA PTY LTD </w:t>
            </w:r>
            <w:proofErr w:type="spellStart"/>
            <w:r>
              <w:rPr>
                <w:szCs w:val="24"/>
              </w:rPr>
              <w:t>ACN</w:t>
            </w:r>
            <w:proofErr w:type="spellEnd"/>
            <w:r>
              <w:rPr>
                <w:szCs w:val="24"/>
              </w:rPr>
              <w:t xml:space="preserve"> 065 151 626</w:t>
            </w:r>
          </w:p>
          <w:p w:rsidR="007706C1" w:rsidRDefault="007706C1" w:rsidP="007706C1">
            <w:pPr>
              <w:pStyle w:val="NormalHeadings"/>
              <w:jc w:val="left"/>
              <w:rPr>
                <w:szCs w:val="24"/>
              </w:rPr>
            </w:pPr>
            <w:r>
              <w:rPr>
                <w:szCs w:val="24"/>
              </w:rPr>
              <w:t>Cross-Claimant</w:t>
            </w:r>
          </w:p>
          <w:p w:rsidR="007706C1" w:rsidRDefault="007706C1" w:rsidP="007706C1">
            <w:pPr>
              <w:pStyle w:val="NormalHeadings"/>
              <w:jc w:val="left"/>
              <w:rPr>
                <w:szCs w:val="24"/>
              </w:rPr>
            </w:pPr>
          </w:p>
        </w:tc>
      </w:tr>
      <w:tr w:rsidR="007706C1">
        <w:trPr>
          <w:trHeight w:val="386"/>
        </w:trPr>
        <w:tc>
          <w:tcPr>
            <w:tcW w:w="2376" w:type="dxa"/>
          </w:tcPr>
          <w:p w:rsidR="007706C1" w:rsidRDefault="007706C1" w:rsidP="007706C1">
            <w:pPr>
              <w:pStyle w:val="NormalHeadings"/>
              <w:jc w:val="left"/>
              <w:rPr>
                <w:caps/>
                <w:szCs w:val="24"/>
              </w:rPr>
            </w:pPr>
            <w:r>
              <w:rPr>
                <w:caps/>
                <w:szCs w:val="24"/>
              </w:rPr>
              <w:t>AND:</w:t>
            </w:r>
          </w:p>
        </w:tc>
        <w:tc>
          <w:tcPr>
            <w:tcW w:w="6866" w:type="dxa"/>
          </w:tcPr>
          <w:p w:rsidR="007706C1" w:rsidRDefault="007706C1" w:rsidP="007706C1">
            <w:pPr>
              <w:pStyle w:val="NormalHeadings"/>
              <w:jc w:val="left"/>
              <w:rPr>
                <w:szCs w:val="24"/>
              </w:rPr>
            </w:pPr>
            <w:r>
              <w:rPr>
                <w:szCs w:val="24"/>
              </w:rPr>
              <w:t>NICHIA CORPORATION</w:t>
            </w:r>
          </w:p>
          <w:p w:rsidR="007706C1" w:rsidRDefault="007706C1" w:rsidP="007706C1">
            <w:pPr>
              <w:pStyle w:val="NormalHeadings"/>
              <w:jc w:val="left"/>
              <w:rPr>
                <w:szCs w:val="24"/>
              </w:rPr>
            </w:pPr>
            <w:r>
              <w:rPr>
                <w:szCs w:val="24"/>
              </w:rPr>
              <w:t>Cross-Respondent</w:t>
            </w:r>
          </w:p>
        </w:tc>
      </w:tr>
      <w:tr w:rsidR="00395B24">
        <w:trPr>
          <w:trHeight w:val="386"/>
        </w:trPr>
        <w:tc>
          <w:tcPr>
            <w:tcW w:w="2376" w:type="dxa"/>
          </w:tcPr>
          <w:p w:rsidR="007706C1" w:rsidRDefault="007706C1">
            <w:pPr>
              <w:pStyle w:val="NormalHeadings"/>
              <w:jc w:val="left"/>
              <w:rPr>
                <w:caps/>
                <w:szCs w:val="24"/>
              </w:rPr>
            </w:pPr>
          </w:p>
        </w:tc>
        <w:tc>
          <w:tcPr>
            <w:tcW w:w="6866" w:type="dxa"/>
          </w:tcPr>
          <w:p w:rsidR="007706C1" w:rsidRDefault="007706C1">
            <w:pPr>
              <w:pStyle w:val="NormalHeadings"/>
              <w:jc w:val="left"/>
              <w:rPr>
                <w:szCs w:val="24"/>
              </w:rPr>
            </w:pPr>
          </w:p>
        </w:tc>
      </w:tr>
      <w:tr w:rsidR="00395B24">
        <w:tc>
          <w:tcPr>
            <w:tcW w:w="2376" w:type="dxa"/>
          </w:tcPr>
          <w:p w:rsidR="007706C1" w:rsidRDefault="007706C1" w:rsidP="007706C1">
            <w:pPr>
              <w:pStyle w:val="NormalHeadings"/>
              <w:jc w:val="left"/>
              <w:rPr>
                <w:caps/>
                <w:szCs w:val="24"/>
              </w:rPr>
            </w:pPr>
            <w:bookmarkStart w:id="17" w:name="JudgeText"/>
            <w:bookmarkEnd w:id="15"/>
          </w:p>
          <w:p w:rsidR="00395B24" w:rsidRDefault="00B2764A">
            <w:pPr>
              <w:pStyle w:val="NormalHeadings"/>
              <w:spacing w:after="120"/>
              <w:jc w:val="left"/>
              <w:rPr>
                <w:caps/>
                <w:szCs w:val="24"/>
              </w:rPr>
            </w:pPr>
            <w:r>
              <w:rPr>
                <w:caps/>
                <w:szCs w:val="24"/>
              </w:rPr>
              <w:t>JUDGE</w:t>
            </w:r>
            <w:bookmarkEnd w:id="17"/>
            <w:r w:rsidR="002C7385">
              <w:rPr>
                <w:caps/>
                <w:szCs w:val="24"/>
              </w:rPr>
              <w:t>:</w:t>
            </w:r>
          </w:p>
        </w:tc>
        <w:tc>
          <w:tcPr>
            <w:tcW w:w="6866" w:type="dxa"/>
          </w:tcPr>
          <w:p w:rsidR="007706C1" w:rsidRDefault="007706C1">
            <w:pPr>
              <w:pStyle w:val="NormalHeadings"/>
              <w:jc w:val="left"/>
              <w:rPr>
                <w:caps/>
                <w:szCs w:val="24"/>
              </w:rPr>
            </w:pPr>
            <w:bookmarkStart w:id="18" w:name="Judge"/>
          </w:p>
          <w:p w:rsidR="00395B24" w:rsidRDefault="00154F74">
            <w:pPr>
              <w:pStyle w:val="NormalHeadings"/>
              <w:jc w:val="left"/>
              <w:rPr>
                <w:caps/>
                <w:szCs w:val="24"/>
              </w:rPr>
            </w:pPr>
            <w:r>
              <w:rPr>
                <w:caps/>
                <w:szCs w:val="24"/>
              </w:rPr>
              <w:t>YATES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E0405" w:rsidP="00154F74">
            <w:pPr>
              <w:pStyle w:val="NormalHeadings"/>
              <w:jc w:val="left"/>
              <w:rPr>
                <w:caps/>
                <w:szCs w:val="24"/>
              </w:rPr>
            </w:pPr>
            <w:bookmarkStart w:id="19" w:name="Judgment_Dated"/>
            <w:r>
              <w:rPr>
                <w:caps/>
                <w:szCs w:val="24"/>
              </w:rPr>
              <w:t>10 J</w:t>
            </w:r>
            <w:r w:rsidR="00154F74">
              <w:rPr>
                <w:caps/>
                <w:szCs w:val="24"/>
              </w:rPr>
              <w:t>ULY</w:t>
            </w:r>
            <w:r w:rsidR="00B2764A">
              <w:rPr>
                <w:caps/>
                <w:szCs w:val="24"/>
              </w:rPr>
              <w:t xml:space="preserve"> 2015</w:t>
            </w:r>
            <w:bookmarkEnd w:id="19"/>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B2764A">
            <w:pPr>
              <w:pStyle w:val="NormalHeadings"/>
              <w:jc w:val="left"/>
              <w:rPr>
                <w:caps/>
                <w:szCs w:val="24"/>
              </w:rPr>
            </w:pPr>
            <w:bookmarkStart w:id="20" w:name="Place"/>
            <w:r>
              <w:rPr>
                <w:caps/>
                <w:szCs w:val="24"/>
              </w:rPr>
              <w:t>SYDNEY</w:t>
            </w:r>
            <w:bookmarkEnd w:id="20"/>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154F74" w:rsidRDefault="005578CB" w:rsidP="005578CB">
      <w:pPr>
        <w:pStyle w:val="Order1"/>
        <w:numPr>
          <w:ilvl w:val="0"/>
          <w:numId w:val="0"/>
        </w:numPr>
        <w:ind w:left="709" w:hanging="709"/>
      </w:pPr>
      <w:bookmarkStart w:id="21" w:name="Order_Start_Text"/>
      <w:bookmarkEnd w:id="21"/>
      <w:r>
        <w:t>1.</w:t>
      </w:r>
      <w:r>
        <w:tab/>
      </w:r>
      <w:r w:rsidR="00154F74">
        <w:t xml:space="preserve">The parties </w:t>
      </w:r>
      <w:r w:rsidR="0005382A">
        <w:t xml:space="preserve">are to </w:t>
      </w:r>
      <w:r w:rsidR="00154F74">
        <w:t>bring</w:t>
      </w:r>
      <w:r w:rsidR="0005382A">
        <w:t xml:space="preserve"> in</w:t>
      </w:r>
      <w:r w:rsidR="00154F74">
        <w:t xml:space="preserve"> draft orders giving effect to these reasons by 4.00 pm on 17 July 2015.  </w:t>
      </w:r>
    </w:p>
    <w:p w:rsidR="00154F74" w:rsidRDefault="005578CB" w:rsidP="005578CB">
      <w:pPr>
        <w:pStyle w:val="Order1"/>
        <w:numPr>
          <w:ilvl w:val="0"/>
          <w:numId w:val="0"/>
        </w:numPr>
        <w:ind w:left="709" w:hanging="709"/>
      </w:pPr>
      <w:r>
        <w:t>2.</w:t>
      </w:r>
      <w:r>
        <w:tab/>
      </w:r>
      <w:r w:rsidR="00154F74">
        <w:t xml:space="preserve">If the parties cannot agree on the question of costs, the respondent is </w:t>
      </w:r>
      <w:r w:rsidR="00D52A62">
        <w:t xml:space="preserve">to </w:t>
      </w:r>
      <w:r w:rsidR="00154F74">
        <w:t xml:space="preserve">provide a draft of the order it seeks in that regard, supported by written submissions not exceeding three pages.  </w:t>
      </w:r>
    </w:p>
    <w:p w:rsidR="00395B24" w:rsidRDefault="005578CB" w:rsidP="005578CB">
      <w:pPr>
        <w:pStyle w:val="Order1"/>
        <w:numPr>
          <w:ilvl w:val="0"/>
          <w:numId w:val="0"/>
        </w:numPr>
        <w:ind w:left="709" w:hanging="709"/>
      </w:pPr>
      <w:r>
        <w:t>3.</w:t>
      </w:r>
      <w:r>
        <w:tab/>
      </w:r>
      <w:r w:rsidR="00154F74">
        <w:t xml:space="preserve">Any question of costs </w:t>
      </w:r>
      <w:r w:rsidR="00D52A62">
        <w:t>is to</w:t>
      </w:r>
      <w:r w:rsidR="00154F74">
        <w:t xml:space="preserve"> be determined on the papers.</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2" w:name="ReasonsPage"/>
            <w:bookmarkEnd w:id="22"/>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B2764A">
              <w:rPr>
                <w:caps/>
                <w:szCs w:val="24"/>
              </w:rPr>
              <w:t>NEW SOUTH WALES</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B2764A">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B2764A" w:rsidRPr="00B2764A">
              <w:rPr>
                <w:caps/>
                <w:szCs w:val="24"/>
              </w:rPr>
              <w:t>NSD</w:t>
            </w:r>
            <w:proofErr w:type="spellEnd"/>
            <w:r w:rsidR="00B2764A">
              <w:rPr>
                <w:szCs w:val="24"/>
              </w:rPr>
              <w:t xml:space="preserve"> 558 of 2014</w:t>
            </w:r>
            <w:r>
              <w:rPr>
                <w:caps/>
                <w:szCs w:val="24"/>
              </w:rPr>
              <w:fldChar w:fldCharType="end"/>
            </w:r>
          </w:p>
        </w:tc>
      </w:tr>
    </w:tbl>
    <w:p w:rsidR="00395B24" w:rsidRDefault="00DD63C5">
      <w:pPr>
        <w:pStyle w:val="AppealTable"/>
      </w:pPr>
      <w:fldSimple w:instr=" Ref AppealTable  \* MERGEFORMAT " w:fldLock="1">
        <w:r w:rsidR="00B2764A" w:rsidRPr="00B2764A">
          <w:rPr>
            <w:sz w:val="24"/>
          </w:rPr>
          <w:t xml:space="preserve"> </w:t>
        </w:r>
      </w:fldSimple>
    </w:p>
    <w:tbl>
      <w:tblPr>
        <w:tblW w:w="0" w:type="auto"/>
        <w:tblLayout w:type="fixed"/>
        <w:tblLook w:val="0000" w:firstRow="0" w:lastRow="0" w:firstColumn="0" w:lastColumn="0" w:noHBand="0" w:noVBand="0"/>
      </w:tblPr>
      <w:tblGrid>
        <w:gridCol w:w="2376"/>
        <w:gridCol w:w="6866"/>
      </w:tblGrid>
      <w:tr w:rsidR="007706C1" w:rsidTr="00511820">
        <w:trPr>
          <w:trHeight w:val="386"/>
        </w:trPr>
        <w:tc>
          <w:tcPr>
            <w:tcW w:w="2376" w:type="dxa"/>
          </w:tcPr>
          <w:p w:rsidR="007706C1" w:rsidRDefault="007706C1" w:rsidP="00511820">
            <w:pPr>
              <w:pStyle w:val="NormalHeadings"/>
              <w:jc w:val="left"/>
              <w:rPr>
                <w:caps/>
                <w:szCs w:val="24"/>
              </w:rPr>
            </w:pPr>
            <w:r>
              <w:rPr>
                <w:caps/>
                <w:szCs w:val="24"/>
              </w:rPr>
              <w:t>BETWEEN:</w:t>
            </w:r>
          </w:p>
        </w:tc>
        <w:tc>
          <w:tcPr>
            <w:tcW w:w="6866" w:type="dxa"/>
          </w:tcPr>
          <w:p w:rsidR="007706C1" w:rsidRDefault="007706C1" w:rsidP="00511820">
            <w:pPr>
              <w:pStyle w:val="NormalHeadings"/>
              <w:jc w:val="left"/>
              <w:rPr>
                <w:szCs w:val="24"/>
              </w:rPr>
            </w:pPr>
            <w:r>
              <w:rPr>
                <w:szCs w:val="24"/>
              </w:rPr>
              <w:t>NICHIA CORPORATION</w:t>
            </w:r>
          </w:p>
          <w:p w:rsidR="007706C1" w:rsidRDefault="007706C1" w:rsidP="00511820">
            <w:pPr>
              <w:pStyle w:val="NormalHeadings"/>
              <w:jc w:val="left"/>
              <w:rPr>
                <w:szCs w:val="24"/>
              </w:rPr>
            </w:pPr>
            <w:r>
              <w:rPr>
                <w:szCs w:val="24"/>
              </w:rPr>
              <w:t>Applicant</w:t>
            </w:r>
          </w:p>
          <w:p w:rsidR="007706C1" w:rsidRDefault="007706C1" w:rsidP="00511820">
            <w:pPr>
              <w:pStyle w:val="NormalHeadings"/>
              <w:jc w:val="left"/>
              <w:rPr>
                <w:szCs w:val="24"/>
              </w:rPr>
            </w:pPr>
          </w:p>
        </w:tc>
      </w:tr>
      <w:tr w:rsidR="007706C1" w:rsidTr="00511820">
        <w:trPr>
          <w:trHeight w:val="386"/>
        </w:trPr>
        <w:tc>
          <w:tcPr>
            <w:tcW w:w="2376" w:type="dxa"/>
          </w:tcPr>
          <w:p w:rsidR="007706C1" w:rsidRDefault="007706C1" w:rsidP="00511820">
            <w:pPr>
              <w:pStyle w:val="NormalHeadings"/>
              <w:jc w:val="left"/>
              <w:rPr>
                <w:caps/>
                <w:szCs w:val="24"/>
              </w:rPr>
            </w:pPr>
            <w:r>
              <w:rPr>
                <w:caps/>
                <w:szCs w:val="24"/>
              </w:rPr>
              <w:t>AND:</w:t>
            </w:r>
          </w:p>
        </w:tc>
        <w:tc>
          <w:tcPr>
            <w:tcW w:w="6866" w:type="dxa"/>
          </w:tcPr>
          <w:p w:rsidR="007706C1" w:rsidRDefault="007706C1" w:rsidP="00511820">
            <w:pPr>
              <w:pStyle w:val="NormalHeadings"/>
              <w:jc w:val="left"/>
              <w:rPr>
                <w:szCs w:val="24"/>
              </w:rPr>
            </w:pPr>
            <w:r>
              <w:rPr>
                <w:szCs w:val="24"/>
              </w:rPr>
              <w:t xml:space="preserve">ARROW ELECTRONICS AUSTRALIA PTY LTD </w:t>
            </w:r>
            <w:proofErr w:type="spellStart"/>
            <w:r>
              <w:rPr>
                <w:szCs w:val="24"/>
              </w:rPr>
              <w:t>ACN</w:t>
            </w:r>
            <w:proofErr w:type="spellEnd"/>
            <w:r>
              <w:rPr>
                <w:szCs w:val="24"/>
              </w:rPr>
              <w:t xml:space="preserve"> 065 151 626</w:t>
            </w:r>
          </w:p>
          <w:p w:rsidR="007706C1" w:rsidRDefault="007706C1" w:rsidP="00511820">
            <w:pPr>
              <w:pStyle w:val="NormalHeadings"/>
              <w:jc w:val="left"/>
              <w:rPr>
                <w:szCs w:val="24"/>
              </w:rPr>
            </w:pPr>
            <w:r>
              <w:rPr>
                <w:szCs w:val="24"/>
              </w:rPr>
              <w:t>Respondent</w:t>
            </w:r>
          </w:p>
          <w:p w:rsidR="007706C1" w:rsidRDefault="007706C1" w:rsidP="00511820">
            <w:pPr>
              <w:pStyle w:val="NormalHeadings"/>
              <w:jc w:val="left"/>
              <w:rPr>
                <w:szCs w:val="24"/>
              </w:rPr>
            </w:pPr>
          </w:p>
        </w:tc>
      </w:tr>
      <w:tr w:rsidR="007706C1" w:rsidTr="00511820">
        <w:trPr>
          <w:trHeight w:val="386"/>
        </w:trPr>
        <w:tc>
          <w:tcPr>
            <w:tcW w:w="2376" w:type="dxa"/>
          </w:tcPr>
          <w:p w:rsidR="007706C1" w:rsidRDefault="007706C1" w:rsidP="00511820">
            <w:pPr>
              <w:pStyle w:val="NormalHeadings"/>
              <w:jc w:val="left"/>
              <w:rPr>
                <w:caps/>
                <w:szCs w:val="24"/>
              </w:rPr>
            </w:pPr>
            <w:r>
              <w:rPr>
                <w:caps/>
                <w:szCs w:val="24"/>
              </w:rPr>
              <w:t>AND BETWEEN:</w:t>
            </w:r>
          </w:p>
        </w:tc>
        <w:tc>
          <w:tcPr>
            <w:tcW w:w="6866" w:type="dxa"/>
          </w:tcPr>
          <w:p w:rsidR="007706C1" w:rsidRDefault="007706C1" w:rsidP="00511820">
            <w:pPr>
              <w:pStyle w:val="NormalHeadings"/>
              <w:jc w:val="left"/>
              <w:rPr>
                <w:szCs w:val="24"/>
              </w:rPr>
            </w:pPr>
            <w:r>
              <w:rPr>
                <w:szCs w:val="24"/>
              </w:rPr>
              <w:t xml:space="preserve">ARROW ELECTRONICS AUSTRALIA PTY LTD </w:t>
            </w:r>
            <w:proofErr w:type="spellStart"/>
            <w:r>
              <w:rPr>
                <w:szCs w:val="24"/>
              </w:rPr>
              <w:t>ACN</w:t>
            </w:r>
            <w:proofErr w:type="spellEnd"/>
            <w:r>
              <w:rPr>
                <w:szCs w:val="24"/>
              </w:rPr>
              <w:t xml:space="preserve"> 065 151 626</w:t>
            </w:r>
          </w:p>
          <w:p w:rsidR="007706C1" w:rsidRDefault="007706C1" w:rsidP="00511820">
            <w:pPr>
              <w:pStyle w:val="NormalHeadings"/>
              <w:jc w:val="left"/>
              <w:rPr>
                <w:szCs w:val="24"/>
              </w:rPr>
            </w:pPr>
            <w:r>
              <w:rPr>
                <w:szCs w:val="24"/>
              </w:rPr>
              <w:t>Cross-Claimant</w:t>
            </w:r>
          </w:p>
          <w:p w:rsidR="007706C1" w:rsidRDefault="007706C1" w:rsidP="00511820">
            <w:pPr>
              <w:pStyle w:val="NormalHeadings"/>
              <w:jc w:val="left"/>
              <w:rPr>
                <w:szCs w:val="24"/>
              </w:rPr>
            </w:pPr>
          </w:p>
        </w:tc>
      </w:tr>
      <w:tr w:rsidR="007706C1" w:rsidTr="00511820">
        <w:trPr>
          <w:trHeight w:val="386"/>
        </w:trPr>
        <w:tc>
          <w:tcPr>
            <w:tcW w:w="2376" w:type="dxa"/>
          </w:tcPr>
          <w:p w:rsidR="007706C1" w:rsidRDefault="007706C1" w:rsidP="00511820">
            <w:pPr>
              <w:pStyle w:val="NormalHeadings"/>
              <w:jc w:val="left"/>
              <w:rPr>
                <w:caps/>
                <w:szCs w:val="24"/>
              </w:rPr>
            </w:pPr>
            <w:r>
              <w:rPr>
                <w:caps/>
                <w:szCs w:val="24"/>
              </w:rPr>
              <w:t>AND:</w:t>
            </w:r>
          </w:p>
        </w:tc>
        <w:tc>
          <w:tcPr>
            <w:tcW w:w="6866" w:type="dxa"/>
          </w:tcPr>
          <w:p w:rsidR="007706C1" w:rsidRDefault="007706C1" w:rsidP="00511820">
            <w:pPr>
              <w:pStyle w:val="NormalHeadings"/>
              <w:jc w:val="left"/>
              <w:rPr>
                <w:szCs w:val="24"/>
              </w:rPr>
            </w:pPr>
            <w:r>
              <w:rPr>
                <w:szCs w:val="24"/>
              </w:rPr>
              <w:t>NICHIA CORPORATION</w:t>
            </w:r>
          </w:p>
          <w:p w:rsidR="007706C1" w:rsidRDefault="007706C1" w:rsidP="00511820">
            <w:pPr>
              <w:pStyle w:val="NormalHeadings"/>
              <w:jc w:val="left"/>
              <w:rPr>
                <w:szCs w:val="24"/>
              </w:rPr>
            </w:pPr>
            <w:r>
              <w:rPr>
                <w:szCs w:val="24"/>
              </w:rPr>
              <w:t>Cross-Respondent</w:t>
            </w:r>
          </w:p>
        </w:tc>
      </w:tr>
      <w:tr w:rsidR="007706C1" w:rsidTr="00511820">
        <w:trPr>
          <w:trHeight w:val="386"/>
        </w:trPr>
        <w:tc>
          <w:tcPr>
            <w:tcW w:w="2376" w:type="dxa"/>
          </w:tcPr>
          <w:p w:rsidR="007706C1" w:rsidRDefault="007706C1" w:rsidP="00511820">
            <w:pPr>
              <w:pStyle w:val="NormalHeadings"/>
              <w:jc w:val="left"/>
              <w:rPr>
                <w:caps/>
                <w:szCs w:val="24"/>
              </w:rPr>
            </w:pPr>
          </w:p>
        </w:tc>
        <w:tc>
          <w:tcPr>
            <w:tcW w:w="6866" w:type="dxa"/>
          </w:tcPr>
          <w:p w:rsidR="007706C1" w:rsidRDefault="007706C1" w:rsidP="00511820">
            <w:pPr>
              <w:pStyle w:val="NormalHeadings"/>
              <w:jc w:val="left"/>
              <w:rPr>
                <w:szCs w:val="24"/>
              </w:rPr>
            </w:pP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B2764A">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B2764A">
              <w:rPr>
                <w:caps/>
                <w:szCs w:val="24"/>
              </w:rPr>
              <w:t>YATES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rsidP="00154F74">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154F74">
              <w:rPr>
                <w:caps/>
                <w:szCs w:val="24"/>
              </w:rPr>
              <w:t>10 JULY</w:t>
            </w:r>
            <w:r w:rsidR="00B2764A">
              <w:rPr>
                <w:caps/>
                <w:szCs w:val="24"/>
              </w:rPr>
              <w:t xml:space="preserve">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B2764A">
              <w:rPr>
                <w:caps/>
                <w:szCs w:val="24"/>
              </w:rPr>
              <w:t>SYDNEY</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935AE2" w:rsidRDefault="00935AE2" w:rsidP="00935AE2">
      <w:pPr>
        <w:pStyle w:val="Heading1"/>
      </w:pPr>
      <w:r>
        <w:t>Introduction</w:t>
      </w:r>
    </w:p>
    <w:p w:rsidR="00624520" w:rsidRDefault="00B2764A" w:rsidP="00B2764A">
      <w:pPr>
        <w:pStyle w:val="ParaNumbering"/>
      </w:pPr>
      <w:r>
        <w:t>The applicant, Nichia Corporation, is the patentee of Patent No. 720234 (</w:t>
      </w:r>
      <w:r>
        <w:rPr>
          <w:b/>
        </w:rPr>
        <w:t>the patent</w:t>
      </w:r>
      <w:r>
        <w:t xml:space="preserve">).  The </w:t>
      </w:r>
      <w:r w:rsidR="00A37166">
        <w:t xml:space="preserve">relevant </w:t>
      </w:r>
      <w:r>
        <w:t>specification</w:t>
      </w:r>
      <w:r w:rsidR="00A37166">
        <w:t xml:space="preserve"> (AU 199736355 C)</w:t>
      </w:r>
      <w:r>
        <w:t xml:space="preserve"> is entitled “Light emitting device and display device”</w:t>
      </w:r>
      <w:r w:rsidR="00E44CB4">
        <w:t xml:space="preserve"> (</w:t>
      </w:r>
      <w:r w:rsidR="00E44CB4" w:rsidRPr="00E44CB4">
        <w:rPr>
          <w:b/>
        </w:rPr>
        <w:t xml:space="preserve">the </w:t>
      </w:r>
      <w:r w:rsidR="00D43616">
        <w:rPr>
          <w:b/>
        </w:rPr>
        <w:t xml:space="preserve">355 </w:t>
      </w:r>
      <w:r w:rsidR="00E44CB4" w:rsidRPr="00E44CB4">
        <w:rPr>
          <w:b/>
        </w:rPr>
        <w:t>specification</w:t>
      </w:r>
      <w:r w:rsidR="00D43616">
        <w:rPr>
          <w:b/>
        </w:rPr>
        <w:t xml:space="preserve"> </w:t>
      </w:r>
      <w:r w:rsidR="00D43616" w:rsidRPr="00D43616">
        <w:t>or</w:t>
      </w:r>
      <w:r w:rsidR="00D43616" w:rsidRPr="00400559">
        <w:t>,</w:t>
      </w:r>
      <w:r w:rsidR="00D43616">
        <w:rPr>
          <w:b/>
        </w:rPr>
        <w:t xml:space="preserve"> </w:t>
      </w:r>
      <w:r w:rsidR="00D43616" w:rsidRPr="00D43616">
        <w:t>where convenient</w:t>
      </w:r>
      <w:r w:rsidR="00D43616" w:rsidRPr="00400559">
        <w:t>,</w:t>
      </w:r>
      <w:r w:rsidR="00D43616">
        <w:rPr>
          <w:b/>
        </w:rPr>
        <w:t xml:space="preserve"> the specification</w:t>
      </w:r>
      <w:r w:rsidR="00E44CB4">
        <w:t>)</w:t>
      </w:r>
      <w:r>
        <w:t xml:space="preserve">.  </w:t>
      </w:r>
    </w:p>
    <w:p w:rsidR="00B2764A" w:rsidRDefault="00B2764A" w:rsidP="00B2764A">
      <w:pPr>
        <w:pStyle w:val="ParaNumbering"/>
      </w:pPr>
      <w:r>
        <w:t xml:space="preserve">The applicant sues the respondent, Arrow Electronics Australia Pty Ltd, for infringement of claim 3 of the specification.  Claim 3 is dependent on claim 1.  </w:t>
      </w:r>
    </w:p>
    <w:p w:rsidR="00B2764A" w:rsidRDefault="00400559" w:rsidP="00B2764A">
      <w:pPr>
        <w:pStyle w:val="ParaNumbering"/>
      </w:pPr>
      <w:r>
        <w:t>Claim 1 is:</w:t>
      </w:r>
    </w:p>
    <w:p w:rsidR="00C42F4B" w:rsidRDefault="00C42F4B" w:rsidP="00C42F4B">
      <w:pPr>
        <w:pStyle w:val="Quote1"/>
      </w:pPr>
      <w:r>
        <w:t xml:space="preserve">A light emitting </w:t>
      </w:r>
      <w:r w:rsidR="00997AA6">
        <w:t xml:space="preserve">device, including a light emitting component and a phosphor capable of absorbing a part of light emitted by the light emitting component and emitting light of wavelength different from that of the absorbed light; wherein said light emitting component comprises a nitride compound semiconductor and said phosphor contains a garnet fluorescent material including at least one element selected from the group consisting of Y, Lu, </w:t>
      </w:r>
      <w:proofErr w:type="spellStart"/>
      <w:r w:rsidR="00997AA6">
        <w:t>Sc</w:t>
      </w:r>
      <w:proofErr w:type="spellEnd"/>
      <w:r w:rsidR="00997AA6">
        <w:t xml:space="preserve">, La, </w:t>
      </w:r>
      <w:proofErr w:type="spellStart"/>
      <w:r w:rsidR="00997AA6">
        <w:t>Gd</w:t>
      </w:r>
      <w:proofErr w:type="spellEnd"/>
      <w:r w:rsidR="00997AA6">
        <w:t xml:space="preserve"> and Sm, and at least one element selected from the group consisting of Al, Ga and In, and being activated with cerium.  </w:t>
      </w:r>
    </w:p>
    <w:p w:rsidR="00B2764A" w:rsidRDefault="00400559" w:rsidP="00B2764A">
      <w:pPr>
        <w:pStyle w:val="ParaNumbering"/>
      </w:pPr>
      <w:r>
        <w:t>Claim 3 is:</w:t>
      </w:r>
    </w:p>
    <w:p w:rsidR="000E2056" w:rsidRDefault="00C42F4B" w:rsidP="00C42F4B">
      <w:pPr>
        <w:pStyle w:val="Quote1"/>
      </w:pPr>
      <w:r>
        <w:lastRenderedPageBreak/>
        <w:t xml:space="preserve">A light emitting </w:t>
      </w:r>
      <w:r w:rsidR="00997AA6">
        <w:t xml:space="preserve">device according to claim 1, wherein the phosphor contains </w:t>
      </w:r>
      <w:r w:rsidR="000E2056">
        <w:t>fluorescent material represented by a general formula (</w:t>
      </w:r>
      <w:proofErr w:type="spellStart"/>
      <w:r w:rsidR="000E2056">
        <w:t>Re</w:t>
      </w:r>
      <w:r w:rsidR="000E2056" w:rsidRPr="008D347C">
        <w:rPr>
          <w:vertAlign w:val="subscript"/>
        </w:rPr>
        <w:t>1-r</w:t>
      </w:r>
      <w:r w:rsidR="000E2056">
        <w:t>Sm</w:t>
      </w:r>
      <w:r w:rsidR="000E2056" w:rsidRPr="008D347C">
        <w:rPr>
          <w:vertAlign w:val="subscript"/>
        </w:rPr>
        <w:t>r</w:t>
      </w:r>
      <w:proofErr w:type="spellEnd"/>
      <w:r w:rsidR="000E2056">
        <w:t>)</w:t>
      </w:r>
      <w:r w:rsidR="000E2056" w:rsidRPr="008D347C">
        <w:rPr>
          <w:vertAlign w:val="subscript"/>
        </w:rPr>
        <w:t>3</w:t>
      </w:r>
      <w:r w:rsidR="000E2056">
        <w:t>(Al</w:t>
      </w:r>
      <w:r w:rsidR="000E2056" w:rsidRPr="008D347C">
        <w:rPr>
          <w:vertAlign w:val="subscript"/>
        </w:rPr>
        <w:t>l-</w:t>
      </w:r>
      <w:proofErr w:type="spellStart"/>
      <w:r w:rsidR="000E2056" w:rsidRPr="008D347C">
        <w:rPr>
          <w:vertAlign w:val="subscript"/>
        </w:rPr>
        <w:t>s</w:t>
      </w:r>
      <w:r w:rsidR="000E2056">
        <w:t>Ga</w:t>
      </w:r>
      <w:r w:rsidR="000E2056" w:rsidRPr="008D347C">
        <w:rPr>
          <w:vertAlign w:val="subscript"/>
        </w:rPr>
        <w:t>s</w:t>
      </w:r>
      <w:proofErr w:type="spellEnd"/>
      <w:r w:rsidR="000E2056">
        <w:t>)</w:t>
      </w:r>
      <w:proofErr w:type="spellStart"/>
      <w:r w:rsidR="000E2056" w:rsidRPr="008D347C">
        <w:rPr>
          <w:vertAlign w:val="subscript"/>
        </w:rPr>
        <w:t>5</w:t>
      </w:r>
      <w:r w:rsidR="000E2056">
        <w:t>O</w:t>
      </w:r>
      <w:r w:rsidR="000E2056" w:rsidRPr="008D347C">
        <w:rPr>
          <w:vertAlign w:val="subscript"/>
        </w:rPr>
        <w:t>12</w:t>
      </w:r>
      <w:r w:rsidR="000E2056">
        <w:t>:Ce</w:t>
      </w:r>
      <w:proofErr w:type="spellEnd"/>
      <w:r w:rsidR="000E2056">
        <w:t>, where 0</w:t>
      </w:r>
      <w:r w:rsidR="000E2056" w:rsidRPr="0005390E">
        <w:rPr>
          <w:u w:val="single"/>
        </w:rPr>
        <w:t>&lt;</w:t>
      </w:r>
      <w:r w:rsidR="000E2056">
        <w:t>r&lt;</w:t>
      </w:r>
      <w:r w:rsidR="000E2056" w:rsidRPr="008D347C">
        <w:t>1</w:t>
      </w:r>
      <w:r w:rsidR="000E2056">
        <w:t xml:space="preserve"> and 0</w:t>
      </w:r>
      <w:r w:rsidR="000E2056" w:rsidRPr="008D347C">
        <w:rPr>
          <w:u w:val="single"/>
        </w:rPr>
        <w:t>&lt;</w:t>
      </w:r>
      <w:r w:rsidR="000E2056">
        <w:t>s</w:t>
      </w:r>
      <w:r w:rsidR="000E2056" w:rsidRPr="008D347C">
        <w:rPr>
          <w:u w:val="single"/>
        </w:rPr>
        <w:t>&lt;</w:t>
      </w:r>
      <w:r w:rsidR="000E2056">
        <w:t xml:space="preserve">1 and Re is at least one selected from Y and Gd.  </w:t>
      </w:r>
    </w:p>
    <w:p w:rsidR="0005390E" w:rsidRPr="0005390E" w:rsidRDefault="00C30B04" w:rsidP="00C30B04">
      <w:pPr>
        <w:pStyle w:val="Quote1"/>
      </w:pPr>
      <w:r>
        <w:t xml:space="preserve"> </w:t>
      </w:r>
    </w:p>
    <w:p w:rsidR="00B2764A" w:rsidRDefault="00B2764A" w:rsidP="00B2764A">
      <w:pPr>
        <w:pStyle w:val="ParaNumbering"/>
      </w:pPr>
      <w:r>
        <w:t xml:space="preserve">The respondent has cross-claimed seeking revocation of claims 1 and 3, on various grounds.  A threshold question has arisen as to the correct priority date of each claim.  </w:t>
      </w:r>
    </w:p>
    <w:p w:rsidR="00B2764A" w:rsidRDefault="00B2764A" w:rsidP="00B2764A">
      <w:pPr>
        <w:pStyle w:val="ParaNumbering"/>
      </w:pPr>
      <w:r>
        <w:t xml:space="preserve">The applicant says that claims 1 and 3 each define more than one form of the invention.  It says that each form of the invention in claim 3 is entitled to a priority date of 29 July 1996 based on the disclosures in Japanese patent application </w:t>
      </w:r>
      <w:proofErr w:type="spellStart"/>
      <w:r>
        <w:t>JP8</w:t>
      </w:r>
      <w:proofErr w:type="spellEnd"/>
      <w:r>
        <w:t>-198585 (</w:t>
      </w:r>
      <w:proofErr w:type="spellStart"/>
      <w:r>
        <w:rPr>
          <w:b/>
        </w:rPr>
        <w:t>JP585</w:t>
      </w:r>
      <w:proofErr w:type="spellEnd"/>
      <w:r>
        <w:t xml:space="preserve">), one of the priority documents identified in the </w:t>
      </w:r>
      <w:r w:rsidR="00D43616">
        <w:t xml:space="preserve">355 </w:t>
      </w:r>
      <w:r>
        <w:t xml:space="preserve">specification. As to claim 1, the applicant says that many of the forms of the invention </w:t>
      </w:r>
      <w:r w:rsidR="00E44CB4">
        <w:t>defined</w:t>
      </w:r>
      <w:r>
        <w:t xml:space="preserve"> therein are entitled to a priority date of 29 July 1996 based on </w:t>
      </w:r>
      <w:r w:rsidR="00D52A62">
        <w:t xml:space="preserve">the disclosures in </w:t>
      </w:r>
      <w:proofErr w:type="spellStart"/>
      <w:r>
        <w:t>JP585</w:t>
      </w:r>
      <w:proofErr w:type="spellEnd"/>
      <w:r>
        <w:t xml:space="preserve">, some forms are entitled to a priority date of 17 September 1996 based on the disclosures in Japanese patent application </w:t>
      </w:r>
      <w:proofErr w:type="spellStart"/>
      <w:r>
        <w:t>JP8</w:t>
      </w:r>
      <w:proofErr w:type="spellEnd"/>
      <w:r>
        <w:t>-244339 (</w:t>
      </w:r>
      <w:proofErr w:type="spellStart"/>
      <w:r>
        <w:rPr>
          <w:b/>
        </w:rPr>
        <w:t>JP339</w:t>
      </w:r>
      <w:proofErr w:type="spellEnd"/>
      <w:r>
        <w:t xml:space="preserve">) (another priority document identified in the </w:t>
      </w:r>
      <w:r w:rsidR="00D43616">
        <w:t xml:space="preserve">355 </w:t>
      </w:r>
      <w:r>
        <w:t xml:space="preserve">specification), and the remainder of the forms of the invention are entitled to a priority date of 29 July 1997, being the filing date of </w:t>
      </w:r>
      <w:r w:rsidR="00400559">
        <w:t>the application for the patent.</w:t>
      </w:r>
    </w:p>
    <w:p w:rsidR="00B2764A" w:rsidRDefault="00B2764A" w:rsidP="00B2764A">
      <w:pPr>
        <w:pStyle w:val="ParaNumbering"/>
      </w:pPr>
      <w:r>
        <w:t>The respondent says that the priority date of claim 1 is 29 July 1997</w:t>
      </w:r>
      <w:r w:rsidR="0033405E">
        <w:t xml:space="preserve"> because </w:t>
      </w:r>
      <w:r>
        <w:t>the invention</w:t>
      </w:r>
      <w:r w:rsidR="0033405E">
        <w:t>,</w:t>
      </w:r>
      <w:r>
        <w:t xml:space="preserve"> </w:t>
      </w:r>
      <w:r w:rsidR="0033405E">
        <w:t xml:space="preserve">as so claimed, is not divisible into different forms and </w:t>
      </w:r>
      <w:r>
        <w:t xml:space="preserve">was first disclosed in the application for the patent.  The </w:t>
      </w:r>
      <w:r w:rsidR="00A37166">
        <w:t xml:space="preserve">respondent says that the </w:t>
      </w:r>
      <w:r>
        <w:t xml:space="preserve">invention in claim 3 is limited </w:t>
      </w:r>
      <w:r w:rsidR="00D52A62">
        <w:t>to</w:t>
      </w:r>
      <w:r>
        <w:t xml:space="preserve"> a subset of </w:t>
      </w:r>
      <w:r w:rsidR="00400559">
        <w:t xml:space="preserve">fluorescent materials </w:t>
      </w:r>
      <w:r w:rsidR="00E44CB4">
        <w:t>disclosed in claim 1</w:t>
      </w:r>
      <w:r w:rsidR="00A37166">
        <w:t xml:space="preserve"> and, as it </w:t>
      </w:r>
      <w:r w:rsidR="00731DDE">
        <w:t>is</w:t>
      </w:r>
      <w:r w:rsidR="00E44CB4">
        <w:t xml:space="preserve"> dependent </w:t>
      </w:r>
      <w:r w:rsidR="00731DDE">
        <w:t xml:space="preserve">on </w:t>
      </w:r>
      <w:r w:rsidR="00E44CB4">
        <w:t>claim</w:t>
      </w:r>
      <w:r w:rsidR="00731DDE">
        <w:t xml:space="preserve"> 1</w:t>
      </w:r>
      <w:r w:rsidR="00E44CB4">
        <w:t>,</w:t>
      </w:r>
      <w:r w:rsidR="00152D55">
        <w:t xml:space="preserve"> </w:t>
      </w:r>
      <w:r w:rsidR="00A37166">
        <w:t>claim 3</w:t>
      </w:r>
      <w:r w:rsidR="00731DDE">
        <w:t xml:space="preserve"> </w:t>
      </w:r>
      <w:r w:rsidR="00152D55">
        <w:t xml:space="preserve">is </w:t>
      </w:r>
      <w:r w:rsidR="00E44CB4">
        <w:t>only</w:t>
      </w:r>
      <w:r w:rsidR="00152D55">
        <w:t xml:space="preserve"> entitled to the same priority date</w:t>
      </w:r>
      <w:r w:rsidR="00E44CB4">
        <w:t xml:space="preserve"> as claim 1</w:t>
      </w:r>
      <w:r w:rsidR="00400559">
        <w:t>.</w:t>
      </w:r>
    </w:p>
    <w:p w:rsidR="00152D55" w:rsidRDefault="00152D55" w:rsidP="00B2764A">
      <w:pPr>
        <w:pStyle w:val="ParaNumbering"/>
      </w:pPr>
      <w:r>
        <w:t xml:space="preserve">As the determination of the priority date of claims 1 and 3 will have an important impact on how the </w:t>
      </w:r>
      <w:r w:rsidR="00E44CB4">
        <w:t>respondent’s challenge to the validity of the claims</w:t>
      </w:r>
      <w:r>
        <w:t xml:space="preserve"> should proceed, I have ordered that </w:t>
      </w:r>
      <w:r w:rsidR="00731DDE">
        <w:t>the</w:t>
      </w:r>
      <w:r>
        <w:t xml:space="preserve"> question </w:t>
      </w:r>
      <w:r w:rsidR="00E44CB4">
        <w:t xml:space="preserve">of the correct priority date of claims 1 and 3 </w:t>
      </w:r>
      <w:r>
        <w:t>be determined separately from and prior to any other question in the proceeding (</w:t>
      </w:r>
      <w:r>
        <w:rPr>
          <w:b/>
        </w:rPr>
        <w:t>the separate question</w:t>
      </w:r>
      <w:r>
        <w:t xml:space="preserve">): </w:t>
      </w:r>
      <w:r w:rsidR="00400559">
        <w:t xml:space="preserve">r 30.01 of the </w:t>
      </w:r>
      <w:r w:rsidR="00400559">
        <w:rPr>
          <w:i/>
        </w:rPr>
        <w:t>Federal Court Rules 2011</w:t>
      </w:r>
      <w:r w:rsidR="00400559">
        <w:t>.</w:t>
      </w:r>
    </w:p>
    <w:p w:rsidR="00152D55" w:rsidRDefault="00152D55" w:rsidP="00973E96">
      <w:pPr>
        <w:pStyle w:val="Heading1"/>
      </w:pPr>
      <w:r>
        <w:t>Scientific background</w:t>
      </w:r>
    </w:p>
    <w:p w:rsidR="00A37166" w:rsidRDefault="00152D55" w:rsidP="00A37166">
      <w:pPr>
        <w:pStyle w:val="ParaNumbering"/>
      </w:pPr>
      <w:r>
        <w:t xml:space="preserve">The parties have prepared a primer for </w:t>
      </w:r>
      <w:r w:rsidR="00731DDE">
        <w:t>use in</w:t>
      </w:r>
      <w:r>
        <w:t xml:space="preserve"> determining the separate question.  It reflects the parties’ agreed understanding of the meaning of a number of terms and concepts.  I have admitted the primer into evidence as </w:t>
      </w:r>
      <w:r w:rsidR="00E44CB4">
        <w:t>E</w:t>
      </w:r>
      <w:r w:rsidR="00400559">
        <w:t>xhibit C</w:t>
      </w:r>
      <w:r>
        <w:t>, subject to</w:t>
      </w:r>
      <w:r w:rsidR="00973E96">
        <w:t xml:space="preserve"> a limitation under s 136 of the </w:t>
      </w:r>
      <w:r w:rsidR="00973E96" w:rsidRPr="00973E96">
        <w:rPr>
          <w:i/>
        </w:rPr>
        <w:t>Evidence Act 1995</w:t>
      </w:r>
      <w:r w:rsidR="00973E96">
        <w:t xml:space="preserve"> (</w:t>
      </w:r>
      <w:proofErr w:type="spellStart"/>
      <w:r w:rsidR="00973E96">
        <w:t>Cth</w:t>
      </w:r>
      <w:proofErr w:type="spellEnd"/>
      <w:r w:rsidR="00973E96">
        <w:t xml:space="preserve">) that its use </w:t>
      </w:r>
      <w:r w:rsidR="00731DDE">
        <w:t xml:space="preserve">is to </w:t>
      </w:r>
      <w:r w:rsidR="00973E96">
        <w:t>be confined to construing the specification and claims, and the priority documents relied upon</w:t>
      </w:r>
      <w:r w:rsidR="00731DDE">
        <w:t xml:space="preserve"> by the applicant</w:t>
      </w:r>
      <w:r w:rsidR="00973E96">
        <w:t>.</w:t>
      </w:r>
      <w:r w:rsidR="00E44CB4">
        <w:t xml:space="preserve">  </w:t>
      </w:r>
    </w:p>
    <w:p w:rsidR="00E44CB4" w:rsidRDefault="00E44CB4" w:rsidP="00A37166">
      <w:pPr>
        <w:pStyle w:val="ParaNumbering"/>
      </w:pPr>
      <w:r>
        <w:lastRenderedPageBreak/>
        <w:t>The following summary of the scientific background</w:t>
      </w:r>
      <w:r w:rsidR="00A37166">
        <w:t xml:space="preserve"> </w:t>
      </w:r>
      <w:r>
        <w:t>is based substantially on the agreed primer.</w:t>
      </w:r>
    </w:p>
    <w:p w:rsidR="008865A0" w:rsidRDefault="008865A0" w:rsidP="008865A0">
      <w:pPr>
        <w:pStyle w:val="Heading2"/>
      </w:pPr>
      <w:r>
        <w:t>Chemical notation</w:t>
      </w:r>
    </w:p>
    <w:p w:rsidR="008865A0" w:rsidRDefault="008865A0" w:rsidP="008865A0">
      <w:pPr>
        <w:pStyle w:val="ParaNumbering"/>
      </w:pPr>
      <w:r>
        <w:t>In chemical notation:</w:t>
      </w:r>
    </w:p>
    <w:p w:rsidR="008865A0" w:rsidRDefault="008865A0" w:rsidP="005105D0">
      <w:pPr>
        <w:pStyle w:val="ListNo2"/>
        <w:tabs>
          <w:tab w:val="clear" w:pos="1440"/>
        </w:tabs>
        <w:ind w:left="709"/>
      </w:pPr>
      <w:r>
        <w:t>Y represents the element yttrium</w:t>
      </w:r>
      <w:r w:rsidR="0057347C">
        <w:t>;</w:t>
      </w:r>
    </w:p>
    <w:p w:rsidR="0057347C" w:rsidRDefault="0057347C" w:rsidP="005105D0">
      <w:pPr>
        <w:pStyle w:val="ListNo2"/>
        <w:tabs>
          <w:tab w:val="clear" w:pos="1440"/>
        </w:tabs>
        <w:ind w:left="709"/>
      </w:pPr>
      <w:r>
        <w:t>Lu represents the element lutetium;</w:t>
      </w:r>
    </w:p>
    <w:p w:rsidR="0057347C" w:rsidRDefault="0057347C" w:rsidP="005105D0">
      <w:pPr>
        <w:pStyle w:val="ListNo2"/>
        <w:tabs>
          <w:tab w:val="clear" w:pos="1440"/>
        </w:tabs>
        <w:ind w:left="709"/>
      </w:pPr>
      <w:proofErr w:type="spellStart"/>
      <w:r>
        <w:t>Sc</w:t>
      </w:r>
      <w:proofErr w:type="spellEnd"/>
      <w:r>
        <w:t xml:space="preserve"> represents the element scandium;</w:t>
      </w:r>
    </w:p>
    <w:p w:rsidR="0057347C" w:rsidRDefault="0057347C" w:rsidP="005105D0">
      <w:pPr>
        <w:pStyle w:val="ListNo2"/>
        <w:tabs>
          <w:tab w:val="clear" w:pos="1440"/>
        </w:tabs>
        <w:ind w:left="709"/>
      </w:pPr>
      <w:r>
        <w:t>La represents the element lanthanum;</w:t>
      </w:r>
    </w:p>
    <w:p w:rsidR="008865A0" w:rsidRDefault="008865A0" w:rsidP="005105D0">
      <w:pPr>
        <w:pStyle w:val="ListNo2"/>
        <w:tabs>
          <w:tab w:val="clear" w:pos="1440"/>
        </w:tabs>
        <w:ind w:left="709"/>
      </w:pPr>
      <w:proofErr w:type="spellStart"/>
      <w:r>
        <w:t>Gd</w:t>
      </w:r>
      <w:proofErr w:type="spellEnd"/>
      <w:r>
        <w:t xml:space="preserve"> represents the element gadolinium</w:t>
      </w:r>
      <w:r w:rsidR="0057347C">
        <w:t>;</w:t>
      </w:r>
    </w:p>
    <w:p w:rsidR="008865A0" w:rsidRDefault="008865A0" w:rsidP="005105D0">
      <w:pPr>
        <w:pStyle w:val="ListNo2"/>
        <w:tabs>
          <w:tab w:val="clear" w:pos="1440"/>
        </w:tabs>
        <w:ind w:left="709"/>
      </w:pPr>
      <w:r>
        <w:t>Sm represents the element samarium</w:t>
      </w:r>
      <w:r w:rsidR="0057347C">
        <w:t>;</w:t>
      </w:r>
    </w:p>
    <w:p w:rsidR="008865A0" w:rsidRDefault="008865A0" w:rsidP="005105D0">
      <w:pPr>
        <w:pStyle w:val="ListNo2"/>
        <w:tabs>
          <w:tab w:val="clear" w:pos="1440"/>
        </w:tabs>
        <w:ind w:left="709"/>
      </w:pPr>
      <w:r>
        <w:t>Al represents the element aluminium</w:t>
      </w:r>
      <w:r w:rsidR="0057347C">
        <w:t>;</w:t>
      </w:r>
    </w:p>
    <w:p w:rsidR="008865A0" w:rsidRDefault="008865A0" w:rsidP="005105D0">
      <w:pPr>
        <w:pStyle w:val="ListNo2"/>
        <w:tabs>
          <w:tab w:val="clear" w:pos="1440"/>
        </w:tabs>
        <w:ind w:left="709"/>
      </w:pPr>
      <w:r>
        <w:t>Ga represents the element gallium</w:t>
      </w:r>
      <w:r w:rsidR="0057347C">
        <w:t>;</w:t>
      </w:r>
    </w:p>
    <w:p w:rsidR="0057347C" w:rsidRDefault="0057347C" w:rsidP="005105D0">
      <w:pPr>
        <w:pStyle w:val="ListNo2"/>
        <w:tabs>
          <w:tab w:val="clear" w:pos="1440"/>
        </w:tabs>
        <w:ind w:left="709"/>
      </w:pPr>
      <w:r>
        <w:t>In represents the element indium;</w:t>
      </w:r>
    </w:p>
    <w:p w:rsidR="008865A0" w:rsidRDefault="008865A0" w:rsidP="005105D0">
      <w:pPr>
        <w:pStyle w:val="ListNo2"/>
        <w:tabs>
          <w:tab w:val="clear" w:pos="1440"/>
        </w:tabs>
        <w:ind w:left="709"/>
      </w:pPr>
      <w:r>
        <w:t>O re</w:t>
      </w:r>
      <w:r w:rsidR="00400559">
        <w:t>presents the element oxygen;</w:t>
      </w:r>
    </w:p>
    <w:p w:rsidR="008865A0" w:rsidRDefault="008865A0" w:rsidP="005105D0">
      <w:pPr>
        <w:pStyle w:val="ListNo2"/>
        <w:tabs>
          <w:tab w:val="clear" w:pos="1440"/>
        </w:tabs>
        <w:ind w:left="709"/>
      </w:pPr>
      <w:r>
        <w:t>C</w:t>
      </w:r>
      <w:r w:rsidR="00400559">
        <w:t>e represents the element cerium; and</w:t>
      </w:r>
    </w:p>
    <w:p w:rsidR="00400559" w:rsidRDefault="00400559" w:rsidP="005105D0">
      <w:pPr>
        <w:pStyle w:val="ListNo2"/>
        <w:tabs>
          <w:tab w:val="clear" w:pos="1440"/>
        </w:tabs>
        <w:ind w:left="709"/>
      </w:pPr>
      <w:r>
        <w:t xml:space="preserve">Si represents the element </w:t>
      </w:r>
      <w:r w:rsidR="00D52A62">
        <w:t>s</w:t>
      </w:r>
      <w:r>
        <w:t>ilicon.</w:t>
      </w:r>
    </w:p>
    <w:p w:rsidR="00973E96" w:rsidRDefault="00973E96" w:rsidP="00973E96">
      <w:pPr>
        <w:pStyle w:val="Heading2"/>
      </w:pPr>
      <w:r>
        <w:t>Light emission</w:t>
      </w:r>
    </w:p>
    <w:p w:rsidR="00E44CB4" w:rsidRDefault="00973E96" w:rsidP="00973E96">
      <w:pPr>
        <w:pStyle w:val="ParaNumbering"/>
      </w:pPr>
      <w:r>
        <w:t xml:space="preserve">Electromagnetic radiation is the name for energy that is propagated by waves of electromagnetic fields.  Photons are the elementary particles of electromagnetic radiation.  </w:t>
      </w:r>
    </w:p>
    <w:p w:rsidR="00B006BF" w:rsidRDefault="00973E96" w:rsidP="00973E96">
      <w:pPr>
        <w:pStyle w:val="ParaNumbering"/>
      </w:pPr>
      <w:r>
        <w:t>Electromagnetic radiation covers photon energies that are very high and have very short wavelengths (for example</w:t>
      </w:r>
      <w:r w:rsidR="00400559">
        <w:t>,</w:t>
      </w:r>
      <w:r>
        <w:t xml:space="preserve"> x-rays)</w:t>
      </w:r>
      <w:r w:rsidR="00400559">
        <w:t>,</w:t>
      </w:r>
      <w:r>
        <w:t xml:space="preserve"> down to energies </w:t>
      </w:r>
      <w:r w:rsidR="00E44CB4">
        <w:t xml:space="preserve">that are low and </w:t>
      </w:r>
      <w:r>
        <w:t>have very long wavelengths (for example</w:t>
      </w:r>
      <w:r w:rsidR="00400559">
        <w:t>, microwaves and radio waves).</w:t>
      </w:r>
      <w:r>
        <w:t xml:space="preserve"> </w:t>
      </w:r>
    </w:p>
    <w:p w:rsidR="00973E96" w:rsidRDefault="00973E96" w:rsidP="00973E96">
      <w:pPr>
        <w:pStyle w:val="ParaNumbering"/>
      </w:pPr>
      <w:r>
        <w:t xml:space="preserve">The term “light” is often used to refer to electromagnetic radiation that </w:t>
      </w:r>
      <w:r w:rsidR="002453F5">
        <w:t>is</w:t>
      </w:r>
      <w:r>
        <w:t xml:space="preserve"> visible to humans.  The term also includes </w:t>
      </w:r>
      <w:r w:rsidR="00B006BF">
        <w:t xml:space="preserve">radiation </w:t>
      </w:r>
      <w:r w:rsidR="002453F5">
        <w:t>that is</w:t>
      </w:r>
      <w:r w:rsidR="00B006BF">
        <w:t xml:space="preserve"> adjacent to visible light</w:t>
      </w:r>
      <w:r w:rsidR="00731DDE" w:rsidRPr="00731DDE">
        <w:t xml:space="preserve"> </w:t>
      </w:r>
      <w:r w:rsidR="00731DDE">
        <w:t>in the electromagnetic spectrum</w:t>
      </w:r>
      <w:r w:rsidR="00B006BF">
        <w:t xml:space="preserve">, such as </w:t>
      </w:r>
      <w:r>
        <w:t xml:space="preserve">ultraviolet </w:t>
      </w:r>
      <w:r w:rsidR="00731DDE">
        <w:t xml:space="preserve">light </w:t>
      </w:r>
      <w:r>
        <w:t xml:space="preserve">and infrared </w:t>
      </w:r>
      <w:r w:rsidR="00B006BF">
        <w:t>light</w:t>
      </w:r>
      <w:r>
        <w:t>.</w:t>
      </w:r>
    </w:p>
    <w:p w:rsidR="00BB330D" w:rsidRDefault="007745CC" w:rsidP="00973E96">
      <w:pPr>
        <w:pStyle w:val="ParaNumbering"/>
      </w:pPr>
      <w:r>
        <w:t>Electrons present in atoms may exist in different energy states.  The lowest energy state is term</w:t>
      </w:r>
      <w:r w:rsidR="00731DDE">
        <w:t>ed</w:t>
      </w:r>
      <w:r>
        <w:t xml:space="preserve"> the “ground state”</w:t>
      </w:r>
      <w:r w:rsidR="00731DDE">
        <w:t>.  Other</w:t>
      </w:r>
      <w:r>
        <w:t xml:space="preserve"> energy states are referred to as “excited states”.  The relaxation transitions of excited electrons in atoms </w:t>
      </w:r>
      <w:r w:rsidR="0033405E">
        <w:t>are</w:t>
      </w:r>
      <w:r>
        <w:t xml:space="preserve"> a common source of luminescence</w:t>
      </w:r>
      <w:r w:rsidR="00BB330D">
        <w:t xml:space="preserve">.  </w:t>
      </w:r>
    </w:p>
    <w:p w:rsidR="007745CC" w:rsidRDefault="00BB330D" w:rsidP="00973E96">
      <w:pPr>
        <w:pStyle w:val="ParaNumbering"/>
      </w:pPr>
      <w:r>
        <w:lastRenderedPageBreak/>
        <w:t>Luminescence is</w:t>
      </w:r>
      <w:r w:rsidR="007745CC">
        <w:t xml:space="preserve"> the </w:t>
      </w:r>
      <w:r w:rsidR="00400559">
        <w:t xml:space="preserve">emission of electromagnetic radiation </w:t>
      </w:r>
      <w:r>
        <w:t>where</w:t>
      </w:r>
      <w:r w:rsidR="007745CC">
        <w:t xml:space="preserve"> the </w:t>
      </w:r>
      <w:r w:rsidR="00400559">
        <w:t>excitation process is not due to heat.</w:t>
      </w:r>
    </w:p>
    <w:p w:rsidR="007745CC" w:rsidRDefault="007745CC" w:rsidP="00973E96">
      <w:pPr>
        <w:pStyle w:val="ParaNumbering"/>
      </w:pPr>
      <w:r>
        <w:t>Photoluminescence is the emission of light after the absorption of photons.  When a photon is absorbed, the electron is excited to a higher energy state.  Light emission is one of the ways in which the electrons can return to their ground state.</w:t>
      </w:r>
    </w:p>
    <w:p w:rsidR="0078281B" w:rsidRDefault="0078281B" w:rsidP="00973E96">
      <w:pPr>
        <w:pStyle w:val="ParaNumbering"/>
      </w:pPr>
      <w:r>
        <w:t>The wavelength of the absorbed light is determined by the energy difference between the two states of the transition.  Similarly, the wavelength of the emitted light is determined by the energy difference between the two states of the transition.  Usually, but not in every case, the light emitted is of a different wave</w:t>
      </w:r>
      <w:r w:rsidR="00400559">
        <w:t xml:space="preserve">length to the light absorbed. </w:t>
      </w:r>
    </w:p>
    <w:p w:rsidR="0078281B" w:rsidRDefault="0078281B" w:rsidP="00973E96">
      <w:pPr>
        <w:pStyle w:val="ParaNumbering"/>
      </w:pPr>
      <w:r>
        <w:t xml:space="preserve">Fluorescence </w:t>
      </w:r>
      <w:r w:rsidR="00731DDE">
        <w:t>is</w:t>
      </w:r>
      <w:r>
        <w:t xml:space="preserve"> photoluminescence in which a photon is absorbed by a substance (for example, an atom, ion or molecule) and a photon is emitted from that substance.  The wavelength of the omitted photon is usually longer than the wave</w:t>
      </w:r>
      <w:r w:rsidR="00400559">
        <w:t>length of the absorbed photon.</w:t>
      </w:r>
    </w:p>
    <w:p w:rsidR="004D63D4" w:rsidRDefault="004D63D4" w:rsidP="004D63D4">
      <w:pPr>
        <w:pStyle w:val="Heading2"/>
      </w:pPr>
      <w:r>
        <w:t>Diodes</w:t>
      </w:r>
    </w:p>
    <w:p w:rsidR="004D63D4" w:rsidRDefault="004D63D4" w:rsidP="00973E96">
      <w:pPr>
        <w:pStyle w:val="ParaNumbering"/>
      </w:pPr>
      <w:r>
        <w:t>A diode is an electronic component with two terminals.  Most electronic diodes are made with semiconductor materials.</w:t>
      </w:r>
    </w:p>
    <w:p w:rsidR="004D63D4" w:rsidRDefault="004D63D4" w:rsidP="00973E96">
      <w:pPr>
        <w:pStyle w:val="ParaNumbering"/>
      </w:pPr>
      <w:r>
        <w:t>Diodes have low resistance to electrical current in one direction (the forward direction) and high resistance in the other d</w:t>
      </w:r>
      <w:r w:rsidR="00400559">
        <w:t>irection (the reverse direction</w:t>
      </w:r>
      <w:r>
        <w:t>).  In effect, this means that diodes conduct electrical current only in the forward direction.</w:t>
      </w:r>
    </w:p>
    <w:p w:rsidR="004D63D4" w:rsidRDefault="004D63D4" w:rsidP="00973E96">
      <w:pPr>
        <w:pStyle w:val="ParaNumbering"/>
      </w:pPr>
      <w:r>
        <w:t>A light emitting diode is a particular design of a diode where the forward current is turned into light emission.  In other words, the diode produces luminescence.  Not all semiconductor diodes are light emitting diodes.</w:t>
      </w:r>
    </w:p>
    <w:p w:rsidR="00CF79CE" w:rsidRDefault="00CF79CE" w:rsidP="00CF79CE">
      <w:pPr>
        <w:pStyle w:val="Heading2"/>
      </w:pPr>
      <w:r>
        <w:t>Semiconductors</w:t>
      </w:r>
    </w:p>
    <w:p w:rsidR="004D63D4" w:rsidRDefault="00CF79CE" w:rsidP="004D63D4">
      <w:pPr>
        <w:pStyle w:val="ParaNumbering"/>
        <w:tabs>
          <w:tab w:val="clear" w:pos="720"/>
        </w:tabs>
      </w:pPr>
      <w:r>
        <w:t xml:space="preserve">A semiconductor is an element or compound used in electrical powered devices that has </w:t>
      </w:r>
      <w:r w:rsidR="00731DDE">
        <w:t xml:space="preserve">a degree of </w:t>
      </w:r>
      <w:r>
        <w:t xml:space="preserve">electrical conductivity </w:t>
      </w:r>
      <w:r w:rsidR="00BB330D">
        <w:t xml:space="preserve">somewhere </w:t>
      </w:r>
      <w:r>
        <w:t>between an electrical insulator and an e</w:t>
      </w:r>
      <w:r w:rsidR="00BB330D">
        <w:t>lectrical conductor.  Some semi</w:t>
      </w:r>
      <w:r>
        <w:t>conduct</w:t>
      </w:r>
      <w:r w:rsidR="00BB330D">
        <w:t>or</w:t>
      </w:r>
      <w:r>
        <w:t xml:space="preserve"> devices (such as a </w:t>
      </w:r>
      <w:r w:rsidR="004D63D4">
        <w:t xml:space="preserve">light emitting </w:t>
      </w:r>
      <w:r>
        <w:t>diode</w:t>
      </w:r>
      <w:r w:rsidR="00BB330D">
        <w:t>)</w:t>
      </w:r>
      <w:r w:rsidR="00400559">
        <w:t xml:space="preserve"> can produce luminescence.</w:t>
      </w:r>
      <w:r w:rsidR="004D63D4">
        <w:t xml:space="preserve"> </w:t>
      </w:r>
    </w:p>
    <w:p w:rsidR="00CF79CE" w:rsidRDefault="00CF79CE" w:rsidP="00CF79CE">
      <w:pPr>
        <w:pStyle w:val="ParaNumbering"/>
      </w:pPr>
      <w:r>
        <w:t xml:space="preserve">Compound semiconductors comprise two or more elements.  The precise ratios of the elements must remain uniform throughout the compound semiconductor.  A particular </w:t>
      </w:r>
      <w:r>
        <w:lastRenderedPageBreak/>
        <w:t>compound can be a semiconductor even though its constituent elements are not</w:t>
      </w:r>
      <w:r w:rsidR="00BB330D">
        <w:t xml:space="preserve"> semiconductors</w:t>
      </w:r>
      <w:r w:rsidR="00400559">
        <w:t xml:space="preserve">. </w:t>
      </w:r>
    </w:p>
    <w:p w:rsidR="00CF79CE" w:rsidRDefault="00CF79CE" w:rsidP="00CF79CE">
      <w:pPr>
        <w:pStyle w:val="ParaNumbering"/>
      </w:pPr>
      <w:r>
        <w:t xml:space="preserve">A nitride compound semiconductor is linked to the family known as the group-III nitrides.  </w:t>
      </w:r>
      <w:r w:rsidR="0057347C">
        <w:t>Al, Ga and In</w:t>
      </w:r>
      <w:r>
        <w:t xml:space="preserve"> are metal </w:t>
      </w:r>
      <w:r w:rsidR="00400559">
        <w:t>elements from group-III of the p</w:t>
      </w:r>
      <w:r>
        <w:t xml:space="preserve">eriodic </w:t>
      </w:r>
      <w:r w:rsidR="00400559">
        <w:t>t</w:t>
      </w:r>
      <w:r>
        <w:t>able.  They have similar but not identical chemical properties.  The nitride compound semiconductors form when Al, Ga, or In chemically bond to N in a 1:1 ratio to form a crystal structure that has semiconducting properties.  In addition to the three binary compounds (</w:t>
      </w:r>
      <w:proofErr w:type="spellStart"/>
      <w:r>
        <w:t>AlN</w:t>
      </w:r>
      <w:proofErr w:type="spellEnd"/>
      <w:r>
        <w:t xml:space="preserve">, </w:t>
      </w:r>
      <w:proofErr w:type="spellStart"/>
      <w:r>
        <w:t>GaN</w:t>
      </w:r>
      <w:proofErr w:type="spellEnd"/>
      <w:r>
        <w:t xml:space="preserve">, </w:t>
      </w:r>
      <w:proofErr w:type="spellStart"/>
      <w:r>
        <w:t>InN</w:t>
      </w:r>
      <w:proofErr w:type="spellEnd"/>
      <w:r>
        <w:t xml:space="preserve">), mixtures can be made.  For example, </w:t>
      </w:r>
      <w:proofErr w:type="spellStart"/>
      <w:r w:rsidR="00532853">
        <w:t>In</w:t>
      </w:r>
      <w:r w:rsidR="00532853" w:rsidRPr="00532853">
        <w:rPr>
          <w:vertAlign w:val="subscript"/>
        </w:rPr>
        <w:t>x</w:t>
      </w:r>
      <w:r w:rsidR="00532853">
        <w:t>Ga</w:t>
      </w:r>
      <w:r w:rsidR="00532853" w:rsidRPr="00532853">
        <w:rPr>
          <w:vertAlign w:val="subscript"/>
        </w:rPr>
        <w:t>1</w:t>
      </w:r>
      <w:r w:rsidR="00532853" w:rsidRPr="00A37166">
        <w:rPr>
          <w:vertAlign w:val="subscript"/>
        </w:rPr>
        <w:t>-x</w:t>
      </w:r>
      <w:r w:rsidR="00532853">
        <w:t>N</w:t>
      </w:r>
      <w:proofErr w:type="spellEnd"/>
      <w:r w:rsidR="00532853">
        <w:t xml:space="preserve"> is a nitride compound semiconductor, being a mixture of </w:t>
      </w:r>
      <w:proofErr w:type="spellStart"/>
      <w:r w:rsidR="00532853">
        <w:t>InN</w:t>
      </w:r>
      <w:proofErr w:type="spellEnd"/>
      <w:r w:rsidR="00532853">
        <w:t xml:space="preserve"> and </w:t>
      </w:r>
      <w:proofErr w:type="spellStart"/>
      <w:r w:rsidR="00532853">
        <w:t>GaN</w:t>
      </w:r>
      <w:proofErr w:type="spellEnd"/>
      <w:r w:rsidR="00532853">
        <w:t>, where the ratio o</w:t>
      </w:r>
      <w:r w:rsidR="00A37166">
        <w:t xml:space="preserve">f </w:t>
      </w:r>
      <w:proofErr w:type="spellStart"/>
      <w:r w:rsidR="00A37166">
        <w:t>InN</w:t>
      </w:r>
      <w:proofErr w:type="spellEnd"/>
      <w:r w:rsidR="00A37166">
        <w:t xml:space="preserve"> and </w:t>
      </w:r>
      <w:proofErr w:type="spellStart"/>
      <w:r w:rsidR="00A37166">
        <w:t>GaN</w:t>
      </w:r>
      <w:proofErr w:type="spellEnd"/>
      <w:r w:rsidR="00A37166">
        <w:t xml:space="preserve"> is determined by </w:t>
      </w:r>
      <w:r w:rsidR="00A37166" w:rsidRPr="00A37166">
        <w:rPr>
          <w:i/>
        </w:rPr>
        <w:t>x</w:t>
      </w:r>
      <w:r w:rsidR="00400559">
        <w:t>.</w:t>
      </w:r>
    </w:p>
    <w:p w:rsidR="00532853" w:rsidRDefault="00532853" w:rsidP="00532853">
      <w:pPr>
        <w:pStyle w:val="Heading2"/>
      </w:pPr>
      <w:r>
        <w:t>Phosphors</w:t>
      </w:r>
    </w:p>
    <w:p w:rsidR="0078281B" w:rsidRDefault="00532853" w:rsidP="00D622E2">
      <w:pPr>
        <w:pStyle w:val="ParaNumbering"/>
      </w:pPr>
      <w:r>
        <w:t>A phosphor is a substance that exhibits luminescence when suitably excited.</w:t>
      </w:r>
      <w:r w:rsidR="00D622E2">
        <w:t xml:space="preserve"> </w:t>
      </w:r>
    </w:p>
    <w:p w:rsidR="0078281B" w:rsidRDefault="00D622E2" w:rsidP="00D622E2">
      <w:pPr>
        <w:pStyle w:val="ParaNumbering"/>
      </w:pPr>
      <w:r>
        <w:t>Phosphors often have two components.  The first is the luminescent centre</w:t>
      </w:r>
      <w:r w:rsidR="0078281B">
        <w:t xml:space="preserve">, </w:t>
      </w:r>
      <w:r>
        <w:t>sometimes</w:t>
      </w:r>
      <w:r w:rsidR="0078281B">
        <w:t xml:space="preserve"> called the dopant or activator (I will use the term “activator”)</w:t>
      </w:r>
      <w:r>
        <w:t>.  The second is the host matrix or host crystal lattice</w:t>
      </w:r>
      <w:r w:rsidR="00400559">
        <w:t xml:space="preserve"> (I will use the term “host matrix”)</w:t>
      </w:r>
      <w:r>
        <w:t>.  The activator is usually a particular element, which will often be in an</w:t>
      </w:r>
      <w:r w:rsidR="00400559">
        <w:t xml:space="preserve"> ion form in the host matrix.</w:t>
      </w:r>
      <w:r w:rsidR="0078281B">
        <w:t xml:space="preserve"> </w:t>
      </w:r>
    </w:p>
    <w:p w:rsidR="00D622E2" w:rsidRDefault="0078281B" w:rsidP="00D622E2">
      <w:pPr>
        <w:pStyle w:val="ParaNumbering"/>
      </w:pPr>
      <w:r>
        <w:t xml:space="preserve">In general, the host matrix does not absorb visible light and therefore cannot act as a phosphor, until it is “activated” by a suitable substance.  The activator is deliberately chosen to have absorption and emission </w:t>
      </w:r>
      <w:r w:rsidR="0033405E">
        <w:t xml:space="preserve">energies required for a particular application.  In general, the activator does not influence the host matrix, as it is included in low concentrations and is chemically compatible with atoms of the host matrix.  However, the energies </w:t>
      </w:r>
      <w:r w:rsidR="00400559">
        <w:t>(</w:t>
      </w:r>
      <w:r w:rsidR="0033405E">
        <w:t>or wavelengths</w:t>
      </w:r>
      <w:r w:rsidR="00400559">
        <w:t>)</w:t>
      </w:r>
      <w:r w:rsidR="0033405E">
        <w:t xml:space="preserve"> of the electronic transitions of activator atoms are influenced by the host matrix.  Thus, for a given activator, the exact wavelengths of absorption and emission will change </w:t>
      </w:r>
      <w:r w:rsidR="00400559">
        <w:t>with different host matrixes.</w:t>
      </w:r>
    </w:p>
    <w:p w:rsidR="00731DDE" w:rsidRDefault="0057347C" w:rsidP="00D622E2">
      <w:pPr>
        <w:pStyle w:val="ParaNumbering"/>
      </w:pPr>
      <w:r>
        <w:t>Ce</w:t>
      </w:r>
      <w:r w:rsidR="00400559">
        <w:t xml:space="preserve"> is an activator.</w:t>
      </w:r>
      <w:r w:rsidR="00731DDE">
        <w:t xml:space="preserve"> </w:t>
      </w:r>
    </w:p>
    <w:p w:rsidR="00D622E2" w:rsidRDefault="00D622E2" w:rsidP="0078281B">
      <w:pPr>
        <w:pStyle w:val="ParaNumbering"/>
      </w:pPr>
      <w:r>
        <w:t>The general role of a phosphor</w:t>
      </w:r>
      <w:r w:rsidR="0033405E">
        <w:t>,</w:t>
      </w:r>
      <w:r>
        <w:t xml:space="preserve"> when used with a light emitting diode</w:t>
      </w:r>
      <w:r w:rsidR="0033405E">
        <w:t>,</w:t>
      </w:r>
      <w:r>
        <w:t xml:space="preserve"> is to change the overall emission wavelengths emitted from the integrated device.  It achieves this by the activator ab</w:t>
      </w:r>
      <w:r w:rsidR="00400559">
        <w:t>sorbing photons emitted by the light emitting diode</w:t>
      </w:r>
      <w:r>
        <w:t xml:space="preserve"> semiconductor to produce excited states of the activator.  The activator subsequently relaxes back to its original ground state by emitting photons of a different energy, and hence of a different colour to that absorbed.  A key requirement of the phosphor is having an activator with absorption </w:t>
      </w:r>
      <w:r>
        <w:lastRenderedPageBreak/>
        <w:t xml:space="preserve">transitions that match the </w:t>
      </w:r>
      <w:r w:rsidR="00400559">
        <w:t>light emitting diode</w:t>
      </w:r>
      <w:r>
        <w:t xml:space="preserve"> emission, and having emission transitions at energies corresponding to the desired new colours.</w:t>
      </w:r>
    </w:p>
    <w:p w:rsidR="00D622E2" w:rsidRDefault="0005390E" w:rsidP="00D622E2">
      <w:pPr>
        <w:pStyle w:val="Heading2"/>
      </w:pPr>
      <w:r>
        <w:t>Garne</w:t>
      </w:r>
      <w:r w:rsidR="00D622E2">
        <w:t>t</w:t>
      </w:r>
    </w:p>
    <w:p w:rsidR="00D622E2" w:rsidRDefault="0005390E" w:rsidP="00D622E2">
      <w:pPr>
        <w:pStyle w:val="ParaNumbering"/>
      </w:pPr>
      <w:r>
        <w:t xml:space="preserve">Garnet is a general classification name for a class of natural gemstones that have oxygen forming </w:t>
      </w:r>
      <w:proofErr w:type="spellStart"/>
      <w:r>
        <w:t>tetrahedra</w:t>
      </w:r>
      <w:proofErr w:type="spellEnd"/>
      <w:r>
        <w:t xml:space="preserve"> with </w:t>
      </w:r>
      <w:r w:rsidR="00400559">
        <w:t>Si</w:t>
      </w:r>
      <w:r>
        <w:t xml:space="preserve"> at the centre.  The general chemical formula for a natural garnet is </w:t>
      </w:r>
      <w:proofErr w:type="spellStart"/>
      <w:r>
        <w:t>X</w:t>
      </w:r>
      <w:r w:rsidRPr="0005390E">
        <w:rPr>
          <w:vertAlign w:val="subscript"/>
        </w:rPr>
        <w:t>3</w:t>
      </w:r>
      <w:r>
        <w:t>Z</w:t>
      </w:r>
      <w:r w:rsidRPr="0005390E">
        <w:rPr>
          <w:vertAlign w:val="subscript"/>
        </w:rPr>
        <w:t>2</w:t>
      </w:r>
      <w:proofErr w:type="spellEnd"/>
      <w:r>
        <w:t>(</w:t>
      </w:r>
      <w:proofErr w:type="spellStart"/>
      <w:r>
        <w:t>SiO</w:t>
      </w:r>
      <w:r w:rsidRPr="0005390E">
        <w:rPr>
          <w:vertAlign w:val="subscript"/>
        </w:rPr>
        <w:t>4</w:t>
      </w:r>
      <w:proofErr w:type="spellEnd"/>
      <w:r>
        <w:t>)</w:t>
      </w:r>
      <w:r w:rsidRPr="0005390E">
        <w:rPr>
          <w:vertAlign w:val="subscript"/>
        </w:rPr>
        <w:t>3</w:t>
      </w:r>
      <w:r>
        <w:t>.</w:t>
      </w:r>
    </w:p>
    <w:p w:rsidR="0005390E" w:rsidRDefault="0005390E" w:rsidP="00D622E2">
      <w:pPr>
        <w:pStyle w:val="ParaNumbering"/>
      </w:pPr>
      <w:r>
        <w:t xml:space="preserve">In addition to natural garnets, a number of synthetic garnets have been fabricated following the same general chemical formula given above.  One such synthetic garnet is </w:t>
      </w:r>
      <w:proofErr w:type="spellStart"/>
      <w:r w:rsidRPr="006E32D9">
        <w:rPr>
          <w:b/>
        </w:rPr>
        <w:t>YAG</w:t>
      </w:r>
      <w:proofErr w:type="spellEnd"/>
      <w:r>
        <w:t xml:space="preserve"> – an </w:t>
      </w:r>
      <w:r w:rsidR="00B41C2E">
        <w:t xml:space="preserve">acronym for yttrium aluminium garnet.  </w:t>
      </w:r>
      <w:proofErr w:type="spellStart"/>
      <w:r w:rsidR="00B41C2E">
        <w:t>YAG</w:t>
      </w:r>
      <w:proofErr w:type="spellEnd"/>
      <w:r w:rsidR="00B41C2E">
        <w:t xml:space="preserve"> is represented by the chemical formula </w:t>
      </w:r>
      <w:proofErr w:type="spellStart"/>
      <w:r w:rsidR="00B41C2E">
        <w:t>Y</w:t>
      </w:r>
      <w:r w:rsidR="00B41C2E" w:rsidRPr="00B41C2E">
        <w:rPr>
          <w:vertAlign w:val="subscript"/>
        </w:rPr>
        <w:t>3</w:t>
      </w:r>
      <w:r w:rsidR="00B41C2E">
        <w:t>Al</w:t>
      </w:r>
      <w:r w:rsidR="00B41C2E" w:rsidRPr="00B41C2E">
        <w:rPr>
          <w:vertAlign w:val="subscript"/>
        </w:rPr>
        <w:t>5</w:t>
      </w:r>
      <w:r w:rsidR="00B41C2E">
        <w:t>O</w:t>
      </w:r>
      <w:r w:rsidR="00B41C2E" w:rsidRPr="00B41C2E">
        <w:rPr>
          <w:vertAlign w:val="subscript"/>
        </w:rPr>
        <w:t>12</w:t>
      </w:r>
      <w:proofErr w:type="spellEnd"/>
      <w:r w:rsidR="00B41C2E">
        <w:t xml:space="preserve"> which can be written in the general garnet formula as </w:t>
      </w:r>
      <w:proofErr w:type="spellStart"/>
      <w:r w:rsidR="00B41C2E">
        <w:t>Y</w:t>
      </w:r>
      <w:r w:rsidR="00B41C2E" w:rsidRPr="00B41C2E">
        <w:rPr>
          <w:vertAlign w:val="subscript"/>
        </w:rPr>
        <w:t>3</w:t>
      </w:r>
      <w:r w:rsidR="00B41C2E">
        <w:t>Al</w:t>
      </w:r>
      <w:r w:rsidR="00B41C2E" w:rsidRPr="00B41C2E">
        <w:rPr>
          <w:vertAlign w:val="subscript"/>
        </w:rPr>
        <w:t>2</w:t>
      </w:r>
      <w:proofErr w:type="spellEnd"/>
      <w:r w:rsidR="00B41C2E">
        <w:t>(</w:t>
      </w:r>
      <w:proofErr w:type="spellStart"/>
      <w:r w:rsidR="00B41C2E">
        <w:t>AlO</w:t>
      </w:r>
      <w:r w:rsidR="00B41C2E" w:rsidRPr="00B41C2E">
        <w:rPr>
          <w:vertAlign w:val="subscript"/>
        </w:rPr>
        <w:t>4</w:t>
      </w:r>
      <w:proofErr w:type="spellEnd"/>
      <w:r w:rsidR="00B41C2E">
        <w:t>)</w:t>
      </w:r>
      <w:r w:rsidR="00B41C2E" w:rsidRPr="00B41C2E">
        <w:rPr>
          <w:vertAlign w:val="subscript"/>
        </w:rPr>
        <w:t>3</w:t>
      </w:r>
      <w:r w:rsidR="00B41C2E">
        <w:t>.</w:t>
      </w:r>
    </w:p>
    <w:p w:rsidR="00263BB5" w:rsidRDefault="00B41C2E" w:rsidP="00263BB5">
      <w:pPr>
        <w:pStyle w:val="ParaNumbering"/>
      </w:pPr>
      <w:r>
        <w:t>Garnets are crystalline materials.  This means the elements in the garnet structure have a periodic arrangement.  At the heart of a crystal structure is a single unit that represents the re</w:t>
      </w:r>
      <w:r w:rsidR="00781979">
        <w:t>peating pattern of the crystal.</w:t>
      </w:r>
    </w:p>
    <w:p w:rsidR="00F935B7" w:rsidRDefault="00F935B7" w:rsidP="00D77FB4">
      <w:pPr>
        <w:pStyle w:val="Heading1"/>
      </w:pPr>
      <w:r>
        <w:t xml:space="preserve">The </w:t>
      </w:r>
      <w:r w:rsidR="00D43616">
        <w:t>3</w:t>
      </w:r>
      <w:r w:rsidR="00C0280F">
        <w:t>5</w:t>
      </w:r>
      <w:r w:rsidR="00D43616">
        <w:t xml:space="preserve">5 </w:t>
      </w:r>
      <w:r>
        <w:t>specification</w:t>
      </w:r>
    </w:p>
    <w:p w:rsidR="00D622E2" w:rsidRPr="005004A2" w:rsidRDefault="00D622E2" w:rsidP="00D622E2">
      <w:pPr>
        <w:pStyle w:val="ParaNumbering"/>
      </w:pPr>
      <w:r>
        <w:t xml:space="preserve">The </w:t>
      </w:r>
      <w:r w:rsidR="00C0280F">
        <w:t>355</w:t>
      </w:r>
      <w:r w:rsidR="00D43616">
        <w:t xml:space="preserve"> </w:t>
      </w:r>
      <w:r>
        <w:t>specification describes the invention as one relating to a light emitting diode used in a light emitting device, comprising a phosphor which converts the wavelength of light emitted by a light emitti</w:t>
      </w:r>
      <w:r w:rsidR="00B54B4C">
        <w:t>ng component, and emits light.</w:t>
      </w:r>
    </w:p>
    <w:p w:rsidR="00532853" w:rsidRDefault="00D622E2" w:rsidP="00532853">
      <w:pPr>
        <w:pStyle w:val="ParaNumbering"/>
      </w:pPr>
      <w:r>
        <w:t>The specification describes the benefits of li</w:t>
      </w:r>
      <w:r w:rsidR="00B54B4C">
        <w:t>ght emitting diodes as follows:</w:t>
      </w:r>
    </w:p>
    <w:p w:rsidR="004B0358" w:rsidRDefault="004B0358" w:rsidP="004B0358">
      <w:pPr>
        <w:pStyle w:val="Quote1"/>
      </w:pPr>
      <w:r>
        <w:t xml:space="preserve">A light emitting diode is compact and emits light of clear </w:t>
      </w:r>
      <w:proofErr w:type="spellStart"/>
      <w:r>
        <w:t>color</w:t>
      </w:r>
      <w:proofErr w:type="spellEnd"/>
      <w:r>
        <w:t xml:space="preserve"> with high efficiency.  It is also free from such a trouble as burn-out and has good initial drive characteristic, high vibration resistance and durability to endure repetitive ON/OFF operations, because it is a semiconductor element.  Thus it has been used widely in such applications as various indicators and various light sources.  Recently light emitting diodes for </w:t>
      </w:r>
      <w:proofErr w:type="spellStart"/>
      <w:r>
        <w:t>RGB</w:t>
      </w:r>
      <w:proofErr w:type="spellEnd"/>
      <w:r>
        <w:t xml:space="preserve"> (red, green and blue) </w:t>
      </w:r>
      <w:proofErr w:type="spellStart"/>
      <w:r>
        <w:t>colors</w:t>
      </w:r>
      <w:proofErr w:type="spellEnd"/>
      <w:r>
        <w:t xml:space="preserve"> having ultra-high luminance and high efficiency have been developed, and large screen LED displays using these light emitting diodes have been put into use.  The LED display can be operated with less power and has such good characteristics as light weight and long life, and is therefore expected to be more widely used in the future.</w:t>
      </w:r>
    </w:p>
    <w:p w:rsidR="00D622E2" w:rsidRDefault="00D622E2" w:rsidP="00532853">
      <w:pPr>
        <w:pStyle w:val="ParaNumbering"/>
      </w:pPr>
      <w:r>
        <w:t>The specification discloses that various attempts have been made to make white light sources using light emitting diodes.  It explains that, although light emitting diodes are effective as light emitting devices for generating individual colours,</w:t>
      </w:r>
      <w:r w:rsidR="00545A80">
        <w:t xml:space="preserve"> such as red, green and blue,</w:t>
      </w:r>
      <w:r>
        <w:t xml:space="preserve"> a satisfactory light source capable of emitting white light by using light emitting com</w:t>
      </w:r>
      <w:r w:rsidR="00B54B4C">
        <w:t>ponents has not been obtained.</w:t>
      </w:r>
    </w:p>
    <w:p w:rsidR="00827DBE" w:rsidRDefault="00827DBE" w:rsidP="00532853">
      <w:pPr>
        <w:pStyle w:val="ParaNumbering"/>
      </w:pPr>
      <w:r>
        <w:lastRenderedPageBreak/>
        <w:t xml:space="preserve">The specification discloses that the applicant has developed light emitting diodes which convert the colour of light, emitted by light emitting components, using certain fluorescent materials disclosed in certain Japanese patents.  The specification teaches, however, that these arrangements </w:t>
      </w:r>
      <w:r w:rsidR="00D622E2">
        <w:t>ha</w:t>
      </w:r>
      <w:r w:rsidR="00781979">
        <w:t>ve</w:t>
      </w:r>
      <w:r w:rsidR="00D622E2">
        <w:t xml:space="preserve"> certain problems</w:t>
      </w:r>
      <w:r>
        <w:t>, including the deterioration or degradation of the fluorescent material</w:t>
      </w:r>
      <w:r w:rsidR="00B54B4C">
        <w:t>.</w:t>
      </w:r>
      <w:r>
        <w:t xml:space="preserve"> </w:t>
      </w:r>
    </w:p>
    <w:p w:rsidR="000725AB" w:rsidRDefault="00D622E2" w:rsidP="00532853">
      <w:pPr>
        <w:pStyle w:val="ParaNumbering"/>
      </w:pPr>
      <w:r>
        <w:t>The present invention is said to provide an alternative to known light emitting devices and displays.  It aims to alleviate at least one of the problems referred to in the specification and provides a light emitting device which experiences only extremely low degrees of deterioration in emission light intensity, light emission efficiency and colour shift over a long time of use</w:t>
      </w:r>
      <w:r w:rsidR="00827DBE">
        <w:t>,</w:t>
      </w:r>
      <w:r w:rsidR="00B54B4C">
        <w:t xml:space="preserve"> with high luminance.</w:t>
      </w:r>
    </w:p>
    <w:p w:rsidR="00E62E49" w:rsidRDefault="000725AB" w:rsidP="00532853">
      <w:pPr>
        <w:pStyle w:val="ParaNumbering"/>
      </w:pPr>
      <w:r>
        <w:t>The specification co</w:t>
      </w:r>
      <w:r w:rsidR="00B54B4C">
        <w:t>ntains the following teaching:</w:t>
      </w:r>
    </w:p>
    <w:p w:rsidR="00CB2D8B" w:rsidRDefault="00CB2D8B" w:rsidP="00CB2D8B">
      <w:pPr>
        <w:pStyle w:val="Quote1"/>
      </w:pPr>
      <w:r>
        <w:t xml:space="preserve">Generally, a fluorescent material which absorbs light of a short wavelength and emits light of a long wavelength has higher efficiency than a </w:t>
      </w:r>
      <w:r w:rsidR="008B1485">
        <w:t>fluorescent material</w:t>
      </w:r>
      <w:r>
        <w:t xml:space="preserve"> which absorbs light of a long wavelength and emits light of a short wavelength.  It is preferable to use a light emitting component which emits visible light than a light emitting component which emits ultraviolet light that degrades resin (</w:t>
      </w:r>
      <w:proofErr w:type="spellStart"/>
      <w:r>
        <w:t>molding</w:t>
      </w:r>
      <w:proofErr w:type="spellEnd"/>
      <w:r>
        <w:t xml:space="preserve"> material, coating material, etc.)</w:t>
      </w:r>
      <w:r w:rsidR="008B1485">
        <w:t>.</w:t>
      </w:r>
      <w:r>
        <w:t xml:space="preserve">  Thus for the light emitting diode of the present invention, for the purpose of improving the light emitting efficiency and ensure long life, it is </w:t>
      </w:r>
      <w:r w:rsidR="008B1485">
        <w:t>preferable</w:t>
      </w:r>
      <w:r>
        <w:t xml:space="preserve"> that main emission peak of the light emitting component</w:t>
      </w:r>
      <w:r w:rsidR="008B1485">
        <w:t xml:space="preserve"> be set within a relatively short wavelength range of 400 nm to 530 nm in the visible light region, and main emission wavelength of the phosphor be set to be longer than the main emission peak of the light emitting component.  With this arrangement, because light converted by the fluorescent material has longer wavelength than that of light emitted by the light emitting component, it will not be absorbed by the light emitting component even when the light emitting component is irradiated with light which has been reflected and converted by the fluorescent material (since the energy of the converted light is less than the band gap energy).  Thus the light which has been reflected by the fluorescent material or the like is reflected by the cup wherein the light emitting component is mounted, making higher efficiency of emission possible.</w:t>
      </w:r>
    </w:p>
    <w:p w:rsidR="00400559" w:rsidRDefault="00400559" w:rsidP="00CB2D8B">
      <w:pPr>
        <w:pStyle w:val="Quote1"/>
      </w:pPr>
    </w:p>
    <w:p w:rsidR="00400559" w:rsidRDefault="00400559" w:rsidP="00CB2D8B">
      <w:pPr>
        <w:pStyle w:val="Quote1"/>
      </w:pPr>
      <w:r>
        <w:t>(Errors in original.)</w:t>
      </w:r>
    </w:p>
    <w:p w:rsidR="000725AB" w:rsidRDefault="000725AB" w:rsidP="00532853">
      <w:pPr>
        <w:pStyle w:val="ParaNumbering"/>
      </w:pPr>
      <w:r>
        <w:t xml:space="preserve">The specification describes a first embodiment of the invention, which is a light emitting diode that employs a gallium nitride compound semiconductor element, which is capable of emitting blue light, in combination with a garnet phosphor activated with </w:t>
      </w:r>
      <w:r w:rsidR="00A37166">
        <w:t>Ce</w:t>
      </w:r>
      <w:r>
        <w:t xml:space="preserve">.  When activated, the phosphor is excited by the blue light emitted by the semiconductor element and emits yellow light.  The blue light and the yellow </w:t>
      </w:r>
      <w:r w:rsidR="00400559">
        <w:t xml:space="preserve">light </w:t>
      </w:r>
      <w:r>
        <w:t>blend to produce white light</w:t>
      </w:r>
      <w:r w:rsidR="00A37166">
        <w:t>:  see [</w:t>
      </w:r>
      <w:r w:rsidR="00400559">
        <w:t>49</w:t>
      </w:r>
      <w:r w:rsidR="00A37166">
        <w:t>]</w:t>
      </w:r>
      <w:r w:rsidR="00400559">
        <w:t>-[50]</w:t>
      </w:r>
      <w:r w:rsidR="00A37166">
        <w:t xml:space="preserve"> below.</w:t>
      </w:r>
    </w:p>
    <w:p w:rsidR="000446AC" w:rsidRDefault="000725AB" w:rsidP="00532853">
      <w:pPr>
        <w:pStyle w:val="ParaNumbering"/>
      </w:pPr>
      <w:r>
        <w:lastRenderedPageBreak/>
        <w:t xml:space="preserve">For this embodiment, the specification expresses a preference for a phosphor which is an yttrium-aluminium-garnet fluorescent material (a </w:t>
      </w:r>
      <w:proofErr w:type="spellStart"/>
      <w:r>
        <w:t>YAG</w:t>
      </w:r>
      <w:proofErr w:type="spellEnd"/>
      <w:r>
        <w:t xml:space="preserve"> phosphor) activated with </w:t>
      </w:r>
      <w:r w:rsidR="00A37166">
        <w:t>Ce</w:t>
      </w:r>
      <w:r w:rsidR="000446AC">
        <w:t>.  The</w:t>
      </w:r>
      <w:r>
        <w:t xml:space="preserve"> fluorescent material having the gene</w:t>
      </w:r>
      <w:r w:rsidR="000446AC">
        <w:t>ral formula set out in claim 3</w:t>
      </w:r>
      <w:r w:rsidR="00B54B4C">
        <w:t xml:space="preserve"> is specifically referred to.</w:t>
      </w:r>
      <w:r>
        <w:t xml:space="preserve"> </w:t>
      </w:r>
    </w:p>
    <w:p w:rsidR="000725AB" w:rsidRDefault="000725AB" w:rsidP="00532853">
      <w:pPr>
        <w:pStyle w:val="ParaNumbering"/>
      </w:pPr>
      <w:r>
        <w:t>The specification teaches that the wavelength of the emitted light can be shifted to a shorter wavelength by substituting</w:t>
      </w:r>
      <w:r w:rsidR="000446AC">
        <w:t xml:space="preserve"> part of the Al in the phosphor with Ga.  The specification also teaches that the wavelength of the emitted light can be shifted to a longer wavelength by substituting part of Y in the semiconductor with Gd.  In this way, the colour of the emitted light can be changed.</w:t>
      </w:r>
    </w:p>
    <w:p w:rsidR="003255A5" w:rsidRDefault="00A37166" w:rsidP="00532853">
      <w:pPr>
        <w:pStyle w:val="ParaNumbering"/>
      </w:pPr>
      <w:r>
        <w:t xml:space="preserve">Claims 1 and 3 are set out </w:t>
      </w:r>
      <w:r w:rsidR="00B54B4C">
        <w:t>at</w:t>
      </w:r>
      <w:r>
        <w:t xml:space="preserve"> [3]-[4]</w:t>
      </w:r>
      <w:r w:rsidR="003255A5">
        <w:t>.</w:t>
      </w:r>
    </w:p>
    <w:p w:rsidR="00B64436" w:rsidRDefault="00B64436" w:rsidP="00600006">
      <w:pPr>
        <w:pStyle w:val="ParaNumbering"/>
      </w:pPr>
      <w:r>
        <w:t xml:space="preserve">Claim 3 </w:t>
      </w:r>
      <w:r w:rsidR="00A37166">
        <w:t xml:space="preserve">defines </w:t>
      </w:r>
      <w:r>
        <w:t xml:space="preserve">fluorescent material </w:t>
      </w:r>
      <w:r w:rsidR="00A37166">
        <w:t xml:space="preserve">that is </w:t>
      </w:r>
      <w:r>
        <w:t xml:space="preserve">represented by </w:t>
      </w:r>
      <w:r w:rsidR="00A37166">
        <w:t>the</w:t>
      </w:r>
      <w:r>
        <w:t xml:space="preserve"> general formula (</w:t>
      </w:r>
      <w:proofErr w:type="spellStart"/>
      <w:r>
        <w:t>Re</w:t>
      </w:r>
      <w:r w:rsidRPr="00263BB5">
        <w:rPr>
          <w:vertAlign w:val="subscript"/>
        </w:rPr>
        <w:t>1-r</w:t>
      </w:r>
      <w:r>
        <w:t>Sm</w:t>
      </w:r>
      <w:r w:rsidRPr="00263BB5">
        <w:rPr>
          <w:vertAlign w:val="subscript"/>
        </w:rPr>
        <w:t>r</w:t>
      </w:r>
      <w:proofErr w:type="spellEnd"/>
      <w:r>
        <w:t>)</w:t>
      </w:r>
      <w:r w:rsidRPr="00263BB5">
        <w:rPr>
          <w:vertAlign w:val="subscript"/>
        </w:rPr>
        <w:t>3</w:t>
      </w:r>
      <w:r>
        <w:t>(Al</w:t>
      </w:r>
      <w:r w:rsidRPr="00263BB5">
        <w:rPr>
          <w:vertAlign w:val="subscript"/>
        </w:rPr>
        <w:t>l-</w:t>
      </w:r>
      <w:proofErr w:type="spellStart"/>
      <w:r w:rsidRPr="00263BB5">
        <w:rPr>
          <w:vertAlign w:val="subscript"/>
        </w:rPr>
        <w:t>s</w:t>
      </w:r>
      <w:r>
        <w:t>Ga</w:t>
      </w:r>
      <w:r w:rsidRPr="00263BB5">
        <w:rPr>
          <w:vertAlign w:val="subscript"/>
        </w:rPr>
        <w:t>s</w:t>
      </w:r>
      <w:proofErr w:type="spellEnd"/>
      <w:r>
        <w:t>)</w:t>
      </w:r>
      <w:proofErr w:type="spellStart"/>
      <w:r w:rsidRPr="00263BB5">
        <w:rPr>
          <w:vertAlign w:val="subscript"/>
        </w:rPr>
        <w:t>5</w:t>
      </w:r>
      <w:r>
        <w:t>O</w:t>
      </w:r>
      <w:r w:rsidRPr="00263BB5">
        <w:rPr>
          <w:vertAlign w:val="subscript"/>
        </w:rPr>
        <w:t>12</w:t>
      </w:r>
      <w:r>
        <w:t>:Ce</w:t>
      </w:r>
      <w:proofErr w:type="spellEnd"/>
      <w:r>
        <w:t>, where 0</w:t>
      </w:r>
      <w:r w:rsidRPr="00263BB5">
        <w:rPr>
          <w:u w:val="single"/>
        </w:rPr>
        <w:t>&lt;</w:t>
      </w:r>
      <w:r>
        <w:t>r&lt;</w:t>
      </w:r>
      <w:r w:rsidRPr="008D347C">
        <w:t>1</w:t>
      </w:r>
      <w:r>
        <w:t xml:space="preserve"> and 0</w:t>
      </w:r>
      <w:r w:rsidRPr="00263BB5">
        <w:rPr>
          <w:u w:val="single"/>
        </w:rPr>
        <w:t>&lt;</w:t>
      </w:r>
      <w:r>
        <w:t>s</w:t>
      </w:r>
      <w:r w:rsidRPr="00263BB5">
        <w:rPr>
          <w:u w:val="single"/>
        </w:rPr>
        <w:t>&lt;</w:t>
      </w:r>
      <w:r>
        <w:t>1 and Re is at least one selected from Y an</w:t>
      </w:r>
      <w:r w:rsidR="00A37166">
        <w:t>d Gd</w:t>
      </w:r>
      <w:r w:rsidR="00600006">
        <w:t xml:space="preserve">.  </w:t>
      </w:r>
      <w:r>
        <w:t xml:space="preserve">This general formula represents a general description of the composition of a synthetic garnet structure.  The formula unit identifies the ratio of oxygen ions (12) to </w:t>
      </w:r>
      <w:r w:rsidR="00A37166">
        <w:t>“</w:t>
      </w:r>
      <w:r>
        <w:t>large</w:t>
      </w:r>
      <w:r w:rsidR="00A37166">
        <w:t xml:space="preserve">” metal ions (3), identified by the notation </w:t>
      </w:r>
      <w:r>
        <w:t>(</w:t>
      </w:r>
      <w:proofErr w:type="spellStart"/>
      <w:r>
        <w:t>Re</w:t>
      </w:r>
      <w:r w:rsidRPr="00600006">
        <w:rPr>
          <w:vertAlign w:val="subscript"/>
        </w:rPr>
        <w:t>l-r</w:t>
      </w:r>
      <w:r>
        <w:t>Sm</w:t>
      </w:r>
      <w:r w:rsidRPr="00600006">
        <w:rPr>
          <w:vertAlign w:val="subscript"/>
        </w:rPr>
        <w:t>r</w:t>
      </w:r>
      <w:proofErr w:type="spellEnd"/>
      <w:r w:rsidR="00A37166">
        <w:t>)</w:t>
      </w:r>
      <w:r>
        <w:t xml:space="preserve">, to </w:t>
      </w:r>
      <w:r w:rsidR="00A37166">
        <w:t>“</w:t>
      </w:r>
      <w:r>
        <w:t>small</w:t>
      </w:r>
      <w:r w:rsidR="00A37166">
        <w:t>”</w:t>
      </w:r>
      <w:r>
        <w:t xml:space="preserve"> metal ions (5), identified by</w:t>
      </w:r>
      <w:r w:rsidR="00A37166">
        <w:t xml:space="preserve"> the notation </w:t>
      </w:r>
      <w:r>
        <w:t>(</w:t>
      </w:r>
      <w:proofErr w:type="spellStart"/>
      <w:r>
        <w:t>Al</w:t>
      </w:r>
      <w:r w:rsidRPr="00600006">
        <w:rPr>
          <w:vertAlign w:val="subscript"/>
        </w:rPr>
        <w:t>1-s</w:t>
      </w:r>
      <w:r>
        <w:t>Ga</w:t>
      </w:r>
      <w:r w:rsidRPr="00600006">
        <w:rPr>
          <w:vertAlign w:val="subscript"/>
        </w:rPr>
        <w:t>s</w:t>
      </w:r>
      <w:proofErr w:type="spellEnd"/>
      <w:r w:rsidR="00A37166">
        <w:t>)</w:t>
      </w:r>
      <w:r>
        <w:t>.</w:t>
      </w:r>
      <w:r w:rsidR="00A37166">
        <w:t xml:space="preserve">  T</w:t>
      </w:r>
      <w:r>
        <w:t xml:space="preserve">he notation “:Ce” refers to </w:t>
      </w:r>
      <w:r w:rsidR="00A37166">
        <w:t>Ce</w:t>
      </w:r>
      <w:r>
        <w:t xml:space="preserve"> as an activator.</w:t>
      </w:r>
      <w:r w:rsidR="00A37166">
        <w:t xml:space="preserve">  </w:t>
      </w:r>
      <w:r>
        <w:t xml:space="preserve">Therefore, the general formula represents a </w:t>
      </w:r>
      <w:r w:rsidR="00A37166">
        <w:t>Ce</w:t>
      </w:r>
      <w:r>
        <w:t>-activated phosphor with a garnet structure.</w:t>
      </w:r>
    </w:p>
    <w:p w:rsidR="00B64436" w:rsidRDefault="00B64436" w:rsidP="00B64436">
      <w:pPr>
        <w:pStyle w:val="ParaNumbering"/>
      </w:pPr>
      <w:r>
        <w:t>The general formula includes (Al</w:t>
      </w:r>
      <w:r w:rsidRPr="008B4C0D">
        <w:rPr>
          <w:vertAlign w:val="subscript"/>
        </w:rPr>
        <w:t>l-</w:t>
      </w:r>
      <w:proofErr w:type="spellStart"/>
      <w:r w:rsidRPr="008B4C0D">
        <w:rPr>
          <w:vertAlign w:val="subscript"/>
        </w:rPr>
        <w:t>s</w:t>
      </w:r>
      <w:r>
        <w:t>Ga</w:t>
      </w:r>
      <w:r w:rsidRPr="008B4C0D">
        <w:rPr>
          <w:vertAlign w:val="subscript"/>
        </w:rPr>
        <w:t>s</w:t>
      </w:r>
      <w:proofErr w:type="spellEnd"/>
      <w:r>
        <w:t>)</w:t>
      </w:r>
      <w:r w:rsidRPr="008B4C0D">
        <w:rPr>
          <w:vertAlign w:val="subscript"/>
        </w:rPr>
        <w:t>5</w:t>
      </w:r>
      <w:r>
        <w:t xml:space="preserve"> where 0</w:t>
      </w:r>
      <w:r w:rsidRPr="0005390E">
        <w:rPr>
          <w:u w:val="single"/>
        </w:rPr>
        <w:t>&lt;</w:t>
      </w:r>
      <w:r>
        <w:t>s</w:t>
      </w:r>
      <w:r w:rsidRPr="0005390E">
        <w:rPr>
          <w:u w:val="single"/>
        </w:rPr>
        <w:t>&lt;</w:t>
      </w:r>
      <w:r>
        <w:t xml:space="preserve">1.  The parameter </w:t>
      </w:r>
      <w:r w:rsidRPr="008B4C0D">
        <w:rPr>
          <w:i/>
        </w:rPr>
        <w:t>s</w:t>
      </w:r>
      <w:r>
        <w:t xml:space="preserve"> describes the fraction of Ga present.  For example, </w:t>
      </w:r>
      <w:r w:rsidRPr="008B4C0D">
        <w:rPr>
          <w:i/>
        </w:rPr>
        <w:t>s</w:t>
      </w:r>
      <w:r>
        <w:t xml:space="preserve"> = 0.2 would mean 20 out of every 100 of (Al + Ga) would be Ga.  The parameter </w:t>
      </w:r>
      <w:r>
        <w:rPr>
          <w:i/>
        </w:rPr>
        <w:t>s</w:t>
      </w:r>
      <w:r>
        <w:t xml:space="preserve"> can be 0 or 1.  This means that the formula covers the possibility of having only Al (and no Ga), or only Ga (and no Al) present in material represented by the formula.</w:t>
      </w:r>
    </w:p>
    <w:p w:rsidR="00B64436" w:rsidRDefault="00B64436" w:rsidP="00B64436">
      <w:pPr>
        <w:pStyle w:val="ParaNumbering"/>
      </w:pPr>
      <w:r>
        <w:t>The general formula includes (</w:t>
      </w:r>
      <w:proofErr w:type="spellStart"/>
      <w:r>
        <w:t>Re</w:t>
      </w:r>
      <w:r w:rsidRPr="00746F2B">
        <w:rPr>
          <w:vertAlign w:val="subscript"/>
        </w:rPr>
        <w:t>l-r</w:t>
      </w:r>
      <w:r>
        <w:t>Sm</w:t>
      </w:r>
      <w:r w:rsidRPr="00746F2B">
        <w:rPr>
          <w:vertAlign w:val="subscript"/>
        </w:rPr>
        <w:t>r</w:t>
      </w:r>
      <w:proofErr w:type="spellEnd"/>
      <w:r>
        <w:t>)</w:t>
      </w:r>
      <w:r w:rsidRPr="00746F2B">
        <w:rPr>
          <w:vertAlign w:val="subscript"/>
        </w:rPr>
        <w:t>3</w:t>
      </w:r>
      <w:r>
        <w:t xml:space="preserve"> where </w:t>
      </w:r>
      <w:proofErr w:type="spellStart"/>
      <w:r w:rsidR="00600006">
        <w:t>0≤r</w:t>
      </w:r>
      <w:proofErr w:type="spellEnd"/>
      <w:r w:rsidR="00600006">
        <w:t xml:space="preserve">&lt;1 </w:t>
      </w:r>
      <w:r>
        <w:t xml:space="preserve">and Re is at least one selected from Y or Gd.  The parameter </w:t>
      </w:r>
      <w:r>
        <w:rPr>
          <w:i/>
        </w:rPr>
        <w:t>r</w:t>
      </w:r>
      <w:r>
        <w:t xml:space="preserve"> represents the fraction of Sm present.  </w:t>
      </w:r>
      <w:r w:rsidR="00600006">
        <w:t>The general formula provides</w:t>
      </w:r>
      <w:r>
        <w:t xml:space="preserve"> </w:t>
      </w:r>
      <w:r w:rsidR="00600006">
        <w:t>that</w:t>
      </w:r>
      <w:r>
        <w:t>:</w:t>
      </w:r>
    </w:p>
    <w:p w:rsidR="00B64436" w:rsidRDefault="00600006" w:rsidP="00B64436">
      <w:pPr>
        <w:pStyle w:val="Order2"/>
        <w:ind w:left="567" w:hanging="567"/>
      </w:pPr>
      <w:r>
        <w:t xml:space="preserve">the </w:t>
      </w:r>
      <w:r w:rsidR="00B64436">
        <w:t>material cannot contain only S</w:t>
      </w:r>
      <w:r w:rsidR="0057347C">
        <w:t>m</w:t>
      </w:r>
      <w:r w:rsidR="00B64436">
        <w:t xml:space="preserve"> (</w:t>
      </w:r>
      <w:proofErr w:type="spellStart"/>
      <w:r w:rsidR="00B64436">
        <w:t>ie</w:t>
      </w:r>
      <w:proofErr w:type="spellEnd"/>
      <w:r w:rsidR="00B64436">
        <w:t xml:space="preserve">, crystals represented by the formula </w:t>
      </w:r>
      <w:proofErr w:type="spellStart"/>
      <w:r w:rsidR="00B64436">
        <w:t>Sm</w:t>
      </w:r>
      <w:r w:rsidR="00B64436" w:rsidRPr="000F6B46">
        <w:rPr>
          <w:vertAlign w:val="subscript"/>
        </w:rPr>
        <w:t>3</w:t>
      </w:r>
      <w:proofErr w:type="spellEnd"/>
      <w:r w:rsidR="00B64436">
        <w:t>(Al</w:t>
      </w:r>
      <w:r w:rsidR="00B64436" w:rsidRPr="000F6B46">
        <w:rPr>
          <w:vertAlign w:val="subscript"/>
        </w:rPr>
        <w:t>l-</w:t>
      </w:r>
      <w:proofErr w:type="spellStart"/>
      <w:r w:rsidR="00B64436" w:rsidRPr="000F6B46">
        <w:rPr>
          <w:vertAlign w:val="subscript"/>
        </w:rPr>
        <w:t>s</w:t>
      </w:r>
      <w:r w:rsidR="00B64436">
        <w:t>Ga</w:t>
      </w:r>
      <w:r w:rsidR="00B64436" w:rsidRPr="000F6B46">
        <w:rPr>
          <w:vertAlign w:val="subscript"/>
        </w:rPr>
        <w:t>s</w:t>
      </w:r>
      <w:proofErr w:type="spellEnd"/>
      <w:r w:rsidR="00B64436">
        <w:t>)</w:t>
      </w:r>
      <w:proofErr w:type="spellStart"/>
      <w:r w:rsidR="00B64436" w:rsidRPr="000F6B46">
        <w:rPr>
          <w:vertAlign w:val="subscript"/>
        </w:rPr>
        <w:t>5</w:t>
      </w:r>
      <w:r w:rsidR="00B64436">
        <w:t>O</w:t>
      </w:r>
      <w:r w:rsidR="00B64436" w:rsidRPr="000F6B46">
        <w:rPr>
          <w:vertAlign w:val="subscript"/>
        </w:rPr>
        <w:t>12</w:t>
      </w:r>
      <w:proofErr w:type="spellEnd"/>
      <w:r w:rsidR="00B64436">
        <w:t xml:space="preserve">, are not included in </w:t>
      </w:r>
      <w:r>
        <w:t>the general</w:t>
      </w:r>
      <w:r w:rsidR="00B64436">
        <w:t xml:space="preserve"> formula); and</w:t>
      </w:r>
    </w:p>
    <w:p w:rsidR="00B64436" w:rsidRDefault="00B64436" w:rsidP="00B64436">
      <w:pPr>
        <w:pStyle w:val="Order2"/>
        <w:ind w:left="567" w:hanging="567"/>
      </w:pPr>
      <w:r>
        <w:t xml:space="preserve">there must always be some atoms of either Y or </w:t>
      </w:r>
      <w:proofErr w:type="spellStart"/>
      <w:r>
        <w:t>Gd</w:t>
      </w:r>
      <w:proofErr w:type="spellEnd"/>
      <w:r>
        <w:t xml:space="preserve"> (or both) present.</w:t>
      </w:r>
    </w:p>
    <w:p w:rsidR="00B64436" w:rsidRDefault="00B64436" w:rsidP="00B64436">
      <w:pPr>
        <w:pStyle w:val="ParaNumbering"/>
      </w:pPr>
      <w:r>
        <w:t xml:space="preserve">The inclusion </w:t>
      </w:r>
      <w:r w:rsidR="00600006">
        <w:t xml:space="preserve">in the general formula </w:t>
      </w:r>
      <w:r>
        <w:t xml:space="preserve">of the words “at least one” implies that both Y and </w:t>
      </w:r>
      <w:proofErr w:type="spellStart"/>
      <w:r>
        <w:t>Gd</w:t>
      </w:r>
      <w:proofErr w:type="spellEnd"/>
      <w:r>
        <w:t xml:space="preserve"> can be present.  This means that </w:t>
      </w:r>
      <w:r w:rsidR="00B54B4C">
        <w:t xml:space="preserve">the </w:t>
      </w:r>
      <w:r>
        <w:t xml:space="preserve">possible combinations of elements represented by this portion of the </w:t>
      </w:r>
      <w:r w:rsidR="00600006">
        <w:t>g</w:t>
      </w:r>
      <w:r>
        <w:t xml:space="preserve">eneral </w:t>
      </w:r>
      <w:r w:rsidR="00600006">
        <w:t>f</w:t>
      </w:r>
      <w:r>
        <w:t>ormula are:</w:t>
      </w:r>
    </w:p>
    <w:p w:rsidR="00B64436" w:rsidRPr="00154F74" w:rsidRDefault="00B64436" w:rsidP="00154F74">
      <w:pPr>
        <w:pStyle w:val="ListNo2"/>
        <w:numPr>
          <w:ilvl w:val="0"/>
          <w:numId w:val="0"/>
        </w:numPr>
      </w:pPr>
      <w:r w:rsidRPr="00154F74">
        <w:lastRenderedPageBreak/>
        <w:t xml:space="preserve">(a) </w:t>
      </w:r>
      <w:r w:rsidRPr="00154F74">
        <w:tab/>
        <w:t>Y</w:t>
      </w:r>
      <w:r w:rsidR="00B54B4C" w:rsidRPr="00154F74">
        <w:t>;</w:t>
      </w:r>
    </w:p>
    <w:p w:rsidR="00B64436" w:rsidRPr="00154F74" w:rsidRDefault="00B64436" w:rsidP="00154F74">
      <w:pPr>
        <w:pStyle w:val="ListNo2"/>
        <w:numPr>
          <w:ilvl w:val="0"/>
          <w:numId w:val="0"/>
        </w:numPr>
      </w:pPr>
      <w:r w:rsidRPr="00154F74">
        <w:t>(b)</w:t>
      </w:r>
      <w:r w:rsidRPr="00154F74">
        <w:tab/>
      </w:r>
      <w:proofErr w:type="spellStart"/>
      <w:r w:rsidRPr="00154F74">
        <w:t>Gd</w:t>
      </w:r>
      <w:proofErr w:type="spellEnd"/>
      <w:r w:rsidR="00B54B4C" w:rsidRPr="00154F74">
        <w:t>;</w:t>
      </w:r>
    </w:p>
    <w:p w:rsidR="00B64436" w:rsidRPr="00154F74" w:rsidRDefault="00B64436" w:rsidP="00154F74">
      <w:pPr>
        <w:pStyle w:val="ListNo2"/>
        <w:numPr>
          <w:ilvl w:val="0"/>
          <w:numId w:val="0"/>
        </w:numPr>
      </w:pPr>
      <w:r w:rsidRPr="00154F74">
        <w:t>(c)</w:t>
      </w:r>
      <w:r w:rsidRPr="00154F74">
        <w:tab/>
        <w:t xml:space="preserve">Y and </w:t>
      </w:r>
      <w:proofErr w:type="spellStart"/>
      <w:r w:rsidRPr="00154F74">
        <w:t>Gd</w:t>
      </w:r>
      <w:proofErr w:type="spellEnd"/>
      <w:r w:rsidR="00B54B4C" w:rsidRPr="00154F74">
        <w:t>;</w:t>
      </w:r>
    </w:p>
    <w:p w:rsidR="00B64436" w:rsidRPr="00154F74" w:rsidRDefault="00B64436" w:rsidP="00154F74">
      <w:pPr>
        <w:pStyle w:val="ListNo2"/>
        <w:numPr>
          <w:ilvl w:val="0"/>
          <w:numId w:val="0"/>
        </w:numPr>
      </w:pPr>
      <w:r w:rsidRPr="00154F74">
        <w:t>(d)</w:t>
      </w:r>
      <w:r w:rsidRPr="00154F74">
        <w:tab/>
        <w:t>Y and Sm</w:t>
      </w:r>
      <w:r w:rsidR="00B54B4C" w:rsidRPr="00154F74">
        <w:t>;</w:t>
      </w:r>
    </w:p>
    <w:p w:rsidR="00B64436" w:rsidRPr="00154F74" w:rsidRDefault="00B64436" w:rsidP="00154F74">
      <w:pPr>
        <w:pStyle w:val="ListNo2"/>
        <w:numPr>
          <w:ilvl w:val="0"/>
          <w:numId w:val="0"/>
        </w:numPr>
      </w:pPr>
      <w:r w:rsidRPr="00154F74">
        <w:t>(e)</w:t>
      </w:r>
      <w:r w:rsidRPr="00154F74">
        <w:tab/>
      </w:r>
      <w:proofErr w:type="spellStart"/>
      <w:r w:rsidRPr="00154F74">
        <w:t>Gd</w:t>
      </w:r>
      <w:proofErr w:type="spellEnd"/>
      <w:r w:rsidRPr="00154F74">
        <w:t xml:space="preserve"> and Sm</w:t>
      </w:r>
      <w:r w:rsidR="00B54B4C" w:rsidRPr="00154F74">
        <w:t>;</w:t>
      </w:r>
      <w:r w:rsidRPr="00154F74">
        <w:t xml:space="preserve"> and</w:t>
      </w:r>
    </w:p>
    <w:p w:rsidR="00B64436" w:rsidRPr="00154F74" w:rsidRDefault="00B64436" w:rsidP="00154F74">
      <w:pPr>
        <w:pStyle w:val="ListNo2"/>
        <w:numPr>
          <w:ilvl w:val="0"/>
          <w:numId w:val="0"/>
        </w:numPr>
      </w:pPr>
      <w:r w:rsidRPr="00154F74">
        <w:t>(f)</w:t>
      </w:r>
      <w:r w:rsidRPr="00154F74">
        <w:tab/>
        <w:t xml:space="preserve">Y, </w:t>
      </w:r>
      <w:proofErr w:type="spellStart"/>
      <w:r w:rsidRPr="00154F74">
        <w:t>Gd</w:t>
      </w:r>
      <w:proofErr w:type="spellEnd"/>
      <w:r w:rsidRPr="00154F74">
        <w:t xml:space="preserve"> and Sm.</w:t>
      </w:r>
    </w:p>
    <w:p w:rsidR="00B64436" w:rsidRDefault="00B64436" w:rsidP="00600006">
      <w:pPr>
        <w:pStyle w:val="ParaNumbering"/>
      </w:pPr>
      <w:r>
        <w:t xml:space="preserve">An example of a material represented by the general formula in claim 3 is </w:t>
      </w:r>
      <w:proofErr w:type="spellStart"/>
      <w:r>
        <w:t>Y</w:t>
      </w:r>
      <w:r w:rsidRPr="00B41C2E">
        <w:rPr>
          <w:vertAlign w:val="subscript"/>
        </w:rPr>
        <w:t>3</w:t>
      </w:r>
      <w:r>
        <w:t>Al</w:t>
      </w:r>
      <w:r w:rsidRPr="00B41C2E">
        <w:rPr>
          <w:vertAlign w:val="subscript"/>
        </w:rPr>
        <w:t>5</w:t>
      </w:r>
      <w:r>
        <w:t>O</w:t>
      </w:r>
      <w:r w:rsidRPr="00B41C2E">
        <w:rPr>
          <w:vertAlign w:val="subscript"/>
        </w:rPr>
        <w:t>12</w:t>
      </w:r>
      <w:r>
        <w:t>:Ce</w:t>
      </w:r>
      <w:proofErr w:type="spellEnd"/>
      <w:r>
        <w:t>.  This materi</w:t>
      </w:r>
      <w:r w:rsidR="00600006">
        <w:t xml:space="preserve">al may be identified as </w:t>
      </w:r>
      <w:proofErr w:type="spellStart"/>
      <w:r w:rsidR="00600006">
        <w:t>YAG:Ce</w:t>
      </w:r>
      <w:proofErr w:type="spellEnd"/>
      <w:r w:rsidR="00600006">
        <w:t xml:space="preserve"> where </w:t>
      </w:r>
      <w:r>
        <w:t xml:space="preserve">Ce </w:t>
      </w:r>
      <w:r w:rsidR="00600006">
        <w:t>is</w:t>
      </w:r>
      <w:r>
        <w:t xml:space="preserve"> the activator of the phosphor.</w:t>
      </w:r>
    </w:p>
    <w:p w:rsidR="00B64436" w:rsidRDefault="00600006" w:rsidP="00600006">
      <w:pPr>
        <w:pStyle w:val="ParaNumbering"/>
      </w:pPr>
      <w:r>
        <w:t xml:space="preserve">The parties agree that </w:t>
      </w:r>
      <w:proofErr w:type="spellStart"/>
      <w:r w:rsidR="00B64436">
        <w:t>YAG:Ce</w:t>
      </w:r>
      <w:proofErr w:type="spellEnd"/>
      <w:r w:rsidR="00B64436">
        <w:t xml:space="preserve"> can absorb specific wavelengths of light that correspond to exciting </w:t>
      </w:r>
      <w:r w:rsidR="00781979">
        <w:t>Ce</w:t>
      </w:r>
      <w:r w:rsidR="00B64436">
        <w:t xml:space="preserve"> electrons to higher energy states.  One wavelength for absorption in </w:t>
      </w:r>
      <w:proofErr w:type="spellStart"/>
      <w:r w:rsidR="00B64436">
        <w:t>YAG:Ce</w:t>
      </w:r>
      <w:proofErr w:type="spellEnd"/>
      <w:r w:rsidR="00B64436">
        <w:t xml:space="preserve"> is blue light of 450 nanometres.  A nanometre (nm) is a unit of spatial measurement that is 10</w:t>
      </w:r>
      <w:r w:rsidR="00B64436" w:rsidRPr="008726A6">
        <w:rPr>
          <w:vertAlign w:val="superscript"/>
        </w:rPr>
        <w:t>-9</w:t>
      </w:r>
      <w:r w:rsidR="00B64436">
        <w:t xml:space="preserve"> metre, or one billionth</w:t>
      </w:r>
      <w:r>
        <w:t xml:space="preserve"> of a metre.  </w:t>
      </w:r>
      <w:r w:rsidR="00B64436">
        <w:t xml:space="preserve">After being excited by this absorption process, the </w:t>
      </w:r>
      <w:r>
        <w:t>Ce</w:t>
      </w:r>
      <w:r w:rsidR="00B64436">
        <w:t xml:space="preserve"> electrons return to lower energy states by the complementary process </w:t>
      </w:r>
      <w:r w:rsidR="006D7391">
        <w:t xml:space="preserve">of </w:t>
      </w:r>
      <w:r w:rsidR="00B64436">
        <w:t>photoluminescence.  This emitted light has a different wa</w:t>
      </w:r>
      <w:r>
        <w:t xml:space="preserve">velength to the absorbed light.  </w:t>
      </w:r>
      <w:r w:rsidR="00B64436">
        <w:t xml:space="preserve">When </w:t>
      </w:r>
      <w:proofErr w:type="spellStart"/>
      <w:r w:rsidR="00B64436">
        <w:t>YAG:Ce</w:t>
      </w:r>
      <w:proofErr w:type="spellEnd"/>
      <w:r w:rsidR="00B64436">
        <w:t xml:space="preserve"> is excited by a blue light, the phosphor emits an emission peak that spans the wavelength range from around 500 to 700 nm.  The human eye perceives this phosphor emission as yellow light, which can, when combined with blue light emitted by the LED, make the total light emitted appear to the eye as white light.  This is because the total has the three red, green and blue components of the primary colours. </w:t>
      </w:r>
    </w:p>
    <w:p w:rsidR="00B64436" w:rsidRDefault="00B64436" w:rsidP="00B64436">
      <w:pPr>
        <w:pStyle w:val="ParaNumbering"/>
      </w:pPr>
      <w:r>
        <w:t>The diagram below</w:t>
      </w:r>
      <w:r w:rsidR="0057347C">
        <w:t xml:space="preserve"> (not in the 355 specification)</w:t>
      </w:r>
      <w:r>
        <w:t xml:space="preserve"> illustrates how this works.  Blue light at 450 nm enters the </w:t>
      </w:r>
      <w:proofErr w:type="spellStart"/>
      <w:r>
        <w:t>YAG:Ce</w:t>
      </w:r>
      <w:proofErr w:type="spellEnd"/>
      <w:r>
        <w:t xml:space="preserve"> phosphor, is absorbed, and yellow light is emitted.  As the absorption by the phosphor is less than 100%, some 450 nm blue light is also transmitted through and around the phosphor.  The totality of light exiting the device is 450 nm from transmission from the </w:t>
      </w:r>
      <w:r w:rsidR="006D7391">
        <w:t>light emitting diode</w:t>
      </w:r>
      <w:r>
        <w:t xml:space="preserve"> (that is not absorbed by the phosphor) and light in the wavelength range from around 500 to 700 nm from emission of the phosphor.</w:t>
      </w:r>
      <w:r w:rsidR="0060508F">
        <w:t xml:space="preserve"> </w:t>
      </w:r>
    </w:p>
    <w:p w:rsidR="00B64436" w:rsidRDefault="00B64436" w:rsidP="00B64436">
      <w:bookmarkStart w:id="23" w:name="_GoBack"/>
      <w:r>
        <w:rPr>
          <w:noProof/>
          <w:lang w:eastAsia="en-AU"/>
        </w:rPr>
        <w:lastRenderedPageBreak/>
        <w:drawing>
          <wp:inline distT="0" distB="0" distL="0" distR="0" wp14:anchorId="571DBC2E" wp14:editId="2AC9169D">
            <wp:extent cx="5732145" cy="19634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G diagram.JPG"/>
                    <pic:cNvPicPr/>
                  </pic:nvPicPr>
                  <pic:blipFill>
                    <a:blip r:embed="rId13" cstate="email">
                      <a:extLst>
                        <a:ext uri="{28A0092B-C50C-407E-A947-70E740481C1C}">
                          <a14:useLocalDpi xmlns:a14="http://schemas.microsoft.com/office/drawing/2010/main"/>
                        </a:ext>
                      </a:extLst>
                    </a:blip>
                    <a:stretch>
                      <a:fillRect/>
                    </a:stretch>
                  </pic:blipFill>
                  <pic:spPr>
                    <a:xfrm>
                      <a:off x="0" y="0"/>
                      <a:ext cx="5732145" cy="1963420"/>
                    </a:xfrm>
                    <a:prstGeom prst="rect">
                      <a:avLst/>
                    </a:prstGeom>
                  </pic:spPr>
                </pic:pic>
              </a:graphicData>
            </a:graphic>
          </wp:inline>
        </w:drawing>
      </w:r>
      <w:bookmarkEnd w:id="23"/>
    </w:p>
    <w:p w:rsidR="00E62E49" w:rsidRDefault="00F47DAC" w:rsidP="00E62E49">
      <w:pPr>
        <w:pStyle w:val="Heading1"/>
      </w:pPr>
      <w:r>
        <w:t>Legal framework</w:t>
      </w:r>
    </w:p>
    <w:p w:rsidR="00F47DAC" w:rsidRPr="00F47DAC" w:rsidRDefault="00F47DAC" w:rsidP="00F47DAC">
      <w:pPr>
        <w:pStyle w:val="Heading2"/>
      </w:pPr>
      <w:r>
        <w:t>The legislation</w:t>
      </w:r>
    </w:p>
    <w:p w:rsidR="00E62E49" w:rsidRDefault="00944AC9" w:rsidP="00532853">
      <w:pPr>
        <w:pStyle w:val="ParaNumbering"/>
      </w:pPr>
      <w:r>
        <w:t xml:space="preserve">The </w:t>
      </w:r>
      <w:r w:rsidR="006D7391">
        <w:rPr>
          <w:i/>
        </w:rPr>
        <w:t xml:space="preserve">Patents Act 1990 </w:t>
      </w:r>
      <w:r w:rsidR="006D7391">
        <w:t>(</w:t>
      </w:r>
      <w:proofErr w:type="spellStart"/>
      <w:r w:rsidR="006D7391">
        <w:t>Cth</w:t>
      </w:r>
      <w:proofErr w:type="spellEnd"/>
      <w:r w:rsidR="006D7391">
        <w:t>) (</w:t>
      </w:r>
      <w:r w:rsidR="006D7391">
        <w:rPr>
          <w:b/>
        </w:rPr>
        <w:t xml:space="preserve">the </w:t>
      </w:r>
      <w:r w:rsidRPr="006D7391">
        <w:rPr>
          <w:b/>
        </w:rPr>
        <w:t>Act</w:t>
      </w:r>
      <w:r w:rsidR="006D7391" w:rsidRPr="006D7391">
        <w:t>)</w:t>
      </w:r>
      <w:r>
        <w:t xml:space="preserve"> provide</w:t>
      </w:r>
      <w:r w:rsidR="00E27716">
        <w:t>s</w:t>
      </w:r>
      <w:r>
        <w:t xml:space="preserve"> that e</w:t>
      </w:r>
      <w:r w:rsidR="0094323E">
        <w:t>ach claim of a specification must have a priority date:  s 43(1).  The priority date is the date of filing</w:t>
      </w:r>
      <w:r w:rsidR="006D7391">
        <w:t xml:space="preserve"> of</w:t>
      </w:r>
      <w:r w:rsidR="0094323E">
        <w:t xml:space="preserve"> the specification or, if the </w:t>
      </w:r>
      <w:r w:rsidR="0094323E" w:rsidRPr="00600006">
        <w:rPr>
          <w:i/>
        </w:rPr>
        <w:t>Patents Regulations</w:t>
      </w:r>
      <w:r w:rsidR="00600006" w:rsidRPr="00600006">
        <w:rPr>
          <w:i/>
        </w:rPr>
        <w:t xml:space="preserve"> 1991</w:t>
      </w:r>
      <w:r w:rsidR="00600006">
        <w:t xml:space="preserve"> (</w:t>
      </w:r>
      <w:proofErr w:type="spellStart"/>
      <w:r w:rsidR="00600006">
        <w:t>Cth</w:t>
      </w:r>
      <w:proofErr w:type="spellEnd"/>
      <w:r w:rsidR="00600006">
        <w:t>)</w:t>
      </w:r>
      <w:r w:rsidR="0094323E">
        <w:t xml:space="preserve"> provide for the determination of a different date, the date determined under the regulations:  s 43(2).</w:t>
      </w:r>
    </w:p>
    <w:p w:rsidR="00980D9E" w:rsidRDefault="0094323E" w:rsidP="00600006">
      <w:pPr>
        <w:pStyle w:val="ParaNumbering"/>
      </w:pPr>
      <w:r>
        <w:t>Where a claim defines more than one form of an invention, then, for the purposes of priority date determination, the claim must be treated as if there were a separate claim for each form of the inven</w:t>
      </w:r>
      <w:r w:rsidR="00600006">
        <w:t xml:space="preserve">tion that is defined:  s 43(3).  </w:t>
      </w:r>
      <w:r>
        <w:t>The priority date of a claim of a specification may be different from the priority date of any other claim of the specification:  s 43(4).</w:t>
      </w:r>
      <w:r w:rsidR="003A5559">
        <w:t xml:space="preserve"> </w:t>
      </w:r>
    </w:p>
    <w:p w:rsidR="00E62E49" w:rsidRDefault="00FD5C82" w:rsidP="004167F0">
      <w:pPr>
        <w:pStyle w:val="ParaNumbering"/>
      </w:pPr>
      <w:r>
        <w:t xml:space="preserve">The parties agree that the form of </w:t>
      </w:r>
      <w:proofErr w:type="spellStart"/>
      <w:r>
        <w:t>r</w:t>
      </w:r>
      <w:r w:rsidR="00944AC9">
        <w:t>eg</w:t>
      </w:r>
      <w:proofErr w:type="spellEnd"/>
      <w:r w:rsidR="00944AC9">
        <w:t xml:space="preserve"> 3.12 </w:t>
      </w:r>
      <w:r>
        <w:t>applicable to the separate question is</w:t>
      </w:r>
      <w:r w:rsidR="00E27716">
        <w:t>:</w:t>
      </w:r>
      <w:r w:rsidR="00980D9E">
        <w:t xml:space="preserve"> </w:t>
      </w:r>
    </w:p>
    <w:p w:rsidR="00980D9E" w:rsidRDefault="00980D9E" w:rsidP="003A5559">
      <w:pPr>
        <w:pStyle w:val="Quote1"/>
        <w:keepNext/>
        <w:rPr>
          <w:b/>
        </w:rPr>
      </w:pPr>
      <w:r>
        <w:rPr>
          <w:b/>
        </w:rPr>
        <w:t>3.12</w:t>
      </w:r>
      <w:r>
        <w:rPr>
          <w:b/>
        </w:rPr>
        <w:tab/>
      </w:r>
      <w:r w:rsidRPr="00980D9E">
        <w:rPr>
          <w:b/>
        </w:rPr>
        <w:t>Priority dates generally</w:t>
      </w:r>
    </w:p>
    <w:p w:rsidR="00980D9E" w:rsidRPr="00980D9E" w:rsidRDefault="00980D9E" w:rsidP="003A5559">
      <w:pPr>
        <w:pStyle w:val="Quote1"/>
        <w:keepNext/>
        <w:rPr>
          <w:b/>
        </w:rPr>
      </w:pPr>
    </w:p>
    <w:p w:rsidR="00980D9E" w:rsidRDefault="00980D9E" w:rsidP="003A5559">
      <w:pPr>
        <w:pStyle w:val="Quote1"/>
        <w:keepNext/>
        <w:numPr>
          <w:ilvl w:val="0"/>
          <w:numId w:val="25"/>
        </w:numPr>
      </w:pPr>
      <w:r>
        <w:t>Subject to regulation</w:t>
      </w:r>
      <w:r w:rsidR="008F53C6">
        <w:t>s</w:t>
      </w:r>
      <w:r>
        <w:t xml:space="preserve"> 3.13 and 3.14 and </w:t>
      </w:r>
      <w:proofErr w:type="spellStart"/>
      <w:r>
        <w:t>subregulation</w:t>
      </w:r>
      <w:proofErr w:type="spellEnd"/>
      <w:r>
        <w:t xml:space="preserve"> (2), the priority date of a claim of a specification is the earliest of the following dates:</w:t>
      </w:r>
    </w:p>
    <w:p w:rsidR="008F53C6" w:rsidRDefault="008F53C6" w:rsidP="008F53C6">
      <w:pPr>
        <w:pStyle w:val="Quote1"/>
        <w:ind w:left="1442"/>
      </w:pPr>
    </w:p>
    <w:p w:rsidR="0093417A" w:rsidRDefault="008F53C6" w:rsidP="0093417A">
      <w:pPr>
        <w:pStyle w:val="Quote2"/>
        <w:numPr>
          <w:ilvl w:val="0"/>
          <w:numId w:val="32"/>
        </w:numPr>
      </w:pPr>
      <w:r>
        <w:t>t</w:t>
      </w:r>
      <w:r w:rsidR="00980D9E">
        <w:t>he date of filing of the specification;</w:t>
      </w:r>
    </w:p>
    <w:p w:rsidR="0093417A" w:rsidRDefault="0093417A" w:rsidP="0093417A">
      <w:pPr>
        <w:pStyle w:val="Quote2"/>
        <w:ind w:left="1800"/>
      </w:pPr>
    </w:p>
    <w:p w:rsidR="00980D9E" w:rsidRDefault="008F53C6" w:rsidP="0093417A">
      <w:pPr>
        <w:pStyle w:val="Quote2"/>
        <w:numPr>
          <w:ilvl w:val="0"/>
          <w:numId w:val="32"/>
        </w:numPr>
        <w:ind w:left="1800"/>
      </w:pPr>
      <w:r>
        <w:t>i</w:t>
      </w:r>
      <w:r w:rsidR="00980D9E">
        <w:t xml:space="preserve">f the claim is fairly based on matter disclosed in 1 or more priority documents, the date of </w:t>
      </w:r>
      <w:r>
        <w:t>filing</w:t>
      </w:r>
      <w:r w:rsidR="00980D9E">
        <w:t xml:space="preserve"> the priority document in which the matter was first disclosed;</w:t>
      </w:r>
    </w:p>
    <w:p w:rsidR="006D7391" w:rsidRDefault="006D7391" w:rsidP="006D7391">
      <w:pPr>
        <w:pStyle w:val="Quote1"/>
        <w:ind w:firstLine="703"/>
      </w:pPr>
    </w:p>
    <w:p w:rsidR="00980D9E" w:rsidRDefault="00980D9E" w:rsidP="007B187A">
      <w:pPr>
        <w:pStyle w:val="Quote2"/>
      </w:pPr>
      <w:r>
        <w:t>…</w:t>
      </w:r>
    </w:p>
    <w:p w:rsidR="008F53C6" w:rsidRDefault="008F53C6" w:rsidP="00980D9E">
      <w:pPr>
        <w:pStyle w:val="Quote1"/>
      </w:pPr>
    </w:p>
    <w:p w:rsidR="00980D9E" w:rsidRDefault="00980D9E" w:rsidP="00980D9E">
      <w:pPr>
        <w:pStyle w:val="Quote1"/>
        <w:numPr>
          <w:ilvl w:val="0"/>
          <w:numId w:val="25"/>
        </w:numPr>
      </w:pPr>
      <w:r>
        <w:t>For the purpose</w:t>
      </w:r>
      <w:r w:rsidR="008F53C6">
        <w:t>s</w:t>
      </w:r>
      <w:r>
        <w:t xml:space="preserve"> of paragraph 1(b):</w:t>
      </w:r>
    </w:p>
    <w:p w:rsidR="008F53C6" w:rsidRDefault="008F53C6" w:rsidP="008F53C6">
      <w:pPr>
        <w:pStyle w:val="Quote1"/>
        <w:ind w:left="1442"/>
      </w:pPr>
    </w:p>
    <w:p w:rsidR="006D7391" w:rsidRDefault="006D7391" w:rsidP="007B187A">
      <w:pPr>
        <w:pStyle w:val="Quote2"/>
      </w:pPr>
      <w:r>
        <w:t>…</w:t>
      </w:r>
    </w:p>
    <w:p w:rsidR="006D7391" w:rsidRDefault="006D7391" w:rsidP="008F53C6">
      <w:pPr>
        <w:pStyle w:val="Quote1"/>
        <w:ind w:left="1442"/>
      </w:pPr>
    </w:p>
    <w:p w:rsidR="00980D9E" w:rsidRDefault="00980D9E" w:rsidP="0093417A">
      <w:pPr>
        <w:pStyle w:val="Quote2"/>
        <w:numPr>
          <w:ilvl w:val="0"/>
          <w:numId w:val="33"/>
        </w:numPr>
      </w:pPr>
      <w:r>
        <w:t>If:</w:t>
      </w:r>
    </w:p>
    <w:p w:rsidR="008F53C6" w:rsidRDefault="008F53C6" w:rsidP="008F53C6">
      <w:pPr>
        <w:pStyle w:val="Quote1"/>
        <w:ind w:left="1802"/>
      </w:pPr>
    </w:p>
    <w:p w:rsidR="008F53C6" w:rsidRDefault="006D7391" w:rsidP="0093417A">
      <w:pPr>
        <w:pStyle w:val="Quote3"/>
        <w:ind w:left="2552" w:hanging="392"/>
      </w:pPr>
      <w:r>
        <w:t>(</w:t>
      </w:r>
      <w:proofErr w:type="spellStart"/>
      <w:r>
        <w:t>i</w:t>
      </w:r>
      <w:proofErr w:type="spellEnd"/>
      <w:r>
        <w:t>)</w:t>
      </w:r>
      <w:r>
        <w:tab/>
      </w:r>
      <w:r w:rsidR="00980D9E">
        <w:t xml:space="preserve">the application that relates to the specification containing the </w:t>
      </w:r>
      <w:r w:rsidR="00980D9E">
        <w:lastRenderedPageBreak/>
        <w:t xml:space="preserve">claim is a </w:t>
      </w:r>
      <w:proofErr w:type="spellStart"/>
      <w:r w:rsidR="00980D9E">
        <w:t>PCT</w:t>
      </w:r>
      <w:proofErr w:type="spellEnd"/>
      <w:r w:rsidR="00980D9E">
        <w:t xml:space="preserve"> application that, under Article 8 of the </w:t>
      </w:r>
      <w:proofErr w:type="spellStart"/>
      <w:r w:rsidR="00980D9E">
        <w:t>PCT</w:t>
      </w:r>
      <w:proofErr w:type="spellEnd"/>
      <w:r w:rsidR="00980D9E">
        <w:t>, claims the priority of an earlier application; and</w:t>
      </w:r>
    </w:p>
    <w:p w:rsidR="006D7391" w:rsidRDefault="006D7391" w:rsidP="0093417A">
      <w:pPr>
        <w:pStyle w:val="Quote3"/>
      </w:pPr>
    </w:p>
    <w:p w:rsidR="00980D9E" w:rsidRDefault="00980D9E" w:rsidP="0093417A">
      <w:pPr>
        <w:pStyle w:val="Quote3"/>
        <w:ind w:left="2552" w:hanging="392"/>
      </w:pPr>
      <w:r>
        <w:t xml:space="preserve">(ii) </w:t>
      </w:r>
      <w:r>
        <w:tab/>
        <w:t>that earlier application is:</w:t>
      </w:r>
    </w:p>
    <w:p w:rsidR="00980D9E" w:rsidRDefault="00980D9E" w:rsidP="00980D9E">
      <w:pPr>
        <w:pStyle w:val="Quote1"/>
        <w:ind w:left="2127" w:hanging="687"/>
      </w:pPr>
    </w:p>
    <w:p w:rsidR="00980D9E" w:rsidRDefault="00980D9E" w:rsidP="007B187A">
      <w:pPr>
        <w:pStyle w:val="Quote3"/>
      </w:pPr>
      <w:r>
        <w:t xml:space="preserve">… </w:t>
      </w:r>
    </w:p>
    <w:p w:rsidR="00980D9E" w:rsidRDefault="00980D9E" w:rsidP="00980D9E">
      <w:pPr>
        <w:pStyle w:val="Quote1"/>
        <w:ind w:left="2127" w:hanging="687"/>
      </w:pPr>
    </w:p>
    <w:p w:rsidR="00980D9E" w:rsidRDefault="00980D9E" w:rsidP="0093417A">
      <w:pPr>
        <w:pStyle w:val="Quote3"/>
        <w:ind w:left="2977" w:hanging="425"/>
      </w:pPr>
      <w:r>
        <w:t>(B)</w:t>
      </w:r>
      <w:r>
        <w:tab/>
        <w:t xml:space="preserve">a basic application, made not more than 12 months before the international filing date of the </w:t>
      </w:r>
      <w:proofErr w:type="spellStart"/>
      <w:r>
        <w:t>PCT</w:t>
      </w:r>
      <w:proofErr w:type="spellEnd"/>
      <w:r>
        <w:t xml:space="preserve"> application, that is the first application made in a Convention count</w:t>
      </w:r>
      <w:r w:rsidR="006D7391">
        <w:t>ry in respect of the invention;</w:t>
      </w:r>
    </w:p>
    <w:p w:rsidR="006D7391" w:rsidRDefault="006D7391" w:rsidP="008F53C6">
      <w:pPr>
        <w:pStyle w:val="Quote1"/>
        <w:ind w:left="2835" w:hanging="708"/>
      </w:pPr>
    </w:p>
    <w:p w:rsidR="006D7391" w:rsidRDefault="006D7391" w:rsidP="007B187A">
      <w:pPr>
        <w:pStyle w:val="Quote3"/>
      </w:pPr>
      <w:r>
        <w:t>…</w:t>
      </w:r>
    </w:p>
    <w:p w:rsidR="008F53C6" w:rsidRDefault="008F53C6" w:rsidP="00980D9E">
      <w:pPr>
        <w:pStyle w:val="Quote1"/>
        <w:ind w:left="2127" w:hanging="687"/>
      </w:pPr>
    </w:p>
    <w:p w:rsidR="008F53C6" w:rsidRDefault="008F53C6" w:rsidP="007B187A">
      <w:pPr>
        <w:pStyle w:val="Quote2"/>
      </w:pPr>
      <w:r>
        <w:t>that earlier application, and a specification filed in relation to that earlier application after it was made, are priority documents.</w:t>
      </w:r>
    </w:p>
    <w:p w:rsidR="008F53C6" w:rsidRDefault="008F53C6" w:rsidP="008F53C6">
      <w:pPr>
        <w:pStyle w:val="Quote1"/>
        <w:ind w:left="1418" w:firstLine="22"/>
      </w:pPr>
    </w:p>
    <w:p w:rsidR="008F53C6" w:rsidRDefault="008F53C6" w:rsidP="008F53C6">
      <w:pPr>
        <w:pStyle w:val="Quote1"/>
        <w:ind w:left="709"/>
      </w:pPr>
      <w:r>
        <w:t>…</w:t>
      </w:r>
    </w:p>
    <w:p w:rsidR="008F53C6" w:rsidRDefault="008F53C6" w:rsidP="008F53C6">
      <w:pPr>
        <w:pStyle w:val="Quote1"/>
        <w:ind w:left="709"/>
      </w:pPr>
    </w:p>
    <w:p w:rsidR="008F53C6" w:rsidRDefault="008F53C6" w:rsidP="00D72E1F">
      <w:pPr>
        <w:pStyle w:val="Quote1"/>
        <w:ind w:left="1418" w:hanging="709"/>
      </w:pPr>
      <w:r>
        <w:t>(</w:t>
      </w:r>
      <w:proofErr w:type="spellStart"/>
      <w:r>
        <w:t>2B</w:t>
      </w:r>
      <w:proofErr w:type="spellEnd"/>
      <w:r>
        <w:t>)</w:t>
      </w:r>
      <w:r>
        <w:tab/>
        <w:t xml:space="preserve">A reference in </w:t>
      </w:r>
      <w:proofErr w:type="spellStart"/>
      <w:r>
        <w:t>subregulation</w:t>
      </w:r>
      <w:proofErr w:type="spellEnd"/>
      <w:r>
        <w:t xml:space="preserve"> (2) to a basic application does not include a basic application that has been disregarded by the Commi</w:t>
      </w:r>
      <w:r w:rsidR="00D72E1F">
        <w:t>ssioner under section 96 of the Act</w:t>
      </w:r>
      <w:r>
        <w:t>.</w:t>
      </w:r>
    </w:p>
    <w:p w:rsidR="006D7391" w:rsidRDefault="006D7391" w:rsidP="00D72E1F">
      <w:pPr>
        <w:pStyle w:val="Quote1"/>
        <w:ind w:left="1418" w:hanging="709"/>
      </w:pPr>
    </w:p>
    <w:p w:rsidR="008F53C6" w:rsidRDefault="006D7391" w:rsidP="006D7391">
      <w:pPr>
        <w:pStyle w:val="Quote1"/>
        <w:ind w:left="1418" w:hanging="709"/>
      </w:pPr>
      <w:r>
        <w:t>…</w:t>
      </w:r>
    </w:p>
    <w:p w:rsidR="00141F07" w:rsidRDefault="00141F07" w:rsidP="004167F0">
      <w:pPr>
        <w:pStyle w:val="ParaNumbering"/>
      </w:pPr>
      <w:r>
        <w:t xml:space="preserve">The respondent accepts that </w:t>
      </w:r>
      <w:proofErr w:type="spellStart"/>
      <w:r>
        <w:t>JP585</w:t>
      </w:r>
      <w:proofErr w:type="spellEnd"/>
      <w:r>
        <w:t xml:space="preserve"> and </w:t>
      </w:r>
      <w:proofErr w:type="spellStart"/>
      <w:r>
        <w:t>JP339</w:t>
      </w:r>
      <w:proofErr w:type="spellEnd"/>
      <w:r>
        <w:t xml:space="preserve"> are basic applications for the purposes of </w:t>
      </w:r>
      <w:proofErr w:type="spellStart"/>
      <w:r>
        <w:t>reg</w:t>
      </w:r>
      <w:proofErr w:type="spellEnd"/>
      <w:r>
        <w:t xml:space="preserve"> 3.12(2)(c)(ii)(B).  The respondent also accepts that </w:t>
      </w:r>
      <w:proofErr w:type="spellStart"/>
      <w:r>
        <w:t>reg</w:t>
      </w:r>
      <w:proofErr w:type="spellEnd"/>
      <w:r>
        <w:t xml:space="preserve"> 3.12(2) requires an identification of the priority document which first discloses matter which aff</w:t>
      </w:r>
      <w:r w:rsidR="001E3020">
        <w:t xml:space="preserve">ords </w:t>
      </w:r>
      <w:r w:rsidR="006D7391">
        <w:t>the fair basis for the claim.</w:t>
      </w:r>
    </w:p>
    <w:p w:rsidR="00F47DAC" w:rsidRDefault="00F47DAC" w:rsidP="00F47DAC">
      <w:pPr>
        <w:pStyle w:val="Heading2"/>
      </w:pPr>
      <w:r>
        <w:t>The legal test</w:t>
      </w:r>
    </w:p>
    <w:p w:rsidR="00FE3521" w:rsidRDefault="00461F7A" w:rsidP="0051559D">
      <w:pPr>
        <w:pStyle w:val="ParaNumbering"/>
      </w:pPr>
      <w:r>
        <w:t xml:space="preserve">Regulation 3.12(1)(b) speaks of a claim that is fairly based “on matter disclosed in </w:t>
      </w:r>
      <w:r w:rsidR="00FC6737">
        <w:t>1</w:t>
      </w:r>
      <w:r>
        <w:t xml:space="preserve"> or more priority d</w:t>
      </w:r>
      <w:r w:rsidR="00600006">
        <w:t>ocuments”.  The parties accept</w:t>
      </w:r>
      <w:r>
        <w:t xml:space="preserve"> that the standard to be applied when considering whether a claim is fairly based is that referred to in </w:t>
      </w:r>
      <w:r>
        <w:rPr>
          <w:i/>
        </w:rPr>
        <w:t>Lockwood Security Products Pty L</w:t>
      </w:r>
      <w:r w:rsidR="0093417A">
        <w:rPr>
          <w:i/>
        </w:rPr>
        <w:t>imited</w:t>
      </w:r>
      <w:r>
        <w:rPr>
          <w:i/>
        </w:rPr>
        <w:t xml:space="preserve"> v Doric Products Pty L</w:t>
      </w:r>
      <w:r w:rsidR="0093417A">
        <w:rPr>
          <w:i/>
        </w:rPr>
        <w:t xml:space="preserve">imited </w:t>
      </w:r>
      <w:r w:rsidR="00FC6737">
        <w:t xml:space="preserve">(2004) 217 </w:t>
      </w:r>
      <w:proofErr w:type="spellStart"/>
      <w:r w:rsidR="00FC6737">
        <w:t>CLR</w:t>
      </w:r>
      <w:proofErr w:type="spellEnd"/>
      <w:r w:rsidR="00FC6737">
        <w:t xml:space="preserve"> 274 at [69], namely </w:t>
      </w:r>
      <w:r>
        <w:t>that there be “a real and reasonably clear disclosure” of the claimed invention.</w:t>
      </w:r>
    </w:p>
    <w:p w:rsidR="00FC6737" w:rsidRDefault="0057347C" w:rsidP="00D24D65">
      <w:pPr>
        <w:pStyle w:val="ParaNumbering"/>
      </w:pPr>
      <w:r>
        <w:t>In</w:t>
      </w:r>
      <w:r w:rsidR="00461F7A">
        <w:t xml:space="preserve"> </w:t>
      </w:r>
      <w:r w:rsidR="00461F7A">
        <w:rPr>
          <w:i/>
        </w:rPr>
        <w:t xml:space="preserve">Vehicle Monitoring Systems Pty Ltd v </w:t>
      </w:r>
      <w:proofErr w:type="spellStart"/>
      <w:r w:rsidR="00461F7A">
        <w:rPr>
          <w:i/>
        </w:rPr>
        <w:t>Sarb</w:t>
      </w:r>
      <w:proofErr w:type="spellEnd"/>
      <w:r w:rsidR="00461F7A">
        <w:rPr>
          <w:i/>
        </w:rPr>
        <w:t xml:space="preserve"> Management Group Pty </w:t>
      </w:r>
      <w:r w:rsidR="00461F7A" w:rsidRPr="00461F7A">
        <w:rPr>
          <w:i/>
        </w:rPr>
        <w:t>Ltd (t/as Database Consultants Australia) (No 2)</w:t>
      </w:r>
      <w:r w:rsidR="00461F7A">
        <w:t xml:space="preserve"> (2013) 101 </w:t>
      </w:r>
      <w:proofErr w:type="spellStart"/>
      <w:r w:rsidR="00461F7A">
        <w:t>IPR</w:t>
      </w:r>
      <w:proofErr w:type="spellEnd"/>
      <w:r w:rsidR="00461F7A">
        <w:t xml:space="preserve"> 496 at [122], </w:t>
      </w:r>
      <w:r>
        <w:t xml:space="preserve">I pointed out that </w:t>
      </w:r>
      <w:r w:rsidR="00461F7A">
        <w:t xml:space="preserve">the test of fair basis for determining the priority date of a claim is not the same as the test </w:t>
      </w:r>
      <w:r w:rsidR="00FC6737">
        <w:t xml:space="preserve">for fair basis </w:t>
      </w:r>
      <w:r w:rsidR="00461F7A">
        <w:t xml:space="preserve">under s 40(3) of the Act, which concerns claim width and is directed, in a general sense, to ensuring internal consistency between that which is described as the invention, and that which is claimed as the invention.  This difference is reflected in the language of s 40(3), which requires that a claim be </w:t>
      </w:r>
      <w:r w:rsidR="00D24D65">
        <w:t xml:space="preserve">fairly based on “the matter described in the specification”.  In </w:t>
      </w:r>
      <w:proofErr w:type="spellStart"/>
      <w:r w:rsidR="00D24D65">
        <w:t>reg</w:t>
      </w:r>
      <w:proofErr w:type="spellEnd"/>
      <w:r w:rsidR="00D24D65">
        <w:t xml:space="preserve"> 3.12(1)(b), the inquiry is whether the claim is fairly based on “matter disclosed”.  The </w:t>
      </w:r>
      <w:r w:rsidR="00D24D65">
        <w:lastRenderedPageBreak/>
        <w:t xml:space="preserve">significance of the omission of the definite article “the” </w:t>
      </w:r>
      <w:r w:rsidR="00FC6737">
        <w:t xml:space="preserve">in relation to “matter” </w:t>
      </w:r>
      <w:r w:rsidR="00D24D65">
        <w:t>in</w:t>
      </w:r>
      <w:r w:rsidR="00FC6737">
        <w:t xml:space="preserve"> the test applied under </w:t>
      </w:r>
      <w:proofErr w:type="spellStart"/>
      <w:r w:rsidR="00FC6737">
        <w:t>reg</w:t>
      </w:r>
      <w:proofErr w:type="spellEnd"/>
      <w:r w:rsidR="00FC6737">
        <w:t> 3.12</w:t>
      </w:r>
      <w:r w:rsidR="00D24D65">
        <w:t xml:space="preserve">(1)(b) was specifically referred to and discussed in </w:t>
      </w:r>
      <w:proofErr w:type="spellStart"/>
      <w:r w:rsidR="00D24D65" w:rsidRPr="00D24D65">
        <w:rPr>
          <w:i/>
        </w:rPr>
        <w:t>Leonardis</w:t>
      </w:r>
      <w:proofErr w:type="spellEnd"/>
      <w:r w:rsidR="00D24D65" w:rsidRPr="00D24D65">
        <w:rPr>
          <w:i/>
        </w:rPr>
        <w:t xml:space="preserve"> v </w:t>
      </w:r>
      <w:proofErr w:type="spellStart"/>
      <w:r w:rsidR="00D24D65" w:rsidRPr="00D24D65">
        <w:rPr>
          <w:i/>
        </w:rPr>
        <w:t>Sartas</w:t>
      </w:r>
      <w:proofErr w:type="spellEnd"/>
      <w:r w:rsidR="00D24D65" w:rsidRPr="00D24D65">
        <w:rPr>
          <w:i/>
        </w:rPr>
        <w:t xml:space="preserve"> No 1 Pty Ltd</w:t>
      </w:r>
      <w:r w:rsidR="00D24D65">
        <w:t xml:space="preserve"> (1996) 67 </w:t>
      </w:r>
      <w:proofErr w:type="spellStart"/>
      <w:r w:rsidR="00D24D65">
        <w:t>FCR</w:t>
      </w:r>
      <w:proofErr w:type="spellEnd"/>
      <w:r w:rsidR="00D24D65">
        <w:t xml:space="preserve"> 1</w:t>
      </w:r>
      <w:r w:rsidR="0093417A">
        <w:t>2</w:t>
      </w:r>
      <w:r w:rsidR="00D24D65">
        <w:t xml:space="preserve">6 at 139, where the Full Court made clear that some part or parts of the overall disclosure made in </w:t>
      </w:r>
      <w:r w:rsidR="00FC6737">
        <w:t>the relevant priority document</w:t>
      </w:r>
      <w:r w:rsidR="00D24D65">
        <w:t xml:space="preserve"> can provide “matter” on which a claim can be fairly based for the purpose of assigning a priority date to the claim.  </w:t>
      </w:r>
    </w:p>
    <w:p w:rsidR="0051559D" w:rsidRDefault="00D24D65" w:rsidP="00D24D65">
      <w:pPr>
        <w:pStyle w:val="ParaNumbering"/>
      </w:pPr>
      <w:r>
        <w:t xml:space="preserve">Regard should also be had to the use of the word “disclosed” in </w:t>
      </w:r>
      <w:proofErr w:type="spellStart"/>
      <w:r>
        <w:t>reg</w:t>
      </w:r>
      <w:proofErr w:type="spellEnd"/>
      <w:r>
        <w:t xml:space="preserve"> 3.12(1)(b)</w:t>
      </w:r>
      <w:r w:rsidR="00FC6737">
        <w:t>,</w:t>
      </w:r>
      <w:r>
        <w:t xml:space="preserve"> </w:t>
      </w:r>
      <w:r w:rsidR="00FC6737">
        <w:t>contrasted with</w:t>
      </w:r>
      <w:r>
        <w:t xml:space="preserve"> the word “described” in s 40(3).  The word “described” as used in s 40(3) focuses attention on the invention </w:t>
      </w:r>
      <w:r w:rsidR="00FC6737">
        <w:t xml:space="preserve">that is required to be fully </w:t>
      </w:r>
      <w:r>
        <w:t>described in the specification</w:t>
      </w:r>
      <w:r w:rsidR="00FC6737">
        <w:t>:  see s 40(2).</w:t>
      </w:r>
      <w:r>
        <w:t xml:space="preserve">  </w:t>
      </w:r>
      <w:r w:rsidR="00FC6737">
        <w:t>However, in its particular context, the</w:t>
      </w:r>
      <w:r>
        <w:t xml:space="preserve"> word “disclosed” in </w:t>
      </w:r>
      <w:proofErr w:type="spellStart"/>
      <w:r>
        <w:t>reg</w:t>
      </w:r>
      <w:proofErr w:type="spellEnd"/>
      <w:r>
        <w:t xml:space="preserve"> 3.12(1)(b) is a more general expression</w:t>
      </w:r>
      <w:r w:rsidR="00FC6737">
        <w:t xml:space="preserve"> which, in conjunction with the word “matter”, reinforces that priority can be claimed by reference to some part or parts of the priority document.</w:t>
      </w:r>
    </w:p>
    <w:p w:rsidR="00E27716" w:rsidRDefault="00E27716" w:rsidP="00E27716">
      <w:pPr>
        <w:pStyle w:val="Heading1"/>
      </w:pPr>
      <w:r>
        <w:t>Do claims 1 and 3 define more than one form of the invention?</w:t>
      </w:r>
    </w:p>
    <w:p w:rsidR="00E27716" w:rsidRDefault="00E27716" w:rsidP="00E27716">
      <w:pPr>
        <w:pStyle w:val="Heading2"/>
      </w:pPr>
      <w:r>
        <w:t>Relevant case law</w:t>
      </w:r>
    </w:p>
    <w:p w:rsidR="00E27716" w:rsidRDefault="00C078F4" w:rsidP="004167F0">
      <w:pPr>
        <w:pStyle w:val="ParaNumbering"/>
      </w:pPr>
      <w:r>
        <w:t xml:space="preserve">The plurality in </w:t>
      </w:r>
      <w:r>
        <w:rPr>
          <w:i/>
        </w:rPr>
        <w:t xml:space="preserve">AstraZeneca AB v </w:t>
      </w:r>
      <w:proofErr w:type="spellStart"/>
      <w:r>
        <w:rPr>
          <w:i/>
        </w:rPr>
        <w:t>Apotex</w:t>
      </w:r>
      <w:proofErr w:type="spellEnd"/>
      <w:r>
        <w:rPr>
          <w:i/>
        </w:rPr>
        <w:t xml:space="preserve"> Pty Ltd</w:t>
      </w:r>
      <w:r>
        <w:t xml:space="preserve"> (2014) 226 </w:t>
      </w:r>
      <w:proofErr w:type="spellStart"/>
      <w:r>
        <w:t>FCR</w:t>
      </w:r>
      <w:proofErr w:type="spellEnd"/>
      <w:r>
        <w:t xml:space="preserve"> 324 at [250] briefly discussed the history of s 43(</w:t>
      </w:r>
      <w:r w:rsidR="00812FDF">
        <w:t>3</w:t>
      </w:r>
      <w:r>
        <w:t xml:space="preserve">) of the Act and its predecessor provision in the </w:t>
      </w:r>
      <w:r>
        <w:rPr>
          <w:i/>
        </w:rPr>
        <w:t>Patents Act 1952</w:t>
      </w:r>
      <w:r>
        <w:t xml:space="preserve"> (</w:t>
      </w:r>
      <w:proofErr w:type="spellStart"/>
      <w:r>
        <w:t>Cth</w:t>
      </w:r>
      <w:proofErr w:type="spellEnd"/>
      <w:r>
        <w:t>)</w:t>
      </w:r>
      <w:r w:rsidR="00812FDF">
        <w:t xml:space="preserve">, noting </w:t>
      </w:r>
      <w:r>
        <w:t xml:space="preserve">that these provisions were included to overcome the ruling in </w:t>
      </w:r>
      <w:proofErr w:type="spellStart"/>
      <w:r w:rsidR="008A14C5">
        <w:rPr>
          <w:i/>
        </w:rPr>
        <w:t>Thornhill’s</w:t>
      </w:r>
      <w:proofErr w:type="spellEnd"/>
      <w:r>
        <w:rPr>
          <w:i/>
        </w:rPr>
        <w:t xml:space="preserve"> Application</w:t>
      </w:r>
      <w:r>
        <w:t xml:space="preserve"> [1962] RPC 199.  </w:t>
      </w:r>
    </w:p>
    <w:p w:rsidR="00C078F4" w:rsidRDefault="00C078F4" w:rsidP="004167F0">
      <w:pPr>
        <w:pStyle w:val="ParaNumbering"/>
      </w:pPr>
      <w:r>
        <w:t xml:space="preserve">In </w:t>
      </w:r>
      <w:proofErr w:type="spellStart"/>
      <w:r w:rsidR="008A14C5">
        <w:rPr>
          <w:i/>
        </w:rPr>
        <w:t>Thornhill’s</w:t>
      </w:r>
      <w:proofErr w:type="spellEnd"/>
      <w:r w:rsidRPr="00C078F4">
        <w:rPr>
          <w:i/>
        </w:rPr>
        <w:t xml:space="preserve"> Application</w:t>
      </w:r>
      <w:r>
        <w:t xml:space="preserve">, </w:t>
      </w:r>
      <w:r w:rsidR="0093417A">
        <w:t>consideration was given to the drafting of the following claim</w:t>
      </w:r>
      <w:r w:rsidR="00781979">
        <w:t>.  It should be noted that the indices (a), (b)(</w:t>
      </w:r>
      <w:proofErr w:type="spellStart"/>
      <w:r w:rsidR="00781979">
        <w:t>i</w:t>
      </w:r>
      <w:proofErr w:type="spellEnd"/>
      <w:r w:rsidR="00781979">
        <w:t>), (b)(ii), (c) and (d) were added to the claim at the hearing</w:t>
      </w:r>
      <w:r w:rsidR="002665AC">
        <w:t xml:space="preserve"> before the Hearing Officer in that case</w:t>
      </w:r>
      <w:r w:rsidR="00781979">
        <w:t xml:space="preserve"> to illustrate the argument made.  The indices did not appear in the printed specification</w:t>
      </w:r>
      <w:r w:rsidR="0093417A">
        <w:t>:</w:t>
      </w:r>
    </w:p>
    <w:p w:rsidR="00267199" w:rsidRDefault="00F83747" w:rsidP="0093417A">
      <w:pPr>
        <w:pStyle w:val="Quote1"/>
        <w:ind w:left="1440" w:hanging="731"/>
      </w:pPr>
      <w:r>
        <w:t>1.</w:t>
      </w:r>
      <w:r>
        <w:tab/>
        <w:t xml:space="preserve">A method of producing a black tea concentrate (a) which consists in cutting, grinding, or otherwise finely dividing fresh green leaves of the tea tree, and (b) oxidising the </w:t>
      </w:r>
      <w:proofErr w:type="spellStart"/>
      <w:r>
        <w:t>comminuted</w:t>
      </w:r>
      <w:proofErr w:type="spellEnd"/>
      <w:r>
        <w:t xml:space="preserve"> particles either (</w:t>
      </w:r>
      <w:proofErr w:type="spellStart"/>
      <w:r>
        <w:t>i</w:t>
      </w:r>
      <w:proofErr w:type="spellEnd"/>
      <w:r>
        <w:t>) by exposing the raw mass to the action of the oxygen of the air until the mass becomes dark brown in colour and subsequently extracting by boiling water or steam the water-soluble</w:t>
      </w:r>
      <w:r w:rsidR="00B866C8">
        <w:t xml:space="preserve"> constituents of the leaves, or (ii) initially after </w:t>
      </w:r>
      <w:proofErr w:type="spellStart"/>
      <w:r w:rsidR="00B866C8">
        <w:t>comminuting</w:t>
      </w:r>
      <w:proofErr w:type="spellEnd"/>
      <w:r w:rsidR="00B866C8">
        <w:t xml:space="preserve"> the leaves extracting in the same way by percolation the soluble constituents of the leaves and introducing into the obtained solution a minute quantity of an oxidising inorganic substance, (c) subjecting the solution obtained in either way to heating in the open air at a temperature approaching the boiling point of water for a duration up to six hours until the required degree of oxidation is attained and until as a result o</w:t>
      </w:r>
      <w:r w:rsidR="0093417A">
        <w:t>f heating there occurs the poly</w:t>
      </w:r>
      <w:r w:rsidR="00B866C8">
        <w:t>mer</w:t>
      </w:r>
      <w:r w:rsidR="00087E3B">
        <w:t>i</w:t>
      </w:r>
      <w:r w:rsidR="00B866C8">
        <w:t>sation</w:t>
      </w:r>
      <w:r w:rsidR="00087E3B">
        <w:t xml:space="preserve"> </w:t>
      </w:r>
      <w:r w:rsidR="00B866C8">
        <w:t>of the tannin compounds polyphenol and catechol with constituents of the solution and the solution has lost its bitter taste inherent in the solution of the constituents of the green tea leaf, and (d) evaporating excess water.</w:t>
      </w:r>
    </w:p>
    <w:p w:rsidR="00C078F4" w:rsidRDefault="00C078F4" w:rsidP="004167F0">
      <w:pPr>
        <w:pStyle w:val="ParaNumbering"/>
      </w:pPr>
      <w:r>
        <w:t xml:space="preserve">The Hearing Officer described the </w:t>
      </w:r>
      <w:r w:rsidR="0093417A">
        <w:t>claim as follows:</w:t>
      </w:r>
    </w:p>
    <w:p w:rsidR="00087E3B" w:rsidRDefault="00087E3B" w:rsidP="00087E3B">
      <w:pPr>
        <w:pStyle w:val="Quote1"/>
      </w:pPr>
      <w:r>
        <w:lastRenderedPageBreak/>
        <w:t xml:space="preserve">It will be noted that claim 1 embodies two alternatives, i.e. it may be regarded as two claims </w:t>
      </w:r>
      <w:proofErr w:type="spellStart"/>
      <w:r>
        <w:t>1A</w:t>
      </w:r>
      <w:proofErr w:type="spellEnd"/>
      <w:r>
        <w:t xml:space="preserve"> and </w:t>
      </w:r>
      <w:proofErr w:type="spellStart"/>
      <w:r>
        <w:t>1B</w:t>
      </w:r>
      <w:proofErr w:type="spellEnd"/>
      <w:r>
        <w:t>, wherein:</w:t>
      </w:r>
      <w:r w:rsidR="0093417A">
        <w:t>—</w:t>
      </w:r>
    </w:p>
    <w:p w:rsidR="00087E3B" w:rsidRDefault="00087E3B" w:rsidP="007B187A">
      <w:pPr>
        <w:pStyle w:val="Quote2"/>
      </w:pPr>
      <w:proofErr w:type="spellStart"/>
      <w:r>
        <w:t>1A</w:t>
      </w:r>
      <w:proofErr w:type="spellEnd"/>
      <w:r>
        <w:t xml:space="preserve"> = a + b(</w:t>
      </w:r>
      <w:proofErr w:type="spellStart"/>
      <w:r>
        <w:t>i</w:t>
      </w:r>
      <w:proofErr w:type="spellEnd"/>
      <w:r>
        <w:t>) + c + d</w:t>
      </w:r>
    </w:p>
    <w:p w:rsidR="00087E3B" w:rsidRDefault="00087E3B" w:rsidP="00087E3B">
      <w:pPr>
        <w:pStyle w:val="Quote1"/>
      </w:pPr>
      <w:r>
        <w:t>and the method which may be represented as</w:t>
      </w:r>
    </w:p>
    <w:p w:rsidR="00087E3B" w:rsidRDefault="00087E3B" w:rsidP="007B187A">
      <w:pPr>
        <w:pStyle w:val="Quote2"/>
      </w:pPr>
      <w:proofErr w:type="spellStart"/>
      <w:r>
        <w:t>1B</w:t>
      </w:r>
      <w:proofErr w:type="spellEnd"/>
      <w:r>
        <w:t xml:space="preserve"> = a + b(ii) + c + d</w:t>
      </w:r>
    </w:p>
    <w:p w:rsidR="00087E3B" w:rsidRDefault="00087E3B" w:rsidP="00087E3B">
      <w:pPr>
        <w:pStyle w:val="Quote1"/>
      </w:pPr>
    </w:p>
    <w:p w:rsidR="00C078F4" w:rsidRDefault="00C078F4" w:rsidP="004167F0">
      <w:pPr>
        <w:pStyle w:val="ParaNumbering"/>
      </w:pPr>
      <w:r>
        <w:t xml:space="preserve">The Hearing Officer concluded that, as the claim could be regarded as two notional claims, each notional claim could be afforded its own priority date.  However, on appeal, Lloyd-Jacob J concluded </w:t>
      </w:r>
      <w:r w:rsidR="00813E93">
        <w:t xml:space="preserve">(at 207) </w:t>
      </w:r>
      <w:r>
        <w:t xml:space="preserve">that there was no provision in the </w:t>
      </w:r>
      <w:r w:rsidRPr="00154F74">
        <w:t>Patents Act 1949</w:t>
      </w:r>
      <w:r>
        <w:t xml:space="preserve"> (UK) that would warrant the attribution of two different priority dates to different parts of the one claim.</w:t>
      </w:r>
    </w:p>
    <w:p w:rsidR="00C078F4" w:rsidRDefault="00C078F4" w:rsidP="004167F0">
      <w:pPr>
        <w:pStyle w:val="ParaNumbering"/>
      </w:pPr>
      <w:r>
        <w:t xml:space="preserve">In </w:t>
      </w:r>
      <w:r>
        <w:rPr>
          <w:i/>
        </w:rPr>
        <w:t>AstraZeneca</w:t>
      </w:r>
      <w:r>
        <w:t xml:space="preserve">, </w:t>
      </w:r>
      <w:r w:rsidR="0093417A">
        <w:t xml:space="preserve">one of </w:t>
      </w:r>
      <w:r>
        <w:t>the claim</w:t>
      </w:r>
      <w:r w:rsidR="0093417A">
        <w:t>s</w:t>
      </w:r>
      <w:r>
        <w:t xml:space="preserve"> in question (claim 1</w:t>
      </w:r>
      <w:r w:rsidR="00813E93">
        <w:t xml:space="preserve"> of what was called the 842 or </w:t>
      </w:r>
      <w:proofErr w:type="spellStart"/>
      <w:r w:rsidR="00813E93">
        <w:t>cation</w:t>
      </w:r>
      <w:proofErr w:type="spellEnd"/>
      <w:r w:rsidR="00813E93">
        <w:t xml:space="preserve"> patent</w:t>
      </w:r>
      <w:r w:rsidR="0093417A">
        <w:t>) was as follows:</w:t>
      </w:r>
    </w:p>
    <w:p w:rsidR="001D136B" w:rsidRDefault="001D136B" w:rsidP="0093417A">
      <w:pPr>
        <w:pStyle w:val="Quote1"/>
        <w:ind w:left="1440" w:hanging="731"/>
      </w:pPr>
      <w:r>
        <w:t>1.</w:t>
      </w:r>
      <w:r>
        <w:tab/>
        <w:t>A pharmaceutical composition comprising [</w:t>
      </w:r>
      <w:proofErr w:type="spellStart"/>
      <w:r>
        <w:t>rosuvastatin</w:t>
      </w:r>
      <w:proofErr w:type="spellEnd"/>
      <w:r>
        <w:t xml:space="preserve">] or a pharmaceutically acceptable salt thereof as the active ingredient and an inorganic salt in which the </w:t>
      </w:r>
      <w:proofErr w:type="spellStart"/>
      <w:r>
        <w:t>cation</w:t>
      </w:r>
      <w:proofErr w:type="spellEnd"/>
      <w:r>
        <w:t xml:space="preserve"> is multivalent, provided that:</w:t>
      </w:r>
    </w:p>
    <w:p w:rsidR="001D136B" w:rsidRDefault="001D136B" w:rsidP="001D136B">
      <w:pPr>
        <w:pStyle w:val="Quote1"/>
      </w:pPr>
    </w:p>
    <w:p w:rsidR="001D136B" w:rsidRDefault="001D136B" w:rsidP="0093417A">
      <w:pPr>
        <w:pStyle w:val="Quote2"/>
      </w:pPr>
      <w:r>
        <w:t>(</w:t>
      </w:r>
      <w:proofErr w:type="spellStart"/>
      <w:r>
        <w:t>i</w:t>
      </w:r>
      <w:proofErr w:type="spellEnd"/>
      <w:r>
        <w:t>)</w:t>
      </w:r>
      <w:r>
        <w:tab/>
        <w:t xml:space="preserve">the inorganic salt is not </w:t>
      </w:r>
      <w:proofErr w:type="spellStart"/>
      <w:r>
        <w:t>hydrotalcite</w:t>
      </w:r>
      <w:proofErr w:type="spellEnd"/>
      <w:r>
        <w:t xml:space="preserve"> or synthetic </w:t>
      </w:r>
      <w:proofErr w:type="spellStart"/>
      <w:r>
        <w:t>hydrotalcite</w:t>
      </w:r>
      <w:proofErr w:type="spellEnd"/>
      <w:r>
        <w:t>; and</w:t>
      </w:r>
    </w:p>
    <w:p w:rsidR="001D136B" w:rsidRDefault="001D136B" w:rsidP="0093417A">
      <w:pPr>
        <w:pStyle w:val="Quote2"/>
      </w:pPr>
    </w:p>
    <w:p w:rsidR="001D136B" w:rsidRDefault="001D136B" w:rsidP="0093417A">
      <w:pPr>
        <w:pStyle w:val="Quote2"/>
      </w:pPr>
      <w:r>
        <w:t>(ii)</w:t>
      </w:r>
      <w:r>
        <w:tab/>
        <w:t>the counter anion to the inorganic salt is not a phosphate.</w:t>
      </w:r>
    </w:p>
    <w:p w:rsidR="00C078F4" w:rsidRDefault="00813E93" w:rsidP="004167F0">
      <w:pPr>
        <w:pStyle w:val="ParaNumbering"/>
      </w:pPr>
      <w:r>
        <w:t>At [251], the</w:t>
      </w:r>
      <w:r w:rsidR="00C078F4">
        <w:t xml:space="preserve"> plurality concluded</w:t>
      </w:r>
      <w:r w:rsidR="0093417A">
        <w:t xml:space="preserve"> (Jessup J agreeing at [447]):</w:t>
      </w:r>
    </w:p>
    <w:p w:rsidR="007C0510" w:rsidRDefault="007C0510" w:rsidP="0093417A">
      <w:pPr>
        <w:pStyle w:val="Quote1"/>
        <w:ind w:left="1440" w:hanging="731"/>
      </w:pPr>
      <w:r w:rsidRPr="007C0510">
        <w:t>251</w:t>
      </w:r>
      <w:r w:rsidRPr="007C0510">
        <w:tab/>
        <w:t xml:space="preserve">In our view, claim 1 of the 842 or </w:t>
      </w:r>
      <w:proofErr w:type="spellStart"/>
      <w:r w:rsidRPr="007C0510">
        <w:t>cation</w:t>
      </w:r>
      <w:proofErr w:type="spellEnd"/>
      <w:r w:rsidRPr="007C0510">
        <w:t xml:space="preserve"> patent does not define more than one form of the invention.  Unlike the claim in issue in </w:t>
      </w:r>
      <w:proofErr w:type="spellStart"/>
      <w:r w:rsidRPr="007C0510">
        <w:rPr>
          <w:i/>
        </w:rPr>
        <w:t>Thornhill’s</w:t>
      </w:r>
      <w:proofErr w:type="spellEnd"/>
      <w:r w:rsidRPr="007C0510">
        <w:rPr>
          <w:i/>
        </w:rPr>
        <w:t xml:space="preserve"> Application</w:t>
      </w:r>
      <w:r w:rsidRPr="007C0510">
        <w:t xml:space="preserve">, claim 1 of the 842 or </w:t>
      </w:r>
      <w:proofErr w:type="spellStart"/>
      <w:r w:rsidRPr="007C0510">
        <w:t>cation</w:t>
      </w:r>
      <w:proofErr w:type="spellEnd"/>
      <w:r w:rsidRPr="007C0510">
        <w:t xml:space="preserve"> patent does not by its terms allow for any alternatives or, adopting the language of s 43(3), different forms of the same invention.  Claim 1 </w:t>
      </w:r>
      <w:r w:rsidRPr="007C0510">
        <w:rPr>
          <w:i/>
        </w:rPr>
        <w:t>defines</w:t>
      </w:r>
      <w:r w:rsidRPr="007C0510">
        <w:t xml:space="preserve"> only one form of the invention even though there will be any number of potential variants that are within its scope.  We do not think s 43(3) is intended to treat every potential variant of the defined invention as if it was a form of the invention that must be treated as a separate claim which is to be given its own priority date.  Rather, it is intended to deal with very different situations such as that which arose in </w:t>
      </w:r>
      <w:proofErr w:type="spellStart"/>
      <w:r w:rsidRPr="007C0510">
        <w:rPr>
          <w:i/>
        </w:rPr>
        <w:t>Thornhill’s</w:t>
      </w:r>
      <w:proofErr w:type="spellEnd"/>
      <w:r w:rsidRPr="007C0510">
        <w:rPr>
          <w:i/>
        </w:rPr>
        <w:t xml:space="preserve"> Application</w:t>
      </w:r>
      <w:r w:rsidRPr="007C0510">
        <w:t xml:space="preserve"> or where, to take a slightly different example, a claim is dependent on one or more independent claims (claim 3 of the 842 or </w:t>
      </w:r>
      <w:proofErr w:type="spellStart"/>
      <w:r w:rsidRPr="007C0510">
        <w:t>cation</w:t>
      </w:r>
      <w:proofErr w:type="spellEnd"/>
      <w:r w:rsidRPr="007C0510">
        <w:t xml:space="preserve"> patent takes this form) each of which has a different priority date.  We therefore reject AstraZeneca’s submission based upon s 43(3) of the Act.</w:t>
      </w:r>
    </w:p>
    <w:p w:rsidR="0093417A" w:rsidRDefault="0093417A" w:rsidP="0093417A">
      <w:pPr>
        <w:pStyle w:val="Quote1"/>
        <w:ind w:left="1440" w:hanging="731"/>
      </w:pPr>
    </w:p>
    <w:p w:rsidR="0093417A" w:rsidRDefault="0093417A" w:rsidP="0093417A">
      <w:pPr>
        <w:pStyle w:val="Quote1"/>
        <w:ind w:left="1440" w:hanging="731"/>
      </w:pPr>
      <w:r>
        <w:t>(Emphasis in original.)</w:t>
      </w:r>
    </w:p>
    <w:p w:rsidR="00C078F4" w:rsidRDefault="00C078F4" w:rsidP="004167F0">
      <w:pPr>
        <w:pStyle w:val="ParaNumbering"/>
      </w:pPr>
      <w:r>
        <w:t xml:space="preserve">The corresponding provision in the United Kingdom is s 125 of the </w:t>
      </w:r>
      <w:r w:rsidRPr="00DE0405">
        <w:t>Patents Act 1977</w:t>
      </w:r>
      <w:r>
        <w:t xml:space="preserve"> (UK).  S</w:t>
      </w:r>
      <w:r w:rsidR="0093417A">
        <w:t>ection 125 relevantly provides:</w:t>
      </w:r>
    </w:p>
    <w:p w:rsidR="00645093" w:rsidRDefault="00645093" w:rsidP="0093417A">
      <w:pPr>
        <w:pStyle w:val="Quote1"/>
        <w:ind w:left="0" w:firstLine="720"/>
      </w:pPr>
      <w:r w:rsidRPr="0093417A">
        <w:rPr>
          <w:b/>
        </w:rPr>
        <w:t>125</w:t>
      </w:r>
      <w:r>
        <w:tab/>
      </w:r>
      <w:r>
        <w:rPr>
          <w:b/>
        </w:rPr>
        <w:t>Extent of invention</w:t>
      </w:r>
    </w:p>
    <w:p w:rsidR="00645093" w:rsidRDefault="00645093" w:rsidP="00645093">
      <w:pPr>
        <w:pStyle w:val="Quote1"/>
      </w:pPr>
    </w:p>
    <w:p w:rsidR="00645093" w:rsidRDefault="00645093" w:rsidP="007B187A">
      <w:pPr>
        <w:pStyle w:val="Quote2"/>
        <w:numPr>
          <w:ilvl w:val="0"/>
          <w:numId w:val="34"/>
        </w:numPr>
      </w:pPr>
      <w:r>
        <w:t xml:space="preserve">For the purposes of this Act an invention for a patent for which an application has been made or for which a patent has been granted shall, </w:t>
      </w:r>
      <w:r>
        <w:lastRenderedPageBreak/>
        <w:t>unless the context otherwise requires, be taken to be that specified in a claim of the specification of the application or patent, as the case may be, as interpreted by the description and any drawings contained in that specification, and the extent of the protection conferred by a patent or application for a patent shall be determined accordingly.</w:t>
      </w:r>
    </w:p>
    <w:p w:rsidR="00645093" w:rsidRDefault="00645093" w:rsidP="007B187A">
      <w:pPr>
        <w:pStyle w:val="Quote2"/>
      </w:pPr>
    </w:p>
    <w:p w:rsidR="00645093" w:rsidRDefault="00645093" w:rsidP="007B187A">
      <w:pPr>
        <w:pStyle w:val="Quote2"/>
        <w:numPr>
          <w:ilvl w:val="0"/>
          <w:numId w:val="34"/>
        </w:numPr>
      </w:pPr>
      <w:r>
        <w:t>It is hereby declared for the avoidance of doubt that where more than one invention is specified in any such claim, each invention may have a different priority date under section 5 above.</w:t>
      </w:r>
    </w:p>
    <w:p w:rsidR="00645093" w:rsidRDefault="00645093" w:rsidP="00645093">
      <w:pPr>
        <w:pStyle w:val="Quote1"/>
        <w:ind w:left="0"/>
      </w:pPr>
    </w:p>
    <w:p w:rsidR="00645093" w:rsidRDefault="00645093" w:rsidP="00DA3760">
      <w:pPr>
        <w:pStyle w:val="Quote2"/>
      </w:pPr>
      <w:r>
        <w:t>…</w:t>
      </w:r>
    </w:p>
    <w:p w:rsidR="00C078F4" w:rsidRDefault="00C078F4" w:rsidP="004167F0">
      <w:pPr>
        <w:pStyle w:val="ParaNumbering"/>
      </w:pPr>
      <w:r>
        <w:t>In</w:t>
      </w:r>
      <w:r w:rsidR="0093417A">
        <w:t xml:space="preserve"> Miller R, </w:t>
      </w:r>
      <w:proofErr w:type="spellStart"/>
      <w:r w:rsidR="0093417A">
        <w:t>Burkill</w:t>
      </w:r>
      <w:proofErr w:type="spellEnd"/>
      <w:r w:rsidR="0093417A">
        <w:t xml:space="preserve"> G, </w:t>
      </w:r>
      <w:proofErr w:type="spellStart"/>
      <w:r w:rsidR="0093417A">
        <w:t>Birss</w:t>
      </w:r>
      <w:proofErr w:type="spellEnd"/>
      <w:r w:rsidR="0093417A">
        <w:t xml:space="preserve"> C and Campbell D</w:t>
      </w:r>
      <w:r w:rsidR="00FC73AD">
        <w:t xml:space="preserve">, </w:t>
      </w:r>
      <w:r w:rsidR="008A14C5" w:rsidRPr="008A14C5">
        <w:rPr>
          <w:i/>
        </w:rPr>
        <w:t xml:space="preserve">Terrell </w:t>
      </w:r>
      <w:r w:rsidRPr="008A14C5">
        <w:rPr>
          <w:i/>
        </w:rPr>
        <w:t>on the Law of Patents</w:t>
      </w:r>
      <w:r w:rsidRPr="00C078F4">
        <w:t xml:space="preserve"> </w:t>
      </w:r>
      <w:r w:rsidR="00FC73AD">
        <w:t>(</w:t>
      </w:r>
      <w:r w:rsidRPr="00C078F4">
        <w:t>1</w:t>
      </w:r>
      <w:r>
        <w:t>7</w:t>
      </w:r>
      <w:r w:rsidR="00FC73AD">
        <w:t>th</w:t>
      </w:r>
      <w:r w:rsidR="008A14C5">
        <w:t xml:space="preserve"> </w:t>
      </w:r>
      <w:proofErr w:type="spellStart"/>
      <w:r w:rsidR="008A14C5">
        <w:t>e</w:t>
      </w:r>
      <w:r>
        <w:t>d</w:t>
      </w:r>
      <w:proofErr w:type="spellEnd"/>
      <w:r w:rsidR="00FC73AD">
        <w:t>, Sweet and Maxwell, 2011), the authors state (at 7-12):</w:t>
      </w:r>
    </w:p>
    <w:p w:rsidR="00FC73AD" w:rsidRPr="00FC73AD" w:rsidRDefault="00FC73AD" w:rsidP="00FC73AD">
      <w:pPr>
        <w:pStyle w:val="Quote1"/>
        <w:ind w:left="1440" w:hanging="731"/>
        <w:rPr>
          <w:b/>
        </w:rPr>
      </w:pPr>
      <w:r>
        <w:rPr>
          <w:b/>
        </w:rPr>
        <w:t>When can a claim have multiple priorities?</w:t>
      </w:r>
    </w:p>
    <w:p w:rsidR="00FC73AD" w:rsidRDefault="00FC73AD" w:rsidP="00FC73AD">
      <w:pPr>
        <w:pStyle w:val="Quote1"/>
        <w:ind w:left="1440" w:hanging="731"/>
      </w:pPr>
    </w:p>
    <w:p w:rsidR="0090515D" w:rsidRDefault="0090515D" w:rsidP="00FC73AD">
      <w:pPr>
        <w:pStyle w:val="Quote1"/>
        <w:ind w:left="1440" w:hanging="731"/>
      </w:pPr>
      <w:r>
        <w:t>7-12</w:t>
      </w:r>
      <w:r>
        <w:tab/>
        <w:t>If a claim is drafted in such a way that it encompasses clear alternatives</w:t>
      </w:r>
      <w:r w:rsidR="00FC73AD">
        <w:t>—</w:t>
      </w:r>
      <w:r>
        <w:t>for example, a claim wh</w:t>
      </w:r>
      <w:r w:rsidR="00C474E1">
        <w:t>ich defines a chemical compound</w:t>
      </w:r>
      <w:r>
        <w:t xml:space="preserve"> by reference to a structure which may take identified alternative forms</w:t>
      </w:r>
      <w:r w:rsidR="00FC73AD">
        <w:t>—</w:t>
      </w:r>
      <w:r>
        <w:t xml:space="preserve">then attributing multiple </w:t>
      </w:r>
      <w:r w:rsidR="00C474E1">
        <w:t>priorities</w:t>
      </w:r>
      <w:r>
        <w:t xml:space="preserve"> </w:t>
      </w:r>
      <w:r w:rsidR="00C474E1">
        <w:t>is unlikely to cause difficulty</w:t>
      </w:r>
      <w:r>
        <w:t>.  In effect, the claim can be regarded as being made up of several discrete claims or</w:t>
      </w:r>
      <w:r w:rsidR="00FC73AD">
        <w:t>—</w:t>
      </w:r>
      <w:r>
        <w:t>in the words of section 125(2)</w:t>
      </w:r>
      <w:r w:rsidR="00FC73AD" w:rsidRPr="00FC73AD">
        <w:t xml:space="preserve"> </w:t>
      </w:r>
      <w:r w:rsidR="00FC73AD">
        <w:t>—</w:t>
      </w:r>
      <w:r>
        <w:t xml:space="preserve">as </w:t>
      </w:r>
      <w:r w:rsidR="00C474E1">
        <w:t>specifying</w:t>
      </w:r>
      <w:r>
        <w:t xml:space="preserve"> more than one invention, each with a different priority date.  However, it is difficult to see how a broad claim which does not set out alternatives as such could be regarded as specifying more than one invention, and it is hard to see</w:t>
      </w:r>
      <w:r w:rsidR="00C474E1">
        <w:t xml:space="preserve"> how such a claim could allow for multiple priorities to be claimed.  This is in line with the approach taken by the European Patent Office.</w:t>
      </w:r>
    </w:p>
    <w:p w:rsidR="00FC73AD" w:rsidRDefault="00FC73AD" w:rsidP="00FC73AD">
      <w:pPr>
        <w:pStyle w:val="Quote1"/>
        <w:ind w:left="1440" w:hanging="731"/>
      </w:pPr>
    </w:p>
    <w:p w:rsidR="00FC73AD" w:rsidRDefault="00FC73AD" w:rsidP="00FC73AD">
      <w:pPr>
        <w:pStyle w:val="Quote1"/>
        <w:ind w:left="1440" w:hanging="731"/>
      </w:pPr>
      <w:r>
        <w:t>(Citations omitted.)</w:t>
      </w:r>
    </w:p>
    <w:p w:rsidR="00C078F4" w:rsidRDefault="00C078F4" w:rsidP="004167F0">
      <w:pPr>
        <w:pStyle w:val="ParaNumbering"/>
      </w:pPr>
      <w:r>
        <w:t xml:space="preserve">Section 125(2) of the </w:t>
      </w:r>
      <w:r w:rsidRPr="00DE0405">
        <w:t>Patents Act 1977</w:t>
      </w:r>
      <w:r>
        <w:t xml:space="preserve"> (UK) was considered in </w:t>
      </w:r>
      <w:proofErr w:type="spellStart"/>
      <w:r w:rsidR="00FC73AD">
        <w:rPr>
          <w:i/>
        </w:rPr>
        <w:t>Hallen</w:t>
      </w:r>
      <w:proofErr w:type="spellEnd"/>
      <w:r w:rsidR="00FC73AD">
        <w:rPr>
          <w:i/>
        </w:rPr>
        <w:t xml:space="preserve"> Company</w:t>
      </w:r>
      <w:r w:rsidR="008A14C5" w:rsidRPr="003A3B9D">
        <w:rPr>
          <w:i/>
        </w:rPr>
        <w:t xml:space="preserve"> v </w:t>
      </w:r>
      <w:proofErr w:type="spellStart"/>
      <w:r w:rsidR="008A14C5" w:rsidRPr="003A3B9D">
        <w:rPr>
          <w:i/>
        </w:rPr>
        <w:t>Brabantia</w:t>
      </w:r>
      <w:proofErr w:type="spellEnd"/>
      <w:r w:rsidRPr="003A3B9D">
        <w:rPr>
          <w:i/>
        </w:rPr>
        <w:t xml:space="preserve"> (UK) Ltd</w:t>
      </w:r>
      <w:r>
        <w:t xml:space="preserve"> [1990] </w:t>
      </w:r>
      <w:proofErr w:type="spellStart"/>
      <w:r>
        <w:t>F</w:t>
      </w:r>
      <w:r w:rsidR="00813E93">
        <w:t>S</w:t>
      </w:r>
      <w:r>
        <w:t>R</w:t>
      </w:r>
      <w:proofErr w:type="spellEnd"/>
      <w:r>
        <w:t xml:space="preserve"> 134.  In that case, a particular claim (claim 9) claimed “an apparatus according to any preceding claim”.  Aldous J construed the claim as being a number of </w:t>
      </w:r>
      <w:r w:rsidR="0090515D">
        <w:t>discrete</w:t>
      </w:r>
      <w:r>
        <w:t xml:space="preserve"> claims, and not a composite</w:t>
      </w:r>
      <w:r w:rsidR="00FC73AD">
        <w:t xml:space="preserve"> claim.  At 140, Aldous J said:</w:t>
      </w:r>
    </w:p>
    <w:p w:rsidR="00C078F4" w:rsidRDefault="001007B6" w:rsidP="003A3B9D">
      <w:pPr>
        <w:pStyle w:val="Quote1"/>
      </w:pPr>
      <w:r>
        <w:t>The use of the words “apparatus according to any preceding claim” is a shorthand way of writing out a large number of claims.  For instance, if those words are used in claim 3 of a patent having three claims, what is being claimed, and claimed separately, is the combination of claims 1 and 3 and claims 1, 2 and 3.  To hold to the contrary</w:t>
      </w:r>
      <w:r w:rsidR="003A3B9D">
        <w:t xml:space="preserve"> …</w:t>
      </w:r>
      <w:r>
        <w:t xml:space="preserve"> would mean that the patentees in the future would have to write out each combination as a separate claim which would lead to even more claims in patents than there are now</w:t>
      </w:r>
      <w:r w:rsidR="00FC73AD">
        <w:t>.</w:t>
      </w:r>
      <w:r>
        <w:t xml:space="preserve"> </w:t>
      </w:r>
      <w:r w:rsidR="00C078F4">
        <w:t xml:space="preserve">  </w:t>
      </w:r>
    </w:p>
    <w:p w:rsidR="00C27CB2" w:rsidRDefault="00C078F4" w:rsidP="004167F0">
      <w:pPr>
        <w:pStyle w:val="ParaNumbering"/>
      </w:pPr>
      <w:r>
        <w:t xml:space="preserve">In </w:t>
      </w:r>
      <w:r>
        <w:rPr>
          <w:i/>
        </w:rPr>
        <w:t>Merck &amp; Company (</w:t>
      </w:r>
      <w:proofErr w:type="spellStart"/>
      <w:r>
        <w:rPr>
          <w:i/>
        </w:rPr>
        <w:t>Macek’s</w:t>
      </w:r>
      <w:proofErr w:type="spellEnd"/>
      <w:r w:rsidR="00C27CB2">
        <w:rPr>
          <w:i/>
        </w:rPr>
        <w:t>) Patent</w:t>
      </w:r>
      <w:r w:rsidR="00C27CB2">
        <w:t xml:space="preserve"> [1967] RPC 157, Lloyd-Jacob J considered an allegation of prior claiming in relation to a number of claims in a granted patent, i</w:t>
      </w:r>
      <w:r w:rsidR="00FC73AD">
        <w:t>ncluding the following:</w:t>
      </w:r>
      <w:r w:rsidR="00FD18DE">
        <w:t xml:space="preserve"> </w:t>
      </w:r>
    </w:p>
    <w:p w:rsidR="00FD18DE" w:rsidRDefault="00FD18DE" w:rsidP="00FC73AD">
      <w:pPr>
        <w:pStyle w:val="Quote1"/>
        <w:ind w:left="1440" w:hanging="731"/>
      </w:pPr>
      <w:r>
        <w:t>1.</w:t>
      </w:r>
      <w:r>
        <w:tab/>
        <w:t xml:space="preserve">A composition having enhanced bactericidal activity comprising </w:t>
      </w:r>
      <w:proofErr w:type="spellStart"/>
      <w:r>
        <w:t>novobiocin</w:t>
      </w:r>
      <w:proofErr w:type="spellEnd"/>
      <w:r>
        <w:t xml:space="preserve"> in combination with at least one other antibiotic selected from the following, namely, penicillin, tetracycline, </w:t>
      </w:r>
      <w:proofErr w:type="spellStart"/>
      <w:r>
        <w:t>oxytetracycline</w:t>
      </w:r>
      <w:proofErr w:type="spellEnd"/>
      <w:r>
        <w:t xml:space="preserve">, chlortetracycline, </w:t>
      </w:r>
      <w:r>
        <w:lastRenderedPageBreak/>
        <w:t xml:space="preserve">streptomycin, chloramphenicol, bacitracin, neomycin, </w:t>
      </w:r>
      <w:proofErr w:type="spellStart"/>
      <w:r>
        <w:t>spiramycin</w:t>
      </w:r>
      <w:proofErr w:type="spellEnd"/>
      <w:r>
        <w:t xml:space="preserve">, streptothricin and </w:t>
      </w:r>
      <w:proofErr w:type="spellStart"/>
      <w:r>
        <w:t>gris</w:t>
      </w:r>
      <w:r w:rsidR="0060508F">
        <w:t>e</w:t>
      </w:r>
      <w:r>
        <w:t>in</w:t>
      </w:r>
      <w:proofErr w:type="spellEnd"/>
      <w:r>
        <w:t>.</w:t>
      </w:r>
    </w:p>
    <w:p w:rsidR="00C27CB2" w:rsidRDefault="00C27CB2" w:rsidP="004167F0">
      <w:pPr>
        <w:pStyle w:val="ParaNumbering"/>
      </w:pPr>
      <w:r>
        <w:t xml:space="preserve">As to the construction of </w:t>
      </w:r>
      <w:r w:rsidR="00FC73AD">
        <w:t>this claim, Lloyd-Jacob J said:</w:t>
      </w:r>
    </w:p>
    <w:p w:rsidR="009D1986" w:rsidRDefault="009D1986" w:rsidP="009D1986">
      <w:pPr>
        <w:pStyle w:val="Quote1"/>
      </w:pPr>
      <w:r>
        <w:t>The claim, it will be seen,</w:t>
      </w:r>
      <w:r w:rsidR="00B64436">
        <w:t xml:space="preserve"> is of the comprehensive type permitting of alternative additions to </w:t>
      </w:r>
      <w:proofErr w:type="spellStart"/>
      <w:r w:rsidR="00B64436">
        <w:t>novobiocin</w:t>
      </w:r>
      <w:proofErr w:type="spellEnd"/>
      <w:r w:rsidR="00B64436">
        <w:t xml:space="preserve">, which alternative </w:t>
      </w:r>
      <w:r w:rsidR="00DD32C9">
        <w:t>additions</w:t>
      </w:r>
      <w:r w:rsidR="002F507B">
        <w:t xml:space="preserve"> </w:t>
      </w:r>
      <w:r w:rsidR="00DD32C9">
        <w:t>consist</w:t>
      </w:r>
      <w:r w:rsidR="002F507B">
        <w:t xml:space="preserve"> of one or more of </w:t>
      </w:r>
      <w:r w:rsidR="00B64436">
        <w:t xml:space="preserve">the named antibiotics.  It is a convenient summation of what is in effect a number of separate claims to different compositions of which some will relate to compositions having two </w:t>
      </w:r>
      <w:r w:rsidR="00DD32C9">
        <w:t>ingredients</w:t>
      </w:r>
      <w:r w:rsidR="00B64436">
        <w:t xml:space="preserve"> and some to three or more ingredients.</w:t>
      </w:r>
    </w:p>
    <w:p w:rsidR="00B64436" w:rsidRDefault="00B64436" w:rsidP="009D1986">
      <w:pPr>
        <w:pStyle w:val="Quote1"/>
      </w:pPr>
    </w:p>
    <w:p w:rsidR="00B64436" w:rsidRDefault="00B64436" w:rsidP="009D1986">
      <w:pPr>
        <w:pStyle w:val="Quote1"/>
      </w:pPr>
      <w:r>
        <w:t>The first notional rewriting of this claim to make plain this differentiation would be:  (A) “A composition having enhanced bacteri</w:t>
      </w:r>
      <w:r w:rsidR="00FC73AD">
        <w:t>cid</w:t>
      </w:r>
      <w:r>
        <w:t xml:space="preserve">al activity comprising </w:t>
      </w:r>
      <w:proofErr w:type="spellStart"/>
      <w:r>
        <w:t>novobiocin</w:t>
      </w:r>
      <w:proofErr w:type="spellEnd"/>
      <w:r>
        <w:t xml:space="preserve"> in combination with one other antibiotic selected from the following, namely, penicillin, tetracycline, </w:t>
      </w:r>
      <w:proofErr w:type="spellStart"/>
      <w:r>
        <w:t>oxytetracycline</w:t>
      </w:r>
      <w:proofErr w:type="spellEnd"/>
      <w:r>
        <w:t xml:space="preserve">, chlortetracycline, streptomycin, chloramphenicol, bacitracin, neomycin, </w:t>
      </w:r>
      <w:proofErr w:type="spellStart"/>
      <w:r>
        <w:t>spiramycin</w:t>
      </w:r>
      <w:proofErr w:type="spellEnd"/>
      <w:r w:rsidR="00FC73AD">
        <w:t>,</w:t>
      </w:r>
      <w:r>
        <w:t xml:space="preserve"> streptothricin and </w:t>
      </w:r>
      <w:proofErr w:type="spellStart"/>
      <w:r>
        <w:t>grisein</w:t>
      </w:r>
      <w:proofErr w:type="spellEnd"/>
      <w:r>
        <w:t xml:space="preserve">.”  (B) “a composition . . . </w:t>
      </w:r>
      <w:r w:rsidR="00217F27">
        <w:t xml:space="preserve">comprising </w:t>
      </w:r>
      <w:proofErr w:type="spellStart"/>
      <w:r w:rsidR="00217F27">
        <w:t>novobiocin</w:t>
      </w:r>
      <w:proofErr w:type="spellEnd"/>
      <w:r w:rsidR="00217F27">
        <w:t xml:space="preserve"> in combination with two or more antibiotics selected from the following, namely, penicillin, tetracycline, </w:t>
      </w:r>
      <w:proofErr w:type="spellStart"/>
      <w:r w:rsidR="00217F27">
        <w:t>oxytetracycline</w:t>
      </w:r>
      <w:proofErr w:type="spellEnd"/>
      <w:r w:rsidR="00217F27">
        <w:t xml:space="preserve">, chlortetracycline, streptomycin, chloramphenicol, bacitracin, neomycin, </w:t>
      </w:r>
      <w:proofErr w:type="spellStart"/>
      <w:r w:rsidR="00217F27">
        <w:t>spiramycin</w:t>
      </w:r>
      <w:proofErr w:type="spellEnd"/>
      <w:r w:rsidR="00217F27">
        <w:t xml:space="preserve">, streptothricin and </w:t>
      </w:r>
      <w:proofErr w:type="spellStart"/>
      <w:r w:rsidR="00217F27">
        <w:t>grisein</w:t>
      </w:r>
      <w:proofErr w:type="spellEnd"/>
      <w:r w:rsidR="00217F27">
        <w:t>.”</w:t>
      </w:r>
    </w:p>
    <w:p w:rsidR="00217F27" w:rsidRDefault="00217F27" w:rsidP="009D1986">
      <w:pPr>
        <w:pStyle w:val="Quote1"/>
      </w:pPr>
    </w:p>
    <w:p w:rsidR="00217F27" w:rsidRDefault="00217F27" w:rsidP="009D1986">
      <w:pPr>
        <w:pStyle w:val="Quote1"/>
      </w:pPr>
      <w:r>
        <w:t>Of these two notional d</w:t>
      </w:r>
      <w:r w:rsidR="00DD32C9">
        <w:t>ivisions of claim 1 only “A” is</w:t>
      </w:r>
      <w:r>
        <w:t xml:space="preserve"> relevant and this</w:t>
      </w:r>
      <w:r w:rsidR="00DD32C9">
        <w:t xml:space="preserve"> </w:t>
      </w:r>
      <w:r>
        <w:t xml:space="preserve">may be notionally further rewritten in the form of eleven independent claims in the form, (C) “A composition . . . comprising </w:t>
      </w:r>
      <w:proofErr w:type="spellStart"/>
      <w:r>
        <w:t>novobiocin</w:t>
      </w:r>
      <w:proofErr w:type="spellEnd"/>
      <w:r>
        <w:t xml:space="preserve"> in combination with penicillin”; (D) “A composition . . . comprising </w:t>
      </w:r>
      <w:proofErr w:type="spellStart"/>
      <w:r>
        <w:t>novobiocin</w:t>
      </w:r>
      <w:proofErr w:type="spellEnd"/>
      <w:r>
        <w:t xml:space="preserve"> in combination with tetracycline”; (E) “A composition  . . . </w:t>
      </w:r>
      <w:r w:rsidR="00DD32C9">
        <w:t xml:space="preserve">comprising </w:t>
      </w:r>
      <w:proofErr w:type="spellStart"/>
      <w:r>
        <w:t>novobiocin</w:t>
      </w:r>
      <w:proofErr w:type="spellEnd"/>
      <w:r>
        <w:t xml:space="preserve"> in combination with </w:t>
      </w:r>
      <w:proofErr w:type="spellStart"/>
      <w:r>
        <w:t>oxytetracy</w:t>
      </w:r>
      <w:r w:rsidR="00DD32C9">
        <w:t>c</w:t>
      </w:r>
      <w:r>
        <w:t>line</w:t>
      </w:r>
      <w:proofErr w:type="spellEnd"/>
      <w:r>
        <w:t xml:space="preserve">”; (F) “A composition . . .  comprising </w:t>
      </w:r>
      <w:proofErr w:type="spellStart"/>
      <w:r>
        <w:t>novobiocin</w:t>
      </w:r>
      <w:proofErr w:type="spellEnd"/>
      <w:r>
        <w:t xml:space="preserve"> in combination with chlortetracycline”; and so on through the list.</w:t>
      </w:r>
    </w:p>
    <w:p w:rsidR="00C27CB2" w:rsidRDefault="00C27CB2" w:rsidP="004167F0">
      <w:pPr>
        <w:pStyle w:val="ParaNumbering"/>
      </w:pPr>
      <w:r>
        <w:t xml:space="preserve">Although dealing with prior claiming, </w:t>
      </w:r>
      <w:r>
        <w:rPr>
          <w:i/>
        </w:rPr>
        <w:t>Merck</w:t>
      </w:r>
      <w:r>
        <w:t xml:space="preserve"> provides guidance </w:t>
      </w:r>
      <w:r w:rsidR="00C0280F">
        <w:t>on</w:t>
      </w:r>
      <w:r>
        <w:t xml:space="preserve"> how claims of the kind there under consideration are to be construed.  The applicant placed reliance on </w:t>
      </w:r>
      <w:r>
        <w:rPr>
          <w:i/>
        </w:rPr>
        <w:t>Merck</w:t>
      </w:r>
      <w:r>
        <w:t xml:space="preserve"> because the relevant claim had drafting similarities to claims 1 and 3 of the </w:t>
      </w:r>
      <w:r w:rsidR="00C0280F">
        <w:t>355</w:t>
      </w:r>
      <w:r>
        <w:t xml:space="preserve"> specification in that each </w:t>
      </w:r>
      <w:r w:rsidR="003A3B9D">
        <w:t xml:space="preserve">of these claims </w:t>
      </w:r>
      <w:r>
        <w:t>provides an explicit selection step leading to various combinations</w:t>
      </w:r>
      <w:r w:rsidR="003A3B9D">
        <w:t xml:space="preserve"> and hence various phosphors</w:t>
      </w:r>
      <w:r>
        <w:t xml:space="preserve"> within the scope of the claim</w:t>
      </w:r>
      <w:r w:rsidR="003A3B9D">
        <w:t>.  The applicant submitted that</w:t>
      </w:r>
      <w:r>
        <w:t xml:space="preserve"> if the claim in </w:t>
      </w:r>
      <w:r>
        <w:rPr>
          <w:i/>
        </w:rPr>
        <w:t>Merck</w:t>
      </w:r>
      <w:r>
        <w:t xml:space="preserve"> was written out as described by Lloyd-Jacob J, it would comprise 2</w:t>
      </w:r>
      <w:r w:rsidR="00263BB5">
        <w:t>,</w:t>
      </w:r>
      <w:r>
        <w:t xml:space="preserve">047 claims.  </w:t>
      </w:r>
    </w:p>
    <w:p w:rsidR="00C078F4" w:rsidRDefault="00C27CB2" w:rsidP="00263BB5">
      <w:pPr>
        <w:pStyle w:val="ParaNumbering"/>
      </w:pPr>
      <w:r>
        <w:t>The applicant also referred to “claim</w:t>
      </w:r>
      <w:r w:rsidR="00FC73AD">
        <w:t xml:space="preserve"> </w:t>
      </w:r>
      <w:r>
        <w:t xml:space="preserve">splitting” cases where, in order to avoid the problem posed by </w:t>
      </w:r>
      <w:proofErr w:type="spellStart"/>
      <w:r>
        <w:rPr>
          <w:i/>
        </w:rPr>
        <w:t>Thornhill’s</w:t>
      </w:r>
      <w:proofErr w:type="spellEnd"/>
      <w:r>
        <w:rPr>
          <w:i/>
        </w:rPr>
        <w:t xml:space="preserve"> Application</w:t>
      </w:r>
      <w:r>
        <w:t xml:space="preserve">, amendments were sought to split a </w:t>
      </w:r>
      <w:r w:rsidR="00263BB5">
        <w:t xml:space="preserve">composite </w:t>
      </w:r>
      <w:r>
        <w:t xml:space="preserve">claim into various forms of the invention so as to </w:t>
      </w:r>
      <w:r w:rsidR="006029B8">
        <w:t>render</w:t>
      </w:r>
      <w:r>
        <w:t xml:space="preserve"> each as a separate cl</w:t>
      </w:r>
      <w:r w:rsidR="00263BB5">
        <w:t>aim with its own priority date</w:t>
      </w:r>
      <w:r w:rsidR="003A3B9D">
        <w:t>.</w:t>
      </w:r>
      <w:r w:rsidR="00263BB5">
        <w:t xml:space="preserve">  </w:t>
      </w:r>
      <w:proofErr w:type="spellStart"/>
      <w:r w:rsidRPr="00263BB5">
        <w:rPr>
          <w:i/>
        </w:rPr>
        <w:t>Farbenfabriken</w:t>
      </w:r>
      <w:proofErr w:type="spellEnd"/>
      <w:r w:rsidRPr="00263BB5">
        <w:rPr>
          <w:i/>
        </w:rPr>
        <w:t xml:space="preserve"> Bayer AG’s Patent</w:t>
      </w:r>
      <w:r>
        <w:t xml:space="preserve"> [1966] RPC 278</w:t>
      </w:r>
      <w:r w:rsidR="003A3B9D">
        <w:t xml:space="preserve"> and</w:t>
      </w:r>
      <w:r>
        <w:t xml:space="preserve"> </w:t>
      </w:r>
      <w:r w:rsidRPr="00263BB5">
        <w:rPr>
          <w:i/>
        </w:rPr>
        <w:t xml:space="preserve">Anderson’s Application </w:t>
      </w:r>
      <w:r>
        <w:t xml:space="preserve">[1966] </w:t>
      </w:r>
      <w:proofErr w:type="spellStart"/>
      <w:r>
        <w:t>F</w:t>
      </w:r>
      <w:r w:rsidR="00263BB5">
        <w:t>S</w:t>
      </w:r>
      <w:r>
        <w:t>R</w:t>
      </w:r>
      <w:proofErr w:type="spellEnd"/>
      <w:r>
        <w:t xml:space="preserve"> 218</w:t>
      </w:r>
      <w:r w:rsidR="003A3B9D">
        <w:t xml:space="preserve"> are two such examples.</w:t>
      </w:r>
      <w:r>
        <w:t xml:space="preserve">  It is not necessary for me to refer to these cases in greater detail.</w:t>
      </w:r>
      <w:r w:rsidR="00C078F4">
        <w:t xml:space="preserve">  </w:t>
      </w:r>
    </w:p>
    <w:p w:rsidR="00E27716" w:rsidRDefault="00E27716" w:rsidP="00E27716">
      <w:pPr>
        <w:pStyle w:val="Heading2"/>
      </w:pPr>
      <w:r>
        <w:lastRenderedPageBreak/>
        <w:t>The parties’ submissions</w:t>
      </w:r>
    </w:p>
    <w:p w:rsidR="00E27716" w:rsidRDefault="00CA0FDD" w:rsidP="004167F0">
      <w:pPr>
        <w:pStyle w:val="ParaNumbering"/>
      </w:pPr>
      <w:r>
        <w:t>As I have noted, the applicant placed reliance on the selection steps in claim 1 of the 355 specification with respect to the phosphor used in the invention.  Those steps are:</w:t>
      </w:r>
    </w:p>
    <w:p w:rsidR="00CA0FDD" w:rsidRDefault="00CA0FDD" w:rsidP="007B187A">
      <w:pPr>
        <w:pStyle w:val="FCBullets"/>
      </w:pPr>
      <w:r>
        <w:t xml:space="preserve">selecting at least one element from the group consisting of Y, Lu, </w:t>
      </w:r>
      <w:proofErr w:type="spellStart"/>
      <w:r>
        <w:t>Sc</w:t>
      </w:r>
      <w:proofErr w:type="spellEnd"/>
      <w:r>
        <w:t xml:space="preserve">, La, </w:t>
      </w:r>
      <w:proofErr w:type="spellStart"/>
      <w:r>
        <w:t>Gd</w:t>
      </w:r>
      <w:proofErr w:type="spellEnd"/>
      <w:r>
        <w:t xml:space="preserve"> and Sm; and</w:t>
      </w:r>
    </w:p>
    <w:p w:rsidR="00CA0FDD" w:rsidRDefault="00CA0FDD" w:rsidP="007B187A">
      <w:pPr>
        <w:pStyle w:val="FCBullets"/>
      </w:pPr>
      <w:r>
        <w:t xml:space="preserve">selecting at least one element from the group consisting of Al, Ga and In.  </w:t>
      </w:r>
    </w:p>
    <w:p w:rsidR="00CA0FDD" w:rsidRDefault="00CA0FDD" w:rsidP="00CA0FDD">
      <w:pPr>
        <w:pStyle w:val="ParaNumbering"/>
      </w:pPr>
      <w:r>
        <w:t>The applicant submitted that these steps show that claim 1 defines more than one form of the invention, with the result that, for the purpose of determining priority, the claim must be treated as claiming separate forms of the invention within the meaning of s 43(3) of the Act.</w:t>
      </w:r>
      <w:r w:rsidR="00FC73AD">
        <w:t xml:space="preserve">  </w:t>
      </w:r>
      <w:r>
        <w:t>It submitted that these selection steps are a convenient summation of what is, in effect, a number of separate claims to different combinations.  Some combinations will have two elements; other combinations will have three or more elements.  Professor Reeves’ evidence was that the garnet fluorescent material in the phosphor of claim 1 may contain 441 differ</w:t>
      </w:r>
      <w:r w:rsidR="00FC73AD">
        <w:t>ent combinations of elements.</w:t>
      </w:r>
    </w:p>
    <w:p w:rsidR="00CA0FDD" w:rsidRDefault="00CA0FDD" w:rsidP="00CA0FDD">
      <w:pPr>
        <w:pStyle w:val="ParaNumbering"/>
      </w:pPr>
      <w:r>
        <w:t>The applicant submitted that claim 3 of the 355 specification is drafted in a way that “defines clear alternatives that represent a sub-set of th</w:t>
      </w:r>
      <w:r w:rsidR="00FC73AD">
        <w:t xml:space="preserve">e alternatives in claim 1”.  </w:t>
      </w:r>
      <w:r>
        <w:t xml:space="preserve">The applicant identified 18 different combinations derived from the selection between Y and </w:t>
      </w:r>
      <w:proofErr w:type="spellStart"/>
      <w:r>
        <w:t>Gd</w:t>
      </w:r>
      <w:proofErr w:type="spellEnd"/>
      <w:r>
        <w:t xml:space="preserve"> and the values assigned to </w:t>
      </w:r>
      <w:r w:rsidR="003A3B9D" w:rsidRPr="003A3B9D">
        <w:rPr>
          <w:i/>
        </w:rPr>
        <w:t>r</w:t>
      </w:r>
      <w:r>
        <w:t xml:space="preserve"> and </w:t>
      </w:r>
      <w:r w:rsidR="003A3B9D" w:rsidRPr="003A3B9D">
        <w:rPr>
          <w:i/>
        </w:rPr>
        <w:t>s</w:t>
      </w:r>
      <w:r w:rsidR="008865A0">
        <w:t xml:space="preserve"> in the general formula.</w:t>
      </w:r>
      <w:r>
        <w:t xml:space="preserve">  For this purpose, the applicant assigned 0 or 1 for the values of each of </w:t>
      </w:r>
      <w:r w:rsidR="003A3B9D" w:rsidRPr="003A3B9D">
        <w:rPr>
          <w:i/>
        </w:rPr>
        <w:t>r</w:t>
      </w:r>
      <w:r>
        <w:t xml:space="preserve"> and </w:t>
      </w:r>
      <w:r w:rsidR="003A3B9D" w:rsidRPr="003A3B9D">
        <w:rPr>
          <w:i/>
        </w:rPr>
        <w:t>s</w:t>
      </w:r>
      <w:r>
        <w:t>.</w:t>
      </w:r>
    </w:p>
    <w:p w:rsidR="00BE7CF0" w:rsidRDefault="00CA0FDD" w:rsidP="00CA0FDD">
      <w:pPr>
        <w:pStyle w:val="ParaNumbering"/>
      </w:pPr>
      <w:r>
        <w:t>The respondent submitted that</w:t>
      </w:r>
      <w:r w:rsidR="00FC73AD">
        <w:t>,</w:t>
      </w:r>
      <w:r>
        <w:t xml:space="preserve"> in claim 1 of the 355 specification, there is only one form of the invention, even though there will be “a</w:t>
      </w:r>
      <w:r w:rsidR="00FC73AD">
        <w:t>ny</w:t>
      </w:r>
      <w:r>
        <w:t xml:space="preserve"> number of potential variants that are within its scope”.  </w:t>
      </w:r>
      <w:r w:rsidR="00BE7CF0">
        <w:t xml:space="preserve">It submitted that claim 1 of the 355 specification “falls fairly within the reasoning” applied by the Full Court in </w:t>
      </w:r>
      <w:r w:rsidR="00BE7CF0" w:rsidRPr="00BE7CF0">
        <w:rPr>
          <w:i/>
        </w:rPr>
        <w:t>AstraZeneca</w:t>
      </w:r>
      <w:r w:rsidR="00BE7CF0">
        <w:t xml:space="preserve"> to the cl</w:t>
      </w:r>
      <w:r w:rsidR="00FC73AD">
        <w:t>aim there under consideration.</w:t>
      </w:r>
    </w:p>
    <w:p w:rsidR="00ED193F" w:rsidRDefault="00ED193F" w:rsidP="00CA0FDD">
      <w:pPr>
        <w:pStyle w:val="ParaNumbering"/>
      </w:pPr>
      <w:r>
        <w:t xml:space="preserve">The respondent noted that it is common ground between the parties that Lu, </w:t>
      </w:r>
      <w:proofErr w:type="spellStart"/>
      <w:r>
        <w:t>Sc</w:t>
      </w:r>
      <w:proofErr w:type="spellEnd"/>
      <w:r>
        <w:t xml:space="preserve"> and In are not mentioned in the priority documents.  </w:t>
      </w:r>
      <w:r w:rsidR="00635FE5">
        <w:t>The respondent argued that, as</w:t>
      </w:r>
      <w:r>
        <w:t xml:space="preserve"> none of the priority documents discloses an invention that includes Lu, </w:t>
      </w:r>
      <w:proofErr w:type="spellStart"/>
      <w:r>
        <w:t>Sc</w:t>
      </w:r>
      <w:proofErr w:type="spellEnd"/>
      <w:r>
        <w:t xml:space="preserve"> and In within the groups of elements from which a selection is to be made, and as claim 1 defines only one form of the invention, the priority date of the claim must be the filing date of the patent app</w:t>
      </w:r>
      <w:r w:rsidR="00FC73AD">
        <w:t>lication, namely 29 July 1997.</w:t>
      </w:r>
      <w:r>
        <w:t xml:space="preserve"> </w:t>
      </w:r>
    </w:p>
    <w:p w:rsidR="00ED193F" w:rsidRDefault="00ED193F" w:rsidP="00CA0FDD">
      <w:pPr>
        <w:pStyle w:val="ParaNumbering"/>
      </w:pPr>
      <w:r>
        <w:t xml:space="preserve">The respondent treated claim 3 of the 355 specification in the same way.  According to the respondent, claim 3 defines only one form of the invention.  Further, the respondent </w:t>
      </w:r>
      <w:r>
        <w:lastRenderedPageBreak/>
        <w:t xml:space="preserve">submitted that claim 3 has “no alternative roots of dependency” that would attract s 43(3) of the Act. </w:t>
      </w:r>
    </w:p>
    <w:p w:rsidR="00ED193F" w:rsidRDefault="00ED193F" w:rsidP="00CA0FDD">
      <w:pPr>
        <w:pStyle w:val="ParaNumbering"/>
      </w:pPr>
      <w:r>
        <w:t xml:space="preserve">Here, the respondent </w:t>
      </w:r>
      <w:r w:rsidR="008A6B7C">
        <w:t>alluded</w:t>
      </w:r>
      <w:r>
        <w:t xml:space="preserve"> to the example given in </w:t>
      </w:r>
      <w:r>
        <w:rPr>
          <w:i/>
        </w:rPr>
        <w:t>AstraZeneca</w:t>
      </w:r>
      <w:r>
        <w:t xml:space="preserve"> where s 43(</w:t>
      </w:r>
      <w:r w:rsidR="008A6B7C">
        <w:t>3</w:t>
      </w:r>
      <w:r>
        <w:t xml:space="preserve">) might be deployed to assign different priority dates to a claim that is dependent on one or more independent claims.  However, the respondent’s submission must be understood as arguing that the example given in </w:t>
      </w:r>
      <w:r>
        <w:rPr>
          <w:i/>
        </w:rPr>
        <w:t>AstraZeneca</w:t>
      </w:r>
      <w:r>
        <w:t xml:space="preserve"> does not apply to the present case.  The respondent’s position appear</w:t>
      </w:r>
      <w:r w:rsidR="008A6B7C">
        <w:t xml:space="preserve">s </w:t>
      </w:r>
      <w:r>
        <w:t>to be that as, on its argument, claim 1 ha</w:t>
      </w:r>
      <w:r w:rsidR="008A6B7C">
        <w:t xml:space="preserve">s </w:t>
      </w:r>
      <w:r>
        <w:t xml:space="preserve">a priority date of 29 July 1997, claim 3 </w:t>
      </w:r>
      <w:r w:rsidR="00635FE5">
        <w:t xml:space="preserve">must have the same priority date </w:t>
      </w:r>
      <w:r>
        <w:t>because of its dependency on claim 1.</w:t>
      </w:r>
    </w:p>
    <w:p w:rsidR="00ED193F" w:rsidRDefault="008A6B7C" w:rsidP="008A6B7C">
      <w:pPr>
        <w:pStyle w:val="ParaNumbering"/>
      </w:pPr>
      <w:r>
        <w:t>This argument</w:t>
      </w:r>
      <w:r w:rsidR="00ED193F">
        <w:t xml:space="preserve"> appears to be based on how, according to the respondent, clai</w:t>
      </w:r>
      <w:r w:rsidR="00812FDF">
        <w:t>m 3 should be notionally re</w:t>
      </w:r>
      <w:r w:rsidR="00ED193F">
        <w:t>written to reflect its dependency on claim 1.</w:t>
      </w:r>
      <w:r>
        <w:t xml:space="preserve">  </w:t>
      </w:r>
      <w:r w:rsidR="00ED193F">
        <w:t xml:space="preserve">In this connection, the respondent submitted that claim 3 should </w:t>
      </w:r>
      <w:r>
        <w:t>read</w:t>
      </w:r>
      <w:r w:rsidR="00FC73AD">
        <w:t>:</w:t>
      </w:r>
    </w:p>
    <w:p w:rsidR="004409FB" w:rsidRDefault="003C0DC4" w:rsidP="003C0DC4">
      <w:pPr>
        <w:pStyle w:val="Quote1"/>
      </w:pPr>
      <w:r>
        <w:t xml:space="preserve">A light emitting device </w:t>
      </w:r>
      <w:r>
        <w:rPr>
          <w:strike/>
        </w:rPr>
        <w:t>according to claim 1</w:t>
      </w:r>
      <w:r>
        <w:t>,</w:t>
      </w:r>
    </w:p>
    <w:p w:rsidR="004409FB" w:rsidRDefault="004409FB" w:rsidP="003C0DC4">
      <w:pPr>
        <w:pStyle w:val="Quote1"/>
      </w:pPr>
    </w:p>
    <w:p w:rsidR="003C0DC4" w:rsidRDefault="003C0DC4" w:rsidP="003C0DC4">
      <w:pPr>
        <w:pStyle w:val="Quote1"/>
      </w:pPr>
      <w:r>
        <w:t>including a light emitting component and a phosphor capable of absorbing a part of light emitted by the light emitting component and emitting light of wavelength different from that of the absorbed light; wherein said light emitting component comprises a nitride compound</w:t>
      </w:r>
      <w:r w:rsidR="004409FB">
        <w:t xml:space="preserve"> semiconductor and said phosphor contains a garnet fluorescent material including at least one element selected from the group consisting of Y, Lu, </w:t>
      </w:r>
      <w:proofErr w:type="spellStart"/>
      <w:r w:rsidR="004409FB">
        <w:t>Sc</w:t>
      </w:r>
      <w:proofErr w:type="spellEnd"/>
      <w:r w:rsidR="004409FB">
        <w:t xml:space="preserve">, La, </w:t>
      </w:r>
      <w:proofErr w:type="spellStart"/>
      <w:r w:rsidR="004409FB">
        <w:t>Gd</w:t>
      </w:r>
      <w:proofErr w:type="spellEnd"/>
      <w:r w:rsidR="004409FB">
        <w:t xml:space="preserve"> and Sm, and at least one element selected from the group consisting</w:t>
      </w:r>
      <w:r w:rsidR="00FC73AD">
        <w:t xml:space="preserve"> of</w:t>
      </w:r>
      <w:r w:rsidR="004409FB">
        <w:t xml:space="preserve"> Al, Ga and In, and being activated with cerium,</w:t>
      </w:r>
    </w:p>
    <w:p w:rsidR="004409FB" w:rsidRDefault="004409FB" w:rsidP="003C0DC4">
      <w:pPr>
        <w:pStyle w:val="Quote1"/>
      </w:pPr>
    </w:p>
    <w:p w:rsidR="003C0DC4" w:rsidRDefault="004409FB" w:rsidP="004409FB">
      <w:pPr>
        <w:pStyle w:val="Quote1"/>
      </w:pPr>
      <w:r>
        <w:t>wherein the phosphor contains fluorescent material represented by a general formula (</w:t>
      </w:r>
      <w:proofErr w:type="spellStart"/>
      <w:r>
        <w:t>Re</w:t>
      </w:r>
      <w:r>
        <w:rPr>
          <w:vertAlign w:val="subscript"/>
        </w:rPr>
        <w:t>l-r</w:t>
      </w:r>
      <w:r>
        <w:t>Sm</w:t>
      </w:r>
      <w:r>
        <w:rPr>
          <w:vertAlign w:val="subscript"/>
        </w:rPr>
        <w:t>r</w:t>
      </w:r>
      <w:proofErr w:type="spellEnd"/>
      <w:r>
        <w:t>)</w:t>
      </w:r>
      <w:r>
        <w:rPr>
          <w:vertAlign w:val="subscript"/>
        </w:rPr>
        <w:t>3</w:t>
      </w:r>
      <w:r>
        <w:t>(Al</w:t>
      </w:r>
      <w:r>
        <w:rPr>
          <w:vertAlign w:val="subscript"/>
        </w:rPr>
        <w:t>l-</w:t>
      </w:r>
      <w:proofErr w:type="spellStart"/>
      <w:r>
        <w:rPr>
          <w:vertAlign w:val="subscript"/>
        </w:rPr>
        <w:t>s</w:t>
      </w:r>
      <w:r>
        <w:t>Ga</w:t>
      </w:r>
      <w:r>
        <w:rPr>
          <w:vertAlign w:val="subscript"/>
        </w:rPr>
        <w:t>s</w:t>
      </w:r>
      <w:proofErr w:type="spellEnd"/>
      <w:r>
        <w:t>)</w:t>
      </w:r>
      <w:proofErr w:type="spellStart"/>
      <w:r>
        <w:rPr>
          <w:vertAlign w:val="subscript"/>
        </w:rPr>
        <w:t>5</w:t>
      </w:r>
      <w:r>
        <w:t>O</w:t>
      </w:r>
      <w:r>
        <w:rPr>
          <w:vertAlign w:val="subscript"/>
        </w:rPr>
        <w:t>12</w:t>
      </w:r>
      <w:r>
        <w:t>:Ce</w:t>
      </w:r>
      <w:proofErr w:type="spellEnd"/>
      <w:r>
        <w:t>, where 0</w:t>
      </w:r>
      <w:r w:rsidRPr="004409FB">
        <w:rPr>
          <w:u w:val="single"/>
        </w:rPr>
        <w:t>&lt;</w:t>
      </w:r>
      <w:r w:rsidR="006D50E6">
        <w:t>r&lt;</w:t>
      </w:r>
      <w:r>
        <w:t xml:space="preserve">1 and </w:t>
      </w:r>
      <w:r w:rsidR="006D50E6">
        <w:t>0</w:t>
      </w:r>
      <w:r w:rsidR="006D50E6" w:rsidRPr="006D50E6">
        <w:rPr>
          <w:u w:val="single"/>
        </w:rPr>
        <w:t>&lt;</w:t>
      </w:r>
      <w:r w:rsidR="006D50E6">
        <w:t>s</w:t>
      </w:r>
      <w:r w:rsidR="006D50E6" w:rsidRPr="006D50E6">
        <w:rPr>
          <w:u w:val="single"/>
        </w:rPr>
        <w:t>&lt;</w:t>
      </w:r>
      <w:r w:rsidR="006D50E6">
        <w:t xml:space="preserve">1 and </w:t>
      </w:r>
      <w:r>
        <w:t>Re is at least one selected from Y and Gd.</w:t>
      </w:r>
    </w:p>
    <w:p w:rsidR="008A6B7C" w:rsidRDefault="008A6B7C" w:rsidP="00CA0FDD">
      <w:pPr>
        <w:pStyle w:val="ParaNumbering"/>
      </w:pPr>
      <w:r>
        <w:t>The respondent submitted that, so written, the claim reveals what it called “the root of dependency”.  This seems to be because</w:t>
      </w:r>
      <w:r w:rsidR="00635FE5">
        <w:t>,</w:t>
      </w:r>
      <w:r>
        <w:t xml:space="preserve"> in this version of claim 3</w:t>
      </w:r>
      <w:r w:rsidR="00635FE5">
        <w:t>,</w:t>
      </w:r>
      <w:r>
        <w:t xml:space="preserve"> all the features of claim 1 are imported, even though claim 3 is admittedly narrower in scope than claim 1 because of the selection criteria it provides.</w:t>
      </w:r>
    </w:p>
    <w:p w:rsidR="00ED193F" w:rsidRDefault="00ED193F" w:rsidP="008B73BD">
      <w:pPr>
        <w:pStyle w:val="ParaNumbering"/>
      </w:pPr>
      <w:r>
        <w:t xml:space="preserve">By way of contrast, the </w:t>
      </w:r>
      <w:r w:rsidR="00812FDF">
        <w:t>respondent provided a re</w:t>
      </w:r>
      <w:r w:rsidR="008B73BD">
        <w:t xml:space="preserve">written version of claim 3 as </w:t>
      </w:r>
      <w:r w:rsidR="00635FE5">
        <w:t>reflected in</w:t>
      </w:r>
      <w:r w:rsidR="008B73BD">
        <w:t xml:space="preserve"> the applicant</w:t>
      </w:r>
      <w:r w:rsidR="00635FE5">
        <w:t>’s submissions</w:t>
      </w:r>
      <w:r w:rsidR="00FC73AD">
        <w:t>:</w:t>
      </w:r>
      <w:r>
        <w:t xml:space="preserve"> </w:t>
      </w:r>
    </w:p>
    <w:p w:rsidR="006D50E6" w:rsidRDefault="006D50E6" w:rsidP="006D50E6">
      <w:pPr>
        <w:pStyle w:val="Quote1"/>
      </w:pPr>
      <w:r>
        <w:t xml:space="preserve">A light emitting device </w:t>
      </w:r>
      <w:r w:rsidRPr="006D50E6">
        <w:rPr>
          <w:strike/>
        </w:rPr>
        <w:t>according to claim 1</w:t>
      </w:r>
      <w:r>
        <w:t>,</w:t>
      </w:r>
    </w:p>
    <w:p w:rsidR="006D50E6" w:rsidRDefault="006D50E6" w:rsidP="006D50E6">
      <w:pPr>
        <w:pStyle w:val="Quote1"/>
      </w:pPr>
    </w:p>
    <w:p w:rsidR="006D50E6" w:rsidRDefault="006D50E6" w:rsidP="006D50E6">
      <w:pPr>
        <w:pStyle w:val="Quote1"/>
      </w:pPr>
      <w:r>
        <w:t xml:space="preserve">including a light emitting component and a phosphor capable of absorbing a part of light emitted by the light emitting component and emitting light of wavelength different from that of the absorbed light; wherein said light emitting component comprises a nitride compound semiconductor </w:t>
      </w:r>
      <w:r w:rsidRPr="006D50E6">
        <w:rPr>
          <w:strike/>
        </w:rPr>
        <w:t xml:space="preserve">and said phosphor contains a garnet fluorescent material including at least one element selected from the group consisting of Y, Lu, </w:t>
      </w:r>
      <w:proofErr w:type="spellStart"/>
      <w:r w:rsidRPr="006D50E6">
        <w:rPr>
          <w:strike/>
        </w:rPr>
        <w:t>Sc</w:t>
      </w:r>
      <w:proofErr w:type="spellEnd"/>
      <w:r w:rsidRPr="006D50E6">
        <w:rPr>
          <w:strike/>
        </w:rPr>
        <w:t xml:space="preserve">, La, </w:t>
      </w:r>
      <w:proofErr w:type="spellStart"/>
      <w:r w:rsidRPr="006D50E6">
        <w:rPr>
          <w:strike/>
        </w:rPr>
        <w:t>Gd</w:t>
      </w:r>
      <w:proofErr w:type="spellEnd"/>
      <w:r w:rsidRPr="006D50E6">
        <w:rPr>
          <w:strike/>
        </w:rPr>
        <w:t xml:space="preserve"> and Sm, and at least one element selected from the group consisting</w:t>
      </w:r>
      <w:r w:rsidR="00FC73AD">
        <w:rPr>
          <w:strike/>
        </w:rPr>
        <w:t xml:space="preserve"> of</w:t>
      </w:r>
      <w:r w:rsidRPr="006D50E6">
        <w:rPr>
          <w:strike/>
        </w:rPr>
        <w:t xml:space="preserve"> Al, Ga and In, and being activated with cerium,</w:t>
      </w:r>
    </w:p>
    <w:p w:rsidR="006D50E6" w:rsidRDefault="006D50E6" w:rsidP="006D50E6">
      <w:pPr>
        <w:pStyle w:val="Quote1"/>
      </w:pPr>
    </w:p>
    <w:p w:rsidR="006D50E6" w:rsidRDefault="006D50E6" w:rsidP="006D50E6">
      <w:pPr>
        <w:pStyle w:val="Quote1"/>
      </w:pPr>
      <w:r>
        <w:lastRenderedPageBreak/>
        <w:t>wherein the phosphor contains fluorescent material represented by a general formula (</w:t>
      </w:r>
      <w:proofErr w:type="spellStart"/>
      <w:r>
        <w:t>Re</w:t>
      </w:r>
      <w:r>
        <w:rPr>
          <w:vertAlign w:val="subscript"/>
        </w:rPr>
        <w:t>l-r</w:t>
      </w:r>
      <w:r>
        <w:t>Sm</w:t>
      </w:r>
      <w:r w:rsidRPr="006D50E6">
        <w:rPr>
          <w:vertAlign w:val="subscript"/>
        </w:rPr>
        <w:t>r</w:t>
      </w:r>
      <w:proofErr w:type="spellEnd"/>
      <w:r>
        <w:t>)</w:t>
      </w:r>
      <w:r w:rsidRPr="006D50E6">
        <w:rPr>
          <w:vertAlign w:val="subscript"/>
        </w:rPr>
        <w:t>3</w:t>
      </w:r>
      <w:r>
        <w:t>(Al</w:t>
      </w:r>
      <w:r>
        <w:rPr>
          <w:vertAlign w:val="subscript"/>
        </w:rPr>
        <w:t>l-</w:t>
      </w:r>
      <w:proofErr w:type="spellStart"/>
      <w:r>
        <w:rPr>
          <w:vertAlign w:val="subscript"/>
        </w:rPr>
        <w:t>s</w:t>
      </w:r>
      <w:r>
        <w:t>Ga</w:t>
      </w:r>
      <w:r w:rsidRPr="006D50E6">
        <w:rPr>
          <w:vertAlign w:val="subscript"/>
        </w:rPr>
        <w:t>s</w:t>
      </w:r>
      <w:proofErr w:type="spellEnd"/>
      <w:r>
        <w:t>)</w:t>
      </w:r>
      <w:proofErr w:type="spellStart"/>
      <w:r w:rsidRPr="006D50E6">
        <w:rPr>
          <w:vertAlign w:val="subscript"/>
        </w:rPr>
        <w:t>5</w:t>
      </w:r>
      <w:r>
        <w:t>O</w:t>
      </w:r>
      <w:r w:rsidRPr="006D50E6">
        <w:rPr>
          <w:vertAlign w:val="subscript"/>
        </w:rPr>
        <w:t>12</w:t>
      </w:r>
      <w:r>
        <w:t>:Ce</w:t>
      </w:r>
      <w:proofErr w:type="spellEnd"/>
      <w:r>
        <w:t>, where 0</w:t>
      </w:r>
      <w:r w:rsidRPr="006D50E6">
        <w:rPr>
          <w:u w:val="single"/>
        </w:rPr>
        <w:t>&lt;</w:t>
      </w:r>
      <w:r>
        <w:t>r&lt;1 and 0</w:t>
      </w:r>
      <w:r w:rsidRPr="006D50E6">
        <w:rPr>
          <w:u w:val="single"/>
        </w:rPr>
        <w:t>&lt;</w:t>
      </w:r>
      <w:r>
        <w:t>s</w:t>
      </w:r>
      <w:r w:rsidRPr="006D50E6">
        <w:rPr>
          <w:u w:val="single"/>
        </w:rPr>
        <w:t>&lt;</w:t>
      </w:r>
      <w:r>
        <w:t>1 and Re is at least one selected from Y and Gd.</w:t>
      </w:r>
    </w:p>
    <w:p w:rsidR="008B73BD" w:rsidRDefault="008B73BD" w:rsidP="00CA0FDD">
      <w:pPr>
        <w:pStyle w:val="ParaNumbering"/>
      </w:pPr>
      <w:r>
        <w:t xml:space="preserve">The respondent criticised this version because, according to it, the claim </w:t>
      </w:r>
      <w:r w:rsidR="00812FDF">
        <w:t>omits</w:t>
      </w:r>
      <w:r>
        <w:t xml:space="preserve"> various features of claim 1.</w:t>
      </w:r>
    </w:p>
    <w:p w:rsidR="008B73BD" w:rsidRDefault="00ED193F" w:rsidP="00812FDF">
      <w:pPr>
        <w:pStyle w:val="ParaNumbering"/>
      </w:pPr>
      <w:r>
        <w:t xml:space="preserve">I do not accept that claim 3 of the 355 specification should be understood as </w:t>
      </w:r>
      <w:r w:rsidR="008B73BD">
        <w:t>set out in [</w:t>
      </w:r>
      <w:r w:rsidR="00837782">
        <w:t>78</w:t>
      </w:r>
      <w:r w:rsidR="008B73BD">
        <w:t>]</w:t>
      </w:r>
      <w:r>
        <w:t xml:space="preserve">.  So written, the claim would contain redundant and confusing wording.  The general formula in claim 3 makes clear that the </w:t>
      </w:r>
      <w:r w:rsidR="003A3B9D">
        <w:t>“</w:t>
      </w:r>
      <w:r>
        <w:t>large</w:t>
      </w:r>
      <w:r w:rsidR="003A3B9D">
        <w:t>”</w:t>
      </w:r>
      <w:r>
        <w:t xml:space="preserve"> metal </w:t>
      </w:r>
      <w:r w:rsidR="00EE7960">
        <w:t>ions</w:t>
      </w:r>
      <w:r>
        <w:t xml:space="preserve"> must include at least one from Y and </w:t>
      </w:r>
      <w:proofErr w:type="spellStart"/>
      <w:r>
        <w:t>Gd</w:t>
      </w:r>
      <w:proofErr w:type="spellEnd"/>
      <w:r w:rsidR="00AF3475">
        <w:t xml:space="preserve">, </w:t>
      </w:r>
      <w:r w:rsidR="002453F5">
        <w:t>and must include Sm, unless the value of r = 0</w:t>
      </w:r>
      <w:r>
        <w:t xml:space="preserve">.  The </w:t>
      </w:r>
      <w:r w:rsidR="003A3B9D">
        <w:t>“</w:t>
      </w:r>
      <w:r>
        <w:t>large</w:t>
      </w:r>
      <w:r w:rsidR="003A3B9D">
        <w:t>”</w:t>
      </w:r>
      <w:r>
        <w:t xml:space="preserve"> metal </w:t>
      </w:r>
      <w:r w:rsidR="00EE7960">
        <w:t>ions</w:t>
      </w:r>
      <w:r>
        <w:t xml:space="preserve"> do not include Lu, </w:t>
      </w:r>
      <w:proofErr w:type="spellStart"/>
      <w:r>
        <w:t>Sc</w:t>
      </w:r>
      <w:proofErr w:type="spellEnd"/>
      <w:r>
        <w:t xml:space="preserve"> or La.  </w:t>
      </w:r>
      <w:r w:rsidR="008B73BD">
        <w:t xml:space="preserve">Similarly, the general formula makes clear that the </w:t>
      </w:r>
      <w:r w:rsidR="003A3B9D">
        <w:t>“</w:t>
      </w:r>
      <w:r w:rsidR="008B73BD">
        <w:t>small</w:t>
      </w:r>
      <w:r w:rsidR="003A3B9D">
        <w:t>”</w:t>
      </w:r>
      <w:r w:rsidR="008B73BD">
        <w:t xml:space="preserve"> metal ions </w:t>
      </w:r>
      <w:r w:rsidR="00812FDF">
        <w:t xml:space="preserve">involve selections relating to Al and Ga that </w:t>
      </w:r>
      <w:r w:rsidR="008B73BD">
        <w:t xml:space="preserve">do not </w:t>
      </w:r>
      <w:r w:rsidR="00812FDF">
        <w:t>involve</w:t>
      </w:r>
      <w:r w:rsidR="008B73BD">
        <w:t xml:space="preserve"> In.  </w:t>
      </w:r>
      <w:r w:rsidR="00812FDF">
        <w:t>Writing in</w:t>
      </w:r>
      <w:r>
        <w:t xml:space="preserve"> reference</w:t>
      </w:r>
      <w:r w:rsidR="00812FDF">
        <w:t>s</w:t>
      </w:r>
      <w:r>
        <w:t xml:space="preserve"> to Lu, </w:t>
      </w:r>
      <w:proofErr w:type="spellStart"/>
      <w:r>
        <w:t>Sc</w:t>
      </w:r>
      <w:proofErr w:type="spellEnd"/>
      <w:r w:rsidR="008B73BD">
        <w:t>,</w:t>
      </w:r>
      <w:r>
        <w:t xml:space="preserve"> La </w:t>
      </w:r>
      <w:r w:rsidR="008B73BD">
        <w:t xml:space="preserve">and In </w:t>
      </w:r>
      <w:r w:rsidR="00812FDF">
        <w:t xml:space="preserve">in </w:t>
      </w:r>
      <w:r>
        <w:t>claim 3, only to have those elements automatically rejected as selection possibilities</w:t>
      </w:r>
      <w:r w:rsidR="008B73BD">
        <w:t xml:space="preserve"> by the general formula</w:t>
      </w:r>
      <w:r w:rsidR="00812FDF">
        <w:t>, is a pointless exercise</w:t>
      </w:r>
      <w:r w:rsidR="008B73BD">
        <w:t>.</w:t>
      </w:r>
      <w:r w:rsidR="00812FDF">
        <w:t xml:space="preserve">  </w:t>
      </w:r>
      <w:r w:rsidR="00635FE5">
        <w:t>In any event</w:t>
      </w:r>
      <w:r w:rsidR="008B73BD">
        <w:t xml:space="preserve">, I cannot see how claim 3 can be assigned a priority date based on selected combinations arising under claim 1 </w:t>
      </w:r>
      <w:r w:rsidR="00812FDF">
        <w:t>that</w:t>
      </w:r>
      <w:r w:rsidR="008B73BD">
        <w:t xml:space="preserve"> are not within the scope of claim 3</w:t>
      </w:r>
      <w:r w:rsidR="00812FDF">
        <w:t xml:space="preserve"> itself</w:t>
      </w:r>
      <w:r w:rsidR="008B73BD">
        <w:t>.</w:t>
      </w:r>
    </w:p>
    <w:p w:rsidR="00ED193F" w:rsidRDefault="00ED193F" w:rsidP="00CA0FDD">
      <w:pPr>
        <w:pStyle w:val="ParaNumbering"/>
      </w:pPr>
      <w:r>
        <w:t xml:space="preserve">Therefore, </w:t>
      </w:r>
      <w:r w:rsidR="00812FDF">
        <w:t xml:space="preserve">I reject </w:t>
      </w:r>
      <w:r>
        <w:t xml:space="preserve">the </w:t>
      </w:r>
      <w:r w:rsidR="00812FDF">
        <w:t xml:space="preserve">respondent’s </w:t>
      </w:r>
      <w:r w:rsidR="00635FE5">
        <w:t>case</w:t>
      </w:r>
      <w:r w:rsidR="00812FDF">
        <w:t xml:space="preserve"> to the extent that it rests on its</w:t>
      </w:r>
      <w:r>
        <w:t xml:space="preserve"> </w:t>
      </w:r>
      <w:r w:rsidR="008865A0">
        <w:t>version</w:t>
      </w:r>
      <w:r>
        <w:t xml:space="preserve"> of claim 3</w:t>
      </w:r>
      <w:r w:rsidR="008865A0">
        <w:t xml:space="preserve"> rewritten to take account of the claim’s dependency on claim 1</w:t>
      </w:r>
      <w:r>
        <w:t>.</w:t>
      </w:r>
    </w:p>
    <w:p w:rsidR="00E27716" w:rsidRDefault="00E27716" w:rsidP="00E27716">
      <w:pPr>
        <w:pStyle w:val="Heading2"/>
      </w:pPr>
      <w:r>
        <w:t>Consideration</w:t>
      </w:r>
    </w:p>
    <w:p w:rsidR="00E27716" w:rsidRDefault="00EE7960" w:rsidP="004167F0">
      <w:pPr>
        <w:pStyle w:val="ParaNumbering"/>
      </w:pPr>
      <w:r>
        <w:t xml:space="preserve">In </w:t>
      </w:r>
      <w:r>
        <w:rPr>
          <w:i/>
        </w:rPr>
        <w:t>AstraZeneca</w:t>
      </w:r>
      <w:r>
        <w:t>, the Full Court emphasised the terms in whi</w:t>
      </w:r>
      <w:r w:rsidR="00635FE5">
        <w:t xml:space="preserve">ch </w:t>
      </w:r>
      <w:r w:rsidR="003A3B9D">
        <w:t>the</w:t>
      </w:r>
      <w:r w:rsidR="00635FE5">
        <w:t xml:space="preserve"> claim is drafted and directed attention to</w:t>
      </w:r>
      <w:r>
        <w:t xml:space="preserve"> whether</w:t>
      </w:r>
      <w:r w:rsidR="00635FE5">
        <w:t xml:space="preserve"> </w:t>
      </w:r>
      <w:r w:rsidR="003A3B9D">
        <w:t>the</w:t>
      </w:r>
      <w:r w:rsidR="00635FE5">
        <w:t xml:space="preserve"> claim</w:t>
      </w:r>
      <w:r>
        <w:t xml:space="preserve">, </w:t>
      </w:r>
      <w:r w:rsidR="00635FE5">
        <w:t>according to</w:t>
      </w:r>
      <w:r>
        <w:t xml:space="preserve"> its terms, allows for alternatives.  </w:t>
      </w:r>
    </w:p>
    <w:p w:rsidR="00EE7960" w:rsidRDefault="00EE7960" w:rsidP="004167F0">
      <w:pPr>
        <w:pStyle w:val="ParaNumbering"/>
      </w:pPr>
      <w:r>
        <w:t>Claim 1 and claim 3 of the 355 specification are cast in terms</w:t>
      </w:r>
      <w:r w:rsidR="003A3B9D">
        <w:t xml:space="preserve"> that are different</w:t>
      </w:r>
      <w:r>
        <w:t xml:space="preserve"> to the claim considered in </w:t>
      </w:r>
      <w:r>
        <w:rPr>
          <w:i/>
        </w:rPr>
        <w:t>AstraZeneca</w:t>
      </w:r>
      <w:r>
        <w:t xml:space="preserve">.  Claim 1 includes two </w:t>
      </w:r>
      <w:r w:rsidR="0090515D">
        <w:t>discrete</w:t>
      </w:r>
      <w:r w:rsidR="00635FE5">
        <w:t xml:space="preserve"> and express</w:t>
      </w:r>
      <w:r>
        <w:t xml:space="preserve"> selection steps</w:t>
      </w:r>
      <w:r w:rsidR="00FC73AD">
        <w:t>—</w:t>
      </w:r>
      <w:r>
        <w:t xml:space="preserve">one referable to the selection of the </w:t>
      </w:r>
      <w:r w:rsidR="008865A0">
        <w:t>“</w:t>
      </w:r>
      <w:r>
        <w:t>large</w:t>
      </w:r>
      <w:r w:rsidR="008865A0">
        <w:t>”</w:t>
      </w:r>
      <w:r>
        <w:t xml:space="preserve"> metal ions and the other referable to the</w:t>
      </w:r>
      <w:r w:rsidR="00635FE5">
        <w:t xml:space="preserve"> selection of the</w:t>
      </w:r>
      <w:r>
        <w:t xml:space="preserve"> </w:t>
      </w:r>
      <w:r w:rsidR="003A3B9D">
        <w:t>“</w:t>
      </w:r>
      <w:r>
        <w:t>small</w:t>
      </w:r>
      <w:r w:rsidR="003A3B9D">
        <w:t>”</w:t>
      </w:r>
      <w:r>
        <w:t xml:space="preserve"> metal ions </w:t>
      </w:r>
      <w:r w:rsidR="00635FE5">
        <w:t>in</w:t>
      </w:r>
      <w:r>
        <w:t xml:space="preserve"> the fluorescent material</w:t>
      </w:r>
      <w:r w:rsidR="00FC73AD">
        <w:t>—</w:t>
      </w:r>
      <w:r>
        <w:t xml:space="preserve">providing for differently constituted phosphors, depending on the selections made and the combinations arrived at.  </w:t>
      </w:r>
    </w:p>
    <w:p w:rsidR="00EE7960" w:rsidRDefault="00EE7960" w:rsidP="004167F0">
      <w:pPr>
        <w:pStyle w:val="ParaNumbering"/>
      </w:pPr>
      <w:r>
        <w:t xml:space="preserve">Claim 3, although differently drafted, also contains </w:t>
      </w:r>
      <w:r w:rsidR="0090515D">
        <w:t>discrete</w:t>
      </w:r>
      <w:r>
        <w:t xml:space="preserve"> and express selection steps.  Similarly to claim 1, there is a stated</w:t>
      </w:r>
      <w:r w:rsidR="003A3B9D">
        <w:t>, but different,</w:t>
      </w:r>
      <w:r>
        <w:t xml:space="preserve"> selection</w:t>
      </w:r>
      <w:r w:rsidR="00635FE5">
        <w:t xml:space="preserve"> with respect to the </w:t>
      </w:r>
      <w:r w:rsidR="003A3B9D">
        <w:t>“</w:t>
      </w:r>
      <w:r w:rsidR="00635FE5">
        <w:t>large</w:t>
      </w:r>
      <w:r w:rsidR="003A3B9D">
        <w:t>”</w:t>
      </w:r>
      <w:r w:rsidR="00635FE5">
        <w:t xml:space="preserve"> metal ions in the fluorescent material.  </w:t>
      </w:r>
      <w:r>
        <w:t xml:space="preserve">The constituents of this material are also determined by the selection of a value for </w:t>
      </w:r>
      <w:r w:rsidR="00635FE5">
        <w:rPr>
          <w:i/>
        </w:rPr>
        <w:t>r</w:t>
      </w:r>
      <w:r>
        <w:t xml:space="preserve"> from the given</w:t>
      </w:r>
      <w:r w:rsidR="00635FE5" w:rsidRPr="00635FE5">
        <w:t xml:space="preserve"> </w:t>
      </w:r>
      <w:r w:rsidR="00635FE5">
        <w:t>range</w:t>
      </w:r>
      <w:r>
        <w:t xml:space="preserve">.  The general formula in claim 3 also provides for </w:t>
      </w:r>
      <w:r w:rsidR="00635FE5">
        <w:t xml:space="preserve">a </w:t>
      </w:r>
      <w:r>
        <w:t>selection in relation to</w:t>
      </w:r>
      <w:r w:rsidR="00635FE5">
        <w:t xml:space="preserve"> the </w:t>
      </w:r>
      <w:r w:rsidR="003A3B9D">
        <w:t>“</w:t>
      </w:r>
      <w:r w:rsidR="00635FE5">
        <w:t>small</w:t>
      </w:r>
      <w:r w:rsidR="003A3B9D">
        <w:t>”</w:t>
      </w:r>
      <w:r w:rsidR="00635FE5">
        <w:t xml:space="preserve"> metal ions </w:t>
      </w:r>
      <w:r>
        <w:t xml:space="preserve">of the fluorescent material by providing </w:t>
      </w:r>
      <w:r w:rsidR="005A245B">
        <w:t xml:space="preserve">a range of values for </w:t>
      </w:r>
      <w:r w:rsidR="00635FE5" w:rsidRPr="00635FE5">
        <w:rPr>
          <w:i/>
        </w:rPr>
        <w:t>s</w:t>
      </w:r>
      <w:r>
        <w:t>.  These various selection steps combine to provide differently constituted phosphors.</w:t>
      </w:r>
    </w:p>
    <w:p w:rsidR="00EE7960" w:rsidRDefault="005A245B" w:rsidP="004167F0">
      <w:pPr>
        <w:pStyle w:val="ParaNumbering"/>
      </w:pPr>
      <w:r>
        <w:lastRenderedPageBreak/>
        <w:t>I am satisfied that</w:t>
      </w:r>
      <w:r w:rsidR="00EE7960">
        <w:t xml:space="preserve">, by their terms, </w:t>
      </w:r>
      <w:r w:rsidR="00B35AB4">
        <w:t xml:space="preserve">each of </w:t>
      </w:r>
      <w:r w:rsidR="00EE7960">
        <w:t>claim</w:t>
      </w:r>
      <w:r w:rsidR="00B35AB4">
        <w:t>s</w:t>
      </w:r>
      <w:r w:rsidR="00EE7960">
        <w:t xml:space="preserve"> 1 and 3</w:t>
      </w:r>
      <w:r>
        <w:t xml:space="preserve"> of the 355 specification envisage and provide for different forms of the invention, as understood by s 43(3) of the Act.</w:t>
      </w:r>
      <w:r w:rsidR="006029B8">
        <w:t xml:space="preserve">  </w:t>
      </w:r>
      <w:r w:rsidR="00B35AB4">
        <w:t>In each case, these</w:t>
      </w:r>
      <w:r w:rsidR="006029B8">
        <w:t xml:space="preserve"> forms are represented by the individual phosphors </w:t>
      </w:r>
      <w:r w:rsidR="008865A0">
        <w:t>obtained</w:t>
      </w:r>
      <w:r w:rsidR="006029B8">
        <w:t xml:space="preserve"> after the selection steps have been undertaken.</w:t>
      </w:r>
      <w:r w:rsidR="00EE7960">
        <w:t xml:space="preserve">  </w:t>
      </w:r>
    </w:p>
    <w:p w:rsidR="00F935B7" w:rsidRDefault="00F935B7" w:rsidP="00E27716">
      <w:pPr>
        <w:pStyle w:val="Heading1"/>
      </w:pPr>
      <w:r>
        <w:t xml:space="preserve">The priority </w:t>
      </w:r>
      <w:r w:rsidR="00E27716">
        <w:t>dates of the claims</w:t>
      </w:r>
    </w:p>
    <w:p w:rsidR="00E27716" w:rsidRDefault="00E27716" w:rsidP="00E27716">
      <w:pPr>
        <w:pStyle w:val="Heading2"/>
      </w:pPr>
      <w:r>
        <w:t>Introduction</w:t>
      </w:r>
    </w:p>
    <w:p w:rsidR="0084607C" w:rsidRDefault="00EF7868" w:rsidP="00F935B7">
      <w:pPr>
        <w:pStyle w:val="ParaNumbering"/>
      </w:pPr>
      <w:r>
        <w:t>The respondent accepts that if, as I have found, claim 1</w:t>
      </w:r>
      <w:r w:rsidR="00B35AB4">
        <w:t xml:space="preserve"> of the 355 specification</w:t>
      </w:r>
      <w:r>
        <w:t xml:space="preserve"> defines more than one form of the invention, then the priority dates </w:t>
      </w:r>
      <w:r w:rsidR="007E10C3">
        <w:t>of</w:t>
      </w:r>
      <w:r>
        <w:t xml:space="preserve"> those forms are the dates </w:t>
      </w:r>
      <w:r w:rsidR="00FB0A81">
        <w:t>that</w:t>
      </w:r>
      <w:r>
        <w:t xml:space="preserve"> the applicant </w:t>
      </w:r>
      <w:r w:rsidR="00FB0A81">
        <w:t>has identified</w:t>
      </w:r>
      <w:r w:rsidR="00FC73AD">
        <w:t>.</w:t>
      </w:r>
      <w:r w:rsidR="00FD5C82">
        <w:t xml:space="preserve"> </w:t>
      </w:r>
    </w:p>
    <w:p w:rsidR="001E3020" w:rsidRDefault="00EF7868" w:rsidP="00F935B7">
      <w:pPr>
        <w:pStyle w:val="ParaNumbering"/>
      </w:pPr>
      <w:r>
        <w:t xml:space="preserve">As I have found that claim 3 </w:t>
      </w:r>
      <w:r w:rsidR="00B35AB4">
        <w:t xml:space="preserve">of the 355 specification </w:t>
      </w:r>
      <w:r>
        <w:t>also defines more than one form of the invention, the question then become</w:t>
      </w:r>
      <w:r w:rsidR="00FC73AD">
        <w:t>s</w:t>
      </w:r>
      <w:r>
        <w:t xml:space="preserve"> whether the forms of the phosphor represented by the </w:t>
      </w:r>
      <w:r w:rsidR="00D43616">
        <w:t>g</w:t>
      </w:r>
      <w:r>
        <w:t xml:space="preserve">eneral </w:t>
      </w:r>
      <w:r w:rsidR="00D43616">
        <w:t>f</w:t>
      </w:r>
      <w:r>
        <w:t>ormula</w:t>
      </w:r>
      <w:r w:rsidR="00D43616">
        <w:t xml:space="preserve"> </w:t>
      </w:r>
      <w:r w:rsidR="00935AE2">
        <w:t xml:space="preserve">in </w:t>
      </w:r>
      <w:r w:rsidR="00B35AB4">
        <w:t>that claim</w:t>
      </w:r>
      <w:r w:rsidR="00D43616">
        <w:t xml:space="preserve"> </w:t>
      </w:r>
      <w:r>
        <w:t xml:space="preserve">are disclosed in </w:t>
      </w:r>
      <w:proofErr w:type="spellStart"/>
      <w:r>
        <w:t>JP585</w:t>
      </w:r>
      <w:proofErr w:type="spellEnd"/>
      <w:r>
        <w:t>.  This question focuses attention on the notation (</w:t>
      </w:r>
      <w:proofErr w:type="spellStart"/>
      <w:r>
        <w:t>A</w:t>
      </w:r>
      <w:r w:rsidR="00D43616">
        <w:t>l</w:t>
      </w:r>
      <w:r>
        <w:t>,Ga</w:t>
      </w:r>
      <w:proofErr w:type="spellEnd"/>
      <w:r>
        <w:t>)</w:t>
      </w:r>
      <w:r w:rsidRPr="007E10C3">
        <w:rPr>
          <w:vertAlign w:val="subscript"/>
        </w:rPr>
        <w:t>5</w:t>
      </w:r>
      <w:r>
        <w:t xml:space="preserve"> used in claim 1</w:t>
      </w:r>
      <w:r w:rsidR="003614C7">
        <w:t xml:space="preserve"> and claim 2</w:t>
      </w:r>
      <w:r>
        <w:t xml:space="preserve"> of </w:t>
      </w:r>
      <w:proofErr w:type="spellStart"/>
      <w:r>
        <w:t>JP</w:t>
      </w:r>
      <w:r w:rsidR="007E10C3">
        <w:t>585</w:t>
      </w:r>
      <w:proofErr w:type="spellEnd"/>
      <w:r w:rsidR="007E10C3">
        <w:t xml:space="preserve">, and elsewhere in </w:t>
      </w:r>
      <w:proofErr w:type="spellStart"/>
      <w:r w:rsidR="007E10C3">
        <w:t>JP585</w:t>
      </w:r>
      <w:proofErr w:type="spellEnd"/>
      <w:r w:rsidR="007E10C3">
        <w:t xml:space="preserve">, </w:t>
      </w:r>
      <w:r w:rsidR="003614C7">
        <w:t>where it is stated</w:t>
      </w:r>
      <w:r w:rsidR="007E10C3">
        <w:t xml:space="preserve"> that the phosphor of the invention therein </w:t>
      </w:r>
      <w:r w:rsidR="0084607C">
        <w:t>described</w:t>
      </w:r>
      <w:r w:rsidR="007E10C3">
        <w:t xml:space="preserve"> is represented by </w:t>
      </w:r>
      <w:proofErr w:type="spellStart"/>
      <w:r w:rsidR="007E10C3">
        <w:t>RE</w:t>
      </w:r>
      <w:r w:rsidR="007E10C3" w:rsidRPr="007E10C3">
        <w:rPr>
          <w:vertAlign w:val="subscript"/>
        </w:rPr>
        <w:t>3</w:t>
      </w:r>
      <w:proofErr w:type="spellEnd"/>
      <w:r w:rsidR="007E10C3">
        <w:t>(</w:t>
      </w:r>
      <w:proofErr w:type="spellStart"/>
      <w:r w:rsidR="007E10C3">
        <w:t>Al,Ga</w:t>
      </w:r>
      <w:proofErr w:type="spellEnd"/>
      <w:r w:rsidR="007E10C3">
        <w:t>)</w:t>
      </w:r>
      <w:proofErr w:type="spellStart"/>
      <w:r w:rsidR="007E10C3" w:rsidRPr="007E10C3">
        <w:rPr>
          <w:vertAlign w:val="subscript"/>
        </w:rPr>
        <w:t>5</w:t>
      </w:r>
      <w:r w:rsidR="007E10C3">
        <w:t>O</w:t>
      </w:r>
      <w:r w:rsidR="007E10C3" w:rsidRPr="007E10C3">
        <w:rPr>
          <w:vertAlign w:val="subscript"/>
        </w:rPr>
        <w:t>12</w:t>
      </w:r>
      <w:r w:rsidR="007E10C3">
        <w:t>:Ce</w:t>
      </w:r>
      <w:proofErr w:type="spellEnd"/>
      <w:r w:rsidR="007E10C3">
        <w:t xml:space="preserve">, where RE is at least one selected form Y, </w:t>
      </w:r>
      <w:proofErr w:type="spellStart"/>
      <w:r w:rsidR="007E10C3">
        <w:t>Gd</w:t>
      </w:r>
      <w:proofErr w:type="spellEnd"/>
      <w:r w:rsidR="007E10C3">
        <w:t xml:space="preserve"> and Sm.</w:t>
      </w:r>
    </w:p>
    <w:p w:rsidR="004E7EE7" w:rsidRDefault="00FC73AD" w:rsidP="00B35AB4">
      <w:pPr>
        <w:pStyle w:val="ParaNumbering"/>
      </w:pPr>
      <w:r>
        <w:t>As originally advanced, t</w:t>
      </w:r>
      <w:r w:rsidR="001E3020">
        <w:t>he issue that divide</w:t>
      </w:r>
      <w:r w:rsidR="00781979">
        <w:t>d</w:t>
      </w:r>
      <w:r w:rsidR="001E3020">
        <w:t xml:space="preserve"> the parties </w:t>
      </w:r>
      <w:r>
        <w:t>was</w:t>
      </w:r>
      <w:r w:rsidR="001E3020">
        <w:t xml:space="preserve"> this:  Does </w:t>
      </w:r>
      <w:r w:rsidR="00B35AB4">
        <w:t xml:space="preserve">the notation </w:t>
      </w:r>
      <w:r w:rsidR="001E3020">
        <w:t>(</w:t>
      </w:r>
      <w:proofErr w:type="spellStart"/>
      <w:r w:rsidR="001E3020">
        <w:t>Al,Ga</w:t>
      </w:r>
      <w:proofErr w:type="spellEnd"/>
      <w:r w:rsidR="001E3020">
        <w:t>)</w:t>
      </w:r>
      <w:r w:rsidR="001E3020" w:rsidRPr="00FB0A81">
        <w:rPr>
          <w:vertAlign w:val="subscript"/>
        </w:rPr>
        <w:t>5</w:t>
      </w:r>
      <w:r w:rsidR="001E3020">
        <w:t xml:space="preserve"> as used in</w:t>
      </w:r>
      <w:r w:rsidR="00B35AB4">
        <w:t xml:space="preserve"> the </w:t>
      </w:r>
      <w:r w:rsidR="008865A0">
        <w:t xml:space="preserve">general </w:t>
      </w:r>
      <w:r w:rsidR="00B35AB4">
        <w:t>formula in claim 1 of</w:t>
      </w:r>
      <w:r w:rsidR="001E3020">
        <w:t xml:space="preserve"> </w:t>
      </w:r>
      <w:proofErr w:type="spellStart"/>
      <w:r w:rsidR="001E3020">
        <w:t>JP585</w:t>
      </w:r>
      <w:proofErr w:type="spellEnd"/>
      <w:r w:rsidR="001E3020">
        <w:t>, denote any mixing of Al and Ga so as to include 100% Al a</w:t>
      </w:r>
      <w:r w:rsidR="00B35AB4">
        <w:t xml:space="preserve">nd 0% Ga, and 0% Al and 100% Ga, </w:t>
      </w:r>
      <w:r w:rsidR="00FB0A81">
        <w:t xml:space="preserve">provided the total number of atoms </w:t>
      </w:r>
      <w:r w:rsidR="009A286E">
        <w:t>is conserved to make five atoms</w:t>
      </w:r>
      <w:r w:rsidR="00B35AB4">
        <w:t xml:space="preserve"> (</w:t>
      </w:r>
      <w:proofErr w:type="spellStart"/>
      <w:r w:rsidR="00B35AB4">
        <w:t>ie</w:t>
      </w:r>
      <w:proofErr w:type="spellEnd"/>
      <w:r w:rsidR="00B35AB4">
        <w:t xml:space="preserve">, so as to include </w:t>
      </w:r>
      <w:proofErr w:type="spellStart"/>
      <w:r w:rsidR="00B35AB4">
        <w:t>RE</w:t>
      </w:r>
      <w:r w:rsidR="00B35AB4" w:rsidRPr="00B35AB4">
        <w:rPr>
          <w:vertAlign w:val="subscript"/>
        </w:rPr>
        <w:t>3</w:t>
      </w:r>
      <w:r w:rsidR="00B35AB4">
        <w:t>Al</w:t>
      </w:r>
      <w:r w:rsidR="00B35AB4" w:rsidRPr="00B35AB4">
        <w:rPr>
          <w:vertAlign w:val="subscript"/>
        </w:rPr>
        <w:t>5</w:t>
      </w:r>
      <w:r w:rsidR="00B35AB4">
        <w:t>O</w:t>
      </w:r>
      <w:r w:rsidR="00B35AB4" w:rsidRPr="00B35AB4">
        <w:rPr>
          <w:vertAlign w:val="subscript"/>
        </w:rPr>
        <w:t>12</w:t>
      </w:r>
      <w:r w:rsidR="00B35AB4">
        <w:t>:Ce</w:t>
      </w:r>
      <w:proofErr w:type="spellEnd"/>
      <w:r w:rsidR="00B35AB4">
        <w:t xml:space="preserve"> and </w:t>
      </w:r>
      <w:proofErr w:type="spellStart"/>
      <w:r w:rsidR="00B35AB4">
        <w:t>RE</w:t>
      </w:r>
      <w:r w:rsidR="00B35AB4" w:rsidRPr="00B35AB4">
        <w:rPr>
          <w:vertAlign w:val="subscript"/>
        </w:rPr>
        <w:t>3</w:t>
      </w:r>
      <w:r w:rsidR="00B35AB4">
        <w:t>Ga</w:t>
      </w:r>
      <w:r w:rsidR="00B35AB4" w:rsidRPr="00B35AB4">
        <w:rPr>
          <w:vertAlign w:val="subscript"/>
        </w:rPr>
        <w:t>5</w:t>
      </w:r>
      <w:r w:rsidR="00B35AB4">
        <w:t>O</w:t>
      </w:r>
      <w:r w:rsidR="00B35AB4" w:rsidRPr="00B35AB4">
        <w:rPr>
          <w:vertAlign w:val="subscript"/>
        </w:rPr>
        <w:t>12</w:t>
      </w:r>
      <w:r w:rsidR="00B35AB4">
        <w:t>:Ce</w:t>
      </w:r>
      <w:proofErr w:type="spellEnd"/>
      <w:r w:rsidR="00B35AB4">
        <w:t>, respectively)</w:t>
      </w:r>
      <w:r w:rsidR="009A286E">
        <w:t>, as the applicant contends</w:t>
      </w:r>
      <w:r w:rsidR="001E3020">
        <w:t>, or does it denote</w:t>
      </w:r>
      <w:r w:rsidR="00B35AB4">
        <w:t>, as the respondent contends,</w:t>
      </w:r>
      <w:r w:rsidR="001E3020">
        <w:t xml:space="preserve"> that Al and Ga must each be present in the phosphor</w:t>
      </w:r>
      <w:r w:rsidR="00B35AB4">
        <w:t xml:space="preserve">, </w:t>
      </w:r>
      <w:r w:rsidR="009A286E">
        <w:t>provided, once again, that the total number of at</w:t>
      </w:r>
      <w:r w:rsidR="00B35AB4">
        <w:t>oms is conserved to five atoms</w:t>
      </w:r>
      <w:r w:rsidR="001E3020">
        <w:t>?</w:t>
      </w:r>
      <w:r w:rsidR="004E7EE7">
        <w:t xml:space="preserve">  </w:t>
      </w:r>
    </w:p>
    <w:p w:rsidR="000725AB" w:rsidRDefault="00F935B7" w:rsidP="004E7EE7">
      <w:pPr>
        <w:pStyle w:val="Heading2"/>
      </w:pPr>
      <w:proofErr w:type="spellStart"/>
      <w:r>
        <w:t>JP585</w:t>
      </w:r>
      <w:proofErr w:type="spellEnd"/>
    </w:p>
    <w:p w:rsidR="008726A6" w:rsidRDefault="008726A6" w:rsidP="008726A6">
      <w:pPr>
        <w:pStyle w:val="ParaNumbering"/>
      </w:pPr>
      <w:r>
        <w:t>Claim 1</w:t>
      </w:r>
      <w:r w:rsidR="00F262D4">
        <w:t xml:space="preserve"> of </w:t>
      </w:r>
      <w:proofErr w:type="spellStart"/>
      <w:r w:rsidR="00F262D4">
        <w:t>JP585</w:t>
      </w:r>
      <w:proofErr w:type="spellEnd"/>
      <w:r w:rsidR="00FC73AD">
        <w:t xml:space="preserve"> is:</w:t>
      </w:r>
    </w:p>
    <w:p w:rsidR="008726A6" w:rsidRDefault="008726A6" w:rsidP="008726A6">
      <w:pPr>
        <w:pStyle w:val="Quote1"/>
      </w:pPr>
      <w:r>
        <w:t xml:space="preserve">A light emitting diode comprising a LED chip using a gallium nitride compound semiconductor as a light emitting layer and a phosphor which absorbs at least a part of light emitted by the LED chip to emit light by converting the wavelength, wherein a peak of the emission spectrum of the LED chip has an emission wavelength within the range from </w:t>
      </w:r>
      <w:proofErr w:type="spellStart"/>
      <w:r>
        <w:t>400nm</w:t>
      </w:r>
      <w:proofErr w:type="spellEnd"/>
      <w:r>
        <w:t xml:space="preserve"> to </w:t>
      </w:r>
      <w:proofErr w:type="spellStart"/>
      <w:r>
        <w:t>530nm</w:t>
      </w:r>
      <w:proofErr w:type="spellEnd"/>
      <w:r>
        <w:t xml:space="preserve"> and the phosphor is represented by </w:t>
      </w:r>
      <w:proofErr w:type="spellStart"/>
      <w:r>
        <w:t>RE</w:t>
      </w:r>
      <w:r w:rsidRPr="00C42F4B">
        <w:rPr>
          <w:vertAlign w:val="subscript"/>
        </w:rPr>
        <w:t>3</w:t>
      </w:r>
      <w:proofErr w:type="spellEnd"/>
      <w:r>
        <w:t>(</w:t>
      </w:r>
      <w:proofErr w:type="spellStart"/>
      <w:r>
        <w:t>Al,Ga</w:t>
      </w:r>
      <w:proofErr w:type="spellEnd"/>
      <w:r>
        <w:t>)</w:t>
      </w:r>
      <w:proofErr w:type="spellStart"/>
      <w:r w:rsidRPr="00C42F4B">
        <w:rPr>
          <w:vertAlign w:val="subscript"/>
        </w:rPr>
        <w:t>5</w:t>
      </w:r>
      <w:r>
        <w:t>O</w:t>
      </w:r>
      <w:r w:rsidRPr="00C42F4B">
        <w:rPr>
          <w:vertAlign w:val="subscript"/>
        </w:rPr>
        <w:t>12</w:t>
      </w:r>
      <w:r>
        <w:t>:Ce</w:t>
      </w:r>
      <w:proofErr w:type="spellEnd"/>
      <w:r>
        <w:t xml:space="preserve">, where RE is at least one selected from Y, </w:t>
      </w:r>
      <w:proofErr w:type="spellStart"/>
      <w:r>
        <w:t>Gd</w:t>
      </w:r>
      <w:proofErr w:type="spellEnd"/>
      <w:r>
        <w:t xml:space="preserve"> and Sm.</w:t>
      </w:r>
    </w:p>
    <w:p w:rsidR="008726A6" w:rsidRDefault="008726A6" w:rsidP="008726A6">
      <w:pPr>
        <w:pStyle w:val="Quote1"/>
      </w:pPr>
    </w:p>
    <w:p w:rsidR="001B2593" w:rsidRDefault="001B2593" w:rsidP="008726A6">
      <w:pPr>
        <w:pStyle w:val="ParaNumbering"/>
      </w:pPr>
      <w:r>
        <w:t xml:space="preserve">Like the </w:t>
      </w:r>
      <w:r w:rsidR="003614C7">
        <w:t>g</w:t>
      </w:r>
      <w:r>
        <w:t xml:space="preserve">eneral </w:t>
      </w:r>
      <w:r w:rsidR="003614C7">
        <w:t>f</w:t>
      </w:r>
      <w:r>
        <w:t xml:space="preserve">ormula of claim 3 of the </w:t>
      </w:r>
      <w:r w:rsidR="00781979">
        <w:t>35</w:t>
      </w:r>
      <w:r w:rsidR="003614C7">
        <w:t xml:space="preserve">5 </w:t>
      </w:r>
      <w:r w:rsidR="00D0786B">
        <w:t>specification</w:t>
      </w:r>
      <w:r>
        <w:t>, the formula</w:t>
      </w:r>
      <w:r w:rsidRPr="001B2593">
        <w:t xml:space="preserve"> </w:t>
      </w:r>
      <w:proofErr w:type="spellStart"/>
      <w:r>
        <w:t>RE</w:t>
      </w:r>
      <w:r w:rsidRPr="00C42F4B">
        <w:rPr>
          <w:vertAlign w:val="subscript"/>
        </w:rPr>
        <w:t>3</w:t>
      </w:r>
      <w:proofErr w:type="spellEnd"/>
      <w:r>
        <w:t>(</w:t>
      </w:r>
      <w:proofErr w:type="spellStart"/>
      <w:r>
        <w:t>Al,Ga</w:t>
      </w:r>
      <w:proofErr w:type="spellEnd"/>
      <w:r>
        <w:t>)</w:t>
      </w:r>
      <w:proofErr w:type="spellStart"/>
      <w:r w:rsidRPr="00C42F4B">
        <w:rPr>
          <w:vertAlign w:val="subscript"/>
        </w:rPr>
        <w:t>5</w:t>
      </w:r>
      <w:r>
        <w:t>O</w:t>
      </w:r>
      <w:r w:rsidRPr="00C42F4B">
        <w:rPr>
          <w:vertAlign w:val="subscript"/>
        </w:rPr>
        <w:t>12</w:t>
      </w:r>
      <w:r>
        <w:t>:Ce</w:t>
      </w:r>
      <w:proofErr w:type="spellEnd"/>
      <w:r>
        <w:t xml:space="preserve"> in claim 1 </w:t>
      </w:r>
      <w:r w:rsidR="00D0786B">
        <w:t xml:space="preserve">of </w:t>
      </w:r>
      <w:proofErr w:type="spellStart"/>
      <w:r w:rsidR="00D0786B">
        <w:t>JP585</w:t>
      </w:r>
      <w:proofErr w:type="spellEnd"/>
      <w:r>
        <w:t xml:space="preserve"> represents a general description of the composition of a synthetic garnet </w:t>
      </w:r>
      <w:r>
        <w:lastRenderedPageBreak/>
        <w:t xml:space="preserve">structure.  The </w:t>
      </w:r>
      <w:r w:rsidR="009A75DE">
        <w:t>formula unit identifies a ratio</w:t>
      </w:r>
      <w:r>
        <w:t xml:space="preserve"> of oxygen ions to </w:t>
      </w:r>
      <w:r w:rsidR="00B35AB4">
        <w:t>“</w:t>
      </w:r>
      <w:r w:rsidR="00D0786B">
        <w:t>large</w:t>
      </w:r>
      <w:r w:rsidR="00B35AB4">
        <w:t>”</w:t>
      </w:r>
      <w:r w:rsidR="00D0786B">
        <w:t xml:space="preserve"> </w:t>
      </w:r>
      <w:r>
        <w:t>metal ions identified by</w:t>
      </w:r>
      <w:r w:rsidR="00B35AB4">
        <w:t xml:space="preserve"> the notation</w:t>
      </w:r>
      <w:r w:rsidR="00BB53D9">
        <w:t xml:space="preserve"> RE</w:t>
      </w:r>
      <w:r>
        <w:t xml:space="preserve"> (being at least one selected from Y, </w:t>
      </w:r>
      <w:proofErr w:type="spellStart"/>
      <w:r>
        <w:t>Gd</w:t>
      </w:r>
      <w:proofErr w:type="spellEnd"/>
      <w:r>
        <w:t xml:space="preserve"> and Sm) </w:t>
      </w:r>
      <w:r w:rsidR="00FC73AD">
        <w:t xml:space="preserve">to </w:t>
      </w:r>
      <w:r w:rsidR="00BB53D9">
        <w:t>“</w:t>
      </w:r>
      <w:r w:rsidR="00D0786B">
        <w:t>small</w:t>
      </w:r>
      <w:r w:rsidR="00BB53D9">
        <w:t>”</w:t>
      </w:r>
      <w:r w:rsidR="00D0786B">
        <w:t xml:space="preserve"> </w:t>
      </w:r>
      <w:r w:rsidR="00BB53D9">
        <w:t xml:space="preserve">metal ions identified by the notation </w:t>
      </w:r>
      <w:r w:rsidR="009A75DE">
        <w:t>(</w:t>
      </w:r>
      <w:proofErr w:type="spellStart"/>
      <w:r w:rsidR="00610961">
        <w:t>Al</w:t>
      </w:r>
      <w:r w:rsidR="00BB53D9">
        <w:t>,Ga</w:t>
      </w:r>
      <w:proofErr w:type="spellEnd"/>
      <w:r w:rsidR="00BB53D9">
        <w:t>)</w:t>
      </w:r>
      <w:r w:rsidR="00BB53D9" w:rsidRPr="00BB53D9">
        <w:rPr>
          <w:vertAlign w:val="subscript"/>
        </w:rPr>
        <w:t>5</w:t>
      </w:r>
      <w:r w:rsidR="006E32D9">
        <w:t>.  The ratio of oxygen to</w:t>
      </w:r>
      <w:r w:rsidR="006A60B6">
        <w:t xml:space="preserve"> </w:t>
      </w:r>
      <w:r w:rsidR="00BB53D9">
        <w:t>“</w:t>
      </w:r>
      <w:r w:rsidR="006A60B6">
        <w:t>large</w:t>
      </w:r>
      <w:r w:rsidR="00BB53D9">
        <w:t>”</w:t>
      </w:r>
      <w:r w:rsidR="006A60B6">
        <w:t xml:space="preserve"> metal ions to </w:t>
      </w:r>
      <w:r w:rsidR="00BB53D9">
        <w:t>“</w:t>
      </w:r>
      <w:r w:rsidR="006A60B6">
        <w:t>small</w:t>
      </w:r>
      <w:r w:rsidR="00BB53D9">
        <w:t>”</w:t>
      </w:r>
      <w:r w:rsidR="006A60B6">
        <w:t xml:space="preserve"> metal ions is</w:t>
      </w:r>
      <w:r>
        <w:t xml:space="preserve"> 12 to 3 to 5.  The formula represents a </w:t>
      </w:r>
      <w:r w:rsidR="00BB53D9">
        <w:t>Ce</w:t>
      </w:r>
      <w:r>
        <w:t xml:space="preserve">-activated phosphor with a garnet structure.  </w:t>
      </w:r>
      <w:r w:rsidR="0057347C">
        <w:t xml:space="preserve">The same general formula is used in claim 2 of </w:t>
      </w:r>
      <w:proofErr w:type="spellStart"/>
      <w:r w:rsidR="0057347C">
        <w:t>JP585</w:t>
      </w:r>
      <w:proofErr w:type="spellEnd"/>
      <w:r w:rsidR="0057347C">
        <w:t xml:space="preserve">.  </w:t>
      </w:r>
      <w:r>
        <w:t xml:space="preserve">Unlike the </w:t>
      </w:r>
      <w:r w:rsidR="003614C7">
        <w:t>g</w:t>
      </w:r>
      <w:r>
        <w:t xml:space="preserve">eneral </w:t>
      </w:r>
      <w:r w:rsidR="003614C7">
        <w:t>f</w:t>
      </w:r>
      <w:r>
        <w:t>ormula</w:t>
      </w:r>
      <w:r w:rsidR="00FC58B8">
        <w:t xml:space="preserve"> </w:t>
      </w:r>
      <w:r w:rsidR="008865A0">
        <w:t>in</w:t>
      </w:r>
      <w:r w:rsidR="00FC58B8">
        <w:t xml:space="preserve"> claim 3 of the </w:t>
      </w:r>
      <w:r w:rsidR="00781979">
        <w:t>35</w:t>
      </w:r>
      <w:r w:rsidR="003614C7">
        <w:t xml:space="preserve">5 </w:t>
      </w:r>
      <w:r w:rsidR="00FC58B8">
        <w:t>specification</w:t>
      </w:r>
      <w:r>
        <w:t xml:space="preserve">, </w:t>
      </w:r>
      <w:r w:rsidR="004F5351">
        <w:t xml:space="preserve">the </w:t>
      </w:r>
      <w:r>
        <w:t xml:space="preserve">crystals represented by </w:t>
      </w:r>
      <w:r w:rsidR="00FC58B8">
        <w:t>the</w:t>
      </w:r>
      <w:r>
        <w:t xml:space="preserve"> </w:t>
      </w:r>
      <w:r w:rsidR="004F5351">
        <w:t xml:space="preserve">general </w:t>
      </w:r>
      <w:r>
        <w:t>formula</w:t>
      </w:r>
      <w:r w:rsidR="00FC58B8">
        <w:t xml:space="preserve"> in claim</w:t>
      </w:r>
      <w:r w:rsidR="0057347C">
        <w:t>s</w:t>
      </w:r>
      <w:r w:rsidR="00FC58B8">
        <w:t xml:space="preserve"> 1 </w:t>
      </w:r>
      <w:r w:rsidR="0057347C">
        <w:t xml:space="preserve">and 2 </w:t>
      </w:r>
      <w:r w:rsidR="00FC58B8">
        <w:t xml:space="preserve">of </w:t>
      </w:r>
      <w:proofErr w:type="spellStart"/>
      <w:r w:rsidR="00FC58B8">
        <w:t>JP585</w:t>
      </w:r>
      <w:proofErr w:type="spellEnd"/>
      <w:r>
        <w:t xml:space="preserve"> may incl</w:t>
      </w:r>
      <w:r w:rsidR="00FC73AD">
        <w:t>ude only Sm (</w:t>
      </w:r>
      <w:proofErr w:type="spellStart"/>
      <w:r w:rsidR="00FC73AD">
        <w:t>ie</w:t>
      </w:r>
      <w:proofErr w:type="spellEnd"/>
      <w:r w:rsidR="00FC73AD">
        <w:t xml:space="preserve">, no Y or </w:t>
      </w:r>
      <w:proofErr w:type="spellStart"/>
      <w:r w:rsidR="00FC73AD">
        <w:t>Gd</w:t>
      </w:r>
      <w:proofErr w:type="spellEnd"/>
      <w:r w:rsidR="00FC73AD">
        <w:t>).</w:t>
      </w:r>
    </w:p>
    <w:p w:rsidR="008726A6" w:rsidRDefault="00FC73AD" w:rsidP="008726A6">
      <w:pPr>
        <w:pStyle w:val="ParaNumbering"/>
      </w:pPr>
      <w:r>
        <w:t>Claim 3 is:</w:t>
      </w:r>
    </w:p>
    <w:p w:rsidR="008726A6" w:rsidRDefault="008726A6" w:rsidP="008726A6">
      <w:pPr>
        <w:pStyle w:val="Quote1"/>
      </w:pPr>
      <w:r>
        <w:t xml:space="preserve">A light emitting diode according to claim 1 or 2, wherein the composition of the phosphor is represented by the following general formula: </w:t>
      </w:r>
    </w:p>
    <w:p w:rsidR="008726A6" w:rsidRDefault="008726A6" w:rsidP="008726A6">
      <w:pPr>
        <w:pStyle w:val="Quote1"/>
      </w:pPr>
    </w:p>
    <w:p w:rsidR="008726A6" w:rsidRDefault="008726A6" w:rsidP="007B187A">
      <w:pPr>
        <w:pStyle w:val="Quote2"/>
      </w:pPr>
      <w:r>
        <w:t>(</w:t>
      </w:r>
      <w:proofErr w:type="spellStart"/>
      <w:r>
        <w:t>Y</w:t>
      </w:r>
      <w:r w:rsidR="00FC73AD">
        <w:rPr>
          <w:vertAlign w:val="subscript"/>
        </w:rPr>
        <w:t>1</w:t>
      </w:r>
      <w:proofErr w:type="spellEnd"/>
      <w:r w:rsidRPr="00CD7184">
        <w:rPr>
          <w:vertAlign w:val="subscript"/>
        </w:rPr>
        <w:t>-p-q-</w:t>
      </w:r>
      <w:proofErr w:type="spellStart"/>
      <w:r w:rsidRPr="00CD7184">
        <w:rPr>
          <w:vertAlign w:val="subscript"/>
        </w:rPr>
        <w:t>r</w:t>
      </w:r>
      <w:r>
        <w:t>Gd</w:t>
      </w:r>
      <w:r w:rsidRPr="00CD7184">
        <w:rPr>
          <w:vertAlign w:val="subscript"/>
        </w:rPr>
        <w:t>p</w:t>
      </w:r>
      <w:r>
        <w:t>Ce</w:t>
      </w:r>
      <w:r w:rsidRPr="00CD7184">
        <w:rPr>
          <w:vertAlign w:val="subscript"/>
        </w:rPr>
        <w:t>q</w:t>
      </w:r>
      <w:r>
        <w:t>Sm</w:t>
      </w:r>
      <w:r w:rsidRPr="00CD7184">
        <w:rPr>
          <w:vertAlign w:val="subscript"/>
        </w:rPr>
        <w:t>r</w:t>
      </w:r>
      <w:proofErr w:type="spellEnd"/>
      <w:r>
        <w:t>)</w:t>
      </w:r>
      <w:r w:rsidRPr="00CD7184">
        <w:rPr>
          <w:vertAlign w:val="subscript"/>
        </w:rPr>
        <w:t>3</w:t>
      </w:r>
      <w:r>
        <w:t>(</w:t>
      </w:r>
      <w:proofErr w:type="spellStart"/>
      <w:r>
        <w:t>Al</w:t>
      </w:r>
      <w:r w:rsidR="003A5310" w:rsidRPr="003A5310">
        <w:rPr>
          <w:vertAlign w:val="subscript"/>
        </w:rPr>
        <w:t>1-</w:t>
      </w:r>
      <w:r w:rsidR="00821A3E">
        <w:rPr>
          <w:vertAlign w:val="subscript"/>
        </w:rPr>
        <w:t>s</w:t>
      </w:r>
      <w:r>
        <w:t>G</w:t>
      </w:r>
      <w:r w:rsidR="00FC73AD">
        <w:t>a</w:t>
      </w:r>
      <w:r w:rsidR="00821A3E">
        <w:rPr>
          <w:vertAlign w:val="subscript"/>
        </w:rPr>
        <w:t>s</w:t>
      </w:r>
      <w:proofErr w:type="spellEnd"/>
      <w:r>
        <w:t>)</w:t>
      </w:r>
      <w:proofErr w:type="spellStart"/>
      <w:r w:rsidRPr="00CD7184">
        <w:rPr>
          <w:vertAlign w:val="subscript"/>
        </w:rPr>
        <w:t>5</w:t>
      </w:r>
      <w:r>
        <w:t>O</w:t>
      </w:r>
      <w:r w:rsidRPr="00CD7184">
        <w:rPr>
          <w:vertAlign w:val="subscript"/>
        </w:rPr>
        <w:t>12</w:t>
      </w:r>
      <w:proofErr w:type="spellEnd"/>
      <w:r>
        <w:rPr>
          <w:vertAlign w:val="subscript"/>
        </w:rPr>
        <w:t xml:space="preserve"> </w:t>
      </w:r>
    </w:p>
    <w:p w:rsidR="008726A6" w:rsidRDefault="008726A6" w:rsidP="007B187A">
      <w:pPr>
        <w:pStyle w:val="Quote2"/>
      </w:pPr>
      <w:r>
        <w:t>where 0</w:t>
      </w:r>
      <w:r w:rsidRPr="00CD7184">
        <w:rPr>
          <w:u w:val="single"/>
        </w:rPr>
        <w:t>&lt;</w:t>
      </w:r>
      <w:r>
        <w:t>p</w:t>
      </w:r>
      <w:r w:rsidRPr="0005390E">
        <w:rPr>
          <w:u w:val="single"/>
        </w:rPr>
        <w:t>&lt;</w:t>
      </w:r>
      <w:r>
        <w:t>0.8</w:t>
      </w:r>
    </w:p>
    <w:p w:rsidR="008726A6" w:rsidRDefault="008726A6" w:rsidP="007B187A">
      <w:pPr>
        <w:pStyle w:val="Quote2"/>
      </w:pPr>
      <w:r>
        <w:t>0.003</w:t>
      </w:r>
      <w:r w:rsidRPr="0005390E">
        <w:rPr>
          <w:u w:val="single"/>
        </w:rPr>
        <w:t>&lt;</w:t>
      </w:r>
      <w:r>
        <w:t>q</w:t>
      </w:r>
      <w:r w:rsidRPr="0005390E">
        <w:rPr>
          <w:u w:val="single"/>
        </w:rPr>
        <w:t>&lt;</w:t>
      </w:r>
      <w:r>
        <w:t xml:space="preserve">0.2 </w:t>
      </w:r>
    </w:p>
    <w:p w:rsidR="008726A6" w:rsidRDefault="008726A6" w:rsidP="007B187A">
      <w:pPr>
        <w:pStyle w:val="Quote2"/>
      </w:pPr>
      <w:r>
        <w:t>0.0003</w:t>
      </w:r>
      <w:r w:rsidRPr="0005390E">
        <w:rPr>
          <w:u w:val="single"/>
        </w:rPr>
        <w:t>&lt;</w:t>
      </w:r>
      <w:r>
        <w:t>r</w:t>
      </w:r>
      <w:r w:rsidRPr="0005390E">
        <w:rPr>
          <w:u w:val="single"/>
        </w:rPr>
        <w:t>&lt;</w:t>
      </w:r>
      <w:r>
        <w:t>0.08</w:t>
      </w:r>
    </w:p>
    <w:p w:rsidR="008726A6" w:rsidRPr="0005390E" w:rsidRDefault="008726A6" w:rsidP="007B187A">
      <w:pPr>
        <w:pStyle w:val="Quote2"/>
      </w:pPr>
      <w:r>
        <w:t>0</w:t>
      </w:r>
      <w:r w:rsidRPr="0005390E">
        <w:rPr>
          <w:u w:val="single"/>
        </w:rPr>
        <w:t>&lt;</w:t>
      </w:r>
      <w:r>
        <w:t>s</w:t>
      </w:r>
      <w:r w:rsidRPr="0005390E">
        <w:rPr>
          <w:u w:val="single"/>
        </w:rPr>
        <w:t>&lt;</w:t>
      </w:r>
      <w:r>
        <w:t xml:space="preserve">l </w:t>
      </w:r>
    </w:p>
    <w:p w:rsidR="008726A6" w:rsidRPr="00532853" w:rsidRDefault="008726A6" w:rsidP="008726A6">
      <w:pPr>
        <w:pStyle w:val="Quote1"/>
      </w:pPr>
    </w:p>
    <w:p w:rsidR="00CC0C1A" w:rsidRDefault="001B2593" w:rsidP="004D63D4">
      <w:pPr>
        <w:pStyle w:val="ParaNumbering"/>
      </w:pPr>
      <w:r>
        <w:t xml:space="preserve">It is apparent from the formula in claim 3 </w:t>
      </w:r>
      <w:r w:rsidR="003614C7">
        <w:t xml:space="preserve">of </w:t>
      </w:r>
      <w:proofErr w:type="spellStart"/>
      <w:r w:rsidR="003614C7">
        <w:t>JP585</w:t>
      </w:r>
      <w:proofErr w:type="spellEnd"/>
      <w:r w:rsidR="003614C7">
        <w:t xml:space="preserve"> </w:t>
      </w:r>
      <w:r>
        <w:t xml:space="preserve">that </w:t>
      </w:r>
      <w:r w:rsidR="009A75DE">
        <w:t>the garnet phosphor may contain 0% Al and 100% Ga or 100% Al and 0% Ga because 0</w:t>
      </w:r>
      <w:r w:rsidR="009A75DE" w:rsidRPr="0005390E">
        <w:rPr>
          <w:u w:val="single"/>
        </w:rPr>
        <w:t>&lt;</w:t>
      </w:r>
      <w:r w:rsidR="009A75DE">
        <w:t>s</w:t>
      </w:r>
      <w:r w:rsidR="009A75DE" w:rsidRPr="0005390E">
        <w:rPr>
          <w:u w:val="single"/>
        </w:rPr>
        <w:t>&lt;</w:t>
      </w:r>
      <w:r w:rsidR="009A75DE">
        <w:t>l</w:t>
      </w:r>
      <w:r w:rsidR="00935AE2">
        <w:t>.</w:t>
      </w:r>
      <w:r w:rsidR="00821A3E">
        <w:t xml:space="preserve">  </w:t>
      </w:r>
      <w:r w:rsidR="00CC0C1A">
        <w:t>There is no dispute about that matter.</w:t>
      </w:r>
    </w:p>
    <w:p w:rsidR="00997AA6" w:rsidRDefault="00821A3E" w:rsidP="004D63D4">
      <w:pPr>
        <w:pStyle w:val="ParaNumbering"/>
      </w:pPr>
      <w:r>
        <w:t xml:space="preserve">I note in passing that the translation of </w:t>
      </w:r>
      <w:proofErr w:type="spellStart"/>
      <w:r>
        <w:t>JP585</w:t>
      </w:r>
      <w:proofErr w:type="spellEnd"/>
      <w:r>
        <w:t xml:space="preserve"> in evidence </w:t>
      </w:r>
      <w:proofErr w:type="spellStart"/>
      <w:r>
        <w:t>misdescribes</w:t>
      </w:r>
      <w:proofErr w:type="spellEnd"/>
      <w:r>
        <w:t xml:space="preserve"> the general formula in claim 3 thereof.  It is accepted by the parties that the general formula in claim 3 of </w:t>
      </w:r>
      <w:proofErr w:type="spellStart"/>
      <w:r>
        <w:t>JP585</w:t>
      </w:r>
      <w:proofErr w:type="spellEnd"/>
      <w:r>
        <w:t xml:space="preserve"> is as set out above.</w:t>
      </w:r>
    </w:p>
    <w:p w:rsidR="004D63D4" w:rsidRDefault="00935AE2" w:rsidP="004D63D4">
      <w:pPr>
        <w:pStyle w:val="ParaNumbering"/>
        <w:tabs>
          <w:tab w:val="clear" w:pos="720"/>
        </w:tabs>
      </w:pPr>
      <w:r>
        <w:t xml:space="preserve">I </w:t>
      </w:r>
      <w:r w:rsidR="00821A3E">
        <w:t xml:space="preserve">also </w:t>
      </w:r>
      <w:r>
        <w:t xml:space="preserve">note </w:t>
      </w:r>
      <w:r w:rsidR="00821A3E">
        <w:t xml:space="preserve">in passing </w:t>
      </w:r>
      <w:r>
        <w:t xml:space="preserve">that the phosphor defined by the general formula in claim 3 of </w:t>
      </w:r>
      <w:proofErr w:type="spellStart"/>
      <w:r>
        <w:t>JP585</w:t>
      </w:r>
      <w:proofErr w:type="spellEnd"/>
      <w:r>
        <w:t xml:space="preserve"> is the fluorescent material defined by the general formula in claim 4 of the </w:t>
      </w:r>
      <w:r w:rsidR="00C0280F">
        <w:t>355</w:t>
      </w:r>
      <w:r w:rsidR="003614C7">
        <w:t xml:space="preserve"> </w:t>
      </w:r>
      <w:r>
        <w:t>specification.  However, claim 4</w:t>
      </w:r>
      <w:r w:rsidR="00FC58B8">
        <w:t xml:space="preserve"> of the </w:t>
      </w:r>
      <w:r w:rsidR="00C0280F">
        <w:t>355</w:t>
      </w:r>
      <w:r w:rsidR="003614C7">
        <w:t xml:space="preserve"> </w:t>
      </w:r>
      <w:r w:rsidR="00FC58B8">
        <w:t>specification</w:t>
      </w:r>
      <w:r>
        <w:t xml:space="preserve"> is not in suit.</w:t>
      </w:r>
    </w:p>
    <w:p w:rsidR="00A37DE4" w:rsidRDefault="00ED3BB8" w:rsidP="00A37DE4">
      <w:pPr>
        <w:pStyle w:val="ParaNumbering"/>
        <w:tabs>
          <w:tab w:val="clear" w:pos="720"/>
        </w:tabs>
      </w:pPr>
      <w:proofErr w:type="spellStart"/>
      <w:r>
        <w:t>JP585</w:t>
      </w:r>
      <w:proofErr w:type="spellEnd"/>
      <w:r>
        <w:t xml:space="preserve"> notes that there are fluorescent materials which convert light of shorter wavelength emitted by a light emitting component into light of longer wavelength, and fluorescent materials which convert light of longer wavelength emitted by a light emitting component into light of shorter wavelength.  However, according to </w:t>
      </w:r>
      <w:proofErr w:type="spellStart"/>
      <w:r>
        <w:t>JP585</w:t>
      </w:r>
      <w:proofErr w:type="spellEnd"/>
      <w:r>
        <w:t xml:space="preserve">, the efficiency of conversion of long-wavelength light into short-wavelength light is extremely low and is not practical.  </w:t>
      </w:r>
      <w:proofErr w:type="spellStart"/>
      <w:r>
        <w:t>JP585</w:t>
      </w:r>
      <w:proofErr w:type="spellEnd"/>
      <w:r>
        <w:t xml:space="preserve"> teaches that the steps taken to improve conversion efficiency can lead to a deterioration of the fluorescent material.  </w:t>
      </w:r>
      <w:proofErr w:type="spellStart"/>
      <w:r>
        <w:t>JP585</w:t>
      </w:r>
      <w:proofErr w:type="spellEnd"/>
      <w:r>
        <w:t xml:space="preserve"> teaches that there are other problems which might lead to a deterioration of the fluorescent material.</w:t>
      </w:r>
      <w:r w:rsidR="00DC43A9">
        <w:t xml:space="preserve">  This deterioration can lead to a </w:t>
      </w:r>
      <w:r w:rsidR="00DC43A9">
        <w:lastRenderedPageBreak/>
        <w:t xml:space="preserve">colour shift in the emitted light or a blackening of the fluorescent material resulting in a lowered efficiency of extracting light.  </w:t>
      </w:r>
      <w:proofErr w:type="spellStart"/>
      <w:r w:rsidR="00DC43A9">
        <w:t>JP585</w:t>
      </w:r>
      <w:proofErr w:type="spellEnd"/>
      <w:r w:rsidR="00DC43A9">
        <w:t xml:space="preserve"> says that the invention it describes is intended to solve these various problems and to provide a light emitting diode which is subject only to extremely low degrees of deterioration in light emission efficiency and colour shift over a long period </w:t>
      </w:r>
      <w:r w:rsidR="00FC73AD">
        <w:t>of time, with high luminance.</w:t>
      </w:r>
    </w:p>
    <w:p w:rsidR="00FE3521" w:rsidRDefault="00FC73AD" w:rsidP="004D63D4">
      <w:pPr>
        <w:pStyle w:val="ParaNumbering"/>
        <w:tabs>
          <w:tab w:val="clear" w:pos="720"/>
        </w:tabs>
      </w:pPr>
      <w:proofErr w:type="spellStart"/>
      <w:r>
        <w:t>JP585</w:t>
      </w:r>
      <w:proofErr w:type="spellEnd"/>
      <w:r>
        <w:t xml:space="preserve"> states:</w:t>
      </w:r>
    </w:p>
    <w:p w:rsidR="00E04B32" w:rsidRDefault="00E04B32" w:rsidP="00E04B32">
      <w:pPr>
        <w:pStyle w:val="Quote1"/>
      </w:pPr>
      <w:r>
        <w:t xml:space="preserve">The present inventors have found, as a result of various experiments, that it is made possible to prevent the decrease in emission efficiency and </w:t>
      </w:r>
      <w:proofErr w:type="spellStart"/>
      <w:r>
        <w:t>color</w:t>
      </w:r>
      <w:proofErr w:type="spellEnd"/>
      <w:r>
        <w:t xml:space="preserve"> shift through operat</w:t>
      </w:r>
      <w:r w:rsidR="00FC73AD">
        <w:t xml:space="preserve">ion with a high luminance over </w:t>
      </w:r>
      <w:r>
        <w:t xml:space="preserve">a long period of time by selecting a particular semiconductor and a fluorescent material in a light emitting diode which uses a phosphor to convert the </w:t>
      </w:r>
      <w:proofErr w:type="spellStart"/>
      <w:r>
        <w:t>color</w:t>
      </w:r>
      <w:proofErr w:type="spellEnd"/>
      <w:r>
        <w:t xml:space="preserve"> of light emitted by a LED chip having a relatively high radiation energy in visible region, and have achieved the present invention.</w:t>
      </w:r>
    </w:p>
    <w:p w:rsidR="00E04B32" w:rsidRDefault="00E04B32" w:rsidP="00E04B32">
      <w:pPr>
        <w:pStyle w:val="Quote1"/>
      </w:pPr>
    </w:p>
    <w:p w:rsidR="00E04B32" w:rsidRDefault="00E04B32" w:rsidP="00E04B32">
      <w:pPr>
        <w:pStyle w:val="Quote1"/>
      </w:pPr>
      <w:r>
        <w:t>The phosphor used in the light emitting diode must satisfy the following requirements:</w:t>
      </w:r>
    </w:p>
    <w:p w:rsidR="00E04B32" w:rsidRDefault="00E04B32" w:rsidP="00E04B32">
      <w:pPr>
        <w:pStyle w:val="Quote1"/>
      </w:pPr>
    </w:p>
    <w:p w:rsidR="00E04B32" w:rsidRDefault="00E04B32" w:rsidP="007B187A">
      <w:pPr>
        <w:pStyle w:val="Quote2"/>
        <w:numPr>
          <w:ilvl w:val="0"/>
          <w:numId w:val="35"/>
        </w:numPr>
      </w:pPr>
      <w:r>
        <w:t>Excellent resistance against light, particularly durability to endure light of a radiation intensity as high as about 30 to 40 times that of sun light, because the fluorescent material is exposed to intense radiation from a tiny region such as a semiconductor light emitting component.</w:t>
      </w:r>
    </w:p>
    <w:p w:rsidR="00E04B32" w:rsidRDefault="00E04B32" w:rsidP="007B187A">
      <w:pPr>
        <w:pStyle w:val="Quote2"/>
      </w:pPr>
    </w:p>
    <w:p w:rsidR="00E04B32" w:rsidRDefault="00C03715" w:rsidP="007B187A">
      <w:pPr>
        <w:pStyle w:val="Quote2"/>
        <w:numPr>
          <w:ilvl w:val="0"/>
          <w:numId w:val="35"/>
        </w:numPr>
      </w:pPr>
      <w:r>
        <w:t>Capability</w:t>
      </w:r>
      <w:r w:rsidR="00E04B32">
        <w:t xml:space="preserve"> to</w:t>
      </w:r>
      <w:r>
        <w:t xml:space="preserve"> emit light in blue region, not </w:t>
      </w:r>
      <w:r w:rsidR="00E04B32">
        <w:t xml:space="preserve">ultra violet, because mixing of </w:t>
      </w:r>
      <w:proofErr w:type="spellStart"/>
      <w:r w:rsidR="00E04B32">
        <w:t>colors</w:t>
      </w:r>
      <w:proofErr w:type="spellEnd"/>
      <w:r w:rsidR="00E04B32">
        <w:t xml:space="preserve"> with the light emitting components is used.</w:t>
      </w:r>
    </w:p>
    <w:p w:rsidR="00E04B32" w:rsidRDefault="00E04B32" w:rsidP="007B187A">
      <w:pPr>
        <w:pStyle w:val="Quote2"/>
      </w:pPr>
    </w:p>
    <w:p w:rsidR="00E04B32" w:rsidRDefault="00E04B32" w:rsidP="007B187A">
      <w:pPr>
        <w:pStyle w:val="Quote2"/>
        <w:numPr>
          <w:ilvl w:val="0"/>
          <w:numId w:val="35"/>
        </w:numPr>
      </w:pPr>
      <w:r>
        <w:t>Capability to emit light from green to red regions in consideration of mixing with blue light.</w:t>
      </w:r>
    </w:p>
    <w:p w:rsidR="00E04B32" w:rsidRDefault="00E04B32" w:rsidP="007B187A">
      <w:pPr>
        <w:pStyle w:val="Quote2"/>
      </w:pPr>
    </w:p>
    <w:p w:rsidR="00E04B32" w:rsidRDefault="00E04B32" w:rsidP="007B187A">
      <w:pPr>
        <w:pStyle w:val="Quote2"/>
        <w:numPr>
          <w:ilvl w:val="0"/>
          <w:numId w:val="35"/>
        </w:numPr>
      </w:pPr>
      <w:r>
        <w:t>Good temperature characteristic suitable for location in the vicinity of the light emitting component.</w:t>
      </w:r>
    </w:p>
    <w:p w:rsidR="00E04B32" w:rsidRDefault="00E04B32" w:rsidP="007B187A">
      <w:pPr>
        <w:pStyle w:val="Quote2"/>
      </w:pPr>
    </w:p>
    <w:p w:rsidR="00E04B32" w:rsidRDefault="00E04B32" w:rsidP="007B187A">
      <w:pPr>
        <w:pStyle w:val="Quote2"/>
        <w:numPr>
          <w:ilvl w:val="0"/>
          <w:numId w:val="35"/>
        </w:numPr>
      </w:pPr>
      <w:r>
        <w:t xml:space="preserve">Capability to continuously change the </w:t>
      </w:r>
      <w:proofErr w:type="spellStart"/>
      <w:r>
        <w:t>color</w:t>
      </w:r>
      <w:proofErr w:type="spellEnd"/>
      <w:r>
        <w:t xml:space="preserve"> tone in terms of the proportion of composition or ratio of mixing a plurality of fluorescent materials.</w:t>
      </w:r>
    </w:p>
    <w:p w:rsidR="00E04B32" w:rsidRDefault="00E04B32" w:rsidP="007B187A">
      <w:pPr>
        <w:pStyle w:val="Quote2"/>
      </w:pPr>
    </w:p>
    <w:p w:rsidR="00E04B32" w:rsidRDefault="00E04B32" w:rsidP="007B187A">
      <w:pPr>
        <w:pStyle w:val="Quote2"/>
        <w:numPr>
          <w:ilvl w:val="0"/>
          <w:numId w:val="35"/>
        </w:numPr>
      </w:pPr>
      <w:proofErr w:type="spellStart"/>
      <w:r>
        <w:t>Weatherability</w:t>
      </w:r>
      <w:proofErr w:type="spellEnd"/>
      <w:r>
        <w:t xml:space="preserve"> for the operating environment of the light emitting diode.</w:t>
      </w:r>
    </w:p>
    <w:p w:rsidR="00FC73AD" w:rsidRDefault="00FC73AD" w:rsidP="00FC73AD">
      <w:pPr>
        <w:pStyle w:val="Quote1"/>
        <w:ind w:left="709"/>
      </w:pPr>
    </w:p>
    <w:p w:rsidR="00FC73AD" w:rsidRDefault="00FC73AD" w:rsidP="00FC73AD">
      <w:pPr>
        <w:pStyle w:val="Quote1"/>
        <w:ind w:left="709"/>
      </w:pPr>
      <w:r>
        <w:t>(Errors in original.)</w:t>
      </w:r>
    </w:p>
    <w:p w:rsidR="00A44D46" w:rsidRDefault="00F771C3" w:rsidP="004D63D4">
      <w:pPr>
        <w:pStyle w:val="ParaNumbering"/>
        <w:tabs>
          <w:tab w:val="clear" w:pos="720"/>
        </w:tabs>
      </w:pPr>
      <w:proofErr w:type="spellStart"/>
      <w:r>
        <w:t>JP585</w:t>
      </w:r>
      <w:proofErr w:type="spellEnd"/>
      <w:r>
        <w:t xml:space="preserve"> discloses the following characteristics of the phosphor used in the</w:t>
      </w:r>
      <w:r w:rsidR="00FC73AD">
        <w:t xml:space="preserve"> invention claimed in claim 1:</w:t>
      </w:r>
    </w:p>
    <w:p w:rsidR="00C03715" w:rsidRDefault="00C03715" w:rsidP="00C03715">
      <w:pPr>
        <w:pStyle w:val="Quote1"/>
      </w:pPr>
      <w:r>
        <w:t>The phosphor used in the present invention is, because of garnet structure, resistant to heat, light and moisture, thereby to be capable of absorbing excitation light having a peak at a wavelength near 450 nm.  It also emits light of broad spectrum having a</w:t>
      </w:r>
      <w:r w:rsidR="004C66C8">
        <w:t xml:space="preserve"> </w:t>
      </w:r>
      <w:r>
        <w:t xml:space="preserve">peak near 530 nm tailing out to 700 nm.  Moreover, wavelength of the emitted light is shifted to a shorter wavelength by substituting part of Al of the composition with Ga, and the wavelength of the emitted light can be shifted to a longer wavelength by substituting part of Y of the composition with Gd.  In this way, the light </w:t>
      </w:r>
      <w:proofErr w:type="spellStart"/>
      <w:r>
        <w:t>color</w:t>
      </w:r>
      <w:proofErr w:type="spellEnd"/>
      <w:r>
        <w:t xml:space="preserve"> of emission can be changed continuously by changing the composition.  Thus the </w:t>
      </w:r>
      <w:r>
        <w:lastRenderedPageBreak/>
        <w:t>phosphor has ideal chara</w:t>
      </w:r>
      <w:r w:rsidR="004C66C8">
        <w:t>cteristics for converting blue light of nitride semiconductor into white light, such as the capability of continuously changing the intensity of light of long wavelengths in terms of the proportion of Gd.</w:t>
      </w:r>
    </w:p>
    <w:p w:rsidR="00FC73AD" w:rsidRDefault="00FC73AD" w:rsidP="00FC73AD">
      <w:pPr>
        <w:pStyle w:val="Quote1"/>
        <w:ind w:left="709"/>
      </w:pPr>
    </w:p>
    <w:p w:rsidR="00FC73AD" w:rsidRDefault="00FC73AD" w:rsidP="00FC73AD">
      <w:pPr>
        <w:pStyle w:val="Quote1"/>
        <w:ind w:left="709"/>
      </w:pPr>
      <w:r>
        <w:t>(Errors in original.)</w:t>
      </w:r>
    </w:p>
    <w:p w:rsidR="00F771C3" w:rsidRDefault="00FC73AD" w:rsidP="004D63D4">
      <w:pPr>
        <w:pStyle w:val="ParaNumbering"/>
        <w:tabs>
          <w:tab w:val="clear" w:pos="720"/>
        </w:tabs>
      </w:pPr>
      <w:proofErr w:type="spellStart"/>
      <w:r>
        <w:t>JP585</w:t>
      </w:r>
      <w:proofErr w:type="spellEnd"/>
      <w:r>
        <w:t xml:space="preserve"> continues: </w:t>
      </w:r>
    </w:p>
    <w:p w:rsidR="004C66C8" w:rsidRDefault="004C66C8" w:rsidP="004C66C8">
      <w:pPr>
        <w:pStyle w:val="Quote1"/>
      </w:pPr>
      <w:r>
        <w:t>The efficiency of light emission can be further improved by making a light emitting diode containing a LED chip employing gallium nitride semiconductor and phosphor made by adding rare earth element samarium (Sm) in yttrium-</w:t>
      </w:r>
      <w:proofErr w:type="spellStart"/>
      <w:r>
        <w:t>aluminum</w:t>
      </w:r>
      <w:proofErr w:type="spellEnd"/>
      <w:r>
        <w:t>-garnet fluorescent materials (</w:t>
      </w:r>
      <w:proofErr w:type="spellStart"/>
      <w:r>
        <w:t>YAG</w:t>
      </w:r>
      <w:proofErr w:type="spellEnd"/>
      <w:r>
        <w:t>) activated with cerium.</w:t>
      </w:r>
    </w:p>
    <w:p w:rsidR="00FC73AD" w:rsidRDefault="00FC73AD" w:rsidP="004C66C8">
      <w:pPr>
        <w:pStyle w:val="Quote1"/>
      </w:pPr>
    </w:p>
    <w:p w:rsidR="00FC73AD" w:rsidRDefault="00FC73AD" w:rsidP="00FC73AD">
      <w:pPr>
        <w:pStyle w:val="Quote1"/>
        <w:ind w:left="709"/>
      </w:pPr>
      <w:r>
        <w:t>(Errors in original.)</w:t>
      </w:r>
    </w:p>
    <w:p w:rsidR="00BB53D9" w:rsidRDefault="00F771C3" w:rsidP="004D63D4">
      <w:pPr>
        <w:pStyle w:val="ParaNumbering"/>
        <w:tabs>
          <w:tab w:val="clear" w:pos="720"/>
        </w:tabs>
      </w:pPr>
      <w:r>
        <w:t xml:space="preserve">The applicant submitted that this passage discloses the addition of Sm to </w:t>
      </w:r>
      <w:proofErr w:type="spellStart"/>
      <w:r>
        <w:t>YAG</w:t>
      </w:r>
      <w:proofErr w:type="spellEnd"/>
      <w:r>
        <w:t>.  In this disclosure</w:t>
      </w:r>
      <w:r w:rsidR="00DC43A9">
        <w:t>,</w:t>
      </w:r>
      <w:r>
        <w:t xml:space="preserve"> Ga is not included in the fluorescent materials.</w:t>
      </w:r>
    </w:p>
    <w:p w:rsidR="00CC595E" w:rsidRDefault="00CC595E" w:rsidP="004D63D4">
      <w:pPr>
        <w:pStyle w:val="ParaNumbering"/>
        <w:tabs>
          <w:tab w:val="clear" w:pos="720"/>
        </w:tabs>
      </w:pPr>
      <w:r>
        <w:t xml:space="preserve">The respondent submitted that </w:t>
      </w:r>
      <w:r w:rsidR="00BB53D9">
        <w:t>the</w:t>
      </w:r>
      <w:r>
        <w:t xml:space="preserve"> passage must be read subject to the passage quoted in [</w:t>
      </w:r>
      <w:r w:rsidR="00837782">
        <w:t>99</w:t>
      </w:r>
      <w:r>
        <w:t>], which refers to substituting part of the Al in the composition with Ga to shift the wavelength of the emitted light to a shorter wavelength.</w:t>
      </w:r>
      <w:r w:rsidR="00DC43A9">
        <w:t xml:space="preserve">  Thus,</w:t>
      </w:r>
      <w:r w:rsidR="00BB53D9">
        <w:t xml:space="preserve"> the respondent submitted,</w:t>
      </w:r>
      <w:r w:rsidR="00DC43A9">
        <w:t xml:space="preserve"> </w:t>
      </w:r>
      <w:proofErr w:type="spellStart"/>
      <w:r w:rsidR="00DC43A9">
        <w:t>JP585</w:t>
      </w:r>
      <w:proofErr w:type="spellEnd"/>
      <w:r w:rsidR="00DC43A9">
        <w:t xml:space="preserve"> is to be understood as teaching the addition of Sm to a phosphor </w:t>
      </w:r>
      <w:r w:rsidR="00BB53D9">
        <w:t>that</w:t>
      </w:r>
      <w:r w:rsidR="00DC43A9">
        <w:t xml:space="preserve"> includes both Y and Ga.</w:t>
      </w:r>
    </w:p>
    <w:p w:rsidR="00CC595E" w:rsidRDefault="00CC595E" w:rsidP="004D63D4">
      <w:pPr>
        <w:pStyle w:val="ParaNumbering"/>
        <w:tabs>
          <w:tab w:val="clear" w:pos="720"/>
        </w:tabs>
      </w:pPr>
      <w:r>
        <w:t xml:space="preserve">I do </w:t>
      </w:r>
      <w:r w:rsidR="007E7A18">
        <w:t xml:space="preserve">not </w:t>
      </w:r>
      <w:r w:rsidR="005707E8">
        <w:t>accept</w:t>
      </w:r>
      <w:r>
        <w:t xml:space="preserve"> that the person skilled in the art would read </w:t>
      </w:r>
      <w:proofErr w:type="spellStart"/>
      <w:r w:rsidR="00955645">
        <w:t>JP585</w:t>
      </w:r>
      <w:proofErr w:type="spellEnd"/>
      <w:r w:rsidR="00955645">
        <w:t xml:space="preserve"> in this way</w:t>
      </w:r>
      <w:r>
        <w:t xml:space="preserve">.  Each passage is dealing with a different matter.  The passage </w:t>
      </w:r>
      <w:r w:rsidR="00955645">
        <w:t xml:space="preserve">quoted </w:t>
      </w:r>
      <w:r w:rsidR="00BB53D9">
        <w:t>at</w:t>
      </w:r>
      <w:r>
        <w:t xml:space="preserve"> [</w:t>
      </w:r>
      <w:r w:rsidR="00837782">
        <w:t>99</w:t>
      </w:r>
      <w:r>
        <w:t xml:space="preserve">] is dealing with how the wavelength of the emitted light can be varied so as to change, if desired, the colour of the emitted light.  The passage </w:t>
      </w:r>
      <w:r w:rsidR="00BB53D9">
        <w:t>quoted at</w:t>
      </w:r>
      <w:r>
        <w:t xml:space="preserve"> [</w:t>
      </w:r>
      <w:r w:rsidR="00BB53D9">
        <w:t>10</w:t>
      </w:r>
      <w:r w:rsidR="00837782">
        <w:t>0</w:t>
      </w:r>
      <w:r>
        <w:t>] is dealing with how the efficiency of the</w:t>
      </w:r>
      <w:r w:rsidR="007265E6">
        <w:t xml:space="preserve"> claimed light emitting diode can be improved.  </w:t>
      </w:r>
      <w:r w:rsidR="00BB53D9">
        <w:t>In this regard</w:t>
      </w:r>
      <w:r w:rsidR="005707E8">
        <w:t>,</w:t>
      </w:r>
      <w:r w:rsidR="00FC73AD">
        <w:t xml:space="preserve"> </w:t>
      </w:r>
      <w:proofErr w:type="spellStart"/>
      <w:r w:rsidR="00FC73AD">
        <w:t>JP585</w:t>
      </w:r>
      <w:proofErr w:type="spellEnd"/>
      <w:r w:rsidR="00FC73AD">
        <w:t xml:space="preserve"> teaches:</w:t>
      </w:r>
    </w:p>
    <w:p w:rsidR="00BA1DE5" w:rsidRDefault="00BA1DE5" w:rsidP="00BA1DE5">
      <w:pPr>
        <w:pStyle w:val="Quote1"/>
      </w:pPr>
      <w:r>
        <w:t xml:space="preserve">The phosphor having the composition of </w:t>
      </w:r>
      <w:r w:rsidR="00A674E7">
        <w:t>(</w:t>
      </w:r>
      <w:proofErr w:type="spellStart"/>
      <w:r w:rsidR="00A674E7">
        <w:t>Y</w:t>
      </w:r>
      <w:r w:rsidR="00A674E7" w:rsidRPr="00A674E7">
        <w:rPr>
          <w:vertAlign w:val="subscript"/>
        </w:rPr>
        <w:t>1</w:t>
      </w:r>
      <w:proofErr w:type="spellEnd"/>
      <w:r w:rsidR="00A674E7" w:rsidRPr="00A674E7">
        <w:rPr>
          <w:vertAlign w:val="subscript"/>
        </w:rPr>
        <w:t>-p-q-</w:t>
      </w:r>
      <w:proofErr w:type="spellStart"/>
      <w:r w:rsidR="00A674E7" w:rsidRPr="00A674E7">
        <w:rPr>
          <w:vertAlign w:val="subscript"/>
        </w:rPr>
        <w:t>r</w:t>
      </w:r>
      <w:r w:rsidR="00A674E7">
        <w:t>Gd</w:t>
      </w:r>
      <w:r w:rsidR="00A674E7" w:rsidRPr="00A674E7">
        <w:rPr>
          <w:vertAlign w:val="subscript"/>
        </w:rPr>
        <w:t>p</w:t>
      </w:r>
      <w:r w:rsidR="00A674E7">
        <w:t>Ce</w:t>
      </w:r>
      <w:r w:rsidR="00A674E7" w:rsidRPr="00A674E7">
        <w:rPr>
          <w:vertAlign w:val="subscript"/>
        </w:rPr>
        <w:t>q</w:t>
      </w:r>
      <w:r w:rsidR="00A674E7">
        <w:t>Sm</w:t>
      </w:r>
      <w:r w:rsidR="00A674E7" w:rsidRPr="00A674E7">
        <w:rPr>
          <w:vertAlign w:val="subscript"/>
        </w:rPr>
        <w:t>r</w:t>
      </w:r>
      <w:proofErr w:type="spellEnd"/>
      <w:r w:rsidR="00A674E7">
        <w:t>)</w:t>
      </w:r>
      <w:proofErr w:type="spellStart"/>
      <w:r w:rsidR="00A674E7" w:rsidRPr="00A674E7">
        <w:rPr>
          <w:vertAlign w:val="subscript"/>
        </w:rPr>
        <w:t>3</w:t>
      </w:r>
      <w:r w:rsidR="00A674E7">
        <w:t>Al</w:t>
      </w:r>
      <w:r w:rsidR="00A674E7" w:rsidRPr="00A674E7">
        <w:rPr>
          <w:vertAlign w:val="subscript"/>
        </w:rPr>
        <w:t>5</w:t>
      </w:r>
      <w:r w:rsidR="00A674E7">
        <w:t>O</w:t>
      </w:r>
      <w:r w:rsidR="00A674E7" w:rsidRPr="00A674E7">
        <w:rPr>
          <w:vertAlign w:val="subscript"/>
        </w:rPr>
        <w:t>12</w:t>
      </w:r>
      <w:proofErr w:type="spellEnd"/>
      <w:r>
        <w:t xml:space="preserve"> can emit light of long wavelengths of 460 nm and longer with higher efficiency upon excitation, because </w:t>
      </w:r>
      <w:proofErr w:type="spellStart"/>
      <w:r>
        <w:t>Gd</w:t>
      </w:r>
      <w:proofErr w:type="spellEnd"/>
      <w:r>
        <w:t xml:space="preserve"> is contained in the crystal.  When the content of gadolinium is increased, peak wavelength of emission shifts from 530 nm to a longer wavelength up to 570 nm, while the entire emission spectrum shifting to longer wavelengths. When light of stronger red </w:t>
      </w:r>
      <w:proofErr w:type="spellStart"/>
      <w:r>
        <w:t>color</w:t>
      </w:r>
      <w:proofErr w:type="spellEnd"/>
      <w:r>
        <w:t xml:space="preserve"> is needed, it can be achieved by increasing the amount of </w:t>
      </w:r>
      <w:proofErr w:type="spellStart"/>
      <w:r>
        <w:t>Gd</w:t>
      </w:r>
      <w:proofErr w:type="spellEnd"/>
      <w:r>
        <w:t xml:space="preserve"> added for substitution.  When the content of gadolinium is increased, luminance of photoluminescence with blue light gradua</w:t>
      </w:r>
      <w:r w:rsidR="00A674E7">
        <w:t>lly decreases.  Therefore, valu</w:t>
      </w:r>
      <w:r>
        <w:t xml:space="preserve">e of p is </w:t>
      </w:r>
      <w:r w:rsidR="00A674E7">
        <w:t>preferably</w:t>
      </w:r>
      <w:r>
        <w:t xml:space="preserve"> 0.8 or lower, or more preferably 0.7 or lower.  </w:t>
      </w:r>
      <w:proofErr w:type="spellStart"/>
      <w:r>
        <w:t>Further more</w:t>
      </w:r>
      <w:proofErr w:type="spellEnd"/>
      <w:r>
        <w:t xml:space="preserve"> preferably it is 0.6 or lower.</w:t>
      </w:r>
    </w:p>
    <w:p w:rsidR="00BA1DE5" w:rsidRDefault="00BA1DE5" w:rsidP="00BA1DE5">
      <w:pPr>
        <w:pStyle w:val="Quote1"/>
      </w:pPr>
    </w:p>
    <w:p w:rsidR="00BA1DE5" w:rsidRDefault="00BA1DE5" w:rsidP="00BA1DE5">
      <w:pPr>
        <w:pStyle w:val="Quote1"/>
      </w:pPr>
      <w:r>
        <w:t xml:space="preserve">The </w:t>
      </w:r>
      <w:r w:rsidR="00A674E7">
        <w:t>fluorescent</w:t>
      </w:r>
      <w:r>
        <w:t xml:space="preserve"> material having the composition of</w:t>
      </w:r>
      <w:r w:rsidR="00A674E7">
        <w:t xml:space="preserve"> (</w:t>
      </w:r>
      <w:proofErr w:type="spellStart"/>
      <w:r w:rsidR="00A674E7">
        <w:t>Y</w:t>
      </w:r>
      <w:r w:rsidR="00A674E7" w:rsidRPr="00A674E7">
        <w:rPr>
          <w:vertAlign w:val="subscript"/>
        </w:rPr>
        <w:t>1</w:t>
      </w:r>
      <w:proofErr w:type="spellEnd"/>
      <w:r w:rsidR="00A674E7" w:rsidRPr="00A674E7">
        <w:rPr>
          <w:vertAlign w:val="subscript"/>
        </w:rPr>
        <w:t>-p-q-</w:t>
      </w:r>
      <w:proofErr w:type="spellStart"/>
      <w:r w:rsidR="00A674E7" w:rsidRPr="00A674E7">
        <w:rPr>
          <w:vertAlign w:val="subscript"/>
        </w:rPr>
        <w:t>r</w:t>
      </w:r>
      <w:r w:rsidR="00A674E7">
        <w:t>Gd</w:t>
      </w:r>
      <w:r w:rsidR="00A674E7" w:rsidRPr="00A674E7">
        <w:rPr>
          <w:vertAlign w:val="subscript"/>
        </w:rPr>
        <w:t>p</w:t>
      </w:r>
      <w:r w:rsidR="00A674E7">
        <w:t>Ce</w:t>
      </w:r>
      <w:r w:rsidR="00A674E7" w:rsidRPr="00A674E7">
        <w:rPr>
          <w:vertAlign w:val="subscript"/>
        </w:rPr>
        <w:t>q</w:t>
      </w:r>
      <w:r w:rsidR="00A674E7">
        <w:t>Sm</w:t>
      </w:r>
      <w:r w:rsidR="00A674E7" w:rsidRPr="00A674E7">
        <w:rPr>
          <w:vertAlign w:val="subscript"/>
        </w:rPr>
        <w:t>r</w:t>
      </w:r>
      <w:proofErr w:type="spellEnd"/>
      <w:r w:rsidR="00A674E7">
        <w:t>)</w:t>
      </w:r>
      <w:proofErr w:type="spellStart"/>
      <w:r w:rsidR="00A674E7" w:rsidRPr="00A674E7">
        <w:rPr>
          <w:vertAlign w:val="subscript"/>
        </w:rPr>
        <w:t>3</w:t>
      </w:r>
      <w:r w:rsidR="00A674E7">
        <w:t>Al</w:t>
      </w:r>
      <w:r w:rsidR="00A674E7" w:rsidRPr="00A674E7">
        <w:rPr>
          <w:vertAlign w:val="subscript"/>
        </w:rPr>
        <w:t>5</w:t>
      </w:r>
      <w:r w:rsidR="00A674E7">
        <w:t>O</w:t>
      </w:r>
      <w:r w:rsidR="00A674E7" w:rsidRPr="00A674E7">
        <w:rPr>
          <w:vertAlign w:val="subscript"/>
        </w:rPr>
        <w:t>12</w:t>
      </w:r>
      <w:proofErr w:type="spellEnd"/>
      <w:r w:rsidR="00A674E7">
        <w:t xml:space="preserve"> </w:t>
      </w:r>
      <w:r>
        <w:t xml:space="preserve">  containing Sm has less dependence on temperature regardless of the increased content of Gd. The phosphor, when Sm is contained as described above, provides greatly improved emission luminance at higher tempera</w:t>
      </w:r>
      <w:r w:rsidR="00840513">
        <w:t>tures.  Extent of the improvement</w:t>
      </w:r>
      <w:r>
        <w:t xml:space="preserve"> increases when</w:t>
      </w:r>
      <w:r w:rsidR="00840513">
        <w:t xml:space="preserve"> </w:t>
      </w:r>
      <w:r>
        <w:t xml:space="preserve">the </w:t>
      </w:r>
      <w:proofErr w:type="spellStart"/>
      <w:r>
        <w:t>Gd</w:t>
      </w:r>
      <w:proofErr w:type="spellEnd"/>
      <w:r>
        <w:t xml:space="preserve"> content is increased.  That is, it was found that </w:t>
      </w:r>
      <w:r w:rsidR="00840513">
        <w:t>greater improve</w:t>
      </w:r>
      <w:r>
        <w:t xml:space="preserve">ment of temperature characteristic by the addition of Sm can be achieved when </w:t>
      </w:r>
      <w:proofErr w:type="spellStart"/>
      <w:r>
        <w:t>Gd</w:t>
      </w:r>
      <w:proofErr w:type="spellEnd"/>
      <w:r>
        <w:t xml:space="preserve"> content is increased to give red </w:t>
      </w:r>
      <w:proofErr w:type="spellStart"/>
      <w:r>
        <w:t>color</w:t>
      </w:r>
      <w:proofErr w:type="spellEnd"/>
      <w:r>
        <w:t xml:space="preserve"> </w:t>
      </w:r>
      <w:r w:rsidR="00840513">
        <w:t>to</w:t>
      </w:r>
      <w:r>
        <w:t xml:space="preserve"> the </w:t>
      </w:r>
      <w:proofErr w:type="spellStart"/>
      <w:r>
        <w:t>color</w:t>
      </w:r>
      <w:proofErr w:type="spellEnd"/>
      <w:r>
        <w:t xml:space="preserve"> tone of light emitted by the phosphor.  The temperature characteristic </w:t>
      </w:r>
      <w:r w:rsidR="00840513">
        <w:t xml:space="preserve">mentioned here is measured in terms of the </w:t>
      </w:r>
      <w:r>
        <w:t xml:space="preserve">ratio (%) of emission luminance of the fluorescent material at a high </w:t>
      </w:r>
      <w:r>
        <w:lastRenderedPageBreak/>
        <w:t xml:space="preserve">temperature (200 </w:t>
      </w:r>
      <w:r w:rsidR="00FC73AD">
        <w:t>°</w:t>
      </w:r>
      <w:r>
        <w:t xml:space="preserve">C) relative to the emission luminance of exciting blue light of wavelength 450 nm at the normal temperature (25 </w:t>
      </w:r>
      <w:r w:rsidR="00FC73AD">
        <w:t>°</w:t>
      </w:r>
      <w:r>
        <w:t>C)</w:t>
      </w:r>
      <w:r w:rsidR="003A5559">
        <w:t>.</w:t>
      </w:r>
    </w:p>
    <w:p w:rsidR="00BA1DE5" w:rsidRDefault="00BA1DE5" w:rsidP="00BA1DE5">
      <w:pPr>
        <w:pStyle w:val="Quote1"/>
      </w:pPr>
    </w:p>
    <w:p w:rsidR="00BA1DE5" w:rsidRDefault="00BA1DE5" w:rsidP="00BA1DE5">
      <w:pPr>
        <w:pStyle w:val="Quote1"/>
      </w:pPr>
      <w:r>
        <w:t>Content of Sm is preferably in a range of 0.000</w:t>
      </w:r>
      <w:r w:rsidR="00CD4623">
        <w:t>3</w:t>
      </w:r>
      <w:r w:rsidRPr="00840513">
        <w:rPr>
          <w:u w:val="single"/>
        </w:rPr>
        <w:t>&lt;</w:t>
      </w:r>
      <w:r w:rsidR="00840513">
        <w:t>r</w:t>
      </w:r>
      <w:r w:rsidR="00840513" w:rsidRPr="00840513">
        <w:rPr>
          <w:u w:val="single"/>
        </w:rPr>
        <w:t>&lt;</w:t>
      </w:r>
      <w:r w:rsidR="00CD4623" w:rsidRPr="00CD4623">
        <w:t>0</w:t>
      </w:r>
      <w:r>
        <w:t xml:space="preserve">.08 to give temperature characteristic of 60% or higher.  Value of r below this range leads to less effect of improving the temperature </w:t>
      </w:r>
      <w:r w:rsidR="00840513">
        <w:t>characteristic</w:t>
      </w:r>
      <w:r>
        <w:t>.  When the value of r is above this range, on the contrary, the temperature characteristic</w:t>
      </w:r>
      <w:r w:rsidR="00840513">
        <w:t xml:space="preserve"> deteriorates.  Range of 0.0007</w:t>
      </w:r>
      <w:r w:rsidR="00840513" w:rsidRPr="00840513">
        <w:rPr>
          <w:u w:val="single"/>
        </w:rPr>
        <w:t>&lt;</w:t>
      </w:r>
      <w:r w:rsidR="00840513">
        <w:t>r</w:t>
      </w:r>
      <w:r w:rsidR="00840513" w:rsidRPr="00840513">
        <w:rPr>
          <w:u w:val="single"/>
        </w:rPr>
        <w:t>&lt;</w:t>
      </w:r>
      <w:r>
        <w:t>0.0</w:t>
      </w:r>
      <w:r w:rsidR="00840513">
        <w:t>2</w:t>
      </w:r>
      <w:r>
        <w:t xml:space="preserve"> where temperature characteristic becomes 80% or higher is the most desirable.</w:t>
      </w:r>
    </w:p>
    <w:p w:rsidR="00CD4623" w:rsidRDefault="00CD4623" w:rsidP="00BA1DE5">
      <w:pPr>
        <w:pStyle w:val="Quote1"/>
      </w:pPr>
    </w:p>
    <w:p w:rsidR="00CD4623" w:rsidRDefault="00CD4623" w:rsidP="00CD4623">
      <w:pPr>
        <w:pStyle w:val="Quote1"/>
        <w:ind w:left="709"/>
      </w:pPr>
      <w:r>
        <w:t>(Errors in original.)</w:t>
      </w:r>
    </w:p>
    <w:p w:rsidR="00B57BE7" w:rsidRDefault="005707E8" w:rsidP="004D63D4">
      <w:pPr>
        <w:pStyle w:val="ParaNumbering"/>
        <w:tabs>
          <w:tab w:val="clear" w:pos="720"/>
        </w:tabs>
      </w:pPr>
      <w:r>
        <w:t xml:space="preserve">In these passages, </w:t>
      </w:r>
      <w:proofErr w:type="spellStart"/>
      <w:r w:rsidR="00F771C3">
        <w:t>JP585</w:t>
      </w:r>
      <w:proofErr w:type="spellEnd"/>
      <w:r w:rsidR="00F771C3">
        <w:t xml:space="preserve"> describes a phosphor having the composition (</w:t>
      </w:r>
      <w:proofErr w:type="spellStart"/>
      <w:r w:rsidR="00F771C3" w:rsidRPr="008D60CF">
        <w:t>Y</w:t>
      </w:r>
      <w:r w:rsidR="00F771C3" w:rsidRPr="00CC595E">
        <w:rPr>
          <w:vertAlign w:val="subscript"/>
        </w:rPr>
        <w:t>1</w:t>
      </w:r>
      <w:proofErr w:type="spellEnd"/>
      <w:r w:rsidR="00F771C3" w:rsidRPr="00CC595E">
        <w:rPr>
          <w:vertAlign w:val="subscript"/>
        </w:rPr>
        <w:t>-p-q-</w:t>
      </w:r>
      <w:proofErr w:type="spellStart"/>
      <w:r w:rsidR="00F771C3" w:rsidRPr="00CC595E">
        <w:rPr>
          <w:vertAlign w:val="subscript"/>
        </w:rPr>
        <w:t>r</w:t>
      </w:r>
      <w:r w:rsidR="00F771C3">
        <w:t>Gd</w:t>
      </w:r>
      <w:r w:rsidR="00F771C3" w:rsidRPr="00CC595E">
        <w:rPr>
          <w:vertAlign w:val="subscript"/>
        </w:rPr>
        <w:t>p</w:t>
      </w:r>
      <w:r w:rsidR="00F771C3">
        <w:t>Ce</w:t>
      </w:r>
      <w:r w:rsidR="00F771C3" w:rsidRPr="00CC595E">
        <w:rPr>
          <w:vertAlign w:val="subscript"/>
        </w:rPr>
        <w:t>q</w:t>
      </w:r>
      <w:r w:rsidR="00F771C3">
        <w:t>Sm</w:t>
      </w:r>
      <w:r w:rsidR="00F771C3" w:rsidRPr="00CC595E">
        <w:rPr>
          <w:vertAlign w:val="subscript"/>
        </w:rPr>
        <w:t>r</w:t>
      </w:r>
      <w:proofErr w:type="spellEnd"/>
      <w:r w:rsidR="00F771C3">
        <w:t>)</w:t>
      </w:r>
      <w:proofErr w:type="spellStart"/>
      <w:r w:rsidR="00F771C3" w:rsidRPr="00CC595E">
        <w:rPr>
          <w:vertAlign w:val="subscript"/>
        </w:rPr>
        <w:t>3</w:t>
      </w:r>
      <w:r w:rsidR="00F771C3">
        <w:t>Al</w:t>
      </w:r>
      <w:r w:rsidR="00F771C3" w:rsidRPr="00CC595E">
        <w:rPr>
          <w:vertAlign w:val="subscript"/>
        </w:rPr>
        <w:t>5</w:t>
      </w:r>
      <w:r w:rsidR="00F771C3">
        <w:t>O</w:t>
      </w:r>
      <w:r w:rsidR="00F771C3" w:rsidRPr="00CC595E">
        <w:rPr>
          <w:vertAlign w:val="subscript"/>
        </w:rPr>
        <w:t>12</w:t>
      </w:r>
      <w:proofErr w:type="spellEnd"/>
      <w:r w:rsidR="00F771C3">
        <w:t>.</w:t>
      </w:r>
      <w:r w:rsidR="00CC595E">
        <w:t xml:space="preserve">  This phosphor does not contain Ga.</w:t>
      </w:r>
      <w:r>
        <w:t xml:space="preserve">  Thus, the </w:t>
      </w:r>
      <w:r w:rsidR="00293169">
        <w:t xml:space="preserve">person skilled in the art would understand that the </w:t>
      </w:r>
      <w:r>
        <w:t xml:space="preserve">teaching </w:t>
      </w:r>
      <w:r w:rsidR="00293169">
        <w:t>concerning</w:t>
      </w:r>
      <w:r>
        <w:t xml:space="preserve"> the addition of Sm to improve efficiency is </w:t>
      </w:r>
      <w:r w:rsidR="002F39EA">
        <w:t>separate from</w:t>
      </w:r>
      <w:r>
        <w:t xml:space="preserve"> the teaching </w:t>
      </w:r>
      <w:r w:rsidR="00293169">
        <w:t>concerning</w:t>
      </w:r>
      <w:r>
        <w:t xml:space="preserve"> the addition of Ga </w:t>
      </w:r>
      <w:r w:rsidR="00B57BE7">
        <w:t xml:space="preserve">to the phosphor </w:t>
      </w:r>
      <w:r>
        <w:t>to vary the wavelength of the emitted light.</w:t>
      </w:r>
      <w:r w:rsidR="00506257">
        <w:t xml:space="preserve">  </w:t>
      </w:r>
    </w:p>
    <w:p w:rsidR="00293169" w:rsidRDefault="00506257" w:rsidP="004D63D4">
      <w:pPr>
        <w:pStyle w:val="ParaNumbering"/>
        <w:tabs>
          <w:tab w:val="clear" w:pos="720"/>
        </w:tabs>
      </w:pPr>
      <w:r>
        <w:t xml:space="preserve">I further note that the notation used in this formula for the </w:t>
      </w:r>
      <w:r w:rsidR="00BB53D9">
        <w:t>“</w:t>
      </w:r>
      <w:r>
        <w:t>large</w:t>
      </w:r>
      <w:r w:rsidR="00BB53D9">
        <w:t>”</w:t>
      </w:r>
      <w:r>
        <w:t xml:space="preserve"> metal ions</w:t>
      </w:r>
      <w:r w:rsidR="00CD4623">
        <w:t>—</w:t>
      </w:r>
      <w:r>
        <w:t>(</w:t>
      </w:r>
      <w:proofErr w:type="spellStart"/>
      <w:r w:rsidRPr="008D60CF">
        <w:t>Y</w:t>
      </w:r>
      <w:r w:rsidRPr="00CC595E">
        <w:rPr>
          <w:vertAlign w:val="subscript"/>
        </w:rPr>
        <w:t>1</w:t>
      </w:r>
      <w:proofErr w:type="spellEnd"/>
      <w:r w:rsidRPr="00CC595E">
        <w:rPr>
          <w:vertAlign w:val="subscript"/>
        </w:rPr>
        <w:t>-p-q-</w:t>
      </w:r>
      <w:proofErr w:type="spellStart"/>
      <w:r w:rsidRPr="00CC595E">
        <w:rPr>
          <w:vertAlign w:val="subscript"/>
        </w:rPr>
        <w:t>r</w:t>
      </w:r>
      <w:r>
        <w:t>Gd</w:t>
      </w:r>
      <w:r w:rsidRPr="00CC595E">
        <w:rPr>
          <w:vertAlign w:val="subscript"/>
        </w:rPr>
        <w:t>p</w:t>
      </w:r>
      <w:r>
        <w:t>Ce</w:t>
      </w:r>
      <w:r w:rsidRPr="00CC595E">
        <w:rPr>
          <w:vertAlign w:val="subscript"/>
        </w:rPr>
        <w:t>q</w:t>
      </w:r>
      <w:r>
        <w:t>Sm</w:t>
      </w:r>
      <w:r w:rsidRPr="00CC595E">
        <w:rPr>
          <w:vertAlign w:val="subscript"/>
        </w:rPr>
        <w:t>r</w:t>
      </w:r>
      <w:proofErr w:type="spellEnd"/>
      <w:r>
        <w:t>)</w:t>
      </w:r>
      <w:r w:rsidRPr="00CC595E">
        <w:rPr>
          <w:vertAlign w:val="subscript"/>
        </w:rPr>
        <w:t>3</w:t>
      </w:r>
      <w:r w:rsidR="00CD4623">
        <w:t>—</w:t>
      </w:r>
      <w:r>
        <w:t xml:space="preserve">is the same notation for the large metal ions in the general formula of claim 3 in </w:t>
      </w:r>
      <w:proofErr w:type="spellStart"/>
      <w:r>
        <w:t>JP585</w:t>
      </w:r>
      <w:proofErr w:type="spellEnd"/>
      <w:r>
        <w:t>.  However, in the general formula of claim 3</w:t>
      </w:r>
      <w:r w:rsidR="00BB53D9">
        <w:t xml:space="preserve"> in </w:t>
      </w:r>
      <w:proofErr w:type="spellStart"/>
      <w:r w:rsidR="00BB53D9">
        <w:t>JP585</w:t>
      </w:r>
      <w:proofErr w:type="spellEnd"/>
      <w:r>
        <w:t xml:space="preserve">, the notation for the </w:t>
      </w:r>
      <w:r w:rsidR="00BB53D9">
        <w:t>“</w:t>
      </w:r>
      <w:r>
        <w:t>small</w:t>
      </w:r>
      <w:r w:rsidR="00BB53D9">
        <w:t>”</w:t>
      </w:r>
      <w:r>
        <w:t xml:space="preserve"> metal ions is given as (</w:t>
      </w:r>
      <w:proofErr w:type="spellStart"/>
      <w:r>
        <w:t>Al</w:t>
      </w:r>
      <w:r w:rsidRPr="00B57BE7">
        <w:rPr>
          <w:vertAlign w:val="subscript"/>
        </w:rPr>
        <w:t>1-s</w:t>
      </w:r>
      <w:r>
        <w:t>Ga</w:t>
      </w:r>
      <w:r w:rsidR="00B57BE7" w:rsidRPr="00B57BE7">
        <w:rPr>
          <w:vertAlign w:val="subscript"/>
        </w:rPr>
        <w:t>s</w:t>
      </w:r>
      <w:proofErr w:type="spellEnd"/>
      <w:r w:rsidR="00B57BE7">
        <w:t>)</w:t>
      </w:r>
      <w:r w:rsidR="00B57BE7" w:rsidRPr="00B57BE7">
        <w:rPr>
          <w:vertAlign w:val="subscript"/>
        </w:rPr>
        <w:t>5</w:t>
      </w:r>
      <w:r w:rsidR="00B57BE7">
        <w:t>, where there can be 100% Al and 0% Ga or 0% Al and 100% Ga.  This is a further indicator that the person skilled in the art would understand that the teaching concerning the addition of Sm to improve efficiency is separate from the teaching concerning the addition of Ga to the phosphor to vary the wavelength of the emitted light.</w:t>
      </w:r>
    </w:p>
    <w:p w:rsidR="004E7EE7" w:rsidRDefault="00293169" w:rsidP="004D63D4">
      <w:pPr>
        <w:pStyle w:val="ParaNumbering"/>
        <w:tabs>
          <w:tab w:val="clear" w:pos="720"/>
        </w:tabs>
      </w:pPr>
      <w:proofErr w:type="spellStart"/>
      <w:r>
        <w:t>JP585</w:t>
      </w:r>
      <w:proofErr w:type="spellEnd"/>
      <w:r>
        <w:t xml:space="preserve"> provides a number of non-limiting examples of the invention.  Example 1 </w:t>
      </w:r>
      <w:r w:rsidR="00914F53">
        <w:t>discloses</w:t>
      </w:r>
      <w:r>
        <w:t xml:space="preserve"> a phosphor having the composition (</w:t>
      </w:r>
      <w:proofErr w:type="spellStart"/>
      <w:r w:rsidRPr="00293169">
        <w:t>Y</w:t>
      </w:r>
      <w:r w:rsidRPr="00293169">
        <w:rPr>
          <w:vertAlign w:val="subscript"/>
        </w:rPr>
        <w:t>1.2</w:t>
      </w:r>
      <w:r>
        <w:t>Gd</w:t>
      </w:r>
      <w:r w:rsidRPr="00293169">
        <w:rPr>
          <w:vertAlign w:val="subscript"/>
        </w:rPr>
        <w:t>0.8</w:t>
      </w:r>
      <w:proofErr w:type="spellEnd"/>
      <w:r>
        <w:t>)</w:t>
      </w:r>
      <w:proofErr w:type="spellStart"/>
      <w:r w:rsidRPr="00293169">
        <w:rPr>
          <w:vertAlign w:val="subscript"/>
        </w:rPr>
        <w:t>5</w:t>
      </w:r>
      <w:r>
        <w:t>Al</w:t>
      </w:r>
      <w:r w:rsidRPr="00293169">
        <w:rPr>
          <w:vertAlign w:val="subscript"/>
        </w:rPr>
        <w:t>3</w:t>
      </w:r>
      <w:r>
        <w:t>O</w:t>
      </w:r>
      <w:r w:rsidRPr="00293169">
        <w:rPr>
          <w:vertAlign w:val="subscript"/>
        </w:rPr>
        <w:t>12</w:t>
      </w:r>
      <w:r>
        <w:t>:Ce</w:t>
      </w:r>
      <w:proofErr w:type="spellEnd"/>
      <w:r>
        <w:t>.  This notation indicates that the phosphor does not contain Ga.</w:t>
      </w:r>
      <w:r w:rsidR="00914F53">
        <w:t xml:space="preserve">  </w:t>
      </w:r>
      <w:r w:rsidR="007E7A18">
        <w:t xml:space="preserve">However, I note, for later consideration, that Example 1 refers to the use of aluminium oxide and gallium oxide in the preparation of the phosphor.  </w:t>
      </w:r>
      <w:r w:rsidR="00914F53">
        <w:t xml:space="preserve">Example 2 discloses a phosphor made in the same way as the phosphor of Example 1, except that the content of </w:t>
      </w:r>
      <w:proofErr w:type="spellStart"/>
      <w:r w:rsidR="00914F53">
        <w:t>Gd</w:t>
      </w:r>
      <w:proofErr w:type="spellEnd"/>
      <w:r w:rsidR="00914F53">
        <w:t xml:space="preserve"> has been increased.  Example 3 similarly discloses a phosphor made in the same way as the phosphor of Example </w:t>
      </w:r>
      <w:r w:rsidR="009B7568">
        <w:t>1</w:t>
      </w:r>
      <w:r w:rsidR="00914F53">
        <w:t xml:space="preserve">, except that Sm has been added.  </w:t>
      </w:r>
      <w:proofErr w:type="spellStart"/>
      <w:r w:rsidR="00914F53">
        <w:t>JP585</w:t>
      </w:r>
      <w:proofErr w:type="spellEnd"/>
      <w:r w:rsidR="00914F53">
        <w:t xml:space="preserve"> describes this phosphor as (</w:t>
      </w:r>
      <w:proofErr w:type="spellStart"/>
      <w:r w:rsidR="00914F53">
        <w:t>Y</w:t>
      </w:r>
      <w:r w:rsidR="00914F53" w:rsidRPr="00914F53">
        <w:rPr>
          <w:vertAlign w:val="subscript"/>
        </w:rPr>
        <w:t>0.39</w:t>
      </w:r>
      <w:r w:rsidR="00914F53">
        <w:t>Gd</w:t>
      </w:r>
      <w:r w:rsidR="00914F53" w:rsidRPr="00914F53">
        <w:rPr>
          <w:vertAlign w:val="subscript"/>
        </w:rPr>
        <w:t>0.57</w:t>
      </w:r>
      <w:r w:rsidR="00914F53">
        <w:t>Ce</w:t>
      </w:r>
      <w:r w:rsidR="00914F53" w:rsidRPr="00914F53">
        <w:rPr>
          <w:vertAlign w:val="subscript"/>
        </w:rPr>
        <w:t>0.03</w:t>
      </w:r>
      <w:r w:rsidR="00914F53">
        <w:t>Sm</w:t>
      </w:r>
      <w:r w:rsidR="00914F53" w:rsidRPr="00914F53">
        <w:rPr>
          <w:vertAlign w:val="subscript"/>
        </w:rPr>
        <w:t>0.01</w:t>
      </w:r>
      <w:proofErr w:type="spellEnd"/>
      <w:r w:rsidR="00914F53">
        <w:t>)</w:t>
      </w:r>
      <w:proofErr w:type="spellStart"/>
      <w:r w:rsidR="00914F53" w:rsidRPr="00914F53">
        <w:rPr>
          <w:vertAlign w:val="subscript"/>
        </w:rPr>
        <w:t>3</w:t>
      </w:r>
      <w:r w:rsidR="00914F53">
        <w:t>Al</w:t>
      </w:r>
      <w:r w:rsidR="00914F53" w:rsidRPr="00914F53">
        <w:rPr>
          <w:vertAlign w:val="subscript"/>
        </w:rPr>
        <w:t>5</w:t>
      </w:r>
      <w:r w:rsidR="00914F53">
        <w:t>O</w:t>
      </w:r>
      <w:r w:rsidR="00914F53" w:rsidRPr="00914F53">
        <w:rPr>
          <w:vertAlign w:val="subscript"/>
        </w:rPr>
        <w:t>12</w:t>
      </w:r>
      <w:proofErr w:type="spellEnd"/>
      <w:r w:rsidR="00914F53">
        <w:t>.  Once again, this notation indicates that the phosphor does not contain Ga.</w:t>
      </w:r>
    </w:p>
    <w:p w:rsidR="004E7EE7" w:rsidRDefault="004E7EE7" w:rsidP="004E7EE7">
      <w:pPr>
        <w:pStyle w:val="Heading2"/>
      </w:pPr>
      <w:r>
        <w:t>The expert evidence</w:t>
      </w:r>
    </w:p>
    <w:p w:rsidR="004E7EE7" w:rsidRDefault="004E7EE7" w:rsidP="004E7EE7">
      <w:pPr>
        <w:pStyle w:val="Heading3"/>
      </w:pPr>
      <w:r>
        <w:t xml:space="preserve">Dr </w:t>
      </w:r>
      <w:proofErr w:type="spellStart"/>
      <w:r>
        <w:t>Bretschneider</w:t>
      </w:r>
      <w:proofErr w:type="spellEnd"/>
      <w:r>
        <w:t xml:space="preserve"> </w:t>
      </w:r>
    </w:p>
    <w:p w:rsidR="00BB53D9" w:rsidRDefault="00943F43" w:rsidP="00BB53D9">
      <w:pPr>
        <w:pStyle w:val="ParaNumbering"/>
      </w:pPr>
      <w:r>
        <w:t xml:space="preserve">Dr </w:t>
      </w:r>
      <w:proofErr w:type="spellStart"/>
      <w:r>
        <w:t>Bretschneider</w:t>
      </w:r>
      <w:proofErr w:type="spellEnd"/>
      <w:r>
        <w:t xml:space="preserve"> </w:t>
      </w:r>
      <w:r w:rsidR="003A5559">
        <w:t xml:space="preserve">is </w:t>
      </w:r>
      <w:r w:rsidR="0057347C">
        <w:t xml:space="preserve">an expert </w:t>
      </w:r>
      <w:r w:rsidR="003A5559">
        <w:t xml:space="preserve">retained by the respondent’s </w:t>
      </w:r>
      <w:r w:rsidR="00227723">
        <w:t>solicitors in this proceeding.</w:t>
      </w:r>
    </w:p>
    <w:p w:rsidR="003A5559" w:rsidRDefault="003A5559" w:rsidP="00227723">
      <w:pPr>
        <w:pStyle w:val="ParaNumbering"/>
      </w:pPr>
      <w:r>
        <w:lastRenderedPageBreak/>
        <w:t xml:space="preserve">Dr </w:t>
      </w:r>
      <w:proofErr w:type="spellStart"/>
      <w:r>
        <w:t>Bretschneider</w:t>
      </w:r>
      <w:proofErr w:type="spellEnd"/>
      <w:r>
        <w:t xml:space="preserve"> was asked by the respondent’s solicitors to pro</w:t>
      </w:r>
      <w:r w:rsidR="008C46D0">
        <w:t xml:space="preserve">vide an opinion on a number of </w:t>
      </w:r>
      <w:r>
        <w:t>matters, including what he understood to be identified by the notation (</w:t>
      </w:r>
      <w:proofErr w:type="spellStart"/>
      <w:r>
        <w:t>Al,Ga</w:t>
      </w:r>
      <w:proofErr w:type="spellEnd"/>
      <w:r>
        <w:t>)</w:t>
      </w:r>
      <w:r w:rsidRPr="00227723">
        <w:rPr>
          <w:vertAlign w:val="subscript"/>
        </w:rPr>
        <w:t>5</w:t>
      </w:r>
      <w:r>
        <w:t xml:space="preserve"> in claim 1 of </w:t>
      </w:r>
      <w:proofErr w:type="spellStart"/>
      <w:r>
        <w:t>JP585</w:t>
      </w:r>
      <w:proofErr w:type="spellEnd"/>
      <w:r>
        <w:t xml:space="preserve">.  </w:t>
      </w:r>
      <w:r w:rsidR="00CD4623">
        <w:t xml:space="preserve">Dr </w:t>
      </w:r>
      <w:proofErr w:type="spellStart"/>
      <w:r w:rsidR="00CD4623">
        <w:t>Bretschneider</w:t>
      </w:r>
      <w:proofErr w:type="spellEnd"/>
      <w:r w:rsidR="00CD4623">
        <w:t xml:space="preserve"> made an </w:t>
      </w:r>
      <w:r w:rsidR="00227723">
        <w:t xml:space="preserve">affidavit </w:t>
      </w:r>
      <w:r w:rsidR="00CD4623">
        <w:t>o</w:t>
      </w:r>
      <w:r w:rsidR="00227723">
        <w:t>n 1 June 2015</w:t>
      </w:r>
      <w:r>
        <w:t>,</w:t>
      </w:r>
      <w:r w:rsidR="00CD4623">
        <w:t xml:space="preserve"> which was read at the hearing, save for some passages.</w:t>
      </w:r>
      <w:r>
        <w:t xml:space="preserve"> </w:t>
      </w:r>
      <w:r w:rsidR="00CD4623">
        <w:t xml:space="preserve"> </w:t>
      </w:r>
      <w:r>
        <w:t xml:space="preserve">Dr </w:t>
      </w:r>
      <w:proofErr w:type="spellStart"/>
      <w:r>
        <w:t>Bretschneider</w:t>
      </w:r>
      <w:proofErr w:type="spellEnd"/>
      <w:r>
        <w:t xml:space="preserve"> expressed his understanding that this notation indicate</w:t>
      </w:r>
      <w:r w:rsidR="00227723">
        <w:t>s</w:t>
      </w:r>
      <w:r>
        <w:t xml:space="preserve"> a phosphor that contains both Al and Ga.  He explained his understanding in the following way.  </w:t>
      </w:r>
    </w:p>
    <w:p w:rsidR="003A5559" w:rsidRDefault="003A5559" w:rsidP="004E7EE7">
      <w:pPr>
        <w:pStyle w:val="ParaNumbering"/>
      </w:pPr>
      <w:r>
        <w:t xml:space="preserve">Dr </w:t>
      </w:r>
      <w:proofErr w:type="spellStart"/>
      <w:r>
        <w:t>Bretschneider</w:t>
      </w:r>
      <w:proofErr w:type="spellEnd"/>
      <w:r>
        <w:t xml:space="preserve"> said that, before 29 July 1996, he was aware of the use of equivalent notation</w:t>
      </w:r>
      <w:r w:rsidR="008C46D0">
        <w:t>s</w:t>
      </w:r>
      <w:r>
        <w:t xml:space="preserve"> in the field of chemistry associated with geology and </w:t>
      </w:r>
      <w:r w:rsidR="009A4996">
        <w:t>m</w:t>
      </w:r>
      <w:r w:rsidR="00CD4623">
        <w:t>i</w:t>
      </w:r>
      <w:r w:rsidR="009A4996">
        <w:t>neralogy, where the notation indicated that a material contained both elements in respective amounts that had not been, or could not be, quantified.  In relation to phosphors, he said that he was aware of formulas where, absent a direct indication that an element was not present, the notation indicated that the phosphor material contained each element.  In relation to some semiconductor materials, he said that the usage of “the comm</w:t>
      </w:r>
      <w:r w:rsidR="00CD4623">
        <w:t>a</w:t>
      </w:r>
      <w:r w:rsidR="009A4996">
        <w:t xml:space="preserve"> notation” was less common.  He said, however, that, in the semiconductor industry, comm</w:t>
      </w:r>
      <w:r w:rsidR="00CD4623">
        <w:t>a</w:t>
      </w:r>
      <w:r w:rsidR="009A4996">
        <w:t xml:space="preserve"> notations </w:t>
      </w:r>
      <w:r w:rsidR="00CD4623">
        <w:t xml:space="preserve">are </w:t>
      </w:r>
      <w:r w:rsidR="009A4996">
        <w:t>sometimes used to denote a class of semiconductors where the exact ratio of the constituent elements was determined by the</w:t>
      </w:r>
      <w:r w:rsidR="00CD4623">
        <w:t xml:space="preserve"> targeted emission wavelength.</w:t>
      </w:r>
    </w:p>
    <w:p w:rsidR="009A4996" w:rsidRDefault="009A4996" w:rsidP="004E7EE7">
      <w:pPr>
        <w:pStyle w:val="ParaNumbering"/>
      </w:pPr>
      <w:r>
        <w:t xml:space="preserve">In his affidavit, Dr </w:t>
      </w:r>
      <w:proofErr w:type="spellStart"/>
      <w:r>
        <w:t>Bretschneider</w:t>
      </w:r>
      <w:proofErr w:type="spellEnd"/>
      <w:r>
        <w:t xml:space="preserve"> made clear that his understanding of these matters was based on his knowledge and experience acquired before 29 July 1996.  He went on, however, to justify his opinion on the meaning of (</w:t>
      </w:r>
      <w:proofErr w:type="spellStart"/>
      <w:r>
        <w:t>Al,Ga</w:t>
      </w:r>
      <w:proofErr w:type="spellEnd"/>
      <w:r>
        <w:t>)</w:t>
      </w:r>
      <w:r w:rsidRPr="009A4996">
        <w:rPr>
          <w:vertAlign w:val="subscript"/>
        </w:rPr>
        <w:t>5</w:t>
      </w:r>
      <w:r>
        <w:t xml:space="preserve"> as used in claim 1 of </w:t>
      </w:r>
      <w:proofErr w:type="spellStart"/>
      <w:r>
        <w:t>JP585</w:t>
      </w:r>
      <w:proofErr w:type="spellEnd"/>
      <w:r>
        <w:t xml:space="preserve"> by reference to other information, including formulas published in the literature arising from research conducted before July 1996 in which garnet phosphors containing Y and </w:t>
      </w:r>
      <w:r w:rsidR="00035235">
        <w:t xml:space="preserve">Al, and potentially also Ga, activated with Ce had been studied.  </w:t>
      </w:r>
    </w:p>
    <w:p w:rsidR="00227723" w:rsidRDefault="00035235" w:rsidP="006227E9">
      <w:pPr>
        <w:pStyle w:val="ParaNumbering"/>
      </w:pPr>
      <w:r>
        <w:t xml:space="preserve">In this connection, Dr </w:t>
      </w:r>
      <w:proofErr w:type="spellStart"/>
      <w:r>
        <w:t>Bretschneider</w:t>
      </w:r>
      <w:proofErr w:type="spellEnd"/>
      <w:r>
        <w:t xml:space="preserve"> annexed a number of publications, including articles by </w:t>
      </w:r>
      <w:proofErr w:type="spellStart"/>
      <w:r>
        <w:t>Blasse</w:t>
      </w:r>
      <w:proofErr w:type="spellEnd"/>
      <w:r>
        <w:t xml:space="preserve"> and </w:t>
      </w:r>
      <w:proofErr w:type="spellStart"/>
      <w:r>
        <w:t>Bril</w:t>
      </w:r>
      <w:proofErr w:type="spellEnd"/>
      <w:r>
        <w:t xml:space="preserve"> who conducted work in the Philips Research Laboratories at </w:t>
      </w:r>
      <w:proofErr w:type="spellStart"/>
      <w:r>
        <w:t>N.V</w:t>
      </w:r>
      <w:proofErr w:type="spellEnd"/>
      <w:r>
        <w:t xml:space="preserve">. Philips </w:t>
      </w:r>
      <w:proofErr w:type="spellStart"/>
      <w:r>
        <w:t>Gloe</w:t>
      </w:r>
      <w:r w:rsidR="00CD4623">
        <w:t>i</w:t>
      </w:r>
      <w:r>
        <w:t>lampenfabrieken</w:t>
      </w:r>
      <w:proofErr w:type="spellEnd"/>
      <w:r>
        <w:t xml:space="preserve"> at Eindhoven in </w:t>
      </w:r>
      <w:r w:rsidR="00CD4623">
        <w:t>T</w:t>
      </w:r>
      <w:r>
        <w:t xml:space="preserve">he Netherlands.  The purpose of referring to these articles was twofold.  </w:t>
      </w:r>
    </w:p>
    <w:p w:rsidR="006227E9" w:rsidRDefault="00035235" w:rsidP="006227E9">
      <w:pPr>
        <w:pStyle w:val="ParaNumbering"/>
      </w:pPr>
      <w:r>
        <w:t>First, the authors employed the notation (</w:t>
      </w:r>
      <w:proofErr w:type="spellStart"/>
      <w:r>
        <w:t>Al,Ga</w:t>
      </w:r>
      <w:proofErr w:type="spellEnd"/>
      <w:r>
        <w:t>)</w:t>
      </w:r>
      <w:r w:rsidRPr="00035235">
        <w:rPr>
          <w:vertAlign w:val="subscript"/>
        </w:rPr>
        <w:t>5</w:t>
      </w:r>
      <w:r>
        <w:t xml:space="preserve"> when describing particular Ce-activated phosphors.  One article (</w:t>
      </w:r>
      <w:proofErr w:type="spellStart"/>
      <w:r w:rsidR="00CD4623">
        <w:t>Blasse</w:t>
      </w:r>
      <w:proofErr w:type="spellEnd"/>
      <w:r w:rsidR="00CD4623">
        <w:t xml:space="preserve"> G and </w:t>
      </w:r>
      <w:proofErr w:type="spellStart"/>
      <w:r w:rsidR="00CD4623">
        <w:t>Bril</w:t>
      </w:r>
      <w:proofErr w:type="spellEnd"/>
      <w:r w:rsidR="00CD4623">
        <w:t xml:space="preserve"> A, “</w:t>
      </w:r>
      <w:r>
        <w:t xml:space="preserve">Investigation of Some </w:t>
      </w:r>
      <w:proofErr w:type="spellStart"/>
      <w:r>
        <w:t>Ce</w:t>
      </w:r>
      <w:r w:rsidRPr="00035235">
        <w:rPr>
          <w:vertAlign w:val="superscript"/>
        </w:rPr>
        <w:t>3</w:t>
      </w:r>
      <w:proofErr w:type="spellEnd"/>
      <w:r>
        <w:t>+-Activated Phosphors</w:t>
      </w:r>
      <w:r w:rsidR="00CD4623">
        <w:t>”</w:t>
      </w:r>
      <w:r>
        <w:t xml:space="preserve"> </w:t>
      </w:r>
      <w:r w:rsidR="00CD4623">
        <w:t>(1967)</w:t>
      </w:r>
      <w:r>
        <w:t xml:space="preserve"> </w:t>
      </w:r>
      <w:r w:rsidR="00CD4623">
        <w:t xml:space="preserve">47 </w:t>
      </w:r>
      <w:r w:rsidRPr="00CD4623">
        <w:rPr>
          <w:i/>
        </w:rPr>
        <w:t>The Journal of Chemical Physics</w:t>
      </w:r>
      <w:r>
        <w:t xml:space="preserve"> 5139</w:t>
      </w:r>
      <w:r w:rsidR="00CD4623">
        <w:t>-5145)</w:t>
      </w:r>
      <w:r>
        <w:t xml:space="preserve"> (</w:t>
      </w:r>
      <w:proofErr w:type="spellStart"/>
      <w:r w:rsidRPr="006D09E8">
        <w:rPr>
          <w:b/>
          <w:i/>
        </w:rPr>
        <w:t>Blasse</w:t>
      </w:r>
      <w:proofErr w:type="spellEnd"/>
      <w:r w:rsidRPr="006D09E8">
        <w:rPr>
          <w:b/>
          <w:i/>
        </w:rPr>
        <w:t xml:space="preserve"> and </w:t>
      </w:r>
      <w:proofErr w:type="spellStart"/>
      <w:r w:rsidRPr="006D09E8">
        <w:rPr>
          <w:b/>
          <w:i/>
        </w:rPr>
        <w:t>Bril</w:t>
      </w:r>
      <w:proofErr w:type="spellEnd"/>
      <w:r>
        <w:t xml:space="preserve">), refers to studies on a system described as </w:t>
      </w:r>
      <w:proofErr w:type="spellStart"/>
      <w:r w:rsidR="006227E9">
        <w:t>Y</w:t>
      </w:r>
      <w:r w:rsidRPr="00035235">
        <w:rPr>
          <w:vertAlign w:val="subscript"/>
        </w:rPr>
        <w:t>3</w:t>
      </w:r>
      <w:proofErr w:type="spellEnd"/>
      <w:r>
        <w:t>(</w:t>
      </w:r>
      <w:proofErr w:type="spellStart"/>
      <w:r>
        <w:t>Al,Ga</w:t>
      </w:r>
      <w:proofErr w:type="spellEnd"/>
      <w:r>
        <w:t>)</w:t>
      </w:r>
      <w:proofErr w:type="spellStart"/>
      <w:r w:rsidRPr="00035235">
        <w:rPr>
          <w:vertAlign w:val="subscript"/>
        </w:rPr>
        <w:t>5</w:t>
      </w:r>
      <w:r>
        <w:t>O</w:t>
      </w:r>
      <w:r>
        <w:rPr>
          <w:vertAlign w:val="subscript"/>
        </w:rPr>
        <w:t>12</w:t>
      </w:r>
      <w:proofErr w:type="spellEnd"/>
      <w:r>
        <w:t>–Ce</w:t>
      </w:r>
      <w:r w:rsidR="008D60CF">
        <w:t xml:space="preserve"> (this is the same as </w:t>
      </w:r>
      <w:proofErr w:type="spellStart"/>
      <w:r w:rsidR="008D60CF">
        <w:t>Y</w:t>
      </w:r>
      <w:r w:rsidR="008D60CF" w:rsidRPr="00035235">
        <w:rPr>
          <w:vertAlign w:val="subscript"/>
        </w:rPr>
        <w:t>3</w:t>
      </w:r>
      <w:proofErr w:type="spellEnd"/>
      <w:r w:rsidR="008D60CF">
        <w:t>(</w:t>
      </w:r>
      <w:proofErr w:type="spellStart"/>
      <w:r w:rsidR="008D60CF">
        <w:t>Al,Ga</w:t>
      </w:r>
      <w:proofErr w:type="spellEnd"/>
      <w:r w:rsidR="008D60CF">
        <w:t>)</w:t>
      </w:r>
      <w:proofErr w:type="spellStart"/>
      <w:r w:rsidR="008D60CF" w:rsidRPr="00035235">
        <w:rPr>
          <w:vertAlign w:val="subscript"/>
        </w:rPr>
        <w:t>5</w:t>
      </w:r>
      <w:r w:rsidR="008D60CF">
        <w:t>O</w:t>
      </w:r>
      <w:r w:rsidR="008D60CF">
        <w:rPr>
          <w:vertAlign w:val="subscript"/>
        </w:rPr>
        <w:t>12</w:t>
      </w:r>
      <w:r w:rsidR="008D60CF">
        <w:t>:Ce</w:t>
      </w:r>
      <w:proofErr w:type="spellEnd"/>
      <w:r w:rsidR="008D60CF">
        <w:t>)</w:t>
      </w:r>
      <w:r w:rsidR="006227E9">
        <w:t xml:space="preserve">.  Dr </w:t>
      </w:r>
      <w:proofErr w:type="spellStart"/>
      <w:r w:rsidR="006227E9">
        <w:t>Bre</w:t>
      </w:r>
      <w:r w:rsidR="00AC595E">
        <w:t>t</w:t>
      </w:r>
      <w:r w:rsidR="006227E9">
        <w:t>schneider</w:t>
      </w:r>
      <w:proofErr w:type="spellEnd"/>
      <w:r w:rsidR="006227E9">
        <w:t xml:space="preserve"> said that this</w:t>
      </w:r>
      <w:r w:rsidR="00CD4623">
        <w:t xml:space="preserve"> is a</w:t>
      </w:r>
      <w:r w:rsidR="006227E9">
        <w:t xml:space="preserve"> material represented by the phosphor formula of claim 1 in </w:t>
      </w:r>
      <w:proofErr w:type="spellStart"/>
      <w:r w:rsidR="006227E9">
        <w:t>JP585</w:t>
      </w:r>
      <w:proofErr w:type="spellEnd"/>
      <w:r w:rsidR="006227E9">
        <w:t xml:space="preserve"> where RE is Y.  </w:t>
      </w:r>
      <w:r w:rsidR="006D09E8">
        <w:t>I note</w:t>
      </w:r>
      <w:r w:rsidR="00CD4623">
        <w:t>,</w:t>
      </w:r>
      <w:r w:rsidR="006D09E8">
        <w:t xml:space="preserve"> however, that</w:t>
      </w:r>
      <w:r w:rsidR="006227E9">
        <w:t xml:space="preserve">, when describing the system, </w:t>
      </w:r>
      <w:proofErr w:type="spellStart"/>
      <w:r w:rsidR="006227E9" w:rsidRPr="006D09E8">
        <w:rPr>
          <w:i/>
        </w:rPr>
        <w:t>Blasse</w:t>
      </w:r>
      <w:proofErr w:type="spellEnd"/>
      <w:r w:rsidR="006227E9" w:rsidRPr="006D09E8">
        <w:rPr>
          <w:i/>
        </w:rPr>
        <w:t xml:space="preserve"> and </w:t>
      </w:r>
      <w:proofErr w:type="spellStart"/>
      <w:r w:rsidR="006227E9" w:rsidRPr="006D09E8">
        <w:rPr>
          <w:i/>
        </w:rPr>
        <w:t>Bril</w:t>
      </w:r>
      <w:proofErr w:type="spellEnd"/>
      <w:r w:rsidR="006227E9">
        <w:t xml:space="preserve"> us</w:t>
      </w:r>
      <w:r w:rsidR="006D09E8">
        <w:t>e</w:t>
      </w:r>
      <w:r w:rsidR="006227E9">
        <w:t xml:space="preserve"> </w:t>
      </w:r>
      <w:r w:rsidR="006227E9">
        <w:lastRenderedPageBreak/>
        <w:t>th</w:t>
      </w:r>
      <w:r w:rsidR="007F4325">
        <w:t>at particular</w:t>
      </w:r>
      <w:r w:rsidR="006227E9">
        <w:t xml:space="preserve"> notation to describe phosphors where Al is present and Ga is not present, as well as phosphors where Ga is present and Al is not present. I do not see, therefore, how </w:t>
      </w:r>
      <w:proofErr w:type="spellStart"/>
      <w:r w:rsidR="006227E9" w:rsidRPr="006D09E8">
        <w:rPr>
          <w:i/>
        </w:rPr>
        <w:t>Blasse</w:t>
      </w:r>
      <w:proofErr w:type="spellEnd"/>
      <w:r w:rsidR="006227E9" w:rsidRPr="006D09E8">
        <w:rPr>
          <w:i/>
        </w:rPr>
        <w:t xml:space="preserve"> and </w:t>
      </w:r>
      <w:proofErr w:type="spellStart"/>
      <w:r w:rsidR="006227E9" w:rsidRPr="006D09E8">
        <w:rPr>
          <w:i/>
        </w:rPr>
        <w:t>Bril</w:t>
      </w:r>
      <w:proofErr w:type="spellEnd"/>
      <w:r w:rsidR="006227E9">
        <w:t xml:space="preserve"> assists the respondent’s case, based on Dr </w:t>
      </w:r>
      <w:proofErr w:type="spellStart"/>
      <w:r w:rsidR="006227E9">
        <w:t>Bretschneider’s</w:t>
      </w:r>
      <w:proofErr w:type="spellEnd"/>
      <w:r w:rsidR="006227E9">
        <w:t xml:space="preserve"> opinion, that the notation (</w:t>
      </w:r>
      <w:proofErr w:type="spellStart"/>
      <w:r w:rsidR="006227E9">
        <w:t>Al,Ga</w:t>
      </w:r>
      <w:proofErr w:type="spellEnd"/>
      <w:r w:rsidR="006227E9">
        <w:t>)</w:t>
      </w:r>
      <w:r w:rsidR="006227E9" w:rsidRPr="006227E9">
        <w:rPr>
          <w:vertAlign w:val="subscript"/>
        </w:rPr>
        <w:t>5</w:t>
      </w:r>
      <w:r w:rsidR="006227E9">
        <w:t xml:space="preserve"> in claim 1 of </w:t>
      </w:r>
      <w:proofErr w:type="spellStart"/>
      <w:r w:rsidR="006227E9">
        <w:t>JP585</w:t>
      </w:r>
      <w:proofErr w:type="spellEnd"/>
      <w:r w:rsidR="006227E9">
        <w:t xml:space="preserve"> denotes phosphors in which</w:t>
      </w:r>
      <w:r w:rsidR="00CD4623">
        <w:t xml:space="preserve"> both Al and Ga must be present—</w:t>
      </w:r>
      <w:r w:rsidR="006227E9">
        <w:t xml:space="preserve">assuming, in any event, that one can properly use the information in </w:t>
      </w:r>
      <w:proofErr w:type="spellStart"/>
      <w:r w:rsidR="006227E9" w:rsidRPr="006D09E8">
        <w:rPr>
          <w:i/>
        </w:rPr>
        <w:t>Blasse</w:t>
      </w:r>
      <w:proofErr w:type="spellEnd"/>
      <w:r w:rsidR="006227E9" w:rsidRPr="006D09E8">
        <w:rPr>
          <w:i/>
        </w:rPr>
        <w:t xml:space="preserve"> and </w:t>
      </w:r>
      <w:proofErr w:type="spellStart"/>
      <w:r w:rsidR="006227E9" w:rsidRPr="006D09E8">
        <w:rPr>
          <w:i/>
        </w:rPr>
        <w:t>Bril</w:t>
      </w:r>
      <w:proofErr w:type="spellEnd"/>
      <w:r w:rsidR="006227E9">
        <w:t xml:space="preserve"> to determine the meaning of the notation (</w:t>
      </w:r>
      <w:proofErr w:type="spellStart"/>
      <w:r w:rsidR="006227E9">
        <w:t>Al,Ga</w:t>
      </w:r>
      <w:proofErr w:type="spellEnd"/>
      <w:r w:rsidR="006227E9">
        <w:t>)</w:t>
      </w:r>
      <w:r w:rsidR="006227E9" w:rsidRPr="006227E9">
        <w:rPr>
          <w:vertAlign w:val="subscript"/>
        </w:rPr>
        <w:t>5</w:t>
      </w:r>
      <w:r w:rsidR="006227E9">
        <w:t xml:space="preserve"> used in </w:t>
      </w:r>
      <w:proofErr w:type="spellStart"/>
      <w:r w:rsidR="006227E9">
        <w:t>JP585</w:t>
      </w:r>
      <w:proofErr w:type="spellEnd"/>
      <w:r w:rsidR="006227E9">
        <w:t xml:space="preserve">. </w:t>
      </w:r>
    </w:p>
    <w:p w:rsidR="0056397B" w:rsidRDefault="006227E9" w:rsidP="006227E9">
      <w:pPr>
        <w:pStyle w:val="ParaNumbering"/>
      </w:pPr>
      <w:r>
        <w:t xml:space="preserve">Secondly, Dr </w:t>
      </w:r>
      <w:proofErr w:type="spellStart"/>
      <w:r>
        <w:t>Bretschneider</w:t>
      </w:r>
      <w:proofErr w:type="spellEnd"/>
      <w:r>
        <w:t xml:space="preserve"> referred to </w:t>
      </w:r>
      <w:proofErr w:type="spellStart"/>
      <w:r w:rsidRPr="006D09E8">
        <w:rPr>
          <w:i/>
        </w:rPr>
        <w:t>Blasse</w:t>
      </w:r>
      <w:proofErr w:type="spellEnd"/>
      <w:r w:rsidRPr="006D09E8">
        <w:rPr>
          <w:i/>
        </w:rPr>
        <w:t xml:space="preserve"> and </w:t>
      </w:r>
      <w:proofErr w:type="spellStart"/>
      <w:r w:rsidRPr="006D09E8">
        <w:rPr>
          <w:i/>
        </w:rPr>
        <w:t>Bril</w:t>
      </w:r>
      <w:proofErr w:type="spellEnd"/>
      <w:r>
        <w:t xml:space="preserve"> to show that the phosphor </w:t>
      </w:r>
      <w:proofErr w:type="spellStart"/>
      <w:r>
        <w:t>Y</w:t>
      </w:r>
      <w:r w:rsidRPr="00035235">
        <w:rPr>
          <w:vertAlign w:val="subscript"/>
        </w:rPr>
        <w:t>3</w:t>
      </w:r>
      <w:r>
        <w:t>Ga</w:t>
      </w:r>
      <w:r w:rsidRPr="00035235">
        <w:rPr>
          <w:vertAlign w:val="subscript"/>
        </w:rPr>
        <w:t>5</w:t>
      </w:r>
      <w:r>
        <w:t>O</w:t>
      </w:r>
      <w:r>
        <w:rPr>
          <w:vertAlign w:val="subscript"/>
        </w:rPr>
        <w:t>12</w:t>
      </w:r>
      <w:r w:rsidR="006D09E8">
        <w:t>:</w:t>
      </w:r>
      <w:r>
        <w:t>Ce</w:t>
      </w:r>
      <w:proofErr w:type="spellEnd"/>
      <w:r>
        <w:t xml:space="preserve"> does not fluoresce “under long- or short-wave </w:t>
      </w:r>
      <w:proofErr w:type="spellStart"/>
      <w:r w:rsidR="00227723">
        <w:t>uv</w:t>
      </w:r>
      <w:proofErr w:type="spellEnd"/>
      <w:r>
        <w:t xml:space="preserve"> or cathode-ray excitation”.  The same disclosure was made in other publications to w</w:t>
      </w:r>
      <w:r w:rsidR="002E32D5">
        <w:t xml:space="preserve">hich Dr </w:t>
      </w:r>
      <w:proofErr w:type="spellStart"/>
      <w:r w:rsidR="002E32D5">
        <w:t>Bretschneider</w:t>
      </w:r>
      <w:proofErr w:type="spellEnd"/>
      <w:r w:rsidR="002E32D5">
        <w:t xml:space="preserve"> referred:  Holloway Jr WW and </w:t>
      </w:r>
      <w:proofErr w:type="spellStart"/>
      <w:r w:rsidR="002E32D5">
        <w:t>Kestigian</w:t>
      </w:r>
      <w:proofErr w:type="spellEnd"/>
      <w:r w:rsidR="002E32D5">
        <w:t xml:space="preserve"> M, “On the Fluorescence of Cerium-Activated Garnet Crystals” (1967) </w:t>
      </w:r>
      <w:proofErr w:type="spellStart"/>
      <w:r w:rsidR="002E32D5">
        <w:t>25A</w:t>
      </w:r>
      <w:proofErr w:type="spellEnd"/>
      <w:r w:rsidR="002E32D5">
        <w:t xml:space="preserve">(8) </w:t>
      </w:r>
      <w:r w:rsidR="002E32D5">
        <w:rPr>
          <w:i/>
        </w:rPr>
        <w:t>Physics Letters</w:t>
      </w:r>
      <w:r w:rsidR="002E32D5">
        <w:t xml:space="preserve"> 614-615 and Holloway Jr WW and </w:t>
      </w:r>
      <w:proofErr w:type="spellStart"/>
      <w:r w:rsidR="002E32D5">
        <w:t>Kestigian</w:t>
      </w:r>
      <w:proofErr w:type="spellEnd"/>
      <w:r w:rsidR="002E32D5">
        <w:t xml:space="preserve"> M, “Optical Properties of Cerium-Activated Garnet Crystals” (1969) 59(1) </w:t>
      </w:r>
      <w:r w:rsidR="002E32D5">
        <w:rPr>
          <w:i/>
        </w:rPr>
        <w:t xml:space="preserve">Journal of the Optical Society of America </w:t>
      </w:r>
      <w:r w:rsidR="002E32D5">
        <w:t>60-63.</w:t>
      </w:r>
    </w:p>
    <w:p w:rsidR="00DF0551" w:rsidRDefault="0056397B" w:rsidP="006227E9">
      <w:pPr>
        <w:pStyle w:val="ParaNumbering"/>
      </w:pPr>
      <w:r>
        <w:t xml:space="preserve">The disclosure that </w:t>
      </w:r>
      <w:proofErr w:type="spellStart"/>
      <w:r>
        <w:t>Y</w:t>
      </w:r>
      <w:r w:rsidRPr="00035235">
        <w:rPr>
          <w:vertAlign w:val="subscript"/>
        </w:rPr>
        <w:t>3</w:t>
      </w:r>
      <w:r>
        <w:t>Ga</w:t>
      </w:r>
      <w:r w:rsidRPr="00035235">
        <w:rPr>
          <w:vertAlign w:val="subscript"/>
        </w:rPr>
        <w:t>5</w:t>
      </w:r>
      <w:r>
        <w:t>O</w:t>
      </w:r>
      <w:r>
        <w:rPr>
          <w:vertAlign w:val="subscript"/>
        </w:rPr>
        <w:t>12</w:t>
      </w:r>
      <w:r w:rsidR="008D60CF">
        <w:t>:</w:t>
      </w:r>
      <w:r>
        <w:t>Ce</w:t>
      </w:r>
      <w:proofErr w:type="spellEnd"/>
      <w:r>
        <w:t xml:space="preserve"> does not exhibit fluorescence came to feature prominently in the respondent’s closing submissions, which are summarised below.  For present purposes, there are two matters to note.  The first is that, at least in </w:t>
      </w:r>
      <w:proofErr w:type="spellStart"/>
      <w:r w:rsidRPr="006D09E8">
        <w:rPr>
          <w:i/>
        </w:rPr>
        <w:t>Blasse</w:t>
      </w:r>
      <w:proofErr w:type="spellEnd"/>
      <w:r w:rsidRPr="006D09E8">
        <w:rPr>
          <w:i/>
        </w:rPr>
        <w:t xml:space="preserve"> and </w:t>
      </w:r>
      <w:proofErr w:type="spellStart"/>
      <w:r w:rsidRPr="006D09E8">
        <w:rPr>
          <w:i/>
        </w:rPr>
        <w:t>Bril</w:t>
      </w:r>
      <w:proofErr w:type="spellEnd"/>
      <w:r>
        <w:t xml:space="preserve">, the observation that </w:t>
      </w:r>
      <w:proofErr w:type="spellStart"/>
      <w:r>
        <w:t>Y</w:t>
      </w:r>
      <w:r w:rsidRPr="00035235">
        <w:rPr>
          <w:vertAlign w:val="subscript"/>
        </w:rPr>
        <w:t>3</w:t>
      </w:r>
      <w:r>
        <w:t>Ga</w:t>
      </w:r>
      <w:r w:rsidRPr="00035235">
        <w:rPr>
          <w:vertAlign w:val="subscript"/>
        </w:rPr>
        <w:t>5</w:t>
      </w:r>
      <w:r>
        <w:t>O</w:t>
      </w:r>
      <w:r>
        <w:rPr>
          <w:vertAlign w:val="subscript"/>
        </w:rPr>
        <w:t>12</w:t>
      </w:r>
      <w:r>
        <w:t>:Ce</w:t>
      </w:r>
      <w:proofErr w:type="spellEnd"/>
      <w:r>
        <w:t xml:space="preserve"> does not fluoresce was made in respect of certain test conditions.  The significance of these test conditions </w:t>
      </w:r>
      <w:r w:rsidR="00DF0551">
        <w:t>was</w:t>
      </w:r>
      <w:r>
        <w:t xml:space="preserve"> not discussed in the evidence.  Similarly, the test conditions in the other articles were not discussed in the evidence.  Given the absence of such evidence, I am not prepared to conclude that </w:t>
      </w:r>
      <w:proofErr w:type="spellStart"/>
      <w:r>
        <w:t>Y</w:t>
      </w:r>
      <w:r w:rsidRPr="00035235">
        <w:rPr>
          <w:vertAlign w:val="subscript"/>
        </w:rPr>
        <w:t>3</w:t>
      </w:r>
      <w:r>
        <w:t>Ga</w:t>
      </w:r>
      <w:r w:rsidRPr="00035235">
        <w:rPr>
          <w:vertAlign w:val="subscript"/>
        </w:rPr>
        <w:t>5</w:t>
      </w:r>
      <w:r>
        <w:t>O</w:t>
      </w:r>
      <w:r>
        <w:rPr>
          <w:vertAlign w:val="subscript"/>
        </w:rPr>
        <w:t>12</w:t>
      </w:r>
      <w:r>
        <w:t>:Ce</w:t>
      </w:r>
      <w:proofErr w:type="spellEnd"/>
      <w:r>
        <w:t xml:space="preserve"> will not fluoresce under </w:t>
      </w:r>
      <w:r w:rsidR="00DF0551">
        <w:t>any</w:t>
      </w:r>
      <w:r w:rsidR="006D09E8">
        <w:t xml:space="preserve"> or all</w:t>
      </w:r>
      <w:r>
        <w:t xml:space="preserve"> conditions of excitation.  To do so would be mere speculation on my part.  </w:t>
      </w:r>
    </w:p>
    <w:p w:rsidR="0056397B" w:rsidRDefault="0056397B" w:rsidP="006227E9">
      <w:pPr>
        <w:pStyle w:val="ParaNumbering"/>
      </w:pPr>
      <w:r>
        <w:t xml:space="preserve">I am fortified in this view by the fact that claim 3 of the </w:t>
      </w:r>
      <w:r w:rsidR="00227723">
        <w:t xml:space="preserve">355 </w:t>
      </w:r>
      <w:r>
        <w:t xml:space="preserve">specification covers a phosphor in which Ga is present and Al is not present.  Nevertheless, the light emitting device in claim 3 </w:t>
      </w:r>
      <w:r w:rsidR="00227723">
        <w:t xml:space="preserve">of the 355 specification </w:t>
      </w:r>
      <w:r>
        <w:t>is defined as one in which the phosphor is capable of absorbing a part of light emitted by a light emitting component, and emitting light of a wavelength different from that of the absorbed light, when used in combination with a nitride compound semiconductor.  In other words, the relevant material, in that combination, must act as a phosphor.  Also, in that combination, the material must answer the description of “fluorescent material”.  The respondent has not challenged the validity of claim 3 on the ground that the invention, so defined, is inutile.</w:t>
      </w:r>
    </w:p>
    <w:p w:rsidR="003F53DC" w:rsidRDefault="0056397B" w:rsidP="006227E9">
      <w:pPr>
        <w:pStyle w:val="ParaNumbering"/>
      </w:pPr>
      <w:r>
        <w:t>The second matter to note is that there is a question whether the information on which Dr </w:t>
      </w:r>
      <w:proofErr w:type="spellStart"/>
      <w:r>
        <w:t>Bretschneider</w:t>
      </w:r>
      <w:proofErr w:type="spellEnd"/>
      <w:r>
        <w:t xml:space="preserve"> relied </w:t>
      </w:r>
      <w:r w:rsidR="00AC595E">
        <w:t>concerning</w:t>
      </w:r>
      <w:r>
        <w:t xml:space="preserve"> </w:t>
      </w:r>
      <w:proofErr w:type="spellStart"/>
      <w:r>
        <w:t>Y</w:t>
      </w:r>
      <w:r w:rsidRPr="00035235">
        <w:rPr>
          <w:vertAlign w:val="subscript"/>
        </w:rPr>
        <w:t>3</w:t>
      </w:r>
      <w:r>
        <w:t>Ga</w:t>
      </w:r>
      <w:r w:rsidRPr="00035235">
        <w:rPr>
          <w:vertAlign w:val="subscript"/>
        </w:rPr>
        <w:t>5</w:t>
      </w:r>
      <w:r>
        <w:t>O</w:t>
      </w:r>
      <w:r>
        <w:rPr>
          <w:vertAlign w:val="subscript"/>
        </w:rPr>
        <w:t>12</w:t>
      </w:r>
      <w:r>
        <w:t>:Ce</w:t>
      </w:r>
      <w:proofErr w:type="spellEnd"/>
      <w:r>
        <w:t xml:space="preserve"> is part of the common general knowledge.  </w:t>
      </w:r>
      <w:r>
        <w:lastRenderedPageBreak/>
        <w:t>In light of the way in which I think that the meaning of the notation (</w:t>
      </w:r>
      <w:proofErr w:type="spellStart"/>
      <w:r>
        <w:t>Al,Ga</w:t>
      </w:r>
      <w:proofErr w:type="spellEnd"/>
      <w:r>
        <w:t>)</w:t>
      </w:r>
      <w:r w:rsidRPr="0056397B">
        <w:rPr>
          <w:vertAlign w:val="subscript"/>
        </w:rPr>
        <w:t>5</w:t>
      </w:r>
      <w:r>
        <w:t xml:space="preserve"> in </w:t>
      </w:r>
      <w:proofErr w:type="spellStart"/>
      <w:r>
        <w:t>JP585</w:t>
      </w:r>
      <w:proofErr w:type="spellEnd"/>
      <w:r>
        <w:t xml:space="preserve"> must be determined, and claim </w:t>
      </w:r>
      <w:r w:rsidR="005B668A">
        <w:t>1 thereof construed, it is not</w:t>
      </w:r>
      <w:r w:rsidR="003F53DC">
        <w:t xml:space="preserve"> necessary for me to determine that particular issue.</w:t>
      </w:r>
      <w:r w:rsidR="00E87D80">
        <w:t xml:space="preserve">  I note in this connection that, although the parties have agreed on the content of the primer to be used for determining the separate question, they have not agreed, more generally, on the facts that comprise the common general knowledge to be deployed for determining other</w:t>
      </w:r>
      <w:r w:rsidR="00CD4623">
        <w:t xml:space="preserve"> questions in the proceeding.</w:t>
      </w:r>
    </w:p>
    <w:p w:rsidR="003F53DC" w:rsidRDefault="003F53DC" w:rsidP="003F53DC">
      <w:pPr>
        <w:pStyle w:val="ParaNumbering"/>
      </w:pPr>
      <w:r>
        <w:t xml:space="preserve">Dr </w:t>
      </w:r>
      <w:proofErr w:type="spellStart"/>
      <w:r>
        <w:t>Bretschneider</w:t>
      </w:r>
      <w:proofErr w:type="spellEnd"/>
      <w:r>
        <w:t xml:space="preserve"> also gave evidence that he does not recall seeing notation of the type “(</w:t>
      </w:r>
      <w:proofErr w:type="spellStart"/>
      <w:r w:rsidR="004F5351">
        <w:t>x</w:t>
      </w:r>
      <w:r>
        <w:t>,</w:t>
      </w:r>
      <w:r w:rsidR="004F5351">
        <w:t>y</w:t>
      </w:r>
      <w:proofErr w:type="spellEnd"/>
      <w:r>
        <w:t xml:space="preserve">)” </w:t>
      </w:r>
      <w:r w:rsidR="004F5351">
        <w:t>(</w:t>
      </w:r>
      <w:proofErr w:type="spellStart"/>
      <w:r w:rsidR="004F5351">
        <w:t>ie</w:t>
      </w:r>
      <w:proofErr w:type="spellEnd"/>
      <w:r w:rsidR="004F5351">
        <w:t xml:space="preserve">, a “comma </w:t>
      </w:r>
      <w:r>
        <w:t>formula</w:t>
      </w:r>
      <w:r w:rsidR="004F5351">
        <w:t>”)</w:t>
      </w:r>
      <w:r>
        <w:t xml:space="preserve"> to indicate that a phosphor may have 0% of one element and 100% of the other.</w:t>
      </w:r>
      <w:r w:rsidR="005B668A">
        <w:t xml:space="preserve"> </w:t>
      </w:r>
      <w:r w:rsidR="00035235">
        <w:t xml:space="preserve"> </w:t>
      </w:r>
    </w:p>
    <w:p w:rsidR="003F53DC" w:rsidRDefault="003F53DC" w:rsidP="006227E9">
      <w:pPr>
        <w:pStyle w:val="ParaNumbering"/>
      </w:pPr>
      <w:r>
        <w:t>Based on his view that the notation (</w:t>
      </w:r>
      <w:proofErr w:type="spellStart"/>
      <w:r>
        <w:t>Al,Ga</w:t>
      </w:r>
      <w:proofErr w:type="spellEnd"/>
      <w:r>
        <w:t>)</w:t>
      </w:r>
      <w:r w:rsidRPr="003F53DC">
        <w:rPr>
          <w:vertAlign w:val="subscript"/>
        </w:rPr>
        <w:t>5</w:t>
      </w:r>
      <w:r>
        <w:t xml:space="preserve"> means that there must be some Al and some Ga in the phosphor, Dr </w:t>
      </w:r>
      <w:proofErr w:type="spellStart"/>
      <w:r>
        <w:t>Bretschneider</w:t>
      </w:r>
      <w:proofErr w:type="spellEnd"/>
      <w:r>
        <w:t xml:space="preserve"> expressed the view that the phosphor represented by the general formula in claim 3 of the </w:t>
      </w:r>
      <w:r w:rsidR="00227723">
        <w:t xml:space="preserve">355 </w:t>
      </w:r>
      <w:r>
        <w:t>specification contain</w:t>
      </w:r>
      <w:r w:rsidR="00227723">
        <w:t>s</w:t>
      </w:r>
      <w:r>
        <w:t xml:space="preserve"> materials that are not represented by the </w:t>
      </w:r>
      <w:r w:rsidR="004F5351">
        <w:t xml:space="preserve">general </w:t>
      </w:r>
      <w:r>
        <w:t xml:space="preserve">formula </w:t>
      </w:r>
      <w:r w:rsidR="00227723">
        <w:t>in</w:t>
      </w:r>
      <w:r>
        <w:t xml:space="preserve"> claim 1 of </w:t>
      </w:r>
      <w:proofErr w:type="spellStart"/>
      <w:r>
        <w:t>JP585</w:t>
      </w:r>
      <w:proofErr w:type="spellEnd"/>
      <w:r>
        <w:t xml:space="preserve">.  In other words, so far as the phosphor is concerned, claim 3 of the </w:t>
      </w:r>
      <w:r w:rsidR="00227723">
        <w:t xml:space="preserve">355 </w:t>
      </w:r>
      <w:r>
        <w:t xml:space="preserve">specification is wider than claim 1 of </w:t>
      </w:r>
      <w:proofErr w:type="spellStart"/>
      <w:r>
        <w:t>JP585</w:t>
      </w:r>
      <w:proofErr w:type="spellEnd"/>
      <w:r>
        <w:t xml:space="preserve">.  </w:t>
      </w:r>
    </w:p>
    <w:p w:rsidR="003F53DC" w:rsidRDefault="003F53DC" w:rsidP="006227E9">
      <w:pPr>
        <w:pStyle w:val="ParaNumbering"/>
      </w:pPr>
      <w:r>
        <w:t xml:space="preserve">Dr </w:t>
      </w:r>
      <w:proofErr w:type="spellStart"/>
      <w:r>
        <w:t>Bretschneider</w:t>
      </w:r>
      <w:proofErr w:type="spellEnd"/>
      <w:r>
        <w:t xml:space="preserve"> also opined that, as well as </w:t>
      </w:r>
      <w:proofErr w:type="spellStart"/>
      <w:r>
        <w:t>Y</w:t>
      </w:r>
      <w:r w:rsidRPr="00035235">
        <w:rPr>
          <w:vertAlign w:val="subscript"/>
        </w:rPr>
        <w:t>3</w:t>
      </w:r>
      <w:r>
        <w:t>Ga</w:t>
      </w:r>
      <w:r w:rsidRPr="00035235">
        <w:rPr>
          <w:vertAlign w:val="subscript"/>
        </w:rPr>
        <w:t>5</w:t>
      </w:r>
      <w:r>
        <w:t>O</w:t>
      </w:r>
      <w:r>
        <w:rPr>
          <w:vertAlign w:val="subscript"/>
        </w:rPr>
        <w:t>12</w:t>
      </w:r>
      <w:r>
        <w:t>:Ce</w:t>
      </w:r>
      <w:proofErr w:type="spellEnd"/>
      <w:r w:rsidR="00227723">
        <w:t xml:space="preserve"> (see [11</w:t>
      </w:r>
      <w:r w:rsidR="00837782">
        <w:t>3</w:t>
      </w:r>
      <w:r w:rsidR="00227723">
        <w:t>] above)</w:t>
      </w:r>
      <w:r>
        <w:t xml:space="preserve">, other </w:t>
      </w:r>
      <w:r w:rsidR="00227723">
        <w:t xml:space="preserve">Ga </w:t>
      </w:r>
      <w:r>
        <w:t>materials would not act as phosphor</w:t>
      </w:r>
      <w:r w:rsidR="004F5351">
        <w:t>s</w:t>
      </w:r>
      <w:r>
        <w:t xml:space="preserve">.  He referred to </w:t>
      </w:r>
      <w:proofErr w:type="spellStart"/>
      <w:r>
        <w:t>Gd</w:t>
      </w:r>
      <w:r>
        <w:rPr>
          <w:vertAlign w:val="subscript"/>
        </w:rPr>
        <w:t>3</w:t>
      </w:r>
      <w:r>
        <w:t>Ga</w:t>
      </w:r>
      <w:r>
        <w:rPr>
          <w:vertAlign w:val="subscript"/>
        </w:rPr>
        <w:t>5</w:t>
      </w:r>
      <w:r>
        <w:t>O</w:t>
      </w:r>
      <w:r w:rsidRPr="003F53DC">
        <w:rPr>
          <w:vertAlign w:val="subscript"/>
        </w:rPr>
        <w:t>12</w:t>
      </w:r>
      <w:proofErr w:type="spellEnd"/>
      <w:r>
        <w:rPr>
          <w:vertAlign w:val="subscript"/>
        </w:rPr>
        <w:t xml:space="preserve"> </w:t>
      </w:r>
      <w:r>
        <w:t xml:space="preserve">as </w:t>
      </w:r>
      <w:r w:rsidR="004F5351">
        <w:t xml:space="preserve">a </w:t>
      </w:r>
      <w:r>
        <w:t xml:space="preserve">material that has industrial uses, but is not a phosphor when Ce is added.  </w:t>
      </w:r>
      <w:r w:rsidR="004F5351">
        <w:t xml:space="preserve">Further, </w:t>
      </w:r>
      <w:r w:rsidR="00227723">
        <w:t xml:space="preserve">Dr </w:t>
      </w:r>
      <w:proofErr w:type="spellStart"/>
      <w:r w:rsidR="00227723">
        <w:t>Bretschneider</w:t>
      </w:r>
      <w:proofErr w:type="spellEnd"/>
      <w:r>
        <w:t xml:space="preserve"> </w:t>
      </w:r>
      <w:r w:rsidR="004F5351">
        <w:t xml:space="preserve">expressed </w:t>
      </w:r>
      <w:r w:rsidR="008C46D0">
        <w:t>t</w:t>
      </w:r>
      <w:r w:rsidR="004F5351">
        <w:t>he opinion that</w:t>
      </w:r>
      <w:r w:rsidR="008C46D0">
        <w:t xml:space="preserve"> </w:t>
      </w:r>
      <w:proofErr w:type="spellStart"/>
      <w:r w:rsidR="008C46D0">
        <w:t>Sm</w:t>
      </w:r>
      <w:r w:rsidRPr="003F53DC">
        <w:rPr>
          <w:vertAlign w:val="subscript"/>
        </w:rPr>
        <w:t>3</w:t>
      </w:r>
      <w:r>
        <w:t>Ga</w:t>
      </w:r>
      <w:r w:rsidRPr="003F53DC">
        <w:rPr>
          <w:vertAlign w:val="subscript"/>
        </w:rPr>
        <w:t>5</w:t>
      </w:r>
      <w:r>
        <w:t>O</w:t>
      </w:r>
      <w:r w:rsidRPr="003F53DC">
        <w:rPr>
          <w:vertAlign w:val="subscript"/>
        </w:rPr>
        <w:t>12</w:t>
      </w:r>
      <w:proofErr w:type="spellEnd"/>
      <w:r>
        <w:t>, is unlikely to be a phosphor</w:t>
      </w:r>
      <w:r w:rsidR="004F5351">
        <w:t>, although he could not recall seeing any information about this material</w:t>
      </w:r>
      <w:r>
        <w:t xml:space="preserve">.  This evidence was directed to the proposition that materials of the formula </w:t>
      </w:r>
      <w:proofErr w:type="spellStart"/>
      <w:r>
        <w:t>RE</w:t>
      </w:r>
      <w:r w:rsidRPr="003F53DC">
        <w:rPr>
          <w:vertAlign w:val="subscript"/>
        </w:rPr>
        <w:t>3</w:t>
      </w:r>
      <w:r>
        <w:t>Ga</w:t>
      </w:r>
      <w:r w:rsidRPr="003F53DC">
        <w:rPr>
          <w:vertAlign w:val="subscript"/>
        </w:rPr>
        <w:t>5</w:t>
      </w:r>
      <w:r>
        <w:t>O</w:t>
      </w:r>
      <w:r w:rsidRPr="003F53DC">
        <w:rPr>
          <w:vertAlign w:val="subscript"/>
        </w:rPr>
        <w:t>12</w:t>
      </w:r>
      <w:r>
        <w:t>:Ce</w:t>
      </w:r>
      <w:proofErr w:type="spellEnd"/>
      <w:r w:rsidR="008C46D0">
        <w:t>, where RE is at leas</w:t>
      </w:r>
      <w:r w:rsidR="00084959">
        <w:t>t one selected from Y,</w:t>
      </w:r>
      <w:r w:rsidR="00781979">
        <w:t xml:space="preserve"> </w:t>
      </w:r>
      <w:proofErr w:type="spellStart"/>
      <w:r w:rsidR="00084959">
        <w:t>Gd</w:t>
      </w:r>
      <w:proofErr w:type="spellEnd"/>
      <w:r w:rsidR="00084959">
        <w:t xml:space="preserve"> and Sm,</w:t>
      </w:r>
      <w:r w:rsidR="008C46D0">
        <w:t xml:space="preserve"> are unsuitable for use as phosphors.  </w:t>
      </w:r>
    </w:p>
    <w:p w:rsidR="004E7EE7" w:rsidRDefault="004E7EE7" w:rsidP="004E7EE7">
      <w:pPr>
        <w:pStyle w:val="Heading3"/>
      </w:pPr>
      <w:r>
        <w:t>Professor Reeves</w:t>
      </w:r>
    </w:p>
    <w:p w:rsidR="00C52821" w:rsidRDefault="00C52821" w:rsidP="004E7EE7">
      <w:pPr>
        <w:pStyle w:val="ParaNumbering"/>
      </w:pPr>
      <w:r>
        <w:t xml:space="preserve">Professor Reeves is </w:t>
      </w:r>
      <w:r w:rsidR="0057347C">
        <w:t xml:space="preserve">an expert </w:t>
      </w:r>
      <w:r>
        <w:t xml:space="preserve">retained by the applicant’s </w:t>
      </w:r>
      <w:r w:rsidR="00084959">
        <w:t>solicitors in this proceeding.</w:t>
      </w:r>
    </w:p>
    <w:p w:rsidR="00DC5AAD" w:rsidRDefault="00DC5AAD" w:rsidP="004E7EE7">
      <w:pPr>
        <w:pStyle w:val="ParaNumbering"/>
      </w:pPr>
      <w:r>
        <w:t>The applicant read paragrap</w:t>
      </w:r>
      <w:r w:rsidR="00CD4623">
        <w:t>hs 6-16, 20, 21, 39 and 123 of</w:t>
      </w:r>
      <w:r>
        <w:t xml:space="preserve"> Professor Reeves’ first affidavit (9 April 2015) as well as Professor Reeves’ second and third affidavits (14 May 2015 and </w:t>
      </w:r>
      <w:r w:rsidR="00CD4623">
        <w:t>10</w:t>
      </w:r>
      <w:r>
        <w:t xml:space="preserve"> June 2015, respectively</w:t>
      </w:r>
      <w:r w:rsidR="00FC23E7">
        <w:t>)</w:t>
      </w:r>
      <w:r>
        <w:t>.  For the avoidance of doubt, I</w:t>
      </w:r>
      <w:r w:rsidR="00FC23E7">
        <w:t xml:space="preserve"> record that I</w:t>
      </w:r>
      <w:r>
        <w:t xml:space="preserve"> </w:t>
      </w:r>
      <w:r w:rsidR="00FC23E7">
        <w:t>read</w:t>
      </w:r>
      <w:r>
        <w:t xml:space="preserve"> paragraph 13(c) of Professor Reeves’ second affidavit as incorporating footnote 3 to paragraph 119 of his first affidavit.</w:t>
      </w:r>
    </w:p>
    <w:p w:rsidR="00C52821" w:rsidRDefault="00C52821" w:rsidP="004E7EE7">
      <w:pPr>
        <w:pStyle w:val="ParaNumbering"/>
      </w:pPr>
      <w:r>
        <w:t xml:space="preserve">Professor Reeves was asked by the applicant’s solicitors to review </w:t>
      </w:r>
      <w:proofErr w:type="spellStart"/>
      <w:r>
        <w:t>JP585</w:t>
      </w:r>
      <w:proofErr w:type="spellEnd"/>
      <w:r>
        <w:t xml:space="preserve"> and to identify whether, and if so where, certain nominated features of a </w:t>
      </w:r>
      <w:r w:rsidR="00084959">
        <w:t xml:space="preserve">given </w:t>
      </w:r>
      <w:r>
        <w:t>light e</w:t>
      </w:r>
      <w:r w:rsidR="00CD4623">
        <w:t xml:space="preserve">mitting diode were disclosed.  </w:t>
      </w:r>
      <w:r>
        <w:t xml:space="preserve">The results of this review, as well as other matters, are </w:t>
      </w:r>
      <w:r w:rsidR="002D5451">
        <w:t>dealt with</w:t>
      </w:r>
      <w:r>
        <w:t xml:space="preserve"> in Professor </w:t>
      </w:r>
      <w:r>
        <w:lastRenderedPageBreak/>
        <w:t>Reeves’ second affidavit.  In the course of that review, Pr</w:t>
      </w:r>
      <w:r w:rsidR="002D5451">
        <w:t>ofessor Reeves expressed his understanding</w:t>
      </w:r>
      <w:r w:rsidR="002D59CF">
        <w:t xml:space="preserve"> that “the small metal mixing” described as (</w:t>
      </w:r>
      <w:proofErr w:type="spellStart"/>
      <w:r w:rsidR="002D59CF">
        <w:t>Al,Ga</w:t>
      </w:r>
      <w:proofErr w:type="spellEnd"/>
      <w:r w:rsidR="002D59CF">
        <w:t>)</w:t>
      </w:r>
      <w:r w:rsidR="002D59CF" w:rsidRPr="002D59CF">
        <w:rPr>
          <w:vertAlign w:val="subscript"/>
        </w:rPr>
        <w:t>5</w:t>
      </w:r>
      <w:r w:rsidR="002D59CF">
        <w:t xml:space="preserve"> refers to any mixing of Al and Ga from 0% up to 100% of either, as long as the total number</w:t>
      </w:r>
      <w:r w:rsidR="002665AC">
        <w:t xml:space="preserve"> of atoms</w:t>
      </w:r>
      <w:r w:rsidR="002D59CF">
        <w:t xml:space="preserve"> is conserved to</w:t>
      </w:r>
      <w:r w:rsidR="00CD4623">
        <w:t xml:space="preserve"> make five atoms in the unit.</w:t>
      </w:r>
    </w:p>
    <w:p w:rsidR="00F771C3" w:rsidRDefault="002D59CF" w:rsidP="004E7EE7">
      <w:pPr>
        <w:pStyle w:val="ParaNumbering"/>
      </w:pPr>
      <w:r>
        <w:t xml:space="preserve">In his third affidavit, Professor Reeves responded to Dr </w:t>
      </w:r>
      <w:proofErr w:type="spellStart"/>
      <w:r>
        <w:t>Bretschneider’s</w:t>
      </w:r>
      <w:proofErr w:type="spellEnd"/>
      <w:r>
        <w:t xml:space="preserve"> affidavit.  He commented, in particular, </w:t>
      </w:r>
      <w:r w:rsidR="00084959">
        <w:t xml:space="preserve">on </w:t>
      </w:r>
      <w:r>
        <w:t xml:space="preserve">Dr </w:t>
      </w:r>
      <w:proofErr w:type="spellStart"/>
      <w:r>
        <w:t>Bretschneider’s</w:t>
      </w:r>
      <w:proofErr w:type="spellEnd"/>
      <w:r>
        <w:t xml:space="preserve"> contrary view that (</w:t>
      </w:r>
      <w:proofErr w:type="spellStart"/>
      <w:r>
        <w:t>Al,Ga</w:t>
      </w:r>
      <w:proofErr w:type="spellEnd"/>
      <w:r>
        <w:t>)</w:t>
      </w:r>
      <w:r w:rsidRPr="002D59CF">
        <w:rPr>
          <w:vertAlign w:val="subscript"/>
        </w:rPr>
        <w:t>5</w:t>
      </w:r>
      <w:r>
        <w:t xml:space="preserve"> designates that both Al and Ga mus</w:t>
      </w:r>
      <w:r w:rsidR="002E32D5">
        <w:t>t be present in the phosphor.</w:t>
      </w:r>
    </w:p>
    <w:p w:rsidR="002D59CF" w:rsidRDefault="002D59CF" w:rsidP="004E7EE7">
      <w:pPr>
        <w:pStyle w:val="ParaNumbering"/>
      </w:pPr>
      <w:r>
        <w:t xml:space="preserve">In this connection, Professor Reeves referred to the general formula in claim 3 of </w:t>
      </w:r>
      <w:proofErr w:type="spellStart"/>
      <w:r>
        <w:t>JP585</w:t>
      </w:r>
      <w:proofErr w:type="spellEnd"/>
      <w:r>
        <w:t>, which shows that the phosphor can contain 100% Al and 0% Ga and 0% Al and 100% Ga.</w:t>
      </w:r>
      <w:r w:rsidR="002E32D5">
        <w:t xml:space="preserve">  </w:t>
      </w:r>
      <w:r>
        <w:t>He noted the stated dependency of this claim on claim 1 or claim 2</w:t>
      </w:r>
      <w:r w:rsidR="002D5451">
        <w:t xml:space="preserve"> (itself dependent on claim 1)</w:t>
      </w:r>
      <w:r w:rsidR="002E32D5">
        <w:t xml:space="preserve"> of </w:t>
      </w:r>
      <w:proofErr w:type="spellStart"/>
      <w:r w:rsidR="002E32D5">
        <w:t>JP585</w:t>
      </w:r>
      <w:proofErr w:type="spellEnd"/>
      <w:r w:rsidR="002E32D5">
        <w:t>.</w:t>
      </w:r>
    </w:p>
    <w:p w:rsidR="002D59CF" w:rsidRDefault="002D59CF" w:rsidP="004E7EE7">
      <w:pPr>
        <w:pStyle w:val="ParaNumbering"/>
      </w:pPr>
      <w:r>
        <w:t xml:space="preserve">Professor Reeves also noted that </w:t>
      </w:r>
      <w:proofErr w:type="spellStart"/>
      <w:r>
        <w:t>JP585</w:t>
      </w:r>
      <w:proofErr w:type="spellEnd"/>
      <w:r>
        <w:t xml:space="preserve"> gives a number of examples where the phosphor does not contain Al </w:t>
      </w:r>
      <w:r w:rsidRPr="00084959">
        <w:rPr>
          <w:i/>
        </w:rPr>
        <w:t>and</w:t>
      </w:r>
      <w:r>
        <w:t xml:space="preserve"> Ga.  I have referred to these examples in my summary of </w:t>
      </w:r>
      <w:proofErr w:type="spellStart"/>
      <w:r>
        <w:t>JP585</w:t>
      </w:r>
      <w:proofErr w:type="spellEnd"/>
      <w:r>
        <w:t xml:space="preserve"> at [</w:t>
      </w:r>
      <w:r w:rsidR="002E32D5">
        <w:t>9</w:t>
      </w:r>
      <w:r w:rsidR="00837782">
        <w:t>1</w:t>
      </w:r>
      <w:r>
        <w:t>]-[</w:t>
      </w:r>
      <w:r w:rsidR="00837782">
        <w:t>106</w:t>
      </w:r>
      <w:r>
        <w:t>].  In each of these examples, the phosphor contains Al, but not Ga</w:t>
      </w:r>
      <w:r w:rsidR="002E32D5">
        <w:t>, as I have found above</w:t>
      </w:r>
      <w:r>
        <w:t>.  Professor Reeves commented that these examples would fall within the formula</w:t>
      </w:r>
      <w:r w:rsidR="002E32D5">
        <w:t>e</w:t>
      </w:r>
      <w:r>
        <w:t xml:space="preserve"> of</w:t>
      </w:r>
      <w:r w:rsidR="002E32D5">
        <w:t xml:space="preserve"> both claims 1 and 3 of </w:t>
      </w:r>
      <w:proofErr w:type="spellStart"/>
      <w:r w:rsidR="002E32D5">
        <w:t>JP585</w:t>
      </w:r>
      <w:proofErr w:type="spellEnd"/>
      <w:r w:rsidR="002E32D5">
        <w:t>.</w:t>
      </w:r>
    </w:p>
    <w:p w:rsidR="002D59CF" w:rsidRDefault="002D59CF" w:rsidP="004E7EE7">
      <w:pPr>
        <w:pStyle w:val="ParaNumbering"/>
      </w:pPr>
      <w:r>
        <w:t xml:space="preserve">Professor Reeves </w:t>
      </w:r>
      <w:r w:rsidR="002D5451">
        <w:t xml:space="preserve">also </w:t>
      </w:r>
      <w:r>
        <w:t xml:space="preserve">referred to various passages in </w:t>
      </w:r>
      <w:proofErr w:type="spellStart"/>
      <w:r>
        <w:rPr>
          <w:i/>
        </w:rPr>
        <w:t>Blasse</w:t>
      </w:r>
      <w:proofErr w:type="spellEnd"/>
      <w:r>
        <w:rPr>
          <w:i/>
        </w:rPr>
        <w:t xml:space="preserve"> and </w:t>
      </w:r>
      <w:proofErr w:type="spellStart"/>
      <w:r>
        <w:rPr>
          <w:i/>
        </w:rPr>
        <w:t>Bril</w:t>
      </w:r>
      <w:proofErr w:type="spellEnd"/>
      <w:r>
        <w:t xml:space="preserve"> whe</w:t>
      </w:r>
      <w:r w:rsidR="002E32D5">
        <w:t xml:space="preserve">re the </w:t>
      </w:r>
      <w:proofErr w:type="spellStart"/>
      <w:r>
        <w:t>Y</w:t>
      </w:r>
      <w:r w:rsidRPr="002D59CF">
        <w:rPr>
          <w:vertAlign w:val="subscript"/>
        </w:rPr>
        <w:t>3</w:t>
      </w:r>
      <w:proofErr w:type="spellEnd"/>
      <w:r>
        <w:t>(</w:t>
      </w:r>
      <w:proofErr w:type="spellStart"/>
      <w:r>
        <w:t>Al,Ga</w:t>
      </w:r>
      <w:proofErr w:type="spellEnd"/>
      <w:r>
        <w:t>)</w:t>
      </w:r>
      <w:proofErr w:type="spellStart"/>
      <w:r w:rsidRPr="002D59CF">
        <w:rPr>
          <w:vertAlign w:val="subscript"/>
        </w:rPr>
        <w:t>5</w:t>
      </w:r>
      <w:r>
        <w:t>O</w:t>
      </w:r>
      <w:r w:rsidRPr="002D59CF">
        <w:rPr>
          <w:vertAlign w:val="subscript"/>
        </w:rPr>
        <w:t>12</w:t>
      </w:r>
      <w:r>
        <w:t>:Ce</w:t>
      </w:r>
      <w:proofErr w:type="spellEnd"/>
      <w:r>
        <w:t xml:space="preserve"> </w:t>
      </w:r>
      <w:r w:rsidR="002E32D5">
        <w:t xml:space="preserve">system </w:t>
      </w:r>
      <w:r>
        <w:t xml:space="preserve">was shown as including </w:t>
      </w:r>
      <w:r w:rsidR="002E32D5">
        <w:t xml:space="preserve">only </w:t>
      </w:r>
      <w:r>
        <w:t>Al or</w:t>
      </w:r>
      <w:r w:rsidR="002E32D5">
        <w:t xml:space="preserve"> only</w:t>
      </w:r>
      <w:r>
        <w:t xml:space="preserve"> Ga, as well as Al and Ga.  </w:t>
      </w:r>
    </w:p>
    <w:p w:rsidR="002D59CF" w:rsidRDefault="002D59CF" w:rsidP="004E7EE7">
      <w:pPr>
        <w:pStyle w:val="ParaNumbering"/>
      </w:pPr>
      <w:r>
        <w:t xml:space="preserve">Further, Professor Reeves referred to other publications in which the notation </w:t>
      </w:r>
      <w:proofErr w:type="spellStart"/>
      <w:r>
        <w:t>Y</w:t>
      </w:r>
      <w:r w:rsidRPr="002D59CF">
        <w:rPr>
          <w:vertAlign w:val="subscript"/>
        </w:rPr>
        <w:t>3</w:t>
      </w:r>
      <w:proofErr w:type="spellEnd"/>
      <w:r>
        <w:t>(</w:t>
      </w:r>
      <w:proofErr w:type="spellStart"/>
      <w:r>
        <w:t>Al,Ga</w:t>
      </w:r>
      <w:proofErr w:type="spellEnd"/>
      <w:r>
        <w:t>)</w:t>
      </w:r>
      <w:proofErr w:type="spellStart"/>
      <w:r w:rsidRPr="002D59CF">
        <w:rPr>
          <w:vertAlign w:val="subscript"/>
        </w:rPr>
        <w:t>5</w:t>
      </w:r>
      <w:r>
        <w:t>O</w:t>
      </w:r>
      <w:r w:rsidRPr="002D59CF">
        <w:rPr>
          <w:vertAlign w:val="subscript"/>
        </w:rPr>
        <w:t>12</w:t>
      </w:r>
      <w:proofErr w:type="spellEnd"/>
      <w:r>
        <w:t xml:space="preserve"> is used to encompass materials having only</w:t>
      </w:r>
      <w:r w:rsidR="00084959">
        <w:t xml:space="preserve"> Al or only Ga, or where other </w:t>
      </w:r>
      <w:r w:rsidR="004F5351">
        <w:t>“</w:t>
      </w:r>
      <w:r w:rsidR="008A61A0">
        <w:t>comm</w:t>
      </w:r>
      <w:r w:rsidR="00084959">
        <w:t>a</w:t>
      </w:r>
      <w:r w:rsidR="008A61A0">
        <w:t xml:space="preserve"> </w:t>
      </w:r>
      <w:r w:rsidR="00084959">
        <w:t>notations</w:t>
      </w:r>
      <w:r w:rsidR="004F5351">
        <w:t>”</w:t>
      </w:r>
      <w:r w:rsidR="008A61A0">
        <w:t xml:space="preserve"> </w:t>
      </w:r>
      <w:r w:rsidR="00084959">
        <w:t xml:space="preserve">(to adopt Dr </w:t>
      </w:r>
      <w:proofErr w:type="spellStart"/>
      <w:r w:rsidR="00084959">
        <w:t>Bretschneider’s</w:t>
      </w:r>
      <w:proofErr w:type="spellEnd"/>
      <w:r w:rsidR="00084959">
        <w:t xml:space="preserve"> expression) </w:t>
      </w:r>
      <w:r w:rsidR="008A61A0">
        <w:t>denote the presence of either or both of the identified elements</w:t>
      </w:r>
      <w:r w:rsidR="002D5451">
        <w:t xml:space="preserve"> referred to in the </w:t>
      </w:r>
      <w:r w:rsidR="00084959">
        <w:t>notation</w:t>
      </w:r>
      <w:r w:rsidR="002E32D5">
        <w:t>:</w:t>
      </w:r>
      <w:r w:rsidR="008A61A0">
        <w:t xml:space="preserve"> </w:t>
      </w:r>
      <w:r>
        <w:t xml:space="preserve"> </w:t>
      </w:r>
      <w:proofErr w:type="spellStart"/>
      <w:r w:rsidR="002E32D5">
        <w:t>Ohno</w:t>
      </w:r>
      <w:proofErr w:type="spellEnd"/>
      <w:r w:rsidR="002E32D5">
        <w:t xml:space="preserve"> K and Abe T, “Bright Green Phosphor, </w:t>
      </w:r>
      <w:proofErr w:type="spellStart"/>
      <w:r w:rsidR="002E32D5">
        <w:t>Y</w:t>
      </w:r>
      <w:r w:rsidR="002E32D5">
        <w:rPr>
          <w:vertAlign w:val="subscript"/>
        </w:rPr>
        <w:t>3</w:t>
      </w:r>
      <w:r w:rsidR="002E32D5">
        <w:t>Al</w:t>
      </w:r>
      <w:r w:rsidR="002E32D5">
        <w:rPr>
          <w:vertAlign w:val="subscript"/>
        </w:rPr>
        <w:t>5-x</w:t>
      </w:r>
      <w:r w:rsidR="002E32D5">
        <w:t>Ga</w:t>
      </w:r>
      <w:r w:rsidR="002E32D5">
        <w:rPr>
          <w:vertAlign w:val="subscript"/>
        </w:rPr>
        <w:t>x</w:t>
      </w:r>
      <w:r w:rsidR="002E32D5">
        <w:t>O</w:t>
      </w:r>
      <w:r w:rsidR="002E32D5">
        <w:rPr>
          <w:vertAlign w:val="subscript"/>
        </w:rPr>
        <w:t>12</w:t>
      </w:r>
      <w:r w:rsidR="002E32D5">
        <w:t>:Tb</w:t>
      </w:r>
      <w:proofErr w:type="spellEnd"/>
      <w:r w:rsidR="002E32D5">
        <w:t xml:space="preserve">, for Projection CRT” (1987) 134(8) J </w:t>
      </w:r>
      <w:proofErr w:type="spellStart"/>
      <w:r w:rsidR="002E32D5">
        <w:t>Electrochem</w:t>
      </w:r>
      <w:proofErr w:type="spellEnd"/>
      <w:r w:rsidR="002E32D5">
        <w:t xml:space="preserve"> </w:t>
      </w:r>
      <w:proofErr w:type="spellStart"/>
      <w:r w:rsidR="002E32D5">
        <w:t>Soc</w:t>
      </w:r>
      <w:proofErr w:type="spellEnd"/>
      <w:r w:rsidR="002E32D5">
        <w:t xml:space="preserve"> 2072-2076, </w:t>
      </w:r>
      <w:proofErr w:type="spellStart"/>
      <w:r w:rsidR="002E32D5">
        <w:t>Kuwano</w:t>
      </w:r>
      <w:proofErr w:type="spellEnd"/>
      <w:r w:rsidR="002E32D5">
        <w:t xml:space="preserve"> Y, </w:t>
      </w:r>
      <w:proofErr w:type="spellStart"/>
      <w:r w:rsidR="00B81247">
        <w:t>Suda</w:t>
      </w:r>
      <w:proofErr w:type="spellEnd"/>
      <w:r w:rsidR="00B81247">
        <w:t xml:space="preserve"> K, Ishizawa N and Yamada T, “Crystal Growth and Properties of (</w:t>
      </w:r>
      <w:proofErr w:type="spellStart"/>
      <w:r w:rsidR="00B81247">
        <w:t>Lu,Y</w:t>
      </w:r>
      <w:proofErr w:type="spellEnd"/>
      <w:r w:rsidR="00B81247">
        <w:t>)</w:t>
      </w:r>
      <w:proofErr w:type="spellStart"/>
      <w:r w:rsidR="00B81247">
        <w:rPr>
          <w:vertAlign w:val="subscript"/>
        </w:rPr>
        <w:t>3</w:t>
      </w:r>
      <w:r w:rsidR="00B81247">
        <w:t>Al</w:t>
      </w:r>
      <w:r w:rsidR="00B81247">
        <w:rPr>
          <w:vertAlign w:val="subscript"/>
        </w:rPr>
        <w:t>5</w:t>
      </w:r>
      <w:r w:rsidR="00B81247">
        <w:t>O</w:t>
      </w:r>
      <w:r w:rsidR="00B81247">
        <w:rPr>
          <w:vertAlign w:val="subscript"/>
        </w:rPr>
        <w:t>12</w:t>
      </w:r>
      <w:proofErr w:type="spellEnd"/>
      <w:r w:rsidR="00B81247">
        <w:t xml:space="preserve">” (2004) 260 </w:t>
      </w:r>
      <w:r w:rsidR="00B81247" w:rsidRPr="00B81247">
        <w:rPr>
          <w:i/>
        </w:rPr>
        <w:t>Journal of Crystal Growth</w:t>
      </w:r>
      <w:r w:rsidR="00B81247">
        <w:t xml:space="preserve"> 159-165, and Wu Y, Luo J, </w:t>
      </w:r>
      <w:proofErr w:type="spellStart"/>
      <w:r w:rsidR="00B81247">
        <w:t>Nikl</w:t>
      </w:r>
      <w:proofErr w:type="spellEnd"/>
      <w:r w:rsidR="00B81247">
        <w:t xml:space="preserve"> M and Ren G, “Origin of Improved Scintillation Efficiency in (</w:t>
      </w:r>
      <w:proofErr w:type="spellStart"/>
      <w:r w:rsidR="00B81247">
        <w:t>Lu,Gd</w:t>
      </w:r>
      <w:proofErr w:type="spellEnd"/>
      <w:r w:rsidR="00B81247">
        <w:t>)</w:t>
      </w:r>
      <w:r w:rsidR="00B81247">
        <w:rPr>
          <w:vertAlign w:val="subscript"/>
        </w:rPr>
        <w:t>3</w:t>
      </w:r>
      <w:r w:rsidR="00B81247">
        <w:t>(</w:t>
      </w:r>
      <w:proofErr w:type="spellStart"/>
      <w:r w:rsidR="00B81247">
        <w:t>Ga,Al</w:t>
      </w:r>
      <w:proofErr w:type="spellEnd"/>
      <w:r w:rsidR="00B81247">
        <w:t>)</w:t>
      </w:r>
      <w:proofErr w:type="spellStart"/>
      <w:r w:rsidR="00B81247">
        <w:rPr>
          <w:vertAlign w:val="subscript"/>
        </w:rPr>
        <w:t>5</w:t>
      </w:r>
      <w:r w:rsidR="00B81247">
        <w:t>O</w:t>
      </w:r>
      <w:r w:rsidR="00B81247">
        <w:rPr>
          <w:vertAlign w:val="subscript"/>
        </w:rPr>
        <w:t>12</w:t>
      </w:r>
      <w:r w:rsidR="00B81247">
        <w:t>:Ce</w:t>
      </w:r>
      <w:proofErr w:type="spellEnd"/>
      <w:r w:rsidR="00B81247">
        <w:t xml:space="preserve"> Multicomponent Garnets: An X-Ray Absorption Near Edge Spectroscopy Study” (2014) 2(1) </w:t>
      </w:r>
      <w:r w:rsidR="00B81247">
        <w:rPr>
          <w:i/>
        </w:rPr>
        <w:t>APL Materials</w:t>
      </w:r>
      <w:r w:rsidR="00B81247">
        <w:t xml:space="preserve"> 012101.</w:t>
      </w:r>
    </w:p>
    <w:p w:rsidR="00E27716" w:rsidRDefault="00E27716" w:rsidP="00E27716">
      <w:pPr>
        <w:pStyle w:val="Heading2"/>
      </w:pPr>
      <w:r>
        <w:t xml:space="preserve">The </w:t>
      </w:r>
      <w:r w:rsidR="00F47DAC">
        <w:t>applicant’s</w:t>
      </w:r>
      <w:r>
        <w:t xml:space="preserve"> submissions</w:t>
      </w:r>
    </w:p>
    <w:p w:rsidR="008A3803" w:rsidRDefault="0072293A" w:rsidP="0072293A">
      <w:pPr>
        <w:pStyle w:val="ParaNumbering"/>
        <w:tabs>
          <w:tab w:val="clear" w:pos="720"/>
        </w:tabs>
      </w:pPr>
      <w:r>
        <w:t xml:space="preserve">The applicant relied on claim 3 of </w:t>
      </w:r>
      <w:proofErr w:type="spellStart"/>
      <w:r>
        <w:t>JP585</w:t>
      </w:r>
      <w:proofErr w:type="spellEnd"/>
      <w:r>
        <w:t xml:space="preserve">.  </w:t>
      </w:r>
      <w:r w:rsidR="00E61280">
        <w:t>Claim 3 is</w:t>
      </w:r>
      <w:r>
        <w:t xml:space="preserve"> dire</w:t>
      </w:r>
      <w:r w:rsidR="00FE3521">
        <w:t xml:space="preserve">cted to a light emitting diode </w:t>
      </w:r>
      <w:r w:rsidRPr="00CC0C1A">
        <w:rPr>
          <w:i/>
        </w:rPr>
        <w:t>according to</w:t>
      </w:r>
      <w:r w:rsidR="00FE3521">
        <w:t xml:space="preserve"> claim 1 or 2</w:t>
      </w:r>
      <w:r w:rsidR="00E61280">
        <w:t xml:space="preserve">.  </w:t>
      </w:r>
      <w:r w:rsidR="0057347C">
        <w:t>The applicant submitted that a</w:t>
      </w:r>
      <w:r>
        <w:t xml:space="preserve"> phosphor represented by the </w:t>
      </w:r>
      <w:r>
        <w:lastRenderedPageBreak/>
        <w:t xml:space="preserve">general formula </w:t>
      </w:r>
      <w:r w:rsidR="004F5351">
        <w:t>in</w:t>
      </w:r>
      <w:r w:rsidR="008A3803">
        <w:t xml:space="preserve"> claim 3</w:t>
      </w:r>
      <w:r>
        <w:t xml:space="preserve"> must be </w:t>
      </w:r>
      <w:r w:rsidR="00E61280">
        <w:t>within</w:t>
      </w:r>
      <w:r>
        <w:t xml:space="preserve"> the forms of the invention </w:t>
      </w:r>
      <w:r w:rsidR="00E61280">
        <w:t xml:space="preserve">defined </w:t>
      </w:r>
      <w:r>
        <w:t>in claim</w:t>
      </w:r>
      <w:r w:rsidR="00E61280">
        <w:t>s</w:t>
      </w:r>
      <w:r>
        <w:t xml:space="preserve"> 1 and 2.</w:t>
      </w:r>
      <w:r w:rsidR="00CC0C1A">
        <w:t xml:space="preserve">  Otherwise, the applicant submitted, the invention in claim 3 cannot be a light emitting diode </w:t>
      </w:r>
      <w:r w:rsidR="00CC0C1A" w:rsidRPr="00CC0C1A">
        <w:rPr>
          <w:i/>
        </w:rPr>
        <w:t>according to</w:t>
      </w:r>
      <w:r w:rsidR="00CC0C1A">
        <w:t xml:space="preserve"> claim 1 or claim 2</w:t>
      </w:r>
      <w:r w:rsidR="008A3803">
        <w:t>; it would be an invention that does not accord with claim 1 or claim</w:t>
      </w:r>
      <w:r w:rsidR="00A87EE4">
        <w:t xml:space="preserve"> </w:t>
      </w:r>
      <w:r w:rsidR="008A3803">
        <w:t>2.</w:t>
      </w:r>
      <w:r w:rsidR="00CC0C1A">
        <w:t xml:space="preserve">  </w:t>
      </w:r>
    </w:p>
    <w:p w:rsidR="00E27716" w:rsidRDefault="00E61280" w:rsidP="0072293A">
      <w:pPr>
        <w:pStyle w:val="ParaNumbering"/>
        <w:tabs>
          <w:tab w:val="clear" w:pos="720"/>
        </w:tabs>
      </w:pPr>
      <w:r>
        <w:t>Thus</w:t>
      </w:r>
      <w:r w:rsidR="008A3803">
        <w:t xml:space="preserve">, </w:t>
      </w:r>
      <w:r w:rsidR="00CC0C1A">
        <w:t xml:space="preserve">the invention in claim 1 </w:t>
      </w:r>
      <w:r w:rsidR="008A3803">
        <w:t>and</w:t>
      </w:r>
      <w:r w:rsidR="009D6258">
        <w:t xml:space="preserve"> claim 2</w:t>
      </w:r>
      <w:r w:rsidR="00CC0C1A">
        <w:t xml:space="preserve"> </w:t>
      </w:r>
      <w:r w:rsidR="00084959">
        <w:t xml:space="preserve">of </w:t>
      </w:r>
      <w:proofErr w:type="spellStart"/>
      <w:r w:rsidR="00084959">
        <w:t>JP585</w:t>
      </w:r>
      <w:proofErr w:type="spellEnd"/>
      <w:r w:rsidR="00084959">
        <w:t xml:space="preserve"> </w:t>
      </w:r>
      <w:r w:rsidR="00CC0C1A">
        <w:t>must accommodate the invention in claim 3</w:t>
      </w:r>
      <w:r w:rsidR="00084959">
        <w:t xml:space="preserve"> thereof</w:t>
      </w:r>
      <w:r w:rsidR="00CC0C1A">
        <w:t xml:space="preserve">.  The general formula in claim 3 of </w:t>
      </w:r>
      <w:proofErr w:type="spellStart"/>
      <w:r w:rsidR="00CC0C1A">
        <w:t>JP585</w:t>
      </w:r>
      <w:proofErr w:type="spellEnd"/>
      <w:r w:rsidR="00CC0C1A">
        <w:t xml:space="preserve"> includes phosphors with 100% Al and 0% Ga and phosphors with 0% Al and 100% Ga.  Therefore, </w:t>
      </w:r>
      <w:r w:rsidR="008A3803">
        <w:t xml:space="preserve">the applicant submitted, </w:t>
      </w:r>
      <w:r w:rsidR="00CC0C1A">
        <w:t xml:space="preserve">when claim 1 uses the </w:t>
      </w:r>
      <w:r w:rsidR="00084959">
        <w:t>notation</w:t>
      </w:r>
      <w:r w:rsidR="00CC0C1A">
        <w:t xml:space="preserve"> (</w:t>
      </w:r>
      <w:proofErr w:type="spellStart"/>
      <w:r w:rsidR="008A3803">
        <w:t>Al,Ga</w:t>
      </w:r>
      <w:proofErr w:type="spellEnd"/>
      <w:r w:rsidR="008A3803">
        <w:t>)</w:t>
      </w:r>
      <w:r w:rsidR="008A3803" w:rsidRPr="008A3803">
        <w:rPr>
          <w:vertAlign w:val="subscript"/>
        </w:rPr>
        <w:t>5</w:t>
      </w:r>
      <w:r w:rsidR="008A3803">
        <w:t>, it must be</w:t>
      </w:r>
      <w:r w:rsidR="00393012">
        <w:t xml:space="preserve"> construed as accommodating </w:t>
      </w:r>
      <w:r w:rsidR="00013D9D">
        <w:t xml:space="preserve">phosphors having </w:t>
      </w:r>
      <w:r w:rsidR="008A3803">
        <w:t>the general formula in claim 3</w:t>
      </w:r>
      <w:r w:rsidR="00084959">
        <w:t xml:space="preserve"> of </w:t>
      </w:r>
      <w:proofErr w:type="spellStart"/>
      <w:r w:rsidR="00084959">
        <w:t>JP585</w:t>
      </w:r>
      <w:proofErr w:type="spellEnd"/>
      <w:r w:rsidR="008A3803">
        <w:t>.  In other words, (</w:t>
      </w:r>
      <w:proofErr w:type="spellStart"/>
      <w:r w:rsidR="008A3803">
        <w:t>Al,Ga</w:t>
      </w:r>
      <w:proofErr w:type="spellEnd"/>
      <w:r w:rsidR="008A3803">
        <w:t>)</w:t>
      </w:r>
      <w:r w:rsidR="008A3803" w:rsidRPr="00084959">
        <w:rPr>
          <w:vertAlign w:val="subscript"/>
        </w:rPr>
        <w:t>5</w:t>
      </w:r>
      <w:r w:rsidR="008A3803">
        <w:t xml:space="preserve"> must be construed as including phosphors with 100% Al and 0% Ga, and phosphors with 0% Al and 100% Ga</w:t>
      </w:r>
      <w:r w:rsidR="009D6258">
        <w:t>, as well as phosphors in which Al and Ga are both present</w:t>
      </w:r>
      <w:r w:rsidR="008A3803">
        <w:t xml:space="preserve">.  </w:t>
      </w:r>
    </w:p>
    <w:p w:rsidR="00A87EE4" w:rsidRDefault="002F39EA" w:rsidP="004D63D4">
      <w:pPr>
        <w:pStyle w:val="ParaNumbering"/>
        <w:tabs>
          <w:tab w:val="clear" w:pos="720"/>
        </w:tabs>
      </w:pPr>
      <w:r>
        <w:t>The applicant relied on the passages</w:t>
      </w:r>
      <w:r w:rsidR="00914F53">
        <w:t xml:space="preserve"> quoted at [</w:t>
      </w:r>
      <w:r w:rsidR="00781979">
        <w:t>100</w:t>
      </w:r>
      <w:r w:rsidR="00914F53">
        <w:t>]</w:t>
      </w:r>
      <w:r w:rsidR="00781979">
        <w:t xml:space="preserve"> and </w:t>
      </w:r>
      <w:r w:rsidR="00914F53">
        <w:t>[</w:t>
      </w:r>
      <w:r w:rsidR="00084959">
        <w:t>10</w:t>
      </w:r>
      <w:r w:rsidR="00781979">
        <w:t>3</w:t>
      </w:r>
      <w:r w:rsidR="00914F53">
        <w:t>]</w:t>
      </w:r>
      <w:r>
        <w:t xml:space="preserve"> as a further indication that, in </w:t>
      </w:r>
      <w:proofErr w:type="spellStart"/>
      <w:r>
        <w:t>JP585</w:t>
      </w:r>
      <w:proofErr w:type="spellEnd"/>
      <w:r>
        <w:t>, the notation (</w:t>
      </w:r>
      <w:proofErr w:type="spellStart"/>
      <w:r>
        <w:t>Al,Ga</w:t>
      </w:r>
      <w:proofErr w:type="spellEnd"/>
      <w:r>
        <w:t>)</w:t>
      </w:r>
      <w:r w:rsidRPr="005707E8">
        <w:rPr>
          <w:vertAlign w:val="subscript"/>
        </w:rPr>
        <w:t>5</w:t>
      </w:r>
      <w:r>
        <w:t xml:space="preserve"> denotes any mixing of Al and Ga, so that the phosphor might contain 100% Al and 0% Ga or even 0% Al and 100% Ga.  It submitted that if, in connection with the notation (</w:t>
      </w:r>
      <w:proofErr w:type="spellStart"/>
      <w:r>
        <w:t>Al,Ga</w:t>
      </w:r>
      <w:proofErr w:type="spellEnd"/>
      <w:r>
        <w:t>)</w:t>
      </w:r>
      <w:r w:rsidRPr="002F39EA">
        <w:rPr>
          <w:vertAlign w:val="subscript"/>
        </w:rPr>
        <w:t>5</w:t>
      </w:r>
      <w:r>
        <w:t xml:space="preserve">, </w:t>
      </w:r>
      <w:proofErr w:type="spellStart"/>
      <w:r>
        <w:t>JP585</w:t>
      </w:r>
      <w:proofErr w:type="spellEnd"/>
      <w:r>
        <w:t xml:space="preserve"> </w:t>
      </w:r>
      <w:r w:rsidR="007E7A18">
        <w:t>describes</w:t>
      </w:r>
      <w:r>
        <w:t xml:space="preserve"> a phosphor that contains 100% Al and 0% Ga</w:t>
      </w:r>
      <w:r w:rsidR="00A87EE4">
        <w:t xml:space="preserve"> (as it does)</w:t>
      </w:r>
      <w:r>
        <w:t xml:space="preserve">, it would be “utterly illogical” to treat the notation </w:t>
      </w:r>
      <w:r w:rsidR="00A87EE4">
        <w:t>(</w:t>
      </w:r>
      <w:proofErr w:type="spellStart"/>
      <w:r w:rsidR="00A87EE4">
        <w:t>Al,Ga</w:t>
      </w:r>
      <w:proofErr w:type="spellEnd"/>
      <w:r w:rsidR="00A87EE4">
        <w:t>)</w:t>
      </w:r>
      <w:r w:rsidR="00A87EE4" w:rsidRPr="002F39EA">
        <w:rPr>
          <w:vertAlign w:val="subscript"/>
        </w:rPr>
        <w:t>5</w:t>
      </w:r>
      <w:r w:rsidR="00A87EE4">
        <w:rPr>
          <w:vertAlign w:val="subscript"/>
        </w:rPr>
        <w:t xml:space="preserve"> </w:t>
      </w:r>
      <w:r>
        <w:t>as not equally denoting a phosphor tha</w:t>
      </w:r>
      <w:r w:rsidR="00B81247">
        <w:t xml:space="preserve">t contains 0% Al and 100% Ga.  </w:t>
      </w:r>
      <w:r w:rsidR="00A87EE4">
        <w:t xml:space="preserve">In other words, as used in </w:t>
      </w:r>
      <w:proofErr w:type="spellStart"/>
      <w:r w:rsidR="00A87EE4">
        <w:t>JP585</w:t>
      </w:r>
      <w:proofErr w:type="spellEnd"/>
      <w:r w:rsidR="00A87EE4">
        <w:t>, the notation (</w:t>
      </w:r>
      <w:proofErr w:type="spellStart"/>
      <w:r w:rsidR="00A87EE4">
        <w:t>Al,Ga</w:t>
      </w:r>
      <w:proofErr w:type="spellEnd"/>
      <w:r w:rsidR="00A87EE4">
        <w:t>)</w:t>
      </w:r>
      <w:r w:rsidR="00A87EE4" w:rsidRPr="002F39EA">
        <w:rPr>
          <w:vertAlign w:val="subscript"/>
        </w:rPr>
        <w:t>5</w:t>
      </w:r>
      <w:r w:rsidR="00A87EE4">
        <w:rPr>
          <w:vertAlign w:val="subscript"/>
        </w:rPr>
        <w:t xml:space="preserve"> </w:t>
      </w:r>
      <w:r w:rsidR="00A87EE4" w:rsidRPr="00A87EE4">
        <w:t>should</w:t>
      </w:r>
      <w:r w:rsidR="00A87EE4">
        <w:t xml:space="preserve"> not be understood as limited to phosphors that must contain a mixture of both Al and Ga.</w:t>
      </w:r>
    </w:p>
    <w:p w:rsidR="00FE3521" w:rsidRDefault="00914F53" w:rsidP="003A5310">
      <w:pPr>
        <w:pStyle w:val="ParaNumbering"/>
        <w:tabs>
          <w:tab w:val="clear" w:pos="720"/>
        </w:tabs>
      </w:pPr>
      <w:r>
        <w:t xml:space="preserve">The applicant also relied on the </w:t>
      </w:r>
      <w:r w:rsidR="007E7A18">
        <w:t>E</w:t>
      </w:r>
      <w:r>
        <w:t>xamples to which I have referred at [</w:t>
      </w:r>
      <w:r w:rsidR="00084959">
        <w:t>10</w:t>
      </w:r>
      <w:r w:rsidR="00837782">
        <w:t>6</w:t>
      </w:r>
      <w:r>
        <w:t>]</w:t>
      </w:r>
      <w:r w:rsidR="00A87EE4">
        <w:t>, which describe phosphors that do not contain a mixture of Al and Ga</w:t>
      </w:r>
      <w:r>
        <w:t xml:space="preserve">.  With specific reference to these </w:t>
      </w:r>
      <w:r w:rsidR="007E7A18">
        <w:t>E</w:t>
      </w:r>
      <w:r>
        <w:t>xamples, the applicant submitted that it would be “unusual and odd”</w:t>
      </w:r>
      <w:r w:rsidR="00B81247">
        <w:t>—</w:t>
      </w:r>
      <w:r>
        <w:t>indeed, “contradictory”</w:t>
      </w:r>
      <w:r w:rsidR="00B81247">
        <w:t>—</w:t>
      </w:r>
      <w:r>
        <w:t>to unders</w:t>
      </w:r>
      <w:r w:rsidR="00B81247">
        <w:t>tand them</w:t>
      </w:r>
      <w:r w:rsidR="00445206">
        <w:t xml:space="preserve"> as describing a phosphor</w:t>
      </w:r>
      <w:r w:rsidR="0060508F">
        <w:t xml:space="preserve"> that was not denoted by the</w:t>
      </w:r>
      <w:r w:rsidR="00445206">
        <w:t xml:space="preserve"> notation (</w:t>
      </w:r>
      <w:proofErr w:type="spellStart"/>
      <w:r w:rsidR="00445206">
        <w:t>Al,Ga</w:t>
      </w:r>
      <w:proofErr w:type="spellEnd"/>
      <w:r w:rsidR="00445206">
        <w:t>)</w:t>
      </w:r>
      <w:r w:rsidR="00445206" w:rsidRPr="00445206">
        <w:rPr>
          <w:vertAlign w:val="subscript"/>
        </w:rPr>
        <w:t>5</w:t>
      </w:r>
      <w:r w:rsidR="00B81247">
        <w:t xml:space="preserve">.  </w:t>
      </w:r>
      <w:r w:rsidR="00A87EE4">
        <w:t>Thus, contrary to the respondent’s contention, the notation (</w:t>
      </w:r>
      <w:proofErr w:type="spellStart"/>
      <w:r w:rsidR="00A87EE4">
        <w:t>Al,Ga</w:t>
      </w:r>
      <w:proofErr w:type="spellEnd"/>
      <w:r w:rsidR="00A87EE4">
        <w:t>)</w:t>
      </w:r>
      <w:r w:rsidR="00A87EE4" w:rsidRPr="002F39EA">
        <w:rPr>
          <w:vertAlign w:val="subscript"/>
        </w:rPr>
        <w:t>5</w:t>
      </w:r>
      <w:r w:rsidR="00A87EE4">
        <w:rPr>
          <w:vertAlign w:val="subscript"/>
        </w:rPr>
        <w:t xml:space="preserve"> </w:t>
      </w:r>
      <w:r w:rsidR="00A87EE4" w:rsidRPr="00A87EE4">
        <w:t>should</w:t>
      </w:r>
      <w:r w:rsidR="00A87EE4">
        <w:t xml:space="preserve"> not be understood as denoting a phosphor that necessarily contains a mixture of both Al and Ga.</w:t>
      </w:r>
      <w:r w:rsidR="002D4E4A">
        <w:t xml:space="preserve">  </w:t>
      </w:r>
    </w:p>
    <w:p w:rsidR="00F71B91" w:rsidRDefault="00F71B91" w:rsidP="003A5310">
      <w:pPr>
        <w:pStyle w:val="ParaNumbering"/>
        <w:tabs>
          <w:tab w:val="clear" w:pos="720"/>
        </w:tabs>
      </w:pPr>
      <w:r>
        <w:t xml:space="preserve">The applicant submitted that Dr </w:t>
      </w:r>
      <w:proofErr w:type="spellStart"/>
      <w:r>
        <w:t>Bretschneider’s</w:t>
      </w:r>
      <w:proofErr w:type="spellEnd"/>
      <w:r>
        <w:t xml:space="preserve"> evidence should be treated with care, particularly in distinguishing between the knowledge that Dr </w:t>
      </w:r>
      <w:proofErr w:type="spellStart"/>
      <w:r>
        <w:t>Bretschneider</w:t>
      </w:r>
      <w:proofErr w:type="spellEnd"/>
      <w:r>
        <w:t xml:space="preserve"> had before </w:t>
      </w:r>
      <w:r w:rsidR="00C80B09">
        <w:t xml:space="preserve">29 </w:t>
      </w:r>
      <w:r w:rsidR="00E77DD4">
        <w:t xml:space="preserve">July </w:t>
      </w:r>
      <w:r>
        <w:t xml:space="preserve">1996 and what he said was “known” </w:t>
      </w:r>
      <w:r w:rsidR="00B81247">
        <w:t>as at</w:t>
      </w:r>
      <w:r>
        <w:t xml:space="preserve"> that date.  The applicant submitted that his evidence of what was known </w:t>
      </w:r>
      <w:r w:rsidR="00B81247">
        <w:t>as at</w:t>
      </w:r>
      <w:r>
        <w:t xml:space="preserve"> that date should not be taken as establishing t</w:t>
      </w:r>
      <w:r w:rsidR="003D0701">
        <w:t xml:space="preserve">he common general knowledge.  The applicant submitted that the focus of Dr </w:t>
      </w:r>
      <w:proofErr w:type="spellStart"/>
      <w:r w:rsidR="00E77DD4">
        <w:t>Bretschneider’s</w:t>
      </w:r>
      <w:proofErr w:type="spellEnd"/>
      <w:r w:rsidR="003D0701">
        <w:t xml:space="preserve"> evidence </w:t>
      </w:r>
      <w:r w:rsidR="00C80B09">
        <w:t>is</w:t>
      </w:r>
      <w:r w:rsidR="003D0701">
        <w:t xml:space="preserve"> </w:t>
      </w:r>
      <w:r w:rsidR="003D0701">
        <w:lastRenderedPageBreak/>
        <w:t>the meaning of the notation (</w:t>
      </w:r>
      <w:proofErr w:type="spellStart"/>
      <w:r w:rsidR="003D0701">
        <w:t>Al,Ga</w:t>
      </w:r>
      <w:proofErr w:type="spellEnd"/>
      <w:r w:rsidR="003D0701">
        <w:t>)</w:t>
      </w:r>
      <w:r w:rsidR="003D0701" w:rsidRPr="003D0701">
        <w:rPr>
          <w:vertAlign w:val="subscript"/>
        </w:rPr>
        <w:t>5</w:t>
      </w:r>
      <w:r w:rsidR="003D0701">
        <w:t>, not what was common general knowledge in the field as at</w:t>
      </w:r>
      <w:r w:rsidR="00E77DD4">
        <w:t xml:space="preserve"> </w:t>
      </w:r>
      <w:r w:rsidR="00C80B09">
        <w:t xml:space="preserve">29 </w:t>
      </w:r>
      <w:r w:rsidR="00E77DD4">
        <w:t>July</w:t>
      </w:r>
      <w:r w:rsidR="003D0701">
        <w:t xml:space="preserve"> 1996.</w:t>
      </w:r>
    </w:p>
    <w:p w:rsidR="00F47DAC" w:rsidRDefault="00F47DAC" w:rsidP="00F47DAC">
      <w:pPr>
        <w:pStyle w:val="Heading2"/>
      </w:pPr>
      <w:r>
        <w:t>The respondent’s submissions</w:t>
      </w:r>
    </w:p>
    <w:p w:rsidR="00F13F7B" w:rsidRDefault="003A5310" w:rsidP="004D63D4">
      <w:pPr>
        <w:pStyle w:val="ParaNumbering"/>
        <w:tabs>
          <w:tab w:val="clear" w:pos="720"/>
        </w:tabs>
      </w:pPr>
      <w:r>
        <w:t xml:space="preserve">As </w:t>
      </w:r>
      <w:r w:rsidR="00CC1FC7">
        <w:t>developed</w:t>
      </w:r>
      <w:r>
        <w:t xml:space="preserve"> in closing</w:t>
      </w:r>
      <w:r w:rsidR="00CC1FC7">
        <w:t xml:space="preserve"> address</w:t>
      </w:r>
      <w:r>
        <w:t xml:space="preserve">, the respondent’s submissions focused on how, it submitted, the person skilled in the art, armed with the common general knowledge, would read claim 1 of </w:t>
      </w:r>
      <w:proofErr w:type="spellStart"/>
      <w:r>
        <w:t>JP585</w:t>
      </w:r>
      <w:proofErr w:type="spellEnd"/>
      <w:r>
        <w:t>.  I think it is correct to say, as the applicant submitted, that the focus of the respondent’s case shifted from the meaning to be given to the notation (</w:t>
      </w:r>
      <w:proofErr w:type="spellStart"/>
      <w:r>
        <w:t>Al,Ga</w:t>
      </w:r>
      <w:proofErr w:type="spellEnd"/>
      <w:r>
        <w:t>)</w:t>
      </w:r>
      <w:r w:rsidRPr="003D0701">
        <w:rPr>
          <w:vertAlign w:val="subscript"/>
        </w:rPr>
        <w:t>5</w:t>
      </w:r>
      <w:r>
        <w:t xml:space="preserve"> </w:t>
      </w:r>
      <w:r w:rsidR="00402669">
        <w:t xml:space="preserve">in </w:t>
      </w:r>
      <w:proofErr w:type="spellStart"/>
      <w:r w:rsidR="00402669">
        <w:t>JP585</w:t>
      </w:r>
      <w:proofErr w:type="spellEnd"/>
      <w:r w:rsidR="00B81247">
        <w:t>—</w:t>
      </w:r>
      <w:r>
        <w:t xml:space="preserve">the subject </w:t>
      </w:r>
      <w:r w:rsidR="00972F42">
        <w:t>advanced through</w:t>
      </w:r>
      <w:r>
        <w:t xml:space="preserve"> Dr </w:t>
      </w:r>
      <w:proofErr w:type="spellStart"/>
      <w:r>
        <w:t>Bretschneider</w:t>
      </w:r>
      <w:r w:rsidR="00972F42">
        <w:t>’s</w:t>
      </w:r>
      <w:proofErr w:type="spellEnd"/>
      <w:r w:rsidR="00972F42">
        <w:t xml:space="preserve"> evidence</w:t>
      </w:r>
      <w:r w:rsidR="00B81247">
        <w:t>—</w:t>
      </w:r>
      <w:r w:rsidR="00F71B91">
        <w:t xml:space="preserve">to </w:t>
      </w:r>
      <w:r>
        <w:t xml:space="preserve">the </w:t>
      </w:r>
      <w:r w:rsidR="00972F42">
        <w:t xml:space="preserve">somewhat </w:t>
      </w:r>
      <w:r>
        <w:t xml:space="preserve">broader question of how </w:t>
      </w:r>
      <w:r w:rsidR="00972F42">
        <w:t xml:space="preserve">the formula in </w:t>
      </w:r>
      <w:r>
        <w:t xml:space="preserve">claim 1, and like references in </w:t>
      </w:r>
      <w:proofErr w:type="spellStart"/>
      <w:r>
        <w:t>JP585</w:t>
      </w:r>
      <w:proofErr w:type="spellEnd"/>
      <w:r>
        <w:t>, should be construed</w:t>
      </w:r>
      <w:r w:rsidR="003D0701">
        <w:t xml:space="preserve">, taking into account </w:t>
      </w:r>
      <w:r w:rsidR="00F13F7B">
        <w:t>information</w:t>
      </w:r>
      <w:r w:rsidR="003D0701">
        <w:t xml:space="preserve"> external to the disclosures in </w:t>
      </w:r>
      <w:proofErr w:type="spellStart"/>
      <w:r w:rsidR="003D0701">
        <w:t>JP585</w:t>
      </w:r>
      <w:proofErr w:type="spellEnd"/>
      <w:r w:rsidR="003D0701">
        <w:t xml:space="preserve"> itself</w:t>
      </w:r>
      <w:r>
        <w:t>.</w:t>
      </w:r>
      <w:r w:rsidR="0057347C">
        <w:t xml:space="preserve">  Dr </w:t>
      </w:r>
      <w:proofErr w:type="spellStart"/>
      <w:r w:rsidR="0057347C">
        <w:t>Bretschneider’s</w:t>
      </w:r>
      <w:proofErr w:type="spellEnd"/>
      <w:r w:rsidR="0057347C">
        <w:t xml:space="preserve"> argument was that</w:t>
      </w:r>
      <w:r w:rsidR="00891FD5">
        <w:t xml:space="preserve">, as used in the general formula in claims 1 and 2 of </w:t>
      </w:r>
      <w:proofErr w:type="spellStart"/>
      <w:r w:rsidR="00891FD5">
        <w:t>JP585</w:t>
      </w:r>
      <w:proofErr w:type="spellEnd"/>
      <w:r w:rsidR="00891FD5">
        <w:t>, the notation (</w:t>
      </w:r>
      <w:proofErr w:type="spellStart"/>
      <w:r w:rsidR="00891FD5">
        <w:t>Al,Ga</w:t>
      </w:r>
      <w:proofErr w:type="spellEnd"/>
      <w:r w:rsidR="00891FD5">
        <w:t>)</w:t>
      </w:r>
      <w:r w:rsidR="00891FD5" w:rsidRPr="00891FD5">
        <w:rPr>
          <w:vertAlign w:val="subscript"/>
        </w:rPr>
        <w:t>5</w:t>
      </w:r>
      <w:r w:rsidR="00891FD5">
        <w:t xml:space="preserve"> requires Al and Ga to be present in the phosphor.  By the time of closing submissions, the respondent’s argument recognised that this was not</w:t>
      </w:r>
      <w:r w:rsidR="00B81247">
        <w:t xml:space="preserve"> necessarily</w:t>
      </w:r>
      <w:r w:rsidR="00891FD5">
        <w:t xml:space="preserve"> so.</w:t>
      </w:r>
      <w:r>
        <w:t xml:space="preserve">  </w:t>
      </w:r>
    </w:p>
    <w:p w:rsidR="007F4325" w:rsidRDefault="00402669" w:rsidP="004D63D4">
      <w:pPr>
        <w:pStyle w:val="ParaNumbering"/>
        <w:tabs>
          <w:tab w:val="clear" w:pos="720"/>
        </w:tabs>
      </w:pPr>
      <w:r>
        <w:t>The</w:t>
      </w:r>
      <w:r w:rsidR="003A5310">
        <w:t xml:space="preserve"> respondent did not dispute that claim 3 of </w:t>
      </w:r>
      <w:proofErr w:type="spellStart"/>
      <w:r w:rsidR="003A5310">
        <w:t>JP585</w:t>
      </w:r>
      <w:proofErr w:type="spellEnd"/>
      <w:r w:rsidR="003A5310">
        <w:t xml:space="preserve"> provide</w:t>
      </w:r>
      <w:r w:rsidR="00F13F7B">
        <w:t>s</w:t>
      </w:r>
      <w:r w:rsidR="003A5310">
        <w:t xml:space="preserve">, in terms, for a </w:t>
      </w:r>
      <w:r w:rsidR="00ED473E">
        <w:t>phosphor</w:t>
      </w:r>
      <w:r w:rsidR="003A5310">
        <w:t xml:space="preserve"> that </w:t>
      </w:r>
      <w:r w:rsidR="00F71B91">
        <w:t>could include 100% Al and 0% Ga or 0% Al and 100% Ga.</w:t>
      </w:r>
      <w:r w:rsidR="00972F42">
        <w:t xml:space="preserve">  It submitted</w:t>
      </w:r>
      <w:r w:rsidR="00827313">
        <w:t xml:space="preserve"> </w:t>
      </w:r>
      <w:r w:rsidR="00972F42">
        <w:t>nevertheless</w:t>
      </w:r>
      <w:r w:rsidR="00827313">
        <w:t xml:space="preserve"> that the applicant’s approach to construing the notation (</w:t>
      </w:r>
      <w:proofErr w:type="spellStart"/>
      <w:r w:rsidR="00827313">
        <w:t>Al,Ga</w:t>
      </w:r>
      <w:proofErr w:type="spellEnd"/>
      <w:r w:rsidR="00827313">
        <w:t>)</w:t>
      </w:r>
      <w:r w:rsidR="00827313" w:rsidRPr="003333A5">
        <w:rPr>
          <w:vertAlign w:val="subscript"/>
        </w:rPr>
        <w:t>5</w:t>
      </w:r>
      <w:r w:rsidR="00827313">
        <w:t xml:space="preserve"> </w:t>
      </w:r>
      <w:r w:rsidR="008A3B23">
        <w:t xml:space="preserve">in claim 1 of </w:t>
      </w:r>
      <w:proofErr w:type="spellStart"/>
      <w:r w:rsidR="008A3B23">
        <w:t>JP585</w:t>
      </w:r>
      <w:proofErr w:type="spellEnd"/>
      <w:r w:rsidR="008A3B23">
        <w:t xml:space="preserve"> </w:t>
      </w:r>
      <w:r w:rsidR="00827313">
        <w:t xml:space="preserve">was “flawed” because </w:t>
      </w:r>
      <w:r>
        <w:t>the applicant’s construction</w:t>
      </w:r>
      <w:r w:rsidR="00827313">
        <w:t xml:space="preserve"> would recognise structures with 100% Ga that, </w:t>
      </w:r>
      <w:r w:rsidR="0004754B">
        <w:t>it argued</w:t>
      </w:r>
      <w:r w:rsidR="00827313">
        <w:t xml:space="preserve">, do not work as phosphors.  </w:t>
      </w:r>
      <w:r w:rsidR="007F4325">
        <w:t>The r</w:t>
      </w:r>
      <w:r w:rsidR="00972F42">
        <w:t>espondent relied on disclosures</w:t>
      </w:r>
      <w:r w:rsidR="007F4325">
        <w:t xml:space="preserve"> such as </w:t>
      </w:r>
      <w:proofErr w:type="spellStart"/>
      <w:r w:rsidR="007F4325" w:rsidRPr="007F4325">
        <w:rPr>
          <w:i/>
        </w:rPr>
        <w:t>Blasse</w:t>
      </w:r>
      <w:proofErr w:type="spellEnd"/>
      <w:r w:rsidR="007F4325" w:rsidRPr="007F4325">
        <w:rPr>
          <w:i/>
        </w:rPr>
        <w:t xml:space="preserve"> and </w:t>
      </w:r>
      <w:proofErr w:type="spellStart"/>
      <w:r w:rsidR="007F4325" w:rsidRPr="007F4325">
        <w:rPr>
          <w:i/>
        </w:rPr>
        <w:t>Bril</w:t>
      </w:r>
      <w:proofErr w:type="spellEnd"/>
      <w:r w:rsidR="007F4325">
        <w:t xml:space="preserve"> where it is stated that</w:t>
      </w:r>
      <w:r w:rsidR="007F4325" w:rsidRPr="007F4325">
        <w:t xml:space="preserve"> </w:t>
      </w:r>
      <w:proofErr w:type="spellStart"/>
      <w:r w:rsidR="007F4325">
        <w:t>Y</w:t>
      </w:r>
      <w:r w:rsidR="007F4325" w:rsidRPr="00035235">
        <w:rPr>
          <w:vertAlign w:val="subscript"/>
        </w:rPr>
        <w:t>3</w:t>
      </w:r>
      <w:r w:rsidR="007F4325">
        <w:t>Ga</w:t>
      </w:r>
      <w:r w:rsidR="007F4325" w:rsidRPr="00035235">
        <w:rPr>
          <w:vertAlign w:val="subscript"/>
        </w:rPr>
        <w:t>5</w:t>
      </w:r>
      <w:r w:rsidR="007F4325">
        <w:t>O</w:t>
      </w:r>
      <w:r w:rsidR="007F4325">
        <w:rPr>
          <w:vertAlign w:val="subscript"/>
        </w:rPr>
        <w:t>12</w:t>
      </w:r>
      <w:r w:rsidR="007F4325">
        <w:t>:Ce</w:t>
      </w:r>
      <w:proofErr w:type="spellEnd"/>
      <w:r w:rsidR="007F4325">
        <w:t xml:space="preserve"> </w:t>
      </w:r>
      <w:r w:rsidR="0004754B">
        <w:t>“</w:t>
      </w:r>
      <w:r w:rsidR="007F4325">
        <w:t xml:space="preserve">does not fluoresce under long- or short-wave </w:t>
      </w:r>
      <w:proofErr w:type="spellStart"/>
      <w:r w:rsidR="007F4325">
        <w:t>uv</w:t>
      </w:r>
      <w:proofErr w:type="spellEnd"/>
      <w:r w:rsidR="007F4325">
        <w:t xml:space="preserve"> or cathode-ray excitation”.  The respondent also referred to the other phosphors</w:t>
      </w:r>
      <w:r w:rsidR="0004754B">
        <w:t xml:space="preserve"> about which Dr </w:t>
      </w:r>
      <w:proofErr w:type="spellStart"/>
      <w:r w:rsidR="0004754B">
        <w:t>Bretschneider</w:t>
      </w:r>
      <w:proofErr w:type="spellEnd"/>
      <w:r w:rsidR="0004754B">
        <w:t xml:space="preserve"> gave evidence,</w:t>
      </w:r>
      <w:r w:rsidR="007F4325">
        <w:t xml:space="preserve"> which I have noted at [</w:t>
      </w:r>
      <w:r w:rsidR="00972F42">
        <w:t>1</w:t>
      </w:r>
      <w:r w:rsidR="00B81247">
        <w:t>19</w:t>
      </w:r>
      <w:r w:rsidR="007F4325">
        <w:t>].</w:t>
      </w:r>
    </w:p>
    <w:p w:rsidR="003333A5" w:rsidRDefault="0004754B" w:rsidP="004D63D4">
      <w:pPr>
        <w:pStyle w:val="ParaNumbering"/>
        <w:tabs>
          <w:tab w:val="clear" w:pos="720"/>
        </w:tabs>
      </w:pPr>
      <w:r>
        <w:t>In this connection, the</w:t>
      </w:r>
      <w:r w:rsidR="00402669">
        <w:t xml:space="preserve"> respondent</w:t>
      </w:r>
      <w:r w:rsidR="00827313">
        <w:t xml:space="preserve"> submitted that the applicant’s approach elides the difference between structures or materials, on the one hand, and phosphors, on the other.  </w:t>
      </w:r>
      <w:r w:rsidR="00972F42">
        <w:t>The</w:t>
      </w:r>
      <w:r w:rsidR="00827313">
        <w:t xml:space="preserve"> respondent’s position was that there might be materials that, on the applicant’s construction, </w:t>
      </w:r>
      <w:r w:rsidR="00972F42">
        <w:t>fall</w:t>
      </w:r>
      <w:r w:rsidR="00827313">
        <w:t xml:space="preserve"> within the </w:t>
      </w:r>
      <w:r w:rsidR="00972F42">
        <w:t>notation</w:t>
      </w:r>
      <w:r w:rsidR="00827313">
        <w:t xml:space="preserve"> (</w:t>
      </w:r>
      <w:proofErr w:type="spellStart"/>
      <w:r w:rsidR="00827313">
        <w:t>Al,Ga</w:t>
      </w:r>
      <w:proofErr w:type="spellEnd"/>
      <w:r w:rsidR="00827313">
        <w:t>)</w:t>
      </w:r>
      <w:r w:rsidR="00827313" w:rsidRPr="003333A5">
        <w:rPr>
          <w:vertAlign w:val="subscript"/>
        </w:rPr>
        <w:t>5</w:t>
      </w:r>
      <w:r w:rsidR="00827313">
        <w:t>, but “if they do not work as a phosphor, the invention will not work”.</w:t>
      </w:r>
      <w:r w:rsidR="007E2A08">
        <w:t xml:space="preserve">  </w:t>
      </w:r>
      <w:r>
        <w:t>The respondent argued therefore that</w:t>
      </w:r>
      <w:r w:rsidR="007E2A08">
        <w:t xml:space="preserve">, notwithstanding the explicit disclosure made by the formula in claim 3 of </w:t>
      </w:r>
      <w:proofErr w:type="spellStart"/>
      <w:r w:rsidR="007E2A08">
        <w:t>JP585</w:t>
      </w:r>
      <w:proofErr w:type="spellEnd"/>
      <w:r w:rsidR="007E2A08">
        <w:t xml:space="preserve">, a phosphor </w:t>
      </w:r>
      <w:r w:rsidR="00163A31">
        <w:t>with</w:t>
      </w:r>
      <w:r w:rsidR="007E2A08">
        <w:t xml:space="preserve"> 0% Al and 100% Ga </w:t>
      </w:r>
      <w:r>
        <w:t>is</w:t>
      </w:r>
      <w:r w:rsidR="007E2A08">
        <w:t xml:space="preserve"> not contemplated by </w:t>
      </w:r>
      <w:r>
        <w:t xml:space="preserve">claim 1 in </w:t>
      </w:r>
      <w:proofErr w:type="spellStart"/>
      <w:r>
        <w:t>JP585</w:t>
      </w:r>
      <w:proofErr w:type="spellEnd"/>
      <w:r>
        <w:t>.</w:t>
      </w:r>
    </w:p>
    <w:p w:rsidR="008A3B23" w:rsidRDefault="00402669" w:rsidP="004D63D4">
      <w:pPr>
        <w:pStyle w:val="ParaNumbering"/>
        <w:tabs>
          <w:tab w:val="clear" w:pos="720"/>
        </w:tabs>
      </w:pPr>
      <w:r>
        <w:t xml:space="preserve">The </w:t>
      </w:r>
      <w:r w:rsidR="00163A31">
        <w:t xml:space="preserve">respondent </w:t>
      </w:r>
      <w:r w:rsidR="0004754B">
        <w:t xml:space="preserve">also developed submissions directed to what it said was the invention disclosed in </w:t>
      </w:r>
      <w:proofErr w:type="spellStart"/>
      <w:r w:rsidR="0004754B">
        <w:t>JP585</w:t>
      </w:r>
      <w:proofErr w:type="spellEnd"/>
      <w:r w:rsidR="0004754B">
        <w:t>.  In this connection, the respondent submitted that</w:t>
      </w:r>
      <w:r w:rsidR="007E2A08">
        <w:t xml:space="preserve"> </w:t>
      </w:r>
      <w:proofErr w:type="spellStart"/>
      <w:r w:rsidR="003333A5">
        <w:t>JP585</w:t>
      </w:r>
      <w:proofErr w:type="spellEnd"/>
      <w:r w:rsidR="003333A5">
        <w:t xml:space="preserve"> recognises that </w:t>
      </w:r>
      <w:proofErr w:type="spellStart"/>
      <w:r w:rsidR="003333A5">
        <w:t>Y</w:t>
      </w:r>
      <w:r w:rsidR="003333A5" w:rsidRPr="003333A5">
        <w:rPr>
          <w:vertAlign w:val="subscript"/>
        </w:rPr>
        <w:t>3</w:t>
      </w:r>
      <w:r w:rsidR="003333A5">
        <w:t>Al</w:t>
      </w:r>
      <w:r w:rsidR="003333A5" w:rsidRPr="003333A5">
        <w:rPr>
          <w:vertAlign w:val="subscript"/>
        </w:rPr>
        <w:t>5</w:t>
      </w:r>
      <w:r w:rsidR="003333A5">
        <w:t>O</w:t>
      </w:r>
      <w:r w:rsidR="003333A5" w:rsidRPr="003333A5">
        <w:rPr>
          <w:vertAlign w:val="subscript"/>
        </w:rPr>
        <w:t>12</w:t>
      </w:r>
      <w:r w:rsidR="003333A5">
        <w:t>:Ce</w:t>
      </w:r>
      <w:proofErr w:type="spellEnd"/>
      <w:r w:rsidR="003333A5">
        <w:t xml:space="preserve"> will </w:t>
      </w:r>
      <w:r w:rsidR="0004754B">
        <w:t>act</w:t>
      </w:r>
      <w:r w:rsidR="003333A5">
        <w:t xml:space="preserve"> as a phosphor.  However, the invention disclosed in </w:t>
      </w:r>
      <w:proofErr w:type="spellStart"/>
      <w:r w:rsidR="003333A5">
        <w:t>JP585</w:t>
      </w:r>
      <w:proofErr w:type="spellEnd"/>
      <w:r w:rsidR="003333A5">
        <w:t xml:space="preserve"> is one where other elements are added to the composition of </w:t>
      </w:r>
      <w:r w:rsidR="00972F42">
        <w:t>that</w:t>
      </w:r>
      <w:r w:rsidR="003333A5">
        <w:t xml:space="preserve"> phosphor to provide </w:t>
      </w:r>
      <w:r w:rsidR="00972F42">
        <w:t xml:space="preserve">different </w:t>
      </w:r>
      <w:r w:rsidR="003333A5">
        <w:lastRenderedPageBreak/>
        <w:t>performance characteristics.</w:t>
      </w:r>
      <w:r w:rsidR="000C46F4">
        <w:t xml:space="preserve">  </w:t>
      </w:r>
      <w:r w:rsidR="0004754B">
        <w:t>The respondent emphasised</w:t>
      </w:r>
      <w:r w:rsidR="008A3B23">
        <w:t xml:space="preserve"> that </w:t>
      </w:r>
      <w:proofErr w:type="spellStart"/>
      <w:r w:rsidR="000C46F4">
        <w:t>JP585</w:t>
      </w:r>
      <w:proofErr w:type="spellEnd"/>
      <w:r w:rsidR="000C46F4">
        <w:t xml:space="preserve"> discloses an invention where the phosphor acts in combination with a gallium nitride semiconductor.  </w:t>
      </w:r>
      <w:r w:rsidR="0004754B">
        <w:t>However, these</w:t>
      </w:r>
      <w:r w:rsidR="008A3B23">
        <w:t xml:space="preserve"> phosphors</w:t>
      </w:r>
      <w:r w:rsidR="000C46F4">
        <w:t xml:space="preserve"> </w:t>
      </w:r>
      <w:r w:rsidR="0004754B">
        <w:t>are one</w:t>
      </w:r>
      <w:r w:rsidR="00163A31">
        <w:t>s</w:t>
      </w:r>
      <w:r w:rsidR="0004754B">
        <w:t xml:space="preserve"> </w:t>
      </w:r>
      <w:r w:rsidR="000C46F4">
        <w:t xml:space="preserve">where </w:t>
      </w:r>
      <w:proofErr w:type="spellStart"/>
      <w:r w:rsidR="000C46F4">
        <w:t>Gd</w:t>
      </w:r>
      <w:proofErr w:type="spellEnd"/>
      <w:r w:rsidR="000C46F4">
        <w:t xml:space="preserve"> and</w:t>
      </w:r>
      <w:r w:rsidR="008A3B23">
        <w:t>/or</w:t>
      </w:r>
      <w:r w:rsidR="000C46F4">
        <w:t xml:space="preserve"> Sm are added to Y</w:t>
      </w:r>
      <w:r w:rsidR="00972F42">
        <w:t xml:space="preserve"> and</w:t>
      </w:r>
      <w:r w:rsidR="000C46F4">
        <w:t xml:space="preserve"> where Ga is added to Al.</w:t>
      </w:r>
      <w:r w:rsidR="007E2A08">
        <w:t xml:space="preserve">  </w:t>
      </w:r>
      <w:r w:rsidR="00972F42">
        <w:t>The</w:t>
      </w:r>
      <w:r w:rsidR="007E2A08">
        <w:t xml:space="preserve"> respondent </w:t>
      </w:r>
      <w:r w:rsidR="00163A31">
        <w:t>submitted that the invention in</w:t>
      </w:r>
      <w:r w:rsidR="007E2A08">
        <w:t xml:space="preserve"> </w:t>
      </w:r>
      <w:proofErr w:type="spellStart"/>
      <w:r w:rsidR="007E2A08">
        <w:t>JP585</w:t>
      </w:r>
      <w:proofErr w:type="spellEnd"/>
      <w:r w:rsidR="007E2A08">
        <w:t xml:space="preserve"> required Al </w:t>
      </w:r>
      <w:r w:rsidR="0004754B">
        <w:t>to</w:t>
      </w:r>
      <w:r w:rsidR="007E2A08">
        <w:t xml:space="preserve"> be present</w:t>
      </w:r>
      <w:r w:rsidR="00B81247">
        <w:t xml:space="preserve"> in the phosphor.</w:t>
      </w:r>
    </w:p>
    <w:p w:rsidR="00A9367D" w:rsidRDefault="009027F0" w:rsidP="004D63D4">
      <w:pPr>
        <w:pStyle w:val="ParaNumbering"/>
        <w:tabs>
          <w:tab w:val="clear" w:pos="720"/>
        </w:tabs>
      </w:pPr>
      <w:r>
        <w:t>The</w:t>
      </w:r>
      <w:r w:rsidR="0004754B">
        <w:t xml:space="preserve"> respondent </w:t>
      </w:r>
      <w:r>
        <w:t xml:space="preserve">then </w:t>
      </w:r>
      <w:r w:rsidR="0004754B">
        <w:t>submitted that the phosp</w:t>
      </w:r>
      <w:r w:rsidR="00E822FB">
        <w:t xml:space="preserve">hor of claim 1 of </w:t>
      </w:r>
      <w:proofErr w:type="spellStart"/>
      <w:r w:rsidR="00E822FB">
        <w:t>JP585</w:t>
      </w:r>
      <w:proofErr w:type="spellEnd"/>
      <w:r w:rsidR="00B81247">
        <w:t>—</w:t>
      </w:r>
      <w:r w:rsidR="00E822FB">
        <w:t>represented</w:t>
      </w:r>
      <w:r w:rsidR="0004754B">
        <w:t xml:space="preserve"> by </w:t>
      </w:r>
      <w:proofErr w:type="spellStart"/>
      <w:r w:rsidR="0004754B">
        <w:t>RE</w:t>
      </w:r>
      <w:r w:rsidR="00E822FB" w:rsidRPr="00E822FB">
        <w:rPr>
          <w:vertAlign w:val="subscript"/>
        </w:rPr>
        <w:t>3</w:t>
      </w:r>
      <w:proofErr w:type="spellEnd"/>
      <w:r w:rsidR="00E822FB">
        <w:t>(</w:t>
      </w:r>
      <w:proofErr w:type="spellStart"/>
      <w:r w:rsidR="00E822FB">
        <w:t>Al,Ga</w:t>
      </w:r>
      <w:proofErr w:type="spellEnd"/>
      <w:r w:rsidR="00E822FB">
        <w:t>)</w:t>
      </w:r>
      <w:proofErr w:type="spellStart"/>
      <w:r w:rsidR="00E822FB" w:rsidRPr="00E822FB">
        <w:rPr>
          <w:vertAlign w:val="subscript"/>
        </w:rPr>
        <w:t>5</w:t>
      </w:r>
      <w:r w:rsidR="00E822FB">
        <w:t>O</w:t>
      </w:r>
      <w:r w:rsidR="00E822FB" w:rsidRPr="00E822FB">
        <w:rPr>
          <w:vertAlign w:val="subscript"/>
        </w:rPr>
        <w:t>12</w:t>
      </w:r>
      <w:r w:rsidR="00E822FB">
        <w:t>:Ce</w:t>
      </w:r>
      <w:proofErr w:type="spellEnd"/>
      <w:r w:rsidR="00B81247">
        <w:t>,</w:t>
      </w:r>
      <w:r w:rsidR="00E822FB">
        <w:t xml:space="preserve"> where RE is at least one selected from Y, </w:t>
      </w:r>
      <w:proofErr w:type="spellStart"/>
      <w:r w:rsidR="00E822FB">
        <w:t>Gd</w:t>
      </w:r>
      <w:proofErr w:type="spellEnd"/>
      <w:r w:rsidR="00E822FB">
        <w:t xml:space="preserve"> and Sm</w:t>
      </w:r>
      <w:r w:rsidR="00B81247">
        <w:t>—</w:t>
      </w:r>
      <w:r w:rsidR="00E822FB">
        <w:t xml:space="preserve">would be understood by the person skilled in the art </w:t>
      </w:r>
      <w:r w:rsidR="00837782">
        <w:t>as having</w:t>
      </w:r>
      <w:r w:rsidR="00E822FB">
        <w:t xml:space="preserve"> a number of qualifications.  First, if RE is Y </w:t>
      </w:r>
      <w:r w:rsidR="00E822FB" w:rsidRPr="00E822FB">
        <w:rPr>
          <w:i/>
        </w:rPr>
        <w:t>and</w:t>
      </w:r>
      <w:r w:rsidR="00E822FB">
        <w:t xml:space="preserve"> </w:t>
      </w:r>
      <w:proofErr w:type="spellStart"/>
      <w:r w:rsidR="00E822FB">
        <w:t>Gd</w:t>
      </w:r>
      <w:proofErr w:type="spellEnd"/>
      <w:r w:rsidR="00E822FB">
        <w:t xml:space="preserve"> or Sm then the </w:t>
      </w:r>
      <w:r w:rsidR="00B368D1">
        <w:t>“</w:t>
      </w:r>
      <w:r w:rsidR="00E822FB">
        <w:t>small</w:t>
      </w:r>
      <w:r w:rsidR="00B368D1">
        <w:t>”</w:t>
      </w:r>
      <w:r w:rsidR="00E822FB">
        <w:t xml:space="preserve"> metal ions can be (</w:t>
      </w:r>
      <w:proofErr w:type="spellStart"/>
      <w:r w:rsidR="00E822FB">
        <w:t>Al</w:t>
      </w:r>
      <w:r w:rsidR="00E822FB" w:rsidRPr="00E822FB">
        <w:rPr>
          <w:vertAlign w:val="subscript"/>
        </w:rPr>
        <w:t>1-s</w:t>
      </w:r>
      <w:r w:rsidR="00E822FB">
        <w:t>Ga</w:t>
      </w:r>
      <w:r w:rsidR="00E822FB" w:rsidRPr="00E822FB">
        <w:rPr>
          <w:vertAlign w:val="subscript"/>
        </w:rPr>
        <w:t>s</w:t>
      </w:r>
      <w:proofErr w:type="spellEnd"/>
      <w:r w:rsidR="00E822FB">
        <w:t>)</w:t>
      </w:r>
      <w:r w:rsidR="00E822FB" w:rsidRPr="00E822FB">
        <w:rPr>
          <w:vertAlign w:val="subscript"/>
        </w:rPr>
        <w:t>5</w:t>
      </w:r>
      <w:r w:rsidR="00E822FB">
        <w:t xml:space="preserve"> where 0</w:t>
      </w:r>
      <w:r w:rsidR="00E822FB" w:rsidRPr="0005390E">
        <w:rPr>
          <w:u w:val="single"/>
        </w:rPr>
        <w:t>&lt;</w:t>
      </w:r>
      <w:r w:rsidR="00E822FB">
        <w:t>s</w:t>
      </w:r>
      <w:r w:rsidR="00E822FB" w:rsidRPr="0005390E">
        <w:rPr>
          <w:u w:val="single"/>
        </w:rPr>
        <w:t>&lt;</w:t>
      </w:r>
      <w:r w:rsidR="00E822FB">
        <w:t xml:space="preserve">l.  Secondly, if RE is Y, then the </w:t>
      </w:r>
      <w:r w:rsidR="00B368D1">
        <w:t>“</w:t>
      </w:r>
      <w:r w:rsidR="00E822FB">
        <w:t>small</w:t>
      </w:r>
      <w:r w:rsidR="00B368D1">
        <w:t>”</w:t>
      </w:r>
      <w:r w:rsidR="00E822FB">
        <w:t xml:space="preserve"> metal ions can be (</w:t>
      </w:r>
      <w:proofErr w:type="spellStart"/>
      <w:r w:rsidR="00E822FB">
        <w:t>Al</w:t>
      </w:r>
      <w:r w:rsidR="00E822FB" w:rsidRPr="00E822FB">
        <w:rPr>
          <w:vertAlign w:val="subscript"/>
        </w:rPr>
        <w:t>1-s</w:t>
      </w:r>
      <w:r w:rsidR="00E822FB">
        <w:t>Ga</w:t>
      </w:r>
      <w:r w:rsidR="00E822FB" w:rsidRPr="00E822FB">
        <w:rPr>
          <w:vertAlign w:val="subscript"/>
        </w:rPr>
        <w:t>s</w:t>
      </w:r>
      <w:proofErr w:type="spellEnd"/>
      <w:r w:rsidR="00E822FB">
        <w:t>)</w:t>
      </w:r>
      <w:r w:rsidR="00E822FB" w:rsidRPr="00E822FB">
        <w:rPr>
          <w:vertAlign w:val="subscript"/>
        </w:rPr>
        <w:t>5</w:t>
      </w:r>
      <w:r w:rsidR="00E822FB">
        <w:t xml:space="preserve"> provided </w:t>
      </w:r>
      <w:proofErr w:type="spellStart"/>
      <w:r w:rsidR="00E822FB">
        <w:t>s</w:t>
      </w:r>
      <w:r>
        <w:t>≠1</w:t>
      </w:r>
      <w:proofErr w:type="spellEnd"/>
      <w:r>
        <w:t xml:space="preserve">, because 100% Ga will not work as a phosphor. </w:t>
      </w:r>
    </w:p>
    <w:p w:rsidR="00A9367D" w:rsidRDefault="009027F0" w:rsidP="004D63D4">
      <w:pPr>
        <w:pStyle w:val="ParaNumbering"/>
        <w:tabs>
          <w:tab w:val="clear" w:pos="720"/>
        </w:tabs>
      </w:pPr>
      <w:r>
        <w:t>By reference to these qualifications, the respondent submitted that</w:t>
      </w:r>
      <w:r w:rsidR="00A9367D">
        <w:t>,</w:t>
      </w:r>
      <w:r>
        <w:t xml:space="preserve"> if any of Y is substituted with </w:t>
      </w:r>
      <w:proofErr w:type="spellStart"/>
      <w:r>
        <w:t>Gd</w:t>
      </w:r>
      <w:proofErr w:type="spellEnd"/>
      <w:r>
        <w:t xml:space="preserve"> or Sm, then there may be 100% Al and 0% Ga</w:t>
      </w:r>
      <w:r w:rsidR="0057347C">
        <w:t xml:space="preserve"> in the material</w:t>
      </w:r>
      <w:r>
        <w:t xml:space="preserve">.  </w:t>
      </w:r>
      <w:r w:rsidR="00A9367D">
        <w:t xml:space="preserve">This submission appears to be based on the possibility that s = 0.  </w:t>
      </w:r>
      <w:r>
        <w:t>For reasons that are not clear to me, the respondent did not recognise</w:t>
      </w:r>
      <w:r w:rsidR="00B368D1">
        <w:t>, at least in its written submissions,</w:t>
      </w:r>
      <w:r>
        <w:t xml:space="preserve"> </w:t>
      </w:r>
      <w:r w:rsidR="00972F42">
        <w:t>that</w:t>
      </w:r>
      <w:r>
        <w:t xml:space="preserve"> there </w:t>
      </w:r>
      <w:r w:rsidR="0057347C">
        <w:t>will</w:t>
      </w:r>
      <w:r>
        <w:t xml:space="preserve"> be 0% Al and 100% Ga</w:t>
      </w:r>
      <w:r w:rsidR="0057347C">
        <w:t xml:space="preserve"> in the material</w:t>
      </w:r>
      <w:r>
        <w:t xml:space="preserve"> where s = 1.</w:t>
      </w:r>
      <w:r w:rsidR="00A9367D">
        <w:t xml:space="preserve">  </w:t>
      </w:r>
    </w:p>
    <w:p w:rsidR="00A9367D" w:rsidRDefault="00A9367D" w:rsidP="00A9367D">
      <w:pPr>
        <w:pStyle w:val="ParaNumbering"/>
        <w:tabs>
          <w:tab w:val="clear" w:pos="720"/>
        </w:tabs>
      </w:pPr>
      <w:r>
        <w:t xml:space="preserve">The respondent also submitted that, if no part of Y is substituted with </w:t>
      </w:r>
      <w:proofErr w:type="spellStart"/>
      <w:r>
        <w:t>Gd</w:t>
      </w:r>
      <w:proofErr w:type="spellEnd"/>
      <w:r>
        <w:t xml:space="preserve"> or Sm, then both Al and Ga must be present</w:t>
      </w:r>
      <w:r w:rsidR="0057347C">
        <w:t xml:space="preserve"> in the material</w:t>
      </w:r>
      <w:r>
        <w:t xml:space="preserve">.  This is a function of the </w:t>
      </w:r>
      <w:r w:rsidR="003614C7">
        <w:t xml:space="preserve">respondent’s </w:t>
      </w:r>
      <w:r w:rsidR="00891FD5">
        <w:t>qualification</w:t>
      </w:r>
      <w:r>
        <w:t xml:space="preserve"> that s ≠ 1.</w:t>
      </w:r>
    </w:p>
    <w:p w:rsidR="00163A31" w:rsidRDefault="00A9367D" w:rsidP="00A9367D">
      <w:pPr>
        <w:pStyle w:val="ParaNumbering"/>
        <w:tabs>
          <w:tab w:val="clear" w:pos="720"/>
        </w:tabs>
      </w:pPr>
      <w:r>
        <w:t xml:space="preserve">The respondent submitted that, by recognising these qualifications, the phosphor would </w:t>
      </w:r>
      <w:r w:rsidR="00B368D1">
        <w:t xml:space="preserve">not only </w:t>
      </w:r>
      <w:r>
        <w:t xml:space="preserve">have performance characteristics different to those of </w:t>
      </w:r>
      <w:proofErr w:type="spellStart"/>
      <w:r>
        <w:t>Y</w:t>
      </w:r>
      <w:r w:rsidRPr="00A9367D">
        <w:rPr>
          <w:vertAlign w:val="subscript"/>
        </w:rPr>
        <w:t>3</w:t>
      </w:r>
      <w:r>
        <w:t>Al</w:t>
      </w:r>
      <w:r w:rsidRPr="00A9367D">
        <w:rPr>
          <w:vertAlign w:val="subscript"/>
        </w:rPr>
        <w:t>5</w:t>
      </w:r>
      <w:r>
        <w:t>O</w:t>
      </w:r>
      <w:r w:rsidRPr="00A9367D">
        <w:rPr>
          <w:vertAlign w:val="subscript"/>
        </w:rPr>
        <w:t>12</w:t>
      </w:r>
      <w:r>
        <w:t>:Ce</w:t>
      </w:r>
      <w:proofErr w:type="spellEnd"/>
      <w:r w:rsidR="00B368D1">
        <w:t>, but</w:t>
      </w:r>
      <w:r>
        <w:t xml:space="preserve"> there would be no inconsistency with claim 3 of </w:t>
      </w:r>
      <w:proofErr w:type="spellStart"/>
      <w:r>
        <w:t>JP585</w:t>
      </w:r>
      <w:proofErr w:type="spellEnd"/>
      <w:r>
        <w:t xml:space="preserve"> because claim 3 would then be “properly dependent” on claims 1 and 2 as “properly construed”.</w:t>
      </w:r>
    </w:p>
    <w:p w:rsidR="00EB3FC5" w:rsidRDefault="00163A31" w:rsidP="00EB3FC5">
      <w:pPr>
        <w:pStyle w:val="ParaNumbering"/>
        <w:tabs>
          <w:tab w:val="clear" w:pos="720"/>
        </w:tabs>
      </w:pPr>
      <w:r>
        <w:t>The respondent then explained that the issue of construction does not arise because of the (</w:t>
      </w:r>
      <w:proofErr w:type="spellStart"/>
      <w:r>
        <w:t>Al,Ga</w:t>
      </w:r>
      <w:proofErr w:type="spellEnd"/>
      <w:r>
        <w:t>)</w:t>
      </w:r>
      <w:r w:rsidRPr="003614C7">
        <w:rPr>
          <w:vertAlign w:val="subscript"/>
        </w:rPr>
        <w:t>5</w:t>
      </w:r>
      <w:r>
        <w:t xml:space="preserve"> notation.  </w:t>
      </w:r>
      <w:r w:rsidR="00ED473E">
        <w:t>According to the respondent, it</w:t>
      </w:r>
      <w:r>
        <w:t xml:space="preserve"> arises because of the words “at least on</w:t>
      </w:r>
      <w:r w:rsidR="00837782">
        <w:t>e selected f</w:t>
      </w:r>
      <w:r>
        <w:t>r</w:t>
      </w:r>
      <w:r w:rsidR="00837782">
        <w:t>o</w:t>
      </w:r>
      <w:r>
        <w:t xml:space="preserve">m Y, </w:t>
      </w:r>
      <w:proofErr w:type="spellStart"/>
      <w:r>
        <w:t>Gd</w:t>
      </w:r>
      <w:proofErr w:type="spellEnd"/>
      <w:r>
        <w:t xml:space="preserve"> and Sm” in claim 1 of </w:t>
      </w:r>
      <w:proofErr w:type="spellStart"/>
      <w:r>
        <w:t>JP585</w:t>
      </w:r>
      <w:proofErr w:type="spellEnd"/>
      <w:r>
        <w:t>.</w:t>
      </w:r>
      <w:r w:rsidR="00ED473E">
        <w:t xml:space="preserve">  This explanation marks </w:t>
      </w:r>
      <w:r w:rsidR="0057347C">
        <w:t>the</w:t>
      </w:r>
      <w:r w:rsidR="00ED473E">
        <w:t xml:space="preserve"> change from the emphasis on the notation (</w:t>
      </w:r>
      <w:proofErr w:type="spellStart"/>
      <w:r w:rsidR="00ED473E">
        <w:t>Al,Ga</w:t>
      </w:r>
      <w:proofErr w:type="spellEnd"/>
      <w:r w:rsidR="00ED473E">
        <w:t>)</w:t>
      </w:r>
      <w:r w:rsidR="00ED473E" w:rsidRPr="00ED473E">
        <w:rPr>
          <w:vertAlign w:val="subscript"/>
        </w:rPr>
        <w:t>5</w:t>
      </w:r>
      <w:r w:rsidR="00ED473E">
        <w:t xml:space="preserve"> in Dr </w:t>
      </w:r>
      <w:proofErr w:type="spellStart"/>
      <w:r w:rsidR="00ED473E">
        <w:t>Bretschneider’s</w:t>
      </w:r>
      <w:proofErr w:type="spellEnd"/>
      <w:r w:rsidR="00ED473E">
        <w:t xml:space="preserve"> affidavit to what is, in substance, a different argument </w:t>
      </w:r>
      <w:r w:rsidR="0057347C">
        <w:t>that</w:t>
      </w:r>
      <w:r w:rsidR="00ED473E">
        <w:t xml:space="preserve"> seeks to accommodate the accepted disclosure in claim 3 of </w:t>
      </w:r>
      <w:proofErr w:type="spellStart"/>
      <w:r w:rsidR="00ED473E">
        <w:t>JP585</w:t>
      </w:r>
      <w:proofErr w:type="spellEnd"/>
      <w:r w:rsidR="00ED473E">
        <w:t xml:space="preserve"> that the phosphor can include 100% Al a</w:t>
      </w:r>
      <w:r w:rsidR="00EB3FC5">
        <w:t>nd 0% Ga or 0% Al and 100% Ga.</w:t>
      </w:r>
    </w:p>
    <w:p w:rsidR="00827313" w:rsidRDefault="00EB3FC5" w:rsidP="00EB3FC5">
      <w:pPr>
        <w:pStyle w:val="ParaNumbering"/>
        <w:tabs>
          <w:tab w:val="clear" w:pos="720"/>
        </w:tabs>
      </w:pPr>
      <w:r>
        <w:t xml:space="preserve">For completeness, I will record an additional argument advanced by the respondent based on </w:t>
      </w:r>
      <w:proofErr w:type="spellStart"/>
      <w:r>
        <w:t>JP339</w:t>
      </w:r>
      <w:proofErr w:type="spellEnd"/>
      <w:r>
        <w:t>.  The respondent submitted that</w:t>
      </w:r>
      <w:r w:rsidR="00AD5DC7">
        <w:t xml:space="preserve"> </w:t>
      </w:r>
      <w:proofErr w:type="spellStart"/>
      <w:r w:rsidR="00AD5DC7">
        <w:t>JP339</w:t>
      </w:r>
      <w:proofErr w:type="spellEnd"/>
      <w:r w:rsidR="00AD5DC7">
        <w:t xml:space="preserve"> similarly uses the notation (</w:t>
      </w:r>
      <w:proofErr w:type="spellStart"/>
      <w:r w:rsidR="00AD5DC7">
        <w:t>Al,Ga</w:t>
      </w:r>
      <w:proofErr w:type="spellEnd"/>
      <w:r w:rsidR="00AD5DC7">
        <w:t>)</w:t>
      </w:r>
      <w:r w:rsidR="00AD5DC7" w:rsidRPr="00AD5DC7">
        <w:rPr>
          <w:vertAlign w:val="subscript"/>
        </w:rPr>
        <w:t>5</w:t>
      </w:r>
      <w:r w:rsidR="00AD5DC7">
        <w:t xml:space="preserve">.  In claim 2 </w:t>
      </w:r>
      <w:r w:rsidR="00AD5DC7">
        <w:lastRenderedPageBreak/>
        <w:t xml:space="preserve">of </w:t>
      </w:r>
      <w:proofErr w:type="spellStart"/>
      <w:r w:rsidR="00AD5DC7">
        <w:t>JP339</w:t>
      </w:r>
      <w:proofErr w:type="spellEnd"/>
      <w:r w:rsidR="00837782">
        <w:t>,</w:t>
      </w:r>
      <w:r w:rsidR="00AD5DC7">
        <w:t xml:space="preserve"> the phosphor in the light emitting device is described as a fluorescent material represented by the general formula </w:t>
      </w:r>
      <w:proofErr w:type="spellStart"/>
      <w:r w:rsidR="00AD5DC7">
        <w:t>Y</w:t>
      </w:r>
      <w:r w:rsidR="00AD5DC7" w:rsidRPr="00AD5DC7">
        <w:rPr>
          <w:vertAlign w:val="subscript"/>
        </w:rPr>
        <w:t>3</w:t>
      </w:r>
      <w:proofErr w:type="spellEnd"/>
      <w:r w:rsidR="00AD5DC7">
        <w:t>(</w:t>
      </w:r>
      <w:proofErr w:type="spellStart"/>
      <w:r w:rsidR="00AD5DC7">
        <w:t>Al,Ga</w:t>
      </w:r>
      <w:proofErr w:type="spellEnd"/>
      <w:r w:rsidR="00AD5DC7">
        <w:t>)</w:t>
      </w:r>
      <w:proofErr w:type="spellStart"/>
      <w:r w:rsidR="00AD5DC7" w:rsidRPr="00AD5DC7">
        <w:rPr>
          <w:vertAlign w:val="subscript"/>
        </w:rPr>
        <w:t>5</w:t>
      </w:r>
      <w:r w:rsidR="00AD5DC7">
        <w:t>O</w:t>
      </w:r>
      <w:r w:rsidR="00AD5DC7" w:rsidRPr="00AD5DC7">
        <w:rPr>
          <w:vertAlign w:val="subscript"/>
        </w:rPr>
        <w:t>12</w:t>
      </w:r>
      <w:r w:rsidR="00AD5DC7">
        <w:t>:Ce</w:t>
      </w:r>
      <w:proofErr w:type="spellEnd"/>
      <w:r w:rsidR="00AD5DC7">
        <w:t xml:space="preserve"> having a main emission wavelength shorter than that of </w:t>
      </w:r>
      <w:proofErr w:type="spellStart"/>
      <w:r w:rsidR="00AD5DC7">
        <w:t>Y</w:t>
      </w:r>
      <w:r w:rsidR="00AD5DC7" w:rsidRPr="00AD5DC7">
        <w:rPr>
          <w:vertAlign w:val="subscript"/>
        </w:rPr>
        <w:t>3</w:t>
      </w:r>
      <w:r w:rsidR="00AD5DC7">
        <w:t>Al</w:t>
      </w:r>
      <w:r w:rsidR="00AD5DC7" w:rsidRPr="00AD5DC7">
        <w:rPr>
          <w:vertAlign w:val="subscript"/>
        </w:rPr>
        <w:t>5</w:t>
      </w:r>
      <w:r w:rsidR="00AD5DC7">
        <w:t>O</w:t>
      </w:r>
      <w:r w:rsidR="00AD5DC7" w:rsidRPr="00AD5DC7">
        <w:rPr>
          <w:vertAlign w:val="subscript"/>
        </w:rPr>
        <w:t>12</w:t>
      </w:r>
      <w:r w:rsidR="00AD5DC7">
        <w:t>:Ce</w:t>
      </w:r>
      <w:proofErr w:type="spellEnd"/>
      <w:r w:rsidR="00AD5DC7">
        <w:t xml:space="preserve">.  The respondent </w:t>
      </w:r>
      <w:r w:rsidR="00B368D1">
        <w:t>submitted that</w:t>
      </w:r>
      <w:r w:rsidR="00AD5DC7">
        <w:t xml:space="preserve"> if the wavelength is shorter, Ga must have been added to Al.  Thus, </w:t>
      </w:r>
      <w:r w:rsidR="00C3112C">
        <w:t xml:space="preserve">in </w:t>
      </w:r>
      <w:proofErr w:type="spellStart"/>
      <w:r w:rsidR="00C3112C">
        <w:t>JP339</w:t>
      </w:r>
      <w:proofErr w:type="spellEnd"/>
      <w:r w:rsidR="00837782">
        <w:t>,</w:t>
      </w:r>
      <w:r w:rsidR="00C3112C">
        <w:t xml:space="preserve"> </w:t>
      </w:r>
      <w:r w:rsidR="00AD5DC7">
        <w:t>the notation (</w:t>
      </w:r>
      <w:proofErr w:type="spellStart"/>
      <w:r w:rsidR="00AD5DC7">
        <w:t>Al,Ga</w:t>
      </w:r>
      <w:proofErr w:type="spellEnd"/>
      <w:r w:rsidR="00AD5DC7">
        <w:t>)</w:t>
      </w:r>
      <w:r w:rsidR="00AD5DC7" w:rsidRPr="00AD5DC7">
        <w:rPr>
          <w:vertAlign w:val="subscript"/>
        </w:rPr>
        <w:t>5</w:t>
      </w:r>
      <w:r>
        <w:t xml:space="preserve"> </w:t>
      </w:r>
      <w:r w:rsidR="00AD5DC7">
        <w:t>must mean that both Al and Ga</w:t>
      </w:r>
      <w:r w:rsidR="00837782">
        <w:t xml:space="preserve"> are present in the phosphor. </w:t>
      </w:r>
      <w:r w:rsidR="00827313">
        <w:t xml:space="preserve"> </w:t>
      </w:r>
    </w:p>
    <w:p w:rsidR="008A3B23" w:rsidRDefault="008A3B23" w:rsidP="008A3B23">
      <w:pPr>
        <w:pStyle w:val="Heading2"/>
      </w:pPr>
      <w:r>
        <w:t>Consideration</w:t>
      </w:r>
    </w:p>
    <w:p w:rsidR="0098155D" w:rsidRDefault="00AD5DC7" w:rsidP="00B368D1">
      <w:pPr>
        <w:pStyle w:val="ParaNumbering"/>
        <w:tabs>
          <w:tab w:val="clear" w:pos="720"/>
        </w:tabs>
      </w:pPr>
      <w:r>
        <w:t>The respondent accepted that the notation (</w:t>
      </w:r>
      <w:proofErr w:type="spellStart"/>
      <w:r>
        <w:t>Al,Ga</w:t>
      </w:r>
      <w:proofErr w:type="spellEnd"/>
      <w:r>
        <w:t>)</w:t>
      </w:r>
      <w:r w:rsidRPr="00AD5DC7">
        <w:rPr>
          <w:vertAlign w:val="subscript"/>
        </w:rPr>
        <w:t>5</w:t>
      </w:r>
      <w:r>
        <w:t xml:space="preserve"> does not have a fixed meaning</w:t>
      </w:r>
      <w:r w:rsidR="0098155D">
        <w:t xml:space="preserve">.  </w:t>
      </w:r>
      <w:r w:rsidR="00E61280">
        <w:t>Further, the respondent</w:t>
      </w:r>
      <w:r w:rsidR="0098155D">
        <w:t xml:space="preserve"> accepted that the notation must be const</w:t>
      </w:r>
      <w:r w:rsidR="00837782">
        <w:t xml:space="preserve">rued according to its context.  </w:t>
      </w:r>
      <w:r w:rsidR="00EC6121">
        <w:t>That being so</w:t>
      </w:r>
      <w:r w:rsidR="0098155D">
        <w:t xml:space="preserve">, the </w:t>
      </w:r>
      <w:r w:rsidR="00EC6121">
        <w:t>meaning to be given to the notation (</w:t>
      </w:r>
      <w:proofErr w:type="spellStart"/>
      <w:r w:rsidR="00EC6121">
        <w:t>Al,Ga</w:t>
      </w:r>
      <w:proofErr w:type="spellEnd"/>
      <w:r w:rsidR="00EC6121">
        <w:t>)</w:t>
      </w:r>
      <w:r w:rsidR="00EC6121" w:rsidRPr="00B368D1">
        <w:rPr>
          <w:vertAlign w:val="subscript"/>
        </w:rPr>
        <w:t>5</w:t>
      </w:r>
      <w:r w:rsidR="00EC6121">
        <w:t xml:space="preserve"> in claim 1 of </w:t>
      </w:r>
      <w:proofErr w:type="spellStart"/>
      <w:r w:rsidR="00EC6121">
        <w:t>JP585</w:t>
      </w:r>
      <w:proofErr w:type="spellEnd"/>
      <w:r w:rsidR="00EC6121">
        <w:t xml:space="preserve"> is one to be determined primarily by the context given by </w:t>
      </w:r>
      <w:proofErr w:type="spellStart"/>
      <w:r w:rsidR="00EC6121">
        <w:t>JP585</w:t>
      </w:r>
      <w:proofErr w:type="spellEnd"/>
      <w:r w:rsidR="00EC6121">
        <w:t xml:space="preserve"> itself.</w:t>
      </w:r>
    </w:p>
    <w:p w:rsidR="00EC6121" w:rsidRDefault="00EC6121" w:rsidP="004D63D4">
      <w:pPr>
        <w:pStyle w:val="ParaNumbering"/>
        <w:tabs>
          <w:tab w:val="clear" w:pos="720"/>
        </w:tabs>
      </w:pPr>
      <w:r>
        <w:t xml:space="preserve">I do not accept a number of the respondent’s submissions concerning the construction of </w:t>
      </w:r>
      <w:proofErr w:type="spellStart"/>
      <w:r>
        <w:t>JP585</w:t>
      </w:r>
      <w:proofErr w:type="spellEnd"/>
      <w:r>
        <w:t>.</w:t>
      </w:r>
    </w:p>
    <w:p w:rsidR="00912475" w:rsidRDefault="00D859E2" w:rsidP="00EC6121">
      <w:pPr>
        <w:pStyle w:val="ParaNumbering"/>
        <w:tabs>
          <w:tab w:val="clear" w:pos="720"/>
        </w:tabs>
      </w:pPr>
      <w:r>
        <w:t>I</w:t>
      </w:r>
      <w:r w:rsidR="00EC6121">
        <w:t xml:space="preserve"> have already rejected the respondent’s submission (noted at [</w:t>
      </w:r>
      <w:r w:rsidR="00B368D1">
        <w:t>10</w:t>
      </w:r>
      <w:r w:rsidR="008712AF">
        <w:t>2</w:t>
      </w:r>
      <w:r w:rsidR="00EC6121">
        <w:t xml:space="preserve">]) that </w:t>
      </w:r>
      <w:r w:rsidR="00912475">
        <w:t xml:space="preserve">the passage from </w:t>
      </w:r>
      <w:proofErr w:type="spellStart"/>
      <w:r w:rsidR="00912475">
        <w:t>JP585</w:t>
      </w:r>
      <w:proofErr w:type="spellEnd"/>
      <w:r w:rsidR="00912475">
        <w:t xml:space="preserve"> quoted at [</w:t>
      </w:r>
      <w:r w:rsidR="00B368D1">
        <w:t>10</w:t>
      </w:r>
      <w:r w:rsidR="008712AF">
        <w:t>0</w:t>
      </w:r>
      <w:r w:rsidR="00912475">
        <w:t>] should be read subject to the passage quoted at [</w:t>
      </w:r>
      <w:r w:rsidR="008712AF">
        <w:t>99</w:t>
      </w:r>
      <w:r w:rsidR="00912475">
        <w:t>], so that</w:t>
      </w:r>
      <w:r w:rsidR="008A3B23">
        <w:t xml:space="preserve">, in that particular part of </w:t>
      </w:r>
      <w:proofErr w:type="spellStart"/>
      <w:r w:rsidR="008A3B23">
        <w:t>JP585</w:t>
      </w:r>
      <w:proofErr w:type="spellEnd"/>
      <w:r w:rsidR="008A3B23">
        <w:t>,</w:t>
      </w:r>
      <w:r w:rsidR="00912475">
        <w:t xml:space="preserve"> the addition of Sm to Y should be </w:t>
      </w:r>
      <w:r w:rsidR="008A3B23">
        <w:t>read as if</w:t>
      </w:r>
      <w:r w:rsidR="00912475">
        <w:t xml:space="preserve"> Ga </w:t>
      </w:r>
      <w:r w:rsidR="008A3B23">
        <w:t>had also been</w:t>
      </w:r>
      <w:r w:rsidR="00912475">
        <w:t xml:space="preserve"> added to Al.  I </w:t>
      </w:r>
      <w:r w:rsidR="00EC6121">
        <w:t>refer, in that regard, to my reasons at</w:t>
      </w:r>
      <w:r w:rsidR="00912475">
        <w:t xml:space="preserve"> [</w:t>
      </w:r>
      <w:r w:rsidR="00B368D1">
        <w:t>10</w:t>
      </w:r>
      <w:r w:rsidR="008712AF">
        <w:t>3</w:t>
      </w:r>
      <w:r w:rsidR="00912475">
        <w:t>]-[</w:t>
      </w:r>
      <w:r w:rsidR="00B368D1">
        <w:t>10</w:t>
      </w:r>
      <w:r w:rsidR="008712AF">
        <w:t>6</w:t>
      </w:r>
      <w:r w:rsidR="00912475">
        <w:t xml:space="preserve">].  </w:t>
      </w:r>
    </w:p>
    <w:p w:rsidR="002513D8" w:rsidRDefault="00D859E2" w:rsidP="00D859E2">
      <w:pPr>
        <w:pStyle w:val="ParaNumbering"/>
        <w:tabs>
          <w:tab w:val="clear" w:pos="720"/>
        </w:tabs>
      </w:pPr>
      <w:r>
        <w:t>Also</w:t>
      </w:r>
      <w:r w:rsidR="00EC6121">
        <w:t xml:space="preserve">, I do not accept the respondent’s submission that </w:t>
      </w:r>
      <w:r w:rsidR="00912475">
        <w:t xml:space="preserve">the Examples in </w:t>
      </w:r>
      <w:proofErr w:type="spellStart"/>
      <w:r w:rsidR="00912475">
        <w:t>JP585</w:t>
      </w:r>
      <w:proofErr w:type="spellEnd"/>
      <w:r w:rsidR="00912475">
        <w:t xml:space="preserve"> should be read </w:t>
      </w:r>
      <w:r w:rsidR="008A3B23">
        <w:t>as if</w:t>
      </w:r>
      <w:r w:rsidR="00912475">
        <w:t xml:space="preserve"> Ga </w:t>
      </w:r>
      <w:r w:rsidR="008A3B23">
        <w:t>had been added to</w:t>
      </w:r>
      <w:r w:rsidR="00912475">
        <w:t xml:space="preserve"> Al because Example 1 refers to the use of aluminium oxide and gallium oxide in the preparation of the phosphor.  </w:t>
      </w:r>
      <w:r w:rsidR="002513D8">
        <w:t>There are a number of reasons why this submission should be rejected.</w:t>
      </w:r>
    </w:p>
    <w:p w:rsidR="002513D8" w:rsidRDefault="002513D8" w:rsidP="00476B4A">
      <w:pPr>
        <w:pStyle w:val="ParaNumbering"/>
        <w:tabs>
          <w:tab w:val="clear" w:pos="720"/>
        </w:tabs>
      </w:pPr>
      <w:r>
        <w:t xml:space="preserve">First, </w:t>
      </w:r>
      <w:r w:rsidR="00912475">
        <w:t>no expert said that the phosphors described in the Examples contained Ga in addition to Al.  Professor Reeves</w:t>
      </w:r>
      <w:r w:rsidR="00D859E2">
        <w:t>’</w:t>
      </w:r>
      <w:r w:rsidR="00912475">
        <w:t xml:space="preserve"> </w:t>
      </w:r>
      <w:r w:rsidR="00D859E2">
        <w:t xml:space="preserve">unchallenged evidence was </w:t>
      </w:r>
      <w:r w:rsidR="00912475">
        <w:t xml:space="preserve">that the phosphor in Example 3 did </w:t>
      </w:r>
      <w:r w:rsidR="00912475" w:rsidRPr="00E56408">
        <w:t>not</w:t>
      </w:r>
      <w:r w:rsidR="00837782">
        <w:t xml:space="preserve"> contain Ga.  </w:t>
      </w:r>
      <w:r w:rsidR="00912475">
        <w:t xml:space="preserve">He referred to Example 3 as but one illustration given in </w:t>
      </w:r>
      <w:proofErr w:type="spellStart"/>
      <w:r w:rsidR="00912475">
        <w:t>JP585</w:t>
      </w:r>
      <w:proofErr w:type="spellEnd"/>
      <w:r w:rsidR="00912475">
        <w:t xml:space="preserve"> where the phosphor </w:t>
      </w:r>
      <w:r w:rsidR="00D859E2">
        <w:t>does</w:t>
      </w:r>
      <w:r w:rsidR="00912475">
        <w:t xml:space="preserve"> not contain Ga.  </w:t>
      </w:r>
      <w:r w:rsidR="00D859E2">
        <w:t xml:space="preserve">Dr </w:t>
      </w:r>
      <w:proofErr w:type="spellStart"/>
      <w:r w:rsidR="00D859E2">
        <w:t>Bretschneider</w:t>
      </w:r>
      <w:proofErr w:type="spellEnd"/>
      <w:r w:rsidR="00D859E2">
        <w:t xml:space="preserve"> did not address Example 3 in </w:t>
      </w:r>
      <w:proofErr w:type="spellStart"/>
      <w:r w:rsidR="00D859E2">
        <w:t>JP585</w:t>
      </w:r>
      <w:proofErr w:type="spellEnd"/>
      <w:r w:rsidR="00D859E2">
        <w:t>.</w:t>
      </w:r>
    </w:p>
    <w:p w:rsidR="002513D8" w:rsidRDefault="002513D8" w:rsidP="00D859E2">
      <w:pPr>
        <w:pStyle w:val="ParaNumbering"/>
        <w:tabs>
          <w:tab w:val="clear" w:pos="720"/>
        </w:tabs>
      </w:pPr>
      <w:r>
        <w:t>Secondly,</w:t>
      </w:r>
      <w:r w:rsidR="00D859E2">
        <w:t xml:space="preserve"> </w:t>
      </w:r>
      <w:r w:rsidR="00402669">
        <w:t xml:space="preserve">as I have already </w:t>
      </w:r>
      <w:r w:rsidR="00D859E2">
        <w:t>noted</w:t>
      </w:r>
      <w:r w:rsidR="00402669">
        <w:t xml:space="preserve"> (</w:t>
      </w:r>
      <w:r w:rsidR="00837782">
        <w:t xml:space="preserve">at </w:t>
      </w:r>
      <w:r w:rsidR="00402669">
        <w:t>[</w:t>
      </w:r>
      <w:r w:rsidR="00B368D1">
        <w:t>10</w:t>
      </w:r>
      <w:r w:rsidR="00837782">
        <w:t>6</w:t>
      </w:r>
      <w:r w:rsidR="00402669">
        <w:t>]), the formulae used to designate the phosphors in Examples 1, 2 and 3 make no mention of the phosphor containing Ga.</w:t>
      </w:r>
      <w:r w:rsidR="00D859E2">
        <w:t xml:space="preserve">  There is no reason to go behind these formulae or to seek to qualify what they state.</w:t>
      </w:r>
    </w:p>
    <w:p w:rsidR="008A3B23" w:rsidRDefault="00D859E2" w:rsidP="00D859E2">
      <w:pPr>
        <w:pStyle w:val="ParaNumbering"/>
        <w:tabs>
          <w:tab w:val="clear" w:pos="720"/>
        </w:tabs>
      </w:pPr>
      <w:r>
        <w:t>Thirdly</w:t>
      </w:r>
      <w:r w:rsidR="002513D8">
        <w:t xml:space="preserve">, </w:t>
      </w:r>
      <w:r w:rsidR="00476B4A">
        <w:t xml:space="preserve">I am not prepared to accede to the respondent’s invitation to treat the Examples in </w:t>
      </w:r>
      <w:proofErr w:type="spellStart"/>
      <w:r w:rsidR="00476B4A">
        <w:t>JP585</w:t>
      </w:r>
      <w:proofErr w:type="spellEnd"/>
      <w:r w:rsidR="00476B4A">
        <w:t xml:space="preserve"> as disclosing phosphors containing Ga simply because, in submissions, the respondent could point to the words “gallium oxide” in a method that ends up producing the phosphor.  If </w:t>
      </w:r>
      <w:r w:rsidR="00476B4A">
        <w:lastRenderedPageBreak/>
        <w:t>the respondent wanted to make good its submission, then it needed to support it wit</w:t>
      </w:r>
      <w:r>
        <w:t>h evidence.  It did not do so.</w:t>
      </w:r>
    </w:p>
    <w:p w:rsidR="007852EF" w:rsidRDefault="00D859E2" w:rsidP="007852EF">
      <w:pPr>
        <w:pStyle w:val="ParaNumbering"/>
        <w:tabs>
          <w:tab w:val="clear" w:pos="720"/>
        </w:tabs>
      </w:pPr>
      <w:r>
        <w:t xml:space="preserve">That said, </w:t>
      </w:r>
      <w:r w:rsidR="008A3B23">
        <w:t xml:space="preserve">I accept that </w:t>
      </w:r>
      <w:proofErr w:type="spellStart"/>
      <w:r w:rsidR="008A3B23">
        <w:t>JP585</w:t>
      </w:r>
      <w:proofErr w:type="spellEnd"/>
      <w:r w:rsidR="008A3B23">
        <w:t xml:space="preserve"> discloses phosphors where Ga has been added to Al.  However, </w:t>
      </w:r>
      <w:proofErr w:type="spellStart"/>
      <w:r w:rsidR="008A3B23">
        <w:t>JP585</w:t>
      </w:r>
      <w:proofErr w:type="spellEnd"/>
      <w:r w:rsidR="008A3B23">
        <w:t xml:space="preserve"> discloses other phosphors where Ga has not been added to Al.  </w:t>
      </w:r>
      <w:r w:rsidR="006A1F87">
        <w:t>The fact that the Examples themselves contemplate such phosphors, is a persuasive indicator that</w:t>
      </w:r>
      <w:r>
        <w:t xml:space="preserve"> the notation (</w:t>
      </w:r>
      <w:proofErr w:type="spellStart"/>
      <w:r>
        <w:t>Al,Ga</w:t>
      </w:r>
      <w:proofErr w:type="spellEnd"/>
      <w:r>
        <w:t>)</w:t>
      </w:r>
      <w:r w:rsidRPr="006A1F87">
        <w:rPr>
          <w:vertAlign w:val="subscript"/>
        </w:rPr>
        <w:t>5</w:t>
      </w:r>
      <w:r w:rsidR="006A1F87">
        <w:t>,</w:t>
      </w:r>
      <w:r>
        <w:t xml:space="preserve"> as used in claim 1</w:t>
      </w:r>
      <w:r w:rsidR="00B56A9A">
        <w:t xml:space="preserve"> of </w:t>
      </w:r>
      <w:proofErr w:type="spellStart"/>
      <w:r w:rsidR="00B56A9A">
        <w:t>JP585</w:t>
      </w:r>
      <w:proofErr w:type="spellEnd"/>
      <w:r w:rsidR="006A1F87">
        <w:t xml:space="preserve">, </w:t>
      </w:r>
      <w:r w:rsidR="007852EF">
        <w:t>cannot be</w:t>
      </w:r>
      <w:r w:rsidR="006A1F87">
        <w:t xml:space="preserve"> confined to a phosphor in which Al and Ga are </w:t>
      </w:r>
      <w:r w:rsidR="006A1F87" w:rsidRPr="00874375">
        <w:rPr>
          <w:i/>
        </w:rPr>
        <w:t>both</w:t>
      </w:r>
      <w:r w:rsidR="006A1F87">
        <w:t xml:space="preserve"> present.  </w:t>
      </w:r>
      <w:r w:rsidR="007852EF">
        <w:t>But more importantly</w:t>
      </w:r>
      <w:r w:rsidR="006A1F87">
        <w:t xml:space="preserve">, claim 3 in </w:t>
      </w:r>
      <w:proofErr w:type="spellStart"/>
      <w:r w:rsidR="006A1F87">
        <w:t>JP585</w:t>
      </w:r>
      <w:proofErr w:type="spellEnd"/>
      <w:r w:rsidR="006A1F87">
        <w:t xml:space="preserve"> undeniably contemplates phosphors in which Al </w:t>
      </w:r>
      <w:r w:rsidR="00B56A9A" w:rsidRPr="00B56A9A">
        <w:t>and</w:t>
      </w:r>
      <w:r w:rsidR="00B56A9A">
        <w:rPr>
          <w:i/>
        </w:rPr>
        <w:t xml:space="preserve"> </w:t>
      </w:r>
      <w:r w:rsidR="006A1F87">
        <w:t xml:space="preserve">Ga </w:t>
      </w:r>
      <w:r w:rsidR="00B368D1">
        <w:t>are</w:t>
      </w:r>
      <w:r w:rsidR="006A1F87">
        <w:t xml:space="preserve"> present</w:t>
      </w:r>
      <w:r w:rsidR="00B56A9A">
        <w:t xml:space="preserve">, and phosphors in which </w:t>
      </w:r>
      <w:r w:rsidR="00B56A9A" w:rsidRPr="00B56A9A">
        <w:rPr>
          <w:i/>
        </w:rPr>
        <w:t>either</w:t>
      </w:r>
      <w:r w:rsidR="00B56A9A">
        <w:t xml:space="preserve"> is present</w:t>
      </w:r>
      <w:r w:rsidR="006A1F87">
        <w:t>.</w:t>
      </w:r>
    </w:p>
    <w:p w:rsidR="00C133D9" w:rsidRDefault="007852EF" w:rsidP="007852EF">
      <w:pPr>
        <w:pStyle w:val="ParaNumbering"/>
        <w:tabs>
          <w:tab w:val="clear" w:pos="720"/>
        </w:tabs>
      </w:pPr>
      <w:r>
        <w:t xml:space="preserve">I do not think that claim 3 </w:t>
      </w:r>
      <w:r w:rsidR="00B56A9A">
        <w:t xml:space="preserve">of </w:t>
      </w:r>
      <w:proofErr w:type="spellStart"/>
      <w:r w:rsidR="00B56A9A">
        <w:t>JP585</w:t>
      </w:r>
      <w:proofErr w:type="spellEnd"/>
      <w:r w:rsidR="00B56A9A">
        <w:t xml:space="preserve"> </w:t>
      </w:r>
      <w:r>
        <w:t>can be put to one side when the scope of claim 1</w:t>
      </w:r>
      <w:r w:rsidR="00B56A9A">
        <w:t xml:space="preserve"> of </w:t>
      </w:r>
      <w:proofErr w:type="spellStart"/>
      <w:r w:rsidR="00B56A9A">
        <w:t>JP585</w:t>
      </w:r>
      <w:proofErr w:type="spellEnd"/>
      <w:r>
        <w:t xml:space="preserve"> is under consideration.  The prefatory words of claim 3 </w:t>
      </w:r>
      <w:r w:rsidR="00B56A9A">
        <w:t xml:space="preserve">plainly reveal </w:t>
      </w:r>
      <w:r>
        <w:t>that the light emitting diode is</w:t>
      </w:r>
      <w:r w:rsidR="00837782">
        <w:t>, relevantly,</w:t>
      </w:r>
      <w:r>
        <w:t xml:space="preserve"> one </w:t>
      </w:r>
      <w:r w:rsidRPr="00781979">
        <w:rPr>
          <w:i/>
        </w:rPr>
        <w:t>according to</w:t>
      </w:r>
      <w:r>
        <w:t xml:space="preserve"> claim 1</w:t>
      </w:r>
      <w:r w:rsidR="00506257">
        <w:t xml:space="preserve">.  </w:t>
      </w:r>
    </w:p>
    <w:p w:rsidR="006A1F87" w:rsidRDefault="00506257" w:rsidP="007852EF">
      <w:pPr>
        <w:pStyle w:val="ParaNumbering"/>
        <w:tabs>
          <w:tab w:val="clear" w:pos="720"/>
        </w:tabs>
      </w:pPr>
      <w:r>
        <w:t>Thus</w:t>
      </w:r>
      <w:r w:rsidR="00B57BE7">
        <w:t>,</w:t>
      </w:r>
      <w:r>
        <w:t xml:space="preserve"> the light emitting diode </w:t>
      </w:r>
      <w:r w:rsidR="00B57BE7">
        <w:t>in claim 3</w:t>
      </w:r>
      <w:r w:rsidR="00B56A9A">
        <w:t xml:space="preserve"> of </w:t>
      </w:r>
      <w:proofErr w:type="spellStart"/>
      <w:r w:rsidR="00B56A9A">
        <w:t>JP585</w:t>
      </w:r>
      <w:proofErr w:type="spellEnd"/>
      <w:r w:rsidR="00B57BE7">
        <w:t xml:space="preserve"> </w:t>
      </w:r>
      <w:r>
        <w:t xml:space="preserve">must contain a phosphor </w:t>
      </w:r>
      <w:r w:rsidR="00B57BE7">
        <w:t>as understood</w:t>
      </w:r>
      <w:r>
        <w:t xml:space="preserve"> by the formula in claim 1</w:t>
      </w:r>
      <w:r w:rsidR="00B56A9A">
        <w:t xml:space="preserve"> thereof</w:t>
      </w:r>
      <w:r>
        <w:t>.  If that be so,</w:t>
      </w:r>
      <w:r w:rsidR="00B57BE7">
        <w:t xml:space="preserve"> the general formula used in claim 3 </w:t>
      </w:r>
      <w:r w:rsidR="00B56A9A">
        <w:t xml:space="preserve">of </w:t>
      </w:r>
      <w:proofErr w:type="spellStart"/>
      <w:r w:rsidR="00B56A9A">
        <w:t>JP585</w:t>
      </w:r>
      <w:proofErr w:type="spellEnd"/>
      <w:r w:rsidR="00B56A9A">
        <w:t xml:space="preserve"> </w:t>
      </w:r>
      <w:r w:rsidR="00B57BE7">
        <w:t>must reflect the intended scope of the notation (</w:t>
      </w:r>
      <w:proofErr w:type="spellStart"/>
      <w:r w:rsidR="00B57BE7">
        <w:t>Al,Ga</w:t>
      </w:r>
      <w:proofErr w:type="spellEnd"/>
      <w:r w:rsidR="00B57BE7">
        <w:t>)</w:t>
      </w:r>
      <w:r w:rsidR="00B57BE7" w:rsidRPr="00B57BE7">
        <w:rPr>
          <w:vertAlign w:val="subscript"/>
        </w:rPr>
        <w:t>5</w:t>
      </w:r>
      <w:r w:rsidR="00B57BE7">
        <w:t xml:space="preserve"> as used in the formula of the phosphor disclosed in claim 1.  I accept, therefore, that the person skilled in the art would unders</w:t>
      </w:r>
      <w:r w:rsidR="006B65CA">
        <w:t>tand that notation to represent, as Professor Reeves said, any mixing of Al and Ga from 0% up to 100% of eit</w:t>
      </w:r>
      <w:r w:rsidR="002665AC">
        <w:t>her, as long as the total number of atoms</w:t>
      </w:r>
      <w:r w:rsidR="006B65CA">
        <w:t xml:space="preserve"> is conserved to make five atoms in the unit.  </w:t>
      </w:r>
      <w:r w:rsidR="00C3112C">
        <w:t>So read,</w:t>
      </w:r>
      <w:r w:rsidR="006B65CA">
        <w:t xml:space="preserve"> the notation is not only consistent with the terms of the claims, but consistent with the other disclosures in </w:t>
      </w:r>
      <w:proofErr w:type="spellStart"/>
      <w:r w:rsidR="006B65CA">
        <w:t>JP585</w:t>
      </w:r>
      <w:proofErr w:type="spellEnd"/>
      <w:r w:rsidR="006B65CA">
        <w:t xml:space="preserve"> to which I have referred.  Further, </w:t>
      </w:r>
      <w:proofErr w:type="spellStart"/>
      <w:r w:rsidR="006B65CA">
        <w:t>JP585</w:t>
      </w:r>
      <w:proofErr w:type="spellEnd"/>
      <w:r w:rsidR="006B65CA">
        <w:t xml:space="preserve"> does not itself teach that a phosphor containing 0% Al and 100% Ga will not work when combined with </w:t>
      </w:r>
      <w:r w:rsidR="00874375">
        <w:t>the</w:t>
      </w:r>
      <w:r w:rsidR="006B65CA">
        <w:t xml:space="preserve"> nitride compound semiconductor</w:t>
      </w:r>
      <w:r w:rsidR="00B56A9A">
        <w:t xml:space="preserve"> of the invention</w:t>
      </w:r>
      <w:r w:rsidR="006B65CA">
        <w:t>.</w:t>
      </w:r>
    </w:p>
    <w:p w:rsidR="006B65CA" w:rsidRDefault="006B65CA" w:rsidP="007852EF">
      <w:pPr>
        <w:pStyle w:val="ParaNumbering"/>
        <w:tabs>
          <w:tab w:val="clear" w:pos="720"/>
        </w:tabs>
      </w:pPr>
      <w:r>
        <w:t>In my view, the construction of the f</w:t>
      </w:r>
      <w:r w:rsidR="00C3112C">
        <w:t>ormula of the phosphor of claim</w:t>
      </w:r>
      <w:r>
        <w:t xml:space="preserve"> 1 of </w:t>
      </w:r>
      <w:proofErr w:type="spellStart"/>
      <w:r>
        <w:t>JP585</w:t>
      </w:r>
      <w:proofErr w:type="spellEnd"/>
      <w:r>
        <w:t>, and in particular the notation (</w:t>
      </w:r>
      <w:proofErr w:type="spellStart"/>
      <w:r>
        <w:t>Al,Ga</w:t>
      </w:r>
      <w:proofErr w:type="spellEnd"/>
      <w:r>
        <w:t>)</w:t>
      </w:r>
      <w:r w:rsidRPr="000E2CF8">
        <w:rPr>
          <w:vertAlign w:val="subscript"/>
        </w:rPr>
        <w:t>5</w:t>
      </w:r>
      <w:r>
        <w:t xml:space="preserve">, is not assisted by reference to sources external to </w:t>
      </w:r>
      <w:proofErr w:type="spellStart"/>
      <w:r>
        <w:t>JP585</w:t>
      </w:r>
      <w:proofErr w:type="spellEnd"/>
      <w:r>
        <w:t xml:space="preserve"> itself.  Resort to the literature</w:t>
      </w:r>
      <w:r w:rsidR="00C3112C">
        <w:t xml:space="preserve">, including </w:t>
      </w:r>
      <w:proofErr w:type="spellStart"/>
      <w:r w:rsidR="00C3112C">
        <w:t>JP339</w:t>
      </w:r>
      <w:proofErr w:type="spellEnd"/>
      <w:r w:rsidR="00C3112C">
        <w:t>,</w:t>
      </w:r>
      <w:r>
        <w:t xml:space="preserve"> simply reinforces that the meaning of </w:t>
      </w:r>
      <w:r w:rsidR="00891FD5">
        <w:t>“</w:t>
      </w:r>
      <w:r w:rsidR="00B56A9A">
        <w:t>comma notations</w:t>
      </w:r>
      <w:r w:rsidR="00891FD5">
        <w:t>”</w:t>
      </w:r>
      <w:r>
        <w:t xml:space="preserve"> such as (</w:t>
      </w:r>
      <w:proofErr w:type="spellStart"/>
      <w:r>
        <w:t>Al,Ga</w:t>
      </w:r>
      <w:proofErr w:type="spellEnd"/>
      <w:r>
        <w:t>)</w:t>
      </w:r>
      <w:r w:rsidRPr="000E2CF8">
        <w:rPr>
          <w:vertAlign w:val="subscript"/>
        </w:rPr>
        <w:t>5</w:t>
      </w:r>
      <w:r>
        <w:t xml:space="preserve"> is dependent on the context</w:t>
      </w:r>
      <w:r w:rsidR="000E2CF8">
        <w:t xml:space="preserve"> in which </w:t>
      </w:r>
      <w:r w:rsidR="00B56A9A">
        <w:t>the</w:t>
      </w:r>
      <w:r w:rsidR="000E2CF8">
        <w:t xml:space="preserve"> notation</w:t>
      </w:r>
      <w:r w:rsidR="00B56A9A">
        <w:t>s</w:t>
      </w:r>
      <w:r w:rsidR="000E2CF8">
        <w:t xml:space="preserve"> </w:t>
      </w:r>
      <w:r w:rsidR="00B56A9A">
        <w:t>are</w:t>
      </w:r>
      <w:r w:rsidR="000E2CF8">
        <w:t xml:space="preserve"> used.</w:t>
      </w:r>
    </w:p>
    <w:p w:rsidR="000E2CF8" w:rsidRDefault="006B65CA" w:rsidP="007852EF">
      <w:pPr>
        <w:pStyle w:val="ParaNumbering"/>
        <w:tabs>
          <w:tab w:val="clear" w:pos="720"/>
        </w:tabs>
      </w:pPr>
      <w:r>
        <w:t>I reject the respondent’s submission that the phosp</w:t>
      </w:r>
      <w:r w:rsidR="00C3112C">
        <w:t>hor of claim</w:t>
      </w:r>
      <w:r>
        <w:t xml:space="preserve"> 1 of </w:t>
      </w:r>
      <w:proofErr w:type="spellStart"/>
      <w:r>
        <w:t>JP585</w:t>
      </w:r>
      <w:proofErr w:type="spellEnd"/>
      <w:r w:rsidR="00837782">
        <w:t>—</w:t>
      </w:r>
      <w:r>
        <w:t xml:space="preserve">represented by </w:t>
      </w:r>
      <w:proofErr w:type="spellStart"/>
      <w:r>
        <w:t>RE</w:t>
      </w:r>
      <w:r w:rsidRPr="00E822FB">
        <w:rPr>
          <w:vertAlign w:val="subscript"/>
        </w:rPr>
        <w:t>3</w:t>
      </w:r>
      <w:proofErr w:type="spellEnd"/>
      <w:r>
        <w:t>(</w:t>
      </w:r>
      <w:proofErr w:type="spellStart"/>
      <w:r>
        <w:t>Al,Ga</w:t>
      </w:r>
      <w:proofErr w:type="spellEnd"/>
      <w:r>
        <w:t>)</w:t>
      </w:r>
      <w:proofErr w:type="spellStart"/>
      <w:r w:rsidRPr="00E822FB">
        <w:rPr>
          <w:vertAlign w:val="subscript"/>
        </w:rPr>
        <w:t>5</w:t>
      </w:r>
      <w:r>
        <w:t>O</w:t>
      </w:r>
      <w:r w:rsidRPr="00E822FB">
        <w:rPr>
          <w:vertAlign w:val="subscript"/>
        </w:rPr>
        <w:t>12</w:t>
      </w:r>
      <w:r>
        <w:t>:Ce</w:t>
      </w:r>
      <w:proofErr w:type="spellEnd"/>
      <w:r>
        <w:t xml:space="preserve"> where RE is at least one selected from Y, </w:t>
      </w:r>
      <w:proofErr w:type="spellStart"/>
      <w:r>
        <w:t>Gd</w:t>
      </w:r>
      <w:proofErr w:type="spellEnd"/>
      <w:r>
        <w:t xml:space="preserve"> and Sm</w:t>
      </w:r>
      <w:r w:rsidR="00837782">
        <w:t>—</w:t>
      </w:r>
      <w:r>
        <w:t xml:space="preserve">would be understood by the person skilled in the art </w:t>
      </w:r>
      <w:r w:rsidR="00F21425">
        <w:t>as having</w:t>
      </w:r>
      <w:r>
        <w:t xml:space="preserve"> the various qualifications the respondent </w:t>
      </w:r>
      <w:r w:rsidR="00874375">
        <w:t>propounded</w:t>
      </w:r>
      <w:r w:rsidR="00F21425">
        <w:t>:  see [137]</w:t>
      </w:r>
      <w:r>
        <w:t>.</w:t>
      </w:r>
      <w:r w:rsidR="000E2CF8">
        <w:t xml:space="preserve">  There are a number of reasons for this conclusion.</w:t>
      </w:r>
    </w:p>
    <w:p w:rsidR="006268D9" w:rsidRDefault="006268D9" w:rsidP="00874375">
      <w:pPr>
        <w:pStyle w:val="ParaNumbering"/>
        <w:tabs>
          <w:tab w:val="clear" w:pos="720"/>
        </w:tabs>
      </w:pPr>
      <w:r>
        <w:lastRenderedPageBreak/>
        <w:t>First, the source of this particular construction of the formula of the phosphor in claim 1 is the respondent’s advocacy.  No witness gave evidence that the person skilled in the art would read the formula with these numerous</w:t>
      </w:r>
      <w:r w:rsidR="00E56408">
        <w:t>, significant</w:t>
      </w:r>
      <w:r>
        <w:t xml:space="preserve"> qualifications.  </w:t>
      </w:r>
      <w:r w:rsidR="00A40558">
        <w:t xml:space="preserve">The absence of such evidence is </w:t>
      </w:r>
      <w:r w:rsidR="00C3112C">
        <w:t>telling</w:t>
      </w:r>
      <w:r w:rsidR="00E56408">
        <w:t>.</w:t>
      </w:r>
    </w:p>
    <w:p w:rsidR="007533A4" w:rsidRDefault="006268D9" w:rsidP="00874375">
      <w:pPr>
        <w:pStyle w:val="ParaNumbering"/>
        <w:tabs>
          <w:tab w:val="clear" w:pos="720"/>
        </w:tabs>
      </w:pPr>
      <w:r>
        <w:t>Secondly</w:t>
      </w:r>
      <w:r w:rsidR="000E2CF8">
        <w:t xml:space="preserve">, </w:t>
      </w:r>
      <w:proofErr w:type="spellStart"/>
      <w:r w:rsidR="000E2CF8">
        <w:t>JP585</w:t>
      </w:r>
      <w:proofErr w:type="spellEnd"/>
      <w:r w:rsidR="000E2CF8">
        <w:t xml:space="preserve"> does not itself express these qualifications.  </w:t>
      </w:r>
      <w:r w:rsidR="00E56408">
        <w:t>Properly considered, the</w:t>
      </w:r>
      <w:r w:rsidR="007533A4">
        <w:t xml:space="preserve"> respondent’s proffered construction </w:t>
      </w:r>
      <w:r w:rsidR="00E56408">
        <w:t xml:space="preserve">moves beyond an interpretation of the </w:t>
      </w:r>
      <w:r w:rsidR="007533A4">
        <w:t>formula</w:t>
      </w:r>
      <w:r w:rsidR="00E56408">
        <w:t xml:space="preserve"> of the phosphor</w:t>
      </w:r>
      <w:r w:rsidR="007533A4">
        <w:t xml:space="preserve"> in claim 1 </w:t>
      </w:r>
      <w:r w:rsidR="00E56408">
        <w:t>and involves nothing less than a complete rewriting of it</w:t>
      </w:r>
      <w:r w:rsidR="007533A4">
        <w:t xml:space="preserve">.    </w:t>
      </w:r>
    </w:p>
    <w:p w:rsidR="007533A4" w:rsidRDefault="007533A4" w:rsidP="007533A4">
      <w:pPr>
        <w:pStyle w:val="ParaNumbering"/>
        <w:tabs>
          <w:tab w:val="clear" w:pos="720"/>
        </w:tabs>
      </w:pPr>
      <w:r>
        <w:t>In this connection,</w:t>
      </w:r>
      <w:r w:rsidR="000E2CF8">
        <w:t xml:space="preserve"> claim 1 make</w:t>
      </w:r>
      <w:r w:rsidR="00C3112C">
        <w:t>s</w:t>
      </w:r>
      <w:r w:rsidR="000E2CF8">
        <w:t xml:space="preserve"> clear that the </w:t>
      </w:r>
      <w:r w:rsidR="00A52CF2">
        <w:t>“</w:t>
      </w:r>
      <w:r w:rsidR="000E2CF8">
        <w:t>large</w:t>
      </w:r>
      <w:r w:rsidR="00A52CF2">
        <w:t>”</w:t>
      </w:r>
      <w:r w:rsidR="000E2CF8">
        <w:t xml:space="preserve"> metal ions in the phosphor can be</w:t>
      </w:r>
      <w:r w:rsidR="00837782">
        <w:t xml:space="preserve"> at least one</w:t>
      </w:r>
      <w:r w:rsidR="000E2CF8">
        <w:t xml:space="preserve"> selected from Y, </w:t>
      </w:r>
      <w:proofErr w:type="spellStart"/>
      <w:r w:rsidR="000E2CF8">
        <w:t>Gd</w:t>
      </w:r>
      <w:proofErr w:type="spellEnd"/>
      <w:r w:rsidR="000E2CF8">
        <w:t xml:space="preserve"> and Sm.  </w:t>
      </w:r>
      <w:r w:rsidR="00874375">
        <w:t>This means that</w:t>
      </w:r>
      <w:r w:rsidR="006268D9">
        <w:t>, according to the formula,</w:t>
      </w:r>
      <w:r w:rsidR="00874375">
        <w:t xml:space="preserve"> the </w:t>
      </w:r>
      <w:r w:rsidR="00A52CF2">
        <w:t>“</w:t>
      </w:r>
      <w:r w:rsidR="00874375">
        <w:t>large</w:t>
      </w:r>
      <w:r w:rsidR="00A52CF2">
        <w:t>”</w:t>
      </w:r>
      <w:r w:rsidR="00874375">
        <w:t xml:space="preserve"> metal ions of the phosphor can exists in various combinations</w:t>
      </w:r>
      <w:r>
        <w:t>, including combinations</w:t>
      </w:r>
      <w:r w:rsidR="00874375">
        <w:t xml:space="preserve"> in which Y is not even present.  </w:t>
      </w:r>
      <w:r w:rsidR="006268D9">
        <w:t>In other words, according</w:t>
      </w:r>
      <w:r w:rsidR="00874375">
        <w:t xml:space="preserve"> to claim 1, the </w:t>
      </w:r>
      <w:r w:rsidR="00A52CF2">
        <w:t>“</w:t>
      </w:r>
      <w:r w:rsidR="00874375">
        <w:t>large</w:t>
      </w:r>
      <w:r w:rsidR="00A52CF2">
        <w:t>”</w:t>
      </w:r>
      <w:r w:rsidR="00874375">
        <w:t xml:space="preserve"> metal ions could </w:t>
      </w:r>
      <w:r w:rsidR="00837782">
        <w:t xml:space="preserve">be </w:t>
      </w:r>
      <w:proofErr w:type="spellStart"/>
      <w:r w:rsidR="00874375">
        <w:t>Gd</w:t>
      </w:r>
      <w:proofErr w:type="spellEnd"/>
      <w:r w:rsidR="00874375">
        <w:t xml:space="preserve"> or Sm.</w:t>
      </w:r>
      <w:r w:rsidR="006268D9">
        <w:t xml:space="preserve">  The respondent’s submission introduces the qualification, contrar</w:t>
      </w:r>
      <w:r w:rsidR="00C3112C">
        <w:t>y to the express terms of claim</w:t>
      </w:r>
      <w:r w:rsidR="006268D9">
        <w:t xml:space="preserve"> 1, that Y must be present.</w:t>
      </w:r>
      <w:r w:rsidR="00C133D9">
        <w:t xml:space="preserve"> </w:t>
      </w:r>
      <w:r w:rsidR="009026BE">
        <w:t xml:space="preserve">  </w:t>
      </w:r>
    </w:p>
    <w:p w:rsidR="006B65CA" w:rsidRDefault="007533A4" w:rsidP="007533A4">
      <w:pPr>
        <w:pStyle w:val="ParaNumbering"/>
        <w:tabs>
          <w:tab w:val="clear" w:pos="720"/>
        </w:tabs>
      </w:pPr>
      <w:r>
        <w:t>Further, claim 1 do</w:t>
      </w:r>
      <w:r w:rsidR="00C3112C">
        <w:t>es</w:t>
      </w:r>
      <w:r>
        <w:t xml:space="preserve"> not suggest that there is a required correlation between the selection made in that regard and the identity of the </w:t>
      </w:r>
      <w:r w:rsidR="00A52CF2">
        <w:t>“</w:t>
      </w:r>
      <w:r>
        <w:t>small</w:t>
      </w:r>
      <w:r w:rsidR="00A52CF2">
        <w:t>”</w:t>
      </w:r>
      <w:r>
        <w:t xml:space="preserve"> metal ions in the phosphor, beyond the fact that the </w:t>
      </w:r>
      <w:r w:rsidR="00A52CF2">
        <w:t>“</w:t>
      </w:r>
      <w:r>
        <w:t>small</w:t>
      </w:r>
      <w:r w:rsidR="00A52CF2">
        <w:t>”</w:t>
      </w:r>
      <w:r>
        <w:t xml:space="preserve"> metal ions are (</w:t>
      </w:r>
      <w:proofErr w:type="spellStart"/>
      <w:r>
        <w:t>Al,Ga</w:t>
      </w:r>
      <w:proofErr w:type="spellEnd"/>
      <w:r>
        <w:t>)</w:t>
      </w:r>
      <w:r w:rsidRPr="009026BE">
        <w:rPr>
          <w:vertAlign w:val="subscript"/>
        </w:rPr>
        <w:t>5</w:t>
      </w:r>
      <w:r>
        <w:t>.  The respondent’s closing submissions accept that the notation (</w:t>
      </w:r>
      <w:proofErr w:type="spellStart"/>
      <w:r>
        <w:t>Al,Ga</w:t>
      </w:r>
      <w:proofErr w:type="spellEnd"/>
      <w:r>
        <w:t>)</w:t>
      </w:r>
      <w:r w:rsidRPr="006268D9">
        <w:rPr>
          <w:vertAlign w:val="subscript"/>
        </w:rPr>
        <w:t>5</w:t>
      </w:r>
      <w:r>
        <w:t xml:space="preserve"> includes (</w:t>
      </w:r>
      <w:proofErr w:type="spellStart"/>
      <w:r>
        <w:t>Al</w:t>
      </w:r>
      <w:r w:rsidRPr="009026BE">
        <w:rPr>
          <w:vertAlign w:val="subscript"/>
        </w:rPr>
        <w:t>1-s</w:t>
      </w:r>
      <w:r>
        <w:t>Ga</w:t>
      </w:r>
      <w:r w:rsidRPr="009026BE">
        <w:rPr>
          <w:vertAlign w:val="subscript"/>
        </w:rPr>
        <w:t>s</w:t>
      </w:r>
      <w:proofErr w:type="spellEnd"/>
      <w:r>
        <w:t>)</w:t>
      </w:r>
      <w:r w:rsidRPr="009026BE">
        <w:rPr>
          <w:vertAlign w:val="subscript"/>
        </w:rPr>
        <w:t>5</w:t>
      </w:r>
      <w:r>
        <w:t xml:space="preserve"> where 0</w:t>
      </w:r>
      <w:r w:rsidRPr="0005390E">
        <w:rPr>
          <w:u w:val="single"/>
        </w:rPr>
        <w:t>&lt;</w:t>
      </w:r>
      <w:r>
        <w:t>s</w:t>
      </w:r>
      <w:r w:rsidRPr="0005390E">
        <w:rPr>
          <w:u w:val="single"/>
        </w:rPr>
        <w:t>&lt;</w:t>
      </w:r>
      <w:r>
        <w:t xml:space="preserve">l.  Where s = 1, the </w:t>
      </w:r>
      <w:r w:rsidR="00A52CF2">
        <w:t>“</w:t>
      </w:r>
      <w:r>
        <w:t>small</w:t>
      </w:r>
      <w:r w:rsidR="00A52CF2">
        <w:t>”</w:t>
      </w:r>
      <w:r>
        <w:t xml:space="preserve"> ions would be represented by 100% Ga.  However, contrary to its own qualification</w:t>
      </w:r>
      <w:r w:rsidR="00837782">
        <w:t xml:space="preserve"> (0</w:t>
      </w:r>
      <w:r w:rsidR="00837782" w:rsidRPr="0005390E">
        <w:rPr>
          <w:u w:val="single"/>
        </w:rPr>
        <w:t>&lt;</w:t>
      </w:r>
      <w:r w:rsidR="00837782">
        <w:t>s</w:t>
      </w:r>
      <w:r w:rsidR="00837782" w:rsidRPr="0005390E">
        <w:rPr>
          <w:u w:val="single"/>
        </w:rPr>
        <w:t>&lt;</w:t>
      </w:r>
      <w:r w:rsidR="00837782">
        <w:t>l)</w:t>
      </w:r>
      <w:r>
        <w:t>, the respondent submitted that Al must be present in the phosphor.  I do not see how this can be so.  F</w:t>
      </w:r>
      <w:r w:rsidR="00A52CF2">
        <w:t xml:space="preserve">urther, </w:t>
      </w:r>
      <w:proofErr w:type="spellStart"/>
      <w:r w:rsidR="00A52CF2">
        <w:t>JP585</w:t>
      </w:r>
      <w:proofErr w:type="spellEnd"/>
      <w:r w:rsidR="00A52CF2">
        <w:t xml:space="preserve"> does not say that</w:t>
      </w:r>
      <w:r>
        <w:t xml:space="preserve"> where RE = Y then s ≠ 1.  </w:t>
      </w:r>
    </w:p>
    <w:p w:rsidR="002513D8" w:rsidRDefault="007533A4" w:rsidP="00402669">
      <w:pPr>
        <w:pStyle w:val="ParaNumbering"/>
        <w:tabs>
          <w:tab w:val="clear" w:pos="720"/>
        </w:tabs>
      </w:pPr>
      <w:r>
        <w:t xml:space="preserve">Fourthly, </w:t>
      </w:r>
      <w:proofErr w:type="spellStart"/>
      <w:r>
        <w:t>JP</w:t>
      </w:r>
      <w:r w:rsidR="00E56408">
        <w:t>585</w:t>
      </w:r>
      <w:proofErr w:type="spellEnd"/>
      <w:r>
        <w:t xml:space="preserve"> does not teach that, unless </w:t>
      </w:r>
      <w:proofErr w:type="spellStart"/>
      <w:r>
        <w:t>Gd</w:t>
      </w:r>
      <w:proofErr w:type="spellEnd"/>
      <w:r>
        <w:t xml:space="preserve"> or Sm is present with Y, the fluorescent material will not act as a phosphor in combination with the nitride compound semiconductor when the </w:t>
      </w:r>
      <w:r w:rsidR="00A52CF2">
        <w:t>“</w:t>
      </w:r>
      <w:r>
        <w:t>small</w:t>
      </w:r>
      <w:r w:rsidR="00A52CF2">
        <w:t>”</w:t>
      </w:r>
      <w:r>
        <w:t xml:space="preserve"> metal ions</w:t>
      </w:r>
      <w:r w:rsidR="00A40558">
        <w:t xml:space="preserve"> of the phosphor</w:t>
      </w:r>
      <w:r>
        <w:t xml:space="preserve"> comprise 100% Ga.</w:t>
      </w:r>
      <w:r w:rsidR="00A40558">
        <w:t xml:space="preserve">  I do not see how references in the literature to certain materials that do not act as phosphors under certain conditions of excitation can have any role to play in understanding the disclosures of </w:t>
      </w:r>
      <w:proofErr w:type="spellStart"/>
      <w:r w:rsidR="00A40558">
        <w:t>JP585</w:t>
      </w:r>
      <w:proofErr w:type="spellEnd"/>
      <w:r w:rsidR="00A40558">
        <w:t xml:space="preserve">.  The respondent has not established by evidence that the materials </w:t>
      </w:r>
      <w:r w:rsidR="00C3112C">
        <w:t>covered by the formula in claim</w:t>
      </w:r>
      <w:r w:rsidR="00A40558">
        <w:t xml:space="preserve"> 1 of </w:t>
      </w:r>
      <w:proofErr w:type="spellStart"/>
      <w:r w:rsidR="00A40558">
        <w:t>JP585</w:t>
      </w:r>
      <w:proofErr w:type="spellEnd"/>
      <w:r w:rsidR="00A40558">
        <w:t>, read in light of the general formula in claim 3 thereof,</w:t>
      </w:r>
      <w:r>
        <w:t xml:space="preserve"> </w:t>
      </w:r>
      <w:r w:rsidR="00A40558">
        <w:t xml:space="preserve">do not work as phosphors.  Even if it had provided such evidence, it would be necessary for it to take the further step of showing that that information was part of the common general knowledge for the purpose of construing </w:t>
      </w:r>
      <w:proofErr w:type="spellStart"/>
      <w:r w:rsidR="00A40558">
        <w:t>JP585</w:t>
      </w:r>
      <w:proofErr w:type="spellEnd"/>
      <w:r w:rsidR="00A40558">
        <w:t>.  The respondent’s evidence falls far short of that goal.</w:t>
      </w:r>
    </w:p>
    <w:p w:rsidR="00A76C3E" w:rsidRDefault="00FC23E7" w:rsidP="004D63D4">
      <w:pPr>
        <w:pStyle w:val="ParaNumbering"/>
        <w:tabs>
          <w:tab w:val="clear" w:pos="720"/>
        </w:tabs>
      </w:pPr>
      <w:r>
        <w:lastRenderedPageBreak/>
        <w:t>When the notation (</w:t>
      </w:r>
      <w:proofErr w:type="spellStart"/>
      <w:r>
        <w:t>Al,Ga</w:t>
      </w:r>
      <w:proofErr w:type="spellEnd"/>
      <w:r>
        <w:t>)</w:t>
      </w:r>
      <w:r w:rsidRPr="00837782">
        <w:rPr>
          <w:vertAlign w:val="subscript"/>
        </w:rPr>
        <w:t>5</w:t>
      </w:r>
      <w:r>
        <w:t xml:space="preserve"> as used in cla</w:t>
      </w:r>
      <w:r w:rsidR="00C3112C">
        <w:t>im</w:t>
      </w:r>
      <w:r>
        <w:t xml:space="preserve"> 1 of </w:t>
      </w:r>
      <w:proofErr w:type="spellStart"/>
      <w:r>
        <w:t>JP585</w:t>
      </w:r>
      <w:proofErr w:type="spellEnd"/>
      <w:r>
        <w:t xml:space="preserve"> is read in the way </w:t>
      </w:r>
      <w:r w:rsidR="00C3112C">
        <w:t>that</w:t>
      </w:r>
      <w:r>
        <w:t xml:space="preserve"> the applicant contends,</w:t>
      </w:r>
      <w:r w:rsidR="00A52CF2">
        <w:t xml:space="preserve"> as I think it must,</w:t>
      </w:r>
      <w:r>
        <w:t xml:space="preserve"> the evidence establishes that there is no crystal combination in the </w:t>
      </w:r>
      <w:r w:rsidR="003374FB">
        <w:t>g</w:t>
      </w:r>
      <w:r>
        <w:t xml:space="preserve">eneral </w:t>
      </w:r>
      <w:r w:rsidR="003374FB">
        <w:t>f</w:t>
      </w:r>
      <w:r>
        <w:t xml:space="preserve">ormula </w:t>
      </w:r>
      <w:r w:rsidR="00A52CF2">
        <w:t>in</w:t>
      </w:r>
      <w:r>
        <w:t xml:space="preserve"> claim 3 of the </w:t>
      </w:r>
      <w:r w:rsidR="00C0280F">
        <w:t>355</w:t>
      </w:r>
      <w:r w:rsidR="00C3112C">
        <w:t xml:space="preserve"> </w:t>
      </w:r>
      <w:r>
        <w:t xml:space="preserve">specification that is not covered </w:t>
      </w:r>
      <w:r w:rsidR="00A52CF2">
        <w:t>by</w:t>
      </w:r>
      <w:r>
        <w:t xml:space="preserve"> th</w:t>
      </w:r>
      <w:r w:rsidR="00C3112C">
        <w:t>e formula in claim</w:t>
      </w:r>
      <w:r>
        <w:t xml:space="preserve"> 1 of </w:t>
      </w:r>
      <w:proofErr w:type="spellStart"/>
      <w:r>
        <w:t>JP585</w:t>
      </w:r>
      <w:proofErr w:type="spellEnd"/>
      <w:r>
        <w:t xml:space="preserve">.  </w:t>
      </w:r>
      <w:r w:rsidR="003374FB">
        <w:t xml:space="preserve">  </w:t>
      </w:r>
    </w:p>
    <w:p w:rsidR="00E27716" w:rsidRDefault="00E27716" w:rsidP="00E27716">
      <w:pPr>
        <w:pStyle w:val="Heading1"/>
      </w:pPr>
      <w:r>
        <w:t>Conclusion</w:t>
      </w:r>
    </w:p>
    <w:p w:rsidR="00E27716" w:rsidRDefault="003374FB" w:rsidP="004D63D4">
      <w:pPr>
        <w:pStyle w:val="ParaNumbering"/>
        <w:tabs>
          <w:tab w:val="clear" w:pos="720"/>
        </w:tabs>
      </w:pPr>
      <w:r>
        <w:t xml:space="preserve">For these reasons, I accept that there is a real and reasonably clear disclosure in </w:t>
      </w:r>
      <w:proofErr w:type="spellStart"/>
      <w:r>
        <w:t>JP585</w:t>
      </w:r>
      <w:proofErr w:type="spellEnd"/>
      <w:r>
        <w:t xml:space="preserve"> of the </w:t>
      </w:r>
      <w:r w:rsidR="00902A23">
        <w:t>forms of the invention</w:t>
      </w:r>
      <w:r>
        <w:t xml:space="preserve"> defined by the general formula in claim 3 of the </w:t>
      </w:r>
      <w:r w:rsidR="00C0280F">
        <w:t>355</w:t>
      </w:r>
      <w:r w:rsidR="00C3112C">
        <w:t xml:space="preserve"> </w:t>
      </w:r>
      <w:r>
        <w:t xml:space="preserve">specification.  I am satisfied that the invention </w:t>
      </w:r>
      <w:r w:rsidR="00A52CF2">
        <w:t xml:space="preserve">as </w:t>
      </w:r>
      <w:r>
        <w:t xml:space="preserve">claimed in claim 3 of the </w:t>
      </w:r>
      <w:r w:rsidR="00C0280F">
        <w:t>355</w:t>
      </w:r>
      <w:r w:rsidR="00C3112C">
        <w:t xml:space="preserve"> </w:t>
      </w:r>
      <w:r>
        <w:t xml:space="preserve">specification is fairly based on matter disclosed in </w:t>
      </w:r>
      <w:proofErr w:type="spellStart"/>
      <w:r>
        <w:t>JP585</w:t>
      </w:r>
      <w:proofErr w:type="spellEnd"/>
      <w:r>
        <w:t xml:space="preserve"> and that the priority date of the claim is</w:t>
      </w:r>
      <w:r w:rsidR="00A52CF2">
        <w:t xml:space="preserve"> </w:t>
      </w:r>
      <w:r>
        <w:t>29 July 1996.</w:t>
      </w:r>
    </w:p>
    <w:p w:rsidR="00813E93" w:rsidRDefault="00813E93" w:rsidP="004D63D4">
      <w:pPr>
        <w:pStyle w:val="ParaNumbering"/>
        <w:tabs>
          <w:tab w:val="clear" w:pos="720"/>
        </w:tabs>
      </w:pPr>
      <w:r>
        <w:t>I record for completeness that the respondent advanced an alternative priority date for claim 3</w:t>
      </w:r>
      <w:r w:rsidR="00A52CF2">
        <w:t xml:space="preserve"> of the 355 specification</w:t>
      </w:r>
      <w:r>
        <w:t xml:space="preserve"> (27 December 1996) based on disclosures in another priority document, Japanese patent application </w:t>
      </w:r>
      <w:proofErr w:type="spellStart"/>
      <w:r>
        <w:t>JP8</w:t>
      </w:r>
      <w:proofErr w:type="spellEnd"/>
      <w:r>
        <w:t>-</w:t>
      </w:r>
      <w:r w:rsidR="00837782">
        <w:t>359004</w:t>
      </w:r>
      <w:r>
        <w:t>.  Having regard to the conclusion I have reached, it is not necessary for me to consider that alternative.</w:t>
      </w:r>
    </w:p>
    <w:p w:rsidR="003374FB" w:rsidRDefault="003374FB" w:rsidP="004D63D4">
      <w:pPr>
        <w:pStyle w:val="ParaNumbering"/>
        <w:tabs>
          <w:tab w:val="clear" w:pos="720"/>
        </w:tabs>
      </w:pPr>
      <w:r>
        <w:t>Further, as I have noted,</w:t>
      </w:r>
      <w:r w:rsidRPr="003374FB">
        <w:t xml:space="preserve"> </w:t>
      </w:r>
      <w:r>
        <w:t xml:space="preserve">the respondent accepts that if, as I have found, claim 1 </w:t>
      </w:r>
      <w:r w:rsidR="00C3112C">
        <w:t xml:space="preserve">of the </w:t>
      </w:r>
      <w:r w:rsidR="00C0280F">
        <w:t>355</w:t>
      </w:r>
      <w:r w:rsidR="00C3112C">
        <w:t xml:space="preserve"> specification </w:t>
      </w:r>
      <w:r>
        <w:t xml:space="preserve">defines more than one form of the invention, then the priority dates of those forms are the dates </w:t>
      </w:r>
      <w:r w:rsidR="00FB0A81">
        <w:t>identified by the applicant</w:t>
      </w:r>
      <w:r>
        <w:t xml:space="preserve">.  </w:t>
      </w:r>
    </w:p>
    <w:p w:rsidR="00E27716" w:rsidRDefault="00E27716" w:rsidP="00E27716">
      <w:pPr>
        <w:pStyle w:val="Heading1"/>
      </w:pPr>
      <w:r>
        <w:t>Disposition</w:t>
      </w:r>
    </w:p>
    <w:p w:rsidR="00E27716" w:rsidRDefault="003374FB" w:rsidP="004D63D4">
      <w:pPr>
        <w:pStyle w:val="ParaNumbering"/>
        <w:tabs>
          <w:tab w:val="clear" w:pos="720"/>
        </w:tabs>
      </w:pPr>
      <w:r>
        <w:t xml:space="preserve">The parties are to bring </w:t>
      </w:r>
      <w:r w:rsidR="00481E2D">
        <w:t xml:space="preserve">in </w:t>
      </w:r>
      <w:r>
        <w:t xml:space="preserve">draft orders to give effect to these reasons.  The applicant has already provided written submissions on the question of costs.  If, after consideration of these reasons, the respondent disputes the applicant’s entitlement to costs as sought, the respondent is </w:t>
      </w:r>
      <w:r w:rsidR="00D52A62">
        <w:t xml:space="preserve">to </w:t>
      </w:r>
      <w:r>
        <w:t>provide a draft of the order it seeks in that regard, supported by written submissions not exceeding three pages.  I will determine that question on the papers.</w:t>
      </w:r>
      <w:r w:rsidR="00813E93">
        <w:t xml:space="preserve">  The draft orders should also provide for the appointment of a further case management hearing in the near future.</w:t>
      </w:r>
    </w:p>
    <w:tbl>
      <w:tblPr>
        <w:tblW w:w="0" w:type="auto"/>
        <w:tblLook w:val="04A0" w:firstRow="1" w:lastRow="0" w:firstColumn="1" w:lastColumn="0" w:noHBand="0" w:noVBand="1"/>
      </w:tblPr>
      <w:tblGrid>
        <w:gridCol w:w="3794"/>
      </w:tblGrid>
      <w:tr w:rsidR="00154F74" w:rsidRPr="00154F74">
        <w:tc>
          <w:tcPr>
            <w:tcW w:w="3794" w:type="dxa"/>
            <w:shd w:val="clear" w:color="auto" w:fill="auto"/>
          </w:tcPr>
          <w:p w:rsidR="00154F74" w:rsidRPr="00154F74" w:rsidRDefault="00154F74" w:rsidP="00154F74">
            <w:pPr>
              <w:pStyle w:val="Normal1linespace"/>
            </w:pPr>
            <w:bookmarkStart w:id="24" w:name="Certification"/>
            <w:r w:rsidRPr="00154F74">
              <w:t xml:space="preserve">I certify that the preceding </w:t>
            </w:r>
            <w:bookmarkStart w:id="25" w:name="NumberWord"/>
            <w:r>
              <w:t>one hundred and sixty-four</w:t>
            </w:r>
            <w:bookmarkEnd w:id="25"/>
            <w:r w:rsidRPr="00154F74">
              <w:t xml:space="preserve"> (</w:t>
            </w:r>
            <w:bookmarkStart w:id="26" w:name="NumberNumeral"/>
            <w:r>
              <w:t>164</w:t>
            </w:r>
            <w:bookmarkEnd w:id="26"/>
            <w:r w:rsidRPr="00154F74">
              <w:t xml:space="preserve">) numbered </w:t>
            </w:r>
            <w:bookmarkStart w:id="27" w:name="CertPara"/>
            <w:r>
              <w:t>paragraphs are</w:t>
            </w:r>
            <w:bookmarkEnd w:id="27"/>
            <w:r w:rsidRPr="00154F74">
              <w:t xml:space="preserve"> a true copy of the Reasons for Judgment herein of the Honourable </w:t>
            </w:r>
            <w:bookmarkStart w:id="28" w:name="Justice"/>
            <w:r>
              <w:t>Justice Yates</w:t>
            </w:r>
            <w:bookmarkEnd w:id="28"/>
            <w:r w:rsidRPr="00154F74">
              <w:t>.</w:t>
            </w:r>
          </w:p>
        </w:tc>
      </w:tr>
    </w:tbl>
    <w:p w:rsidR="00154F74" w:rsidRDefault="00154F74" w:rsidP="009910BE">
      <w:pPr>
        <w:pStyle w:val="BodyText"/>
      </w:pPr>
    </w:p>
    <w:p w:rsidR="00154F74" w:rsidRDefault="00154F74" w:rsidP="009910BE">
      <w:pPr>
        <w:pStyle w:val="BodyText"/>
      </w:pPr>
      <w:r>
        <w:t>Associate:</w:t>
      </w:r>
    </w:p>
    <w:p w:rsidR="00154F74" w:rsidRDefault="00154F74" w:rsidP="009910BE">
      <w:pPr>
        <w:pStyle w:val="BodyText"/>
      </w:pPr>
    </w:p>
    <w:p w:rsidR="00154F74" w:rsidRDefault="00154F74" w:rsidP="007B187A">
      <w:pPr>
        <w:pStyle w:val="BodyText"/>
        <w:tabs>
          <w:tab w:val="left" w:pos="1134"/>
        </w:tabs>
      </w:pPr>
      <w:r>
        <w:t>Dated:</w:t>
      </w:r>
      <w:r>
        <w:tab/>
      </w:r>
      <w:bookmarkStart w:id="29" w:name="CertifyDated"/>
      <w:r>
        <w:t>10 July 2015</w:t>
      </w:r>
      <w:bookmarkEnd w:id="29"/>
      <w:bookmarkEnd w:id="24"/>
    </w:p>
    <w:sectPr w:rsidR="00154F74">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87A" w:rsidRDefault="007B187A">
      <w:pPr>
        <w:spacing w:line="20" w:lineRule="exact"/>
      </w:pPr>
    </w:p>
    <w:p w:rsidR="007B187A" w:rsidRDefault="007B187A"/>
    <w:p w:rsidR="007B187A" w:rsidRDefault="007B187A"/>
  </w:endnote>
  <w:endnote w:type="continuationSeparator" w:id="0">
    <w:p w:rsidR="007B187A" w:rsidRDefault="007B187A">
      <w:r>
        <w:t xml:space="preserve"> </w:t>
      </w:r>
    </w:p>
    <w:p w:rsidR="007B187A" w:rsidRDefault="007B187A"/>
    <w:p w:rsidR="007B187A" w:rsidRDefault="007B187A"/>
  </w:endnote>
  <w:endnote w:type="continuationNotice" w:id="1">
    <w:p w:rsidR="007B187A" w:rsidRDefault="007B187A">
      <w:r>
        <w:t xml:space="preserve"> </w:t>
      </w:r>
    </w:p>
    <w:p w:rsidR="007B187A" w:rsidRDefault="007B187A"/>
    <w:p w:rsidR="007B187A" w:rsidRDefault="007B1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Ë¢çE¢®EcE¢®E¡ËcEcE¢®E¡ËcE¡Ë¢çE"/>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Pr="00624520" w:rsidRDefault="007B187A"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87A" w:rsidRDefault="007B187A"/>
    <w:p w:rsidR="007B187A" w:rsidRDefault="007B187A"/>
    <w:p w:rsidR="007B187A" w:rsidRDefault="007B187A"/>
  </w:footnote>
  <w:footnote w:type="continuationSeparator" w:id="0">
    <w:p w:rsidR="007B187A" w:rsidRDefault="007B187A">
      <w:r>
        <w:continuationSeparator/>
      </w:r>
    </w:p>
    <w:p w:rsidR="007B187A" w:rsidRDefault="007B187A"/>
    <w:p w:rsidR="007B187A" w:rsidRDefault="007B18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6F5E45">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pPr>
      <w:tabs>
        <w:tab w:val="center" w:pos="4512"/>
      </w:tabs>
      <w:suppressAutoHyphens/>
    </w:pPr>
    <w:r>
      <w:tab/>
      <w:t xml:space="preserve">- </w:t>
    </w:r>
    <w:r>
      <w:fldChar w:fldCharType="begin"/>
    </w:r>
    <w:r>
      <w:instrText>page \* arabic</w:instrText>
    </w:r>
    <w:r>
      <w:fldChar w:fldCharType="separate"/>
    </w:r>
    <w:r w:rsidR="006F5E45">
      <w:rPr>
        <w:noProof/>
      </w:rPr>
      <w:t>10</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7A" w:rsidRDefault="007B187A">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BF78B8"/>
    <w:multiLevelType w:val="hybridMultilevel"/>
    <w:tmpl w:val="1392096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2EC0BCB"/>
    <w:multiLevelType w:val="hybridMultilevel"/>
    <w:tmpl w:val="6DACF0D2"/>
    <w:lvl w:ilvl="0" w:tplc="13DA09D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AFA2712"/>
    <w:multiLevelType w:val="hybridMultilevel"/>
    <w:tmpl w:val="59D60102"/>
    <w:lvl w:ilvl="0" w:tplc="42FE5E04">
      <w:start w:val="1"/>
      <w:numFmt w:val="lowerLetter"/>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15">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nsid w:val="21C82836"/>
    <w:multiLevelType w:val="hybridMultilevel"/>
    <w:tmpl w:val="0B3C6F9A"/>
    <w:lvl w:ilvl="0" w:tplc="D7DA4B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28A16F87"/>
    <w:multiLevelType w:val="hybridMultilevel"/>
    <w:tmpl w:val="259402BE"/>
    <w:lvl w:ilvl="0" w:tplc="1A36012A">
      <w:start w:val="1"/>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18">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nsid w:val="2AD4345C"/>
    <w:multiLevelType w:val="multilevel"/>
    <w:tmpl w:val="A59283A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288" w:hanging="720"/>
      </w:pPr>
      <w:rPr>
        <w:rFonts w:ascii="Times New Roman" w:eastAsia="Batang" w:hAnsi="Times New Roman" w:cs="Times New Roman"/>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nsid w:val="38317E30"/>
    <w:multiLevelType w:val="hybridMultilevel"/>
    <w:tmpl w:val="76A2BAAE"/>
    <w:lvl w:ilvl="0" w:tplc="6F6A96B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3EF17136"/>
    <w:multiLevelType w:val="hybridMultilevel"/>
    <w:tmpl w:val="E0B0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AC6433"/>
    <w:multiLevelType w:val="hybridMultilevel"/>
    <w:tmpl w:val="4A9A7E8A"/>
    <w:lvl w:ilvl="0" w:tplc="049E5FE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450B06A7"/>
    <w:multiLevelType w:val="hybridMultilevel"/>
    <w:tmpl w:val="BAFC0A0A"/>
    <w:lvl w:ilvl="0" w:tplc="4A5C1158">
      <w:start w:val="1"/>
      <w:numFmt w:val="lowerLetter"/>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25">
    <w:nsid w:val="494817A7"/>
    <w:multiLevelType w:val="multilevel"/>
    <w:tmpl w:val="0F0EC90E"/>
    <w:numStyleLink w:val="FCListNo"/>
  </w:abstractNum>
  <w:abstractNum w:abstractNumId="26">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nsid w:val="7A5A1312"/>
    <w:multiLevelType w:val="hybridMultilevel"/>
    <w:tmpl w:val="FCE6858A"/>
    <w:lvl w:ilvl="0" w:tplc="DFA664B6">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nsid w:val="7E4A2E59"/>
    <w:multiLevelType w:val="hybridMultilevel"/>
    <w:tmpl w:val="73A63808"/>
    <w:lvl w:ilvl="0" w:tplc="FE86E1F6">
      <w:start w:val="1"/>
      <w:numFmt w:val="lowerLetter"/>
      <w:lvlText w:val="(%1)"/>
      <w:lvlJc w:val="left"/>
      <w:pPr>
        <w:ind w:left="360" w:hanging="360"/>
      </w:pPr>
      <w:rPr>
        <w:rFonts w:ascii="Times New Roman" w:eastAsia="Batang" w:hAnsi="Times New Roman"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6"/>
  </w:num>
  <w:num w:numId="15">
    <w:abstractNumId w:val="27"/>
  </w:num>
  <w:num w:numId="16">
    <w:abstractNumId w:val="31"/>
  </w:num>
  <w:num w:numId="17">
    <w:abstractNumId w:val="15"/>
  </w:num>
  <w:num w:numId="18">
    <w:abstractNumId w:val="29"/>
  </w:num>
  <w:num w:numId="19">
    <w:abstractNumId w:val="11"/>
  </w:num>
  <w:num w:numId="20">
    <w:abstractNumId w:val="20"/>
  </w:num>
  <w:num w:numId="21">
    <w:abstractNumId w:val="25"/>
  </w:num>
  <w:num w:numId="22">
    <w:abstractNumId w:val="19"/>
  </w:num>
  <w:num w:numId="23">
    <w:abstractNumId w:val="19"/>
    <w:lvlOverride w:ilvl="1">
      <w:lvl w:ilvl="1">
        <w:start w:val="1"/>
        <w:numFmt w:val="lowerLetter"/>
        <w:pStyle w:val="Order2"/>
        <w:lvlText w:val="(%2)"/>
        <w:lvlJc w:val="left"/>
        <w:pPr>
          <w:ind w:left="1288" w:hanging="720"/>
        </w:pPr>
        <w:rPr>
          <w:rFonts w:ascii="Times New Roman" w:eastAsia="Batang" w:hAnsi="Times New Roman" w:cs="Times New Roman"/>
        </w:rPr>
      </w:lvl>
    </w:lvlOverride>
  </w:num>
  <w:num w:numId="24">
    <w:abstractNumId w:val="32"/>
  </w:num>
  <w:num w:numId="25">
    <w:abstractNumId w:val="30"/>
  </w:num>
  <w:num w:numId="26">
    <w:abstractNumId w:val="14"/>
  </w:num>
  <w:num w:numId="27">
    <w:abstractNumId w:val="17"/>
  </w:num>
  <w:num w:numId="28">
    <w:abstractNumId w:val="22"/>
  </w:num>
  <w:num w:numId="29">
    <w:abstractNumId w:val="10"/>
  </w:num>
  <w:num w:numId="30">
    <w:abstractNumId w:val="19"/>
    <w:lvlOverride w:ilvl="0">
      <w:startOverride w:val="1"/>
    </w:lvlOverride>
  </w:num>
  <w:num w:numId="31">
    <w:abstractNumId w:val="23"/>
  </w:num>
  <w:num w:numId="32">
    <w:abstractNumId w:val="24"/>
  </w:num>
  <w:num w:numId="33">
    <w:abstractNumId w:val="16"/>
  </w:num>
  <w:num w:numId="34">
    <w:abstractNumId w:val="12"/>
  </w:num>
  <w:num w:numId="3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Nichia Corporation"/>
    <w:docVar w:name="CounselParties" w:val="Respondent"/>
    <w:docVar w:name="CounselType" w:val="Solicitor for the "/>
    <w:docVar w:name="Cross-Claimant" w:val="Arrow Electronics Australia Pty Ltd ACN 065 151 626"/>
    <w:docVar w:name="Cross-Respondent" w:val="Nichia Corporation"/>
    <w:docVar w:name="Division" w:val="GENERAL DIVISION"/>
    <w:docVar w:name="DocCreated" w:val="True"/>
    <w:docVar w:name="FileNumbers" w:val="NSD 558 of 2014"/>
    <w:docVar w:name="FullCourt" w:val="False"/>
    <w:docVar w:name="HearingDate" w:val="15, 19 and 25 June 2015"/>
    <w:docVar w:name="Judgdate" w:val="10 July 2015"/>
    <w:docVar w:name="Judge" w:val="Yates"/>
    <w:docVar w:name="JudgePlace" w:val="SYDNEY"/>
    <w:docVar w:name="lstEntryList" w:val="-1"/>
    <w:docVar w:name="myEntryList" w:val="Counsel for the Applicant=Mr SCG Burley SC with Ms CL Cochrane and Mr B Mee|Solicitor for the Applicant=Allens|Counsel for the Respondent=Mr RJ Webb SC with Mr HPT Bevan|Solicitor for the Respondent=Norton Rose Fullbright Australia"/>
    <w:docVar w:name="NSD" w:val="NSD NSD 558 of 2014"/>
    <w:docVar w:name="NumApps" w:val="1"/>
    <w:docVar w:name="NumApps_" w:val="1"/>
    <w:docVar w:name="NumJudges" w:val="Single Judge"/>
    <w:docVar w:name="Parties" w:val="Cross-Respondent"/>
    <w:docVar w:name="Place_SentenceCase" w:val="Sydney"/>
    <w:docVar w:name="Respondent" w:val="Arrow Electronics Australia Pty Ltd ACN 065 151 626"/>
    <w:docVar w:name="ResState" w:val="NEW SOUTH WALES"/>
    <w:docVar w:name="Single" w:val="True"/>
  </w:docVars>
  <w:rsids>
    <w:rsidRoot w:val="00B2764A"/>
    <w:rsid w:val="00013D9D"/>
    <w:rsid w:val="00035235"/>
    <w:rsid w:val="000446AC"/>
    <w:rsid w:val="0004754B"/>
    <w:rsid w:val="0005382A"/>
    <w:rsid w:val="0005390E"/>
    <w:rsid w:val="00067555"/>
    <w:rsid w:val="000725AB"/>
    <w:rsid w:val="00084959"/>
    <w:rsid w:val="00087E3B"/>
    <w:rsid w:val="000B42DD"/>
    <w:rsid w:val="000C46F4"/>
    <w:rsid w:val="000D2137"/>
    <w:rsid w:val="000E2056"/>
    <w:rsid w:val="000E2CF8"/>
    <w:rsid w:val="000F0DBF"/>
    <w:rsid w:val="000F6B46"/>
    <w:rsid w:val="001007B6"/>
    <w:rsid w:val="001128BD"/>
    <w:rsid w:val="0013366E"/>
    <w:rsid w:val="00141CCA"/>
    <w:rsid w:val="00141F07"/>
    <w:rsid w:val="00152D55"/>
    <w:rsid w:val="00154F74"/>
    <w:rsid w:val="00163A31"/>
    <w:rsid w:val="001727A4"/>
    <w:rsid w:val="001738AB"/>
    <w:rsid w:val="00187BBC"/>
    <w:rsid w:val="001B14AC"/>
    <w:rsid w:val="001B2593"/>
    <w:rsid w:val="001B7940"/>
    <w:rsid w:val="001D136B"/>
    <w:rsid w:val="001D2922"/>
    <w:rsid w:val="001E3020"/>
    <w:rsid w:val="001E3B49"/>
    <w:rsid w:val="001E7388"/>
    <w:rsid w:val="00217F27"/>
    <w:rsid w:val="00227723"/>
    <w:rsid w:val="002453F5"/>
    <w:rsid w:val="002513D8"/>
    <w:rsid w:val="002535D0"/>
    <w:rsid w:val="002602C2"/>
    <w:rsid w:val="00263BB5"/>
    <w:rsid w:val="002665AC"/>
    <w:rsid w:val="00267199"/>
    <w:rsid w:val="00274F5B"/>
    <w:rsid w:val="00280836"/>
    <w:rsid w:val="00293169"/>
    <w:rsid w:val="002A1B50"/>
    <w:rsid w:val="002A5138"/>
    <w:rsid w:val="002A7CF3"/>
    <w:rsid w:val="002B0E91"/>
    <w:rsid w:val="002C31AD"/>
    <w:rsid w:val="002C7385"/>
    <w:rsid w:val="002D4E4A"/>
    <w:rsid w:val="002D5451"/>
    <w:rsid w:val="002D59CF"/>
    <w:rsid w:val="002E32D5"/>
    <w:rsid w:val="002F1E49"/>
    <w:rsid w:val="002F39EA"/>
    <w:rsid w:val="002F4E9C"/>
    <w:rsid w:val="002F507B"/>
    <w:rsid w:val="00305AD1"/>
    <w:rsid w:val="00323FA9"/>
    <w:rsid w:val="003255A5"/>
    <w:rsid w:val="003333A5"/>
    <w:rsid w:val="0033405E"/>
    <w:rsid w:val="003374FB"/>
    <w:rsid w:val="003463FE"/>
    <w:rsid w:val="00356632"/>
    <w:rsid w:val="003614C7"/>
    <w:rsid w:val="0036177A"/>
    <w:rsid w:val="003845A9"/>
    <w:rsid w:val="003867A6"/>
    <w:rsid w:val="00390883"/>
    <w:rsid w:val="00393012"/>
    <w:rsid w:val="00395B24"/>
    <w:rsid w:val="003A2D38"/>
    <w:rsid w:val="003A3B9D"/>
    <w:rsid w:val="003A5310"/>
    <w:rsid w:val="003A5559"/>
    <w:rsid w:val="003B2C72"/>
    <w:rsid w:val="003B6B42"/>
    <w:rsid w:val="003C0DC4"/>
    <w:rsid w:val="003C20FF"/>
    <w:rsid w:val="003D0701"/>
    <w:rsid w:val="003F193E"/>
    <w:rsid w:val="003F53DC"/>
    <w:rsid w:val="00400559"/>
    <w:rsid w:val="00402669"/>
    <w:rsid w:val="004167F0"/>
    <w:rsid w:val="004409FB"/>
    <w:rsid w:val="00445206"/>
    <w:rsid w:val="00461F7A"/>
    <w:rsid w:val="00472027"/>
    <w:rsid w:val="00476B4A"/>
    <w:rsid w:val="00481E2D"/>
    <w:rsid w:val="0049417F"/>
    <w:rsid w:val="004A08CE"/>
    <w:rsid w:val="004B0358"/>
    <w:rsid w:val="004C66C8"/>
    <w:rsid w:val="004D53E5"/>
    <w:rsid w:val="004D63D4"/>
    <w:rsid w:val="004E0ABA"/>
    <w:rsid w:val="004E7EE7"/>
    <w:rsid w:val="004F5351"/>
    <w:rsid w:val="00506257"/>
    <w:rsid w:val="005105D0"/>
    <w:rsid w:val="005123A9"/>
    <w:rsid w:val="0051346D"/>
    <w:rsid w:val="00513EAE"/>
    <w:rsid w:val="0051559D"/>
    <w:rsid w:val="00527087"/>
    <w:rsid w:val="00532853"/>
    <w:rsid w:val="005359EB"/>
    <w:rsid w:val="00535E4C"/>
    <w:rsid w:val="0054254A"/>
    <w:rsid w:val="00545A80"/>
    <w:rsid w:val="005466B5"/>
    <w:rsid w:val="005578CB"/>
    <w:rsid w:val="0056397B"/>
    <w:rsid w:val="00564C2C"/>
    <w:rsid w:val="005707E8"/>
    <w:rsid w:val="0057347C"/>
    <w:rsid w:val="005A245B"/>
    <w:rsid w:val="005A4DF8"/>
    <w:rsid w:val="005B668A"/>
    <w:rsid w:val="005C1767"/>
    <w:rsid w:val="005C42EF"/>
    <w:rsid w:val="005E02F5"/>
    <w:rsid w:val="005E176E"/>
    <w:rsid w:val="005E35A0"/>
    <w:rsid w:val="00600006"/>
    <w:rsid w:val="006029B8"/>
    <w:rsid w:val="0060508F"/>
    <w:rsid w:val="00610961"/>
    <w:rsid w:val="006227E9"/>
    <w:rsid w:val="00624520"/>
    <w:rsid w:val="006268D9"/>
    <w:rsid w:val="0063026F"/>
    <w:rsid w:val="00635FE5"/>
    <w:rsid w:val="00636871"/>
    <w:rsid w:val="00643DE0"/>
    <w:rsid w:val="00644E85"/>
    <w:rsid w:val="00645093"/>
    <w:rsid w:val="00662BB0"/>
    <w:rsid w:val="006816B0"/>
    <w:rsid w:val="006931A8"/>
    <w:rsid w:val="006A1F87"/>
    <w:rsid w:val="006A5695"/>
    <w:rsid w:val="006A60B6"/>
    <w:rsid w:val="006B3904"/>
    <w:rsid w:val="006B41A4"/>
    <w:rsid w:val="006B5B7D"/>
    <w:rsid w:val="006B65CA"/>
    <w:rsid w:val="006D09E8"/>
    <w:rsid w:val="006D0ECF"/>
    <w:rsid w:val="006D50E6"/>
    <w:rsid w:val="006D5A9B"/>
    <w:rsid w:val="006D7391"/>
    <w:rsid w:val="006E32D9"/>
    <w:rsid w:val="006E5D07"/>
    <w:rsid w:val="006F5E45"/>
    <w:rsid w:val="00707218"/>
    <w:rsid w:val="00712B1D"/>
    <w:rsid w:val="0072293A"/>
    <w:rsid w:val="00725428"/>
    <w:rsid w:val="007265E6"/>
    <w:rsid w:val="00731DDE"/>
    <w:rsid w:val="007325D9"/>
    <w:rsid w:val="00746F2B"/>
    <w:rsid w:val="007533A4"/>
    <w:rsid w:val="007706C1"/>
    <w:rsid w:val="007745CC"/>
    <w:rsid w:val="00781979"/>
    <w:rsid w:val="0078281B"/>
    <w:rsid w:val="007852EF"/>
    <w:rsid w:val="007929CF"/>
    <w:rsid w:val="007B187A"/>
    <w:rsid w:val="007C0510"/>
    <w:rsid w:val="007D561F"/>
    <w:rsid w:val="007D597D"/>
    <w:rsid w:val="007E10C3"/>
    <w:rsid w:val="007E2A08"/>
    <w:rsid w:val="007E7A18"/>
    <w:rsid w:val="007F4325"/>
    <w:rsid w:val="00812FDF"/>
    <w:rsid w:val="00813E93"/>
    <w:rsid w:val="00821A3E"/>
    <w:rsid w:val="00827313"/>
    <w:rsid w:val="00827DBE"/>
    <w:rsid w:val="00831927"/>
    <w:rsid w:val="00837782"/>
    <w:rsid w:val="00840513"/>
    <w:rsid w:val="0084273D"/>
    <w:rsid w:val="00845A83"/>
    <w:rsid w:val="0084607C"/>
    <w:rsid w:val="008712AF"/>
    <w:rsid w:val="008726A6"/>
    <w:rsid w:val="00874375"/>
    <w:rsid w:val="008865A0"/>
    <w:rsid w:val="00891FD5"/>
    <w:rsid w:val="008A0B26"/>
    <w:rsid w:val="008A14C5"/>
    <w:rsid w:val="008A3803"/>
    <w:rsid w:val="008A3B23"/>
    <w:rsid w:val="008A61A0"/>
    <w:rsid w:val="008A6B7C"/>
    <w:rsid w:val="008B1485"/>
    <w:rsid w:val="008B4C0D"/>
    <w:rsid w:val="008B73BD"/>
    <w:rsid w:val="008C46D0"/>
    <w:rsid w:val="008C6D50"/>
    <w:rsid w:val="008D347C"/>
    <w:rsid w:val="008D60CF"/>
    <w:rsid w:val="008E06FC"/>
    <w:rsid w:val="008E5C3F"/>
    <w:rsid w:val="008E6315"/>
    <w:rsid w:val="008F242F"/>
    <w:rsid w:val="008F53C6"/>
    <w:rsid w:val="009026BE"/>
    <w:rsid w:val="009027F0"/>
    <w:rsid w:val="00902A23"/>
    <w:rsid w:val="0090515D"/>
    <w:rsid w:val="009054CB"/>
    <w:rsid w:val="00912475"/>
    <w:rsid w:val="0091264B"/>
    <w:rsid w:val="00914F53"/>
    <w:rsid w:val="0093417A"/>
    <w:rsid w:val="00935AE2"/>
    <w:rsid w:val="0094323E"/>
    <w:rsid w:val="00943F43"/>
    <w:rsid w:val="00944AC9"/>
    <w:rsid w:val="00950935"/>
    <w:rsid w:val="00955645"/>
    <w:rsid w:val="00967855"/>
    <w:rsid w:val="00972F42"/>
    <w:rsid w:val="00973E96"/>
    <w:rsid w:val="00980736"/>
    <w:rsid w:val="00980D9E"/>
    <w:rsid w:val="0098155D"/>
    <w:rsid w:val="009910BE"/>
    <w:rsid w:val="00997AA6"/>
    <w:rsid w:val="009A286E"/>
    <w:rsid w:val="009A4996"/>
    <w:rsid w:val="009A75DE"/>
    <w:rsid w:val="009B13FA"/>
    <w:rsid w:val="009B1E2D"/>
    <w:rsid w:val="009B7568"/>
    <w:rsid w:val="009D1986"/>
    <w:rsid w:val="009D6258"/>
    <w:rsid w:val="009E4FA6"/>
    <w:rsid w:val="009E7D93"/>
    <w:rsid w:val="00A03EAC"/>
    <w:rsid w:val="00A11CA6"/>
    <w:rsid w:val="00A20C49"/>
    <w:rsid w:val="00A359AC"/>
    <w:rsid w:val="00A37166"/>
    <w:rsid w:val="00A37DE4"/>
    <w:rsid w:val="00A40558"/>
    <w:rsid w:val="00A44D46"/>
    <w:rsid w:val="00A47547"/>
    <w:rsid w:val="00A52CF2"/>
    <w:rsid w:val="00A674E7"/>
    <w:rsid w:val="00A76C3E"/>
    <w:rsid w:val="00A87EE4"/>
    <w:rsid w:val="00A9367D"/>
    <w:rsid w:val="00A950B6"/>
    <w:rsid w:val="00AB41C1"/>
    <w:rsid w:val="00AC595E"/>
    <w:rsid w:val="00AD5DC7"/>
    <w:rsid w:val="00AE69C9"/>
    <w:rsid w:val="00AF174E"/>
    <w:rsid w:val="00AF3475"/>
    <w:rsid w:val="00B006BF"/>
    <w:rsid w:val="00B2764A"/>
    <w:rsid w:val="00B35AB4"/>
    <w:rsid w:val="00B368D1"/>
    <w:rsid w:val="00B41C2E"/>
    <w:rsid w:val="00B54B4C"/>
    <w:rsid w:val="00B56A9A"/>
    <w:rsid w:val="00B57BE7"/>
    <w:rsid w:val="00B64436"/>
    <w:rsid w:val="00B81247"/>
    <w:rsid w:val="00B866C8"/>
    <w:rsid w:val="00BA1DE5"/>
    <w:rsid w:val="00BA3DBC"/>
    <w:rsid w:val="00BB2DA2"/>
    <w:rsid w:val="00BB330D"/>
    <w:rsid w:val="00BB53D9"/>
    <w:rsid w:val="00BB56DC"/>
    <w:rsid w:val="00BC70F1"/>
    <w:rsid w:val="00BE1919"/>
    <w:rsid w:val="00BE7CF0"/>
    <w:rsid w:val="00C0280F"/>
    <w:rsid w:val="00C03715"/>
    <w:rsid w:val="00C078F4"/>
    <w:rsid w:val="00C133D9"/>
    <w:rsid w:val="00C27CB2"/>
    <w:rsid w:val="00C30B04"/>
    <w:rsid w:val="00C3112C"/>
    <w:rsid w:val="00C36442"/>
    <w:rsid w:val="00C42F4B"/>
    <w:rsid w:val="00C474E1"/>
    <w:rsid w:val="00C52821"/>
    <w:rsid w:val="00C6791C"/>
    <w:rsid w:val="00C80B09"/>
    <w:rsid w:val="00CA0FDD"/>
    <w:rsid w:val="00CB2D8B"/>
    <w:rsid w:val="00CC0C1A"/>
    <w:rsid w:val="00CC1FC7"/>
    <w:rsid w:val="00CC595E"/>
    <w:rsid w:val="00CD4623"/>
    <w:rsid w:val="00CD7184"/>
    <w:rsid w:val="00CF79CE"/>
    <w:rsid w:val="00D0786B"/>
    <w:rsid w:val="00D10F21"/>
    <w:rsid w:val="00D24D65"/>
    <w:rsid w:val="00D26DB7"/>
    <w:rsid w:val="00D375EE"/>
    <w:rsid w:val="00D43616"/>
    <w:rsid w:val="00D52A62"/>
    <w:rsid w:val="00D56921"/>
    <w:rsid w:val="00D622E2"/>
    <w:rsid w:val="00D6450A"/>
    <w:rsid w:val="00D6525B"/>
    <w:rsid w:val="00D72E1F"/>
    <w:rsid w:val="00D77FB4"/>
    <w:rsid w:val="00D859E2"/>
    <w:rsid w:val="00D9725F"/>
    <w:rsid w:val="00DA14ED"/>
    <w:rsid w:val="00DA1FAD"/>
    <w:rsid w:val="00DA3760"/>
    <w:rsid w:val="00DB3DE1"/>
    <w:rsid w:val="00DB716C"/>
    <w:rsid w:val="00DC43A9"/>
    <w:rsid w:val="00DC5AAD"/>
    <w:rsid w:val="00DD32C9"/>
    <w:rsid w:val="00DD4236"/>
    <w:rsid w:val="00DD63C5"/>
    <w:rsid w:val="00DE0405"/>
    <w:rsid w:val="00DE7B54"/>
    <w:rsid w:val="00DF0551"/>
    <w:rsid w:val="00DF6CE8"/>
    <w:rsid w:val="00E027BC"/>
    <w:rsid w:val="00E04B32"/>
    <w:rsid w:val="00E14EA5"/>
    <w:rsid w:val="00E27716"/>
    <w:rsid w:val="00E44CB4"/>
    <w:rsid w:val="00E56408"/>
    <w:rsid w:val="00E61280"/>
    <w:rsid w:val="00E62E49"/>
    <w:rsid w:val="00E76E45"/>
    <w:rsid w:val="00E77DD4"/>
    <w:rsid w:val="00E822FB"/>
    <w:rsid w:val="00E87D80"/>
    <w:rsid w:val="00EA3C60"/>
    <w:rsid w:val="00EA4E2E"/>
    <w:rsid w:val="00EB2CCB"/>
    <w:rsid w:val="00EB3FC5"/>
    <w:rsid w:val="00EC6121"/>
    <w:rsid w:val="00ED193F"/>
    <w:rsid w:val="00ED3BB8"/>
    <w:rsid w:val="00ED473E"/>
    <w:rsid w:val="00ED7DD9"/>
    <w:rsid w:val="00EE7960"/>
    <w:rsid w:val="00EF3113"/>
    <w:rsid w:val="00EF3F84"/>
    <w:rsid w:val="00EF7868"/>
    <w:rsid w:val="00F13F7B"/>
    <w:rsid w:val="00F176AC"/>
    <w:rsid w:val="00F21425"/>
    <w:rsid w:val="00F262D4"/>
    <w:rsid w:val="00F27714"/>
    <w:rsid w:val="00F47DAC"/>
    <w:rsid w:val="00F50E34"/>
    <w:rsid w:val="00F53826"/>
    <w:rsid w:val="00F566BF"/>
    <w:rsid w:val="00F71B91"/>
    <w:rsid w:val="00F771C3"/>
    <w:rsid w:val="00F83747"/>
    <w:rsid w:val="00F935B7"/>
    <w:rsid w:val="00FA1E06"/>
    <w:rsid w:val="00FB0A81"/>
    <w:rsid w:val="00FB6D52"/>
    <w:rsid w:val="00FC23E7"/>
    <w:rsid w:val="00FC588F"/>
    <w:rsid w:val="00FC58B8"/>
    <w:rsid w:val="00FC6737"/>
    <w:rsid w:val="00FC73AD"/>
    <w:rsid w:val="00FD18DE"/>
    <w:rsid w:val="00FD5C82"/>
    <w:rsid w:val="00FE1B30"/>
    <w:rsid w:val="00FE3521"/>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ind w:left="1440"/>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semiHidden/>
    <w:rsid w:val="00F935B7"/>
    <w:pPr>
      <w:ind w:left="720"/>
      <w:contextualSpacing/>
    </w:pPr>
  </w:style>
  <w:style w:type="character" w:customStyle="1" w:styleId="BodyTextChar">
    <w:name w:val="Body Text Char"/>
    <w:basedOn w:val="DefaultParagraphFont"/>
    <w:link w:val="BodyText"/>
    <w:rsid w:val="00154F7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ind w:left="1440"/>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semiHidden/>
    <w:rsid w:val="00F935B7"/>
    <w:pPr>
      <w:ind w:left="720"/>
      <w:contextualSpacing/>
    </w:pPr>
  </w:style>
  <w:style w:type="character" w:customStyle="1" w:styleId="BodyTextChar">
    <w:name w:val="Body Text Char"/>
    <w:basedOn w:val="DefaultParagraphFont"/>
    <w:link w:val="BodyText"/>
    <w:rsid w:val="00154F7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2487-CAA6-4CD8-84C8-46F48BFE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37</Pages>
  <Words>14145</Words>
  <Characters>70748</Characters>
  <Application>Microsoft Office Word</Application>
  <DocSecurity>0</DocSecurity>
  <Lines>2080</Lines>
  <Paragraphs>912</Paragraphs>
  <ScaleCrop>false</ScaleCrop>
  <HeadingPairs>
    <vt:vector size="2" baseType="variant">
      <vt:variant>
        <vt:lpstr>Title</vt:lpstr>
      </vt:variant>
      <vt:variant>
        <vt:i4>1</vt:i4>
      </vt:variant>
    </vt:vector>
  </HeadingPairs>
  <TitlesOfParts>
    <vt:vector size="1" baseType="lpstr">
      <vt:lpstr>Nichia Corporation v Arrow Electronics Australia Pty Ltd [2015] FCA 699</vt:lpstr>
    </vt:vector>
  </TitlesOfParts>
  <Company>Federal Court of Australia</Company>
  <LinksUpToDate>false</LinksUpToDate>
  <CharactersWithSpaces>83981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Nichia Corporation v Arrow Electronics Australia Pty Ltd [2015] FCA 699</dc:title>
  <dc:creator>Mary Nekic</dc:creator>
  <cp:lastModifiedBy>Anna Masters</cp:lastModifiedBy>
  <cp:revision>5</cp:revision>
  <cp:lastPrinted>2015-07-09T02:29:00Z</cp:lastPrinted>
  <dcterms:created xsi:type="dcterms:W3CDTF">2015-07-10T04:59:00Z</dcterms:created>
  <dcterms:modified xsi:type="dcterms:W3CDTF">2015-07-10T05:12:00Z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.YATES J</vt:lpwstr>
  </property>
  <property fmtid="{D5CDD505-2E9C-101B-9397-08002B2CF9AE}" pid="4" name="Judgment_dated" linkTarget="Judgment_dated">
    <vt:lpwstr>10 JULY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NSD 558 of 2014</vt:lpwstr>
  </property>
  <property fmtid="{D5CDD505-2E9C-101B-9397-08002B2CF9AE}" pid="8" name="Pages">
    <vt:lpwstr>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