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5AC7" w14:textId="0318371A" w:rsidR="00395B24" w:rsidRDefault="006D48AC" w:rsidP="00A22932">
      <w:pPr>
        <w:pStyle w:val="CourtTitle"/>
      </w:pPr>
      <w:r>
        <w:rPr>
          <w:caps w:val="0"/>
        </w:rPr>
        <w:t>FEDERAL COURT OF AUSTRALIA</w:t>
      </w:r>
    </w:p>
    <w:p w14:paraId="052C797C" w14:textId="77777777" w:rsidR="004D7950" w:rsidRDefault="004D7950">
      <w:pPr>
        <w:pStyle w:val="NormalHeadings"/>
        <w:jc w:val="center"/>
        <w:rPr>
          <w:sz w:val="32"/>
        </w:rPr>
      </w:pPr>
    </w:p>
    <w:bookmarkStart w:id="0" w:name="MNC"/>
    <w:p w14:paraId="163D40D3" w14:textId="5CFE1ED9" w:rsidR="00374CC4" w:rsidRDefault="00F921C4" w:rsidP="001A2B40">
      <w:pPr>
        <w:pStyle w:val="MNC"/>
      </w:pPr>
      <w:sdt>
        <w:sdtPr>
          <w:alias w:val="MNC"/>
          <w:tag w:val="MNC"/>
          <w:id w:val="343289786"/>
          <w:lock w:val="sdtLocked"/>
          <w:placeholder>
            <w:docPart w:val="2CA4E49764B34F4AB7A76E6853D19793"/>
          </w:placeholder>
          <w:dataBinding w:prefixMappings="xmlns:ns0='http://schemas.globalmacros.com/FCA'" w:xpath="/ns0:root[1]/ns0:Name[1]" w:storeItemID="{687E7CCB-4AA5-44E7-B148-17BA2B6F57C0}"/>
          <w:text w:multiLine="1"/>
        </w:sdtPr>
        <w:sdtEndPr/>
        <w:sdtContent>
          <w:r w:rsidR="008A7FFC">
            <w:t>Hurst, in the matter of Lloyds Curry Shop Pty Ltd (in liq) v Prasad (No 3) [2023] FCA 11</w:t>
          </w:r>
          <w:r w:rsidR="004E0607">
            <w:t>74</w:t>
          </w:r>
          <w:r w:rsidR="008A7FFC">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2BFFE824" w14:textId="77777777" w:rsidTr="0049558A">
        <w:tc>
          <w:tcPr>
            <w:tcW w:w="3084" w:type="dxa"/>
            <w:shd w:val="clear" w:color="auto" w:fill="auto"/>
          </w:tcPr>
          <w:p w14:paraId="46EC89A9" w14:textId="77777777" w:rsidR="00395B24" w:rsidRDefault="00083D12" w:rsidP="00083D12">
            <w:pPr>
              <w:pStyle w:val="Normal1linespace"/>
              <w:widowControl w:val="0"/>
              <w:jc w:val="left"/>
            </w:pPr>
            <w:r>
              <w:t>File number</w:t>
            </w:r>
            <w:r w:rsidR="002C7385">
              <w:t>:</w:t>
            </w:r>
          </w:p>
        </w:tc>
        <w:tc>
          <w:tcPr>
            <w:tcW w:w="5989" w:type="dxa"/>
            <w:shd w:val="clear" w:color="auto" w:fill="auto"/>
          </w:tcPr>
          <w:p w14:paraId="7B69FC45" w14:textId="77777777" w:rsidR="00395B24" w:rsidRPr="00083D12" w:rsidRDefault="006D48AC" w:rsidP="00083D12">
            <w:pPr>
              <w:pStyle w:val="Normal1linespace"/>
              <w:jc w:val="left"/>
            </w:pPr>
            <w:fldSimple w:instr=" REF  FileNo  \* MERGEFORMAT " w:fldLock="1">
              <w:r w:rsidR="00083D12" w:rsidRPr="00083D12">
                <w:t>NSD 797 of 2021</w:t>
              </w:r>
            </w:fldSimple>
          </w:p>
        </w:tc>
      </w:tr>
      <w:tr w:rsidR="00395B24" w14:paraId="7FF9F120" w14:textId="77777777" w:rsidTr="0049558A">
        <w:tc>
          <w:tcPr>
            <w:tcW w:w="3084" w:type="dxa"/>
            <w:shd w:val="clear" w:color="auto" w:fill="auto"/>
          </w:tcPr>
          <w:p w14:paraId="13797756" w14:textId="77777777" w:rsidR="00395B24" w:rsidRDefault="00395B24" w:rsidP="00663878">
            <w:pPr>
              <w:pStyle w:val="Normal1linespace"/>
              <w:widowControl w:val="0"/>
              <w:jc w:val="left"/>
            </w:pPr>
          </w:p>
        </w:tc>
        <w:tc>
          <w:tcPr>
            <w:tcW w:w="5989" w:type="dxa"/>
            <w:shd w:val="clear" w:color="auto" w:fill="auto"/>
          </w:tcPr>
          <w:p w14:paraId="35E3D1F2" w14:textId="77777777" w:rsidR="00395B24" w:rsidRDefault="00395B24" w:rsidP="00663878">
            <w:pPr>
              <w:pStyle w:val="Normal1linespace"/>
              <w:widowControl w:val="0"/>
              <w:jc w:val="left"/>
            </w:pPr>
          </w:p>
        </w:tc>
      </w:tr>
      <w:tr w:rsidR="00395B24" w14:paraId="2F961406" w14:textId="77777777" w:rsidTr="0049558A">
        <w:tc>
          <w:tcPr>
            <w:tcW w:w="3084" w:type="dxa"/>
            <w:shd w:val="clear" w:color="auto" w:fill="auto"/>
          </w:tcPr>
          <w:p w14:paraId="32A44C04"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640504CD" w14:textId="77777777" w:rsidR="00395B24" w:rsidRDefault="002C7385" w:rsidP="00663878">
            <w:pPr>
              <w:pStyle w:val="Normal1linespace"/>
              <w:widowControl w:val="0"/>
              <w:jc w:val="left"/>
              <w:rPr>
                <w:b/>
              </w:rPr>
            </w:pPr>
            <w:r w:rsidRPr="00083D12">
              <w:rPr>
                <w:b/>
              </w:rPr>
              <w:fldChar w:fldCharType="begin" w:fldLock="1"/>
            </w:r>
            <w:r w:rsidRPr="00083D12">
              <w:rPr>
                <w:b/>
              </w:rPr>
              <w:instrText xml:space="preserve"> REF  Judge  \* MERGEFORMAT </w:instrText>
            </w:r>
            <w:r w:rsidRPr="00083D12">
              <w:rPr>
                <w:b/>
              </w:rPr>
              <w:fldChar w:fldCharType="separate"/>
            </w:r>
            <w:r w:rsidR="00083D12" w:rsidRPr="00083D12">
              <w:rPr>
                <w:b/>
                <w:caps/>
                <w:szCs w:val="24"/>
              </w:rPr>
              <w:t>CHEESEMAN J</w:t>
            </w:r>
            <w:r w:rsidRPr="00083D12">
              <w:rPr>
                <w:b/>
              </w:rPr>
              <w:fldChar w:fldCharType="end"/>
            </w:r>
          </w:p>
        </w:tc>
      </w:tr>
      <w:tr w:rsidR="00395B24" w14:paraId="48873045" w14:textId="77777777" w:rsidTr="0049558A">
        <w:tc>
          <w:tcPr>
            <w:tcW w:w="3084" w:type="dxa"/>
            <w:shd w:val="clear" w:color="auto" w:fill="auto"/>
          </w:tcPr>
          <w:p w14:paraId="2B8B0512" w14:textId="77777777" w:rsidR="00395B24" w:rsidRDefault="00395B24" w:rsidP="00663878">
            <w:pPr>
              <w:pStyle w:val="Normal1linespace"/>
              <w:widowControl w:val="0"/>
              <w:jc w:val="left"/>
            </w:pPr>
          </w:p>
        </w:tc>
        <w:tc>
          <w:tcPr>
            <w:tcW w:w="5989" w:type="dxa"/>
            <w:shd w:val="clear" w:color="auto" w:fill="auto"/>
          </w:tcPr>
          <w:p w14:paraId="0F4E43AE" w14:textId="77777777" w:rsidR="00395B24" w:rsidRDefault="00395B24" w:rsidP="00663878">
            <w:pPr>
              <w:pStyle w:val="Normal1linespace"/>
              <w:widowControl w:val="0"/>
              <w:jc w:val="left"/>
            </w:pPr>
          </w:p>
        </w:tc>
      </w:tr>
      <w:tr w:rsidR="00395B24" w14:paraId="3A000253" w14:textId="77777777" w:rsidTr="0049558A">
        <w:tc>
          <w:tcPr>
            <w:tcW w:w="3084" w:type="dxa"/>
            <w:shd w:val="clear" w:color="auto" w:fill="auto"/>
          </w:tcPr>
          <w:p w14:paraId="05539A8A" w14:textId="77777777" w:rsidR="00395B24" w:rsidRDefault="002C7385" w:rsidP="00663878">
            <w:pPr>
              <w:pStyle w:val="Normal1linespace"/>
              <w:widowControl w:val="0"/>
              <w:jc w:val="left"/>
            </w:pPr>
            <w:r>
              <w:t>Date of judgment:</w:t>
            </w:r>
          </w:p>
        </w:tc>
        <w:tc>
          <w:tcPr>
            <w:tcW w:w="5989" w:type="dxa"/>
            <w:shd w:val="clear" w:color="auto" w:fill="auto"/>
          </w:tcPr>
          <w:p w14:paraId="735C60F1" w14:textId="05EAC640" w:rsidR="00395B24" w:rsidRDefault="00BC4BD1" w:rsidP="00663878">
            <w:pPr>
              <w:pStyle w:val="Normal1linespace"/>
              <w:widowControl w:val="0"/>
              <w:jc w:val="left"/>
            </w:pPr>
            <w:r>
              <w:t>4</w:t>
            </w:r>
            <w:r w:rsidR="00FA4B3C">
              <w:t xml:space="preserve"> October 2023</w:t>
            </w:r>
          </w:p>
        </w:tc>
      </w:tr>
      <w:tr w:rsidR="00395B24" w14:paraId="71AE14BC" w14:textId="77777777" w:rsidTr="0049558A">
        <w:tc>
          <w:tcPr>
            <w:tcW w:w="3084" w:type="dxa"/>
            <w:shd w:val="clear" w:color="auto" w:fill="auto"/>
          </w:tcPr>
          <w:p w14:paraId="2D65FEE6" w14:textId="77777777" w:rsidR="00395B24" w:rsidRDefault="00395B24" w:rsidP="00663878">
            <w:pPr>
              <w:pStyle w:val="Normal1linespace"/>
              <w:widowControl w:val="0"/>
              <w:jc w:val="left"/>
            </w:pPr>
          </w:p>
        </w:tc>
        <w:tc>
          <w:tcPr>
            <w:tcW w:w="5989" w:type="dxa"/>
            <w:shd w:val="clear" w:color="auto" w:fill="auto"/>
          </w:tcPr>
          <w:p w14:paraId="3CF081BD" w14:textId="77777777" w:rsidR="00395B24" w:rsidRDefault="00395B24" w:rsidP="00663878">
            <w:pPr>
              <w:pStyle w:val="Normal1linespace"/>
              <w:widowControl w:val="0"/>
              <w:jc w:val="left"/>
            </w:pPr>
          </w:p>
        </w:tc>
      </w:tr>
      <w:tr w:rsidR="00395B24" w14:paraId="7C91D870" w14:textId="77777777" w:rsidTr="0049558A">
        <w:tc>
          <w:tcPr>
            <w:tcW w:w="3084" w:type="dxa"/>
            <w:shd w:val="clear" w:color="auto" w:fill="auto"/>
          </w:tcPr>
          <w:p w14:paraId="3E5E71C6" w14:textId="77777777" w:rsidR="00395B24" w:rsidRDefault="002C7385" w:rsidP="00663878">
            <w:pPr>
              <w:pStyle w:val="Normal1linespace"/>
              <w:widowControl w:val="0"/>
              <w:jc w:val="left"/>
            </w:pPr>
            <w:r>
              <w:t>Catchwords:</w:t>
            </w:r>
          </w:p>
        </w:tc>
        <w:tc>
          <w:tcPr>
            <w:tcW w:w="5989" w:type="dxa"/>
            <w:shd w:val="clear" w:color="auto" w:fill="auto"/>
          </w:tcPr>
          <w:p w14:paraId="4C1FD742" w14:textId="29823836" w:rsidR="00395B24" w:rsidRDefault="000C3CB6" w:rsidP="005569FB">
            <w:pPr>
              <w:pStyle w:val="Normal1linespace"/>
              <w:widowControl w:val="0"/>
              <w:jc w:val="left"/>
            </w:pPr>
            <w:bookmarkStart w:id="1" w:name="Catchwords"/>
            <w:r w:rsidRPr="00083D12">
              <w:rPr>
                <w:b/>
              </w:rPr>
              <w:t xml:space="preserve">PRACTICE AND PROCEDURE </w:t>
            </w:r>
            <w:r>
              <w:t xml:space="preserve">– </w:t>
            </w:r>
            <w:r w:rsidR="005569FB">
              <w:t>misce</w:t>
            </w:r>
            <w:r w:rsidR="00E83054">
              <w:t>llany of interlocutory applications in relation to: amendment of pleading; continuation of freezing orders and further ancillary orders in relation thereto; review of a decision of a Registrar and indemnity costs</w:t>
            </w:r>
            <w:r w:rsidR="0081266C">
              <w:t xml:space="preserve"> application – Held: some interlocutory applications allowed in whole or in part, some interlocutory applications refused.</w:t>
            </w:r>
            <w:r w:rsidR="00083D12">
              <w:t xml:space="preserve"> </w:t>
            </w:r>
            <w:r w:rsidR="002C7385">
              <w:t xml:space="preserve"> </w:t>
            </w:r>
            <w:bookmarkEnd w:id="1"/>
          </w:p>
        </w:tc>
      </w:tr>
      <w:tr w:rsidR="00395B24" w14:paraId="26320E8B" w14:textId="77777777" w:rsidTr="0049558A">
        <w:tc>
          <w:tcPr>
            <w:tcW w:w="3084" w:type="dxa"/>
            <w:shd w:val="clear" w:color="auto" w:fill="auto"/>
          </w:tcPr>
          <w:p w14:paraId="02293C40" w14:textId="77777777" w:rsidR="00395B24" w:rsidRDefault="00395B24" w:rsidP="00663878">
            <w:pPr>
              <w:pStyle w:val="Normal1linespace"/>
              <w:widowControl w:val="0"/>
              <w:jc w:val="left"/>
            </w:pPr>
          </w:p>
        </w:tc>
        <w:tc>
          <w:tcPr>
            <w:tcW w:w="5989" w:type="dxa"/>
            <w:shd w:val="clear" w:color="auto" w:fill="auto"/>
          </w:tcPr>
          <w:p w14:paraId="02F90499" w14:textId="77777777" w:rsidR="00395B24" w:rsidRDefault="00395B24" w:rsidP="00663878">
            <w:pPr>
              <w:pStyle w:val="Normal1linespace"/>
              <w:widowControl w:val="0"/>
              <w:jc w:val="left"/>
            </w:pPr>
          </w:p>
        </w:tc>
      </w:tr>
      <w:tr w:rsidR="00395B24" w14:paraId="0F7BA4D1" w14:textId="77777777" w:rsidTr="0049558A">
        <w:tc>
          <w:tcPr>
            <w:tcW w:w="3084" w:type="dxa"/>
            <w:shd w:val="clear" w:color="auto" w:fill="auto"/>
          </w:tcPr>
          <w:p w14:paraId="6964B45E" w14:textId="77777777" w:rsidR="00395B24" w:rsidRDefault="002C7385" w:rsidP="00663878">
            <w:pPr>
              <w:pStyle w:val="Normal1linespace"/>
              <w:widowControl w:val="0"/>
              <w:jc w:val="left"/>
            </w:pPr>
            <w:r>
              <w:t>Legislation:</w:t>
            </w:r>
          </w:p>
        </w:tc>
        <w:tc>
          <w:tcPr>
            <w:tcW w:w="5989" w:type="dxa"/>
            <w:shd w:val="clear" w:color="auto" w:fill="auto"/>
          </w:tcPr>
          <w:p w14:paraId="11A88FBB" w14:textId="1F3D2BA2" w:rsidR="00261EA4" w:rsidRDefault="00261EA4" w:rsidP="00D82620">
            <w:pPr>
              <w:pStyle w:val="CasesLegislationAppealFrom"/>
              <w:spacing w:after="60"/>
              <w:rPr>
                <w:i/>
              </w:rPr>
            </w:pPr>
            <w:bookmarkStart w:id="2" w:name="Legislation"/>
            <w:r>
              <w:rPr>
                <w:i/>
              </w:rPr>
              <w:t xml:space="preserve">Corporations Act 2001 </w:t>
            </w:r>
            <w:r w:rsidRPr="008A01E8">
              <w:rPr>
                <w:iCs/>
              </w:rPr>
              <w:t>(Cth)</w:t>
            </w:r>
            <w:r>
              <w:rPr>
                <w:iCs/>
              </w:rPr>
              <w:t xml:space="preserve"> ss 286, 588FA, 588G</w:t>
            </w:r>
            <w:r w:rsidR="00BD5649">
              <w:rPr>
                <w:iCs/>
              </w:rPr>
              <w:t>(1),</w:t>
            </w:r>
            <w:r w:rsidR="00AE676B">
              <w:rPr>
                <w:iCs/>
              </w:rPr>
              <w:t>(2)</w:t>
            </w:r>
            <w:r>
              <w:rPr>
                <w:iCs/>
              </w:rPr>
              <w:t>,</w:t>
            </w:r>
            <w:r w:rsidR="00FB3C27">
              <w:rPr>
                <w:iCs/>
              </w:rPr>
              <w:t>(3),</w:t>
            </w:r>
            <w:r>
              <w:rPr>
                <w:iCs/>
              </w:rPr>
              <w:t xml:space="preserve"> 588GA, 588H, 588M</w:t>
            </w:r>
          </w:p>
          <w:p w14:paraId="5D952717" w14:textId="17C050FD" w:rsidR="00083D12" w:rsidRPr="002E7E46" w:rsidRDefault="00083D12" w:rsidP="00D82620">
            <w:pPr>
              <w:pStyle w:val="CasesLegislationAppealFrom"/>
              <w:spacing w:after="60"/>
            </w:pPr>
            <w:r w:rsidRPr="00083D12">
              <w:rPr>
                <w:i/>
              </w:rPr>
              <w:t>Federal Court of Australia Act 1976</w:t>
            </w:r>
            <w:r w:rsidR="00F86F40">
              <w:t xml:space="preserve"> (Cth) ss </w:t>
            </w:r>
            <w:r w:rsidR="00F86F40" w:rsidRPr="002E7E46">
              <w:t>35A(5),(6),</w:t>
            </w:r>
            <w:r w:rsidR="00337322" w:rsidRPr="002E7E46">
              <w:t xml:space="preserve"> 3</w:t>
            </w:r>
            <w:r w:rsidR="007268C9" w:rsidRPr="002E7E46">
              <w:t>7M</w:t>
            </w:r>
          </w:p>
          <w:p w14:paraId="7643136B" w14:textId="77777777" w:rsidR="00AA09EB" w:rsidRDefault="00083D12" w:rsidP="00652BA5">
            <w:pPr>
              <w:pStyle w:val="CasesLegislationAppealFrom"/>
              <w:spacing w:after="60"/>
            </w:pPr>
            <w:r w:rsidRPr="002E7E46">
              <w:rPr>
                <w:i/>
              </w:rPr>
              <w:t>Federal Court Rules 2011</w:t>
            </w:r>
            <w:r w:rsidR="00F86F40" w:rsidRPr="002E7E46">
              <w:t xml:space="preserve"> (Cth) rr 3.11</w:t>
            </w:r>
            <w:r w:rsidR="00EC0FB8">
              <w:t>(1)</w:t>
            </w:r>
            <w:r w:rsidR="00F86F40" w:rsidRPr="002E7E46">
              <w:t>, 7.32, 7.33</w:t>
            </w:r>
            <w:r w:rsidR="0017277B">
              <w:t>(1)</w:t>
            </w:r>
            <w:r w:rsidR="00652BA5" w:rsidRPr="002E7E46">
              <w:t xml:space="preserve">, </w:t>
            </w:r>
            <w:r w:rsidR="00CD4DEB">
              <w:t xml:space="preserve">16.02(1)(a), </w:t>
            </w:r>
            <w:r w:rsidR="00652BA5" w:rsidRPr="002E7E46">
              <w:t>16.53</w:t>
            </w:r>
            <w:r w:rsidR="00156171">
              <w:t>, 25.01</w:t>
            </w:r>
          </w:p>
          <w:p w14:paraId="3E098D39" w14:textId="2FB8FB9D" w:rsidR="00395B24" w:rsidRDefault="00AA09EB" w:rsidP="00652BA5">
            <w:pPr>
              <w:pStyle w:val="CasesLegislationAppealFrom"/>
              <w:spacing w:after="60"/>
            </w:pPr>
            <w:r w:rsidRPr="008A01E8">
              <w:rPr>
                <w:i/>
                <w:iCs/>
              </w:rPr>
              <w:t>Taxation Administration Act</w:t>
            </w:r>
            <w:r w:rsidRPr="0061435B">
              <w:rPr>
                <w:i/>
                <w:iCs/>
              </w:rPr>
              <w:t xml:space="preserve"> </w:t>
            </w:r>
            <w:r>
              <w:rPr>
                <w:i/>
                <w:iCs/>
              </w:rPr>
              <w:t>1953</w:t>
            </w:r>
            <w:r>
              <w:t xml:space="preserve"> (Cth)</w:t>
            </w:r>
            <w:r w:rsidR="002C7385">
              <w:t xml:space="preserve"> </w:t>
            </w:r>
            <w:bookmarkEnd w:id="2"/>
            <w:r w:rsidR="005C40EB">
              <w:t>s </w:t>
            </w:r>
            <w:r w:rsidR="005C40EB" w:rsidRPr="00E842E1">
              <w:t xml:space="preserve">8AAZC </w:t>
            </w:r>
            <w:r w:rsidR="002C7385">
              <w:t xml:space="preserve"> </w:t>
            </w:r>
          </w:p>
        </w:tc>
      </w:tr>
      <w:tr w:rsidR="00395B24" w14:paraId="60FB1300" w14:textId="77777777" w:rsidTr="0049558A">
        <w:tc>
          <w:tcPr>
            <w:tcW w:w="3084" w:type="dxa"/>
            <w:shd w:val="clear" w:color="auto" w:fill="auto"/>
          </w:tcPr>
          <w:p w14:paraId="156EA8FD" w14:textId="77777777" w:rsidR="00395B24" w:rsidRDefault="00395B24" w:rsidP="00663878">
            <w:pPr>
              <w:pStyle w:val="Normal1linespace"/>
              <w:widowControl w:val="0"/>
              <w:jc w:val="left"/>
            </w:pPr>
          </w:p>
        </w:tc>
        <w:tc>
          <w:tcPr>
            <w:tcW w:w="5989" w:type="dxa"/>
            <w:shd w:val="clear" w:color="auto" w:fill="auto"/>
          </w:tcPr>
          <w:p w14:paraId="5155BB30" w14:textId="77777777" w:rsidR="00395B24" w:rsidRDefault="00395B24" w:rsidP="00663878">
            <w:pPr>
              <w:pStyle w:val="Normal1linespace"/>
              <w:widowControl w:val="0"/>
              <w:jc w:val="left"/>
            </w:pPr>
          </w:p>
        </w:tc>
      </w:tr>
      <w:tr w:rsidR="00395B24" w14:paraId="2B7FF9E7" w14:textId="77777777" w:rsidTr="0049558A">
        <w:tc>
          <w:tcPr>
            <w:tcW w:w="3084" w:type="dxa"/>
            <w:shd w:val="clear" w:color="auto" w:fill="auto"/>
          </w:tcPr>
          <w:p w14:paraId="1B14DCCA" w14:textId="77777777" w:rsidR="00395B24" w:rsidRDefault="002C7385" w:rsidP="00663878">
            <w:pPr>
              <w:pStyle w:val="Normal1linespace"/>
              <w:widowControl w:val="0"/>
              <w:jc w:val="left"/>
            </w:pPr>
            <w:r>
              <w:t>Cases cited:</w:t>
            </w:r>
          </w:p>
        </w:tc>
        <w:tc>
          <w:tcPr>
            <w:tcW w:w="5989" w:type="dxa"/>
            <w:shd w:val="clear" w:color="auto" w:fill="auto"/>
          </w:tcPr>
          <w:p w14:paraId="67967B48" w14:textId="7F703404" w:rsidR="004C5E91" w:rsidRDefault="004C5E91" w:rsidP="00D82620">
            <w:pPr>
              <w:pStyle w:val="CasesLegislationAppealFrom"/>
              <w:spacing w:after="60"/>
              <w:rPr>
                <w:bCs/>
                <w:i/>
              </w:rPr>
            </w:pPr>
            <w:r>
              <w:rPr>
                <w:i/>
              </w:rPr>
              <w:t>Anchorage Capital Partners Pty Ltd v ACPA Pty Ltd (No</w:t>
            </w:r>
            <w:r w:rsidR="00DF6200">
              <w:rPr>
                <w:i/>
              </w:rPr>
              <w:t> </w:t>
            </w:r>
            <w:r>
              <w:rPr>
                <w:i/>
              </w:rPr>
              <w:t>2)</w:t>
            </w:r>
            <w:r>
              <w:t xml:space="preserve"> [2018] FCAFC 112</w:t>
            </w:r>
          </w:p>
          <w:p w14:paraId="6E64C519" w14:textId="21C01165" w:rsidR="00A20850" w:rsidRDefault="00A20850" w:rsidP="00D82620">
            <w:pPr>
              <w:pStyle w:val="CasesLegislationAppealFrom"/>
              <w:spacing w:after="60"/>
            </w:pPr>
            <w:r w:rsidRPr="008A01E8">
              <w:rPr>
                <w:bCs/>
                <w:i/>
              </w:rPr>
              <w:t>Aon</w:t>
            </w:r>
            <w:r>
              <w:rPr>
                <w:i/>
              </w:rPr>
              <w:t xml:space="preserve"> Risk Services Australia Ltd v Australian National University</w:t>
            </w:r>
            <w:r>
              <w:t xml:space="preserve"> [2009] HCA 27; 239 CLR 175</w:t>
            </w:r>
          </w:p>
          <w:p w14:paraId="472A0AE1" w14:textId="64BBE3AB" w:rsidR="0090393E" w:rsidRDefault="0090393E" w:rsidP="00D82620">
            <w:pPr>
              <w:pStyle w:val="CasesLegislationAppealFrom"/>
              <w:spacing w:after="60"/>
            </w:pPr>
            <w:r w:rsidRPr="0004662F">
              <w:rPr>
                <w:i/>
              </w:rPr>
              <w:t>Attorney-General v Times Newspapers Ltd</w:t>
            </w:r>
            <w:r w:rsidRPr="005D4AC5">
              <w:t xml:space="preserve"> </w:t>
            </w:r>
            <w:r w:rsidRPr="00FA7FEE">
              <w:t>(1974) AC 273</w:t>
            </w:r>
          </w:p>
          <w:p w14:paraId="151FFA04" w14:textId="402F945A" w:rsidR="003C0242" w:rsidRDefault="003C0242" w:rsidP="00D82620">
            <w:pPr>
              <w:pStyle w:val="CasesLegislationAppealFrom"/>
              <w:spacing w:after="60"/>
            </w:pPr>
            <w:r w:rsidRPr="00F74940">
              <w:rPr>
                <w:i/>
              </w:rPr>
              <w:t>Australian Securities and Investments Commission v Daly (Liability Hearing)</w:t>
            </w:r>
            <w:r w:rsidRPr="00483A05">
              <w:t xml:space="preserve"> [2023] FCA 290</w:t>
            </w:r>
          </w:p>
          <w:p w14:paraId="7053F4C9" w14:textId="0C4BF6BC" w:rsidR="0090393E" w:rsidRDefault="0090393E" w:rsidP="00D82620">
            <w:pPr>
              <w:pStyle w:val="CasesLegislationAppealFrom"/>
              <w:spacing w:after="60"/>
            </w:pPr>
            <w:r w:rsidRPr="0004662F">
              <w:rPr>
                <w:i/>
              </w:rPr>
              <w:t>Australasian Meat Industry Employees’ Union v Mudginberri Station Pty Ltd</w:t>
            </w:r>
            <w:r w:rsidRPr="0013182A">
              <w:t xml:space="preserve"> </w:t>
            </w:r>
            <w:r>
              <w:t>[</w:t>
            </w:r>
            <w:r w:rsidRPr="0013182A">
              <w:t>1986</w:t>
            </w:r>
            <w:r>
              <w:t>]</w:t>
            </w:r>
            <w:r w:rsidRPr="0013182A">
              <w:t xml:space="preserve"> </w:t>
            </w:r>
            <w:r>
              <w:t xml:space="preserve">HCA 46; </w:t>
            </w:r>
            <w:r w:rsidRPr="0013182A">
              <w:t>161 CLR 98</w:t>
            </w:r>
          </w:p>
          <w:p w14:paraId="30FC1456" w14:textId="680E7F78" w:rsidR="0090393E" w:rsidRDefault="0090393E" w:rsidP="00D82620">
            <w:pPr>
              <w:pStyle w:val="CasesLegislationAppealFrom"/>
              <w:spacing w:after="60"/>
              <w:rPr>
                <w:bCs/>
                <w:i/>
              </w:rPr>
            </w:pPr>
            <w:r w:rsidRPr="00232DB3">
              <w:rPr>
                <w:i/>
              </w:rPr>
              <w:t>Blendell v Blendell</w:t>
            </w:r>
            <w:r w:rsidRPr="004D1E73">
              <w:t xml:space="preserve"> [2020] NSWCA 154</w:t>
            </w:r>
          </w:p>
          <w:p w14:paraId="2788107E" w14:textId="3C038727" w:rsidR="00A20850" w:rsidRDefault="00A20850" w:rsidP="00D82620">
            <w:pPr>
              <w:pStyle w:val="CasesLegislationAppealFrom"/>
              <w:spacing w:after="60"/>
            </w:pPr>
            <w:r w:rsidRPr="008A01E8">
              <w:rPr>
                <w:bCs/>
                <w:i/>
              </w:rPr>
              <w:t>Caason</w:t>
            </w:r>
            <w:r>
              <w:rPr>
                <w:b/>
                <w:i/>
              </w:rPr>
              <w:t xml:space="preserve"> </w:t>
            </w:r>
            <w:r w:rsidRPr="00014BCB">
              <w:rPr>
                <w:bCs/>
                <w:i/>
              </w:rPr>
              <w:t>Investments Pty Ltd v Cao</w:t>
            </w:r>
            <w:r>
              <w:t xml:space="preserve"> [2015] FCAFC 94; 236 FCR 322</w:t>
            </w:r>
          </w:p>
          <w:p w14:paraId="7AF88A3B" w14:textId="464A6371" w:rsidR="004C5E91" w:rsidRDefault="004C5E91" w:rsidP="00D82620">
            <w:pPr>
              <w:pStyle w:val="CasesLegislationAppealFrom"/>
              <w:spacing w:after="60"/>
            </w:pPr>
            <w:r w:rsidRPr="00F4724E">
              <w:rPr>
                <w:i/>
                <w:iCs/>
              </w:rPr>
              <w:t xml:space="preserve">Calderbank v Calderbank </w:t>
            </w:r>
            <w:r w:rsidRPr="003C5F00">
              <w:t>[1975] 3 All ER 333</w:t>
            </w:r>
          </w:p>
          <w:p w14:paraId="69784AAF" w14:textId="2CA2D799" w:rsidR="00337322" w:rsidRDefault="00337322" w:rsidP="00D82620">
            <w:pPr>
              <w:pStyle w:val="CasesLegislationAppealFrom"/>
              <w:spacing w:after="60"/>
            </w:pPr>
            <w:r w:rsidRPr="00232DB3">
              <w:rPr>
                <w:i/>
              </w:rPr>
              <w:t>Chamberlain Group Pty Ltd v Kids for Life Academy Pty Ltd</w:t>
            </w:r>
            <w:r>
              <w:t xml:space="preserve"> [2015] NSWCA 241</w:t>
            </w:r>
          </w:p>
          <w:p w14:paraId="6C63156B" w14:textId="3039904D" w:rsidR="008E4586" w:rsidRDefault="008E4586" w:rsidP="00D82620">
            <w:pPr>
              <w:pStyle w:val="CasesLegislationAppealFrom"/>
              <w:spacing w:after="60"/>
            </w:pPr>
            <w:r w:rsidRPr="00F4724E">
              <w:rPr>
                <w:i/>
                <w:iCs/>
              </w:rPr>
              <w:t>Commissioner of State Taxation (WA) v</w:t>
            </w:r>
            <w:r w:rsidRPr="00F4724E">
              <w:rPr>
                <w:i/>
              </w:rPr>
              <w:t xml:space="preserve"> </w:t>
            </w:r>
            <w:r w:rsidRPr="008A01E8">
              <w:rPr>
                <w:bCs/>
                <w:i/>
              </w:rPr>
              <w:t>Pollock</w:t>
            </w:r>
            <w:r>
              <w:t xml:space="preserve"> (1993) 12 ACSR 217</w:t>
            </w:r>
          </w:p>
          <w:p w14:paraId="74FDEFC4" w14:textId="08C651B0" w:rsidR="00C4400B" w:rsidRDefault="00C4400B" w:rsidP="00D82620">
            <w:pPr>
              <w:pStyle w:val="CasesLegislationAppealFrom"/>
              <w:spacing w:after="60"/>
            </w:pPr>
            <w:r w:rsidRPr="006D3D0D">
              <w:rPr>
                <w:i/>
                <w:iCs/>
              </w:rPr>
              <w:t>Copeland in his capacity as liquidator of</w:t>
            </w:r>
            <w:r w:rsidRPr="00B55F7A">
              <w:t xml:space="preserve"> </w:t>
            </w:r>
            <w:r w:rsidRPr="008A01E8">
              <w:rPr>
                <w:i/>
                <w:iCs/>
              </w:rPr>
              <w:t>Skyworkers</w:t>
            </w:r>
            <w:r w:rsidRPr="006D3D0D">
              <w:rPr>
                <w:i/>
                <w:iCs/>
              </w:rPr>
              <w:t xml:space="preserve"> Pty </w:t>
            </w:r>
            <w:r w:rsidRPr="006D3D0D">
              <w:rPr>
                <w:i/>
                <w:iCs/>
              </w:rPr>
              <w:lastRenderedPageBreak/>
              <w:t>Limited (in Liquidation) v Murace</w:t>
            </w:r>
            <w:r w:rsidRPr="00B55F7A">
              <w:t xml:space="preserve"> [2023] FCA 14</w:t>
            </w:r>
          </w:p>
          <w:p w14:paraId="62A70586" w14:textId="3C8BC8BC" w:rsidR="00C4400B" w:rsidRDefault="00C4400B" w:rsidP="00D82620">
            <w:pPr>
              <w:pStyle w:val="CasesLegislationAppealFrom"/>
              <w:spacing w:after="60"/>
              <w:rPr>
                <w:i/>
              </w:rPr>
            </w:pPr>
            <w:r w:rsidRPr="008A01E8">
              <w:rPr>
                <w:i/>
                <w:iCs/>
              </w:rPr>
              <w:t>Devine</w:t>
            </w:r>
            <w:r w:rsidRPr="006D3D0D">
              <w:rPr>
                <w:i/>
                <w:iCs/>
              </w:rPr>
              <w:t xml:space="preserve"> v Liu; Devine v Ho</w:t>
            </w:r>
            <w:r w:rsidRPr="008F3C7D">
              <w:t xml:space="preserve"> [2018] NSWSC 1453</w:t>
            </w:r>
            <w:r>
              <w:t>;</w:t>
            </w:r>
            <w:r w:rsidRPr="008F3C7D">
              <w:t xml:space="preserve"> 338 FLR 208</w:t>
            </w:r>
          </w:p>
          <w:p w14:paraId="7032AF9D" w14:textId="26D3D466" w:rsidR="00A90A8D" w:rsidRDefault="00A90A8D" w:rsidP="00D82620">
            <w:pPr>
              <w:pStyle w:val="CasesLegislationAppealFrom"/>
              <w:spacing w:after="60"/>
            </w:pPr>
            <w:r>
              <w:rPr>
                <w:i/>
              </w:rPr>
              <w:t xml:space="preserve">Dye v Commonwealth Securities Limited (No 2) </w:t>
            </w:r>
            <w:r>
              <w:t>[2010] FCAFC 118; 63 AILR 101-103</w:t>
            </w:r>
          </w:p>
          <w:p w14:paraId="7A9E086B" w14:textId="56663395" w:rsidR="004C5E91" w:rsidRDefault="004C5E91" w:rsidP="00D82620">
            <w:pPr>
              <w:pStyle w:val="CasesLegislationAppealFrom"/>
              <w:spacing w:after="60"/>
            </w:pPr>
            <w:r w:rsidRPr="003C34AA">
              <w:rPr>
                <w:i/>
              </w:rPr>
              <w:t xml:space="preserve">Fountain Selected Meats (Sales) Pty Ltd v International Produce Merchants Pty Ltd </w:t>
            </w:r>
            <w:r>
              <w:t>[</w:t>
            </w:r>
            <w:r w:rsidRPr="003C34AA">
              <w:t>1988</w:t>
            </w:r>
            <w:r>
              <w:t>] FCA 202;</w:t>
            </w:r>
            <w:r w:rsidRPr="003C34AA">
              <w:t xml:space="preserve"> 81 ALR 397</w:t>
            </w:r>
          </w:p>
          <w:p w14:paraId="1173E1BB" w14:textId="16D7A14D" w:rsidR="004C5E91" w:rsidRDefault="004C5E91" w:rsidP="00D82620">
            <w:pPr>
              <w:pStyle w:val="CasesLegislationAppealFrom"/>
              <w:spacing w:after="60"/>
              <w:rPr>
                <w:i/>
              </w:rPr>
            </w:pPr>
            <w:r w:rsidRPr="003C34AA">
              <w:rPr>
                <w:i/>
              </w:rPr>
              <w:t>Huntsman Chemical Co Aust Ltd v International Pools Aust Pty Ltd</w:t>
            </w:r>
            <w:r w:rsidRPr="003C34AA">
              <w:t xml:space="preserve"> (1995) 36 NSWLR 242</w:t>
            </w:r>
          </w:p>
          <w:p w14:paraId="67F999EA" w14:textId="6CAE279D" w:rsidR="00A90A8D" w:rsidRDefault="00A90A8D" w:rsidP="00D82620">
            <w:pPr>
              <w:pStyle w:val="CasesLegislationAppealFrom"/>
              <w:spacing w:after="60"/>
            </w:pPr>
            <w:r w:rsidRPr="00BF7E77">
              <w:rPr>
                <w:i/>
              </w:rPr>
              <w:t xml:space="preserve">Hurst, in the matter of </w:t>
            </w:r>
            <w:r w:rsidRPr="008A01E8">
              <w:rPr>
                <w:i/>
              </w:rPr>
              <w:t>Lloyds Curry</w:t>
            </w:r>
            <w:r w:rsidRPr="00B177D8">
              <w:rPr>
                <w:i/>
              </w:rPr>
              <w:t xml:space="preserve"> Shop P</w:t>
            </w:r>
            <w:r w:rsidRPr="00BF7E77">
              <w:rPr>
                <w:i/>
              </w:rPr>
              <w:t>ty Ltd (in liq) v Prasad</w:t>
            </w:r>
            <w:r>
              <w:t xml:space="preserve"> [2021] FCA 1562 </w:t>
            </w:r>
          </w:p>
          <w:p w14:paraId="0F0D30C6" w14:textId="77777777" w:rsidR="00395B24" w:rsidRDefault="00A90A8D" w:rsidP="00D82620">
            <w:pPr>
              <w:pStyle w:val="CasesLegislationAppealFrom"/>
              <w:spacing w:after="60"/>
            </w:pPr>
            <w:r w:rsidRPr="00BF7E77">
              <w:rPr>
                <w:i/>
              </w:rPr>
              <w:t>Hurst, in the matter of Lloyds Curry Shop Pty Ltd (in liq) v Prasad (No 2)</w:t>
            </w:r>
            <w:r w:rsidRPr="00BF7E77">
              <w:t xml:space="preserve"> [2022] FCA 1133</w:t>
            </w:r>
          </w:p>
          <w:p w14:paraId="447CBD4D" w14:textId="6E130B7C" w:rsidR="0090393E" w:rsidRDefault="0090393E" w:rsidP="00D82620">
            <w:pPr>
              <w:pStyle w:val="CasesLegislationAppealFrom"/>
              <w:spacing w:after="60"/>
            </w:pPr>
            <w:r w:rsidRPr="00461EA5">
              <w:rPr>
                <w:i/>
              </w:rPr>
              <w:t>In the Matter of Australasian Barrister Chambers Ltd (in liq)</w:t>
            </w:r>
            <w:r w:rsidRPr="00B93D93">
              <w:t xml:space="preserve"> [2017] NSWSC 693</w:t>
            </w:r>
          </w:p>
          <w:p w14:paraId="4A2FBE91" w14:textId="7A6D42BA" w:rsidR="001A1B0A" w:rsidRDefault="001A1B0A" w:rsidP="00D82620">
            <w:pPr>
              <w:pStyle w:val="CasesLegislationAppealFrom"/>
              <w:spacing w:after="60"/>
            </w:pPr>
            <w:r w:rsidRPr="001B677C">
              <w:rPr>
                <w:i/>
              </w:rPr>
              <w:t>Jones v Bradley (No</w:t>
            </w:r>
            <w:r>
              <w:rPr>
                <w:i/>
              </w:rPr>
              <w:t> </w:t>
            </w:r>
            <w:r w:rsidRPr="001B677C">
              <w:rPr>
                <w:i/>
              </w:rPr>
              <w:t xml:space="preserve">2) </w:t>
            </w:r>
            <w:r w:rsidRPr="00F4724E">
              <w:rPr>
                <w:iCs/>
              </w:rPr>
              <w:t>[2003] NSWCA 258</w:t>
            </w:r>
          </w:p>
          <w:p w14:paraId="43D16726" w14:textId="5AE36E9C" w:rsidR="004C5E91" w:rsidRDefault="004C5E91" w:rsidP="00D82620">
            <w:pPr>
              <w:pStyle w:val="CasesLegislationAppealFrom"/>
              <w:spacing w:after="60"/>
            </w:pPr>
            <w:r>
              <w:rPr>
                <w:i/>
              </w:rPr>
              <w:t xml:space="preserve">LFDB v Ms S M (No 2) </w:t>
            </w:r>
            <w:r>
              <w:t>[2018] FCA 2062</w:t>
            </w:r>
          </w:p>
          <w:p w14:paraId="7771DA7C" w14:textId="65D7BB43" w:rsidR="00AB0BCD" w:rsidRDefault="00AB0BCD" w:rsidP="00D82620">
            <w:pPr>
              <w:pStyle w:val="CasesLegislationAppealFrom"/>
              <w:spacing w:after="60"/>
            </w:pPr>
            <w:r w:rsidRPr="00B8427C">
              <w:rPr>
                <w:i/>
              </w:rPr>
              <w:t>Nicols as trustee of the bankrupt estate of Manietta v Manietta, in the matter of Manietta</w:t>
            </w:r>
            <w:r w:rsidRPr="002D2661">
              <w:t xml:space="preserve"> [2022] FCA </w:t>
            </w:r>
            <w:r>
              <w:t>39</w:t>
            </w:r>
          </w:p>
          <w:p w14:paraId="7DDC02DD" w14:textId="4E4E838A" w:rsidR="00C0294B" w:rsidRDefault="00C0294B" w:rsidP="00D82620">
            <w:pPr>
              <w:pStyle w:val="CasesLegislationAppealFrom"/>
              <w:spacing w:after="60"/>
            </w:pPr>
            <w:r w:rsidRPr="002F0823">
              <w:rPr>
                <w:i/>
                <w:iCs/>
              </w:rPr>
              <w:t xml:space="preserve">Owen as Liquidator of </w:t>
            </w:r>
            <w:r w:rsidRPr="008A01E8">
              <w:rPr>
                <w:bCs/>
                <w:i/>
              </w:rPr>
              <w:t>Davey SG</w:t>
            </w:r>
            <w:r w:rsidRPr="002F0823">
              <w:rPr>
                <w:i/>
                <w:iCs/>
              </w:rPr>
              <w:t xml:space="preserve"> Pty Ltd (in liq) v Davey, in the matter of Davey SG Pty Ltd (in liq)</w:t>
            </w:r>
            <w:r w:rsidRPr="006D3D0D">
              <w:t xml:space="preserve"> [2021] FCA 200</w:t>
            </w:r>
          </w:p>
          <w:p w14:paraId="1E92F418" w14:textId="35F3C2A9" w:rsidR="00C0294B" w:rsidRDefault="00C0294B" w:rsidP="00D82620">
            <w:pPr>
              <w:pStyle w:val="CasesLegislationAppealFrom"/>
              <w:spacing w:after="60"/>
            </w:pPr>
            <w:r w:rsidRPr="00F44F9D">
              <w:rPr>
                <w:i/>
                <w:iCs/>
              </w:rPr>
              <w:t>Oztech Pty Ltd v Public Trustee of Queensland</w:t>
            </w:r>
            <w:r w:rsidRPr="00F4569F">
              <w:t xml:space="preserve"> [2019] FCAFC 102; 269 FCR 349</w:t>
            </w:r>
          </w:p>
          <w:p w14:paraId="675100FF" w14:textId="7D7BDBDE" w:rsidR="001A1B0A" w:rsidRDefault="001A1B0A" w:rsidP="00D82620">
            <w:pPr>
              <w:pStyle w:val="CasesLegislationAppealFrom"/>
              <w:spacing w:after="60"/>
            </w:pPr>
            <w:r w:rsidRPr="008A01E8">
              <w:rPr>
                <w:bCs/>
                <w:i/>
              </w:rPr>
              <w:t>Peterson</w:t>
            </w:r>
            <w:r w:rsidRPr="000134B5">
              <w:rPr>
                <w:i/>
              </w:rPr>
              <w:t xml:space="preserve"> Superannuation Fund Pty Ltd v Bank of Queensland Ltd</w:t>
            </w:r>
            <w:r>
              <w:t xml:space="preserve"> [2017] FCA 699</w:t>
            </w:r>
          </w:p>
          <w:p w14:paraId="2E83604B" w14:textId="77777777" w:rsidR="00C0294B" w:rsidRDefault="00C0294B" w:rsidP="00C0294B">
            <w:pPr>
              <w:pStyle w:val="CasesLegislationAppealFrom"/>
              <w:spacing w:after="60"/>
            </w:pPr>
            <w:r>
              <w:rPr>
                <w:i/>
              </w:rPr>
              <w:t>Plaintiff P1/2003 v Ruddock</w:t>
            </w:r>
            <w:r>
              <w:t xml:space="preserve"> [2007] FCA 65; 157 FCR 18</w:t>
            </w:r>
          </w:p>
          <w:p w14:paraId="19F2335B" w14:textId="7BA8F655" w:rsidR="00C0294B" w:rsidRDefault="00C0294B" w:rsidP="00D82620">
            <w:pPr>
              <w:pStyle w:val="CasesLegislationAppealFrom"/>
              <w:spacing w:after="60"/>
            </w:pPr>
            <w:r w:rsidRPr="008A01E8">
              <w:rPr>
                <w:bCs/>
                <w:i/>
              </w:rPr>
              <w:t>Re Melbournehomes</w:t>
            </w:r>
            <w:r w:rsidRPr="002F0823">
              <w:rPr>
                <w:i/>
              </w:rPr>
              <w:t>.com Pty Ltd (in liq)</w:t>
            </w:r>
            <w:r w:rsidRPr="0092578E">
              <w:t xml:space="preserve"> [2020] VSC 854; 356 FLR 390</w:t>
            </w:r>
          </w:p>
          <w:p w14:paraId="3019DC1C" w14:textId="00775B5B" w:rsidR="00261EA4" w:rsidRDefault="00261EA4" w:rsidP="00D82620">
            <w:pPr>
              <w:pStyle w:val="CasesLegislationAppealFrom"/>
              <w:spacing w:after="60"/>
            </w:pPr>
            <w:r w:rsidRPr="00F4724E">
              <w:rPr>
                <w:i/>
                <w:iCs/>
              </w:rPr>
              <w:t>Sands &amp; McDougall Wholesale Pty Ltd (in liq) v Commissioner of Taxation</w:t>
            </w:r>
            <w:r w:rsidRPr="00A253A9">
              <w:t xml:space="preserve"> </w:t>
            </w:r>
            <w:r>
              <w:t xml:space="preserve">[1998] VSCA 76; </w:t>
            </w:r>
            <w:r w:rsidRPr="00A253A9">
              <w:t>(199</w:t>
            </w:r>
            <w:r>
              <w:t>9</w:t>
            </w:r>
            <w:r w:rsidRPr="00A253A9">
              <w:t>) 1 VR 489</w:t>
            </w:r>
          </w:p>
          <w:p w14:paraId="08D4BE71" w14:textId="57D73B9D" w:rsidR="00261EA4" w:rsidRDefault="00261EA4" w:rsidP="00D82620">
            <w:pPr>
              <w:pStyle w:val="CasesLegislationAppealFrom"/>
              <w:spacing w:after="60"/>
            </w:pPr>
            <w:r w:rsidRPr="006D3D0D">
              <w:rPr>
                <w:i/>
                <w:iCs/>
              </w:rPr>
              <w:t xml:space="preserve">Strawbridge, in the matter of Virgin Australia Holdings Ltd (administrators appointed) (No 2) </w:t>
            </w:r>
            <w:r>
              <w:t>[2020] FCA 717; 144 ACSR 347</w:t>
            </w:r>
          </w:p>
          <w:p w14:paraId="7C2C5D73" w14:textId="77777777" w:rsidR="00A20850" w:rsidRDefault="00A20850" w:rsidP="00D82620">
            <w:pPr>
              <w:pStyle w:val="CasesLegislationAppealFrom"/>
              <w:spacing w:after="60"/>
            </w:pPr>
            <w:r>
              <w:rPr>
                <w:i/>
              </w:rPr>
              <w:t xml:space="preserve">Tamaya Resources Ltd (in liq) v Deloitte Touche Tohmatsu </w:t>
            </w:r>
            <w:r>
              <w:t>[2015] FCA 1098</w:t>
            </w:r>
          </w:p>
          <w:p w14:paraId="2F22580C" w14:textId="1EF55071" w:rsidR="00B513C0" w:rsidRDefault="00B513C0" w:rsidP="00D82620">
            <w:pPr>
              <w:pStyle w:val="CasesLegislationAppealFrom"/>
              <w:spacing w:after="60"/>
            </w:pPr>
            <w:r w:rsidRPr="00546C8A">
              <w:rPr>
                <w:i/>
              </w:rPr>
              <w:t>Totev v Sfar</w:t>
            </w:r>
            <w:r w:rsidRPr="00546C8A">
              <w:t xml:space="preserve"> [2008] FCAFC 35; 167 FCR 193</w:t>
            </w:r>
          </w:p>
          <w:p w14:paraId="77802059" w14:textId="721C46C1" w:rsidR="004C5E91" w:rsidRDefault="004C5E91" w:rsidP="00D82620">
            <w:pPr>
              <w:pStyle w:val="CasesLegislationAppealFrom"/>
              <w:spacing w:after="60"/>
            </w:pPr>
            <w:r w:rsidRPr="05FCB06D">
              <w:rPr>
                <w:i/>
                <w:iCs/>
              </w:rPr>
              <w:t>Trevor, in the matter of</w:t>
            </w:r>
            <w:r>
              <w:t xml:space="preserve"> </w:t>
            </w:r>
            <w:r w:rsidRPr="008A01E8">
              <w:rPr>
                <w:bCs/>
                <w:i/>
              </w:rPr>
              <w:t>Bell Group NV</w:t>
            </w:r>
            <w:r w:rsidRPr="00AD104B">
              <w:rPr>
                <w:i/>
                <w:iCs/>
              </w:rPr>
              <w:t xml:space="preserve"> (in liq) (No 2) </w:t>
            </w:r>
            <w:r w:rsidRPr="00F4566A">
              <w:t>[2017] FCA 927; 122 ACSR 418</w:t>
            </w:r>
          </w:p>
          <w:p w14:paraId="0A66F98B" w14:textId="4D0A03A1" w:rsidR="008E4586" w:rsidRDefault="008E4586" w:rsidP="00D82620">
            <w:pPr>
              <w:pStyle w:val="CasesLegislationAppealFrom"/>
              <w:spacing w:after="60"/>
            </w:pPr>
            <w:r w:rsidRPr="00F4724E">
              <w:rPr>
                <w:i/>
                <w:iCs/>
              </w:rPr>
              <w:t>Yeo, in the matter of Bradi Transport Pty Ltd (in liq) v Sklenovski</w:t>
            </w:r>
            <w:r w:rsidRPr="6D07270D">
              <w:rPr>
                <w:i/>
                <w:iCs/>
              </w:rPr>
              <w:t xml:space="preserve"> </w:t>
            </w:r>
            <w:r w:rsidRPr="00FB7F3B">
              <w:t>[2020] FCA 1540</w:t>
            </w:r>
          </w:p>
        </w:tc>
      </w:tr>
      <w:tr w:rsidR="00083D12" w14:paraId="5351DC26" w14:textId="77777777" w:rsidTr="0049558A">
        <w:tc>
          <w:tcPr>
            <w:tcW w:w="3084" w:type="dxa"/>
            <w:shd w:val="clear" w:color="auto" w:fill="auto"/>
          </w:tcPr>
          <w:p w14:paraId="67A2D36E" w14:textId="77777777" w:rsidR="00083D12" w:rsidRDefault="00083D12" w:rsidP="00962E0C">
            <w:pPr>
              <w:pStyle w:val="Normal1linespace"/>
              <w:widowControl w:val="0"/>
            </w:pPr>
          </w:p>
        </w:tc>
        <w:tc>
          <w:tcPr>
            <w:tcW w:w="5989" w:type="dxa"/>
            <w:shd w:val="clear" w:color="auto" w:fill="auto"/>
          </w:tcPr>
          <w:p w14:paraId="6C960BDC" w14:textId="77777777" w:rsidR="00083D12" w:rsidRDefault="00083D12" w:rsidP="00962E0C">
            <w:pPr>
              <w:pStyle w:val="Normal1linespace"/>
              <w:widowControl w:val="0"/>
              <w:jc w:val="left"/>
            </w:pPr>
          </w:p>
        </w:tc>
      </w:tr>
      <w:tr w:rsidR="00083D12" w14:paraId="7A2DB01E" w14:textId="77777777" w:rsidTr="0049558A">
        <w:tc>
          <w:tcPr>
            <w:tcW w:w="3084" w:type="dxa"/>
            <w:shd w:val="clear" w:color="auto" w:fill="auto"/>
          </w:tcPr>
          <w:p w14:paraId="067786EF" w14:textId="77777777" w:rsidR="00083D12" w:rsidRDefault="00083D12" w:rsidP="00501A12">
            <w:pPr>
              <w:pStyle w:val="Normal1linespace"/>
              <w:widowControl w:val="0"/>
            </w:pPr>
            <w:r>
              <w:t>Division:</w:t>
            </w:r>
          </w:p>
        </w:tc>
        <w:tc>
          <w:tcPr>
            <w:tcW w:w="5989" w:type="dxa"/>
            <w:shd w:val="clear" w:color="auto" w:fill="auto"/>
          </w:tcPr>
          <w:p w14:paraId="32802C3B" w14:textId="207CC3CB" w:rsidR="00083D12" w:rsidRPr="00F17599" w:rsidRDefault="00083D12" w:rsidP="00501A12">
            <w:pPr>
              <w:pStyle w:val="Normal1linespace"/>
              <w:widowControl w:val="0"/>
              <w:jc w:val="left"/>
            </w:pPr>
            <w:r>
              <w:t>General Division</w:t>
            </w:r>
          </w:p>
        </w:tc>
      </w:tr>
      <w:tr w:rsidR="00083D12" w14:paraId="7E7635AB" w14:textId="77777777" w:rsidTr="0049558A">
        <w:tc>
          <w:tcPr>
            <w:tcW w:w="3084" w:type="dxa"/>
            <w:shd w:val="clear" w:color="auto" w:fill="auto"/>
          </w:tcPr>
          <w:p w14:paraId="45CA6330" w14:textId="77777777" w:rsidR="00083D12" w:rsidRDefault="00083D12" w:rsidP="00501A12">
            <w:pPr>
              <w:pStyle w:val="Normal1linespace"/>
              <w:widowControl w:val="0"/>
            </w:pPr>
            <w:bookmarkStart w:id="3" w:name="Registry_rows" w:colFirst="0" w:colLast="1"/>
          </w:p>
        </w:tc>
        <w:tc>
          <w:tcPr>
            <w:tcW w:w="5989" w:type="dxa"/>
            <w:shd w:val="clear" w:color="auto" w:fill="auto"/>
          </w:tcPr>
          <w:p w14:paraId="004BFEAF" w14:textId="77777777" w:rsidR="00083D12" w:rsidRDefault="00083D12" w:rsidP="00501A12">
            <w:pPr>
              <w:pStyle w:val="Normal1linespace"/>
              <w:widowControl w:val="0"/>
              <w:jc w:val="left"/>
            </w:pPr>
          </w:p>
        </w:tc>
      </w:tr>
      <w:tr w:rsidR="00083D12" w14:paraId="4BAF20FE" w14:textId="77777777" w:rsidTr="0049558A">
        <w:tc>
          <w:tcPr>
            <w:tcW w:w="3084" w:type="dxa"/>
            <w:shd w:val="clear" w:color="auto" w:fill="auto"/>
          </w:tcPr>
          <w:p w14:paraId="17F5E6DF" w14:textId="77777777" w:rsidR="00083D12" w:rsidRDefault="00083D12" w:rsidP="00501A12">
            <w:pPr>
              <w:pStyle w:val="Normal1linespace"/>
              <w:widowControl w:val="0"/>
            </w:pPr>
            <w:r>
              <w:t>Registry:</w:t>
            </w:r>
          </w:p>
        </w:tc>
        <w:tc>
          <w:tcPr>
            <w:tcW w:w="5989" w:type="dxa"/>
            <w:shd w:val="clear" w:color="auto" w:fill="auto"/>
          </w:tcPr>
          <w:p w14:paraId="4FA6C3B7" w14:textId="7B7C57EB" w:rsidR="00083D12" w:rsidRPr="00F17599" w:rsidRDefault="00083D12" w:rsidP="00501A12">
            <w:pPr>
              <w:pStyle w:val="Normal1linespace"/>
              <w:widowControl w:val="0"/>
              <w:jc w:val="left"/>
            </w:pPr>
            <w:r>
              <w:t>New South Wales</w:t>
            </w:r>
          </w:p>
        </w:tc>
      </w:tr>
      <w:tr w:rsidR="00083D12" w14:paraId="43B23823" w14:textId="77777777" w:rsidTr="0049558A">
        <w:tc>
          <w:tcPr>
            <w:tcW w:w="3084" w:type="dxa"/>
            <w:shd w:val="clear" w:color="auto" w:fill="auto"/>
          </w:tcPr>
          <w:p w14:paraId="18917E20" w14:textId="77777777" w:rsidR="00083D12" w:rsidRDefault="00083D12" w:rsidP="00501A12">
            <w:pPr>
              <w:pStyle w:val="Normal1linespace"/>
              <w:widowControl w:val="0"/>
            </w:pPr>
            <w:bookmarkStart w:id="4" w:name="NPARow" w:colFirst="0" w:colLast="1"/>
            <w:bookmarkEnd w:id="3"/>
          </w:p>
        </w:tc>
        <w:tc>
          <w:tcPr>
            <w:tcW w:w="5989" w:type="dxa"/>
            <w:shd w:val="clear" w:color="auto" w:fill="auto"/>
          </w:tcPr>
          <w:p w14:paraId="20A060E7" w14:textId="77777777" w:rsidR="00083D12" w:rsidRPr="00F17599" w:rsidRDefault="00083D12" w:rsidP="00501A12">
            <w:pPr>
              <w:pStyle w:val="Normal1linespace"/>
              <w:widowControl w:val="0"/>
              <w:jc w:val="left"/>
              <w:rPr>
                <w:b/>
              </w:rPr>
            </w:pPr>
          </w:p>
        </w:tc>
      </w:tr>
      <w:tr w:rsidR="00083D12" w14:paraId="7A524CD2" w14:textId="77777777" w:rsidTr="0049558A">
        <w:tc>
          <w:tcPr>
            <w:tcW w:w="3084" w:type="dxa"/>
            <w:shd w:val="clear" w:color="auto" w:fill="auto"/>
          </w:tcPr>
          <w:p w14:paraId="272075BA" w14:textId="77777777" w:rsidR="00083D12" w:rsidRDefault="00083D12" w:rsidP="00501A12">
            <w:pPr>
              <w:pStyle w:val="Normal1linespace"/>
              <w:widowControl w:val="0"/>
            </w:pPr>
            <w:r>
              <w:t>National Practice Area:</w:t>
            </w:r>
          </w:p>
        </w:tc>
        <w:tc>
          <w:tcPr>
            <w:tcW w:w="5989" w:type="dxa"/>
            <w:shd w:val="clear" w:color="auto" w:fill="auto"/>
          </w:tcPr>
          <w:p w14:paraId="23512056" w14:textId="4D616683" w:rsidR="00083D12" w:rsidRPr="00F17599" w:rsidRDefault="00083D12" w:rsidP="00962E0C">
            <w:pPr>
              <w:pStyle w:val="Normal1linespace"/>
              <w:widowControl w:val="0"/>
              <w:jc w:val="left"/>
              <w:rPr>
                <w:b/>
              </w:rPr>
            </w:pPr>
            <w:r>
              <w:t>Commercial and Corporations</w:t>
            </w:r>
          </w:p>
        </w:tc>
      </w:tr>
      <w:tr w:rsidR="00083D12" w14:paraId="7B2358E1" w14:textId="77777777" w:rsidTr="0049558A">
        <w:tc>
          <w:tcPr>
            <w:tcW w:w="3084" w:type="dxa"/>
            <w:shd w:val="clear" w:color="auto" w:fill="auto"/>
          </w:tcPr>
          <w:p w14:paraId="4259FC5D" w14:textId="77777777" w:rsidR="00083D12" w:rsidRDefault="00083D12" w:rsidP="00501A12">
            <w:pPr>
              <w:pStyle w:val="Normal1linespace"/>
              <w:widowControl w:val="0"/>
            </w:pPr>
            <w:bookmarkStart w:id="5" w:name="SubAreaRow" w:colFirst="0" w:colLast="1"/>
            <w:bookmarkEnd w:id="4"/>
          </w:p>
        </w:tc>
        <w:tc>
          <w:tcPr>
            <w:tcW w:w="5989" w:type="dxa"/>
            <w:shd w:val="clear" w:color="auto" w:fill="auto"/>
          </w:tcPr>
          <w:p w14:paraId="1133612B" w14:textId="77777777" w:rsidR="00083D12" w:rsidRDefault="00083D12" w:rsidP="00962E0C">
            <w:pPr>
              <w:pStyle w:val="Normal1linespace"/>
              <w:widowControl w:val="0"/>
              <w:jc w:val="left"/>
            </w:pPr>
          </w:p>
        </w:tc>
      </w:tr>
      <w:tr w:rsidR="00083D12" w14:paraId="53750505" w14:textId="77777777" w:rsidTr="0049558A">
        <w:tc>
          <w:tcPr>
            <w:tcW w:w="3084" w:type="dxa"/>
            <w:shd w:val="clear" w:color="auto" w:fill="auto"/>
          </w:tcPr>
          <w:p w14:paraId="16159AAA" w14:textId="77777777" w:rsidR="00083D12" w:rsidRDefault="00083D12" w:rsidP="00501A12">
            <w:pPr>
              <w:pStyle w:val="Normal1linespace"/>
              <w:widowControl w:val="0"/>
            </w:pPr>
            <w:r>
              <w:t>Sub-area:</w:t>
            </w:r>
          </w:p>
        </w:tc>
        <w:tc>
          <w:tcPr>
            <w:tcW w:w="5989" w:type="dxa"/>
            <w:shd w:val="clear" w:color="auto" w:fill="auto"/>
          </w:tcPr>
          <w:p w14:paraId="55DB2706" w14:textId="0BBF54F7" w:rsidR="00083D12" w:rsidRPr="00837288" w:rsidRDefault="00083D12" w:rsidP="00962E0C">
            <w:pPr>
              <w:pStyle w:val="Normal1linespace"/>
              <w:widowControl w:val="0"/>
              <w:jc w:val="left"/>
            </w:pPr>
            <w:r w:rsidRPr="00083D12">
              <w:rPr>
                <w:lang w:val="en-US"/>
              </w:rPr>
              <w:t>Corporations and Corporate</w:t>
            </w:r>
            <w:r>
              <w:t xml:space="preserve"> Insolvency</w:t>
            </w:r>
          </w:p>
        </w:tc>
      </w:tr>
      <w:bookmarkEnd w:id="5"/>
      <w:tr w:rsidR="00083D12" w14:paraId="38A1710F" w14:textId="77777777" w:rsidTr="0049558A">
        <w:tc>
          <w:tcPr>
            <w:tcW w:w="3084" w:type="dxa"/>
            <w:shd w:val="clear" w:color="auto" w:fill="auto"/>
          </w:tcPr>
          <w:p w14:paraId="4B4E639D" w14:textId="77777777" w:rsidR="00083D12" w:rsidRDefault="00083D12" w:rsidP="00501A12">
            <w:pPr>
              <w:pStyle w:val="Normal1linespace"/>
              <w:widowControl w:val="0"/>
            </w:pPr>
          </w:p>
        </w:tc>
        <w:tc>
          <w:tcPr>
            <w:tcW w:w="5989" w:type="dxa"/>
            <w:shd w:val="clear" w:color="auto" w:fill="auto"/>
          </w:tcPr>
          <w:p w14:paraId="19504CDD" w14:textId="77777777" w:rsidR="00083D12" w:rsidRDefault="00083D12" w:rsidP="00501A12">
            <w:pPr>
              <w:pStyle w:val="Normal1linespace"/>
              <w:widowControl w:val="0"/>
              <w:jc w:val="left"/>
            </w:pPr>
          </w:p>
        </w:tc>
      </w:tr>
      <w:tr w:rsidR="00083D12" w14:paraId="3BEB8155" w14:textId="77777777" w:rsidTr="0049558A">
        <w:tc>
          <w:tcPr>
            <w:tcW w:w="3084" w:type="dxa"/>
            <w:shd w:val="clear" w:color="auto" w:fill="auto"/>
          </w:tcPr>
          <w:p w14:paraId="247B1DD3" w14:textId="77777777" w:rsidR="00083D12" w:rsidRDefault="00083D12" w:rsidP="00501A12">
            <w:pPr>
              <w:pStyle w:val="Normal1linespace"/>
              <w:widowControl w:val="0"/>
            </w:pPr>
            <w:r>
              <w:t>Number of paragraphs:</w:t>
            </w:r>
          </w:p>
        </w:tc>
        <w:tc>
          <w:tcPr>
            <w:tcW w:w="5989" w:type="dxa"/>
            <w:shd w:val="clear" w:color="auto" w:fill="auto"/>
          </w:tcPr>
          <w:p w14:paraId="2233E52C" w14:textId="5277D28A" w:rsidR="00083D12" w:rsidRDefault="0049558A" w:rsidP="00501A12">
            <w:pPr>
              <w:pStyle w:val="Normal1linespace"/>
              <w:widowControl w:val="0"/>
              <w:jc w:val="left"/>
            </w:pPr>
            <w:bookmarkStart w:id="6" w:name="PlaceCategoryParagraphs"/>
            <w:r>
              <w:t>135</w:t>
            </w:r>
            <w:bookmarkEnd w:id="6"/>
          </w:p>
        </w:tc>
      </w:tr>
      <w:tr w:rsidR="00083D12" w14:paraId="6EA53715" w14:textId="77777777" w:rsidTr="0049558A">
        <w:tc>
          <w:tcPr>
            <w:tcW w:w="3084" w:type="dxa"/>
            <w:shd w:val="clear" w:color="auto" w:fill="auto"/>
          </w:tcPr>
          <w:p w14:paraId="54CD6422" w14:textId="77777777" w:rsidR="00083D12" w:rsidRDefault="00083D12" w:rsidP="00083D12">
            <w:pPr>
              <w:pStyle w:val="Normal1linespace"/>
              <w:widowControl w:val="0"/>
              <w:jc w:val="left"/>
            </w:pPr>
          </w:p>
        </w:tc>
        <w:tc>
          <w:tcPr>
            <w:tcW w:w="5989" w:type="dxa"/>
            <w:shd w:val="clear" w:color="auto" w:fill="auto"/>
          </w:tcPr>
          <w:p w14:paraId="6687466A" w14:textId="77777777" w:rsidR="00083D12" w:rsidRDefault="00083D12" w:rsidP="00083D12">
            <w:pPr>
              <w:pStyle w:val="Normal1linespace"/>
              <w:widowControl w:val="0"/>
              <w:jc w:val="left"/>
            </w:pPr>
          </w:p>
        </w:tc>
      </w:tr>
      <w:tr w:rsidR="00083D12" w14:paraId="4C84D9CF" w14:textId="77777777" w:rsidTr="0049558A">
        <w:tc>
          <w:tcPr>
            <w:tcW w:w="3084" w:type="dxa"/>
            <w:shd w:val="clear" w:color="auto" w:fill="auto"/>
          </w:tcPr>
          <w:p w14:paraId="533F1405" w14:textId="48A426DB" w:rsidR="00083D12" w:rsidRDefault="00083D12" w:rsidP="00495DEF">
            <w:pPr>
              <w:pStyle w:val="Normal1linespace"/>
              <w:widowControl w:val="0"/>
              <w:jc w:val="left"/>
            </w:pPr>
            <w:r>
              <w:t>Date of last submissions:</w:t>
            </w:r>
          </w:p>
        </w:tc>
        <w:tc>
          <w:tcPr>
            <w:tcW w:w="5989" w:type="dxa"/>
            <w:shd w:val="clear" w:color="auto" w:fill="auto"/>
          </w:tcPr>
          <w:p w14:paraId="35EFD32B" w14:textId="0EF88D78" w:rsidR="00083D12" w:rsidRDefault="0075201E" w:rsidP="00083D12">
            <w:pPr>
              <w:pStyle w:val="Normal1linespace"/>
              <w:widowControl w:val="0"/>
              <w:jc w:val="left"/>
            </w:pPr>
            <w:r>
              <w:t>21 February 2023</w:t>
            </w:r>
          </w:p>
        </w:tc>
      </w:tr>
      <w:tr w:rsidR="00083D12" w14:paraId="54611532" w14:textId="77777777" w:rsidTr="0049558A">
        <w:tc>
          <w:tcPr>
            <w:tcW w:w="3084" w:type="dxa"/>
            <w:shd w:val="clear" w:color="auto" w:fill="auto"/>
          </w:tcPr>
          <w:p w14:paraId="1FA4B517" w14:textId="77777777" w:rsidR="00083D12" w:rsidRDefault="00083D12" w:rsidP="00083D12">
            <w:pPr>
              <w:pStyle w:val="Normal1linespace"/>
              <w:widowControl w:val="0"/>
              <w:jc w:val="left"/>
            </w:pPr>
          </w:p>
        </w:tc>
        <w:tc>
          <w:tcPr>
            <w:tcW w:w="5989" w:type="dxa"/>
            <w:shd w:val="clear" w:color="auto" w:fill="auto"/>
          </w:tcPr>
          <w:p w14:paraId="0CC3F37F" w14:textId="77777777" w:rsidR="00083D12" w:rsidRDefault="00083D12" w:rsidP="00083D12">
            <w:pPr>
              <w:pStyle w:val="Normal1linespace"/>
              <w:widowControl w:val="0"/>
              <w:jc w:val="left"/>
            </w:pPr>
          </w:p>
        </w:tc>
      </w:tr>
      <w:tr w:rsidR="00083D12" w14:paraId="7B71A2F3" w14:textId="77777777" w:rsidTr="0049558A">
        <w:tc>
          <w:tcPr>
            <w:tcW w:w="3084" w:type="dxa"/>
            <w:shd w:val="clear" w:color="auto" w:fill="auto"/>
          </w:tcPr>
          <w:p w14:paraId="2B76F2A3" w14:textId="77777777" w:rsidR="00083D12" w:rsidRDefault="00083D12" w:rsidP="00083D12">
            <w:pPr>
              <w:pStyle w:val="Normal1linespace"/>
              <w:widowControl w:val="0"/>
              <w:jc w:val="left"/>
            </w:pPr>
            <w:bookmarkStart w:id="7" w:name="CounselDate" w:colFirst="0" w:colLast="2"/>
            <w:r w:rsidRPr="006A24E3">
              <w:t>Date of hearing:</w:t>
            </w:r>
          </w:p>
        </w:tc>
        <w:tc>
          <w:tcPr>
            <w:tcW w:w="5989" w:type="dxa"/>
            <w:shd w:val="clear" w:color="auto" w:fill="auto"/>
          </w:tcPr>
          <w:p w14:paraId="0D471808" w14:textId="0589CC9F" w:rsidR="00083D12" w:rsidRDefault="00B368CD" w:rsidP="00495DEF">
            <w:pPr>
              <w:pStyle w:val="Normal1linespace"/>
              <w:widowControl w:val="0"/>
              <w:jc w:val="left"/>
            </w:pPr>
            <w:bookmarkStart w:id="8" w:name="HearingDate"/>
            <w:r>
              <w:t>19 April 2022, 17 August 2022</w:t>
            </w:r>
            <w:r w:rsidR="00495DEF">
              <w:t xml:space="preserve"> </w:t>
            </w:r>
            <w:r w:rsidR="00163B03">
              <w:t>and on the papers thereafter</w:t>
            </w:r>
            <w:r>
              <w:t xml:space="preserve"> </w:t>
            </w:r>
            <w:r w:rsidR="00083D12">
              <w:t xml:space="preserve"> </w:t>
            </w:r>
            <w:bookmarkEnd w:id="8"/>
          </w:p>
        </w:tc>
      </w:tr>
      <w:tr w:rsidR="00083D12" w14:paraId="6F19DFC0" w14:textId="77777777" w:rsidTr="0049558A">
        <w:tc>
          <w:tcPr>
            <w:tcW w:w="3084" w:type="dxa"/>
            <w:shd w:val="clear" w:color="auto" w:fill="auto"/>
          </w:tcPr>
          <w:p w14:paraId="51853F62" w14:textId="77777777" w:rsidR="00083D12" w:rsidRDefault="00083D12" w:rsidP="00083D12">
            <w:pPr>
              <w:pStyle w:val="Normal1linespace"/>
              <w:widowControl w:val="0"/>
              <w:jc w:val="left"/>
            </w:pPr>
          </w:p>
        </w:tc>
        <w:tc>
          <w:tcPr>
            <w:tcW w:w="5989" w:type="dxa"/>
            <w:shd w:val="clear" w:color="auto" w:fill="auto"/>
          </w:tcPr>
          <w:p w14:paraId="7FDD7D39" w14:textId="77777777" w:rsidR="00083D12" w:rsidRDefault="00083D12" w:rsidP="00083D12">
            <w:pPr>
              <w:pStyle w:val="Normal1linespace"/>
              <w:widowControl w:val="0"/>
              <w:jc w:val="left"/>
            </w:pPr>
          </w:p>
        </w:tc>
      </w:tr>
      <w:tr w:rsidR="00F27887" w14:paraId="1A3D9D17" w14:textId="77777777" w:rsidTr="0049558A">
        <w:tc>
          <w:tcPr>
            <w:tcW w:w="3084" w:type="dxa"/>
            <w:shd w:val="clear" w:color="auto" w:fill="auto"/>
          </w:tcPr>
          <w:p w14:paraId="4AB29FA1" w14:textId="292360E3" w:rsidR="00F27887" w:rsidRDefault="00F27887" w:rsidP="00083D12">
            <w:pPr>
              <w:pStyle w:val="Normal1linespace"/>
              <w:widowControl w:val="0"/>
              <w:jc w:val="left"/>
            </w:pPr>
            <w:r>
              <w:t>Counsel for Applicants:</w:t>
            </w:r>
          </w:p>
        </w:tc>
        <w:tc>
          <w:tcPr>
            <w:tcW w:w="5989" w:type="dxa"/>
            <w:shd w:val="clear" w:color="auto" w:fill="auto"/>
          </w:tcPr>
          <w:p w14:paraId="41A2B66F" w14:textId="39DC4E6C" w:rsidR="00F27887" w:rsidRDefault="00F27887" w:rsidP="00083D12">
            <w:pPr>
              <w:pStyle w:val="Normal1linespace"/>
              <w:widowControl w:val="0"/>
              <w:jc w:val="left"/>
            </w:pPr>
            <w:r>
              <w:t xml:space="preserve">Mr B May </w:t>
            </w:r>
          </w:p>
        </w:tc>
      </w:tr>
      <w:tr w:rsidR="00F27887" w14:paraId="5D2BB662" w14:textId="77777777" w:rsidTr="0049558A">
        <w:tc>
          <w:tcPr>
            <w:tcW w:w="3084" w:type="dxa"/>
            <w:shd w:val="clear" w:color="auto" w:fill="auto"/>
          </w:tcPr>
          <w:p w14:paraId="39705694" w14:textId="77777777" w:rsidR="00F27887" w:rsidRDefault="00F27887" w:rsidP="00083D12">
            <w:pPr>
              <w:pStyle w:val="Normal1linespace"/>
              <w:widowControl w:val="0"/>
              <w:jc w:val="left"/>
            </w:pPr>
          </w:p>
        </w:tc>
        <w:tc>
          <w:tcPr>
            <w:tcW w:w="5989" w:type="dxa"/>
            <w:shd w:val="clear" w:color="auto" w:fill="auto"/>
          </w:tcPr>
          <w:p w14:paraId="25B6496E" w14:textId="77777777" w:rsidR="00F27887" w:rsidRDefault="00F27887" w:rsidP="00083D12">
            <w:pPr>
              <w:pStyle w:val="Normal1linespace"/>
              <w:widowControl w:val="0"/>
              <w:jc w:val="left"/>
            </w:pPr>
          </w:p>
        </w:tc>
      </w:tr>
      <w:tr w:rsidR="00F27887" w14:paraId="20D524EC" w14:textId="77777777" w:rsidTr="0049558A">
        <w:tc>
          <w:tcPr>
            <w:tcW w:w="3084" w:type="dxa"/>
            <w:shd w:val="clear" w:color="auto" w:fill="auto"/>
          </w:tcPr>
          <w:p w14:paraId="504796F4" w14:textId="7EB008DE" w:rsidR="00F27887" w:rsidRDefault="00F27887" w:rsidP="00083D12">
            <w:pPr>
              <w:pStyle w:val="Normal1linespace"/>
              <w:widowControl w:val="0"/>
              <w:jc w:val="left"/>
            </w:pPr>
            <w:r>
              <w:t>Solicitor for Applicants:</w:t>
            </w:r>
          </w:p>
        </w:tc>
        <w:tc>
          <w:tcPr>
            <w:tcW w:w="5989" w:type="dxa"/>
            <w:shd w:val="clear" w:color="auto" w:fill="auto"/>
          </w:tcPr>
          <w:p w14:paraId="6576FD02" w14:textId="072F8730" w:rsidR="00F27887" w:rsidRDefault="00F27887" w:rsidP="00125C16">
            <w:pPr>
              <w:pStyle w:val="Normal1linespace"/>
              <w:widowControl w:val="0"/>
              <w:jc w:val="left"/>
            </w:pPr>
            <w:r>
              <w:t xml:space="preserve">Gavin Parsons </w:t>
            </w:r>
            <w:r w:rsidR="00125C16">
              <w:t>and</w:t>
            </w:r>
            <w:r>
              <w:t xml:space="preserve"> Associates </w:t>
            </w:r>
          </w:p>
        </w:tc>
      </w:tr>
      <w:tr w:rsidR="00F27887" w14:paraId="4F9CC0AF" w14:textId="77777777" w:rsidTr="0049558A">
        <w:tc>
          <w:tcPr>
            <w:tcW w:w="3084" w:type="dxa"/>
            <w:shd w:val="clear" w:color="auto" w:fill="auto"/>
          </w:tcPr>
          <w:p w14:paraId="7268682A" w14:textId="77777777" w:rsidR="00F27887" w:rsidRDefault="00F27887" w:rsidP="00083D12">
            <w:pPr>
              <w:pStyle w:val="Normal1linespace"/>
              <w:widowControl w:val="0"/>
              <w:jc w:val="left"/>
            </w:pPr>
          </w:p>
        </w:tc>
        <w:tc>
          <w:tcPr>
            <w:tcW w:w="5989" w:type="dxa"/>
            <w:shd w:val="clear" w:color="auto" w:fill="auto"/>
          </w:tcPr>
          <w:p w14:paraId="2A71176F" w14:textId="77777777" w:rsidR="00F27887" w:rsidRDefault="00F27887" w:rsidP="00083D12">
            <w:pPr>
              <w:pStyle w:val="Normal1linespace"/>
              <w:widowControl w:val="0"/>
              <w:jc w:val="left"/>
            </w:pPr>
          </w:p>
        </w:tc>
      </w:tr>
      <w:tr w:rsidR="001753D0" w14:paraId="6CB9CAA7" w14:textId="77777777" w:rsidTr="0049558A">
        <w:tc>
          <w:tcPr>
            <w:tcW w:w="3084" w:type="dxa"/>
            <w:shd w:val="clear" w:color="auto" w:fill="auto"/>
          </w:tcPr>
          <w:p w14:paraId="2F73A6B7" w14:textId="6782801F" w:rsidR="001753D0" w:rsidRDefault="00C964AB" w:rsidP="00F27887">
            <w:pPr>
              <w:pStyle w:val="Normal1linespace"/>
              <w:widowControl w:val="0"/>
              <w:jc w:val="left"/>
            </w:pPr>
            <w:r>
              <w:t>Counsel for the First Respondent</w:t>
            </w:r>
            <w:r w:rsidR="004E7465">
              <w:t>:</w:t>
            </w:r>
          </w:p>
        </w:tc>
        <w:tc>
          <w:tcPr>
            <w:tcW w:w="5989" w:type="dxa"/>
            <w:shd w:val="clear" w:color="auto" w:fill="auto"/>
          </w:tcPr>
          <w:p w14:paraId="02CF7B4C" w14:textId="2B0842F6" w:rsidR="001753D0" w:rsidRDefault="00E71ABE" w:rsidP="00083D12">
            <w:pPr>
              <w:pStyle w:val="Normal1linespace"/>
              <w:widowControl w:val="0"/>
              <w:jc w:val="left"/>
            </w:pPr>
            <w:r>
              <w:t xml:space="preserve">Mr </w:t>
            </w:r>
            <w:r w:rsidR="002E20B4">
              <w:t>C</w:t>
            </w:r>
            <w:r w:rsidR="00FF329D">
              <w:t xml:space="preserve"> </w:t>
            </w:r>
            <w:r w:rsidR="002E20B4">
              <w:t>A Johnstone</w:t>
            </w:r>
          </w:p>
        </w:tc>
      </w:tr>
      <w:tr w:rsidR="001753D0" w14:paraId="2286F387" w14:textId="77777777" w:rsidTr="0049558A">
        <w:tc>
          <w:tcPr>
            <w:tcW w:w="3084" w:type="dxa"/>
            <w:shd w:val="clear" w:color="auto" w:fill="auto"/>
          </w:tcPr>
          <w:p w14:paraId="6E884729" w14:textId="77777777" w:rsidR="001753D0" w:rsidRDefault="001753D0" w:rsidP="00F27887">
            <w:pPr>
              <w:pStyle w:val="Normal1linespace"/>
              <w:widowControl w:val="0"/>
              <w:jc w:val="left"/>
            </w:pPr>
          </w:p>
        </w:tc>
        <w:tc>
          <w:tcPr>
            <w:tcW w:w="5989" w:type="dxa"/>
            <w:shd w:val="clear" w:color="auto" w:fill="auto"/>
          </w:tcPr>
          <w:p w14:paraId="7D1ED2B9" w14:textId="77777777" w:rsidR="001753D0" w:rsidRDefault="001753D0" w:rsidP="00083D12">
            <w:pPr>
              <w:pStyle w:val="Normal1linespace"/>
              <w:widowControl w:val="0"/>
              <w:jc w:val="left"/>
            </w:pPr>
          </w:p>
        </w:tc>
      </w:tr>
      <w:tr w:rsidR="00C964AB" w14:paraId="41AEC38C" w14:textId="77777777" w:rsidTr="0049558A">
        <w:tc>
          <w:tcPr>
            <w:tcW w:w="3084" w:type="dxa"/>
            <w:shd w:val="clear" w:color="auto" w:fill="auto"/>
          </w:tcPr>
          <w:p w14:paraId="3D48C974" w14:textId="1C04735F" w:rsidR="00C964AB" w:rsidRDefault="00C964AB" w:rsidP="00F27887">
            <w:pPr>
              <w:pStyle w:val="Normal1linespace"/>
              <w:widowControl w:val="0"/>
              <w:jc w:val="left"/>
            </w:pPr>
            <w:r>
              <w:t>Solicitor for the First Respondent</w:t>
            </w:r>
            <w:r w:rsidR="004E7465">
              <w:t>:</w:t>
            </w:r>
          </w:p>
        </w:tc>
        <w:tc>
          <w:tcPr>
            <w:tcW w:w="5989" w:type="dxa"/>
            <w:shd w:val="clear" w:color="auto" w:fill="auto"/>
          </w:tcPr>
          <w:p w14:paraId="2C6534FE" w14:textId="7DF17AA0" w:rsidR="00C964AB" w:rsidRDefault="0081493D" w:rsidP="00083D12">
            <w:pPr>
              <w:pStyle w:val="Normal1linespace"/>
              <w:widowControl w:val="0"/>
              <w:jc w:val="left"/>
            </w:pPr>
            <w:r w:rsidRPr="0081493D">
              <w:t>James Conomos Lawyers</w:t>
            </w:r>
          </w:p>
        </w:tc>
      </w:tr>
      <w:tr w:rsidR="00C964AB" w14:paraId="4E031202" w14:textId="77777777" w:rsidTr="0049558A">
        <w:tc>
          <w:tcPr>
            <w:tcW w:w="3084" w:type="dxa"/>
            <w:shd w:val="clear" w:color="auto" w:fill="auto"/>
          </w:tcPr>
          <w:p w14:paraId="0DF292B3" w14:textId="77777777" w:rsidR="00C964AB" w:rsidRDefault="00C964AB" w:rsidP="00F27887">
            <w:pPr>
              <w:pStyle w:val="Normal1linespace"/>
              <w:widowControl w:val="0"/>
              <w:jc w:val="left"/>
            </w:pPr>
          </w:p>
        </w:tc>
        <w:tc>
          <w:tcPr>
            <w:tcW w:w="5989" w:type="dxa"/>
            <w:shd w:val="clear" w:color="auto" w:fill="auto"/>
          </w:tcPr>
          <w:p w14:paraId="2DF29321" w14:textId="77777777" w:rsidR="00C964AB" w:rsidRDefault="00C964AB" w:rsidP="00083D12">
            <w:pPr>
              <w:pStyle w:val="Normal1linespace"/>
              <w:widowControl w:val="0"/>
              <w:jc w:val="left"/>
            </w:pPr>
          </w:p>
        </w:tc>
      </w:tr>
      <w:tr w:rsidR="00F27887" w14:paraId="3A2D1B13" w14:textId="77777777" w:rsidTr="0049558A">
        <w:tc>
          <w:tcPr>
            <w:tcW w:w="3084" w:type="dxa"/>
            <w:shd w:val="clear" w:color="auto" w:fill="auto"/>
          </w:tcPr>
          <w:p w14:paraId="5851379E" w14:textId="70632D91" w:rsidR="00F27887" w:rsidRDefault="00F27887" w:rsidP="00F27887">
            <w:pPr>
              <w:pStyle w:val="Normal1linespace"/>
              <w:widowControl w:val="0"/>
              <w:jc w:val="left"/>
            </w:pPr>
            <w:r>
              <w:t>Counsel for the Second, Fourth and Sixth Respondents:</w:t>
            </w:r>
          </w:p>
        </w:tc>
        <w:tc>
          <w:tcPr>
            <w:tcW w:w="5989" w:type="dxa"/>
            <w:shd w:val="clear" w:color="auto" w:fill="auto"/>
          </w:tcPr>
          <w:p w14:paraId="3ECF84F9" w14:textId="24822D73" w:rsidR="00F27887" w:rsidRDefault="003474EF" w:rsidP="00083D12">
            <w:pPr>
              <w:pStyle w:val="Normal1linespace"/>
              <w:widowControl w:val="0"/>
              <w:jc w:val="left"/>
            </w:pPr>
            <w:r>
              <w:t>Mr D Allen</w:t>
            </w:r>
          </w:p>
        </w:tc>
      </w:tr>
      <w:tr w:rsidR="00F27887" w14:paraId="41C06DFD" w14:textId="77777777" w:rsidTr="0049558A">
        <w:tc>
          <w:tcPr>
            <w:tcW w:w="3084" w:type="dxa"/>
            <w:shd w:val="clear" w:color="auto" w:fill="auto"/>
          </w:tcPr>
          <w:p w14:paraId="1C83C201" w14:textId="77777777" w:rsidR="00F27887" w:rsidRDefault="00F27887" w:rsidP="00083D12">
            <w:pPr>
              <w:pStyle w:val="Normal1linespace"/>
              <w:widowControl w:val="0"/>
              <w:jc w:val="left"/>
            </w:pPr>
          </w:p>
        </w:tc>
        <w:tc>
          <w:tcPr>
            <w:tcW w:w="5989" w:type="dxa"/>
            <w:shd w:val="clear" w:color="auto" w:fill="auto"/>
          </w:tcPr>
          <w:p w14:paraId="05B66800" w14:textId="77777777" w:rsidR="00F27887" w:rsidRDefault="00F27887" w:rsidP="00083D12">
            <w:pPr>
              <w:pStyle w:val="Normal1linespace"/>
              <w:widowControl w:val="0"/>
              <w:jc w:val="left"/>
            </w:pPr>
          </w:p>
        </w:tc>
      </w:tr>
      <w:tr w:rsidR="00F27887" w14:paraId="3FAEC40A" w14:textId="77777777" w:rsidTr="0049558A">
        <w:tc>
          <w:tcPr>
            <w:tcW w:w="3084" w:type="dxa"/>
            <w:shd w:val="clear" w:color="auto" w:fill="auto"/>
          </w:tcPr>
          <w:p w14:paraId="2B425D5C" w14:textId="4DB86529" w:rsidR="00F27887" w:rsidRDefault="00F27887" w:rsidP="00083D12">
            <w:pPr>
              <w:pStyle w:val="Normal1linespace"/>
              <w:widowControl w:val="0"/>
              <w:jc w:val="left"/>
            </w:pPr>
            <w:r>
              <w:t xml:space="preserve">Solicitor </w:t>
            </w:r>
            <w:r w:rsidR="003474EF">
              <w:t>for the Second, Fourth and Sixth Respondents:</w:t>
            </w:r>
          </w:p>
        </w:tc>
        <w:tc>
          <w:tcPr>
            <w:tcW w:w="5989" w:type="dxa"/>
            <w:shd w:val="clear" w:color="auto" w:fill="auto"/>
          </w:tcPr>
          <w:p w14:paraId="2C04654B" w14:textId="1AA13EB5" w:rsidR="00F27887" w:rsidRDefault="003474EF" w:rsidP="00083D12">
            <w:pPr>
              <w:pStyle w:val="Normal1linespace"/>
              <w:widowControl w:val="0"/>
              <w:jc w:val="left"/>
            </w:pPr>
            <w:r>
              <w:t>McEvoy Legal</w:t>
            </w:r>
          </w:p>
        </w:tc>
      </w:tr>
      <w:tr w:rsidR="003474EF" w14:paraId="3E3FF3FD" w14:textId="77777777" w:rsidTr="0049558A">
        <w:tc>
          <w:tcPr>
            <w:tcW w:w="3084" w:type="dxa"/>
            <w:shd w:val="clear" w:color="auto" w:fill="auto"/>
          </w:tcPr>
          <w:p w14:paraId="21271D80" w14:textId="77777777" w:rsidR="003474EF" w:rsidRDefault="003474EF" w:rsidP="00083D12">
            <w:pPr>
              <w:pStyle w:val="Normal1linespace"/>
              <w:widowControl w:val="0"/>
              <w:jc w:val="left"/>
            </w:pPr>
          </w:p>
        </w:tc>
        <w:tc>
          <w:tcPr>
            <w:tcW w:w="5989" w:type="dxa"/>
            <w:shd w:val="clear" w:color="auto" w:fill="auto"/>
          </w:tcPr>
          <w:p w14:paraId="74A37803" w14:textId="77777777" w:rsidR="003474EF" w:rsidRDefault="003474EF" w:rsidP="00083D12">
            <w:pPr>
              <w:pStyle w:val="Normal1linespace"/>
              <w:widowControl w:val="0"/>
              <w:jc w:val="left"/>
            </w:pPr>
          </w:p>
        </w:tc>
      </w:tr>
      <w:tr w:rsidR="003474EF" w14:paraId="273824B0" w14:textId="77777777" w:rsidTr="0049558A">
        <w:tc>
          <w:tcPr>
            <w:tcW w:w="3084" w:type="dxa"/>
            <w:shd w:val="clear" w:color="auto" w:fill="auto"/>
          </w:tcPr>
          <w:p w14:paraId="2109B5D0" w14:textId="61B1BD7F" w:rsidR="003474EF" w:rsidRDefault="003474EF" w:rsidP="00083D12">
            <w:pPr>
              <w:pStyle w:val="Normal1linespace"/>
              <w:widowControl w:val="0"/>
              <w:jc w:val="left"/>
            </w:pPr>
            <w:r>
              <w:t>Counsel for the Third and Fifth Respondents:</w:t>
            </w:r>
          </w:p>
        </w:tc>
        <w:tc>
          <w:tcPr>
            <w:tcW w:w="5989" w:type="dxa"/>
            <w:shd w:val="clear" w:color="auto" w:fill="auto"/>
          </w:tcPr>
          <w:p w14:paraId="0C90B9E4" w14:textId="42156F6A" w:rsidR="003474EF" w:rsidRDefault="003474EF" w:rsidP="00083D12">
            <w:pPr>
              <w:pStyle w:val="Normal1linespace"/>
              <w:widowControl w:val="0"/>
              <w:jc w:val="left"/>
            </w:pPr>
            <w:r>
              <w:t>Ms M Castle</w:t>
            </w:r>
            <w:r w:rsidR="00F921C4">
              <w:t xml:space="preserve"> </w:t>
            </w:r>
            <w:r w:rsidR="00F921C4" w:rsidRPr="00F921C4">
              <w:t>and Mr A Bailey</w:t>
            </w:r>
          </w:p>
        </w:tc>
      </w:tr>
      <w:tr w:rsidR="003474EF" w14:paraId="6FDAD1E8" w14:textId="77777777" w:rsidTr="0049558A">
        <w:tc>
          <w:tcPr>
            <w:tcW w:w="3084" w:type="dxa"/>
            <w:shd w:val="clear" w:color="auto" w:fill="auto"/>
          </w:tcPr>
          <w:p w14:paraId="398583CE" w14:textId="77777777" w:rsidR="003474EF" w:rsidRDefault="003474EF" w:rsidP="00083D12">
            <w:pPr>
              <w:pStyle w:val="Normal1linespace"/>
              <w:widowControl w:val="0"/>
              <w:jc w:val="left"/>
            </w:pPr>
          </w:p>
        </w:tc>
        <w:tc>
          <w:tcPr>
            <w:tcW w:w="5989" w:type="dxa"/>
            <w:shd w:val="clear" w:color="auto" w:fill="auto"/>
          </w:tcPr>
          <w:p w14:paraId="521E4F73" w14:textId="77777777" w:rsidR="003474EF" w:rsidRDefault="003474EF" w:rsidP="00083D12">
            <w:pPr>
              <w:pStyle w:val="Normal1linespace"/>
              <w:widowControl w:val="0"/>
              <w:jc w:val="left"/>
            </w:pPr>
          </w:p>
        </w:tc>
      </w:tr>
      <w:tr w:rsidR="003474EF" w14:paraId="30FC6F2C" w14:textId="77777777" w:rsidTr="0049558A">
        <w:tc>
          <w:tcPr>
            <w:tcW w:w="3084" w:type="dxa"/>
            <w:shd w:val="clear" w:color="auto" w:fill="auto"/>
          </w:tcPr>
          <w:p w14:paraId="1B4C563F" w14:textId="1ADEEFF8" w:rsidR="003474EF" w:rsidRDefault="003474EF" w:rsidP="00083D12">
            <w:pPr>
              <w:pStyle w:val="Normal1linespace"/>
              <w:widowControl w:val="0"/>
              <w:jc w:val="left"/>
            </w:pPr>
            <w:r>
              <w:t>Solicitor for the Third and Fifth Respondents:</w:t>
            </w:r>
          </w:p>
        </w:tc>
        <w:tc>
          <w:tcPr>
            <w:tcW w:w="5989" w:type="dxa"/>
            <w:shd w:val="clear" w:color="auto" w:fill="auto"/>
          </w:tcPr>
          <w:p w14:paraId="5A95697B" w14:textId="5FD74250" w:rsidR="003474EF" w:rsidRDefault="003474EF" w:rsidP="00083D12">
            <w:pPr>
              <w:pStyle w:val="Normal1linespace"/>
              <w:widowControl w:val="0"/>
              <w:jc w:val="left"/>
            </w:pPr>
            <w:r>
              <w:t>Watson Webb</w:t>
            </w:r>
          </w:p>
        </w:tc>
      </w:tr>
      <w:tr w:rsidR="003474EF" w14:paraId="75ECECDB" w14:textId="77777777" w:rsidTr="0049558A">
        <w:tc>
          <w:tcPr>
            <w:tcW w:w="3084" w:type="dxa"/>
            <w:shd w:val="clear" w:color="auto" w:fill="auto"/>
          </w:tcPr>
          <w:p w14:paraId="6C1AF544" w14:textId="77777777" w:rsidR="003474EF" w:rsidRDefault="003474EF" w:rsidP="00083D12">
            <w:pPr>
              <w:pStyle w:val="Normal1linespace"/>
              <w:widowControl w:val="0"/>
              <w:jc w:val="left"/>
            </w:pPr>
          </w:p>
        </w:tc>
        <w:tc>
          <w:tcPr>
            <w:tcW w:w="5989" w:type="dxa"/>
            <w:shd w:val="clear" w:color="auto" w:fill="auto"/>
          </w:tcPr>
          <w:p w14:paraId="61402C36" w14:textId="77777777" w:rsidR="003474EF" w:rsidRDefault="003474EF" w:rsidP="00083D12">
            <w:pPr>
              <w:pStyle w:val="Normal1linespace"/>
              <w:widowControl w:val="0"/>
              <w:jc w:val="left"/>
            </w:pPr>
          </w:p>
        </w:tc>
      </w:tr>
    </w:tbl>
    <w:p w14:paraId="4EA9C641" w14:textId="77777777" w:rsidR="00B17D6E" w:rsidRDefault="00B17D6E">
      <w:pPr>
        <w:pStyle w:val="Normal1linespace"/>
      </w:pPr>
      <w:bookmarkStart w:id="9" w:name="CompletionTable"/>
      <w:bookmarkEnd w:id="7"/>
    </w:p>
    <w:bookmarkEnd w:id="9"/>
    <w:p w14:paraId="62278F0B" w14:textId="77777777" w:rsidR="007470BD" w:rsidRDefault="007470BD">
      <w:pPr>
        <w:pStyle w:val="Normal1linespace"/>
      </w:pPr>
    </w:p>
    <w:p w14:paraId="22A77443" w14:textId="77777777" w:rsidR="00E94CBF" w:rsidRDefault="00E94CBF">
      <w:pPr>
        <w:pStyle w:val="Normal1linespace"/>
      </w:pPr>
    </w:p>
    <w:p w14:paraId="0D23EAF6"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35F990D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DC16458" w14:textId="77777777" w:rsidTr="00E81DA6">
        <w:tc>
          <w:tcPr>
            <w:tcW w:w="6912" w:type="dxa"/>
            <w:gridSpan w:val="2"/>
          </w:tcPr>
          <w:p w14:paraId="42359DA2" w14:textId="77777777" w:rsidR="00A46CCC" w:rsidRPr="001765E0" w:rsidRDefault="00A46CCC" w:rsidP="00525A49">
            <w:pPr>
              <w:pStyle w:val="NormalHeadings"/>
            </w:pPr>
          </w:p>
        </w:tc>
        <w:tc>
          <w:tcPr>
            <w:tcW w:w="2330" w:type="dxa"/>
          </w:tcPr>
          <w:p w14:paraId="1DED256C" w14:textId="77777777" w:rsidR="00A46CCC" w:rsidRDefault="00083D12" w:rsidP="00F92355">
            <w:pPr>
              <w:pStyle w:val="NormalHeadings"/>
              <w:jc w:val="right"/>
            </w:pPr>
            <w:bookmarkStart w:id="10" w:name="FileNo"/>
            <w:r>
              <w:t>NSD 797 of 2021</w:t>
            </w:r>
            <w:bookmarkEnd w:id="10"/>
          </w:p>
        </w:tc>
      </w:tr>
      <w:tr w:rsidR="00A76C13" w14:paraId="21467880" w14:textId="77777777" w:rsidTr="00962E0C">
        <w:tc>
          <w:tcPr>
            <w:tcW w:w="9242" w:type="dxa"/>
            <w:gridSpan w:val="3"/>
          </w:tcPr>
          <w:p w14:paraId="6F336213" w14:textId="77777777" w:rsidR="00A76C13" w:rsidRPr="00A76C13" w:rsidRDefault="00083D12" w:rsidP="00083D12">
            <w:pPr>
              <w:pStyle w:val="NormalHeadings"/>
              <w:jc w:val="left"/>
            </w:pPr>
            <w:bookmarkStart w:id="11" w:name="InTheMatterOf"/>
            <w:r>
              <w:t xml:space="preserve"> </w:t>
            </w:r>
            <w:bookmarkEnd w:id="11"/>
          </w:p>
        </w:tc>
      </w:tr>
      <w:tr w:rsidR="00A46CCC" w14:paraId="2951A8AA" w14:textId="77777777" w:rsidTr="00962E0C">
        <w:trPr>
          <w:trHeight w:val="386"/>
        </w:trPr>
        <w:tc>
          <w:tcPr>
            <w:tcW w:w="2376" w:type="dxa"/>
          </w:tcPr>
          <w:p w14:paraId="27899B3F" w14:textId="77777777" w:rsidR="00A46CCC" w:rsidRDefault="00A46CCC" w:rsidP="00962E0C">
            <w:pPr>
              <w:pStyle w:val="NormalHeadings"/>
              <w:jc w:val="left"/>
              <w:rPr>
                <w:caps/>
                <w:szCs w:val="24"/>
              </w:rPr>
            </w:pPr>
            <w:bookmarkStart w:id="12" w:name="Parties"/>
            <w:r>
              <w:rPr>
                <w:caps/>
                <w:szCs w:val="24"/>
              </w:rPr>
              <w:t>BETWEEN:</w:t>
            </w:r>
          </w:p>
        </w:tc>
        <w:tc>
          <w:tcPr>
            <w:tcW w:w="6866" w:type="dxa"/>
            <w:gridSpan w:val="2"/>
          </w:tcPr>
          <w:p w14:paraId="65158412" w14:textId="77777777" w:rsidR="00083D12" w:rsidRDefault="00083D12" w:rsidP="00083D12">
            <w:pPr>
              <w:pStyle w:val="NormalHeadings"/>
              <w:jc w:val="left"/>
            </w:pPr>
            <w:bookmarkStart w:id="13" w:name="Applicant"/>
            <w:r>
              <w:t>DAVID HURST IN HIS CAPACITY AS LIQUIDATOR OF LLOYDS CURRY SHOP PTY LTD (IN LIQUIDATION) (ACN 143787044)</w:t>
            </w:r>
          </w:p>
          <w:p w14:paraId="05788B9F" w14:textId="77777777" w:rsidR="00083D12" w:rsidRDefault="00083D12" w:rsidP="00083D12">
            <w:pPr>
              <w:pStyle w:val="PartyType"/>
            </w:pPr>
            <w:r>
              <w:t>First Applicant</w:t>
            </w:r>
          </w:p>
          <w:p w14:paraId="7C910782" w14:textId="77777777" w:rsidR="00083D12" w:rsidRDefault="00083D12" w:rsidP="00962E0C">
            <w:pPr>
              <w:pStyle w:val="NormalHeadings"/>
              <w:jc w:val="left"/>
              <w:rPr>
                <w:szCs w:val="24"/>
              </w:rPr>
            </w:pPr>
          </w:p>
          <w:p w14:paraId="62DA01A2" w14:textId="77777777" w:rsidR="00083D12" w:rsidRDefault="00083D12" w:rsidP="00083D12">
            <w:pPr>
              <w:pStyle w:val="NormalHeadings"/>
              <w:jc w:val="left"/>
            </w:pPr>
            <w:r>
              <w:t>LLOYDS CURRY SHOP PTY LTD (IN LIQUIDATION) (ACN 143787044)</w:t>
            </w:r>
          </w:p>
          <w:p w14:paraId="607D83FC" w14:textId="77777777" w:rsidR="00083D12" w:rsidRDefault="00083D12" w:rsidP="00083D12">
            <w:pPr>
              <w:pStyle w:val="PartyType"/>
            </w:pPr>
            <w:r>
              <w:t>Second Applicant</w:t>
            </w:r>
          </w:p>
          <w:bookmarkEnd w:id="13"/>
          <w:p w14:paraId="4A3D361C" w14:textId="77777777" w:rsidR="00A46CCC" w:rsidRPr="006555B4" w:rsidRDefault="00A46CCC" w:rsidP="00962E0C">
            <w:pPr>
              <w:pStyle w:val="NormalHeadings"/>
              <w:jc w:val="left"/>
            </w:pPr>
          </w:p>
        </w:tc>
      </w:tr>
      <w:tr w:rsidR="00A46CCC" w14:paraId="48DCF73A" w14:textId="77777777" w:rsidTr="00962E0C">
        <w:trPr>
          <w:trHeight w:val="386"/>
        </w:trPr>
        <w:tc>
          <w:tcPr>
            <w:tcW w:w="2376" w:type="dxa"/>
          </w:tcPr>
          <w:p w14:paraId="3CC04917" w14:textId="77777777" w:rsidR="00A46CCC" w:rsidRDefault="00A46CCC" w:rsidP="00962E0C">
            <w:pPr>
              <w:pStyle w:val="NormalHeadings"/>
              <w:jc w:val="left"/>
              <w:rPr>
                <w:caps/>
                <w:szCs w:val="24"/>
              </w:rPr>
            </w:pPr>
            <w:r>
              <w:rPr>
                <w:caps/>
                <w:szCs w:val="24"/>
              </w:rPr>
              <w:t>AND:</w:t>
            </w:r>
          </w:p>
        </w:tc>
        <w:tc>
          <w:tcPr>
            <w:tcW w:w="6866" w:type="dxa"/>
            <w:gridSpan w:val="2"/>
          </w:tcPr>
          <w:p w14:paraId="37C0CE33" w14:textId="77777777" w:rsidR="00083D12" w:rsidRDefault="00083D12" w:rsidP="00083D12">
            <w:pPr>
              <w:pStyle w:val="NormalHeadings"/>
              <w:jc w:val="left"/>
            </w:pPr>
            <w:bookmarkStart w:id="14" w:name="Respondent"/>
            <w:r>
              <w:t>KAUSHIK PRASAD</w:t>
            </w:r>
          </w:p>
          <w:p w14:paraId="7AB34201" w14:textId="77777777" w:rsidR="00083D12" w:rsidRDefault="00083D12" w:rsidP="00083D12">
            <w:pPr>
              <w:pStyle w:val="PartyType"/>
            </w:pPr>
            <w:r>
              <w:t>First Respondent</w:t>
            </w:r>
          </w:p>
          <w:p w14:paraId="49F82B81" w14:textId="77777777" w:rsidR="00083D12" w:rsidRDefault="00083D12" w:rsidP="00962E0C">
            <w:pPr>
              <w:pStyle w:val="NormalHeadings"/>
              <w:jc w:val="left"/>
              <w:rPr>
                <w:szCs w:val="24"/>
              </w:rPr>
            </w:pPr>
          </w:p>
          <w:p w14:paraId="50A9D98A" w14:textId="77777777" w:rsidR="00083D12" w:rsidRDefault="00083D12" w:rsidP="00083D12">
            <w:pPr>
              <w:pStyle w:val="NormalHeadings"/>
              <w:jc w:val="left"/>
            </w:pPr>
            <w:r>
              <w:t>ACCOLADE ADVISORY PTY LTD (ACN 604214100)</w:t>
            </w:r>
          </w:p>
          <w:p w14:paraId="1F0B6FA2" w14:textId="77777777" w:rsidR="00083D12" w:rsidRDefault="00083D12" w:rsidP="00083D12">
            <w:pPr>
              <w:pStyle w:val="PartyType"/>
            </w:pPr>
            <w:r>
              <w:t>Second Respondent</w:t>
            </w:r>
          </w:p>
          <w:p w14:paraId="14C64DEE" w14:textId="77777777" w:rsidR="00083D12" w:rsidRDefault="00083D12" w:rsidP="00962E0C">
            <w:pPr>
              <w:pStyle w:val="NormalHeadings"/>
              <w:jc w:val="left"/>
              <w:rPr>
                <w:szCs w:val="24"/>
              </w:rPr>
            </w:pPr>
          </w:p>
          <w:p w14:paraId="16A86028" w14:textId="77777777" w:rsidR="00083D12" w:rsidRDefault="00083D12" w:rsidP="00083D12">
            <w:pPr>
              <w:pStyle w:val="NormalHeadings"/>
              <w:jc w:val="left"/>
            </w:pPr>
            <w:r>
              <w:t xml:space="preserve">SAM CASSANITI </w:t>
            </w:r>
            <w:r w:rsidRPr="00083D12">
              <w:rPr>
                <w:b w:val="0"/>
              </w:rPr>
              <w:t>(and others named in the Schedule)</w:t>
            </w:r>
          </w:p>
          <w:p w14:paraId="547D96F4" w14:textId="77777777" w:rsidR="00083D12" w:rsidRDefault="00083D12" w:rsidP="00083D12">
            <w:pPr>
              <w:pStyle w:val="PartyType"/>
            </w:pPr>
            <w:r>
              <w:t>Third Respondent</w:t>
            </w:r>
          </w:p>
          <w:bookmarkEnd w:id="14"/>
          <w:p w14:paraId="7114DFDC" w14:textId="77777777" w:rsidR="00A46CCC" w:rsidRPr="006555B4" w:rsidRDefault="00A46CCC" w:rsidP="00962E0C">
            <w:pPr>
              <w:pStyle w:val="NormalHeadings"/>
              <w:jc w:val="left"/>
            </w:pPr>
          </w:p>
        </w:tc>
      </w:tr>
    </w:tbl>
    <w:p w14:paraId="60055318"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2467C4D7" w14:textId="77777777">
        <w:tc>
          <w:tcPr>
            <w:tcW w:w="2376" w:type="dxa"/>
          </w:tcPr>
          <w:p w14:paraId="4751B68E"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24D54293" w14:textId="77777777" w:rsidR="00395B24" w:rsidRDefault="00083D12">
            <w:pPr>
              <w:pStyle w:val="NormalHeadings"/>
              <w:jc w:val="left"/>
              <w:rPr>
                <w:caps/>
                <w:szCs w:val="24"/>
              </w:rPr>
            </w:pPr>
            <w:bookmarkStart w:id="17" w:name="Judge"/>
            <w:r>
              <w:rPr>
                <w:caps/>
                <w:szCs w:val="24"/>
              </w:rPr>
              <w:t>CHEESEMAN J</w:t>
            </w:r>
            <w:bookmarkEnd w:id="17"/>
          </w:p>
        </w:tc>
      </w:tr>
      <w:tr w:rsidR="00395B24" w14:paraId="7175472E" w14:textId="77777777">
        <w:tc>
          <w:tcPr>
            <w:tcW w:w="2376" w:type="dxa"/>
          </w:tcPr>
          <w:p w14:paraId="3BF731DD" w14:textId="77777777" w:rsidR="00395B24" w:rsidRDefault="002C7385">
            <w:pPr>
              <w:pStyle w:val="NormalHeadings"/>
              <w:spacing w:after="120"/>
              <w:jc w:val="left"/>
              <w:rPr>
                <w:caps/>
                <w:szCs w:val="24"/>
              </w:rPr>
            </w:pPr>
            <w:r>
              <w:rPr>
                <w:caps/>
                <w:szCs w:val="24"/>
              </w:rPr>
              <w:t>DATE OF ORDER:</w:t>
            </w:r>
          </w:p>
        </w:tc>
        <w:tc>
          <w:tcPr>
            <w:tcW w:w="6866" w:type="dxa"/>
          </w:tcPr>
          <w:p w14:paraId="1540C940" w14:textId="14FF7381" w:rsidR="00395B24" w:rsidRDefault="00843E9E">
            <w:pPr>
              <w:pStyle w:val="NormalHeadings"/>
              <w:jc w:val="left"/>
              <w:rPr>
                <w:caps/>
                <w:szCs w:val="24"/>
              </w:rPr>
            </w:pPr>
            <w:bookmarkStart w:id="18" w:name="Judgment_Dated"/>
            <w:r>
              <w:rPr>
                <w:caps/>
                <w:szCs w:val="24"/>
              </w:rPr>
              <w:t>4</w:t>
            </w:r>
            <w:r w:rsidR="009A00C8">
              <w:rPr>
                <w:caps/>
                <w:szCs w:val="24"/>
              </w:rPr>
              <w:t xml:space="preserve"> October 2023</w:t>
            </w:r>
            <w:bookmarkEnd w:id="18"/>
          </w:p>
        </w:tc>
      </w:tr>
    </w:tbl>
    <w:p w14:paraId="3B38B2FC" w14:textId="77777777" w:rsidR="00395B24" w:rsidRDefault="00395B24">
      <w:pPr>
        <w:pStyle w:val="NormalHeadings"/>
        <w:rPr>
          <w:b w:val="0"/>
        </w:rPr>
      </w:pPr>
    </w:p>
    <w:p w14:paraId="09375062" w14:textId="77777777" w:rsidR="008D1617" w:rsidRDefault="008D1617">
      <w:pPr>
        <w:pStyle w:val="NormalHeadings"/>
        <w:rPr>
          <w:b w:val="0"/>
        </w:rPr>
      </w:pPr>
    </w:p>
    <w:p w14:paraId="2A13631F" w14:textId="77777777" w:rsidR="00395B24" w:rsidRDefault="002C7385">
      <w:pPr>
        <w:pStyle w:val="NormalHeadings"/>
      </w:pPr>
      <w:r>
        <w:t>THE COURT ORDERS THAT:</w:t>
      </w:r>
    </w:p>
    <w:p w14:paraId="44CE537C" w14:textId="77777777" w:rsidR="007F60DF" w:rsidRDefault="007F60DF" w:rsidP="00243E5E">
      <w:pPr>
        <w:pStyle w:val="NormalHeadings"/>
      </w:pPr>
    </w:p>
    <w:p w14:paraId="66CA32EC" w14:textId="1B16D79D" w:rsidR="00372272" w:rsidRPr="00CB01C4" w:rsidRDefault="007959C4" w:rsidP="00CB01C4">
      <w:pPr>
        <w:pStyle w:val="Order1"/>
        <w:numPr>
          <w:ilvl w:val="0"/>
          <w:numId w:val="0"/>
        </w:numPr>
        <w:rPr>
          <w:b/>
        </w:rPr>
      </w:pPr>
      <w:r w:rsidRPr="00CB01C4">
        <w:rPr>
          <w:b/>
        </w:rPr>
        <w:t xml:space="preserve">Amendment </w:t>
      </w:r>
    </w:p>
    <w:p w14:paraId="3518EF17" w14:textId="02145DF7" w:rsidR="004E4FC3" w:rsidRDefault="006D48AC" w:rsidP="006D48AC">
      <w:pPr>
        <w:pStyle w:val="Order1"/>
        <w:numPr>
          <w:ilvl w:val="0"/>
          <w:numId w:val="0"/>
        </w:numPr>
        <w:tabs>
          <w:tab w:val="left" w:pos="720"/>
        </w:tabs>
        <w:ind w:left="720" w:hanging="720"/>
      </w:pPr>
      <w:r>
        <w:t>1.</w:t>
      </w:r>
      <w:r>
        <w:tab/>
      </w:r>
      <w:r w:rsidR="00B25812">
        <w:t xml:space="preserve">Subject to </w:t>
      </w:r>
      <w:r w:rsidR="00BD512D">
        <w:t>O</w:t>
      </w:r>
      <w:r w:rsidR="00B25812">
        <w:t xml:space="preserve">rders 2 </w:t>
      </w:r>
      <w:r w:rsidR="006952D9">
        <w:t>to</w:t>
      </w:r>
      <w:r w:rsidR="00B25812">
        <w:t xml:space="preserve"> </w:t>
      </w:r>
      <w:r w:rsidR="00275D68">
        <w:t>3</w:t>
      </w:r>
      <w:r w:rsidR="004A423E">
        <w:t xml:space="preserve">, </w:t>
      </w:r>
      <w:r w:rsidR="002E0AA6">
        <w:t>within 2</w:t>
      </w:r>
      <w:r w:rsidR="006C591B">
        <w:t>8 days of these orders,</w:t>
      </w:r>
      <w:r w:rsidR="00222D68">
        <w:t xml:space="preserve"> </w:t>
      </w:r>
      <w:r w:rsidR="004A423E">
        <w:t>t</w:t>
      </w:r>
      <w:r w:rsidR="003959D1">
        <w:t xml:space="preserve">he applicants have leave to file and rely on </w:t>
      </w:r>
      <w:r w:rsidR="00001F7B">
        <w:t xml:space="preserve">an Amended Statement of Claim </w:t>
      </w:r>
      <w:r w:rsidR="007304DC">
        <w:t>(</w:t>
      </w:r>
      <w:r w:rsidR="007304DC">
        <w:rPr>
          <w:b/>
          <w:bCs/>
        </w:rPr>
        <w:t>ASOC</w:t>
      </w:r>
      <w:r w:rsidR="007304DC">
        <w:t>)</w:t>
      </w:r>
      <w:r w:rsidR="004A423E">
        <w:t xml:space="preserve"> </w:t>
      </w:r>
      <w:r w:rsidR="00001F7B">
        <w:t xml:space="preserve">substantially in the form of the document sent by the applicants’ solicitors to my Associate by email </w:t>
      </w:r>
      <w:r w:rsidR="00740E27">
        <w:t>copied to all parties dated Wednesday 31 August 2022 4:2</w:t>
      </w:r>
      <w:r w:rsidR="00AC23E3">
        <w:t>2</w:t>
      </w:r>
      <w:r w:rsidR="00740E27">
        <w:t>PM</w:t>
      </w:r>
      <w:r w:rsidR="009208FE">
        <w:t xml:space="preserve"> (</w:t>
      </w:r>
      <w:r w:rsidR="009208FE">
        <w:rPr>
          <w:b/>
          <w:bCs/>
        </w:rPr>
        <w:t>RD</w:t>
      </w:r>
      <w:r w:rsidR="00D670FC">
        <w:rPr>
          <w:b/>
          <w:bCs/>
        </w:rPr>
        <w:t>ASOC</w:t>
      </w:r>
      <w:r w:rsidR="009208FE">
        <w:t>)</w:t>
      </w:r>
      <w:r w:rsidR="00740E27">
        <w:t>,</w:t>
      </w:r>
      <w:r w:rsidR="00356055">
        <w:t xml:space="preserve"> </w:t>
      </w:r>
      <w:r w:rsidR="00C73AAE">
        <w:t xml:space="preserve">save that the document </w:t>
      </w:r>
      <w:r w:rsidR="00B85091">
        <w:t>must be</w:t>
      </w:r>
      <w:r w:rsidR="00C73AAE">
        <w:t xml:space="preserve"> </w:t>
      </w:r>
      <w:r w:rsidR="00B85091">
        <w:t xml:space="preserve">in a form that complies with the </w:t>
      </w:r>
      <w:r w:rsidR="00B85091" w:rsidRPr="0021096B">
        <w:rPr>
          <w:i/>
        </w:rPr>
        <w:t xml:space="preserve">Federal Court </w:t>
      </w:r>
      <w:r w:rsidR="00B85091" w:rsidRPr="0021096B">
        <w:rPr>
          <w:b/>
          <w:i/>
        </w:rPr>
        <w:t>Rules</w:t>
      </w:r>
      <w:r w:rsidR="00B85091" w:rsidRPr="0021096B">
        <w:rPr>
          <w:i/>
        </w:rPr>
        <w:t xml:space="preserve"> 2011 </w:t>
      </w:r>
      <w:r w:rsidR="00B85091">
        <w:t>(Cth</w:t>
      </w:r>
      <w:r w:rsidR="00F445A3">
        <w:t>).</w:t>
      </w:r>
    </w:p>
    <w:p w14:paraId="5DBDE327" w14:textId="340A16AB" w:rsidR="004A423E" w:rsidRDefault="006D48AC" w:rsidP="006D48AC">
      <w:pPr>
        <w:pStyle w:val="Order1"/>
        <w:numPr>
          <w:ilvl w:val="0"/>
          <w:numId w:val="0"/>
        </w:numPr>
        <w:tabs>
          <w:tab w:val="left" w:pos="720"/>
        </w:tabs>
        <w:ind w:left="720" w:hanging="720"/>
      </w:pPr>
      <w:r>
        <w:t>2.</w:t>
      </w:r>
      <w:r>
        <w:tab/>
      </w:r>
      <w:r w:rsidR="000A7732">
        <w:t xml:space="preserve">Leave </w:t>
      </w:r>
      <w:r w:rsidR="004B7D5B">
        <w:t xml:space="preserve">to amend </w:t>
      </w:r>
      <w:r w:rsidR="000A7732">
        <w:t xml:space="preserve">is refused </w:t>
      </w:r>
      <w:r w:rsidR="007A49A1">
        <w:t xml:space="preserve">in </w:t>
      </w:r>
      <w:r w:rsidR="004B7D5B">
        <w:t xml:space="preserve">respect of </w:t>
      </w:r>
      <w:r w:rsidR="007A49A1">
        <w:t xml:space="preserve">the proposed particulars </w:t>
      </w:r>
      <w:r w:rsidR="00B90D60">
        <w:t xml:space="preserve">to </w:t>
      </w:r>
      <w:r w:rsidR="005731B2">
        <w:t>RDASOC [110</w:t>
      </w:r>
      <w:r w:rsidR="000A12A9">
        <w:t>]</w:t>
      </w:r>
      <w:r w:rsidR="00647E19">
        <w:t xml:space="preserve"> with liberty to replead</w:t>
      </w:r>
      <w:r w:rsidR="000A12A9">
        <w:t>.</w:t>
      </w:r>
    </w:p>
    <w:p w14:paraId="18993E1C" w14:textId="09343CB8" w:rsidR="000A12A9" w:rsidRDefault="006D48AC" w:rsidP="006D48AC">
      <w:pPr>
        <w:pStyle w:val="Order1"/>
        <w:numPr>
          <w:ilvl w:val="0"/>
          <w:numId w:val="0"/>
        </w:numPr>
        <w:tabs>
          <w:tab w:val="left" w:pos="720"/>
        </w:tabs>
        <w:ind w:left="720" w:hanging="720"/>
      </w:pPr>
      <w:r>
        <w:t>3.</w:t>
      </w:r>
      <w:r>
        <w:tab/>
      </w:r>
      <w:r w:rsidR="00AC3F44">
        <w:t xml:space="preserve">The liberty to replead is </w:t>
      </w:r>
      <w:r w:rsidR="00692149">
        <w:t xml:space="preserve">to be exercised </w:t>
      </w:r>
      <w:r w:rsidR="0096777B">
        <w:t>at the time the ASOC is filed pursuant to Order</w:t>
      </w:r>
      <w:r w:rsidR="00921A01">
        <w:t> </w:t>
      </w:r>
      <w:r w:rsidR="0096777B">
        <w:t>1</w:t>
      </w:r>
      <w:r w:rsidR="006952D9">
        <w:t>.</w:t>
      </w:r>
    </w:p>
    <w:p w14:paraId="548F6EBD" w14:textId="63492C45" w:rsidR="00A06111" w:rsidRDefault="006D48AC" w:rsidP="006D48AC">
      <w:pPr>
        <w:pStyle w:val="Order1"/>
        <w:numPr>
          <w:ilvl w:val="0"/>
          <w:numId w:val="0"/>
        </w:numPr>
        <w:tabs>
          <w:tab w:val="left" w:pos="720"/>
        </w:tabs>
        <w:ind w:left="720" w:hanging="720"/>
      </w:pPr>
      <w:r>
        <w:t>4.</w:t>
      </w:r>
      <w:r>
        <w:tab/>
      </w:r>
      <w:r w:rsidR="00A06111">
        <w:t xml:space="preserve">Within 7 days of service of the ASOC, the second, fourth and sixth respondents (the </w:t>
      </w:r>
      <w:r w:rsidR="00A06111" w:rsidRPr="00E51603">
        <w:rPr>
          <w:b/>
          <w:bCs/>
        </w:rPr>
        <w:t>Accolade Parties</w:t>
      </w:r>
      <w:r w:rsidR="00A06111">
        <w:rPr>
          <w:b/>
          <w:bCs/>
        </w:rPr>
        <w:t>)</w:t>
      </w:r>
      <w:r w:rsidR="00A06111">
        <w:t xml:space="preserve"> are to request any particulars of the paragraphs in the ASOC that are the equivalent of paragraphs </w:t>
      </w:r>
      <w:r w:rsidR="00A06111" w:rsidRPr="003B1825">
        <w:t>62A, 62B, 70A-70C, 73B, 74A, 76A, 93A, 93B, 94, 94A-</w:t>
      </w:r>
      <w:r w:rsidR="00A06111" w:rsidRPr="003B1825">
        <w:lastRenderedPageBreak/>
        <w:t xml:space="preserve">C, 96A, 96B, 97, 97A-C, 99, 100A-C, 102A (b), 102A (d), 102B, 102C, 102D-E </w:t>
      </w:r>
      <w:r w:rsidR="00A06111">
        <w:t>of the RDASOC which are reasonably necessary to enable them to file and serve defences to the ASOC.</w:t>
      </w:r>
    </w:p>
    <w:p w14:paraId="6D7B4C5E" w14:textId="45FF03FF" w:rsidR="00890834" w:rsidRDefault="006D48AC" w:rsidP="006D48AC">
      <w:pPr>
        <w:pStyle w:val="Order1"/>
        <w:numPr>
          <w:ilvl w:val="0"/>
          <w:numId w:val="0"/>
        </w:numPr>
        <w:tabs>
          <w:tab w:val="left" w:pos="720"/>
        </w:tabs>
        <w:ind w:left="720" w:hanging="720"/>
      </w:pPr>
      <w:r>
        <w:t>5.</w:t>
      </w:r>
      <w:r>
        <w:tab/>
      </w:r>
      <w:r w:rsidR="00890834">
        <w:t xml:space="preserve">If </w:t>
      </w:r>
      <w:r w:rsidR="00031AB8">
        <w:t>a request for particulars is made in acc</w:t>
      </w:r>
      <w:r w:rsidR="001C54E0">
        <w:t xml:space="preserve">ordance with </w:t>
      </w:r>
      <w:r w:rsidR="000767B1">
        <w:t>O</w:t>
      </w:r>
      <w:r w:rsidR="001C54E0">
        <w:t>rder</w:t>
      </w:r>
      <w:r w:rsidR="003B1825">
        <w:t xml:space="preserve"> 4</w:t>
      </w:r>
      <w:r w:rsidR="000767B1">
        <w:t xml:space="preserve">, the applicants are to </w:t>
      </w:r>
      <w:r w:rsidR="00012663">
        <w:t xml:space="preserve">respond </w:t>
      </w:r>
      <w:r w:rsidR="009F713A">
        <w:t xml:space="preserve">within </w:t>
      </w:r>
      <w:r w:rsidR="00D3197C">
        <w:t>14 days of receipt of the request for particulars.</w:t>
      </w:r>
      <w:r w:rsidR="001C54E0">
        <w:t xml:space="preserve">  </w:t>
      </w:r>
    </w:p>
    <w:p w14:paraId="21B2CB92" w14:textId="70A6B1C7" w:rsidR="005E5990" w:rsidRDefault="006D48AC" w:rsidP="006D48AC">
      <w:pPr>
        <w:pStyle w:val="Order1"/>
        <w:numPr>
          <w:ilvl w:val="0"/>
          <w:numId w:val="0"/>
        </w:numPr>
        <w:tabs>
          <w:tab w:val="left" w:pos="720"/>
        </w:tabs>
        <w:ind w:left="720" w:hanging="720"/>
      </w:pPr>
      <w:r>
        <w:t>6.</w:t>
      </w:r>
      <w:r>
        <w:tab/>
      </w:r>
      <w:r w:rsidR="00A9151F">
        <w:t xml:space="preserve">The respondents are to file and serve </w:t>
      </w:r>
      <w:r w:rsidR="00290F3D">
        <w:t>their resp</w:t>
      </w:r>
      <w:r w:rsidR="00192455">
        <w:t xml:space="preserve">ective defences to the </w:t>
      </w:r>
      <w:r w:rsidR="0024121B">
        <w:t>ASOC</w:t>
      </w:r>
      <w:r w:rsidR="006E32C4" w:rsidRPr="006E32C4">
        <w:t xml:space="preserve"> </w:t>
      </w:r>
      <w:r w:rsidR="00D47EA5">
        <w:t>as follows</w:t>
      </w:r>
      <w:r w:rsidR="0052382B">
        <w:t>, in the event that</w:t>
      </w:r>
      <w:r w:rsidR="005E5990">
        <w:t>:</w:t>
      </w:r>
    </w:p>
    <w:p w14:paraId="3503665E" w14:textId="3932E5CD" w:rsidR="001C0C1B" w:rsidRDefault="006D48AC" w:rsidP="006D48AC">
      <w:pPr>
        <w:pStyle w:val="ListNo2"/>
        <w:numPr>
          <w:ilvl w:val="0"/>
          <w:numId w:val="0"/>
        </w:numPr>
        <w:tabs>
          <w:tab w:val="left" w:pos="1440"/>
        </w:tabs>
        <w:ind w:left="1440" w:hanging="720"/>
      </w:pPr>
      <w:r>
        <w:t>(a)</w:t>
      </w:r>
      <w:r>
        <w:tab/>
      </w:r>
      <w:r w:rsidR="00F828EA">
        <w:t xml:space="preserve">particulars are </w:t>
      </w:r>
      <w:r w:rsidR="00763C8C">
        <w:t>not</w:t>
      </w:r>
      <w:r w:rsidR="00F828EA">
        <w:t xml:space="preserve"> requested </w:t>
      </w:r>
      <w:r w:rsidR="00D47EA5">
        <w:t>pursuant to</w:t>
      </w:r>
      <w:r w:rsidR="00F828EA">
        <w:t xml:space="preserve"> Order</w:t>
      </w:r>
      <w:r w:rsidR="00BA5426">
        <w:t xml:space="preserve"> 4</w:t>
      </w:r>
      <w:r w:rsidR="00F828EA">
        <w:t xml:space="preserve">, </w:t>
      </w:r>
      <w:r w:rsidR="00BA5426">
        <w:t xml:space="preserve">then </w:t>
      </w:r>
      <w:r w:rsidR="00F828EA">
        <w:t xml:space="preserve">within 21 days of service of the </w:t>
      </w:r>
      <w:r w:rsidR="00BA5426">
        <w:t>ASOC</w:t>
      </w:r>
      <w:r w:rsidR="00F828EA">
        <w:t>; or</w:t>
      </w:r>
    </w:p>
    <w:p w14:paraId="0883A2C2" w14:textId="4C782BBE" w:rsidR="00437B0C" w:rsidRDefault="006D48AC" w:rsidP="006D48AC">
      <w:pPr>
        <w:pStyle w:val="ListNo2"/>
        <w:numPr>
          <w:ilvl w:val="0"/>
          <w:numId w:val="0"/>
        </w:numPr>
        <w:tabs>
          <w:tab w:val="left" w:pos="1440"/>
        </w:tabs>
        <w:ind w:left="1440" w:hanging="720"/>
      </w:pPr>
      <w:r>
        <w:t>(b)</w:t>
      </w:r>
      <w:r>
        <w:tab/>
      </w:r>
      <w:r w:rsidR="005E5990">
        <w:t xml:space="preserve">particulars are requested </w:t>
      </w:r>
      <w:r w:rsidR="001F5E27">
        <w:t xml:space="preserve">in accordance with </w:t>
      </w:r>
      <w:r w:rsidR="00BA5426">
        <w:t xml:space="preserve">Order 4, then </w:t>
      </w:r>
      <w:r w:rsidR="00DF1AF3">
        <w:t xml:space="preserve">within </w:t>
      </w:r>
      <w:r w:rsidR="00F96FA2">
        <w:t xml:space="preserve">21 days of the </w:t>
      </w:r>
      <w:r w:rsidR="005E5990">
        <w:t xml:space="preserve">receipt of </w:t>
      </w:r>
      <w:r w:rsidR="001F5E27">
        <w:t xml:space="preserve">particulars pursuant to Order </w:t>
      </w:r>
      <w:r w:rsidR="00BA5426">
        <w:t>5</w:t>
      </w:r>
      <w:r w:rsidR="004B19F2">
        <w:t>.</w:t>
      </w:r>
    </w:p>
    <w:p w14:paraId="57493B02" w14:textId="2DEBDC88" w:rsidR="006C2A3B" w:rsidRDefault="006D48AC" w:rsidP="006D48AC">
      <w:pPr>
        <w:pStyle w:val="Order1"/>
        <w:numPr>
          <w:ilvl w:val="0"/>
          <w:numId w:val="0"/>
        </w:numPr>
        <w:tabs>
          <w:tab w:val="left" w:pos="720"/>
        </w:tabs>
        <w:ind w:left="720" w:hanging="720"/>
      </w:pPr>
      <w:r>
        <w:t>7.</w:t>
      </w:r>
      <w:r>
        <w:tab/>
      </w:r>
      <w:r w:rsidR="004B0E7D">
        <w:t>The parties submit</w:t>
      </w:r>
      <w:r w:rsidR="006C2A3B">
        <w:t xml:space="preserve"> by no later than 4pm</w:t>
      </w:r>
      <w:r w:rsidR="00CA4EBB">
        <w:t>,</w:t>
      </w:r>
      <w:r w:rsidR="006C2A3B">
        <w:t xml:space="preserve"> </w:t>
      </w:r>
      <w:r w:rsidR="00F420F3" w:rsidRPr="00086FBE">
        <w:t>18 October 2023</w:t>
      </w:r>
      <w:r w:rsidR="006C2A3B">
        <w:t>,</w:t>
      </w:r>
      <w:r w:rsidR="004B0E7D">
        <w:t xml:space="preserve"> agreed short minutes of order</w:t>
      </w:r>
      <w:r w:rsidR="000467EE">
        <w:t>, with any areas of disagreement to be indicated in mark up,</w:t>
      </w:r>
      <w:r w:rsidR="004B0E7D">
        <w:t xml:space="preserve"> </w:t>
      </w:r>
      <w:r w:rsidR="006C2A3B">
        <w:t>which address:</w:t>
      </w:r>
    </w:p>
    <w:p w14:paraId="754AB95C" w14:textId="0C016E29" w:rsidR="004B0E7D" w:rsidRDefault="006D48AC" w:rsidP="006D48AC">
      <w:pPr>
        <w:pStyle w:val="Order2"/>
        <w:numPr>
          <w:ilvl w:val="0"/>
          <w:numId w:val="0"/>
        </w:numPr>
        <w:ind w:left="1440" w:hanging="720"/>
      </w:pPr>
      <w:r>
        <w:t>(a)</w:t>
      </w:r>
      <w:r>
        <w:tab/>
      </w:r>
      <w:r w:rsidR="006C2A3B">
        <w:t>whether the</w:t>
      </w:r>
      <w:r w:rsidR="000467EE">
        <w:t xml:space="preserve"> references to the “Carmelo Transfer” in the</w:t>
      </w:r>
      <w:r w:rsidR="006C2A3B">
        <w:t xml:space="preserve"> </w:t>
      </w:r>
      <w:r w:rsidR="005A5E81">
        <w:t xml:space="preserve">Further Amended Originating Application </w:t>
      </w:r>
      <w:r w:rsidR="003E6FBC">
        <w:t>stamped on 18 February 2022 (</w:t>
      </w:r>
      <w:r w:rsidR="003E6FBC" w:rsidRPr="0054525B">
        <w:rPr>
          <w:b/>
          <w:bCs/>
        </w:rPr>
        <w:t>FAOA</w:t>
      </w:r>
      <w:r w:rsidR="003E6FBC">
        <w:t xml:space="preserve">) </w:t>
      </w:r>
      <w:r w:rsidR="00FC3353">
        <w:t>are pressed</w:t>
      </w:r>
      <w:r w:rsidR="000467EE">
        <w:t>;</w:t>
      </w:r>
    </w:p>
    <w:p w14:paraId="45B2357C" w14:textId="4B1F54B5" w:rsidR="000467EE" w:rsidRDefault="006D48AC" w:rsidP="006D48AC">
      <w:pPr>
        <w:pStyle w:val="Order2"/>
        <w:numPr>
          <w:ilvl w:val="0"/>
          <w:numId w:val="0"/>
        </w:numPr>
        <w:ind w:left="1440" w:hanging="720"/>
      </w:pPr>
      <w:r>
        <w:t>(b)</w:t>
      </w:r>
      <w:r>
        <w:tab/>
      </w:r>
      <w:r w:rsidR="00EC4C48">
        <w:t>w</w:t>
      </w:r>
      <w:r w:rsidR="000467EE">
        <w:t>hether</w:t>
      </w:r>
      <w:r w:rsidR="00EC4C48">
        <w:t xml:space="preserve"> paragraph 1 of the FAOA </w:t>
      </w:r>
      <w:r w:rsidR="0095656A">
        <w:t xml:space="preserve">is pressed </w:t>
      </w:r>
      <w:r w:rsidR="00EC4C48">
        <w:t>in circumstances where MI Stores</w:t>
      </w:r>
      <w:r w:rsidR="000467EE">
        <w:t xml:space="preserve"> </w:t>
      </w:r>
      <w:r w:rsidR="00EC4C48">
        <w:t xml:space="preserve">is not a party to this proceeding; </w:t>
      </w:r>
    </w:p>
    <w:p w14:paraId="0BEC4196" w14:textId="76D100F9" w:rsidR="0095129E" w:rsidRDefault="006D48AC" w:rsidP="006D48AC">
      <w:pPr>
        <w:pStyle w:val="Order2"/>
        <w:numPr>
          <w:ilvl w:val="0"/>
          <w:numId w:val="0"/>
        </w:numPr>
        <w:ind w:left="1440" w:hanging="720"/>
      </w:pPr>
      <w:r>
        <w:t>(c)</w:t>
      </w:r>
      <w:r>
        <w:tab/>
      </w:r>
      <w:r w:rsidR="00587D8A">
        <w:t>whether the relief sought in paragraphs 4(a), 12(c) and 1</w:t>
      </w:r>
      <w:r w:rsidR="00A60EE6">
        <w:t>6</w:t>
      </w:r>
      <w:r w:rsidR="00587D8A">
        <w:t xml:space="preserve">C(a) </w:t>
      </w:r>
      <w:r w:rsidR="0095656A">
        <w:t xml:space="preserve">of the FAOA </w:t>
      </w:r>
      <w:r w:rsidR="00587D8A">
        <w:t>is appropriately framed</w:t>
      </w:r>
      <w:r w:rsidR="0095129E">
        <w:t xml:space="preserve">; and </w:t>
      </w:r>
    </w:p>
    <w:p w14:paraId="1BC1654F" w14:textId="4AFA13A8" w:rsidR="00B34A18" w:rsidRDefault="006D48AC" w:rsidP="006D48AC">
      <w:pPr>
        <w:pStyle w:val="Order2"/>
        <w:numPr>
          <w:ilvl w:val="0"/>
          <w:numId w:val="0"/>
        </w:numPr>
        <w:ind w:left="1440" w:hanging="720"/>
      </w:pPr>
      <w:r>
        <w:t>(d)</w:t>
      </w:r>
      <w:r>
        <w:tab/>
      </w:r>
      <w:r w:rsidR="00CF4732">
        <w:t xml:space="preserve">the </w:t>
      </w:r>
      <w:r w:rsidR="003E664F">
        <w:t>filing of a Second Further Amended Originating Application that</w:t>
      </w:r>
      <w:r w:rsidR="00B34A18">
        <w:t>:</w:t>
      </w:r>
    </w:p>
    <w:p w14:paraId="30EA005B" w14:textId="3C4555D1" w:rsidR="00B34A18" w:rsidRDefault="006D48AC" w:rsidP="006D48AC">
      <w:pPr>
        <w:pStyle w:val="Order3"/>
        <w:numPr>
          <w:ilvl w:val="0"/>
          <w:numId w:val="0"/>
        </w:numPr>
        <w:tabs>
          <w:tab w:val="left" w:pos="1440"/>
        </w:tabs>
        <w:ind w:left="2160" w:hanging="720"/>
      </w:pPr>
      <w:r>
        <w:t>(i)</w:t>
      </w:r>
      <w:r>
        <w:tab/>
      </w:r>
      <w:r w:rsidR="003E664F">
        <w:t>ad</w:t>
      </w:r>
      <w:r w:rsidR="00A859B9">
        <w:t xml:space="preserve">dresses the issues in subparagraphs (a) to (c) of this </w:t>
      </w:r>
      <w:r w:rsidR="00B34A18">
        <w:t>O</w:t>
      </w:r>
      <w:r w:rsidR="00A859B9">
        <w:t>rder</w:t>
      </w:r>
      <w:r w:rsidR="00B34A18">
        <w:t>;</w:t>
      </w:r>
      <w:r w:rsidR="00A859B9">
        <w:t xml:space="preserve"> and</w:t>
      </w:r>
    </w:p>
    <w:p w14:paraId="18F81FD1" w14:textId="2EBDA3E5" w:rsidR="00EC4C48" w:rsidRDefault="006D48AC" w:rsidP="006D48AC">
      <w:pPr>
        <w:pStyle w:val="Order3"/>
        <w:numPr>
          <w:ilvl w:val="0"/>
          <w:numId w:val="0"/>
        </w:numPr>
        <w:tabs>
          <w:tab w:val="left" w:pos="1440"/>
        </w:tabs>
        <w:ind w:left="2160" w:hanging="720"/>
      </w:pPr>
      <w:r>
        <w:t>(ii)</w:t>
      </w:r>
      <w:r>
        <w:tab/>
      </w:r>
      <w:r w:rsidR="00FD21D7">
        <w:t xml:space="preserve">otherwise </w:t>
      </w:r>
      <w:r w:rsidR="00015EBD">
        <w:t xml:space="preserve">complies with the Rules, including in respect of </w:t>
      </w:r>
      <w:r w:rsidR="00056D54">
        <w:t xml:space="preserve">applying numbering that is </w:t>
      </w:r>
      <w:r w:rsidR="00CC7408">
        <w:t xml:space="preserve">consistent with the requirements in relation to pleadings </w:t>
      </w:r>
      <w:r w:rsidR="006214E5">
        <w:t>in the Rules</w:t>
      </w:r>
      <w:r w:rsidR="00587D8A">
        <w:t xml:space="preserve">. </w:t>
      </w:r>
    </w:p>
    <w:p w14:paraId="71185C2C" w14:textId="2C14A2FE" w:rsidR="00380EEF" w:rsidRDefault="006D48AC" w:rsidP="006D48AC">
      <w:pPr>
        <w:pStyle w:val="Order1"/>
        <w:numPr>
          <w:ilvl w:val="0"/>
          <w:numId w:val="0"/>
        </w:numPr>
        <w:tabs>
          <w:tab w:val="left" w:pos="720"/>
        </w:tabs>
        <w:ind w:left="720" w:hanging="720"/>
      </w:pPr>
      <w:r>
        <w:t>8.</w:t>
      </w:r>
      <w:r>
        <w:tab/>
      </w:r>
      <w:r w:rsidR="00FC6482">
        <w:t>The applicants pay the costs thrown away by reason of the</w:t>
      </w:r>
      <w:r w:rsidR="00FC4583">
        <w:t xml:space="preserve"> filing of the </w:t>
      </w:r>
      <w:r w:rsidR="00BA5426">
        <w:t>ASOC</w:t>
      </w:r>
      <w:r w:rsidR="003B3626">
        <w:t xml:space="preserve">, </w:t>
      </w:r>
      <w:r w:rsidR="004B2960">
        <w:t xml:space="preserve">including the costs of the amendment application, </w:t>
      </w:r>
      <w:r w:rsidR="003B3626">
        <w:t xml:space="preserve">such costs to be </w:t>
      </w:r>
      <w:r w:rsidR="0093281D">
        <w:t>agreed</w:t>
      </w:r>
      <w:r w:rsidR="00A55B71">
        <w:t xml:space="preserve">, failing which the </w:t>
      </w:r>
      <w:r w:rsidR="00F11B56">
        <w:t>costs are to be assessed by a Registrar of the Court in a lump sum</w:t>
      </w:r>
      <w:r w:rsidR="00204F04">
        <w:t>.</w:t>
      </w:r>
    </w:p>
    <w:p w14:paraId="7FBBB3F9" w14:textId="77777777" w:rsidR="00753A9F" w:rsidRDefault="00753A9F" w:rsidP="00753A9F">
      <w:pPr>
        <w:pStyle w:val="Order1"/>
        <w:keepNext/>
        <w:numPr>
          <w:ilvl w:val="0"/>
          <w:numId w:val="0"/>
        </w:numPr>
        <w:rPr>
          <w:b/>
          <w:bCs/>
        </w:rPr>
      </w:pPr>
      <w:r>
        <w:rPr>
          <w:b/>
          <w:bCs/>
        </w:rPr>
        <w:t xml:space="preserve">Further Asset Disclosure </w:t>
      </w:r>
    </w:p>
    <w:p w14:paraId="5EF444ED" w14:textId="5DCA11AB" w:rsidR="00753A9F" w:rsidRDefault="006D48AC" w:rsidP="006D48AC">
      <w:pPr>
        <w:pStyle w:val="Order1"/>
        <w:numPr>
          <w:ilvl w:val="0"/>
          <w:numId w:val="0"/>
        </w:numPr>
        <w:tabs>
          <w:tab w:val="left" w:pos="720"/>
        </w:tabs>
        <w:ind w:left="720" w:hanging="720"/>
      </w:pPr>
      <w:r>
        <w:t>9.</w:t>
      </w:r>
      <w:r>
        <w:tab/>
      </w:r>
      <w:r w:rsidR="00753A9F" w:rsidRPr="00CF53E2">
        <w:t xml:space="preserve">The interlocutory application </w:t>
      </w:r>
      <w:r w:rsidR="00753A9F">
        <w:t>dated 20 April 2022</w:t>
      </w:r>
      <w:r w:rsidR="00753A9F" w:rsidRPr="00CF53E2">
        <w:t xml:space="preserve"> is dismissed w</w:t>
      </w:r>
      <w:r w:rsidR="00753A9F">
        <w:t xml:space="preserve">ith the applicants to pay the third and fifth respondents’ costs of the interlocutory application as agreed, </w:t>
      </w:r>
      <w:r w:rsidR="00753A9F" w:rsidRPr="003452FF">
        <w:t>or failing agreement</w:t>
      </w:r>
      <w:r w:rsidR="00753A9F">
        <w:t>,</w:t>
      </w:r>
      <w:r w:rsidR="00753A9F" w:rsidRPr="003452FF">
        <w:t xml:space="preserve"> as assessed by a Registrar of the Court on a lump sum basis</w:t>
      </w:r>
      <w:r w:rsidR="00753A9F" w:rsidRPr="00CF53E2">
        <w:t>.</w:t>
      </w:r>
    </w:p>
    <w:p w14:paraId="65735FCD" w14:textId="6313A623" w:rsidR="001A6C52" w:rsidRDefault="006D5D3B" w:rsidP="001A6C52">
      <w:pPr>
        <w:pStyle w:val="BodyText"/>
        <w:rPr>
          <w:b/>
        </w:rPr>
      </w:pPr>
      <w:r>
        <w:rPr>
          <w:b/>
          <w:bCs/>
        </w:rPr>
        <w:lastRenderedPageBreak/>
        <w:t xml:space="preserve">Freezing Order </w:t>
      </w:r>
      <w:r w:rsidR="00EA5FFA">
        <w:rPr>
          <w:b/>
          <w:bCs/>
        </w:rPr>
        <w:t>Extension</w:t>
      </w:r>
    </w:p>
    <w:p w14:paraId="1BE933BC" w14:textId="36C9262B" w:rsidR="005F0F0F" w:rsidRPr="00977972" w:rsidRDefault="006D48AC" w:rsidP="006D48AC">
      <w:pPr>
        <w:pStyle w:val="Order1"/>
        <w:numPr>
          <w:ilvl w:val="0"/>
          <w:numId w:val="0"/>
        </w:numPr>
        <w:tabs>
          <w:tab w:val="left" w:pos="720"/>
        </w:tabs>
        <w:ind w:left="720" w:hanging="720"/>
      </w:pPr>
      <w:r w:rsidRPr="00977972">
        <w:t>10.</w:t>
      </w:r>
      <w:r w:rsidRPr="00977972">
        <w:tab/>
      </w:r>
      <w:r w:rsidR="0010181D">
        <w:t>Within 7 days of the date of these orders t</w:t>
      </w:r>
      <w:r w:rsidR="00B702D0" w:rsidRPr="00977972">
        <w:t>he parties are to confer and submit proposed</w:t>
      </w:r>
      <w:r w:rsidR="00FB6427" w:rsidRPr="00977972">
        <w:t xml:space="preserve"> joint</w:t>
      </w:r>
      <w:r w:rsidR="00B702D0" w:rsidRPr="00977972">
        <w:t xml:space="preserve"> orders</w:t>
      </w:r>
      <w:r w:rsidR="00FB6427" w:rsidRPr="00977972">
        <w:t>, with any areas of disagreement to be indicated in mark up,</w:t>
      </w:r>
      <w:r w:rsidR="00B702D0" w:rsidRPr="00977972">
        <w:t xml:space="preserve"> which give effect to my reasons in respect of</w:t>
      </w:r>
      <w:r w:rsidR="006E3D1A" w:rsidRPr="00977972">
        <w:t xml:space="preserve"> prayer 8(c), (e) and (f) of</w:t>
      </w:r>
      <w:r w:rsidR="00B702D0" w:rsidRPr="00977972">
        <w:t xml:space="preserve"> the </w:t>
      </w:r>
      <w:r w:rsidR="00FB6427" w:rsidRPr="00977972">
        <w:t>amended interlocutory application</w:t>
      </w:r>
      <w:r w:rsidR="00B56EC9" w:rsidRPr="00977972">
        <w:t xml:space="preserve"> (</w:t>
      </w:r>
      <w:r w:rsidR="00B56EC9" w:rsidRPr="00977972">
        <w:rPr>
          <w:b/>
          <w:bCs/>
        </w:rPr>
        <w:t>AIA</w:t>
      </w:r>
      <w:r w:rsidR="00B56EC9" w:rsidRPr="00977972">
        <w:t>)</w:t>
      </w:r>
      <w:r w:rsidR="00FB6427" w:rsidRPr="00977972">
        <w:t xml:space="preserve"> filed on 18 February 2022</w:t>
      </w:r>
      <w:r w:rsidR="006E3D1A" w:rsidRPr="00977972">
        <w:t xml:space="preserve">. </w:t>
      </w:r>
    </w:p>
    <w:p w14:paraId="7440CD7B" w14:textId="7795541F" w:rsidR="00FD471E" w:rsidRDefault="006D48AC" w:rsidP="006D48AC">
      <w:pPr>
        <w:pStyle w:val="Order1"/>
        <w:numPr>
          <w:ilvl w:val="0"/>
          <w:numId w:val="0"/>
        </w:numPr>
        <w:tabs>
          <w:tab w:val="left" w:pos="720"/>
        </w:tabs>
        <w:ind w:left="720" w:hanging="720"/>
      </w:pPr>
      <w:r>
        <w:t>11.</w:t>
      </w:r>
      <w:r>
        <w:tab/>
      </w:r>
      <w:r w:rsidR="00FD471E">
        <w:t>The applicant</w:t>
      </w:r>
      <w:r w:rsidR="00631C83">
        <w:t>s</w:t>
      </w:r>
      <w:r w:rsidR="00FD471E">
        <w:t xml:space="preserve"> pay the </w:t>
      </w:r>
      <w:r w:rsidR="00631C83" w:rsidRPr="009C6AA5">
        <w:t>fifth respondent</w:t>
      </w:r>
      <w:r w:rsidR="00465A81" w:rsidRPr="009C6AA5">
        <w:t>’</w:t>
      </w:r>
      <w:r w:rsidR="00631C83" w:rsidRPr="009C6AA5">
        <w:t>s</w:t>
      </w:r>
      <w:r w:rsidR="00F272F8">
        <w:t xml:space="preserve"> </w:t>
      </w:r>
      <w:r w:rsidR="00FD471E">
        <w:t xml:space="preserve">costs of the </w:t>
      </w:r>
      <w:r w:rsidR="00F272F8">
        <w:t>AIA</w:t>
      </w:r>
      <w:r w:rsidR="00FD471E">
        <w:t xml:space="preserve"> as agreed, or failing agreement as assessed by a Registrar of the Court on a lump sum basis.</w:t>
      </w:r>
    </w:p>
    <w:p w14:paraId="1450F7ED" w14:textId="72FD398A" w:rsidR="001B1D42" w:rsidRDefault="006D48AC" w:rsidP="006D48AC">
      <w:pPr>
        <w:pStyle w:val="Order1"/>
        <w:numPr>
          <w:ilvl w:val="0"/>
          <w:numId w:val="0"/>
        </w:numPr>
        <w:tabs>
          <w:tab w:val="left" w:pos="720"/>
        </w:tabs>
        <w:ind w:left="720" w:hanging="720"/>
      </w:pPr>
      <w:r>
        <w:t>12.</w:t>
      </w:r>
      <w:r>
        <w:tab/>
      </w:r>
      <w:r w:rsidR="001B1D42">
        <w:t>The third and sixth respondents pay the applicants’ costs of the AIA</w:t>
      </w:r>
      <w:r w:rsidR="0049558A">
        <w:t xml:space="preserve"> incurred in respect of their </w:t>
      </w:r>
      <w:r w:rsidR="00456C66">
        <w:t>application</w:t>
      </w:r>
      <w:r w:rsidR="0049558A">
        <w:t xml:space="preserve"> against the third and sixth respondents</w:t>
      </w:r>
      <w:r w:rsidR="001B1D42">
        <w:t xml:space="preserve">, limited to the period following </w:t>
      </w:r>
      <w:r w:rsidR="00465A81">
        <w:t>23 September 202</w:t>
      </w:r>
      <w:r w:rsidR="000A3BB7">
        <w:t>2</w:t>
      </w:r>
      <w:r w:rsidR="00465A81">
        <w:t>.</w:t>
      </w:r>
    </w:p>
    <w:p w14:paraId="7517CC02" w14:textId="3B778384" w:rsidR="00FD471E" w:rsidRDefault="006D48AC" w:rsidP="006D48AC">
      <w:pPr>
        <w:pStyle w:val="Order1"/>
        <w:numPr>
          <w:ilvl w:val="0"/>
          <w:numId w:val="0"/>
        </w:numPr>
        <w:tabs>
          <w:tab w:val="left" w:pos="720"/>
        </w:tabs>
        <w:ind w:left="720" w:hanging="720"/>
      </w:pPr>
      <w:r>
        <w:t>13.</w:t>
      </w:r>
      <w:r>
        <w:tab/>
      </w:r>
      <w:r w:rsidR="00FD471E">
        <w:t xml:space="preserve">The parties be granted leave to apply to vary </w:t>
      </w:r>
      <w:r w:rsidR="004C1352">
        <w:t>O</w:t>
      </w:r>
      <w:r w:rsidR="00FD471E">
        <w:t>rder</w:t>
      </w:r>
      <w:r w:rsidR="004C1352">
        <w:t>(s)</w:t>
      </w:r>
      <w:r w:rsidR="00FD471E">
        <w:t xml:space="preserve"> </w:t>
      </w:r>
      <w:r w:rsidR="00977972">
        <w:t>1</w:t>
      </w:r>
      <w:r w:rsidR="00753A9F">
        <w:t>1</w:t>
      </w:r>
      <w:r w:rsidR="00014DAF">
        <w:t xml:space="preserve"> and/or 1</w:t>
      </w:r>
      <w:r w:rsidR="00753A9F">
        <w:t>2</w:t>
      </w:r>
      <w:r w:rsidR="00FD471E">
        <w:t xml:space="preserve"> by filing and serving submissions (of no more than 3 pages) in support of any variation they contend for within 5 business days of these orders.</w:t>
      </w:r>
    </w:p>
    <w:p w14:paraId="2CFA7153" w14:textId="2B1ABAA8" w:rsidR="00FD471E" w:rsidRDefault="006D48AC" w:rsidP="006D48AC">
      <w:pPr>
        <w:pStyle w:val="Order1"/>
        <w:numPr>
          <w:ilvl w:val="0"/>
          <w:numId w:val="0"/>
        </w:numPr>
        <w:tabs>
          <w:tab w:val="left" w:pos="720"/>
        </w:tabs>
        <w:ind w:left="720" w:hanging="720"/>
      </w:pPr>
      <w:r>
        <w:t>14.</w:t>
      </w:r>
      <w:r>
        <w:tab/>
      </w:r>
      <w:r w:rsidR="00FD471E">
        <w:t xml:space="preserve">In the event that a party applies to vary </w:t>
      </w:r>
      <w:r w:rsidR="004C1352">
        <w:t>O</w:t>
      </w:r>
      <w:r w:rsidR="00FD471E">
        <w:t>rder</w:t>
      </w:r>
      <w:r w:rsidR="004C1352">
        <w:t>(s)</w:t>
      </w:r>
      <w:r w:rsidR="00977972">
        <w:t xml:space="preserve"> 1</w:t>
      </w:r>
      <w:r w:rsidR="00753A9F">
        <w:t>1</w:t>
      </w:r>
      <w:r w:rsidR="00014DAF">
        <w:t xml:space="preserve"> and/or 1</w:t>
      </w:r>
      <w:r w:rsidR="00753A9F">
        <w:t>2</w:t>
      </w:r>
      <w:r w:rsidR="00FD471E">
        <w:t xml:space="preserve"> by filing and serving submissions under </w:t>
      </w:r>
      <w:r w:rsidR="004C1352">
        <w:t>O</w:t>
      </w:r>
      <w:r w:rsidR="00FD471E">
        <w:t xml:space="preserve">rder </w:t>
      </w:r>
      <w:r w:rsidR="00977972">
        <w:t>1</w:t>
      </w:r>
      <w:r w:rsidR="00753A9F">
        <w:t>3</w:t>
      </w:r>
      <w:r w:rsidR="00FD471E">
        <w:t>:</w:t>
      </w:r>
    </w:p>
    <w:p w14:paraId="1EDA35BA" w14:textId="0637F0BA" w:rsidR="00FD471E" w:rsidRDefault="006D48AC" w:rsidP="006D48AC">
      <w:pPr>
        <w:pStyle w:val="Order2"/>
        <w:numPr>
          <w:ilvl w:val="0"/>
          <w:numId w:val="0"/>
        </w:numPr>
        <w:ind w:left="1440" w:hanging="720"/>
      </w:pPr>
      <w:r>
        <w:t>(a)</w:t>
      </w:r>
      <w:r>
        <w:tab/>
      </w:r>
      <w:r w:rsidR="004D7FAC">
        <w:t>t</w:t>
      </w:r>
      <w:r w:rsidR="00FD471E">
        <w:t xml:space="preserve">he opposing party or parties is/are to file and serve any submissions in response (of no more than 3 pages) within 5 business days of service on them of the submissions under </w:t>
      </w:r>
      <w:r w:rsidR="00BD512D">
        <w:t>O</w:t>
      </w:r>
      <w:r w:rsidR="00FD471E">
        <w:t xml:space="preserve">rder </w:t>
      </w:r>
      <w:r w:rsidR="00977972">
        <w:t>1</w:t>
      </w:r>
      <w:r w:rsidR="00753A9F">
        <w:t>3</w:t>
      </w:r>
      <w:r w:rsidR="00FD471E">
        <w:t>;</w:t>
      </w:r>
      <w:r w:rsidR="004D7FAC">
        <w:t xml:space="preserve"> and</w:t>
      </w:r>
    </w:p>
    <w:p w14:paraId="55BFA60E" w14:textId="75CE4B9E" w:rsidR="000F7E9D" w:rsidRPr="00977972" w:rsidRDefault="006D48AC" w:rsidP="006D48AC">
      <w:pPr>
        <w:pStyle w:val="Order2"/>
        <w:numPr>
          <w:ilvl w:val="0"/>
          <w:numId w:val="0"/>
        </w:numPr>
        <w:ind w:left="1440" w:hanging="720"/>
      </w:pPr>
      <w:r w:rsidRPr="00977972">
        <w:t>(b)</w:t>
      </w:r>
      <w:r w:rsidRPr="00977972">
        <w:tab/>
      </w:r>
      <w:r w:rsidR="004D7FAC">
        <w:t>t</w:t>
      </w:r>
      <w:r w:rsidR="00FD471E" w:rsidRPr="00977972">
        <w:t>he party or parties served with submissions under paragraph (a) is/are to file and serve any submissions in reply (of no more than 2 pages) within 3 business days of service on them of the first mentioned submissions.</w:t>
      </w:r>
    </w:p>
    <w:p w14:paraId="13E3F22C" w14:textId="3A01E581" w:rsidR="007F5BD2" w:rsidRPr="00977972" w:rsidRDefault="006D48AC" w:rsidP="006D48AC">
      <w:pPr>
        <w:pStyle w:val="Order1"/>
        <w:numPr>
          <w:ilvl w:val="0"/>
          <w:numId w:val="0"/>
        </w:numPr>
        <w:tabs>
          <w:tab w:val="left" w:pos="720"/>
        </w:tabs>
        <w:ind w:left="720" w:hanging="720"/>
      </w:pPr>
      <w:r w:rsidRPr="00977972">
        <w:t>15.</w:t>
      </w:r>
      <w:r w:rsidRPr="00977972">
        <w:tab/>
      </w:r>
      <w:r w:rsidR="00B56EC9" w:rsidRPr="00977972">
        <w:t xml:space="preserve">The submissions referred to in Orders </w:t>
      </w:r>
      <w:r w:rsidR="00033311">
        <w:t>1</w:t>
      </w:r>
      <w:r w:rsidR="00F80EB6">
        <w:t>3</w:t>
      </w:r>
      <w:r w:rsidR="00033311">
        <w:t xml:space="preserve"> and 1</w:t>
      </w:r>
      <w:r w:rsidR="00F80EB6">
        <w:t>4</w:t>
      </w:r>
      <w:r w:rsidR="00B56EC9" w:rsidRPr="00977972">
        <w:t xml:space="preserve"> should be easily legible using a font size of at least 12 points and one and a half line spacing throughout, including in any footnotes and annexures.</w:t>
      </w:r>
    </w:p>
    <w:p w14:paraId="09416CD6" w14:textId="52CF907B" w:rsidR="005F0F0F" w:rsidRDefault="005F0F0F" w:rsidP="009E00C0">
      <w:pPr>
        <w:pStyle w:val="Order1"/>
        <w:numPr>
          <w:ilvl w:val="0"/>
          <w:numId w:val="0"/>
        </w:numPr>
        <w:rPr>
          <w:b/>
          <w:bCs/>
        </w:rPr>
      </w:pPr>
      <w:r>
        <w:rPr>
          <w:b/>
          <w:bCs/>
        </w:rPr>
        <w:t xml:space="preserve">Review </w:t>
      </w:r>
      <w:r w:rsidR="00B727FD">
        <w:rPr>
          <w:b/>
          <w:bCs/>
        </w:rPr>
        <w:t>of Notice to Produce Decision</w:t>
      </w:r>
    </w:p>
    <w:p w14:paraId="4F1ECCA6" w14:textId="32F34745" w:rsidR="00B727FD" w:rsidRDefault="006D48AC" w:rsidP="006D48AC">
      <w:pPr>
        <w:pStyle w:val="Order1"/>
        <w:numPr>
          <w:ilvl w:val="0"/>
          <w:numId w:val="0"/>
        </w:numPr>
        <w:tabs>
          <w:tab w:val="left" w:pos="720"/>
        </w:tabs>
        <w:ind w:left="720" w:hanging="720"/>
      </w:pPr>
      <w:r>
        <w:t>16.</w:t>
      </w:r>
      <w:r>
        <w:tab/>
      </w:r>
      <w:r w:rsidR="00E47E8F">
        <w:t>The interlocutory application dated 27 June 202</w:t>
      </w:r>
      <w:r w:rsidR="000C5DD5">
        <w:t>2</w:t>
      </w:r>
      <w:r w:rsidR="00E47E8F">
        <w:t xml:space="preserve"> is </w:t>
      </w:r>
      <w:r w:rsidR="00E47E8F" w:rsidRPr="00CF53E2">
        <w:t xml:space="preserve">dismissed </w:t>
      </w:r>
      <w:r w:rsidR="007D2190">
        <w:t xml:space="preserve">with </w:t>
      </w:r>
      <w:r w:rsidR="0043669E">
        <w:t xml:space="preserve">each party to bear their </w:t>
      </w:r>
      <w:r w:rsidR="00011EF6">
        <w:t xml:space="preserve">own </w:t>
      </w:r>
      <w:r w:rsidR="0043669E">
        <w:t>costs of the application</w:t>
      </w:r>
      <w:r w:rsidR="00E47E8F" w:rsidRPr="00CF53E2">
        <w:t>.</w:t>
      </w:r>
    </w:p>
    <w:p w14:paraId="0D1CAD45" w14:textId="5597DB9E" w:rsidR="00951933" w:rsidRPr="0034554E" w:rsidRDefault="00951933" w:rsidP="00E2137E">
      <w:pPr>
        <w:pStyle w:val="Order1"/>
        <w:keepNext/>
        <w:numPr>
          <w:ilvl w:val="0"/>
          <w:numId w:val="0"/>
        </w:numPr>
        <w:rPr>
          <w:b/>
          <w:bCs/>
        </w:rPr>
      </w:pPr>
      <w:r w:rsidRPr="0034554E">
        <w:rPr>
          <w:b/>
          <w:bCs/>
        </w:rPr>
        <w:t xml:space="preserve">Costs for Security for Costs </w:t>
      </w:r>
    </w:p>
    <w:p w14:paraId="4824C45C" w14:textId="0A8BDEE9" w:rsidR="00CF53E2" w:rsidRDefault="006D48AC" w:rsidP="006D48AC">
      <w:pPr>
        <w:pStyle w:val="Order1"/>
        <w:numPr>
          <w:ilvl w:val="0"/>
          <w:numId w:val="0"/>
        </w:numPr>
        <w:tabs>
          <w:tab w:val="left" w:pos="720"/>
        </w:tabs>
        <w:ind w:left="720" w:hanging="720"/>
      </w:pPr>
      <w:r>
        <w:t>17.</w:t>
      </w:r>
      <w:r>
        <w:tab/>
      </w:r>
      <w:r w:rsidR="00951933">
        <w:t xml:space="preserve">The </w:t>
      </w:r>
      <w:r w:rsidR="005F1CD0">
        <w:t>second</w:t>
      </w:r>
      <w:r w:rsidR="00BF3666">
        <w:t>, fourth and sixth respondents</w:t>
      </w:r>
      <w:r w:rsidR="003452FF" w:rsidRPr="003452FF">
        <w:t xml:space="preserve"> pay the </w:t>
      </w:r>
      <w:r w:rsidR="00BF3666">
        <w:t>applicants’</w:t>
      </w:r>
      <w:r w:rsidR="003452FF" w:rsidRPr="003452FF">
        <w:t xml:space="preserve"> costs </w:t>
      </w:r>
      <w:r w:rsidR="008B502E">
        <w:t xml:space="preserve">on an </w:t>
      </w:r>
      <w:r w:rsidR="00202AF2">
        <w:t xml:space="preserve">indemnity </w:t>
      </w:r>
      <w:r w:rsidR="008B502E">
        <w:t>basis</w:t>
      </w:r>
      <w:r w:rsidR="003452FF" w:rsidRPr="003452FF">
        <w:t xml:space="preserve"> of </w:t>
      </w:r>
      <w:r w:rsidR="00202AF2">
        <w:t xml:space="preserve">the further </w:t>
      </w:r>
      <w:r w:rsidR="00FC7F8D">
        <w:t xml:space="preserve">amended </w:t>
      </w:r>
      <w:r w:rsidR="00202AF2">
        <w:t xml:space="preserve">interlocutory application filed on 11 April 2022 </w:t>
      </w:r>
      <w:r w:rsidR="003452FF" w:rsidRPr="003452FF">
        <w:t>as agreed, or failing agreement as assessed</w:t>
      </w:r>
      <w:r w:rsidR="009B4256">
        <w:t>,</w:t>
      </w:r>
      <w:r w:rsidR="003452FF" w:rsidRPr="003452FF">
        <w:t xml:space="preserve"> by a Registrar of the Court on a lump sum basis.</w:t>
      </w:r>
    </w:p>
    <w:p w14:paraId="2680FA87" w14:textId="6D73B24B" w:rsidR="00322C61" w:rsidRPr="00AC544C" w:rsidRDefault="006D48AC" w:rsidP="006D48AC">
      <w:pPr>
        <w:pStyle w:val="Order1"/>
        <w:numPr>
          <w:ilvl w:val="0"/>
          <w:numId w:val="0"/>
        </w:numPr>
        <w:tabs>
          <w:tab w:val="left" w:pos="720"/>
        </w:tabs>
        <w:ind w:left="720" w:hanging="720"/>
      </w:pPr>
      <w:r w:rsidRPr="00AC544C">
        <w:lastRenderedPageBreak/>
        <w:t>18.</w:t>
      </w:r>
      <w:r w:rsidRPr="00AC544C">
        <w:tab/>
      </w:r>
      <w:r w:rsidR="00322C61">
        <w:t xml:space="preserve">The </w:t>
      </w:r>
      <w:r w:rsidR="00BF3666">
        <w:t>second, fourth and sixth respondents</w:t>
      </w:r>
      <w:r w:rsidR="00BF3666" w:rsidRPr="003452FF">
        <w:t xml:space="preserve"> pay the </w:t>
      </w:r>
      <w:r w:rsidR="00BF3666">
        <w:t xml:space="preserve">applicants’ </w:t>
      </w:r>
      <w:r w:rsidR="00322C61">
        <w:t xml:space="preserve">costs of </w:t>
      </w:r>
      <w:r w:rsidR="00430BB7">
        <w:t xml:space="preserve">the interlocutory application </w:t>
      </w:r>
      <w:r w:rsidR="00983613">
        <w:t>dated</w:t>
      </w:r>
      <w:r w:rsidR="00430BB7">
        <w:t xml:space="preserve"> 2</w:t>
      </w:r>
      <w:r w:rsidR="009A134E">
        <w:t>1</w:t>
      </w:r>
      <w:r w:rsidR="00430BB7">
        <w:t> June</w:t>
      </w:r>
      <w:r w:rsidR="00D44AB7">
        <w:t> </w:t>
      </w:r>
      <w:r w:rsidR="00430BB7">
        <w:t>2022</w:t>
      </w:r>
      <w:r w:rsidR="003B1F4C" w:rsidRPr="003B1F4C">
        <w:t xml:space="preserve"> </w:t>
      </w:r>
      <w:r w:rsidR="003B1F4C" w:rsidRPr="003452FF">
        <w:t>as agreed, or failing agreement</w:t>
      </w:r>
      <w:r w:rsidR="009B4256">
        <w:t>,</w:t>
      </w:r>
      <w:r w:rsidR="003B1F4C" w:rsidRPr="003452FF">
        <w:t xml:space="preserve"> as assessed by a Registrar of the Court on a lump sum basis</w:t>
      </w:r>
      <w:r w:rsidR="00430BB7">
        <w:t xml:space="preserve">. </w:t>
      </w:r>
    </w:p>
    <w:p w14:paraId="162F1C6F" w14:textId="77777777" w:rsidR="00A431E6" w:rsidRDefault="00A431E6" w:rsidP="001A6C52">
      <w:pPr>
        <w:pStyle w:val="BodyText"/>
      </w:pPr>
    </w:p>
    <w:p w14:paraId="28628373" w14:textId="77777777" w:rsidR="0050309C" w:rsidRDefault="00083D12"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6659A44C" w14:textId="77777777" w:rsidR="00E23577" w:rsidRDefault="00E23577" w:rsidP="002B0E91">
      <w:pPr>
        <w:pStyle w:val="BodyText"/>
      </w:pPr>
    </w:p>
    <w:p w14:paraId="1800E96E"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7607D110"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24EC442E" w14:textId="7967EC38" w:rsidR="00694BEB" w:rsidRDefault="00495DEF" w:rsidP="005E0510">
      <w:pPr>
        <w:pStyle w:val="NormalHeadings"/>
        <w:spacing w:line="360" w:lineRule="auto"/>
        <w:jc w:val="left"/>
        <w:rPr>
          <w:sz w:val="26"/>
          <w:szCs w:val="26"/>
        </w:rPr>
      </w:pPr>
      <w:r>
        <w:rPr>
          <w:sz w:val="26"/>
          <w:szCs w:val="26"/>
        </w:rPr>
        <w:t>CHEESEMAN J:</w:t>
      </w:r>
    </w:p>
    <w:p w14:paraId="22DE2904" w14:textId="40094387" w:rsidR="00495DEF" w:rsidRDefault="006D48AC" w:rsidP="00723D8E">
      <w:pPr>
        <w:pStyle w:val="Heading1"/>
      </w:pPr>
      <w:r>
        <w:rPr>
          <w:caps w:val="0"/>
        </w:rPr>
        <w:t>INTRODUCTION</w:t>
      </w:r>
    </w:p>
    <w:p w14:paraId="04A43C39" w14:textId="09A1E7FC" w:rsidR="00417051" w:rsidRDefault="006D48AC" w:rsidP="006D48AC">
      <w:pPr>
        <w:pStyle w:val="ParaNumbering"/>
        <w:numPr>
          <w:ilvl w:val="0"/>
          <w:numId w:val="0"/>
        </w:numPr>
        <w:ind w:hanging="720"/>
      </w:pPr>
      <w:r>
        <w:rPr>
          <w:sz w:val="20"/>
        </w:rPr>
        <w:t>1</w:t>
      </w:r>
      <w:r>
        <w:rPr>
          <w:sz w:val="20"/>
        </w:rPr>
        <w:tab/>
      </w:r>
      <w:r w:rsidR="00495DEF">
        <w:t xml:space="preserve">These reasons </w:t>
      </w:r>
      <w:r w:rsidR="00757FE8">
        <w:t>dispose of various</w:t>
      </w:r>
      <w:r w:rsidR="00495DEF">
        <w:t xml:space="preserve"> interlocutory applications </w:t>
      </w:r>
      <w:r w:rsidR="00723D8E">
        <w:t xml:space="preserve">relating to procedural matters. Broadly, </w:t>
      </w:r>
      <w:r w:rsidR="00564B10">
        <w:t xml:space="preserve">the relief sought by </w:t>
      </w:r>
      <w:r w:rsidR="009067C2">
        <w:t xml:space="preserve">the </w:t>
      </w:r>
      <w:r w:rsidR="00564B10">
        <w:t>various parties relates to</w:t>
      </w:r>
      <w:r w:rsidR="00875440">
        <w:t>:</w:t>
      </w:r>
      <w:r w:rsidR="00723D8E">
        <w:t xml:space="preserve"> </w:t>
      </w:r>
      <w:r w:rsidR="00875440">
        <w:t>(</w:t>
      </w:r>
      <w:r w:rsidR="00FD41C0">
        <w:t>1</w:t>
      </w:r>
      <w:r w:rsidR="00875440">
        <w:t xml:space="preserve">) </w:t>
      </w:r>
      <w:r w:rsidR="00723D8E">
        <w:t xml:space="preserve">leave to </w:t>
      </w:r>
      <w:r w:rsidR="00040D6F">
        <w:t xml:space="preserve">file and serve an </w:t>
      </w:r>
      <w:r w:rsidR="00723D8E">
        <w:t>amend</w:t>
      </w:r>
      <w:r w:rsidR="00040D6F">
        <w:t>ed</w:t>
      </w:r>
      <w:r w:rsidR="00723D8E">
        <w:t xml:space="preserve"> statement of claim;</w:t>
      </w:r>
      <w:r w:rsidR="00FD41C0" w:rsidRPr="00FD41C0">
        <w:t xml:space="preserve"> </w:t>
      </w:r>
      <w:r w:rsidR="00FD41C0">
        <w:t xml:space="preserve">(2) extending the operation of freezing orders against </w:t>
      </w:r>
      <w:r w:rsidR="009067C2">
        <w:t xml:space="preserve">five </w:t>
      </w:r>
      <w:r w:rsidR="0085208A">
        <w:t xml:space="preserve">of the </w:t>
      </w:r>
      <w:r w:rsidR="00FD41C0">
        <w:t xml:space="preserve">respondents; </w:t>
      </w:r>
      <w:r w:rsidR="00875440">
        <w:t xml:space="preserve">(3) </w:t>
      </w:r>
      <w:r w:rsidR="007826ED">
        <w:t xml:space="preserve">an attempt to </w:t>
      </w:r>
      <w:r w:rsidR="00564B10">
        <w:t>compel</w:t>
      </w:r>
      <w:r w:rsidR="00DF79C5">
        <w:t xml:space="preserve"> two </w:t>
      </w:r>
      <w:r w:rsidR="00365D2D">
        <w:t xml:space="preserve">respondents </w:t>
      </w:r>
      <w:r w:rsidR="00DF79C5">
        <w:t xml:space="preserve">to </w:t>
      </w:r>
      <w:r w:rsidR="00365D2D">
        <w:t xml:space="preserve">provide </w:t>
      </w:r>
      <w:r w:rsidR="00040D6F">
        <w:t>further</w:t>
      </w:r>
      <w:r w:rsidR="00365D2D">
        <w:t xml:space="preserve"> asset disclosure </w:t>
      </w:r>
      <w:r w:rsidR="00040D6F">
        <w:t>affidavits</w:t>
      </w:r>
      <w:r w:rsidR="00723D8E">
        <w:t xml:space="preserve">; </w:t>
      </w:r>
      <w:r w:rsidR="00875440">
        <w:t>(4)</w:t>
      </w:r>
      <w:r w:rsidR="0085208A">
        <w:t> </w:t>
      </w:r>
      <w:r w:rsidR="00564B10">
        <w:t xml:space="preserve">a </w:t>
      </w:r>
      <w:r w:rsidR="00723D8E">
        <w:t xml:space="preserve">review </w:t>
      </w:r>
      <w:r w:rsidR="00564B10">
        <w:t>of a</w:t>
      </w:r>
      <w:r w:rsidR="00723D8E">
        <w:t xml:space="preserve"> decision of a Registrar of the Court to dismiss a separate interlocutory application</w:t>
      </w:r>
      <w:r w:rsidR="00E5044A">
        <w:t xml:space="preserve"> seeking to set aside </w:t>
      </w:r>
      <w:r w:rsidR="00D26F0A">
        <w:t>certain production notices</w:t>
      </w:r>
      <w:r w:rsidR="00723D8E">
        <w:t xml:space="preserve">; </w:t>
      </w:r>
      <w:r w:rsidR="007826ED">
        <w:t xml:space="preserve">and </w:t>
      </w:r>
      <w:r w:rsidR="007F50DD">
        <w:t xml:space="preserve">(5) </w:t>
      </w:r>
      <w:r w:rsidR="00417051">
        <w:t xml:space="preserve">seeking an </w:t>
      </w:r>
      <w:r w:rsidR="00723D8E">
        <w:t>indemnity</w:t>
      </w:r>
      <w:r w:rsidR="00DF79C5">
        <w:t xml:space="preserve"> costs </w:t>
      </w:r>
      <w:r w:rsidR="00417051">
        <w:t xml:space="preserve">award </w:t>
      </w:r>
      <w:r w:rsidR="00DF79C5">
        <w:t xml:space="preserve">in respect of </w:t>
      </w:r>
      <w:r w:rsidR="002A3AF3">
        <w:t>a security for costs</w:t>
      </w:r>
      <w:r w:rsidR="00723D8E">
        <w:t xml:space="preserve"> application</w:t>
      </w:r>
      <w:r w:rsidR="00202495">
        <w:t xml:space="preserve"> that was dismissed</w:t>
      </w:r>
      <w:r w:rsidR="00723D8E">
        <w:t xml:space="preserve">. </w:t>
      </w:r>
      <w:r w:rsidR="006B4B8C">
        <w:t xml:space="preserve">It is convenient to address the applications in respect of the extension of the freezing orders and the </w:t>
      </w:r>
      <w:r w:rsidR="000601C9">
        <w:t>application for further asset disclosure affidavits together</w:t>
      </w:r>
      <w:r w:rsidR="00EA73C5">
        <w:t xml:space="preserve">. </w:t>
      </w:r>
    </w:p>
    <w:p w14:paraId="024D9C0E" w14:textId="1854D5FC" w:rsidR="00CB6352" w:rsidRDefault="006D48AC" w:rsidP="006D48AC">
      <w:pPr>
        <w:pStyle w:val="ParaNumbering"/>
        <w:numPr>
          <w:ilvl w:val="0"/>
          <w:numId w:val="0"/>
        </w:numPr>
        <w:ind w:hanging="720"/>
      </w:pPr>
      <w:r>
        <w:rPr>
          <w:sz w:val="20"/>
        </w:rPr>
        <w:t>2</w:t>
      </w:r>
      <w:r>
        <w:rPr>
          <w:sz w:val="20"/>
        </w:rPr>
        <w:tab/>
      </w:r>
      <w:r w:rsidR="00723D8E">
        <w:t xml:space="preserve">To date, </w:t>
      </w:r>
      <w:r w:rsidR="006F72AD">
        <w:t>nineteen</w:t>
      </w:r>
      <w:r w:rsidR="00DF44E4">
        <w:t xml:space="preserve"> </w:t>
      </w:r>
      <w:r w:rsidR="00723D8E">
        <w:t xml:space="preserve">interlocutory applications </w:t>
      </w:r>
      <w:r w:rsidR="00DF44E4">
        <w:t xml:space="preserve">have been </w:t>
      </w:r>
      <w:r w:rsidR="00723D8E">
        <w:t xml:space="preserve">filed in </w:t>
      </w:r>
      <w:r w:rsidR="00451C45">
        <w:t xml:space="preserve">this </w:t>
      </w:r>
      <w:r w:rsidR="00723D8E">
        <w:t>proceeding</w:t>
      </w:r>
      <w:r w:rsidR="00DF44E4">
        <w:t xml:space="preserve"> which</w:t>
      </w:r>
      <w:r w:rsidR="00022945" w:rsidDel="00650084">
        <w:t xml:space="preserve"> </w:t>
      </w:r>
      <w:r w:rsidR="00650084">
        <w:t xml:space="preserve">was </w:t>
      </w:r>
      <w:r w:rsidR="00022945">
        <w:t xml:space="preserve">commenced on the </w:t>
      </w:r>
      <w:r w:rsidR="00BF0190">
        <w:t xml:space="preserve">day </w:t>
      </w:r>
      <w:r w:rsidR="000C2AAB">
        <w:t>i</w:t>
      </w:r>
      <w:r w:rsidR="006F0FD6">
        <w:t>mmediately before</w:t>
      </w:r>
      <w:r w:rsidR="00022945">
        <w:t xml:space="preserve"> the expiration of the applicable limitation period. </w:t>
      </w:r>
      <w:r w:rsidR="00723D8E">
        <w:t xml:space="preserve">I have delivered two judgments </w:t>
      </w:r>
      <w:r w:rsidR="00BF7E77" w:rsidRPr="00854FAC">
        <w:t>in respect</w:t>
      </w:r>
      <w:r w:rsidR="00723D8E" w:rsidRPr="00854FAC">
        <w:t xml:space="preserve"> </w:t>
      </w:r>
      <w:r w:rsidR="00776640" w:rsidRPr="00854FAC">
        <w:t>o</w:t>
      </w:r>
      <w:r w:rsidR="009A00C8">
        <w:t>f</w:t>
      </w:r>
      <w:r w:rsidR="00776640" w:rsidRPr="00854FAC">
        <w:t xml:space="preserve"> interlocutory applications</w:t>
      </w:r>
      <w:r w:rsidR="00BF7E77">
        <w:t xml:space="preserve">: </w:t>
      </w:r>
      <w:r w:rsidR="00BF7E77" w:rsidRPr="00BF7E77">
        <w:rPr>
          <w:i/>
        </w:rPr>
        <w:t xml:space="preserve">Hurst, in the matter of </w:t>
      </w:r>
      <w:r w:rsidR="00BF7E77" w:rsidRPr="00105E4B">
        <w:rPr>
          <w:b/>
          <w:bCs/>
          <w:i/>
        </w:rPr>
        <w:t>Lloyds Curry</w:t>
      </w:r>
      <w:r w:rsidR="00BF7E77" w:rsidRPr="00B177D8">
        <w:rPr>
          <w:i/>
        </w:rPr>
        <w:t xml:space="preserve"> Shop P</w:t>
      </w:r>
      <w:r w:rsidR="00BF7E77" w:rsidRPr="00BF7E77">
        <w:rPr>
          <w:i/>
        </w:rPr>
        <w:t>ty Ltd (in liq) v Prasad</w:t>
      </w:r>
      <w:r w:rsidR="00BF7E77">
        <w:t xml:space="preserve"> [2021] FCA 1562</w:t>
      </w:r>
      <w:r w:rsidR="008F5883">
        <w:t xml:space="preserve"> </w:t>
      </w:r>
      <w:r w:rsidR="00BF7E77">
        <w:t xml:space="preserve">and </w:t>
      </w:r>
      <w:r w:rsidR="00BF7E77" w:rsidRPr="00BF7E77">
        <w:rPr>
          <w:i/>
        </w:rPr>
        <w:t>Hurst, in the matter of Lloyds Curry Shop Pty Ltd (in liq) v Prasad (No 2)</w:t>
      </w:r>
      <w:r w:rsidR="00BF7E77" w:rsidRPr="00BF7E77">
        <w:t xml:space="preserve"> [2022] FCA 1133</w:t>
      </w:r>
      <w:r w:rsidR="00B177D8">
        <w:t xml:space="preserve"> (the </w:t>
      </w:r>
      <w:r w:rsidR="00211D92" w:rsidRPr="00105E4B">
        <w:rPr>
          <w:b/>
          <w:i/>
          <w:iCs/>
        </w:rPr>
        <w:t>Lloyds Curry (No</w:t>
      </w:r>
      <w:r w:rsidR="00925A3B">
        <w:rPr>
          <w:b/>
          <w:i/>
          <w:iCs/>
        </w:rPr>
        <w:t> </w:t>
      </w:r>
      <w:r w:rsidR="00211D92" w:rsidRPr="00105E4B">
        <w:rPr>
          <w:b/>
          <w:i/>
          <w:iCs/>
        </w:rPr>
        <w:t>2)</w:t>
      </w:r>
      <w:r w:rsidR="00B177D8" w:rsidRPr="00105E4B">
        <w:rPr>
          <w:i/>
          <w:iCs/>
        </w:rPr>
        <w:t>)</w:t>
      </w:r>
      <w:r w:rsidR="00723D8E" w:rsidRPr="00105E4B">
        <w:rPr>
          <w:i/>
          <w:iCs/>
        </w:rPr>
        <w:t>.</w:t>
      </w:r>
      <w:r w:rsidR="00723D8E">
        <w:t xml:space="preserve"> </w:t>
      </w:r>
      <w:r w:rsidR="00BF7E77">
        <w:t>Familiarity</w:t>
      </w:r>
      <w:r w:rsidR="00DF79C5">
        <w:t xml:space="preserve"> with</w:t>
      </w:r>
      <w:r w:rsidR="00BF7E77">
        <w:t xml:space="preserve"> </w:t>
      </w:r>
      <w:r w:rsidR="00D142D2" w:rsidRPr="00BF7E77">
        <w:rPr>
          <w:i/>
        </w:rPr>
        <w:t>Lloyds Curry</w:t>
      </w:r>
      <w:r w:rsidR="00D142D2">
        <w:rPr>
          <w:i/>
        </w:rPr>
        <w:t xml:space="preserve"> </w:t>
      </w:r>
      <w:r w:rsidR="00D142D2">
        <w:rPr>
          <w:iCs/>
        </w:rPr>
        <w:t xml:space="preserve">and </w:t>
      </w:r>
      <w:r w:rsidR="00D142D2" w:rsidRPr="00BF7E77">
        <w:rPr>
          <w:i/>
        </w:rPr>
        <w:t>Lloyds Curry</w:t>
      </w:r>
      <w:r w:rsidR="00D142D2">
        <w:rPr>
          <w:i/>
        </w:rPr>
        <w:t xml:space="preserve"> (No 2) </w:t>
      </w:r>
      <w:r w:rsidR="00BF7E77">
        <w:t>is assumed</w:t>
      </w:r>
      <w:r w:rsidR="00CB6352">
        <w:t xml:space="preserve"> for the purpose of these reasons</w:t>
      </w:r>
      <w:r w:rsidR="00BF7E77">
        <w:t xml:space="preserve">. </w:t>
      </w:r>
      <w:r w:rsidR="00D142D2">
        <w:t>I will not repeat the</w:t>
      </w:r>
      <w:r w:rsidR="00344880">
        <w:t xml:space="preserve"> background facts and procedural history </w:t>
      </w:r>
      <w:r w:rsidR="00597563">
        <w:t xml:space="preserve">set out in those decisions. </w:t>
      </w:r>
      <w:r w:rsidR="00A84EA5">
        <w:t xml:space="preserve">I adopt the same </w:t>
      </w:r>
      <w:r w:rsidR="009A1B8E">
        <w:t>nomenclature as used in those reasons</w:t>
      </w:r>
      <w:r w:rsidR="00D142D2">
        <w:t xml:space="preserve">. </w:t>
      </w:r>
      <w:r w:rsidR="009A1B8E">
        <w:t xml:space="preserve">I again note that </w:t>
      </w:r>
      <w:r w:rsidR="00FB7EEB">
        <w:t>i</w:t>
      </w:r>
      <w:r w:rsidR="00FB7EEB" w:rsidRPr="00FB7EEB">
        <w:t>n referring to the first applicant as the liquidator I have adopted the shorthand used by the parties. In doing so, I do not overlook that in the substantive proceeding the validity of the liquidator’s appointment is in issue</w:t>
      </w:r>
      <w:r w:rsidR="00B377FA">
        <w:t xml:space="preserve"> and that the </w:t>
      </w:r>
      <w:r w:rsidR="0072441A">
        <w:t>l</w:t>
      </w:r>
      <w:r w:rsidR="00B377FA">
        <w:t>iquidator</w:t>
      </w:r>
      <w:r w:rsidR="00A53ADB">
        <w:t xml:space="preserve"> confines his pleaded case</w:t>
      </w:r>
      <w:r w:rsidR="000B2DD7">
        <w:t>, in the latest proposed amended version</w:t>
      </w:r>
      <w:r w:rsidR="00A53ADB">
        <w:t xml:space="preserve"> to the allegation of fact that he “conducted himself as a duly appointed liq</w:t>
      </w:r>
      <w:r w:rsidR="001D5483">
        <w:t>u</w:t>
      </w:r>
      <w:r w:rsidR="00A53ADB">
        <w:t xml:space="preserve">idator </w:t>
      </w:r>
      <w:r w:rsidR="001D5483">
        <w:t>of</w:t>
      </w:r>
      <w:r w:rsidR="00A53ADB">
        <w:t xml:space="preserve"> the C</w:t>
      </w:r>
      <w:r w:rsidR="001D5483">
        <w:t>ompany” from 7 August 2015</w:t>
      </w:r>
      <w:r w:rsidR="00C241B6">
        <w:t>.</w:t>
      </w:r>
      <w:r w:rsidR="00CC30DF">
        <w:t xml:space="preserve"> I further note that </w:t>
      </w:r>
      <w:r w:rsidR="00FD6F42">
        <w:t xml:space="preserve">part of the relief sought by the liquidator in the present proceeding is in aid of </w:t>
      </w:r>
      <w:r w:rsidR="006710B0">
        <w:t>regularising the status of the liquidator.</w:t>
      </w:r>
    </w:p>
    <w:p w14:paraId="26184FD0" w14:textId="0CF46F0C" w:rsidR="00BF7E77" w:rsidRDefault="006D48AC" w:rsidP="006D48AC">
      <w:pPr>
        <w:pStyle w:val="ParaNumbering"/>
        <w:numPr>
          <w:ilvl w:val="0"/>
          <w:numId w:val="0"/>
        </w:numPr>
        <w:ind w:hanging="720"/>
      </w:pPr>
      <w:r>
        <w:rPr>
          <w:sz w:val="20"/>
        </w:rPr>
        <w:t>3</w:t>
      </w:r>
      <w:r>
        <w:rPr>
          <w:sz w:val="20"/>
        </w:rPr>
        <w:tab/>
      </w:r>
      <w:r w:rsidR="00723D8E">
        <w:t xml:space="preserve">In </w:t>
      </w:r>
      <w:r w:rsidR="00CB6352" w:rsidRPr="00BF7E77">
        <w:rPr>
          <w:i/>
        </w:rPr>
        <w:t>Lloyds Curry</w:t>
      </w:r>
      <w:r w:rsidR="00BF7E77">
        <w:t xml:space="preserve">, I dismissed the applicants’ amended interlocutory application seeking to extend freezing orders made against the first respondent, Kaushik. In </w:t>
      </w:r>
      <w:r w:rsidR="001F27AF" w:rsidRPr="00BF7E77">
        <w:rPr>
          <w:i/>
        </w:rPr>
        <w:t xml:space="preserve">Lloyds Curry </w:t>
      </w:r>
      <w:r w:rsidR="001F27AF">
        <w:rPr>
          <w:i/>
        </w:rPr>
        <w:t>(No 2)</w:t>
      </w:r>
      <w:r w:rsidR="00BF7E77">
        <w:t xml:space="preserve">, I granted the applicants’ application to adduce further evidence in respect of the </w:t>
      </w:r>
      <w:r w:rsidR="0048756D">
        <w:t xml:space="preserve">liquidator’s </w:t>
      </w:r>
      <w:r w:rsidR="00BF7E77">
        <w:t>application</w:t>
      </w:r>
      <w:r w:rsidR="003E288D">
        <w:t>s</w:t>
      </w:r>
      <w:r w:rsidR="00BF7E77">
        <w:t xml:space="preserve"> to</w:t>
      </w:r>
      <w:r w:rsidR="00272F74">
        <w:t>:</w:t>
      </w:r>
      <w:r w:rsidR="00BF7E77">
        <w:t xml:space="preserve"> </w:t>
      </w:r>
      <w:r w:rsidR="003E288D">
        <w:t xml:space="preserve">(1) </w:t>
      </w:r>
      <w:r w:rsidR="00BF7E77">
        <w:t xml:space="preserve">extend freezing orders </w:t>
      </w:r>
      <w:r w:rsidR="004F755A">
        <w:t>against the second to sixth respondents</w:t>
      </w:r>
      <w:r w:rsidR="00006E5B">
        <w:t xml:space="preserve">, Accolade, </w:t>
      </w:r>
      <w:r w:rsidR="00006E5B">
        <w:lastRenderedPageBreak/>
        <w:t>Sam, Reliance, David and Carmelo respectively</w:t>
      </w:r>
      <w:r w:rsidR="00272F74">
        <w:t>;</w:t>
      </w:r>
      <w:r w:rsidR="004F755A">
        <w:t xml:space="preserve"> </w:t>
      </w:r>
      <w:r w:rsidR="00BF7E77">
        <w:t xml:space="preserve">and </w:t>
      </w:r>
      <w:r w:rsidR="003E288D">
        <w:t>(2) compel</w:t>
      </w:r>
      <w:r w:rsidR="00BF7E77">
        <w:t xml:space="preserve"> further asset disclosure </w:t>
      </w:r>
      <w:r w:rsidR="00CA650A">
        <w:t xml:space="preserve">by the third and fifth respondents, </w:t>
      </w:r>
      <w:r w:rsidR="00186BBB">
        <w:t>Sam and David respectively</w:t>
      </w:r>
      <w:r w:rsidR="00BF7E77">
        <w:t xml:space="preserve">. </w:t>
      </w:r>
    </w:p>
    <w:p w14:paraId="55B2D80A" w14:textId="2AE0CBBA" w:rsidR="00F54482" w:rsidRDefault="006D48AC" w:rsidP="006D48AC">
      <w:pPr>
        <w:pStyle w:val="ParaNumbering"/>
        <w:numPr>
          <w:ilvl w:val="0"/>
          <w:numId w:val="0"/>
        </w:numPr>
        <w:ind w:hanging="720"/>
      </w:pPr>
      <w:r>
        <w:rPr>
          <w:sz w:val="20"/>
        </w:rPr>
        <w:t>4</w:t>
      </w:r>
      <w:r>
        <w:rPr>
          <w:sz w:val="20"/>
        </w:rPr>
        <w:tab/>
      </w:r>
      <w:r w:rsidR="00F54482">
        <w:t>I will address each application in turn.</w:t>
      </w:r>
    </w:p>
    <w:p w14:paraId="47C89210" w14:textId="14B2FED2" w:rsidR="00A1693C" w:rsidRDefault="006D48AC" w:rsidP="00BA6F0D">
      <w:pPr>
        <w:pStyle w:val="Heading1"/>
      </w:pPr>
      <w:r w:rsidRPr="006E150E">
        <w:rPr>
          <w:caps w:val="0"/>
        </w:rPr>
        <w:t>AMEND</w:t>
      </w:r>
      <w:r>
        <w:rPr>
          <w:caps w:val="0"/>
        </w:rPr>
        <w:t>MENT</w:t>
      </w:r>
      <w:r w:rsidRPr="006E150E">
        <w:rPr>
          <w:caps w:val="0"/>
        </w:rPr>
        <w:t xml:space="preserve"> APPLICATION</w:t>
      </w:r>
    </w:p>
    <w:p w14:paraId="5BA58292" w14:textId="509102DA" w:rsidR="000421FE" w:rsidRDefault="007403D1" w:rsidP="00105E4B">
      <w:pPr>
        <w:pStyle w:val="Heading2"/>
      </w:pPr>
      <w:r>
        <w:t>Introduction</w:t>
      </w:r>
    </w:p>
    <w:p w14:paraId="7BD8D8CC" w14:textId="1C8B6650" w:rsidR="00C0690D" w:rsidRDefault="006D48AC" w:rsidP="006D48AC">
      <w:pPr>
        <w:pStyle w:val="ParaNumbering"/>
        <w:numPr>
          <w:ilvl w:val="0"/>
          <w:numId w:val="0"/>
        </w:numPr>
        <w:ind w:hanging="720"/>
      </w:pPr>
      <w:r>
        <w:rPr>
          <w:sz w:val="20"/>
        </w:rPr>
        <w:t>5</w:t>
      </w:r>
      <w:r>
        <w:rPr>
          <w:sz w:val="20"/>
        </w:rPr>
        <w:tab/>
      </w:r>
      <w:r w:rsidR="00C0690D">
        <w:t>The statement of claim (</w:t>
      </w:r>
      <w:r w:rsidR="00C0690D">
        <w:rPr>
          <w:b/>
          <w:bCs/>
        </w:rPr>
        <w:t>SOC</w:t>
      </w:r>
      <w:r w:rsidR="00C0690D">
        <w:t xml:space="preserve">) was filed </w:t>
      </w:r>
      <w:r w:rsidR="004C40FE">
        <w:t>in September 2021</w:t>
      </w:r>
      <w:r w:rsidR="00C0690D">
        <w:t>.</w:t>
      </w:r>
      <w:r w:rsidR="00D44DB3">
        <w:t xml:space="preserve"> The respondents filed the</w:t>
      </w:r>
      <w:r w:rsidR="00776735">
        <w:t xml:space="preserve">ir respective </w:t>
      </w:r>
      <w:r w:rsidR="00D44DB3">
        <w:t>defences in October 2021.</w:t>
      </w:r>
    </w:p>
    <w:p w14:paraId="4EE3F3F7" w14:textId="308940E5" w:rsidR="004F33BD" w:rsidRDefault="006D48AC" w:rsidP="006D48AC">
      <w:pPr>
        <w:pStyle w:val="ParaNumbering"/>
        <w:numPr>
          <w:ilvl w:val="0"/>
          <w:numId w:val="0"/>
        </w:numPr>
        <w:ind w:hanging="720"/>
      </w:pPr>
      <w:r>
        <w:rPr>
          <w:sz w:val="20"/>
        </w:rPr>
        <w:t>6</w:t>
      </w:r>
      <w:r>
        <w:rPr>
          <w:sz w:val="20"/>
        </w:rPr>
        <w:tab/>
      </w:r>
      <w:r w:rsidR="006E150E">
        <w:t xml:space="preserve">By amended interlocutory application, the applicants seek leave </w:t>
      </w:r>
      <w:r w:rsidR="0021096B">
        <w:t>pursuant to r</w:t>
      </w:r>
      <w:r w:rsidR="00513270">
        <w:t> </w:t>
      </w:r>
      <w:r w:rsidR="0021096B">
        <w:t xml:space="preserve">16.53 of the </w:t>
      </w:r>
      <w:r w:rsidR="001C4956" w:rsidRPr="0021096B">
        <w:rPr>
          <w:i/>
        </w:rPr>
        <w:t xml:space="preserve">Federal Court </w:t>
      </w:r>
      <w:r w:rsidR="001C4956" w:rsidRPr="0021096B">
        <w:rPr>
          <w:b/>
          <w:i/>
        </w:rPr>
        <w:t>Rules</w:t>
      </w:r>
      <w:r w:rsidR="001C4956" w:rsidRPr="0021096B">
        <w:rPr>
          <w:i/>
        </w:rPr>
        <w:t xml:space="preserve"> 2011 </w:t>
      </w:r>
      <w:r w:rsidR="001C4956">
        <w:t xml:space="preserve">(Cth) </w:t>
      </w:r>
      <w:r w:rsidR="006E150E">
        <w:t>to file and serve a</w:t>
      </w:r>
      <w:r w:rsidR="00A1001D">
        <w:t>n</w:t>
      </w:r>
      <w:r w:rsidR="006E150E">
        <w:t xml:space="preserve"> amended statement of claim in the form of annexure GD-37 to the affidavit of George </w:t>
      </w:r>
      <w:r w:rsidR="00A21414">
        <w:t>Doueihi</w:t>
      </w:r>
      <w:r w:rsidR="003D37EC">
        <w:t>, solicitor,</w:t>
      </w:r>
      <w:r w:rsidR="006E150E">
        <w:t xml:space="preserve"> sworn 17</w:t>
      </w:r>
      <w:r w:rsidR="000F2E3B">
        <w:t> </w:t>
      </w:r>
      <w:r w:rsidR="006E150E">
        <w:t>April 2022</w:t>
      </w:r>
      <w:r w:rsidR="00B5093E">
        <w:t xml:space="preserve"> (</w:t>
      </w:r>
      <w:r w:rsidR="00B5093E">
        <w:rPr>
          <w:b/>
          <w:bCs/>
        </w:rPr>
        <w:t>DASOC)</w:t>
      </w:r>
      <w:r w:rsidR="006E150E">
        <w:t xml:space="preserve">. </w:t>
      </w:r>
      <w:r w:rsidR="00780B3F">
        <w:t>On the first occasion on which the amendment application was listed for hearing</w:t>
      </w:r>
      <w:r w:rsidR="00D32139">
        <w:t>, the applicants sought to adjourn the application because following the exchange of written submissions</w:t>
      </w:r>
      <w:r w:rsidR="009110ED">
        <w:t>, on the weekend</w:t>
      </w:r>
      <w:r w:rsidR="00236BFC">
        <w:t>, which was also a public hol</w:t>
      </w:r>
      <w:r w:rsidR="00CB6D8B">
        <w:t xml:space="preserve">iday, </w:t>
      </w:r>
      <w:r w:rsidR="009110ED">
        <w:t>before the first hearing, they served a</w:t>
      </w:r>
      <w:r w:rsidR="00CA6CD9">
        <w:t xml:space="preserve">nother iteration of the proposed </w:t>
      </w:r>
      <w:r w:rsidR="0093416B">
        <w:t>DASOC</w:t>
      </w:r>
      <w:r w:rsidR="00CA6CD9">
        <w:t>, together with f</w:t>
      </w:r>
      <w:r w:rsidR="00236BFC">
        <w:t xml:space="preserve">urther written submissions. </w:t>
      </w:r>
      <w:r w:rsidR="0093416B">
        <w:t xml:space="preserve">On </w:t>
      </w:r>
      <w:r w:rsidR="001C4956">
        <w:t>the</w:t>
      </w:r>
      <w:r w:rsidR="001C4956" w:rsidDel="000527D9">
        <w:t xml:space="preserve"> </w:t>
      </w:r>
      <w:r w:rsidR="000527D9">
        <w:t xml:space="preserve">second occasion on which the amendment application was listed for </w:t>
      </w:r>
      <w:r w:rsidR="001C4956">
        <w:t>hearing</w:t>
      </w:r>
      <w:r w:rsidR="00707627">
        <w:t xml:space="preserve">, </w:t>
      </w:r>
      <w:r w:rsidR="004B7738">
        <w:t xml:space="preserve">after </w:t>
      </w:r>
      <w:r w:rsidR="003D6CEA">
        <w:t>lengthy argument in which the necessity to further amend the then iteration of the DASOC</w:t>
      </w:r>
      <w:r w:rsidR="00D51D65">
        <w:t xml:space="preserve"> was accepted</w:t>
      </w:r>
      <w:r w:rsidR="0093416B">
        <w:t xml:space="preserve"> by the applicants</w:t>
      </w:r>
      <w:r w:rsidR="00D51D65">
        <w:t xml:space="preserve">, </w:t>
      </w:r>
      <w:r w:rsidR="000A39F4">
        <w:t>I adjourned the</w:t>
      </w:r>
      <w:r w:rsidR="00931318">
        <w:t xml:space="preserve"> application to enable</w:t>
      </w:r>
      <w:r w:rsidR="006E150E">
        <w:t xml:space="preserve"> the applicants to deliver a </w:t>
      </w:r>
      <w:r w:rsidR="003A5AAB">
        <w:t xml:space="preserve">further </w:t>
      </w:r>
      <w:r w:rsidR="006E150E">
        <w:t xml:space="preserve">revised draft </w:t>
      </w:r>
      <w:r w:rsidR="000B2DB8">
        <w:t xml:space="preserve">of the </w:t>
      </w:r>
      <w:r w:rsidR="004614B0">
        <w:t>amended statement of claim</w:t>
      </w:r>
      <w:r w:rsidR="003762DC">
        <w:t xml:space="preserve"> to the respondents</w:t>
      </w:r>
      <w:r w:rsidR="000B2DB8">
        <w:t xml:space="preserve">. </w:t>
      </w:r>
      <w:r w:rsidR="004614B0">
        <w:t xml:space="preserve">I will refer to this version of the pleading as the </w:t>
      </w:r>
      <w:r w:rsidR="004614B0" w:rsidRPr="004614B0">
        <w:rPr>
          <w:b/>
          <w:bCs/>
        </w:rPr>
        <w:t>R</w:t>
      </w:r>
      <w:r w:rsidR="00184380">
        <w:rPr>
          <w:b/>
          <w:bCs/>
        </w:rPr>
        <w:t>D</w:t>
      </w:r>
      <w:r w:rsidR="004614B0" w:rsidRPr="004614B0">
        <w:rPr>
          <w:b/>
          <w:bCs/>
        </w:rPr>
        <w:t>ASOC</w:t>
      </w:r>
      <w:r w:rsidR="004614B0" w:rsidRPr="005332BD">
        <w:t>.</w:t>
      </w:r>
      <w:r w:rsidR="004614B0">
        <w:t xml:space="preserve"> </w:t>
      </w:r>
    </w:p>
    <w:p w14:paraId="65765595" w14:textId="63DD0157" w:rsidR="006642F7" w:rsidRDefault="006D48AC" w:rsidP="006D48AC">
      <w:pPr>
        <w:pStyle w:val="ParaNumbering"/>
        <w:numPr>
          <w:ilvl w:val="0"/>
          <w:numId w:val="0"/>
        </w:numPr>
        <w:ind w:hanging="720"/>
      </w:pPr>
      <w:r>
        <w:rPr>
          <w:sz w:val="20"/>
        </w:rPr>
        <w:t>7</w:t>
      </w:r>
      <w:r>
        <w:rPr>
          <w:sz w:val="20"/>
        </w:rPr>
        <w:tab/>
      </w:r>
      <w:r w:rsidR="006642F7">
        <w:t>Following circulation of the R</w:t>
      </w:r>
      <w:r w:rsidR="00CE1F35">
        <w:t>D</w:t>
      </w:r>
      <w:r w:rsidR="006642F7">
        <w:t xml:space="preserve">ASOC, the area of dispute </w:t>
      </w:r>
      <w:r w:rsidR="00823E9E">
        <w:t>in relation to the proposed amendments</w:t>
      </w:r>
      <w:r w:rsidR="006642F7">
        <w:t xml:space="preserve"> narrowed somewhat. </w:t>
      </w:r>
      <w:r w:rsidR="00B13AA8">
        <w:t>On</w:t>
      </w:r>
      <w:r w:rsidR="004F33BD">
        <w:t xml:space="preserve"> the </w:t>
      </w:r>
      <w:r w:rsidR="00B13AA8">
        <w:t>amendment</w:t>
      </w:r>
      <w:r w:rsidR="004F33BD">
        <w:t xml:space="preserve"> application</w:t>
      </w:r>
      <w:r w:rsidR="00B13AA8">
        <w:t>,</w:t>
      </w:r>
      <w:r w:rsidR="004D7485">
        <w:t xml:space="preserve"> the </w:t>
      </w:r>
      <w:r w:rsidR="006642F7">
        <w:t xml:space="preserve">active </w:t>
      </w:r>
      <w:r w:rsidR="004D7485">
        <w:t xml:space="preserve">respondents aligned amongst themselves as follows: </w:t>
      </w:r>
      <w:r w:rsidR="008220AC">
        <w:t>(1) </w:t>
      </w:r>
      <w:r w:rsidR="00007683">
        <w:t xml:space="preserve">Kaushik; </w:t>
      </w:r>
      <w:r w:rsidR="005E7AFE">
        <w:t xml:space="preserve">and </w:t>
      </w:r>
      <w:r w:rsidR="00007683">
        <w:t xml:space="preserve">(2) </w:t>
      </w:r>
      <w:r w:rsidR="008220AC">
        <w:t xml:space="preserve">Accolade, Reliance and Carmelo (the </w:t>
      </w:r>
      <w:r w:rsidR="008220AC" w:rsidRPr="00E51603">
        <w:rPr>
          <w:b/>
          <w:bCs/>
        </w:rPr>
        <w:t xml:space="preserve">Accolade </w:t>
      </w:r>
      <w:r w:rsidR="00E51603" w:rsidRPr="00E51603">
        <w:rPr>
          <w:b/>
          <w:bCs/>
        </w:rPr>
        <w:t>Parties</w:t>
      </w:r>
      <w:r w:rsidR="005E7AFE">
        <w:t>)</w:t>
      </w:r>
      <w:r w:rsidR="00EF62ED">
        <w:t xml:space="preserve">. </w:t>
      </w:r>
      <w:r w:rsidR="006642F7">
        <w:t xml:space="preserve">The </w:t>
      </w:r>
      <w:r w:rsidR="0031220B">
        <w:t>Court has not been informed of any</w:t>
      </w:r>
      <w:r w:rsidR="00103AD4">
        <w:t xml:space="preserve"> opposition by</w:t>
      </w:r>
      <w:r w:rsidR="006642F7">
        <w:t xml:space="preserve"> Sam and David</w:t>
      </w:r>
      <w:r w:rsidR="00103AD4">
        <w:t xml:space="preserve"> to leave being granted to file the R</w:t>
      </w:r>
      <w:r w:rsidR="00007C76">
        <w:t>D</w:t>
      </w:r>
      <w:r w:rsidR="00103AD4">
        <w:t>ASOC</w:t>
      </w:r>
      <w:r w:rsidR="006642F7">
        <w:t>.</w:t>
      </w:r>
    </w:p>
    <w:p w14:paraId="359456EA" w14:textId="64A688DA" w:rsidR="008F4FEB" w:rsidRDefault="006D48AC" w:rsidP="006D48AC">
      <w:pPr>
        <w:pStyle w:val="ParaNumbering"/>
        <w:keepNext/>
        <w:keepLines/>
        <w:numPr>
          <w:ilvl w:val="0"/>
          <w:numId w:val="0"/>
        </w:numPr>
        <w:ind w:hanging="720"/>
      </w:pPr>
      <w:r>
        <w:rPr>
          <w:sz w:val="20"/>
        </w:rPr>
        <w:lastRenderedPageBreak/>
        <w:t>8</w:t>
      </w:r>
      <w:r>
        <w:rPr>
          <w:sz w:val="20"/>
        </w:rPr>
        <w:tab/>
      </w:r>
      <w:r w:rsidR="00B13AA8">
        <w:t>A paralegal on behalf of the</w:t>
      </w:r>
      <w:r w:rsidR="004A76AA">
        <w:t xml:space="preserve"> </w:t>
      </w:r>
      <w:r w:rsidR="005B1276">
        <w:t>applicant</w:t>
      </w:r>
      <w:r w:rsidR="00C000AE">
        <w:t xml:space="preserve">s’ solicitors informed the Court in an email </w:t>
      </w:r>
      <w:r w:rsidR="00BA609F">
        <w:t>copied to all parties’ legal advisers that t</w:t>
      </w:r>
      <w:r w:rsidR="006642F7">
        <w:t>he paragraphs in respect of which leave is opposed</w:t>
      </w:r>
      <w:r w:rsidR="001C2A35">
        <w:t xml:space="preserve"> (using the paragraph numbering in the R</w:t>
      </w:r>
      <w:r w:rsidR="00986A36">
        <w:t>D</w:t>
      </w:r>
      <w:r w:rsidR="001C2A35">
        <w:t>ASOC</w:t>
      </w:r>
      <w:r w:rsidR="00CE2E94">
        <w:t>)</w:t>
      </w:r>
      <w:r w:rsidR="006642F7">
        <w:t xml:space="preserve"> are now as follows: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80"/>
        <w:gridCol w:w="6946"/>
      </w:tblGrid>
      <w:tr w:rsidR="000D6FB5" w:rsidRPr="00D5383A" w14:paraId="58FBEC60" w14:textId="77777777" w:rsidTr="00A33D3E">
        <w:tc>
          <w:tcPr>
            <w:tcW w:w="1980" w:type="dxa"/>
          </w:tcPr>
          <w:p w14:paraId="11D6544B" w14:textId="4487FB39" w:rsidR="000D6FB5" w:rsidRPr="00DB0FAB" w:rsidRDefault="00E33E86" w:rsidP="00D7291A">
            <w:pPr>
              <w:pStyle w:val="Small-TableswithinQuotes"/>
              <w:keepNext/>
              <w:keepLines/>
              <w:widowControl/>
              <w:rPr>
                <w:b/>
                <w:bCs/>
              </w:rPr>
            </w:pPr>
            <w:r w:rsidRPr="00DB0FAB">
              <w:rPr>
                <w:b/>
                <w:bCs/>
              </w:rPr>
              <w:t xml:space="preserve">Leave to </w:t>
            </w:r>
            <w:r w:rsidR="00B137E9" w:rsidRPr="00DB0FAB">
              <w:rPr>
                <w:b/>
                <w:bCs/>
              </w:rPr>
              <w:t>Amen</w:t>
            </w:r>
            <w:r w:rsidRPr="00DB0FAB">
              <w:rPr>
                <w:b/>
                <w:bCs/>
              </w:rPr>
              <w:t>d</w:t>
            </w:r>
            <w:r w:rsidR="00B137E9" w:rsidRPr="00DB0FAB">
              <w:rPr>
                <w:b/>
                <w:bCs/>
              </w:rPr>
              <w:t xml:space="preserve"> opposed by</w:t>
            </w:r>
            <w:r w:rsidRPr="00DB0FAB">
              <w:rPr>
                <w:b/>
                <w:bCs/>
              </w:rPr>
              <w:t>:</w:t>
            </w:r>
            <w:r w:rsidR="00B137E9" w:rsidRPr="00DB0FAB">
              <w:rPr>
                <w:b/>
                <w:bCs/>
              </w:rPr>
              <w:t xml:space="preserve"> </w:t>
            </w:r>
          </w:p>
        </w:tc>
        <w:tc>
          <w:tcPr>
            <w:tcW w:w="6946" w:type="dxa"/>
          </w:tcPr>
          <w:p w14:paraId="693CB516" w14:textId="12EF3436" w:rsidR="000D6FB5" w:rsidRPr="00DB0FAB" w:rsidRDefault="00B137E9" w:rsidP="00D7291A">
            <w:pPr>
              <w:pStyle w:val="Small-TableswithinQuotes"/>
              <w:keepNext/>
              <w:keepLines/>
              <w:widowControl/>
              <w:rPr>
                <w:b/>
                <w:bCs/>
              </w:rPr>
            </w:pPr>
            <w:r w:rsidRPr="00DB0FAB">
              <w:rPr>
                <w:b/>
                <w:bCs/>
              </w:rPr>
              <w:t>R</w:t>
            </w:r>
            <w:r w:rsidR="00D85484" w:rsidRPr="00DB0FAB">
              <w:rPr>
                <w:b/>
                <w:bCs/>
              </w:rPr>
              <w:t>D</w:t>
            </w:r>
            <w:r w:rsidRPr="00DB0FAB">
              <w:rPr>
                <w:b/>
                <w:bCs/>
              </w:rPr>
              <w:t>ASOC Para No.</w:t>
            </w:r>
          </w:p>
        </w:tc>
      </w:tr>
      <w:tr w:rsidR="000D6FB5" w14:paraId="4779B70C" w14:textId="77777777" w:rsidTr="00A33D3E">
        <w:tc>
          <w:tcPr>
            <w:tcW w:w="1980" w:type="dxa"/>
          </w:tcPr>
          <w:p w14:paraId="53A8017B" w14:textId="13EF6486" w:rsidR="000D6FB5" w:rsidRDefault="00B137E9" w:rsidP="00D7291A">
            <w:pPr>
              <w:pStyle w:val="Small-TableswithinQuotes"/>
              <w:keepNext/>
              <w:keepLines/>
              <w:widowControl/>
            </w:pPr>
            <w:r>
              <w:t>The Acc</w:t>
            </w:r>
            <w:r w:rsidR="005E7AFE">
              <w:t>olade Parties</w:t>
            </w:r>
          </w:p>
        </w:tc>
        <w:tc>
          <w:tcPr>
            <w:tcW w:w="6946" w:type="dxa"/>
          </w:tcPr>
          <w:p w14:paraId="6CA9AF41" w14:textId="06D083BA" w:rsidR="000D6FB5" w:rsidRDefault="00B137E9" w:rsidP="00D7291A">
            <w:pPr>
              <w:pStyle w:val="Small-TableswithinQuotes"/>
              <w:keepNext/>
              <w:keepLines/>
              <w:widowControl/>
            </w:pPr>
            <w:r w:rsidRPr="00B93161">
              <w:t>62A, 62B, 70A-70C, 73B, 74A, 76A, 93A, 93B, 94, 94A-C, 96A, 96B, 97, 97A-C, 99, 100A-C, 102A (b), 102A (d), 102B, 102C, 102D-</w:t>
            </w:r>
            <w:r w:rsidR="005E7AFE">
              <w:t>E</w:t>
            </w:r>
          </w:p>
          <w:p w14:paraId="110D54C5" w14:textId="7F513819" w:rsidR="00ED669B" w:rsidRDefault="00ED669B" w:rsidP="00D7291A">
            <w:pPr>
              <w:pStyle w:val="Small-TableswithinQuotes"/>
              <w:keepNext/>
              <w:keepLines/>
              <w:widowControl/>
            </w:pPr>
          </w:p>
        </w:tc>
      </w:tr>
      <w:tr w:rsidR="000D6FB5" w14:paraId="1263C429" w14:textId="77777777" w:rsidTr="00A33D3E">
        <w:tc>
          <w:tcPr>
            <w:tcW w:w="1980" w:type="dxa"/>
          </w:tcPr>
          <w:p w14:paraId="23702B04" w14:textId="1DD289DA" w:rsidR="000D6FB5" w:rsidRDefault="005E7AFE" w:rsidP="00D7291A">
            <w:pPr>
              <w:pStyle w:val="Small-TableswithinQuotes"/>
              <w:keepNext/>
              <w:keepLines/>
              <w:widowControl/>
            </w:pPr>
            <w:r>
              <w:t>Kaushik</w:t>
            </w:r>
          </w:p>
        </w:tc>
        <w:tc>
          <w:tcPr>
            <w:tcW w:w="6946" w:type="dxa"/>
          </w:tcPr>
          <w:p w14:paraId="23767499" w14:textId="1CA0D93B" w:rsidR="000D6FB5" w:rsidRDefault="00E34812" w:rsidP="00D7291A">
            <w:pPr>
              <w:pStyle w:val="Small-TableswithinQuotes"/>
              <w:keepNext/>
              <w:keepLines/>
              <w:widowControl/>
            </w:pPr>
            <w:r>
              <w:t xml:space="preserve">Amended particulars to </w:t>
            </w:r>
            <w:r w:rsidR="005E7AFE">
              <w:t>100</w:t>
            </w:r>
          </w:p>
        </w:tc>
      </w:tr>
    </w:tbl>
    <w:p w14:paraId="1DE7175C" w14:textId="190EB79C" w:rsidR="00D51D65" w:rsidRDefault="006D48AC" w:rsidP="006D48AC">
      <w:pPr>
        <w:pStyle w:val="ParaNumbering"/>
        <w:numPr>
          <w:ilvl w:val="0"/>
          <w:numId w:val="0"/>
        </w:numPr>
        <w:ind w:hanging="720"/>
      </w:pPr>
      <w:r>
        <w:rPr>
          <w:sz w:val="20"/>
        </w:rPr>
        <w:t>9</w:t>
      </w:r>
      <w:r>
        <w:rPr>
          <w:sz w:val="20"/>
        </w:rPr>
        <w:tab/>
      </w:r>
      <w:r w:rsidR="00D51D65">
        <w:t xml:space="preserve">The parties did not seek to make further submissions in relation to the remaining </w:t>
      </w:r>
      <w:r w:rsidR="00EA1697">
        <w:t>paragraphs in</w:t>
      </w:r>
      <w:r w:rsidR="00D51D65">
        <w:t xml:space="preserve"> dispute</w:t>
      </w:r>
      <w:r w:rsidR="008253FE">
        <w:t xml:space="preserve">, which </w:t>
      </w:r>
      <w:r w:rsidR="00293CDE">
        <w:t xml:space="preserve">are </w:t>
      </w:r>
      <w:r w:rsidR="008253FE">
        <w:t xml:space="preserve">substantially </w:t>
      </w:r>
      <w:r w:rsidR="00293CDE">
        <w:t>in</w:t>
      </w:r>
      <w:r w:rsidR="008253FE">
        <w:t xml:space="preserve"> the </w:t>
      </w:r>
      <w:r w:rsidR="000035FD">
        <w:t xml:space="preserve">form in which the disputed paragraphs were </w:t>
      </w:r>
      <w:r w:rsidR="00293CDE">
        <w:t>at</w:t>
      </w:r>
      <w:r w:rsidR="0002076E">
        <w:t xml:space="preserve"> the </w:t>
      </w:r>
      <w:r w:rsidR="00293CDE">
        <w:t>time of</w:t>
      </w:r>
      <w:r w:rsidR="0002076E">
        <w:t xml:space="preserve"> the </w:t>
      </w:r>
      <w:r w:rsidR="00293CDE">
        <w:t>argument</w:t>
      </w:r>
      <w:r w:rsidR="001B20AF">
        <w:t>.</w:t>
      </w:r>
      <w:r w:rsidR="00611330">
        <w:t xml:space="preserve"> </w:t>
      </w:r>
    </w:p>
    <w:p w14:paraId="1F39FE15" w14:textId="577AD26A" w:rsidR="00B36606" w:rsidRDefault="00B36606" w:rsidP="00F41A79">
      <w:pPr>
        <w:pStyle w:val="Heading2"/>
      </w:pPr>
      <w:r>
        <w:t>Evidence</w:t>
      </w:r>
    </w:p>
    <w:p w14:paraId="0D23758B" w14:textId="1897F7EB" w:rsidR="00B36606" w:rsidRDefault="006D48AC" w:rsidP="006D48AC">
      <w:pPr>
        <w:pStyle w:val="ParaNumbering"/>
        <w:numPr>
          <w:ilvl w:val="0"/>
          <w:numId w:val="0"/>
        </w:numPr>
        <w:ind w:hanging="720"/>
      </w:pPr>
      <w:r>
        <w:rPr>
          <w:sz w:val="20"/>
        </w:rPr>
        <w:t>10</w:t>
      </w:r>
      <w:r>
        <w:rPr>
          <w:sz w:val="20"/>
        </w:rPr>
        <w:tab/>
      </w:r>
      <w:r w:rsidR="009317D3">
        <w:t>In support of the</w:t>
      </w:r>
      <w:r w:rsidR="006E2C55">
        <w:t>ir</w:t>
      </w:r>
      <w:r w:rsidR="009317D3">
        <w:t xml:space="preserve"> </w:t>
      </w:r>
      <w:r w:rsidR="00C8532D">
        <w:t>a</w:t>
      </w:r>
      <w:r w:rsidR="009317D3">
        <w:t>mend</w:t>
      </w:r>
      <w:r w:rsidR="006E2C55">
        <w:t>ment</w:t>
      </w:r>
      <w:r w:rsidR="009317D3">
        <w:t xml:space="preserve"> </w:t>
      </w:r>
      <w:r w:rsidR="00C8532D">
        <w:t>a</w:t>
      </w:r>
      <w:r w:rsidR="009317D3">
        <w:t xml:space="preserve">pplication, the applicants rely on three affidavits of </w:t>
      </w:r>
      <w:r w:rsidR="003D37EC">
        <w:t>Mr</w:t>
      </w:r>
      <w:r w:rsidR="000C2CE3">
        <w:t> </w:t>
      </w:r>
      <w:r w:rsidR="00F24A32">
        <w:t>Doueihi</w:t>
      </w:r>
      <w:r w:rsidR="009317D3">
        <w:t xml:space="preserve"> and an affidavit of </w:t>
      </w:r>
      <w:r w:rsidR="003D37EC">
        <w:t xml:space="preserve">the </w:t>
      </w:r>
      <w:r w:rsidR="00975752">
        <w:t>liquidator.</w:t>
      </w:r>
      <w:r w:rsidR="009317D3">
        <w:t xml:space="preserve"> </w:t>
      </w:r>
      <w:r w:rsidR="00975752">
        <w:t>Kaushik</w:t>
      </w:r>
      <w:r w:rsidR="009317D3">
        <w:t xml:space="preserve"> relies on two affidavits of Adrian Robins, solicitor. Accolade relies on an affidavit of </w:t>
      </w:r>
      <w:r w:rsidR="00771D45">
        <w:t>Carmelo</w:t>
      </w:r>
      <w:r w:rsidR="009317D3">
        <w:t>.</w:t>
      </w:r>
    </w:p>
    <w:p w14:paraId="370AEA9B" w14:textId="58DC8219" w:rsidR="009317D3" w:rsidRDefault="009317D3" w:rsidP="00F41A79">
      <w:pPr>
        <w:pStyle w:val="Heading2"/>
      </w:pPr>
      <w:r>
        <w:t>Legal Principles</w:t>
      </w:r>
    </w:p>
    <w:p w14:paraId="4266030E" w14:textId="5D7CD22D" w:rsidR="000660B1" w:rsidRDefault="006D48AC" w:rsidP="006D48AC">
      <w:pPr>
        <w:pStyle w:val="ParaNumbering"/>
        <w:numPr>
          <w:ilvl w:val="0"/>
          <w:numId w:val="0"/>
        </w:numPr>
        <w:ind w:hanging="720"/>
      </w:pPr>
      <w:r>
        <w:rPr>
          <w:sz w:val="20"/>
        </w:rPr>
        <w:t>11</w:t>
      </w:r>
      <w:r>
        <w:rPr>
          <w:sz w:val="20"/>
        </w:rPr>
        <w:tab/>
      </w:r>
      <w:r w:rsidR="000660B1">
        <w:t xml:space="preserve">The principles in relation to the grant of leave to amend are well established and may be stated shortly. </w:t>
      </w:r>
      <w:r w:rsidR="00577CA8">
        <w:t>Pursuant to r</w:t>
      </w:r>
      <w:r w:rsidR="00481D3A">
        <w:t>ule 16.53</w:t>
      </w:r>
      <w:r w:rsidR="00214DB4">
        <w:t>,</w:t>
      </w:r>
      <w:r w:rsidR="00481D3A">
        <w:t xml:space="preserve"> </w:t>
      </w:r>
      <w:r w:rsidR="00577CA8">
        <w:t>l</w:t>
      </w:r>
      <w:r w:rsidR="00481D3A">
        <w:t xml:space="preserve">eave to amend pleadings may be granted as a matter of discretion. The </w:t>
      </w:r>
      <w:r w:rsidR="00577CA8">
        <w:t>applicant</w:t>
      </w:r>
      <w:r w:rsidR="00577CA8" w:rsidDel="00CC47CC">
        <w:t xml:space="preserve"> </w:t>
      </w:r>
      <w:r w:rsidR="00CC47CC">
        <w:t xml:space="preserve">seeking </w:t>
      </w:r>
      <w:r w:rsidR="00577CA8">
        <w:t xml:space="preserve">leave bears the </w:t>
      </w:r>
      <w:r w:rsidR="00481D3A">
        <w:t xml:space="preserve">onus </w:t>
      </w:r>
      <w:r w:rsidR="000660B1">
        <w:t>of</w:t>
      </w:r>
      <w:r w:rsidR="00481D3A">
        <w:t xml:space="preserve"> persuad</w:t>
      </w:r>
      <w:r w:rsidR="000660B1">
        <w:t>ing</w:t>
      </w:r>
      <w:r w:rsidR="00481D3A">
        <w:t xml:space="preserve"> the court that leave should be granted: </w:t>
      </w:r>
      <w:r w:rsidR="00481D3A">
        <w:rPr>
          <w:i/>
        </w:rPr>
        <w:t xml:space="preserve">Dye v Commonwealth Securities Limited (No 2) </w:t>
      </w:r>
      <w:r w:rsidR="00481D3A">
        <w:t>[2010] FCAFC 118</w:t>
      </w:r>
      <w:r w:rsidR="0471E197">
        <w:t>; 63 AILR 101-103</w:t>
      </w:r>
      <w:r w:rsidR="00481D3A">
        <w:t xml:space="preserve"> at [17]</w:t>
      </w:r>
      <w:r w:rsidR="5BC1A9BB">
        <w:t xml:space="preserve"> (the Court)</w:t>
      </w:r>
      <w:r w:rsidR="00481D3A">
        <w:t xml:space="preserve">. </w:t>
      </w:r>
    </w:p>
    <w:p w14:paraId="4A1F4605" w14:textId="327F6CC7" w:rsidR="00481D3A" w:rsidRDefault="006D48AC" w:rsidP="006D48AC">
      <w:pPr>
        <w:pStyle w:val="ParaNumbering"/>
        <w:numPr>
          <w:ilvl w:val="0"/>
          <w:numId w:val="0"/>
        </w:numPr>
        <w:ind w:hanging="720"/>
      </w:pPr>
      <w:r>
        <w:rPr>
          <w:sz w:val="20"/>
        </w:rPr>
        <w:t>12</w:t>
      </w:r>
      <w:r>
        <w:rPr>
          <w:sz w:val="20"/>
        </w:rPr>
        <w:tab/>
      </w:r>
      <w:r w:rsidR="00481D3A">
        <w:t xml:space="preserve">The factors to be taken into account in considering an application to amend include the effect of the delay in raising the proposed amendments, wasted costs, and the efficient conduct of legal proceedings: </w:t>
      </w:r>
      <w:r w:rsidR="00481D3A">
        <w:rPr>
          <w:b/>
          <w:i/>
        </w:rPr>
        <w:t xml:space="preserve">Caason </w:t>
      </w:r>
      <w:r w:rsidR="00481D3A" w:rsidRPr="00014BCB">
        <w:rPr>
          <w:bCs/>
          <w:i/>
        </w:rPr>
        <w:t>Investments Pty Ltd v Cao</w:t>
      </w:r>
      <w:r w:rsidR="00481D3A">
        <w:t xml:space="preserve"> [2015] FCAFC 94; 236 FCR 322 at [19]</w:t>
      </w:r>
      <w:r w:rsidR="000249A1">
        <w:t xml:space="preserve"> to </w:t>
      </w:r>
      <w:r w:rsidR="00481D3A">
        <w:t>[21]</w:t>
      </w:r>
      <w:r w:rsidR="6C0BF64F">
        <w:t xml:space="preserve"> (Gilmour and Foster JJ)</w:t>
      </w:r>
      <w:r w:rsidR="00481D3A">
        <w:t xml:space="preserve">; </w:t>
      </w:r>
      <w:r w:rsidR="00481D3A">
        <w:rPr>
          <w:b/>
          <w:i/>
        </w:rPr>
        <w:t>Aon</w:t>
      </w:r>
      <w:r w:rsidR="00481D3A">
        <w:rPr>
          <w:i/>
        </w:rPr>
        <w:t xml:space="preserve"> Risk Services Australia Ltd v Australian National University</w:t>
      </w:r>
      <w:r w:rsidR="00481D3A">
        <w:t xml:space="preserve"> [2009] HCA 27; 239 CLR 175; </w:t>
      </w:r>
      <w:r w:rsidR="00481D3A">
        <w:rPr>
          <w:i/>
        </w:rPr>
        <w:t xml:space="preserve">Tamaya Resources Ltd (in liq) v Deloitte Touche Tohmatsu </w:t>
      </w:r>
      <w:r w:rsidR="00481D3A">
        <w:t xml:space="preserve">[2015] FCA 1098. </w:t>
      </w:r>
    </w:p>
    <w:p w14:paraId="2CCDFB12" w14:textId="084AA3ED" w:rsidR="00481D3A" w:rsidRDefault="006D48AC" w:rsidP="006D48AC">
      <w:pPr>
        <w:pStyle w:val="ParaNumbering"/>
        <w:numPr>
          <w:ilvl w:val="0"/>
          <w:numId w:val="0"/>
        </w:numPr>
        <w:ind w:hanging="720"/>
      </w:pPr>
      <w:r>
        <w:rPr>
          <w:sz w:val="20"/>
        </w:rPr>
        <w:t>13</w:t>
      </w:r>
      <w:r>
        <w:rPr>
          <w:sz w:val="20"/>
        </w:rPr>
        <w:tab/>
      </w:r>
      <w:r w:rsidR="00014BCB">
        <w:t>T</w:t>
      </w:r>
      <w:r w:rsidR="00481D3A">
        <w:t xml:space="preserve">he Court’s power to grant leave to amend is broad and has the remedial objective of ensuring that any defect in the pleadings is cured and that the real questions in the controversy are properly agitated and to avoid a multiplicity of proceedings: </w:t>
      </w:r>
      <w:r w:rsidR="00481D3A">
        <w:rPr>
          <w:i/>
        </w:rPr>
        <w:t xml:space="preserve">Aon </w:t>
      </w:r>
      <w:r w:rsidR="00481D3A">
        <w:t>at [14]</w:t>
      </w:r>
      <w:r w:rsidR="00672703">
        <w:t>;</w:t>
      </w:r>
      <w:r w:rsidR="00481D3A">
        <w:t xml:space="preserve"> </w:t>
      </w:r>
      <w:r w:rsidR="00481D3A">
        <w:rPr>
          <w:i/>
        </w:rPr>
        <w:t xml:space="preserve">Caason </w:t>
      </w:r>
      <w:r w:rsidR="00481D3A">
        <w:t>at [20].</w:t>
      </w:r>
    </w:p>
    <w:p w14:paraId="2E4B895D" w14:textId="7BF88671" w:rsidR="00014BCB" w:rsidRDefault="006D48AC" w:rsidP="006D48AC">
      <w:pPr>
        <w:pStyle w:val="ParaNumbering"/>
        <w:numPr>
          <w:ilvl w:val="0"/>
          <w:numId w:val="0"/>
        </w:numPr>
        <w:ind w:hanging="720"/>
      </w:pPr>
      <w:r>
        <w:rPr>
          <w:sz w:val="20"/>
        </w:rPr>
        <w:lastRenderedPageBreak/>
        <w:t>14</w:t>
      </w:r>
      <w:r>
        <w:rPr>
          <w:sz w:val="20"/>
        </w:rPr>
        <w:tab/>
      </w:r>
      <w:r w:rsidR="00481D3A">
        <w:t xml:space="preserve">Leave to amend will not be granted where the amendment would be futile: see </w:t>
      </w:r>
      <w:r w:rsidR="00481D3A">
        <w:rPr>
          <w:i/>
        </w:rPr>
        <w:t xml:space="preserve">Caason </w:t>
      </w:r>
      <w:r w:rsidR="00481D3A">
        <w:t>at [21];</w:t>
      </w:r>
      <w:r w:rsidR="00481D3A">
        <w:rPr>
          <w:i/>
        </w:rPr>
        <w:t xml:space="preserve"> Plaintiff P1/2003 v Ruddock</w:t>
      </w:r>
      <w:r w:rsidR="00481D3A">
        <w:t xml:space="preserve"> [2007] FCA 65; 157 FCR 18 at [12]</w:t>
      </w:r>
      <w:r w:rsidR="00D56BF6">
        <w:t xml:space="preserve"> to </w:t>
      </w:r>
      <w:r w:rsidR="00481D3A">
        <w:t>[14]</w:t>
      </w:r>
      <w:r w:rsidR="00967F7C">
        <w:t xml:space="preserve"> (in relation to previous iteration </w:t>
      </w:r>
      <w:r w:rsidR="00DB60F9">
        <w:t>of the relevant rule)</w:t>
      </w:r>
      <w:r w:rsidR="00481D3A">
        <w:t xml:space="preserve">. </w:t>
      </w:r>
    </w:p>
    <w:p w14:paraId="75259F6D" w14:textId="5D39582C" w:rsidR="00481D3A" w:rsidRDefault="006D48AC" w:rsidP="006D48AC">
      <w:pPr>
        <w:pStyle w:val="ParaNumbering"/>
        <w:numPr>
          <w:ilvl w:val="0"/>
          <w:numId w:val="0"/>
        </w:numPr>
        <w:ind w:hanging="720"/>
      </w:pPr>
      <w:r>
        <w:rPr>
          <w:sz w:val="20"/>
        </w:rPr>
        <w:t>15</w:t>
      </w:r>
      <w:r>
        <w:rPr>
          <w:sz w:val="20"/>
        </w:rPr>
        <w:tab/>
      </w:r>
      <w:r w:rsidR="00481D3A">
        <w:t xml:space="preserve">Each case turns on its own facts. </w:t>
      </w:r>
    </w:p>
    <w:p w14:paraId="678A64AE" w14:textId="46CA62B3" w:rsidR="00043CDD" w:rsidRDefault="006D48AC" w:rsidP="006D48AC">
      <w:pPr>
        <w:pStyle w:val="ParaNumbering"/>
        <w:numPr>
          <w:ilvl w:val="0"/>
          <w:numId w:val="0"/>
        </w:numPr>
        <w:ind w:hanging="720"/>
      </w:pPr>
      <w:r>
        <w:rPr>
          <w:sz w:val="20"/>
        </w:rPr>
        <w:t>16</w:t>
      </w:r>
      <w:r>
        <w:rPr>
          <w:sz w:val="20"/>
        </w:rPr>
        <w:tab/>
      </w:r>
      <w:r w:rsidR="00043CDD">
        <w:t>I other</w:t>
      </w:r>
      <w:r w:rsidR="002B0DC2">
        <w:t xml:space="preserve">wise repeat the </w:t>
      </w:r>
      <w:r w:rsidR="00F35099">
        <w:t>summary of the authorities</w:t>
      </w:r>
      <w:r w:rsidR="00F52C29">
        <w:t xml:space="preserve"> in relation to the function </w:t>
      </w:r>
      <w:r w:rsidR="00473031">
        <w:t xml:space="preserve">of pleadings </w:t>
      </w:r>
      <w:r w:rsidR="00483A05">
        <w:t xml:space="preserve">in civil proceedings </w:t>
      </w:r>
      <w:r w:rsidR="00061C3F">
        <w:t xml:space="preserve">included </w:t>
      </w:r>
      <w:r w:rsidR="00AE1611">
        <w:t>at [</w:t>
      </w:r>
      <w:r w:rsidR="001D416C">
        <w:t>255</w:t>
      </w:r>
      <w:r w:rsidR="00AE1611">
        <w:t>] to [</w:t>
      </w:r>
      <w:r w:rsidR="000854CB">
        <w:t>257</w:t>
      </w:r>
      <w:r w:rsidR="00AE1611">
        <w:t xml:space="preserve">] of </w:t>
      </w:r>
      <w:r w:rsidR="00483A05" w:rsidRPr="00F74940">
        <w:rPr>
          <w:i/>
        </w:rPr>
        <w:t>Australian Securities and Investments Commission v Daly (Liability Hearing)</w:t>
      </w:r>
      <w:r w:rsidR="00483A05" w:rsidRPr="00483A05">
        <w:t xml:space="preserve"> [2023] FCA 290</w:t>
      </w:r>
      <w:r w:rsidR="00483A05">
        <w:t>.</w:t>
      </w:r>
      <w:r w:rsidR="00473031">
        <w:t xml:space="preserve"> </w:t>
      </w:r>
    </w:p>
    <w:p w14:paraId="4E4ACC6C" w14:textId="739EE1A4" w:rsidR="00481D3A" w:rsidRDefault="00481D3A" w:rsidP="00F41A79">
      <w:pPr>
        <w:pStyle w:val="Heading2"/>
      </w:pPr>
      <w:r>
        <w:t>Consideration</w:t>
      </w:r>
    </w:p>
    <w:p w14:paraId="1EBEE53B" w14:textId="4C99E3F1" w:rsidR="002427B4" w:rsidRDefault="006D48AC" w:rsidP="006D48AC">
      <w:pPr>
        <w:pStyle w:val="ParaNumbering"/>
        <w:numPr>
          <w:ilvl w:val="0"/>
          <w:numId w:val="0"/>
        </w:numPr>
        <w:ind w:hanging="720"/>
      </w:pPr>
      <w:r>
        <w:rPr>
          <w:sz w:val="20"/>
        </w:rPr>
        <w:t>17</w:t>
      </w:r>
      <w:r>
        <w:rPr>
          <w:sz w:val="20"/>
        </w:rPr>
        <w:tab/>
      </w:r>
      <w:r w:rsidR="000D0C6C">
        <w:t xml:space="preserve">It is convenient </w:t>
      </w:r>
      <w:r w:rsidR="00491B0C">
        <w:t xml:space="preserve">to first address the </w:t>
      </w:r>
      <w:r w:rsidR="00C24236">
        <w:t xml:space="preserve">amendment in respect of which Kaushik </w:t>
      </w:r>
      <w:r w:rsidR="002427B4">
        <w:t>opposes leave.</w:t>
      </w:r>
    </w:p>
    <w:p w14:paraId="6F0B6143" w14:textId="07D9E103" w:rsidR="00415E6B" w:rsidRDefault="006D48AC" w:rsidP="006D48AC">
      <w:pPr>
        <w:pStyle w:val="ParaNumbering"/>
        <w:numPr>
          <w:ilvl w:val="0"/>
          <w:numId w:val="0"/>
        </w:numPr>
        <w:ind w:hanging="720"/>
      </w:pPr>
      <w:r>
        <w:rPr>
          <w:sz w:val="20"/>
        </w:rPr>
        <w:t>18</w:t>
      </w:r>
      <w:r>
        <w:rPr>
          <w:sz w:val="20"/>
        </w:rPr>
        <w:tab/>
      </w:r>
      <w:r w:rsidR="0051652A">
        <w:t>T</w:t>
      </w:r>
      <w:r w:rsidR="002427B4">
        <w:t xml:space="preserve">he </w:t>
      </w:r>
      <w:r w:rsidR="004A76AA">
        <w:t>applicant</w:t>
      </w:r>
      <w:r w:rsidR="00126368">
        <w:t>s’ solicitors</w:t>
      </w:r>
      <w:r w:rsidR="00237441">
        <w:t>’</w:t>
      </w:r>
      <w:r w:rsidR="00126368">
        <w:t xml:space="preserve"> </w:t>
      </w:r>
      <w:r w:rsidR="002427B4">
        <w:t xml:space="preserve">communication </w:t>
      </w:r>
      <w:r w:rsidR="0051652A">
        <w:t>identifies</w:t>
      </w:r>
      <w:r w:rsidR="00126368">
        <w:t xml:space="preserve"> the relevant portion of the R</w:t>
      </w:r>
      <w:r w:rsidR="00F22F44">
        <w:t>D</w:t>
      </w:r>
      <w:r w:rsidR="00126368">
        <w:t xml:space="preserve">ASOC </w:t>
      </w:r>
      <w:r w:rsidR="003B0F2E">
        <w:t xml:space="preserve">as “the </w:t>
      </w:r>
      <w:r w:rsidR="0051652A">
        <w:t xml:space="preserve">amended particulars proposed to be pleaded in paragraph 100”. </w:t>
      </w:r>
      <w:r w:rsidR="006004FE">
        <w:t>P</w:t>
      </w:r>
      <w:r w:rsidR="000D0C6C">
        <w:t>aragraph 100 of the R</w:t>
      </w:r>
      <w:r w:rsidR="00F22F44">
        <w:t>D</w:t>
      </w:r>
      <w:r w:rsidR="000D0C6C">
        <w:t xml:space="preserve">ASOC was previously cast </w:t>
      </w:r>
      <w:r w:rsidR="006004FE">
        <w:t>as</w:t>
      </w:r>
      <w:r w:rsidR="000D0C6C">
        <w:t xml:space="preserve"> paragraph 110 of the </w:t>
      </w:r>
      <w:r w:rsidR="00C41C72">
        <w:t>SOC</w:t>
      </w:r>
      <w:r w:rsidR="000D0C6C">
        <w:t xml:space="preserve">. </w:t>
      </w:r>
      <w:r w:rsidR="00CF72AD">
        <w:t>T</w:t>
      </w:r>
      <w:r w:rsidR="004606F0">
        <w:t>o ascertain that</w:t>
      </w:r>
      <w:r w:rsidR="00E17E8B">
        <w:t>,</w:t>
      </w:r>
      <w:r w:rsidR="004606F0">
        <w:t xml:space="preserve"> it is necessary to do a text comparison between the filed version of the </w:t>
      </w:r>
      <w:r w:rsidR="003F3238">
        <w:t>SOC</w:t>
      </w:r>
      <w:r w:rsidR="00C82BD5">
        <w:t xml:space="preserve"> and the R</w:t>
      </w:r>
      <w:r w:rsidR="00F22F44">
        <w:t>D</w:t>
      </w:r>
      <w:r w:rsidR="00C82BD5">
        <w:t>ASOC because the</w:t>
      </w:r>
      <w:r w:rsidR="001202AC">
        <w:t xml:space="preserve"> applicants’ solicitors </w:t>
      </w:r>
      <w:r w:rsidR="000964F2">
        <w:t xml:space="preserve">have not </w:t>
      </w:r>
      <w:r w:rsidR="00C82BD5">
        <w:t xml:space="preserve">marked </w:t>
      </w:r>
      <w:r w:rsidR="00D90AA6">
        <w:t>the amendments to the R</w:t>
      </w:r>
      <w:r w:rsidR="00F22F44">
        <w:t>D</w:t>
      </w:r>
      <w:r w:rsidR="00D90AA6">
        <w:t xml:space="preserve">ASOC </w:t>
      </w:r>
      <w:r w:rsidR="00C82BD5">
        <w:t xml:space="preserve">using accurate strikethrough and underlining to </w:t>
      </w:r>
      <w:r w:rsidR="001202AC">
        <w:t>delineate the amendments</w:t>
      </w:r>
      <w:r w:rsidR="00F22F44">
        <w:t xml:space="preserve"> and have misnumbered the cross</w:t>
      </w:r>
      <w:r w:rsidR="00D56BF6">
        <w:noBreakHyphen/>
      </w:r>
      <w:r w:rsidR="00F22F44">
        <w:t>references to the SOC in the RDASOC</w:t>
      </w:r>
      <w:r w:rsidR="001202AC">
        <w:t xml:space="preserve">. </w:t>
      </w:r>
      <w:r w:rsidR="00CC6415">
        <w:t>The R</w:t>
      </w:r>
      <w:r w:rsidR="00F22F44">
        <w:t>D</w:t>
      </w:r>
      <w:r w:rsidR="00CC6415">
        <w:t xml:space="preserve">ASOC has been marked to indicate that </w:t>
      </w:r>
      <w:r w:rsidR="000D1622">
        <w:t>R</w:t>
      </w:r>
      <w:r w:rsidR="00F22F44">
        <w:t>D</w:t>
      </w:r>
      <w:r w:rsidR="000D1622">
        <w:t>ASOC[100] was previously SOC[10</w:t>
      </w:r>
      <w:r w:rsidR="004C64A9">
        <w:t>4</w:t>
      </w:r>
      <w:r w:rsidR="000D1622">
        <w:t xml:space="preserve">]. </w:t>
      </w:r>
      <w:r w:rsidR="008966D8">
        <w:t xml:space="preserve">That is not correct. </w:t>
      </w:r>
      <w:r w:rsidR="004C64A9">
        <w:t xml:space="preserve">Another difficulty with the </w:t>
      </w:r>
      <w:r w:rsidR="00972E4E">
        <w:t xml:space="preserve">way in which the applicants have crafted the RDASOC is that the numbering is not </w:t>
      </w:r>
      <w:r w:rsidR="00C5622E">
        <w:t>sequential in a way that is sensible</w:t>
      </w:r>
      <w:r w:rsidR="00F95958">
        <w:t xml:space="preserve"> and uses the same number for more than one paragraph</w:t>
      </w:r>
      <w:r w:rsidR="00C5622E">
        <w:t>. For example, paragraph [</w:t>
      </w:r>
      <w:r w:rsidR="009006D5" w:rsidRPr="009006D5">
        <w:rPr>
          <w:strike/>
        </w:rPr>
        <w:t>104</w:t>
      </w:r>
      <w:r w:rsidR="009006D5">
        <w:t xml:space="preserve"> </w:t>
      </w:r>
      <w:r w:rsidR="00C5622E">
        <w:t>100]</w:t>
      </w:r>
      <w:r w:rsidR="009006D5">
        <w:t xml:space="preserve"> is sequentially after paragraph</w:t>
      </w:r>
      <w:r w:rsidR="00E92210">
        <w:t xml:space="preserve"> [</w:t>
      </w:r>
      <w:r w:rsidR="00E92210" w:rsidRPr="00E92210">
        <w:rPr>
          <w:u w:val="single"/>
        </w:rPr>
        <w:t>102E</w:t>
      </w:r>
      <w:r w:rsidR="00E92210">
        <w:t>]</w:t>
      </w:r>
      <w:r w:rsidR="003308FC">
        <w:t xml:space="preserve"> but is followed by paragraph [</w:t>
      </w:r>
      <w:r w:rsidR="003308FC">
        <w:rPr>
          <w:u w:val="single"/>
        </w:rPr>
        <w:t>101]</w:t>
      </w:r>
      <w:r w:rsidR="003308FC" w:rsidRPr="003308FC">
        <w:t xml:space="preserve"> and</w:t>
      </w:r>
      <w:r w:rsidR="003308FC" w:rsidRPr="00737754">
        <w:t xml:space="preserve"> </w:t>
      </w:r>
      <w:r w:rsidR="003308FC">
        <w:rPr>
          <w:u w:val="single"/>
        </w:rPr>
        <w:t>[102]</w:t>
      </w:r>
      <w:r w:rsidR="00452EE7">
        <w:t>, and there are two different paragraphs numbered [99].</w:t>
      </w:r>
      <w:r w:rsidR="00F95958">
        <w:t xml:space="preserve"> </w:t>
      </w:r>
      <w:r w:rsidR="00D91389">
        <w:t>I note that t</w:t>
      </w:r>
      <w:r w:rsidR="00B827E0">
        <w:t>his is</w:t>
      </w:r>
      <w:r w:rsidR="00E16B38">
        <w:t xml:space="preserve"> contrary to r 16.02(1)(a) of the </w:t>
      </w:r>
      <w:r w:rsidR="00E16B38" w:rsidRPr="00737754">
        <w:rPr>
          <w:i/>
          <w:iCs/>
        </w:rPr>
        <w:t>Rules</w:t>
      </w:r>
      <w:r w:rsidR="00E16B38">
        <w:t xml:space="preserve">. </w:t>
      </w:r>
    </w:p>
    <w:p w14:paraId="53773205" w14:textId="05E04594" w:rsidR="00415E6B" w:rsidRDefault="006D48AC" w:rsidP="006D48AC">
      <w:pPr>
        <w:pStyle w:val="ParaNumbering"/>
        <w:numPr>
          <w:ilvl w:val="0"/>
          <w:numId w:val="0"/>
        </w:numPr>
        <w:ind w:hanging="720"/>
      </w:pPr>
      <w:r>
        <w:rPr>
          <w:sz w:val="20"/>
        </w:rPr>
        <w:t>19</w:t>
      </w:r>
      <w:r>
        <w:rPr>
          <w:sz w:val="20"/>
        </w:rPr>
        <w:tab/>
      </w:r>
      <w:r w:rsidR="00353E9B">
        <w:t xml:space="preserve">The amendment in RDASOC[100] </w:t>
      </w:r>
      <w:r w:rsidR="00521602">
        <w:t>is to include what is described as “</w:t>
      </w:r>
      <w:r w:rsidR="006821BA">
        <w:t>P</w:t>
      </w:r>
      <w:r w:rsidR="00521602">
        <w:t>articulars of the Insolvent Debts”</w:t>
      </w:r>
      <w:r w:rsidR="00C31424">
        <w:t>.</w:t>
      </w:r>
      <w:r w:rsidR="00C41C72">
        <w:t xml:space="preserve"> SOC[110] did not incorporate any particulars</w:t>
      </w:r>
      <w:r w:rsidR="006821BA">
        <w:t xml:space="preserve">. </w:t>
      </w:r>
      <w:r w:rsidR="00415E6B">
        <w:t>R</w:t>
      </w:r>
      <w:r w:rsidR="00B5093E">
        <w:t>D</w:t>
      </w:r>
      <w:r w:rsidR="00415E6B">
        <w:t>ASOC[</w:t>
      </w:r>
      <w:r w:rsidR="00B5093E">
        <w:t>100] is in the same form as DASOC</w:t>
      </w:r>
      <w:r w:rsidR="007136A5">
        <w:t xml:space="preserve">[109] which was the first time that the applicants included </w:t>
      </w:r>
      <w:r w:rsidR="00A002DE">
        <w:t xml:space="preserve">the </w:t>
      </w:r>
      <w:r w:rsidR="00BF4CF9">
        <w:t xml:space="preserve">proposed particulars which </w:t>
      </w:r>
      <w:r w:rsidR="006821BA">
        <w:t xml:space="preserve">purport to be </w:t>
      </w:r>
      <w:r w:rsidR="00BF4CF9">
        <w:t>“Particulars of the Insolvent Debts”.</w:t>
      </w:r>
      <w:r w:rsidR="00C36F93">
        <w:t xml:space="preserve"> </w:t>
      </w:r>
      <w:r w:rsidR="001A4EC2">
        <w:t>D</w:t>
      </w:r>
      <w:r w:rsidR="00C36F93">
        <w:t xml:space="preserve">uring the </w:t>
      </w:r>
      <w:r w:rsidR="001A4EC2">
        <w:t xml:space="preserve">period in which </w:t>
      </w:r>
      <w:r w:rsidR="00D870B0">
        <w:t xml:space="preserve">the amendment application was </w:t>
      </w:r>
      <w:r w:rsidR="00C36F93">
        <w:t>adjourn</w:t>
      </w:r>
      <w:r w:rsidR="00D870B0">
        <w:t>ed</w:t>
      </w:r>
      <w:r w:rsidR="00C36F93">
        <w:t xml:space="preserve">, the applicants did not take the opportunity to revisit this </w:t>
      </w:r>
      <w:r w:rsidR="00D870B0">
        <w:t xml:space="preserve">paragraph </w:t>
      </w:r>
      <w:r w:rsidR="00C36F93">
        <w:t>of the pleading</w:t>
      </w:r>
      <w:r w:rsidR="00D870B0">
        <w:t>, notwithstanding th</w:t>
      </w:r>
      <w:r w:rsidR="000B20A6">
        <w:t>e exchange of submissions and oral address</w:t>
      </w:r>
      <w:r w:rsidR="00EB1AEC">
        <w:t>es</w:t>
      </w:r>
      <w:r w:rsidR="000B20A6">
        <w:t xml:space="preserve"> highlighting the confusion engendered by the </w:t>
      </w:r>
      <w:r w:rsidR="008C5F2D">
        <w:t>particulars incorporated into this paragraph</w:t>
      </w:r>
      <w:r w:rsidR="00C36F93">
        <w:t>.</w:t>
      </w:r>
      <w:r w:rsidR="006821BA">
        <w:t xml:space="preserve"> </w:t>
      </w:r>
      <w:r w:rsidR="00B5093E">
        <w:t xml:space="preserve"> </w:t>
      </w:r>
    </w:p>
    <w:p w14:paraId="08FF7EE7" w14:textId="45C085F8" w:rsidR="00292852" w:rsidRDefault="006D48AC" w:rsidP="006D48AC">
      <w:pPr>
        <w:pStyle w:val="ParaNumbering"/>
        <w:numPr>
          <w:ilvl w:val="0"/>
          <w:numId w:val="0"/>
        </w:numPr>
        <w:ind w:hanging="720"/>
      </w:pPr>
      <w:r>
        <w:rPr>
          <w:sz w:val="20"/>
        </w:rPr>
        <w:t>20</w:t>
      </w:r>
      <w:r>
        <w:rPr>
          <w:sz w:val="20"/>
        </w:rPr>
        <w:tab/>
      </w:r>
      <w:r w:rsidR="008C5F2D">
        <w:t xml:space="preserve">The previous iteration of </w:t>
      </w:r>
      <w:r w:rsidR="008966D8">
        <w:t>R</w:t>
      </w:r>
      <w:r w:rsidR="00D03593">
        <w:t>D</w:t>
      </w:r>
      <w:r w:rsidR="008966D8">
        <w:t>ASOC[100], SOC[110</w:t>
      </w:r>
      <w:r w:rsidR="00292852">
        <w:t>]</w:t>
      </w:r>
      <w:r w:rsidR="008C5F2D">
        <w:t>,</w:t>
      </w:r>
      <w:r w:rsidR="000D0C6C">
        <w:t xml:space="preserve"> </w:t>
      </w:r>
      <w:r w:rsidR="00A41E87">
        <w:t>i</w:t>
      </w:r>
      <w:r w:rsidR="000D0C6C">
        <w:t>s the subject of a separate interlocutory application filed by Kaushik seeking an order that particulars be provided</w:t>
      </w:r>
      <w:r w:rsidR="00E80415">
        <w:t xml:space="preserve"> of that paragraph</w:t>
      </w:r>
      <w:r w:rsidR="00292852">
        <w:t xml:space="preserve"> in </w:t>
      </w:r>
      <w:r w:rsidR="00292852">
        <w:lastRenderedPageBreak/>
        <w:t>accordance with requests previously made</w:t>
      </w:r>
      <w:r w:rsidR="000D0C6C">
        <w:t xml:space="preserve">. </w:t>
      </w:r>
      <w:r w:rsidR="00537617">
        <w:t>That application for particulars has been deferred pending the amendment application.</w:t>
      </w:r>
    </w:p>
    <w:p w14:paraId="1AA6AFAD" w14:textId="45D2DEF7" w:rsidR="00AE4A62" w:rsidRDefault="006D48AC" w:rsidP="006D48AC">
      <w:pPr>
        <w:pStyle w:val="ParaNumbering"/>
        <w:numPr>
          <w:ilvl w:val="0"/>
          <w:numId w:val="0"/>
        </w:numPr>
        <w:ind w:hanging="720"/>
      </w:pPr>
      <w:r>
        <w:rPr>
          <w:sz w:val="20"/>
        </w:rPr>
        <w:t>21</w:t>
      </w:r>
      <w:r>
        <w:rPr>
          <w:sz w:val="20"/>
        </w:rPr>
        <w:tab/>
      </w:r>
      <w:r w:rsidR="00D4008E">
        <w:t xml:space="preserve">No amendment is </w:t>
      </w:r>
      <w:r w:rsidR="00E160C9">
        <w:t xml:space="preserve">proposed in relation </w:t>
      </w:r>
      <w:r w:rsidR="00D4008E">
        <w:t xml:space="preserve">to the body of </w:t>
      </w:r>
      <w:r w:rsidR="008172CA">
        <w:t>R</w:t>
      </w:r>
      <w:r w:rsidR="00D03593">
        <w:t>D</w:t>
      </w:r>
      <w:r w:rsidR="008172CA">
        <w:t>ASOC[100]</w:t>
      </w:r>
      <w:r w:rsidR="00286892">
        <w:t>/SOC[110]</w:t>
      </w:r>
      <w:r w:rsidR="009C2E59">
        <w:t>,</w:t>
      </w:r>
      <w:r w:rsidR="00AE4A62">
        <w:t xml:space="preserve"> which is as follows</w:t>
      </w:r>
      <w:r w:rsidR="007A6F3D">
        <w:t xml:space="preserve"> (errors in original)</w:t>
      </w:r>
      <w:r w:rsidR="00AE4A62">
        <w:t>:</w:t>
      </w:r>
    </w:p>
    <w:p w14:paraId="1B6E0C07" w14:textId="77777777" w:rsidR="00FE07FA" w:rsidRDefault="00FE07FA" w:rsidP="00AE4A62">
      <w:pPr>
        <w:pStyle w:val="Quote1"/>
      </w:pPr>
      <w:r w:rsidRPr="00FE07FA">
        <w:t>Between 30 June 2014 and 7 August 2015 (</w:t>
      </w:r>
      <w:r w:rsidRPr="00700360">
        <w:rPr>
          <w:b/>
          <w:bCs/>
        </w:rPr>
        <w:t>Relevant Period</w:t>
      </w:r>
      <w:r w:rsidRPr="00FE07FA">
        <w:t>) the Company incurred debts in the total sum of $1,228,628.23 (</w:t>
      </w:r>
      <w:r w:rsidRPr="00700360">
        <w:rPr>
          <w:b/>
          <w:bCs/>
        </w:rPr>
        <w:t>Insolvent Debts</w:t>
      </w:r>
      <w:r w:rsidRPr="00FE07FA">
        <w:t>) to the following creditors (</w:t>
      </w:r>
      <w:r w:rsidRPr="00700360">
        <w:rPr>
          <w:b/>
          <w:bCs/>
        </w:rPr>
        <w:t>Creditors</w:t>
      </w:r>
      <w:r w:rsidRPr="00FE07FA">
        <w:t>):</w:t>
      </w:r>
    </w:p>
    <w:tbl>
      <w:tblPr>
        <w:tblStyle w:val="TableGrid"/>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21"/>
        <w:gridCol w:w="2084"/>
        <w:gridCol w:w="2084"/>
        <w:gridCol w:w="2085"/>
      </w:tblGrid>
      <w:tr w:rsidR="00700360" w14:paraId="42CD66B3" w14:textId="77777777" w:rsidTr="00A33D3E">
        <w:tc>
          <w:tcPr>
            <w:tcW w:w="2254" w:type="dxa"/>
          </w:tcPr>
          <w:p w14:paraId="711DB897" w14:textId="29A9F812" w:rsidR="00700360" w:rsidRPr="0064473F" w:rsidRDefault="00DE34B9" w:rsidP="0064473F">
            <w:pPr>
              <w:pStyle w:val="Small-TableswithinQuotes"/>
              <w:rPr>
                <w:b/>
                <w:bCs/>
              </w:rPr>
            </w:pPr>
            <w:r w:rsidRPr="0064473F">
              <w:rPr>
                <w:b/>
                <w:bCs/>
              </w:rPr>
              <w:t xml:space="preserve">Creditor </w:t>
            </w:r>
          </w:p>
        </w:tc>
        <w:tc>
          <w:tcPr>
            <w:tcW w:w="2254" w:type="dxa"/>
          </w:tcPr>
          <w:p w14:paraId="1C3F638E" w14:textId="5D716FEF" w:rsidR="00700360" w:rsidRPr="0064473F" w:rsidRDefault="00DE34B9" w:rsidP="0064473F">
            <w:pPr>
              <w:pStyle w:val="Small-TableswithinQuotes"/>
              <w:rPr>
                <w:b/>
                <w:bCs/>
              </w:rPr>
            </w:pPr>
            <w:r w:rsidRPr="0064473F">
              <w:rPr>
                <w:b/>
                <w:bCs/>
              </w:rPr>
              <w:t xml:space="preserve">Total Creditor Liability as at 7 August 2015 ($) </w:t>
            </w:r>
          </w:p>
        </w:tc>
        <w:tc>
          <w:tcPr>
            <w:tcW w:w="2254" w:type="dxa"/>
          </w:tcPr>
          <w:p w14:paraId="46DB0B3D" w14:textId="4F950E0A" w:rsidR="00700360" w:rsidRPr="0064473F" w:rsidRDefault="00DE34B9" w:rsidP="0064473F">
            <w:pPr>
              <w:pStyle w:val="Small-TableswithinQuotes"/>
              <w:rPr>
                <w:b/>
                <w:bCs/>
              </w:rPr>
            </w:pPr>
            <w:r w:rsidRPr="0064473F">
              <w:rPr>
                <w:b/>
                <w:bCs/>
              </w:rPr>
              <w:t xml:space="preserve">Debts incurred post 30 June 2014 ($) </w:t>
            </w:r>
          </w:p>
        </w:tc>
        <w:tc>
          <w:tcPr>
            <w:tcW w:w="2255" w:type="dxa"/>
          </w:tcPr>
          <w:p w14:paraId="5C4AF608" w14:textId="21888DD1" w:rsidR="00700360" w:rsidRPr="0064473F" w:rsidRDefault="00DE34B9" w:rsidP="0064473F">
            <w:pPr>
              <w:pStyle w:val="Small-TableswithinQuotes"/>
              <w:rPr>
                <w:b/>
                <w:bCs/>
              </w:rPr>
            </w:pPr>
            <w:r w:rsidRPr="0064473F">
              <w:rPr>
                <w:b/>
                <w:bCs/>
              </w:rPr>
              <w:t xml:space="preserve">Debts incurred post 30 June 2014 ($) </w:t>
            </w:r>
          </w:p>
        </w:tc>
      </w:tr>
      <w:tr w:rsidR="00700360" w14:paraId="572BEEE1" w14:textId="77777777" w:rsidTr="00A33D3E">
        <w:tc>
          <w:tcPr>
            <w:tcW w:w="2254" w:type="dxa"/>
          </w:tcPr>
          <w:p w14:paraId="5CE9BA0A" w14:textId="25CAA81C" w:rsidR="00700360" w:rsidRDefault="00F509F6" w:rsidP="0064473F">
            <w:pPr>
              <w:pStyle w:val="Small-TableswithinQuotes"/>
            </w:pPr>
            <w:r>
              <w:t xml:space="preserve">ATO – Running Balance Account </w:t>
            </w:r>
          </w:p>
        </w:tc>
        <w:tc>
          <w:tcPr>
            <w:tcW w:w="2254" w:type="dxa"/>
          </w:tcPr>
          <w:p w14:paraId="0D9309BF" w14:textId="46CB570B" w:rsidR="00700360" w:rsidRDefault="00232C36" w:rsidP="0064473F">
            <w:pPr>
              <w:pStyle w:val="Small-TableswithinQuotes"/>
            </w:pPr>
            <w:r>
              <w:t xml:space="preserve">681,951.46 </w:t>
            </w:r>
          </w:p>
        </w:tc>
        <w:tc>
          <w:tcPr>
            <w:tcW w:w="2254" w:type="dxa"/>
          </w:tcPr>
          <w:p w14:paraId="5CE99E61" w14:textId="318DA99B" w:rsidR="00700360" w:rsidRDefault="00232C36" w:rsidP="0064473F">
            <w:pPr>
              <w:pStyle w:val="Small-TableswithinQuotes"/>
            </w:pPr>
            <w:r>
              <w:t xml:space="preserve">682,031.87 </w:t>
            </w:r>
          </w:p>
        </w:tc>
        <w:tc>
          <w:tcPr>
            <w:tcW w:w="2255" w:type="dxa"/>
          </w:tcPr>
          <w:p w14:paraId="096DDFB6" w14:textId="52C3FF75" w:rsidR="00700360" w:rsidRDefault="00640F5F" w:rsidP="0064473F">
            <w:pPr>
              <w:pStyle w:val="Small-TableswithinQuotes"/>
            </w:pPr>
            <w:r>
              <w:t xml:space="preserve">682,031.87 </w:t>
            </w:r>
          </w:p>
        </w:tc>
      </w:tr>
      <w:tr w:rsidR="00700360" w14:paraId="64CA99D8" w14:textId="77777777" w:rsidTr="00A33D3E">
        <w:tc>
          <w:tcPr>
            <w:tcW w:w="2254" w:type="dxa"/>
          </w:tcPr>
          <w:p w14:paraId="4B781C8F" w14:textId="152A10B2" w:rsidR="00700360" w:rsidRDefault="00F509F6" w:rsidP="0064473F">
            <w:pPr>
              <w:pStyle w:val="Small-TableswithinQuotes"/>
            </w:pPr>
            <w:r>
              <w:t xml:space="preserve">ATO – SGC Liability </w:t>
            </w:r>
          </w:p>
        </w:tc>
        <w:tc>
          <w:tcPr>
            <w:tcW w:w="2254" w:type="dxa"/>
          </w:tcPr>
          <w:p w14:paraId="59EC663A" w14:textId="75BC802C" w:rsidR="00700360" w:rsidRDefault="00C733AC" w:rsidP="0064473F">
            <w:pPr>
              <w:pStyle w:val="Small-TableswithinQuotes"/>
            </w:pPr>
            <w:r>
              <w:t xml:space="preserve">676,706.52 </w:t>
            </w:r>
          </w:p>
        </w:tc>
        <w:tc>
          <w:tcPr>
            <w:tcW w:w="2254" w:type="dxa"/>
          </w:tcPr>
          <w:p w14:paraId="5D1A9576" w14:textId="5167FC2D" w:rsidR="00700360" w:rsidRDefault="00232C36" w:rsidP="0064473F">
            <w:pPr>
              <w:pStyle w:val="Small-TableswithinQuotes"/>
            </w:pPr>
            <w:r>
              <w:t xml:space="preserve">266,457.45 </w:t>
            </w:r>
          </w:p>
        </w:tc>
        <w:tc>
          <w:tcPr>
            <w:tcW w:w="2255" w:type="dxa"/>
          </w:tcPr>
          <w:p w14:paraId="5FE4BA44" w14:textId="7CC92D61" w:rsidR="00700360" w:rsidRDefault="00232C36" w:rsidP="0064473F">
            <w:pPr>
              <w:pStyle w:val="Small-TableswithinQuotes"/>
            </w:pPr>
            <w:r>
              <w:t xml:space="preserve">266,457.45 </w:t>
            </w:r>
          </w:p>
        </w:tc>
      </w:tr>
      <w:tr w:rsidR="00700360" w14:paraId="7AFD8D0E" w14:textId="77777777" w:rsidTr="00A33D3E">
        <w:tc>
          <w:tcPr>
            <w:tcW w:w="2254" w:type="dxa"/>
          </w:tcPr>
          <w:p w14:paraId="4B7CD6D3" w14:textId="1CF65F71" w:rsidR="00700360" w:rsidRDefault="003263FA" w:rsidP="0064473F">
            <w:pPr>
              <w:pStyle w:val="Small-TableswithinQuotes"/>
            </w:pPr>
            <w:r>
              <w:t xml:space="preserve">OSR Qld </w:t>
            </w:r>
          </w:p>
        </w:tc>
        <w:tc>
          <w:tcPr>
            <w:tcW w:w="2254" w:type="dxa"/>
          </w:tcPr>
          <w:p w14:paraId="0F4A30F3" w14:textId="1B3DDD0A" w:rsidR="00700360" w:rsidRDefault="00C733AC" w:rsidP="0064473F">
            <w:pPr>
              <w:pStyle w:val="Small-TableswithinQuotes"/>
            </w:pPr>
            <w:r>
              <w:t xml:space="preserve">687,586.44 </w:t>
            </w:r>
          </w:p>
        </w:tc>
        <w:tc>
          <w:tcPr>
            <w:tcW w:w="2254" w:type="dxa"/>
          </w:tcPr>
          <w:p w14:paraId="2C449B04" w14:textId="01CFA56D" w:rsidR="00700360" w:rsidRDefault="00C733AC" w:rsidP="0064473F">
            <w:pPr>
              <w:pStyle w:val="Small-TableswithinQuotes"/>
            </w:pPr>
            <w:r>
              <w:t xml:space="preserve">280,138.91 </w:t>
            </w:r>
          </w:p>
        </w:tc>
        <w:tc>
          <w:tcPr>
            <w:tcW w:w="2255" w:type="dxa"/>
          </w:tcPr>
          <w:p w14:paraId="5EFBBFE5" w14:textId="1859F444" w:rsidR="00700360" w:rsidRDefault="00C733AC" w:rsidP="0064473F">
            <w:pPr>
              <w:pStyle w:val="Small-TableswithinQuotes"/>
            </w:pPr>
            <w:r>
              <w:t xml:space="preserve">280,138.91 </w:t>
            </w:r>
          </w:p>
        </w:tc>
      </w:tr>
      <w:tr w:rsidR="003263FA" w:rsidRPr="0064473F" w14:paraId="4E420CFB" w14:textId="77777777" w:rsidTr="00A33D3E">
        <w:tc>
          <w:tcPr>
            <w:tcW w:w="2254" w:type="dxa"/>
          </w:tcPr>
          <w:p w14:paraId="5D56C493" w14:textId="3A5FB360" w:rsidR="003263FA" w:rsidRPr="0064473F" w:rsidRDefault="003263FA" w:rsidP="0064473F">
            <w:pPr>
              <w:pStyle w:val="Small-TableswithinQuotes"/>
              <w:rPr>
                <w:b/>
                <w:bCs/>
              </w:rPr>
            </w:pPr>
            <w:r w:rsidRPr="0064473F">
              <w:rPr>
                <w:b/>
                <w:bCs/>
              </w:rPr>
              <w:t xml:space="preserve">TOTAL </w:t>
            </w:r>
          </w:p>
        </w:tc>
        <w:tc>
          <w:tcPr>
            <w:tcW w:w="2254" w:type="dxa"/>
          </w:tcPr>
          <w:p w14:paraId="64C02F8A" w14:textId="34F41D9B" w:rsidR="003263FA" w:rsidRPr="0064473F" w:rsidRDefault="003263FA" w:rsidP="0064473F">
            <w:pPr>
              <w:pStyle w:val="Small-TableswithinQuotes"/>
              <w:rPr>
                <w:b/>
                <w:bCs/>
              </w:rPr>
            </w:pPr>
            <w:r w:rsidRPr="0064473F">
              <w:rPr>
                <w:b/>
                <w:bCs/>
              </w:rPr>
              <w:t xml:space="preserve">2,046,244.42 </w:t>
            </w:r>
          </w:p>
        </w:tc>
        <w:tc>
          <w:tcPr>
            <w:tcW w:w="2254" w:type="dxa"/>
          </w:tcPr>
          <w:p w14:paraId="3BECAFCD" w14:textId="70C950EB" w:rsidR="003263FA" w:rsidRPr="0064473F" w:rsidRDefault="007A6F3D" w:rsidP="0064473F">
            <w:pPr>
              <w:pStyle w:val="Small-TableswithinQuotes"/>
              <w:rPr>
                <w:b/>
                <w:bCs/>
              </w:rPr>
            </w:pPr>
            <w:r w:rsidRPr="0064473F">
              <w:rPr>
                <w:b/>
                <w:bCs/>
              </w:rPr>
              <w:t xml:space="preserve">1.228.628.23 </w:t>
            </w:r>
          </w:p>
        </w:tc>
        <w:tc>
          <w:tcPr>
            <w:tcW w:w="2255" w:type="dxa"/>
          </w:tcPr>
          <w:p w14:paraId="0221302E" w14:textId="555917A7" w:rsidR="003263FA" w:rsidRPr="0064473F" w:rsidRDefault="007A6F3D" w:rsidP="0064473F">
            <w:pPr>
              <w:pStyle w:val="Small-TableswithinQuotes"/>
              <w:rPr>
                <w:b/>
                <w:bCs/>
              </w:rPr>
            </w:pPr>
            <w:r w:rsidRPr="0064473F">
              <w:rPr>
                <w:b/>
                <w:bCs/>
              </w:rPr>
              <w:t xml:space="preserve">1.228.628.23 </w:t>
            </w:r>
          </w:p>
        </w:tc>
      </w:tr>
    </w:tbl>
    <w:p w14:paraId="45C9437B" w14:textId="77777777" w:rsidR="00FE07FA" w:rsidRDefault="00FE07FA" w:rsidP="00E53BEB">
      <w:pPr>
        <w:pStyle w:val="Quote1"/>
      </w:pPr>
    </w:p>
    <w:p w14:paraId="731B61EE" w14:textId="7DFF4A50" w:rsidR="00A42A13" w:rsidRDefault="006D48AC" w:rsidP="006D48AC">
      <w:pPr>
        <w:pStyle w:val="ParaNumbering"/>
        <w:numPr>
          <w:ilvl w:val="0"/>
          <w:numId w:val="0"/>
        </w:numPr>
        <w:ind w:hanging="720"/>
      </w:pPr>
      <w:r>
        <w:rPr>
          <w:sz w:val="20"/>
        </w:rPr>
        <w:t>22</w:t>
      </w:r>
      <w:r>
        <w:rPr>
          <w:sz w:val="20"/>
        </w:rPr>
        <w:tab/>
      </w:r>
      <w:r w:rsidR="00286892">
        <w:t>Whereas previously no particulars were provided to the allegation in SOC[110]</w:t>
      </w:r>
      <w:r w:rsidR="00064FD1">
        <w:t>, R</w:t>
      </w:r>
      <w:r w:rsidR="00D03593">
        <w:t>D</w:t>
      </w:r>
      <w:r w:rsidR="00064FD1">
        <w:t xml:space="preserve">ASOC[100] now incorporates </w:t>
      </w:r>
      <w:r w:rsidR="00D0448C">
        <w:t>three</w:t>
      </w:r>
      <w:r w:rsidR="00393E5B">
        <w:t xml:space="preserve"> table</w:t>
      </w:r>
      <w:r w:rsidR="00D0448C">
        <w:t>s</w:t>
      </w:r>
      <w:r w:rsidR="00393E5B">
        <w:t xml:space="preserve"> under the heading “Particulars of the Insolvent Debts”</w:t>
      </w:r>
      <w:r w:rsidR="00D0448C">
        <w:t xml:space="preserve">. </w:t>
      </w:r>
      <w:r w:rsidR="00965C08">
        <w:t>I</w:t>
      </w:r>
      <w:r w:rsidR="00D03593">
        <w:t>nformation</w:t>
      </w:r>
      <w:r w:rsidR="005F5C5D">
        <w:t xml:space="preserve"> is included in those tables</w:t>
      </w:r>
      <w:r w:rsidR="00D03593">
        <w:t xml:space="preserve"> under the </w:t>
      </w:r>
      <w:r w:rsidR="00965C08">
        <w:t>following headings</w:t>
      </w:r>
      <w:r w:rsidR="00A42A13">
        <w:t>:</w:t>
      </w:r>
    </w:p>
    <w:p w14:paraId="207525E9" w14:textId="528CC8C7" w:rsidR="00A33D3E" w:rsidRDefault="006D48AC" w:rsidP="006D48AC">
      <w:pPr>
        <w:pStyle w:val="ListNo1"/>
        <w:numPr>
          <w:ilvl w:val="0"/>
          <w:numId w:val="0"/>
        </w:numPr>
        <w:tabs>
          <w:tab w:val="left" w:pos="1146"/>
        </w:tabs>
        <w:ind w:left="1146" w:hanging="720"/>
      </w:pPr>
      <w:r>
        <w:t>(1)</w:t>
      </w:r>
      <w:r>
        <w:tab/>
      </w:r>
      <w:r w:rsidR="00965C08" w:rsidRPr="00A33D3E">
        <w:rPr>
          <w:b/>
          <w:bCs/>
        </w:rPr>
        <w:t xml:space="preserve">Table 1 - </w:t>
      </w:r>
      <w:r w:rsidR="00C802D8" w:rsidRPr="00A33D3E">
        <w:rPr>
          <w:b/>
          <w:bCs/>
        </w:rPr>
        <w:t>“ATO Running Balance Account”</w:t>
      </w:r>
      <w:r w:rsidR="00C24B7A">
        <w:t xml:space="preserve"> with entries in columns marked “</w:t>
      </w:r>
      <w:r w:rsidR="00CB7DA7">
        <w:t>Effective date</w:t>
      </w:r>
      <w:r w:rsidR="00C24B7A">
        <w:t>”,</w:t>
      </w:r>
      <w:r w:rsidR="008B41FA">
        <w:t xml:space="preserve"> “Transaction description</w:t>
      </w:r>
      <w:r w:rsidR="00C24B7A">
        <w:t>”,</w:t>
      </w:r>
      <w:r w:rsidR="008B41FA">
        <w:t xml:space="preserve"> “Debit amount</w:t>
      </w:r>
      <w:r w:rsidR="00C24B7A">
        <w:t>”</w:t>
      </w:r>
      <w:r w:rsidR="008B41FA">
        <w:t xml:space="preserve">, </w:t>
      </w:r>
      <w:r w:rsidR="00C24B7A">
        <w:t>“</w:t>
      </w:r>
      <w:r w:rsidR="008B41FA">
        <w:t>Credit amount</w:t>
      </w:r>
      <w:r w:rsidR="00C24B7A">
        <w:t>”</w:t>
      </w:r>
      <w:r w:rsidR="008B41FA">
        <w:t xml:space="preserve"> and “Balance”</w:t>
      </w:r>
      <w:r w:rsidR="00015550">
        <w:t xml:space="preserve">. The </w:t>
      </w:r>
      <w:r w:rsidR="00576DC5">
        <w:t>transaction descriptions given include “carried forward balance”</w:t>
      </w:r>
      <w:r w:rsidR="00E009B0">
        <w:t>, “General Interest Charge</w:t>
      </w:r>
      <w:r w:rsidR="00DA3386">
        <w:t xml:space="preserve"> (GIC)</w:t>
      </w:r>
      <w:r w:rsidR="00E009B0">
        <w:t>”, “Payment”</w:t>
      </w:r>
      <w:r w:rsidR="00B5549B">
        <w:t xml:space="preserve">, “Original Activity Statement for period …”, </w:t>
      </w:r>
      <w:r w:rsidR="00C85801">
        <w:t xml:space="preserve">“PAYG Withholding”, </w:t>
      </w:r>
      <w:r w:rsidR="004A52DB">
        <w:t>“GST”</w:t>
      </w:r>
      <w:r w:rsidR="00E97391">
        <w:t>, “Amended general interest charge (GIC)”, “Penalty for failure to lodge</w:t>
      </w:r>
      <w:r w:rsidR="00EB7D06">
        <w:t>…</w:t>
      </w:r>
      <w:r w:rsidR="00E97391">
        <w:t>”, and “Remission of penalty for failure to lodge …”</w:t>
      </w:r>
      <w:r w:rsidR="0085043E">
        <w:t>;</w:t>
      </w:r>
    </w:p>
    <w:p w14:paraId="3E11D2E0" w14:textId="5A0A2726" w:rsidR="00A33D3E" w:rsidRDefault="006D48AC" w:rsidP="006D48AC">
      <w:pPr>
        <w:pStyle w:val="ListNo1"/>
        <w:numPr>
          <w:ilvl w:val="0"/>
          <w:numId w:val="0"/>
        </w:numPr>
        <w:tabs>
          <w:tab w:val="left" w:pos="1146"/>
        </w:tabs>
        <w:ind w:left="1146" w:hanging="720"/>
      </w:pPr>
      <w:r>
        <w:t>(2)</w:t>
      </w:r>
      <w:r>
        <w:tab/>
      </w:r>
      <w:r w:rsidR="00965C08" w:rsidRPr="00A33D3E">
        <w:rPr>
          <w:b/>
          <w:bCs/>
        </w:rPr>
        <w:t>Table</w:t>
      </w:r>
      <w:r w:rsidR="00EB7D06" w:rsidRPr="00A33D3E">
        <w:rPr>
          <w:b/>
          <w:bCs/>
        </w:rPr>
        <w:t>–</w:t>
      </w:r>
      <w:r w:rsidR="00965C08" w:rsidRPr="00A33D3E">
        <w:rPr>
          <w:b/>
          <w:bCs/>
        </w:rPr>
        <w:t>2 -</w:t>
      </w:r>
      <w:r w:rsidR="00C802D8" w:rsidRPr="00A33D3E">
        <w:rPr>
          <w:b/>
          <w:bCs/>
        </w:rPr>
        <w:t xml:space="preserve"> </w:t>
      </w:r>
      <w:r w:rsidR="00D8231D" w:rsidRPr="00A33D3E">
        <w:rPr>
          <w:b/>
          <w:bCs/>
        </w:rPr>
        <w:t>“</w:t>
      </w:r>
      <w:r w:rsidR="00C802D8" w:rsidRPr="00A33D3E">
        <w:rPr>
          <w:b/>
          <w:bCs/>
        </w:rPr>
        <w:t>Superannuation Guarantee Charge</w:t>
      </w:r>
      <w:r w:rsidR="00D8231D" w:rsidRPr="00A33D3E">
        <w:rPr>
          <w:b/>
          <w:bCs/>
        </w:rPr>
        <w:t>”</w:t>
      </w:r>
      <w:r w:rsidR="008B41FA" w:rsidRPr="008B41FA">
        <w:t xml:space="preserve"> </w:t>
      </w:r>
      <w:r w:rsidR="008B41FA">
        <w:t xml:space="preserve">with entries in columns marked </w:t>
      </w:r>
      <w:r w:rsidR="00444BA4">
        <w:t>“Date”, “Amount” and “Reason”</w:t>
      </w:r>
      <w:r w:rsidR="00E97391">
        <w:t>. The</w:t>
      </w:r>
      <w:r w:rsidR="00EB7D06">
        <w:t>re are two rows with the Date entries for each row being “1 July 2014 to 30 September 2014” and “1 October 2014 to 31 December 2014” with</w:t>
      </w:r>
      <w:r w:rsidR="00E97391">
        <w:t xml:space="preserve"> Reason given</w:t>
      </w:r>
      <w:r w:rsidR="00EB7D06">
        <w:t xml:space="preserve"> in each row being</w:t>
      </w:r>
      <w:r w:rsidR="00E97391">
        <w:t xml:space="preserve"> “SGC”</w:t>
      </w:r>
      <w:r w:rsidR="00444BA4">
        <w:t>;</w:t>
      </w:r>
      <w:r w:rsidR="00D8231D">
        <w:t xml:space="preserve"> and </w:t>
      </w:r>
    </w:p>
    <w:p w14:paraId="37A95DCC" w14:textId="3A188745" w:rsidR="008172CA" w:rsidRDefault="006D48AC" w:rsidP="006D48AC">
      <w:pPr>
        <w:pStyle w:val="ListNo1"/>
        <w:numPr>
          <w:ilvl w:val="0"/>
          <w:numId w:val="0"/>
        </w:numPr>
        <w:tabs>
          <w:tab w:val="left" w:pos="1146"/>
        </w:tabs>
        <w:ind w:left="1146" w:hanging="720"/>
      </w:pPr>
      <w:r>
        <w:t>(3)</w:t>
      </w:r>
      <w:r>
        <w:tab/>
      </w:r>
      <w:r w:rsidR="00965C08" w:rsidRPr="00A33D3E">
        <w:rPr>
          <w:b/>
          <w:bCs/>
        </w:rPr>
        <w:t xml:space="preserve">Table 3 - </w:t>
      </w:r>
      <w:r w:rsidR="00D8231D" w:rsidRPr="00A33D3E">
        <w:rPr>
          <w:b/>
          <w:bCs/>
        </w:rPr>
        <w:t xml:space="preserve">“Office of State Revenue </w:t>
      </w:r>
      <w:r w:rsidR="00AD47AC" w:rsidRPr="00A33D3E">
        <w:rPr>
          <w:b/>
          <w:bCs/>
        </w:rPr>
        <w:t>Queensland”</w:t>
      </w:r>
      <w:r w:rsidR="008B41FA" w:rsidRPr="008B41FA">
        <w:t xml:space="preserve"> </w:t>
      </w:r>
      <w:r w:rsidR="008B41FA">
        <w:t>with entries in columns marked</w:t>
      </w:r>
      <w:r w:rsidR="006E13CA">
        <w:t xml:space="preserve"> “Date”, “Amount” and “Remarks”</w:t>
      </w:r>
      <w:r w:rsidR="00837BE7">
        <w:t xml:space="preserve">. The remarks entries are </w:t>
      </w:r>
      <w:r w:rsidR="008C00F5">
        <w:t xml:space="preserve">“Periodic liability [Month year]” and “Final Liability 01/07/15 to </w:t>
      </w:r>
      <w:r w:rsidR="007E7D71">
        <w:t>06/08/15”</w:t>
      </w:r>
      <w:r w:rsidR="00AD47AC">
        <w:t xml:space="preserve">. </w:t>
      </w:r>
      <w:r w:rsidR="00AE4A62">
        <w:t xml:space="preserve"> </w:t>
      </w:r>
      <w:r w:rsidR="00393E5B">
        <w:t xml:space="preserve"> </w:t>
      </w:r>
    </w:p>
    <w:p w14:paraId="5D9163D1" w14:textId="4F0CD371" w:rsidR="008172CA" w:rsidRDefault="006D48AC" w:rsidP="006D48AC">
      <w:pPr>
        <w:pStyle w:val="ParaNumbering"/>
        <w:numPr>
          <w:ilvl w:val="0"/>
          <w:numId w:val="0"/>
        </w:numPr>
        <w:ind w:hanging="720"/>
      </w:pPr>
      <w:r>
        <w:rPr>
          <w:sz w:val="20"/>
        </w:rPr>
        <w:lastRenderedPageBreak/>
        <w:t>23</w:t>
      </w:r>
      <w:r>
        <w:rPr>
          <w:sz w:val="20"/>
        </w:rPr>
        <w:tab/>
      </w:r>
      <w:r w:rsidR="00965C08">
        <w:t>To be clear, the tables are not numbered in the RDASOC – I have numbered the tables to facilitate ease of reference.</w:t>
      </w:r>
    </w:p>
    <w:p w14:paraId="3D86278E" w14:textId="60C70B64" w:rsidR="002259B5" w:rsidRDefault="006D48AC" w:rsidP="006D48AC">
      <w:pPr>
        <w:pStyle w:val="ParaNumbering"/>
        <w:numPr>
          <w:ilvl w:val="0"/>
          <w:numId w:val="0"/>
        </w:numPr>
        <w:ind w:hanging="720"/>
      </w:pPr>
      <w:r>
        <w:rPr>
          <w:sz w:val="20"/>
        </w:rPr>
        <w:t>24</w:t>
      </w:r>
      <w:r>
        <w:rPr>
          <w:sz w:val="20"/>
        </w:rPr>
        <w:tab/>
      </w:r>
      <w:r w:rsidR="00937B98">
        <w:t>The relevant issue on the present application is whether RDASOC[100], including the particulars incorporated in the proposed amendments, sufficiently exposes the case that Kaushik must meet</w:t>
      </w:r>
      <w:r w:rsidR="002C30EA">
        <w:t xml:space="preserve">. </w:t>
      </w:r>
      <w:r w:rsidR="0011576D">
        <w:t xml:space="preserve">As the dispute has narrowed, the pleading issue </w:t>
      </w:r>
      <w:r w:rsidR="00FC1422">
        <w:t>wa</w:t>
      </w:r>
      <w:r w:rsidR="0011576D">
        <w:t xml:space="preserve">s limited to the allegation </w:t>
      </w:r>
      <w:r w:rsidR="00E7351B">
        <w:t xml:space="preserve">directed to insolvent trading. In order to understand the way in which that allegation is </w:t>
      </w:r>
      <w:r w:rsidR="00FC1422">
        <w:t>exposed in the pleading</w:t>
      </w:r>
      <w:r w:rsidR="00BC3234">
        <w:t xml:space="preserve">, it is necessary to have regard to the earlier allegations made against Kaushik. I will summarise the </w:t>
      </w:r>
      <w:r w:rsidR="00FC1422">
        <w:t xml:space="preserve">main aspects of the </w:t>
      </w:r>
      <w:r w:rsidR="00BC3234">
        <w:t>pleading against Kaushik before</w:t>
      </w:r>
      <w:r w:rsidR="00FC1422">
        <w:t xml:space="preserve"> tur</w:t>
      </w:r>
      <w:r w:rsidR="00A648BF">
        <w:t>n</w:t>
      </w:r>
      <w:r w:rsidR="00FC1422">
        <w:t xml:space="preserve">ing to consider </w:t>
      </w:r>
      <w:r w:rsidR="00A648BF">
        <w:t>whether leave should be given in respect of the “particulars to RDASOC [100]”.</w:t>
      </w:r>
    </w:p>
    <w:p w14:paraId="65C5F9F4" w14:textId="60B026A2" w:rsidR="002C30EA" w:rsidRDefault="006D48AC" w:rsidP="006D48AC">
      <w:pPr>
        <w:pStyle w:val="ParaNumbering"/>
        <w:numPr>
          <w:ilvl w:val="0"/>
          <w:numId w:val="0"/>
        </w:numPr>
        <w:ind w:hanging="720"/>
      </w:pPr>
      <w:r>
        <w:rPr>
          <w:sz w:val="20"/>
        </w:rPr>
        <w:t>25</w:t>
      </w:r>
      <w:r>
        <w:rPr>
          <w:sz w:val="20"/>
        </w:rPr>
        <w:tab/>
      </w:r>
      <w:r w:rsidR="002C30EA">
        <w:t>The relevant allegations against Kaushik are as follows:</w:t>
      </w:r>
    </w:p>
    <w:p w14:paraId="22FA4FEC" w14:textId="0299C891" w:rsidR="005D2D82" w:rsidRDefault="006D48AC" w:rsidP="006D48AC">
      <w:pPr>
        <w:pStyle w:val="ListNo1"/>
        <w:numPr>
          <w:ilvl w:val="0"/>
          <w:numId w:val="0"/>
        </w:numPr>
        <w:tabs>
          <w:tab w:val="left" w:pos="1146"/>
        </w:tabs>
        <w:ind w:left="1146" w:hanging="720"/>
      </w:pPr>
      <w:r>
        <w:t>(1)</w:t>
      </w:r>
      <w:r>
        <w:tab/>
      </w:r>
      <w:r w:rsidR="00937B98">
        <w:t xml:space="preserve">that he is a </w:t>
      </w:r>
      <w:r w:rsidR="00937B98" w:rsidRPr="005D2D82">
        <w:rPr>
          <w:i/>
          <w:iCs/>
        </w:rPr>
        <w:t xml:space="preserve">de facto </w:t>
      </w:r>
      <w:r w:rsidR="00F47540">
        <w:t>(</w:t>
      </w:r>
      <w:r w:rsidR="00E13FFC">
        <w:t xml:space="preserve">RDASOC [16(h)]) </w:t>
      </w:r>
      <w:r w:rsidR="00937B98">
        <w:t>or shadow director</w:t>
      </w:r>
      <w:r w:rsidR="00CE47F2">
        <w:t xml:space="preserve"> of the </w:t>
      </w:r>
      <w:r w:rsidR="002F661D">
        <w:t>C</w:t>
      </w:r>
      <w:r w:rsidR="00CE47F2">
        <w:t>ompany</w:t>
      </w:r>
      <w:r w:rsidR="00937B98">
        <w:t xml:space="preserve"> </w:t>
      </w:r>
      <w:r w:rsidR="00E13FFC">
        <w:t>(RDASOC [16(i)])</w:t>
      </w:r>
      <w:r w:rsidR="005D2D82">
        <w:t>;</w:t>
      </w:r>
    </w:p>
    <w:p w14:paraId="3D215E87" w14:textId="7A21ED4E" w:rsidR="005D2D82" w:rsidRDefault="006D48AC" w:rsidP="006D48AC">
      <w:pPr>
        <w:pStyle w:val="ListNo1"/>
        <w:numPr>
          <w:ilvl w:val="0"/>
          <w:numId w:val="0"/>
        </w:numPr>
        <w:tabs>
          <w:tab w:val="left" w:pos="1146"/>
        </w:tabs>
        <w:ind w:left="1146" w:hanging="720"/>
      </w:pPr>
      <w:r>
        <w:t>(2)</w:t>
      </w:r>
      <w:r>
        <w:tab/>
      </w:r>
      <w:r w:rsidR="005D2D82">
        <w:t xml:space="preserve">as such, he owes </w:t>
      </w:r>
      <w:r w:rsidR="00995697">
        <w:t xml:space="preserve">fiduciary duties to the Company including </w:t>
      </w:r>
      <w:r w:rsidR="00995697" w:rsidRPr="00A33D3E">
        <w:rPr>
          <w:i/>
          <w:iCs/>
        </w:rPr>
        <w:t>inter alia</w:t>
      </w:r>
      <w:r w:rsidR="00995697">
        <w:t xml:space="preserve"> </w:t>
      </w:r>
      <w:r w:rsidR="00495DCE">
        <w:t>a duty to</w:t>
      </w:r>
      <w:r w:rsidR="00495DCE" w:rsidRPr="00495DCE">
        <w:t xml:space="preserve"> exercise his powers </w:t>
      </w:r>
      <w:r w:rsidR="00495DCE" w:rsidRPr="00A33D3E">
        <w:rPr>
          <w:i/>
          <w:iCs/>
        </w:rPr>
        <w:t>bona fid</w:t>
      </w:r>
      <w:r w:rsidR="00495DCE" w:rsidRPr="00495DCE">
        <w:t>e in the interests of the company as a whole</w:t>
      </w:r>
      <w:r w:rsidR="00495DCE">
        <w:t xml:space="preserve"> (RDASOC</w:t>
      </w:r>
      <w:r w:rsidR="00A32C85">
        <w:t> [17(c)]</w:t>
      </w:r>
      <w:r w:rsidR="00495DCE">
        <w:t>)</w:t>
      </w:r>
      <w:r w:rsidR="00495DCE" w:rsidRPr="00495DCE">
        <w:t xml:space="preserve"> and</w:t>
      </w:r>
      <w:r w:rsidR="00E13FFC">
        <w:t xml:space="preserve"> </w:t>
      </w:r>
      <w:r w:rsidR="00A27419" w:rsidRPr="00A27419">
        <w:t>to take into account the interests of the Company’s creditors when the Company was insolvent, or approaching insolvency</w:t>
      </w:r>
      <w:r w:rsidR="00A27419">
        <w:t xml:space="preserve"> (RDASOC [17(d)]);</w:t>
      </w:r>
    </w:p>
    <w:p w14:paraId="3AECB2AA" w14:textId="537E9FF8" w:rsidR="00E86898" w:rsidRPr="009E76B4" w:rsidRDefault="00E86898" w:rsidP="0086637D">
      <w:pPr>
        <w:pStyle w:val="NoNum"/>
        <w:ind w:left="2160" w:hanging="1734"/>
        <w:rPr>
          <w:i/>
        </w:rPr>
      </w:pPr>
      <w:r w:rsidRPr="009E76B4">
        <w:rPr>
          <w:i/>
        </w:rPr>
        <w:t>Initial Transfers</w:t>
      </w:r>
    </w:p>
    <w:p w14:paraId="3688B3A6" w14:textId="652C9375" w:rsidR="00A27419" w:rsidRDefault="006D48AC" w:rsidP="006D48AC">
      <w:pPr>
        <w:pStyle w:val="ListNo1"/>
        <w:numPr>
          <w:ilvl w:val="0"/>
          <w:numId w:val="0"/>
        </w:numPr>
        <w:tabs>
          <w:tab w:val="left" w:pos="1146"/>
        </w:tabs>
        <w:ind w:left="1146" w:hanging="720"/>
      </w:pPr>
      <w:r>
        <w:t>(3)</w:t>
      </w:r>
      <w:r>
        <w:tab/>
      </w:r>
      <w:r w:rsidR="00B82D4C">
        <w:t>that</w:t>
      </w:r>
      <w:r w:rsidR="008435C1">
        <w:t xml:space="preserve"> on 7 August 2015,</w:t>
      </w:r>
      <w:r w:rsidR="00B82D4C">
        <w:t xml:space="preserve"> he</w:t>
      </w:r>
      <w:r w:rsidR="00E3289C">
        <w:t xml:space="preserve"> “and/or” Om Wati effected </w:t>
      </w:r>
      <w:r w:rsidR="008435C1">
        <w:t>a series of tran</w:t>
      </w:r>
      <w:r w:rsidR="00FA7DCE">
        <w:t xml:space="preserve">sfers from the Company’s accounts to </w:t>
      </w:r>
      <w:r w:rsidR="00297E24">
        <w:t xml:space="preserve">an account of MI Stores (the </w:t>
      </w:r>
      <w:r w:rsidR="00297E24" w:rsidRPr="00CE47F2">
        <w:rPr>
          <w:b/>
          <w:bCs/>
        </w:rPr>
        <w:t>Initial Transfers</w:t>
      </w:r>
      <w:r w:rsidR="00297E24">
        <w:t>)</w:t>
      </w:r>
      <w:r w:rsidR="00DB5CC9">
        <w:t xml:space="preserve"> in circumstances where MI Stores had no legal entitlement to </w:t>
      </w:r>
      <w:r w:rsidR="00AE35D2">
        <w:t>receive the amounts transferred</w:t>
      </w:r>
      <w:r w:rsidR="00DA2423">
        <w:t>: RDASOC [60]</w:t>
      </w:r>
      <w:r w:rsidR="001271A0">
        <w:t xml:space="preserve"> to </w:t>
      </w:r>
      <w:r w:rsidR="00AE35D2">
        <w:t>[62]</w:t>
      </w:r>
      <w:r w:rsidR="00297E24">
        <w:t xml:space="preserve">; </w:t>
      </w:r>
    </w:p>
    <w:p w14:paraId="647A52B8" w14:textId="18F7600D" w:rsidR="00297E24" w:rsidRDefault="006D48AC" w:rsidP="006D48AC">
      <w:pPr>
        <w:pStyle w:val="ListNo1"/>
        <w:numPr>
          <w:ilvl w:val="0"/>
          <w:numId w:val="0"/>
        </w:numPr>
        <w:tabs>
          <w:tab w:val="left" w:pos="1146"/>
        </w:tabs>
        <w:ind w:left="1146" w:hanging="720"/>
      </w:pPr>
      <w:r>
        <w:t>(4)</w:t>
      </w:r>
      <w:r>
        <w:tab/>
      </w:r>
      <w:r w:rsidR="00AE35D2">
        <w:t xml:space="preserve">By effecting </w:t>
      </w:r>
      <w:r w:rsidR="00153934">
        <w:t>the Initial Transfers, he procured a breach of trust by the C</w:t>
      </w:r>
      <w:r w:rsidR="006A4E3C">
        <w:t>o</w:t>
      </w:r>
      <w:r w:rsidR="00153934">
        <w:t>mpany</w:t>
      </w:r>
      <w:r w:rsidR="006A4E3C">
        <w:t xml:space="preserve"> as the funds</w:t>
      </w:r>
      <w:r w:rsidR="007349FC">
        <w:t xml:space="preserve"> were trust funds held by the Company: RDASOC [62A];</w:t>
      </w:r>
    </w:p>
    <w:p w14:paraId="34337A04" w14:textId="63BE5CB4" w:rsidR="00085806" w:rsidRDefault="006D48AC" w:rsidP="006D48AC">
      <w:pPr>
        <w:pStyle w:val="ListNo1"/>
        <w:numPr>
          <w:ilvl w:val="0"/>
          <w:numId w:val="0"/>
        </w:numPr>
        <w:tabs>
          <w:tab w:val="left" w:pos="1146"/>
        </w:tabs>
        <w:ind w:left="1146" w:hanging="720"/>
      </w:pPr>
      <w:r>
        <w:t>(5)</w:t>
      </w:r>
      <w:r>
        <w:tab/>
      </w:r>
      <w:r w:rsidR="004570FF" w:rsidRPr="004570FF">
        <w:t xml:space="preserve">the Initial Transfers were a breach of </w:t>
      </w:r>
      <w:r w:rsidR="004570FF">
        <w:t>his</w:t>
      </w:r>
      <w:r w:rsidR="004570FF" w:rsidRPr="004570FF">
        <w:t xml:space="preserve"> fiduciary duty</w:t>
      </w:r>
      <w:r w:rsidR="00322B2E">
        <w:t xml:space="preserve">; </w:t>
      </w:r>
      <w:r w:rsidR="00AD6F05">
        <w:t>he was in a position of conflict between his duty to the Company and</w:t>
      </w:r>
      <w:r w:rsidR="00F2227F">
        <w:t xml:space="preserve"> his </w:t>
      </w:r>
      <w:r w:rsidR="00B94054">
        <w:t>own</w:t>
      </w:r>
      <w:r w:rsidR="00F2227F">
        <w:t xml:space="preserve"> interests and</w:t>
      </w:r>
      <w:r w:rsidR="00AD6F05">
        <w:t xml:space="preserve"> </w:t>
      </w:r>
      <w:r w:rsidR="00F2227F">
        <w:t>“</w:t>
      </w:r>
      <w:r w:rsidR="00F2227F" w:rsidRPr="00CE47F2">
        <w:t>the interests of MI Stores</w:t>
      </w:r>
      <w:r w:rsidR="00F2227F">
        <w:t>”</w:t>
      </w:r>
      <w:r w:rsidR="00322B2E">
        <w:t xml:space="preserve"> and the Initial Transfers had the effect of placing the </w:t>
      </w:r>
      <w:r w:rsidR="00C83769">
        <w:t>funds beyond the reach of the Comp</w:t>
      </w:r>
      <w:r w:rsidR="000C7E30">
        <w:t>any’s creditors</w:t>
      </w:r>
      <w:r w:rsidR="00F348F6">
        <w:t xml:space="preserve">: </w:t>
      </w:r>
      <w:r w:rsidR="00241EDA">
        <w:t>RDASOC [62B];</w:t>
      </w:r>
    </w:p>
    <w:p w14:paraId="6EB1C746" w14:textId="1DB5D523" w:rsidR="00AE36FD" w:rsidRDefault="006D48AC" w:rsidP="006D48AC">
      <w:pPr>
        <w:pStyle w:val="ListNo1"/>
        <w:numPr>
          <w:ilvl w:val="0"/>
          <w:numId w:val="0"/>
        </w:numPr>
        <w:tabs>
          <w:tab w:val="left" w:pos="1146"/>
        </w:tabs>
        <w:ind w:left="1146" w:hanging="720"/>
      </w:pPr>
      <w:r>
        <w:t>(6)</w:t>
      </w:r>
      <w:r>
        <w:tab/>
      </w:r>
      <w:r w:rsidR="00BD7FDD">
        <w:t xml:space="preserve">that the Initial Transfers </w:t>
      </w:r>
      <w:r w:rsidR="00BD7FDD" w:rsidRPr="00BD7FDD">
        <w:t>were part of a dishonest and fraudulent design on the part of Kaushik to misappropriate trust property under the control of the Company and defeat its return to creditors</w:t>
      </w:r>
      <w:r w:rsidR="00BD7FDD">
        <w:t xml:space="preserve">: </w:t>
      </w:r>
      <w:r w:rsidR="005F383C">
        <w:t>RDASOC [62C]</w:t>
      </w:r>
      <w:r w:rsidR="00AE36FD">
        <w:t>;</w:t>
      </w:r>
    </w:p>
    <w:p w14:paraId="401C7F91" w14:textId="3BD853D4" w:rsidR="001D3452" w:rsidRPr="00CE47F2" w:rsidRDefault="005D253E" w:rsidP="009E76B4">
      <w:pPr>
        <w:pStyle w:val="NoNum"/>
        <w:keepNext/>
        <w:ind w:left="2160" w:hanging="1735"/>
        <w:rPr>
          <w:i/>
          <w:iCs/>
        </w:rPr>
      </w:pPr>
      <w:r>
        <w:rPr>
          <w:i/>
          <w:iCs/>
        </w:rPr>
        <w:lastRenderedPageBreak/>
        <w:t>Execution of Trust Deed</w:t>
      </w:r>
    </w:p>
    <w:p w14:paraId="306C5215" w14:textId="053D5A17" w:rsidR="00951D18" w:rsidRDefault="006D48AC" w:rsidP="006D48AC">
      <w:pPr>
        <w:pStyle w:val="ListNo1"/>
        <w:numPr>
          <w:ilvl w:val="0"/>
          <w:numId w:val="0"/>
        </w:numPr>
        <w:tabs>
          <w:tab w:val="left" w:pos="1146"/>
        </w:tabs>
        <w:ind w:left="1146" w:hanging="720"/>
      </w:pPr>
      <w:r>
        <w:t>(7)</w:t>
      </w:r>
      <w:r>
        <w:tab/>
      </w:r>
      <w:r w:rsidR="00C319AA">
        <w:t>he breached his fiduciary</w:t>
      </w:r>
      <w:r w:rsidR="00B80516">
        <w:t xml:space="preserve"> duty</w:t>
      </w:r>
      <w:r w:rsidR="00C319AA">
        <w:t xml:space="preserve"> </w:t>
      </w:r>
      <w:r w:rsidR="006B7E5A">
        <w:t xml:space="preserve">in executing a trust deed </w:t>
      </w:r>
      <w:r w:rsidR="00160931">
        <w:t>allegedly dated 7</w:t>
      </w:r>
      <w:r w:rsidR="00411BDC">
        <w:t> </w:t>
      </w:r>
      <w:r w:rsidR="00160931">
        <w:t>August</w:t>
      </w:r>
      <w:r w:rsidR="00BE72E9">
        <w:t> </w:t>
      </w:r>
      <w:r w:rsidR="00160931">
        <w:t>2015</w:t>
      </w:r>
      <w:r w:rsidR="00160931" w:rsidRPr="006B7E5A">
        <w:t xml:space="preserve"> </w:t>
      </w:r>
      <w:r w:rsidR="00160931">
        <w:t xml:space="preserve">but allegedly created on 10 August 2015 </w:t>
      </w:r>
      <w:r w:rsidR="006B7E5A">
        <w:t xml:space="preserve">which purports to replace the Company as </w:t>
      </w:r>
      <w:r w:rsidR="003826BB">
        <w:t xml:space="preserve">the </w:t>
      </w:r>
      <w:r w:rsidR="006B7E5A">
        <w:t>trustee of the ND Stores Trust</w:t>
      </w:r>
      <w:r w:rsidR="006B7E5A" w:rsidRPr="006B7E5A">
        <w:t xml:space="preserve"> </w:t>
      </w:r>
      <w:r w:rsidR="006B7E5A">
        <w:t xml:space="preserve">with ND Stores (NSW) </w:t>
      </w:r>
      <w:r w:rsidR="003826BB">
        <w:t>and thereby placed</w:t>
      </w:r>
      <w:r w:rsidR="004E6421" w:rsidRPr="004E6421">
        <w:t xml:space="preserve"> trust assets of</w:t>
      </w:r>
      <w:r w:rsidR="004E6421">
        <w:t xml:space="preserve"> </w:t>
      </w:r>
      <w:r w:rsidR="003826BB" w:rsidRPr="003826BB">
        <w:t xml:space="preserve">the ND Stores Trust under the control of ND Stores (NSW), without ND Stores (NSW) </w:t>
      </w:r>
      <w:r w:rsidR="003826BB">
        <w:t>assuming</w:t>
      </w:r>
      <w:r w:rsidR="003826BB" w:rsidRPr="003826BB">
        <w:t xml:space="preserve"> any of the liabilities of the Company to its creditors</w:t>
      </w:r>
      <w:r w:rsidR="003826BB">
        <w:t>: RDASOC [</w:t>
      </w:r>
      <w:r w:rsidR="0071275F">
        <w:t>69</w:t>
      </w:r>
      <w:r w:rsidR="003826BB">
        <w:t>]</w:t>
      </w:r>
      <w:r w:rsidR="00B80516">
        <w:t xml:space="preserve"> to </w:t>
      </w:r>
      <w:r w:rsidR="0071275F">
        <w:t>[</w:t>
      </w:r>
      <w:r w:rsidR="00951D18">
        <w:t>70B];</w:t>
      </w:r>
    </w:p>
    <w:p w14:paraId="4DC920FB" w14:textId="2A75D371" w:rsidR="00951D18" w:rsidRDefault="006D48AC" w:rsidP="006D48AC">
      <w:pPr>
        <w:pStyle w:val="ListNo1"/>
        <w:numPr>
          <w:ilvl w:val="0"/>
          <w:numId w:val="0"/>
        </w:numPr>
        <w:tabs>
          <w:tab w:val="left" w:pos="1146"/>
        </w:tabs>
        <w:ind w:left="1146" w:hanging="720"/>
      </w:pPr>
      <w:r>
        <w:t>(8)</w:t>
      </w:r>
      <w:r>
        <w:tab/>
      </w:r>
      <w:r w:rsidR="00E62F97" w:rsidRPr="00E62F97">
        <w:t xml:space="preserve">the execution of the </w:t>
      </w:r>
      <w:r w:rsidR="00E62F97">
        <w:t>Trust Deed</w:t>
      </w:r>
      <w:r w:rsidR="00E62F97" w:rsidRPr="00E62F97">
        <w:t xml:space="preserve"> when </w:t>
      </w:r>
      <w:r w:rsidR="00E62F97">
        <w:t>he</w:t>
      </w:r>
      <w:r w:rsidR="00227B38">
        <w:t xml:space="preserve"> </w:t>
      </w:r>
      <w:r w:rsidR="00E62F97" w:rsidRPr="00E62F97">
        <w:t xml:space="preserve">had earlier effected </w:t>
      </w:r>
      <w:r w:rsidR="00E62F97">
        <w:t>Initial Transfers</w:t>
      </w:r>
      <w:r w:rsidR="00E62F97" w:rsidRPr="00E62F97">
        <w:t xml:space="preserve"> was part of a dishonest and fraudulent design to misappropriate trust property under the control of the Company and defeat its return to creditors</w:t>
      </w:r>
      <w:r w:rsidR="00951D18">
        <w:t>: RDASOC [</w:t>
      </w:r>
      <w:r w:rsidR="00E62F97">
        <w:t>70</w:t>
      </w:r>
      <w:r w:rsidR="00951D18">
        <w:t>C];</w:t>
      </w:r>
    </w:p>
    <w:p w14:paraId="5C9FA7E1" w14:textId="2B73221D" w:rsidR="00C319AA" w:rsidRPr="00CE47F2" w:rsidRDefault="00810F09" w:rsidP="009E76B4">
      <w:pPr>
        <w:pStyle w:val="NoNum"/>
        <w:keepNext/>
        <w:ind w:left="2160" w:hanging="1735"/>
        <w:rPr>
          <w:i/>
          <w:iCs/>
        </w:rPr>
      </w:pPr>
      <w:r>
        <w:rPr>
          <w:i/>
          <w:iCs/>
        </w:rPr>
        <w:t>Accolade Transfer</w:t>
      </w:r>
    </w:p>
    <w:p w14:paraId="5F08EEED" w14:textId="2D79887C" w:rsidR="001D172A" w:rsidRDefault="006D48AC" w:rsidP="006D48AC">
      <w:pPr>
        <w:pStyle w:val="ListNo1"/>
        <w:numPr>
          <w:ilvl w:val="0"/>
          <w:numId w:val="0"/>
        </w:numPr>
        <w:tabs>
          <w:tab w:val="left" w:pos="1146"/>
        </w:tabs>
        <w:ind w:left="1146" w:hanging="720"/>
      </w:pPr>
      <w:r>
        <w:t>(9)</w:t>
      </w:r>
      <w:r>
        <w:tab/>
      </w:r>
      <w:r w:rsidR="00953ED6" w:rsidRPr="00953ED6">
        <w:t>On 18 August 2015, Kaushik effected a transfer from MI Stores Account in the sum of $747,038.55 to the Accolade</w:t>
      </w:r>
      <w:r w:rsidR="00B63753">
        <w:t xml:space="preserve"> (the </w:t>
      </w:r>
      <w:r w:rsidR="00B63753" w:rsidRPr="00525AA5">
        <w:rPr>
          <w:b/>
          <w:bCs/>
        </w:rPr>
        <w:t>Accolade Transfer</w:t>
      </w:r>
      <w:r w:rsidR="00B63753">
        <w:t>)</w:t>
      </w:r>
      <w:r w:rsidR="005D7869">
        <w:t xml:space="preserve">: </w:t>
      </w:r>
      <w:r w:rsidR="001D172A">
        <w:t>RDASOC [73];</w:t>
      </w:r>
    </w:p>
    <w:p w14:paraId="52AC672B" w14:textId="1A1EDFB9" w:rsidR="00A30273" w:rsidRDefault="006D48AC" w:rsidP="006D48AC">
      <w:pPr>
        <w:pStyle w:val="ListNo1"/>
        <w:numPr>
          <w:ilvl w:val="0"/>
          <w:numId w:val="0"/>
        </w:numPr>
        <w:tabs>
          <w:tab w:val="left" w:pos="1146"/>
        </w:tabs>
        <w:ind w:left="1146" w:hanging="720"/>
      </w:pPr>
      <w:r>
        <w:t>(10)</w:t>
      </w:r>
      <w:r>
        <w:tab/>
      </w:r>
      <w:r w:rsidR="0051011C" w:rsidRPr="0051011C">
        <w:t>The Accolade Transfer was in breach of trust as the funds were the traceable product of trust property previously under the control of the Company in its capacity as trustee of the ND Stores Trust, at the time held on trust for the Company by MI Stores</w:t>
      </w:r>
      <w:r w:rsidR="0051011C">
        <w:t>: RDASOC [</w:t>
      </w:r>
      <w:r w:rsidR="00A30273">
        <w:t>73B], [74A</w:t>
      </w:r>
      <w:r w:rsidR="00091188">
        <w:t>(a)]</w:t>
      </w:r>
      <w:r w:rsidR="00A30273">
        <w:t>;</w:t>
      </w:r>
      <w:r w:rsidR="00EA0693">
        <w:t xml:space="preserve"> and</w:t>
      </w:r>
    </w:p>
    <w:p w14:paraId="03F7069F" w14:textId="3929F814" w:rsidR="00093AAD" w:rsidRDefault="006D48AC" w:rsidP="006D48AC">
      <w:pPr>
        <w:pStyle w:val="ListNo1"/>
        <w:numPr>
          <w:ilvl w:val="0"/>
          <w:numId w:val="0"/>
        </w:numPr>
        <w:tabs>
          <w:tab w:val="left" w:pos="1146"/>
        </w:tabs>
        <w:ind w:left="1146" w:hanging="720"/>
      </w:pPr>
      <w:r>
        <w:t>(11)</w:t>
      </w:r>
      <w:r>
        <w:tab/>
      </w:r>
      <w:r w:rsidR="00093AAD" w:rsidRPr="00093AAD">
        <w:t>the Accolade Transfer was</w:t>
      </w:r>
      <w:r w:rsidR="008D170C">
        <w:t xml:space="preserve"> </w:t>
      </w:r>
      <w:r w:rsidR="00747C53">
        <w:t xml:space="preserve">a breach of his </w:t>
      </w:r>
      <w:r w:rsidR="00831B80">
        <w:t>fiduciary</w:t>
      </w:r>
      <w:r w:rsidR="00747C53">
        <w:t xml:space="preserve"> duty owed to the Company and</w:t>
      </w:r>
      <w:r w:rsidR="00093AAD" w:rsidRPr="00093AAD">
        <w:t xml:space="preserve"> part of a dishonest and fraudulent design on the part of Kaushik to misappropriate trust property under the control of the Company and defeat its return to creditors</w:t>
      </w:r>
      <w:r w:rsidR="00093AAD">
        <w:t xml:space="preserve"> </w:t>
      </w:r>
      <w:r w:rsidR="00C92D54">
        <w:t xml:space="preserve">for reasons </w:t>
      </w:r>
      <w:r w:rsidR="00227B38">
        <w:t xml:space="preserve">which </w:t>
      </w:r>
      <w:r w:rsidR="00C92D54">
        <w:t>substantially</w:t>
      </w:r>
      <w:r w:rsidR="00227B38">
        <w:t xml:space="preserve"> mirror </w:t>
      </w:r>
      <w:r w:rsidR="00227B38">
        <w:rPr>
          <w:i/>
          <w:iCs/>
        </w:rPr>
        <w:t xml:space="preserve">mutatis mutandis </w:t>
      </w:r>
      <w:r w:rsidR="00227B38">
        <w:t xml:space="preserve">those alleged in respect of the </w:t>
      </w:r>
      <w:r w:rsidR="006F23A4">
        <w:t>earlier allegations: RDASOC [</w:t>
      </w:r>
      <w:r w:rsidR="008D170C">
        <w:t>73A</w:t>
      </w:r>
      <w:r w:rsidR="006F23A4">
        <w:t>]</w:t>
      </w:r>
      <w:r w:rsidR="002270A2">
        <w:t xml:space="preserve"> to </w:t>
      </w:r>
      <w:r w:rsidR="006F23A4">
        <w:t>[</w:t>
      </w:r>
      <w:r w:rsidR="008D170C">
        <w:t>74A</w:t>
      </w:r>
      <w:r w:rsidR="006F23A4">
        <w:t>]</w:t>
      </w:r>
      <w:r w:rsidR="00EA0693">
        <w:t>.</w:t>
      </w:r>
      <w:r w:rsidR="00093AAD">
        <w:t xml:space="preserve"> </w:t>
      </w:r>
    </w:p>
    <w:p w14:paraId="6FD75133" w14:textId="6A6ED68E" w:rsidR="00DE6B74" w:rsidRDefault="006D48AC" w:rsidP="006D48AC">
      <w:pPr>
        <w:pStyle w:val="ParaNumbering"/>
        <w:numPr>
          <w:ilvl w:val="0"/>
          <w:numId w:val="0"/>
        </w:numPr>
        <w:ind w:hanging="720"/>
      </w:pPr>
      <w:r>
        <w:rPr>
          <w:sz w:val="20"/>
        </w:rPr>
        <w:t>26</w:t>
      </w:r>
      <w:r>
        <w:rPr>
          <w:sz w:val="20"/>
        </w:rPr>
        <w:tab/>
      </w:r>
      <w:r w:rsidR="00EA0693">
        <w:t xml:space="preserve">The </w:t>
      </w:r>
      <w:r w:rsidR="005D2701">
        <w:t>“</w:t>
      </w:r>
      <w:r w:rsidR="00EA0693">
        <w:t>equitable and accessorial claims</w:t>
      </w:r>
      <w:r w:rsidR="005D2701">
        <w:t>”</w:t>
      </w:r>
      <w:r w:rsidR="00EA0693">
        <w:t xml:space="preserve"> against Kaushik are then pleaded at RDASOC [98]</w:t>
      </w:r>
      <w:r w:rsidR="00DE6B74">
        <w:t xml:space="preserve"> as follows:</w:t>
      </w:r>
    </w:p>
    <w:p w14:paraId="383EC5C1" w14:textId="77777777" w:rsidR="005D2691" w:rsidRDefault="005D2691" w:rsidP="00566147">
      <w:pPr>
        <w:pStyle w:val="Quote1"/>
      </w:pPr>
      <w:r>
        <w:t>…</w:t>
      </w:r>
      <w:r w:rsidR="00EA0693">
        <w:t>.</w:t>
      </w:r>
      <w:r>
        <w:t xml:space="preserve"> in making and/or procuring, and/or participating in:</w:t>
      </w:r>
    </w:p>
    <w:p w14:paraId="5B353FA6" w14:textId="41B60E7A" w:rsidR="005D2691" w:rsidRDefault="005D2691" w:rsidP="00566147">
      <w:pPr>
        <w:pStyle w:val="Quote1"/>
      </w:pPr>
      <w:r>
        <w:t>(a)</w:t>
      </w:r>
      <w:r w:rsidR="00BD1F6B">
        <w:tab/>
      </w:r>
      <w:r>
        <w:t>the Initial Transfers; and</w:t>
      </w:r>
    </w:p>
    <w:p w14:paraId="24D7A889" w14:textId="119639AC" w:rsidR="005D2691" w:rsidRDefault="005D2691" w:rsidP="00566147">
      <w:pPr>
        <w:pStyle w:val="Quote1"/>
      </w:pPr>
      <w:r>
        <w:t>(b)</w:t>
      </w:r>
      <w:r w:rsidR="000A01ED">
        <w:tab/>
      </w:r>
      <w:r>
        <w:t>the Accolade Transfer,</w:t>
      </w:r>
    </w:p>
    <w:p w14:paraId="69FBD814" w14:textId="3494C1F6" w:rsidR="000C7E30" w:rsidRDefault="005D2691" w:rsidP="00566147">
      <w:pPr>
        <w:pStyle w:val="Quote1"/>
      </w:pPr>
      <w:r>
        <w:t xml:space="preserve">and by executing the </w:t>
      </w:r>
      <w:r w:rsidR="00F7087F">
        <w:t>[trust deed]</w:t>
      </w:r>
      <w:r>
        <w:t>, Kaushik:</w:t>
      </w:r>
    </w:p>
    <w:p w14:paraId="0F01F092" w14:textId="7BD248E1" w:rsidR="00627194" w:rsidRDefault="00627194" w:rsidP="00566147">
      <w:pPr>
        <w:pStyle w:val="Quote1"/>
      </w:pPr>
      <w:r>
        <w:t>(c)</w:t>
      </w:r>
      <w:r w:rsidR="000A01ED">
        <w:tab/>
      </w:r>
      <w:r>
        <w:t>procured a breach of trust with respect to trust property of the Company; and/or</w:t>
      </w:r>
    </w:p>
    <w:p w14:paraId="5876CB68" w14:textId="144058A0" w:rsidR="00627194" w:rsidRDefault="00627194" w:rsidP="00566147">
      <w:pPr>
        <w:pStyle w:val="Quote1"/>
      </w:pPr>
      <w:r>
        <w:t>(d)</w:t>
      </w:r>
      <w:r w:rsidR="000A01ED">
        <w:tab/>
      </w:r>
      <w:r>
        <w:t>breached the fiduciary duties he owed to the Company; and</w:t>
      </w:r>
      <w:r w:rsidR="0031709E">
        <w:t xml:space="preserve"> </w:t>
      </w:r>
    </w:p>
    <w:p w14:paraId="708B3705" w14:textId="71C2E26E" w:rsidR="00845BB7" w:rsidRDefault="00845BB7" w:rsidP="00566147">
      <w:pPr>
        <w:pStyle w:val="Quote1"/>
      </w:pPr>
      <w:r>
        <w:t>…</w:t>
      </w:r>
    </w:p>
    <w:p w14:paraId="38A044A0" w14:textId="39BB62EC" w:rsidR="00711DEA" w:rsidRDefault="00711DEA" w:rsidP="0086637D">
      <w:pPr>
        <w:pStyle w:val="Quote1"/>
        <w:ind w:left="1440" w:hanging="703"/>
      </w:pPr>
      <w:r w:rsidRPr="00711DEA">
        <w:lastRenderedPageBreak/>
        <w:t>(e)</w:t>
      </w:r>
      <w:r w:rsidR="009D7683">
        <w:tab/>
      </w:r>
      <w:r w:rsidRPr="00711DEA">
        <w:t>in committing each of these breaches, engaged in a dishonest and fraudulent design to misappropriate trust property under the control of the Company and defeat its return to creditors.</w:t>
      </w:r>
    </w:p>
    <w:p w14:paraId="4A3F4EE6" w14:textId="76FB95D5" w:rsidR="00627194" w:rsidRDefault="00627194" w:rsidP="00566147">
      <w:pPr>
        <w:pStyle w:val="Quote1"/>
      </w:pPr>
      <w:r>
        <w:t>…</w:t>
      </w:r>
    </w:p>
    <w:p w14:paraId="296E5A08" w14:textId="48B0FF74" w:rsidR="00DD212A" w:rsidRDefault="00DD212A" w:rsidP="00FE4D0E">
      <w:pPr>
        <w:pStyle w:val="NoNum"/>
        <w:ind w:left="709"/>
      </w:pPr>
      <w:r>
        <w:t>(mark up omitted)</w:t>
      </w:r>
    </w:p>
    <w:p w14:paraId="2F3D7E62" w14:textId="2B8A0F04" w:rsidR="00F07D04" w:rsidRDefault="006D48AC" w:rsidP="006D48AC">
      <w:pPr>
        <w:pStyle w:val="ParaNumbering"/>
        <w:numPr>
          <w:ilvl w:val="0"/>
          <w:numId w:val="0"/>
        </w:numPr>
        <w:ind w:hanging="720"/>
      </w:pPr>
      <w:r>
        <w:rPr>
          <w:sz w:val="20"/>
        </w:rPr>
        <w:t>27</w:t>
      </w:r>
      <w:r>
        <w:rPr>
          <w:sz w:val="20"/>
        </w:rPr>
        <w:tab/>
      </w:r>
      <w:r w:rsidR="00832ABA">
        <w:t>For present purposes, t</w:t>
      </w:r>
      <w:r w:rsidR="00C20AB7">
        <w:t xml:space="preserve">he </w:t>
      </w:r>
      <w:r w:rsidR="00832ABA">
        <w:t xml:space="preserve">relevant </w:t>
      </w:r>
      <w:r w:rsidR="00C20AB7">
        <w:t xml:space="preserve">allegations in relation to the claims for insolvent trading </w:t>
      </w:r>
      <w:r w:rsidR="00F07D04">
        <w:t>against Kaushik are as follows:</w:t>
      </w:r>
    </w:p>
    <w:p w14:paraId="168F7AF8" w14:textId="52BCAEC8" w:rsidR="00F07D04" w:rsidRDefault="006D48AC" w:rsidP="006D48AC">
      <w:pPr>
        <w:pStyle w:val="ListNo1"/>
        <w:numPr>
          <w:ilvl w:val="0"/>
          <w:numId w:val="0"/>
        </w:numPr>
        <w:tabs>
          <w:tab w:val="left" w:pos="1146"/>
        </w:tabs>
        <w:ind w:left="1146" w:hanging="720"/>
      </w:pPr>
      <w:r>
        <w:t>(1)</w:t>
      </w:r>
      <w:r>
        <w:tab/>
      </w:r>
      <w:r w:rsidR="00C576B7" w:rsidRPr="00C576B7">
        <w:t>Between 30 June 2014 and 7 August 2015 (</w:t>
      </w:r>
      <w:r w:rsidR="00C576B7" w:rsidRPr="006E7627">
        <w:rPr>
          <w:b/>
          <w:bCs/>
        </w:rPr>
        <w:t>Relevant Period</w:t>
      </w:r>
      <w:r w:rsidR="00C576B7" w:rsidRPr="00C576B7">
        <w:t>) the Company incurred debts in the total sum of $1,228,628.23 (</w:t>
      </w:r>
      <w:r w:rsidR="00C576B7" w:rsidRPr="006E7627">
        <w:rPr>
          <w:b/>
          <w:bCs/>
        </w:rPr>
        <w:t>Insolvent Debts</w:t>
      </w:r>
      <w:r w:rsidR="00C576B7" w:rsidRPr="00C576B7">
        <w:t xml:space="preserve">) to the </w:t>
      </w:r>
      <w:r w:rsidR="00BA74D9">
        <w:t>Australian Taxation Office (</w:t>
      </w:r>
      <w:r w:rsidR="00BA74D9" w:rsidRPr="006E7627">
        <w:rPr>
          <w:b/>
          <w:bCs/>
        </w:rPr>
        <w:t>ATO</w:t>
      </w:r>
      <w:r w:rsidR="00BA74D9">
        <w:t xml:space="preserve">) and Office of State Revenue Qld </w:t>
      </w:r>
      <w:r w:rsidR="00C576B7" w:rsidRPr="00C576B7">
        <w:t>creditors (</w:t>
      </w:r>
      <w:r w:rsidR="00C576B7" w:rsidRPr="006E7627">
        <w:rPr>
          <w:b/>
          <w:bCs/>
        </w:rPr>
        <w:t>Creditors</w:t>
      </w:r>
      <w:r w:rsidR="00C576B7" w:rsidRPr="00C576B7">
        <w:t>)</w:t>
      </w:r>
      <w:r w:rsidR="0058424B">
        <w:t>: RDASOC [</w:t>
      </w:r>
      <w:r w:rsidR="00DB3039">
        <w:t>100</w:t>
      </w:r>
      <w:r w:rsidR="0058424B">
        <w:t>];</w:t>
      </w:r>
    </w:p>
    <w:p w14:paraId="36716444" w14:textId="4D084E9D" w:rsidR="0058424B" w:rsidRDefault="006D48AC" w:rsidP="006D48AC">
      <w:pPr>
        <w:pStyle w:val="ListNo1"/>
        <w:numPr>
          <w:ilvl w:val="0"/>
          <w:numId w:val="0"/>
        </w:numPr>
        <w:tabs>
          <w:tab w:val="left" w:pos="1146"/>
        </w:tabs>
        <w:ind w:left="1146" w:hanging="720"/>
      </w:pPr>
      <w:r>
        <w:t>(2)</w:t>
      </w:r>
      <w:r>
        <w:tab/>
      </w:r>
      <w:r w:rsidR="00DD51CC">
        <w:t>That he</w:t>
      </w:r>
      <w:r w:rsidR="004F4C4F" w:rsidRPr="004F4C4F">
        <w:t xml:space="preserve"> was a shadow and/or de facto director of the Company during the Relevant Period</w:t>
      </w:r>
      <w:r w:rsidR="004F4C4F">
        <w:t>: RDASOC [101];</w:t>
      </w:r>
    </w:p>
    <w:p w14:paraId="3B094BF4" w14:textId="60A5A06D" w:rsidR="004F4C4F" w:rsidRDefault="006D48AC" w:rsidP="006D48AC">
      <w:pPr>
        <w:pStyle w:val="ListNo1"/>
        <w:numPr>
          <w:ilvl w:val="0"/>
          <w:numId w:val="0"/>
        </w:numPr>
        <w:tabs>
          <w:tab w:val="left" w:pos="1146"/>
        </w:tabs>
        <w:ind w:left="1146" w:hanging="720"/>
      </w:pPr>
      <w:r>
        <w:t>(3)</w:t>
      </w:r>
      <w:r>
        <w:tab/>
      </w:r>
      <w:r w:rsidR="00542029" w:rsidRPr="00542029">
        <w:t>Since 30 June 2014 and at all material times the Company was insolvent</w:t>
      </w:r>
      <w:r w:rsidR="00542029">
        <w:t>: RDASOC</w:t>
      </w:r>
      <w:r w:rsidR="007E7A1C">
        <w:t> </w:t>
      </w:r>
      <w:r w:rsidR="00542029">
        <w:t>[102];</w:t>
      </w:r>
    </w:p>
    <w:p w14:paraId="2AB23E1D" w14:textId="2089C70A" w:rsidR="00600417" w:rsidRDefault="006D48AC" w:rsidP="006D48AC">
      <w:pPr>
        <w:pStyle w:val="ListNo1"/>
        <w:numPr>
          <w:ilvl w:val="0"/>
          <w:numId w:val="0"/>
        </w:numPr>
        <w:tabs>
          <w:tab w:val="left" w:pos="1146"/>
        </w:tabs>
        <w:ind w:left="1146" w:hanging="720"/>
      </w:pPr>
      <w:r>
        <w:t>(4)</w:t>
      </w:r>
      <w:r>
        <w:tab/>
      </w:r>
      <w:r w:rsidR="007E7A1C">
        <w:t>The particulars to RDASOC</w:t>
      </w:r>
      <w:r w:rsidR="0095382B">
        <w:t> [102] include</w:t>
      </w:r>
      <w:r w:rsidR="00600417">
        <w:t>:</w:t>
      </w:r>
    </w:p>
    <w:p w14:paraId="62A0320A" w14:textId="77777777" w:rsidR="00E604CE" w:rsidRDefault="00E604CE" w:rsidP="00EC461E">
      <w:pPr>
        <w:pStyle w:val="Quote2"/>
      </w:pPr>
      <w:r>
        <w:t>…</w:t>
      </w:r>
    </w:p>
    <w:p w14:paraId="19C7D390" w14:textId="6536A375" w:rsidR="003B0FBA" w:rsidRPr="00EC461E" w:rsidRDefault="003B0FBA" w:rsidP="00EC461E">
      <w:pPr>
        <w:pStyle w:val="Quote2"/>
        <w:rPr>
          <w:i/>
        </w:rPr>
      </w:pPr>
      <w:r w:rsidRPr="00EC461E">
        <w:rPr>
          <w:i/>
        </w:rPr>
        <w:t>(b)</w:t>
      </w:r>
      <w:r w:rsidR="004C667D">
        <w:rPr>
          <w:i/>
        </w:rPr>
        <w:tab/>
      </w:r>
      <w:r w:rsidRPr="00EC461E">
        <w:rPr>
          <w:i/>
        </w:rPr>
        <w:t>Non-payment of an increasing ATO Running Balance Account debt;</w:t>
      </w:r>
    </w:p>
    <w:p w14:paraId="220BF323" w14:textId="4714E24A" w:rsidR="003B0FBA" w:rsidRPr="00EC461E" w:rsidRDefault="003B0FBA" w:rsidP="00EC461E">
      <w:pPr>
        <w:pStyle w:val="Quote2"/>
        <w:rPr>
          <w:i/>
        </w:rPr>
      </w:pPr>
      <w:r w:rsidRPr="00EC461E">
        <w:rPr>
          <w:i/>
        </w:rPr>
        <w:t>(c)</w:t>
      </w:r>
      <w:r w:rsidR="004C667D">
        <w:rPr>
          <w:i/>
        </w:rPr>
        <w:tab/>
      </w:r>
      <w:r w:rsidRPr="00EC461E">
        <w:rPr>
          <w:i/>
        </w:rPr>
        <w:t>A failure to comply with an ATO debt repayment plan;</w:t>
      </w:r>
    </w:p>
    <w:p w14:paraId="3F7B458E" w14:textId="11582A85" w:rsidR="003B0FBA" w:rsidRPr="00EC461E" w:rsidRDefault="003B0FBA" w:rsidP="00EC461E">
      <w:pPr>
        <w:pStyle w:val="Quote2"/>
        <w:rPr>
          <w:i/>
        </w:rPr>
      </w:pPr>
      <w:r w:rsidRPr="00EC461E">
        <w:rPr>
          <w:i/>
        </w:rPr>
        <w:t>(d)</w:t>
      </w:r>
      <w:r w:rsidR="004C667D">
        <w:rPr>
          <w:i/>
        </w:rPr>
        <w:tab/>
      </w:r>
      <w:r w:rsidRPr="00EC461E">
        <w:rPr>
          <w:i/>
        </w:rPr>
        <w:t>Non-payment of SGC liabilities subsequent to 30 June 2014;</w:t>
      </w:r>
    </w:p>
    <w:p w14:paraId="7C26F6E5" w14:textId="768F54D6" w:rsidR="00542029" w:rsidRPr="00EC461E" w:rsidRDefault="003B0FBA" w:rsidP="00EC461E">
      <w:pPr>
        <w:pStyle w:val="Quote2"/>
        <w:rPr>
          <w:i/>
        </w:rPr>
      </w:pPr>
      <w:r w:rsidRPr="00EC461E">
        <w:rPr>
          <w:i/>
        </w:rPr>
        <w:t>(e)</w:t>
      </w:r>
      <w:r w:rsidR="004C667D">
        <w:rPr>
          <w:i/>
        </w:rPr>
        <w:tab/>
      </w:r>
      <w:r w:rsidRPr="00EC461E">
        <w:rPr>
          <w:i/>
        </w:rPr>
        <w:t xml:space="preserve">Unreported and unpaid OSR Qld Payroll Taxes; </w:t>
      </w:r>
      <w:r w:rsidR="0095382B" w:rsidRPr="00EC461E">
        <w:rPr>
          <w:i/>
        </w:rPr>
        <w:t xml:space="preserve"> </w:t>
      </w:r>
    </w:p>
    <w:p w14:paraId="1A16406B" w14:textId="0A5276B5" w:rsidR="008B6AE2" w:rsidRDefault="008B6AE2" w:rsidP="00EC461E">
      <w:pPr>
        <w:pStyle w:val="Quote2"/>
      </w:pPr>
      <w:r>
        <w:t>…</w:t>
      </w:r>
    </w:p>
    <w:p w14:paraId="213647D9" w14:textId="2A29CC27" w:rsidR="00E604CE" w:rsidRDefault="006D48AC" w:rsidP="006D48AC">
      <w:pPr>
        <w:pStyle w:val="ListNo1"/>
        <w:numPr>
          <w:ilvl w:val="0"/>
          <w:numId w:val="0"/>
        </w:numPr>
        <w:tabs>
          <w:tab w:val="left" w:pos="1146"/>
        </w:tabs>
        <w:ind w:left="1146" w:hanging="720"/>
      </w:pPr>
      <w:r>
        <w:t>(5)</w:t>
      </w:r>
      <w:r>
        <w:tab/>
      </w:r>
      <w:r w:rsidR="008B6AE2">
        <w:t xml:space="preserve">That he </w:t>
      </w:r>
      <w:r w:rsidR="008E5DC7">
        <w:t>“</w:t>
      </w:r>
      <w:r w:rsidR="008B6AE2">
        <w:t xml:space="preserve">was </w:t>
      </w:r>
      <w:r w:rsidR="008E5DC7" w:rsidRPr="008E5DC7">
        <w:t>aware at all times during the Relevant Period that the Company was insolvent when the Insolvent Debts were incurred, or that the Company would become insolvent by incurring the Insolvent Debts</w:t>
      </w:r>
      <w:r w:rsidR="008E5DC7">
        <w:t>”: RD</w:t>
      </w:r>
      <w:r w:rsidR="00B77787">
        <w:t>ASOC [103]</w:t>
      </w:r>
      <w:r w:rsidR="00036D70">
        <w:t>.</w:t>
      </w:r>
    </w:p>
    <w:p w14:paraId="44BD5631" w14:textId="0ED20581" w:rsidR="009447BB" w:rsidRDefault="006D48AC" w:rsidP="006D48AC">
      <w:pPr>
        <w:pStyle w:val="ListNo1"/>
        <w:numPr>
          <w:ilvl w:val="0"/>
          <w:numId w:val="0"/>
        </w:numPr>
        <w:tabs>
          <w:tab w:val="left" w:pos="1146"/>
        </w:tabs>
        <w:ind w:left="1146" w:hanging="720"/>
      </w:pPr>
      <w:r>
        <w:t>(6)</w:t>
      </w:r>
      <w:r>
        <w:tab/>
      </w:r>
      <w:r w:rsidR="00036D70">
        <w:t>The particulars to RDASOC [103]</w:t>
      </w:r>
      <w:r w:rsidR="009447BB">
        <w:t>:</w:t>
      </w:r>
    </w:p>
    <w:p w14:paraId="5CFF2DEB" w14:textId="78F29F31" w:rsidR="00036D70" w:rsidRDefault="006D48AC" w:rsidP="006D48AC">
      <w:pPr>
        <w:pStyle w:val="ListNo2"/>
        <w:numPr>
          <w:ilvl w:val="0"/>
          <w:numId w:val="0"/>
        </w:numPr>
        <w:tabs>
          <w:tab w:val="left" w:pos="1440"/>
        </w:tabs>
        <w:ind w:left="1440" w:hanging="720"/>
      </w:pPr>
      <w:r>
        <w:t>(a)</w:t>
      </w:r>
      <w:r>
        <w:tab/>
      </w:r>
      <w:r w:rsidR="00036D70">
        <w:t xml:space="preserve">repeat </w:t>
      </w:r>
      <w:r w:rsidR="00652210">
        <w:t xml:space="preserve">RDASOC </w:t>
      </w:r>
      <w:r w:rsidR="001026EF">
        <w:t xml:space="preserve">[16(g) to (i)] which particulars are highly generalised and </w:t>
      </w:r>
      <w:r w:rsidR="005C092E">
        <w:t>limited only by reference to “all material times” which is not specified or otherwise defined</w:t>
      </w:r>
      <w:r w:rsidR="004643B8">
        <w:t xml:space="preserve"> but if used consistently </w:t>
      </w:r>
      <w:r w:rsidR="00FD0F69">
        <w:t xml:space="preserve">in the pleading </w:t>
      </w:r>
      <w:r w:rsidR="004643B8">
        <w:t xml:space="preserve">would appear to </w:t>
      </w:r>
      <w:r w:rsidR="00EA5FF3">
        <w:t xml:space="preserve">commence at the time the Company was incorporated </w:t>
      </w:r>
      <w:r w:rsidR="005A4E3D">
        <w:t>on 20</w:t>
      </w:r>
      <w:r w:rsidR="00FC0515">
        <w:t> </w:t>
      </w:r>
      <w:r w:rsidR="005A4E3D">
        <w:t>May 2010</w:t>
      </w:r>
      <w:r w:rsidR="00FD0F69">
        <w:t xml:space="preserve"> whereas the allegation in respect of </w:t>
      </w:r>
      <w:r w:rsidR="00FD0F69" w:rsidRPr="00BB6D58">
        <w:rPr>
          <w:i/>
        </w:rPr>
        <w:t>de facto</w:t>
      </w:r>
      <w:r w:rsidR="00FD0F69">
        <w:t xml:space="preserve"> or shadow director is for a lesser period</w:t>
      </w:r>
      <w:r w:rsidR="009447BB">
        <w:t>;</w:t>
      </w:r>
      <w:r w:rsidR="00C77E00">
        <w:t xml:space="preserve"> and</w:t>
      </w:r>
    </w:p>
    <w:p w14:paraId="78CD1BAD" w14:textId="3B16E8ED" w:rsidR="00C77E00" w:rsidRDefault="006D48AC" w:rsidP="006D48AC">
      <w:pPr>
        <w:pStyle w:val="ListNo2"/>
        <w:numPr>
          <w:ilvl w:val="0"/>
          <w:numId w:val="0"/>
        </w:numPr>
        <w:tabs>
          <w:tab w:val="left" w:pos="1440"/>
        </w:tabs>
        <w:ind w:left="1440" w:hanging="720"/>
      </w:pPr>
      <w:r>
        <w:lastRenderedPageBreak/>
        <w:t>(b)</w:t>
      </w:r>
      <w:r>
        <w:tab/>
      </w:r>
      <w:r w:rsidR="006923EE">
        <w:t>allege that “</w:t>
      </w:r>
      <w:r w:rsidR="00385839" w:rsidRPr="00385839">
        <w:t>Kaushik’s awareness of the Company’s financial position, and that it was insolvent when the Insolvent Debts were incurred, or that the Company would become insolvent by incurring the Insolvent Debts, can also be inferred in circumstances where Kaushik must have had access to the Company’s books and records that would have disclosed its financial position in order to be able to engage in the correspondence about the Company’s legal and financial affairs with consultants, accountants, and revenue authorities as pleaded at paragraph 16(g) above</w:t>
      </w:r>
      <w:r w:rsidR="006923EE">
        <w:t xml:space="preserve">” notwithstanding that the first particular given in respect of insolvency is that </w:t>
      </w:r>
      <w:r w:rsidR="00B518F3">
        <w:t>t</w:t>
      </w:r>
      <w:r w:rsidR="00B518F3" w:rsidRPr="00B518F3">
        <w:t xml:space="preserve">he Company failed to maintain adequate books and records for the purposes of </w:t>
      </w:r>
      <w:r w:rsidR="00B518F3">
        <w:t>s</w:t>
      </w:r>
      <w:r w:rsidR="00FC0515">
        <w:t> </w:t>
      </w:r>
      <w:r w:rsidR="00B518F3" w:rsidRPr="00B518F3">
        <w:t xml:space="preserve">286 of the </w:t>
      </w:r>
      <w:r w:rsidR="00F92008" w:rsidRPr="00422B37">
        <w:rPr>
          <w:i/>
          <w:iCs/>
        </w:rPr>
        <w:t>Corporations</w:t>
      </w:r>
      <w:r w:rsidR="00B518F3" w:rsidRPr="0086637D">
        <w:rPr>
          <w:i/>
        </w:rPr>
        <w:t xml:space="preserve"> </w:t>
      </w:r>
      <w:r w:rsidR="00B518F3" w:rsidRPr="00422B37">
        <w:rPr>
          <w:b/>
          <w:bCs/>
          <w:i/>
          <w:iCs/>
        </w:rPr>
        <w:t>Act</w:t>
      </w:r>
      <w:r w:rsidR="00F92008" w:rsidRPr="00422B37">
        <w:rPr>
          <w:i/>
          <w:iCs/>
        </w:rPr>
        <w:t xml:space="preserve"> 2001</w:t>
      </w:r>
      <w:r w:rsidR="00F92008">
        <w:t xml:space="preserve"> (Cth)</w:t>
      </w:r>
      <w:r w:rsidR="00B518F3">
        <w:t>: RDASOC[102], particular (a)</w:t>
      </w:r>
      <w:r w:rsidR="00385839" w:rsidRPr="00385839">
        <w:t>.</w:t>
      </w:r>
    </w:p>
    <w:p w14:paraId="2C69E9ED" w14:textId="59194FCA" w:rsidR="00FB4032" w:rsidRDefault="006D48AC" w:rsidP="006D48AC">
      <w:pPr>
        <w:pStyle w:val="ListNo1"/>
        <w:numPr>
          <w:ilvl w:val="0"/>
          <w:numId w:val="0"/>
        </w:numPr>
        <w:tabs>
          <w:tab w:val="left" w:pos="1146"/>
        </w:tabs>
        <w:ind w:left="1146" w:hanging="720"/>
      </w:pPr>
      <w:r>
        <w:t>(7)</w:t>
      </w:r>
      <w:r>
        <w:tab/>
      </w:r>
      <w:r w:rsidR="00A4457A">
        <w:t>In the alternative</w:t>
      </w:r>
      <w:r w:rsidR="00F92008">
        <w:t xml:space="preserve"> to RDASOC [103]</w:t>
      </w:r>
      <w:r w:rsidR="009B6B98">
        <w:t>,</w:t>
      </w:r>
      <w:r w:rsidR="00A4457A">
        <w:t xml:space="preserve"> that </w:t>
      </w:r>
      <w:r w:rsidR="009B6B98" w:rsidRPr="009B6B98">
        <w:t>a reasonable person in the position of Kaushik would be aware that there were grounds for suspecting that the Company was insolvent at the time the Insolvent Debts were incurred or that the Company would become insolvent by incurring the Insolvent Debts</w:t>
      </w:r>
      <w:r w:rsidR="009B6B98">
        <w:t xml:space="preserve">: </w:t>
      </w:r>
      <w:r w:rsidR="00A4457A">
        <w:t>RDASOC [</w:t>
      </w:r>
      <w:r w:rsidR="009B6B98">
        <w:t>104].</w:t>
      </w:r>
    </w:p>
    <w:p w14:paraId="51B890F9" w14:textId="2ED2692B" w:rsidR="00E33579" w:rsidRDefault="006D48AC" w:rsidP="006D48AC">
      <w:pPr>
        <w:pStyle w:val="ParaNumbering"/>
        <w:numPr>
          <w:ilvl w:val="0"/>
          <w:numId w:val="0"/>
        </w:numPr>
        <w:ind w:hanging="720"/>
      </w:pPr>
      <w:r>
        <w:rPr>
          <w:sz w:val="20"/>
        </w:rPr>
        <w:t>28</w:t>
      </w:r>
      <w:r>
        <w:rPr>
          <w:sz w:val="20"/>
        </w:rPr>
        <w:tab/>
      </w:r>
      <w:r w:rsidR="00E33579">
        <w:t xml:space="preserve">On this basis it is alleged that Kaushik has </w:t>
      </w:r>
      <w:r w:rsidR="00780339" w:rsidRPr="00780339">
        <w:t>contravened s</w:t>
      </w:r>
      <w:r w:rsidR="00780339">
        <w:t> </w:t>
      </w:r>
      <w:r w:rsidR="00780339" w:rsidRPr="00780339">
        <w:t>588G(2) of the Act in relation to the incurring of the Insolvent Debts</w:t>
      </w:r>
      <w:r w:rsidR="00780339">
        <w:t xml:space="preserve"> </w:t>
      </w:r>
      <w:r w:rsidR="004D0192">
        <w:t xml:space="preserve">and that </w:t>
      </w:r>
      <w:r w:rsidR="004D0192" w:rsidRPr="004D0192">
        <w:t>pursuant to s</w:t>
      </w:r>
      <w:r w:rsidR="004D0192">
        <w:t> </w:t>
      </w:r>
      <w:r w:rsidR="004D0192" w:rsidRPr="004D0192">
        <w:t>588M of the Act</w:t>
      </w:r>
      <w:r w:rsidR="004D0192">
        <w:t>,</w:t>
      </w:r>
      <w:r w:rsidR="004D0192" w:rsidRPr="004D0192">
        <w:t xml:space="preserve"> the </w:t>
      </w:r>
      <w:r w:rsidR="00675D5D">
        <w:t>l</w:t>
      </w:r>
      <w:r w:rsidR="004D0192" w:rsidRPr="004D0192">
        <w:t>iquidator may recover from Kaushik, as debts due to the Company, an amount equal to the Insolvent Debts</w:t>
      </w:r>
      <w:r w:rsidR="00780339" w:rsidRPr="00780339">
        <w:t>.</w:t>
      </w:r>
    </w:p>
    <w:p w14:paraId="535C8A76" w14:textId="7CBB0C43" w:rsidR="00213A80" w:rsidRDefault="006D48AC" w:rsidP="006D48AC">
      <w:pPr>
        <w:pStyle w:val="ParaNumbering"/>
        <w:numPr>
          <w:ilvl w:val="0"/>
          <w:numId w:val="0"/>
        </w:numPr>
        <w:ind w:hanging="720"/>
      </w:pPr>
      <w:r>
        <w:rPr>
          <w:sz w:val="20"/>
        </w:rPr>
        <w:t>29</w:t>
      </w:r>
      <w:r>
        <w:rPr>
          <w:sz w:val="20"/>
        </w:rPr>
        <w:tab/>
      </w:r>
      <w:r w:rsidR="000B5F63">
        <w:t>Relevantly, s </w:t>
      </w:r>
      <w:r w:rsidR="00CF7370">
        <w:t xml:space="preserve">588G applies </w:t>
      </w:r>
      <w:r w:rsidR="000B5F63">
        <w:t>where</w:t>
      </w:r>
      <w:r w:rsidR="004B02DC">
        <w:t xml:space="preserve"> </w:t>
      </w:r>
      <w:r w:rsidR="004B02DC" w:rsidRPr="004F1A69">
        <w:rPr>
          <w:i/>
        </w:rPr>
        <w:t>at the time</w:t>
      </w:r>
      <w:r w:rsidR="004B02DC">
        <w:t xml:space="preserve"> when the company incurs a debt</w:t>
      </w:r>
      <w:r w:rsidR="00593532">
        <w:t xml:space="preserve">, the company </w:t>
      </w:r>
      <w:r w:rsidR="0025268F">
        <w:t xml:space="preserve">is </w:t>
      </w:r>
      <w:r w:rsidR="00593532">
        <w:t xml:space="preserve">insolvent, or </w:t>
      </w:r>
      <w:r w:rsidR="0025268F" w:rsidRPr="0025268F">
        <w:t>becomes insolvent by incurring that debt, or by incurring at that time debts including that debt</w:t>
      </w:r>
      <w:r w:rsidR="0025268F">
        <w:t>,</w:t>
      </w:r>
      <w:r w:rsidR="00333C98">
        <w:t xml:space="preserve"> and </w:t>
      </w:r>
      <w:r w:rsidR="00333C98">
        <w:rPr>
          <w:i/>
          <w:iCs/>
        </w:rPr>
        <w:t>at that time</w:t>
      </w:r>
      <w:r w:rsidR="00333C98">
        <w:t xml:space="preserve"> </w:t>
      </w:r>
      <w:r w:rsidR="00333C98" w:rsidRPr="00333C98">
        <w:t>there are reasonable grounds for suspecting that the company is insolvent, or would so become insolvent</w:t>
      </w:r>
      <w:r w:rsidR="00161079">
        <w:t>, as the case may be: s 588</w:t>
      </w:r>
      <w:r w:rsidR="00767BC2">
        <w:t>G(1)</w:t>
      </w:r>
      <w:r w:rsidR="00333C98">
        <w:t xml:space="preserve">. </w:t>
      </w:r>
      <w:r w:rsidR="00767BC2">
        <w:t>A person contravenes s 588G by failing to prevent the company from incurring the debt</w:t>
      </w:r>
      <w:r w:rsidR="00785987">
        <w:t xml:space="preserve"> in circumstances where the person is aware </w:t>
      </w:r>
      <w:r w:rsidR="00785987">
        <w:rPr>
          <w:i/>
          <w:iCs/>
        </w:rPr>
        <w:t>at th</w:t>
      </w:r>
      <w:r w:rsidR="00CA4B73">
        <w:rPr>
          <w:i/>
          <w:iCs/>
        </w:rPr>
        <w:t>at time</w:t>
      </w:r>
      <w:r w:rsidR="00785987">
        <w:t xml:space="preserve">, or a reasonable person in </w:t>
      </w:r>
      <w:r w:rsidR="00CA4B73">
        <w:t xml:space="preserve">a </w:t>
      </w:r>
      <w:r w:rsidR="00785987">
        <w:t xml:space="preserve">like </w:t>
      </w:r>
      <w:r w:rsidR="00CA4B73" w:rsidRPr="00CA4B73">
        <w:t>position in a company in the company's circumstances would be so aware</w:t>
      </w:r>
      <w:r w:rsidR="00CA4B73">
        <w:t>: s 588(2)</w:t>
      </w:r>
      <w:r w:rsidR="00AB5E18">
        <w:t>.</w:t>
      </w:r>
    </w:p>
    <w:p w14:paraId="47A6F9F1" w14:textId="4DA2E1BE" w:rsidR="007B574D" w:rsidRDefault="006D48AC" w:rsidP="006D48AC">
      <w:pPr>
        <w:pStyle w:val="ParaNumbering"/>
        <w:numPr>
          <w:ilvl w:val="0"/>
          <w:numId w:val="0"/>
        </w:numPr>
        <w:ind w:hanging="720"/>
      </w:pPr>
      <w:r>
        <w:rPr>
          <w:sz w:val="20"/>
        </w:rPr>
        <w:t>30</w:t>
      </w:r>
      <w:r>
        <w:rPr>
          <w:sz w:val="20"/>
        </w:rPr>
        <w:tab/>
      </w:r>
      <w:r w:rsidR="00882A19">
        <w:t xml:space="preserve">Relevantly, </w:t>
      </w:r>
      <w:r w:rsidR="00D71FA5">
        <w:t>t</w:t>
      </w:r>
      <w:r w:rsidR="00196228">
        <w:t xml:space="preserve">he critical elements of the cause of action </w:t>
      </w:r>
      <w:r w:rsidR="000E7B89">
        <w:t xml:space="preserve">in respect of a director </w:t>
      </w:r>
      <w:r w:rsidR="00196228">
        <w:t xml:space="preserve">for insolvent trading under s 588M </w:t>
      </w:r>
      <w:r w:rsidR="000E7B89">
        <w:t>are</w:t>
      </w:r>
      <w:r w:rsidR="00882A19">
        <w:t xml:space="preserve"> that</w:t>
      </w:r>
      <w:r w:rsidR="00FB4032">
        <w:t xml:space="preserve"> </w:t>
      </w:r>
      <w:r w:rsidR="007B574D">
        <w:t>a debt has been incurred by the company</w:t>
      </w:r>
      <w:r w:rsidR="00FB4032">
        <w:t xml:space="preserve">; </w:t>
      </w:r>
      <w:r w:rsidR="00AB5E18" w:rsidRPr="00A95185">
        <w:rPr>
          <w:i/>
          <w:iCs/>
        </w:rPr>
        <w:t xml:space="preserve">at </w:t>
      </w:r>
      <w:r w:rsidR="007B574D" w:rsidRPr="00A95185">
        <w:rPr>
          <w:i/>
          <w:iCs/>
        </w:rPr>
        <w:t>the time</w:t>
      </w:r>
      <w:r w:rsidR="007B574D">
        <w:t xml:space="preserve"> the debt was incurred, the company was insolvent;</w:t>
      </w:r>
      <w:r w:rsidR="00FB4032" w:rsidRPr="00FB4032">
        <w:t xml:space="preserve"> </w:t>
      </w:r>
      <w:r w:rsidR="00FB4032">
        <w:t>the creditor has incurred loss or damage “in relation to” the incurring of the debt; and</w:t>
      </w:r>
      <w:r w:rsidR="00FB4032" w:rsidRPr="00FB4032">
        <w:t xml:space="preserve"> </w:t>
      </w:r>
      <w:r w:rsidR="00FB4032">
        <w:t>the director contravened s</w:t>
      </w:r>
      <w:r w:rsidR="00D30A5D">
        <w:t> </w:t>
      </w:r>
      <w:r w:rsidR="00FB4032">
        <w:t>588G(2)</w:t>
      </w:r>
      <w:r w:rsidR="00FB4032" w:rsidRPr="00FB4032">
        <w:t xml:space="preserve"> </w:t>
      </w:r>
      <w:r w:rsidR="00FB4032">
        <w:t>or s</w:t>
      </w:r>
      <w:r w:rsidR="00D30A5D">
        <w:t> </w:t>
      </w:r>
      <w:r w:rsidR="00FB4032">
        <w:t xml:space="preserve">588G(3). </w:t>
      </w:r>
    </w:p>
    <w:p w14:paraId="5FFD2336" w14:textId="266D6405" w:rsidR="00254C1B" w:rsidRDefault="006D48AC" w:rsidP="006D48AC">
      <w:pPr>
        <w:pStyle w:val="ParaNumbering"/>
        <w:numPr>
          <w:ilvl w:val="0"/>
          <w:numId w:val="0"/>
        </w:numPr>
        <w:ind w:hanging="720"/>
      </w:pPr>
      <w:r>
        <w:rPr>
          <w:sz w:val="20"/>
        </w:rPr>
        <w:t>31</w:t>
      </w:r>
      <w:r>
        <w:rPr>
          <w:sz w:val="20"/>
        </w:rPr>
        <w:tab/>
      </w:r>
      <w:r w:rsidR="00254C1B">
        <w:t>T</w:t>
      </w:r>
      <w:r w:rsidR="00254C1B" w:rsidRPr="00355442">
        <w:t xml:space="preserve">he defences </w:t>
      </w:r>
      <w:r w:rsidR="00254C1B">
        <w:t xml:space="preserve">available in respect of a claim for insolvent trading also require </w:t>
      </w:r>
      <w:r w:rsidR="00254C1B" w:rsidRPr="00355442">
        <w:t xml:space="preserve">consideration to be given to </w:t>
      </w:r>
      <w:r w:rsidR="00254C1B">
        <w:t xml:space="preserve">the </w:t>
      </w:r>
      <w:r w:rsidR="00254C1B" w:rsidRPr="00355442">
        <w:t>specific circumstances at the time each debt arose</w:t>
      </w:r>
      <w:r w:rsidR="00254C1B">
        <w:t>: see</w:t>
      </w:r>
      <w:r w:rsidR="00254C1B" w:rsidRPr="00355442">
        <w:t xml:space="preserve"> </w:t>
      </w:r>
      <w:r w:rsidR="00254C1B">
        <w:t>s</w:t>
      </w:r>
      <w:r w:rsidR="00254C1B" w:rsidRPr="00355442">
        <w:t>s</w:t>
      </w:r>
      <w:r w:rsidR="00A210EB">
        <w:t> </w:t>
      </w:r>
      <w:r w:rsidR="00254C1B" w:rsidRPr="00355442">
        <w:t>588H and s</w:t>
      </w:r>
      <w:r w:rsidR="00A210EB">
        <w:t> </w:t>
      </w:r>
      <w:r w:rsidR="00254C1B" w:rsidRPr="00355442">
        <w:t>588GA</w:t>
      </w:r>
      <w:r w:rsidR="00254C1B">
        <w:t>.</w:t>
      </w:r>
    </w:p>
    <w:p w14:paraId="43CC6F24" w14:textId="38EAE559" w:rsidR="000B79B1" w:rsidRDefault="006D48AC" w:rsidP="006D48AC">
      <w:pPr>
        <w:pStyle w:val="ParaNumbering"/>
        <w:numPr>
          <w:ilvl w:val="0"/>
          <w:numId w:val="0"/>
        </w:numPr>
        <w:ind w:hanging="720"/>
      </w:pPr>
      <w:r>
        <w:rPr>
          <w:sz w:val="20"/>
        </w:rPr>
        <w:lastRenderedPageBreak/>
        <w:t>32</w:t>
      </w:r>
      <w:r>
        <w:rPr>
          <w:sz w:val="20"/>
        </w:rPr>
        <w:tab/>
      </w:r>
      <w:r w:rsidR="000B79B1">
        <w:t>A company incurs a debt when, by act or omission, it is rendered liable for a debt, even one imposed by a statute, and a</w:t>
      </w:r>
      <w:r w:rsidR="000B79B1" w:rsidRPr="00CE5DAD">
        <w:t xml:space="preserve"> debt may include a contingent debt</w:t>
      </w:r>
      <w:r w:rsidR="000B79B1">
        <w:t xml:space="preserve">: </w:t>
      </w:r>
      <w:r w:rsidR="000B79B1" w:rsidRPr="006D3D0D">
        <w:rPr>
          <w:i/>
          <w:iCs/>
        </w:rPr>
        <w:t xml:space="preserve">Strawbridge, in the matter of Virgin Australia Holdings Ltd (administrators appointed) (No 2) </w:t>
      </w:r>
      <w:r w:rsidR="000B79B1">
        <w:t>[2020] FCA 717</w:t>
      </w:r>
      <w:r w:rsidR="08E39D01">
        <w:t>;</w:t>
      </w:r>
      <w:r w:rsidR="000B79B1">
        <w:t xml:space="preserve"> </w:t>
      </w:r>
      <w:r w:rsidR="08E39D01">
        <w:t>144 ACSR 347</w:t>
      </w:r>
      <w:r w:rsidR="000B79B1">
        <w:t xml:space="preserve"> at [137] and authorities cited therein.</w:t>
      </w:r>
    </w:p>
    <w:p w14:paraId="6ECB88BC" w14:textId="39C796A4" w:rsidR="000B79B1" w:rsidRDefault="006D48AC" w:rsidP="006D48AC">
      <w:pPr>
        <w:pStyle w:val="ParaNumbering"/>
        <w:numPr>
          <w:ilvl w:val="0"/>
          <w:numId w:val="0"/>
        </w:numPr>
        <w:ind w:hanging="720"/>
      </w:pPr>
      <w:r>
        <w:rPr>
          <w:sz w:val="20"/>
        </w:rPr>
        <w:t>33</w:t>
      </w:r>
      <w:r>
        <w:rPr>
          <w:sz w:val="20"/>
        </w:rPr>
        <w:tab/>
      </w:r>
      <w:r w:rsidR="000B79B1">
        <w:t xml:space="preserve">When a debt is incurred </w:t>
      </w:r>
      <w:r w:rsidR="000B79B1" w:rsidRPr="00A850C3">
        <w:t>for the purposes of s</w:t>
      </w:r>
      <w:r w:rsidR="000B79B1">
        <w:t> </w:t>
      </w:r>
      <w:r w:rsidR="000B79B1" w:rsidRPr="00A850C3">
        <w:t xml:space="preserve">588G will depend on the nature of the transaction involved. </w:t>
      </w:r>
      <w:r w:rsidR="00A850C3" w:rsidRPr="00A850C3">
        <w:t xml:space="preserve">In the case of taxation liabilities, </w:t>
      </w:r>
      <w:r w:rsidR="00953914">
        <w:t>by analogy with s</w:t>
      </w:r>
      <w:r w:rsidR="0000484E">
        <w:t xml:space="preserve"> 588FA, </w:t>
      </w:r>
      <w:r w:rsidR="00A850C3" w:rsidRPr="00A850C3">
        <w:t>a tax liability is a debt capable of being incurred within the meaning of s 588G</w:t>
      </w:r>
      <w:r w:rsidR="00A253A9">
        <w:t xml:space="preserve">: </w:t>
      </w:r>
      <w:r w:rsidR="00A253A9" w:rsidRPr="00D55C23">
        <w:rPr>
          <w:i/>
          <w:iCs/>
        </w:rPr>
        <w:t>Sands &amp; McDougall Wholesale Pty Ltd (in liq) v Commissioner of Taxation</w:t>
      </w:r>
      <w:r w:rsidR="00A253A9" w:rsidRPr="00A253A9">
        <w:t xml:space="preserve"> </w:t>
      </w:r>
      <w:r w:rsidR="002C611E">
        <w:t xml:space="preserve">[1998] VSCA 76; </w:t>
      </w:r>
      <w:r w:rsidR="00A253A9" w:rsidRPr="00A253A9">
        <w:t>(199</w:t>
      </w:r>
      <w:r w:rsidR="002C611E">
        <w:t>9</w:t>
      </w:r>
      <w:r w:rsidR="00A253A9" w:rsidRPr="00A253A9">
        <w:t>) 1 VR 489, [36] (Charles JA</w:t>
      </w:r>
      <w:r w:rsidR="00A253A9">
        <w:t>,</w:t>
      </w:r>
      <w:r w:rsidR="00A253A9" w:rsidRPr="00A253A9">
        <w:t xml:space="preserve"> Brooking and Kenny JJA agreeing)</w:t>
      </w:r>
      <w:r w:rsidR="009322CE">
        <w:t xml:space="preserve">. </w:t>
      </w:r>
      <w:r w:rsidR="00B7506A">
        <w:t>T</w:t>
      </w:r>
      <w:r w:rsidR="00B7506A" w:rsidRPr="00B7506A">
        <w:t>he Full Court of the Supreme Court of Western Australia</w:t>
      </w:r>
      <w:r w:rsidR="00B7506A">
        <w:t>, as it then was,</w:t>
      </w:r>
      <w:r w:rsidR="00B7506A" w:rsidRPr="00B7506A">
        <w:t xml:space="preserve"> held that liability for payroll tax can potentially constitute a debt for the purpose of insolvent trading</w:t>
      </w:r>
      <w:r w:rsidR="00B7506A">
        <w:t xml:space="preserve">: </w:t>
      </w:r>
      <w:r w:rsidR="00B7506A" w:rsidRPr="00223F61">
        <w:rPr>
          <w:i/>
          <w:iCs/>
        </w:rPr>
        <w:t>Commissioner of State Taxation (WA) v</w:t>
      </w:r>
      <w:r w:rsidR="00B7506A" w:rsidRPr="00223F61">
        <w:rPr>
          <w:i/>
        </w:rPr>
        <w:t xml:space="preserve"> </w:t>
      </w:r>
      <w:r w:rsidR="00B7506A" w:rsidRPr="00A47CDF">
        <w:rPr>
          <w:b/>
          <w:i/>
        </w:rPr>
        <w:t>Pollock</w:t>
      </w:r>
      <w:r w:rsidR="005B3BC0">
        <w:t xml:space="preserve"> (</w:t>
      </w:r>
      <w:r w:rsidR="00F3742E">
        <w:t xml:space="preserve">1993) </w:t>
      </w:r>
      <w:r w:rsidR="0000265B">
        <w:t>12 ACSR 217</w:t>
      </w:r>
      <w:r w:rsidR="00B7506A" w:rsidRPr="00B7506A">
        <w:t>,</w:t>
      </w:r>
      <w:r w:rsidR="00B7506A">
        <w:t xml:space="preserve"> </w:t>
      </w:r>
      <w:r w:rsidR="0094178B">
        <w:t xml:space="preserve">at </w:t>
      </w:r>
      <w:r w:rsidR="0000265B">
        <w:t>222</w:t>
      </w:r>
      <w:r w:rsidR="0094178B">
        <w:t xml:space="preserve"> (Pidgeon J)</w:t>
      </w:r>
      <w:r w:rsidR="0000265B">
        <w:t xml:space="preserve">, at </w:t>
      </w:r>
      <w:r w:rsidR="00B7524F">
        <w:t>230 (Ipp J with Wallwork J agreeing)</w:t>
      </w:r>
      <w:r w:rsidR="00B7506A" w:rsidRPr="00B7506A">
        <w:t xml:space="preserve">. </w:t>
      </w:r>
      <w:r w:rsidR="00EB0282">
        <w:t xml:space="preserve">Justice </w:t>
      </w:r>
      <w:r w:rsidR="00B7506A" w:rsidRPr="00B7506A">
        <w:t>Ipp considered that payroll tax only becomes a ‘debt’ upon the expiry of the month in which the payroll tax is being incurred, because it is only at this time that the amount of payroll tax to be paid can be ascertained</w:t>
      </w:r>
      <w:r w:rsidR="002E52F3">
        <w:t xml:space="preserve">: </w:t>
      </w:r>
      <w:r w:rsidR="002E52F3" w:rsidRPr="00A47CDF">
        <w:rPr>
          <w:i/>
        </w:rPr>
        <w:t>Pollock</w:t>
      </w:r>
      <w:r w:rsidR="002E52F3">
        <w:t xml:space="preserve"> at </w:t>
      </w:r>
      <w:r w:rsidR="000F4608">
        <w:t>232</w:t>
      </w:r>
      <w:r w:rsidR="00B7506A" w:rsidRPr="00B7506A">
        <w:t xml:space="preserve">. </w:t>
      </w:r>
      <w:r w:rsidR="005914EE" w:rsidRPr="00D122EB">
        <w:t xml:space="preserve">Justice </w:t>
      </w:r>
      <w:r w:rsidR="002C6E24" w:rsidRPr="00D122EB">
        <w:t xml:space="preserve">Ipp </w:t>
      </w:r>
      <w:r w:rsidR="005914EE" w:rsidRPr="00D122EB">
        <w:t>further</w:t>
      </w:r>
      <w:r w:rsidR="002C6E24" w:rsidRPr="00D122EB">
        <w:t xml:space="preserve"> held in </w:t>
      </w:r>
      <w:r w:rsidR="002C6E24" w:rsidRPr="00D122EB">
        <w:rPr>
          <w:i/>
          <w:iCs/>
        </w:rPr>
        <w:t xml:space="preserve">Pollock </w:t>
      </w:r>
      <w:r w:rsidR="002C6E24" w:rsidRPr="00D122EB">
        <w:t>at 234 that a contingent debt is capable of being a debt within the meaning of the relevant insolvent trading provision</w:t>
      </w:r>
      <w:r w:rsidR="005914EE" w:rsidRPr="00D122EB">
        <w:t xml:space="preserve">, however, he </w:t>
      </w:r>
      <w:r w:rsidR="00844F25" w:rsidRPr="00D122EB">
        <w:t>his Honour</w:t>
      </w:r>
      <w:r w:rsidR="00EE52C2" w:rsidRPr="00D122EB">
        <w:t xml:space="preserve"> </w:t>
      </w:r>
      <w:r w:rsidR="00E71933" w:rsidRPr="00D122EB">
        <w:t>expressly did not make a finding as to whether and when</w:t>
      </w:r>
      <w:r w:rsidR="00EE52C2" w:rsidRPr="00D122EB">
        <w:t xml:space="preserve"> a </w:t>
      </w:r>
      <w:r w:rsidR="00EE52C2" w:rsidRPr="00D122EB">
        <w:rPr>
          <w:i/>
          <w:iCs/>
        </w:rPr>
        <w:t>contingent debt</w:t>
      </w:r>
      <w:r w:rsidR="00EE52C2" w:rsidRPr="00D122EB">
        <w:t xml:space="preserve"> to pay payroll tax </w:t>
      </w:r>
      <w:r w:rsidR="00E71933" w:rsidRPr="00D122EB">
        <w:t>c</w:t>
      </w:r>
      <w:r w:rsidR="00EE52C2" w:rsidRPr="00D122EB">
        <w:t>ould be incurred as a</w:t>
      </w:r>
      <w:r w:rsidR="00E71933" w:rsidRPr="00D122EB">
        <w:t xml:space="preserve"> </w:t>
      </w:r>
      <w:r w:rsidR="00EE52C2" w:rsidRPr="00D122EB">
        <w:t>debt</w:t>
      </w:r>
      <w:r w:rsidR="00E71933" w:rsidRPr="00D122EB">
        <w:t>: at 235</w:t>
      </w:r>
      <w:r w:rsidR="00844F25" w:rsidRPr="00D122EB">
        <w:t>.</w:t>
      </w:r>
      <w:r w:rsidR="00E71933" w:rsidRPr="00D122EB">
        <w:t xml:space="preserve"> </w:t>
      </w:r>
      <w:r w:rsidR="00844F25" w:rsidRPr="00D122EB">
        <w:t>Justice Ipp’s finding was limit</w:t>
      </w:r>
      <w:r w:rsidR="00AB7D63" w:rsidRPr="00D122EB">
        <w:t>ed to a finding</w:t>
      </w:r>
      <w:r w:rsidR="00E71933" w:rsidRPr="00D122EB">
        <w:t xml:space="preserve"> that it was reasonably arguably which was sufficient for reversing the strike out of the pleadings</w:t>
      </w:r>
      <w:r w:rsidR="00AB7D63" w:rsidRPr="00D122EB">
        <w:t xml:space="preserve"> in that case</w:t>
      </w:r>
      <w:r w:rsidR="00E71933" w:rsidRPr="00D122EB">
        <w:t>.</w:t>
      </w:r>
      <w:r w:rsidR="00EE52C2" w:rsidRPr="00D122EB">
        <w:t xml:space="preserve"> </w:t>
      </w:r>
      <w:r w:rsidR="00B7506A" w:rsidRPr="00D122EB">
        <w:t>However</w:t>
      </w:r>
      <w:r w:rsidR="00573F1A" w:rsidRPr="00D122EB">
        <w:t>,</w:t>
      </w:r>
      <w:r w:rsidR="00B7506A" w:rsidRPr="00D122EB">
        <w:t xml:space="preserve"> a company incurs a contingent liability for payroll tax upon employing an employee in any given month; by analogy, the liability for Superannuation Guarantee Charges would be incurred on each occasion that the company was obliged to remit the periodical payment</w:t>
      </w:r>
      <w:r w:rsidR="00115C6E" w:rsidRPr="00D122EB">
        <w:t xml:space="preserve">: </w:t>
      </w:r>
      <w:r w:rsidR="00115C6E" w:rsidRPr="00D122EB">
        <w:rPr>
          <w:i/>
        </w:rPr>
        <w:t>Pollock</w:t>
      </w:r>
      <w:r w:rsidR="00115C6E" w:rsidRPr="00D122EB">
        <w:t xml:space="preserve"> at 232</w:t>
      </w:r>
      <w:r w:rsidR="00B7506A" w:rsidRPr="00D122EB">
        <w:t>.</w:t>
      </w:r>
      <w:r w:rsidR="00AE3081" w:rsidRPr="00D122EB">
        <w:t xml:space="preserve"> See</w:t>
      </w:r>
      <w:r w:rsidR="00AE3081">
        <w:t xml:space="preserve"> also </w:t>
      </w:r>
      <w:r w:rsidR="00FF47EC" w:rsidRPr="009A1E1D">
        <w:rPr>
          <w:i/>
          <w:iCs/>
        </w:rPr>
        <w:t>Yeo, in the matter of Bradi Transport Pty Ltd (in liq) v Sklenovski</w:t>
      </w:r>
      <w:r w:rsidR="6076E940" w:rsidRPr="6D07270D">
        <w:rPr>
          <w:i/>
          <w:iCs/>
        </w:rPr>
        <w:t xml:space="preserve"> </w:t>
      </w:r>
      <w:r w:rsidR="00FB7F3B" w:rsidRPr="00FB7F3B">
        <w:t xml:space="preserve">[2020] FCA 1540 </w:t>
      </w:r>
      <w:r w:rsidR="00FF47EC">
        <w:t>[</w:t>
      </w:r>
      <w:r w:rsidR="1E85E2BB">
        <w:t>23</w:t>
      </w:r>
      <w:r w:rsidR="00FF47EC">
        <w:t>]</w:t>
      </w:r>
      <w:r w:rsidR="0042424C">
        <w:t xml:space="preserve"> to </w:t>
      </w:r>
      <w:r w:rsidR="659641BE">
        <w:t>[28]</w:t>
      </w:r>
      <w:r w:rsidR="00FF47EC">
        <w:t>.</w:t>
      </w:r>
    </w:p>
    <w:p w14:paraId="711FEEC6" w14:textId="5D770354" w:rsidR="00D42B9E" w:rsidRDefault="006D48AC" w:rsidP="006D48AC">
      <w:pPr>
        <w:pStyle w:val="ParaNumbering"/>
        <w:numPr>
          <w:ilvl w:val="0"/>
          <w:numId w:val="0"/>
        </w:numPr>
        <w:ind w:hanging="720"/>
      </w:pPr>
      <w:r>
        <w:rPr>
          <w:sz w:val="20"/>
        </w:rPr>
        <w:t>34</w:t>
      </w:r>
      <w:r>
        <w:rPr>
          <w:sz w:val="20"/>
        </w:rPr>
        <w:tab/>
      </w:r>
      <w:r w:rsidR="00B70F09">
        <w:t xml:space="preserve">Subsequent to the hearing of this application, the solicitors for Kaushik sent an email to my Chambers directing my attention to </w:t>
      </w:r>
      <w:r w:rsidR="00B70F09" w:rsidRPr="006D3D0D">
        <w:rPr>
          <w:i/>
          <w:iCs/>
        </w:rPr>
        <w:t>Copeland in his capacity as liquidator of</w:t>
      </w:r>
      <w:r w:rsidR="00B70F09" w:rsidRPr="00B55F7A">
        <w:t xml:space="preserve"> </w:t>
      </w:r>
      <w:r w:rsidR="00B70F09" w:rsidRPr="006D3D0D">
        <w:rPr>
          <w:b/>
          <w:bCs/>
          <w:i/>
          <w:iCs/>
        </w:rPr>
        <w:t>Skyworkers</w:t>
      </w:r>
      <w:r w:rsidR="00B70F09" w:rsidRPr="006D3D0D">
        <w:rPr>
          <w:i/>
          <w:iCs/>
        </w:rPr>
        <w:t xml:space="preserve"> Pty Limited (in Liquidation) v Murace</w:t>
      </w:r>
      <w:r w:rsidR="00B70F09" w:rsidRPr="00B55F7A">
        <w:t xml:space="preserve"> [2023] FCA 14 </w:t>
      </w:r>
      <w:r w:rsidR="00B70F09">
        <w:t xml:space="preserve">at [19] to [26], which draws heavily on the analysis in </w:t>
      </w:r>
      <w:r w:rsidR="00B70F09" w:rsidRPr="006D3D0D">
        <w:rPr>
          <w:b/>
          <w:bCs/>
          <w:i/>
          <w:iCs/>
        </w:rPr>
        <w:t>Devine</w:t>
      </w:r>
      <w:r w:rsidR="00B70F09" w:rsidRPr="006D3D0D">
        <w:rPr>
          <w:i/>
          <w:iCs/>
        </w:rPr>
        <w:t xml:space="preserve"> v Liu; Devine v Ho</w:t>
      </w:r>
      <w:r w:rsidR="00B70F09" w:rsidRPr="008F3C7D">
        <w:t xml:space="preserve"> [2018] NSWSC 1453</w:t>
      </w:r>
      <w:r w:rsidR="00B70F09">
        <w:t>;</w:t>
      </w:r>
      <w:r w:rsidR="00B70F09" w:rsidRPr="008F3C7D">
        <w:t xml:space="preserve"> 338 FLR 208; </w:t>
      </w:r>
      <w:r w:rsidR="00223FC1">
        <w:t xml:space="preserve">particularly </w:t>
      </w:r>
      <w:r w:rsidR="00B70F09">
        <w:t>at [</w:t>
      </w:r>
      <w:r w:rsidR="00223FC1">
        <w:t>37</w:t>
      </w:r>
      <w:r w:rsidR="00B70F09">
        <w:t>] to [</w:t>
      </w:r>
      <w:r w:rsidR="00223FC1">
        <w:t>38</w:t>
      </w:r>
      <w:r w:rsidR="00B70F09">
        <w:t xml:space="preserve">]. The solicitors for Kaushik had sought the applicants’ consent to the communication, which had not been forthcoming. Subsequent to Kaushik providing a copy of the decision in </w:t>
      </w:r>
      <w:r w:rsidR="00B70F09" w:rsidRPr="006D3D0D">
        <w:rPr>
          <w:i/>
          <w:iCs/>
        </w:rPr>
        <w:t>Skyworkers</w:t>
      </w:r>
      <w:r w:rsidR="00B70F09">
        <w:t>, the applicants’ solicitor</w:t>
      </w:r>
      <w:r w:rsidR="00C005F4">
        <w:t>s</w:t>
      </w:r>
      <w:r w:rsidR="00B70F09">
        <w:t xml:space="preserve"> forwarded to my chambers a</w:t>
      </w:r>
      <w:r w:rsidR="00191867">
        <w:t>n email</w:t>
      </w:r>
      <w:r w:rsidR="00B70F09">
        <w:t xml:space="preserve"> he had sent to Kaushik’s solicitors in which he sought to distinguish the decision in </w:t>
      </w:r>
      <w:r w:rsidR="00B70F09">
        <w:rPr>
          <w:i/>
          <w:iCs/>
        </w:rPr>
        <w:t>Skyworkers</w:t>
      </w:r>
      <w:r w:rsidR="00B70F09">
        <w:t xml:space="preserve">. I have treated that letter as a submission. </w:t>
      </w:r>
    </w:p>
    <w:p w14:paraId="7F0534AA" w14:textId="6B3B4FF3" w:rsidR="003C4AE4" w:rsidRDefault="006D48AC" w:rsidP="006D48AC">
      <w:pPr>
        <w:pStyle w:val="ParaNumbering"/>
        <w:numPr>
          <w:ilvl w:val="0"/>
          <w:numId w:val="0"/>
        </w:numPr>
        <w:ind w:hanging="720"/>
      </w:pPr>
      <w:r>
        <w:rPr>
          <w:sz w:val="20"/>
        </w:rPr>
        <w:lastRenderedPageBreak/>
        <w:t>35</w:t>
      </w:r>
      <w:r>
        <w:rPr>
          <w:sz w:val="20"/>
        </w:rPr>
        <w:tab/>
      </w:r>
      <w:r w:rsidR="00B70F09">
        <w:t xml:space="preserve">The applicants submit that </w:t>
      </w:r>
      <w:r w:rsidR="00B70F09" w:rsidRPr="006D3D0D">
        <w:rPr>
          <w:i/>
          <w:iCs/>
        </w:rPr>
        <w:t>Skyworkers</w:t>
      </w:r>
      <w:r w:rsidR="00B70F09">
        <w:t xml:space="preserve"> </w:t>
      </w:r>
      <w:r w:rsidR="00243FB9">
        <w:t>can</w:t>
      </w:r>
      <w:r w:rsidR="00254C1B">
        <w:t xml:space="preserve"> be distinguished</w:t>
      </w:r>
      <w:r w:rsidR="007C6B17" w:rsidRPr="007C6B17">
        <w:t xml:space="preserve"> </w:t>
      </w:r>
      <w:r w:rsidR="007C6B17">
        <w:t xml:space="preserve">on the basis that it was concerned with the particularisation of debts incurred to unsecured creditors and was not relevant to the particularisation of the statutory debts pleaded in paragraph [100] of the RDASOC. Further, that the applicants’ position in the present proceeding is distinguishable by the fact that </w:t>
      </w:r>
      <w:r w:rsidR="00264828">
        <w:t xml:space="preserve">the </w:t>
      </w:r>
      <w:r w:rsidR="007C6B17">
        <w:t>liquidator in this case relies on the “the ATO’s formal proof of debt”.</w:t>
      </w:r>
      <w:r w:rsidR="00ED56B8">
        <w:t xml:space="preserve"> They d</w:t>
      </w:r>
      <w:r w:rsidR="00243FB9">
        <w:t>o</w:t>
      </w:r>
      <w:r w:rsidR="00ED56B8">
        <w:t xml:space="preserve"> not contend that </w:t>
      </w:r>
      <w:r w:rsidR="00ED56B8" w:rsidRPr="0088649E">
        <w:rPr>
          <w:i/>
        </w:rPr>
        <w:t>Skyworkers</w:t>
      </w:r>
      <w:r w:rsidR="00ED56B8">
        <w:t xml:space="preserve">, or </w:t>
      </w:r>
      <w:r w:rsidR="00243FB9" w:rsidRPr="0088649E">
        <w:rPr>
          <w:i/>
        </w:rPr>
        <w:t>Devine</w:t>
      </w:r>
      <w:r w:rsidR="00243FB9">
        <w:t xml:space="preserve"> on which it is based, is wrongly decided</w:t>
      </w:r>
      <w:r w:rsidR="003C4AE4">
        <w:t xml:space="preserve">. </w:t>
      </w:r>
    </w:p>
    <w:p w14:paraId="4CEAE3FE" w14:textId="179932B7" w:rsidR="00B70F09" w:rsidRDefault="006D48AC" w:rsidP="006D48AC">
      <w:pPr>
        <w:pStyle w:val="ParaNumbering"/>
        <w:numPr>
          <w:ilvl w:val="0"/>
          <w:numId w:val="0"/>
        </w:numPr>
        <w:ind w:hanging="720"/>
      </w:pPr>
      <w:r>
        <w:rPr>
          <w:sz w:val="20"/>
        </w:rPr>
        <w:t>36</w:t>
      </w:r>
      <w:r>
        <w:rPr>
          <w:sz w:val="20"/>
        </w:rPr>
        <w:tab/>
      </w:r>
      <w:r w:rsidR="005E18B2">
        <w:t xml:space="preserve">I do not agree that </w:t>
      </w:r>
      <w:r w:rsidR="005E18B2" w:rsidRPr="32F9ECCA">
        <w:rPr>
          <w:i/>
          <w:iCs/>
        </w:rPr>
        <w:t>Skyw</w:t>
      </w:r>
      <w:r w:rsidR="2DEFFD08" w:rsidRPr="32F9ECCA">
        <w:rPr>
          <w:i/>
          <w:iCs/>
        </w:rPr>
        <w:t>ork</w:t>
      </w:r>
      <w:r w:rsidR="005E18B2" w:rsidRPr="32F9ECCA">
        <w:rPr>
          <w:i/>
          <w:iCs/>
        </w:rPr>
        <w:t>er</w:t>
      </w:r>
      <w:r w:rsidR="005E18B2">
        <w:rPr>
          <w:i/>
          <w:iCs/>
        </w:rPr>
        <w:t xml:space="preserve"> </w:t>
      </w:r>
      <w:r w:rsidR="005E18B2">
        <w:t>can be distinguished on the basis identifi</w:t>
      </w:r>
      <w:r w:rsidR="00F74AAA">
        <w:t xml:space="preserve">ed by the applicants. </w:t>
      </w:r>
    </w:p>
    <w:p w14:paraId="0363CCBC" w14:textId="73AB8EFB" w:rsidR="00B70F09" w:rsidRDefault="006D48AC" w:rsidP="006D48AC">
      <w:pPr>
        <w:pStyle w:val="ParaNumbering"/>
        <w:numPr>
          <w:ilvl w:val="0"/>
          <w:numId w:val="0"/>
        </w:numPr>
        <w:ind w:hanging="720"/>
      </w:pPr>
      <w:r>
        <w:rPr>
          <w:sz w:val="20"/>
        </w:rPr>
        <w:t>37</w:t>
      </w:r>
      <w:r>
        <w:rPr>
          <w:sz w:val="20"/>
        </w:rPr>
        <w:tab/>
      </w:r>
      <w:r w:rsidR="006334FF">
        <w:t xml:space="preserve">The decision in </w:t>
      </w:r>
      <w:r w:rsidR="006334FF" w:rsidRPr="785EA15B">
        <w:rPr>
          <w:i/>
          <w:iCs/>
        </w:rPr>
        <w:t>Skyw</w:t>
      </w:r>
      <w:r w:rsidR="7DE44CBC" w:rsidRPr="785EA15B">
        <w:rPr>
          <w:i/>
          <w:iCs/>
        </w:rPr>
        <w:t>or</w:t>
      </w:r>
      <w:r w:rsidR="006334FF" w:rsidRPr="785EA15B">
        <w:rPr>
          <w:i/>
          <w:iCs/>
        </w:rPr>
        <w:t>ker</w:t>
      </w:r>
      <w:r w:rsidR="00D876A1">
        <w:t xml:space="preserve"> at [</w:t>
      </w:r>
      <w:r w:rsidR="00BD06A3">
        <w:t>14]</w:t>
      </w:r>
      <w:r w:rsidR="00B961E5">
        <w:t xml:space="preserve"> and</w:t>
      </w:r>
      <w:r w:rsidR="00BD06A3">
        <w:t xml:space="preserve"> [</w:t>
      </w:r>
      <w:r w:rsidR="004166EA">
        <w:t>19</w:t>
      </w:r>
      <w:r w:rsidR="00BD06A3">
        <w:t>] to [</w:t>
      </w:r>
      <w:r w:rsidR="00B961E5">
        <w:t>26</w:t>
      </w:r>
      <w:r w:rsidR="00BD06A3">
        <w:t>]</w:t>
      </w:r>
      <w:r w:rsidR="006334FF">
        <w:rPr>
          <w:i/>
          <w:iCs/>
        </w:rPr>
        <w:t xml:space="preserve"> </w:t>
      </w:r>
      <w:r w:rsidR="006334FF">
        <w:t xml:space="preserve">relevantly applies </w:t>
      </w:r>
      <w:r w:rsidR="000F05EF">
        <w:t xml:space="preserve">the analysis in </w:t>
      </w:r>
      <w:r w:rsidR="000F05EF" w:rsidRPr="003B1C97">
        <w:rPr>
          <w:i/>
          <w:iCs/>
        </w:rPr>
        <w:t>Devine</w:t>
      </w:r>
      <w:r w:rsidR="003B1C97">
        <w:t xml:space="preserve"> at [</w:t>
      </w:r>
      <w:r w:rsidR="00F77553">
        <w:t>37] to [38]</w:t>
      </w:r>
      <w:r w:rsidR="000F05EF">
        <w:t xml:space="preserve">. </w:t>
      </w:r>
      <w:r w:rsidR="00B70F09" w:rsidRPr="000F05EF">
        <w:t>The</w:t>
      </w:r>
      <w:r w:rsidR="00B70F09">
        <w:t xml:space="preserve"> decision in </w:t>
      </w:r>
      <w:r w:rsidR="00B70F09" w:rsidRPr="006D3D0D">
        <w:rPr>
          <w:i/>
          <w:iCs/>
        </w:rPr>
        <w:t>Devine</w:t>
      </w:r>
      <w:r w:rsidR="00B70F09">
        <w:t xml:space="preserve"> related </w:t>
      </w:r>
      <w:r w:rsidR="00B70F09" w:rsidRPr="0088649E">
        <w:rPr>
          <w:i/>
        </w:rPr>
        <w:t>inter alia</w:t>
      </w:r>
      <w:r w:rsidR="00B70F09">
        <w:t xml:space="preserve"> to </w:t>
      </w:r>
      <w:r w:rsidR="005753EA">
        <w:t xml:space="preserve">a </w:t>
      </w:r>
      <w:r w:rsidR="00B70F09">
        <w:t xml:space="preserve">claim from the Commissioner of Taxation for unpaid superannuation guarantee levy obligations in respect of which a proof of debt had been lodged by the </w:t>
      </w:r>
      <w:r w:rsidR="00A07F8B">
        <w:t>Commissioner</w:t>
      </w:r>
      <w:r w:rsidR="00B70F09">
        <w:t>: [13].</w:t>
      </w:r>
      <w:r w:rsidR="001D5465">
        <w:t xml:space="preserve"> </w:t>
      </w:r>
      <w:r w:rsidR="000B1F0A">
        <w:t xml:space="preserve">The decision in </w:t>
      </w:r>
      <w:r w:rsidR="000B1F0A" w:rsidRPr="785EA15B">
        <w:rPr>
          <w:i/>
          <w:iCs/>
        </w:rPr>
        <w:t>Skyw</w:t>
      </w:r>
      <w:r w:rsidR="0DE69423" w:rsidRPr="785EA15B">
        <w:rPr>
          <w:i/>
          <w:iCs/>
        </w:rPr>
        <w:t>or</w:t>
      </w:r>
      <w:r w:rsidR="000B1F0A" w:rsidRPr="785EA15B">
        <w:rPr>
          <w:i/>
          <w:iCs/>
        </w:rPr>
        <w:t>ker</w:t>
      </w:r>
      <w:r w:rsidR="00751340">
        <w:rPr>
          <w:i/>
          <w:iCs/>
        </w:rPr>
        <w:t xml:space="preserve"> </w:t>
      </w:r>
      <w:r w:rsidR="006D1C76">
        <w:t xml:space="preserve">related </w:t>
      </w:r>
      <w:r w:rsidR="006D1C76">
        <w:rPr>
          <w:i/>
          <w:iCs/>
        </w:rPr>
        <w:t>inter alia</w:t>
      </w:r>
      <w:r w:rsidR="00CC3B1C">
        <w:t xml:space="preserve"> to a</w:t>
      </w:r>
      <w:r w:rsidR="009000FE">
        <w:t xml:space="preserve">n unsecured </w:t>
      </w:r>
      <w:r w:rsidR="00D95843">
        <w:t>debt to the Australian Tax Office</w:t>
      </w:r>
      <w:r w:rsidR="00055556">
        <w:t xml:space="preserve">. </w:t>
      </w:r>
      <w:r w:rsidR="001D5465">
        <w:t xml:space="preserve">The principles articulated are </w:t>
      </w:r>
      <w:r w:rsidR="00F44FFE">
        <w:t xml:space="preserve">based on an </w:t>
      </w:r>
      <w:r w:rsidR="000255B8">
        <w:t>analysis of the relevant provisions</w:t>
      </w:r>
      <w:r w:rsidR="00055556">
        <w:t xml:space="preserve"> and are not confined </w:t>
      </w:r>
      <w:r w:rsidR="006F230D">
        <w:t>as submitted by the applicants</w:t>
      </w:r>
      <w:r w:rsidR="000255B8">
        <w:t xml:space="preserve">. </w:t>
      </w:r>
      <w:r w:rsidR="00F44FFE">
        <w:t xml:space="preserve"> </w:t>
      </w:r>
    </w:p>
    <w:p w14:paraId="72499FC5" w14:textId="432B6AC3" w:rsidR="005753EA" w:rsidRDefault="006D48AC" w:rsidP="006D48AC">
      <w:pPr>
        <w:pStyle w:val="ParaNumbering"/>
        <w:numPr>
          <w:ilvl w:val="0"/>
          <w:numId w:val="0"/>
        </w:numPr>
        <w:ind w:hanging="720"/>
      </w:pPr>
      <w:r>
        <w:rPr>
          <w:sz w:val="20"/>
        </w:rPr>
        <w:t>38</w:t>
      </w:r>
      <w:r>
        <w:rPr>
          <w:sz w:val="20"/>
        </w:rPr>
        <w:tab/>
      </w:r>
      <w:r w:rsidR="00B036D2">
        <w:t xml:space="preserve">The critical passage </w:t>
      </w:r>
      <w:r w:rsidR="00CC3170">
        <w:t>is as follows</w:t>
      </w:r>
      <w:r w:rsidR="008E6911">
        <w:t xml:space="preserve"> (</w:t>
      </w:r>
      <w:r w:rsidR="008E6911" w:rsidRPr="00EC1A42">
        <w:rPr>
          <w:i/>
          <w:iCs/>
        </w:rPr>
        <w:t>Devine</w:t>
      </w:r>
      <w:r w:rsidR="00125ACA">
        <w:t>, [37] to [39])</w:t>
      </w:r>
      <w:r w:rsidR="00CC3170">
        <w:t>:</w:t>
      </w:r>
    </w:p>
    <w:p w14:paraId="4D9F0A7B" w14:textId="4BC25F56" w:rsidR="00CC3170" w:rsidRDefault="009879F5" w:rsidP="00EC1A42">
      <w:pPr>
        <w:pStyle w:val="Quote1"/>
        <w:ind w:left="1440" w:hanging="703"/>
      </w:pPr>
      <w:r>
        <w:t>3</w:t>
      </w:r>
      <w:r w:rsidR="008A064F">
        <w:t>7.</w:t>
      </w:r>
      <w:r w:rsidR="00B70B19">
        <w:t xml:space="preserve"> </w:t>
      </w:r>
      <w:r w:rsidR="00B70B19">
        <w:tab/>
      </w:r>
      <w:r>
        <w:t>…</w:t>
      </w:r>
      <w:r w:rsidR="00CC3170">
        <w:t>the failure to plead when the debts were incurred is a fundamental flaw. The date on which the debt is incurred is an essential aspect of the claim. Unless that date is known, it is impossible to evaluate whether the Company was insolvent or whether the elements of contravention in s 588G are made out.</w:t>
      </w:r>
    </w:p>
    <w:p w14:paraId="6961FD41" w14:textId="3A4FFDE8" w:rsidR="00CC3170" w:rsidRDefault="009879F5" w:rsidP="00EC1A42">
      <w:pPr>
        <w:pStyle w:val="Quote1"/>
        <w:ind w:left="1440" w:hanging="703"/>
      </w:pPr>
      <w:r>
        <w:t>38</w:t>
      </w:r>
      <w:r w:rsidR="008A064F">
        <w:t>.</w:t>
      </w:r>
      <w:r w:rsidR="00B70B19">
        <w:t xml:space="preserve"> </w:t>
      </w:r>
      <w:r w:rsidR="00B70B19">
        <w:tab/>
      </w:r>
      <w:r w:rsidR="00CC3170">
        <w:t>The question of when a debt is incurred may be a complex and contestable one. It is in my view essential that the Statement of Claim plead not only when it was that each debt was allegedly incurred but also how it was that the debt was incurred. The relevant contractual terms and the facts which give rise to the relevant debt should be pleaded so that they can be admitted or issue can be joined.</w:t>
      </w:r>
    </w:p>
    <w:p w14:paraId="3D5A80BE" w14:textId="6DDC9ACC" w:rsidR="00F52551" w:rsidRDefault="006D48AC" w:rsidP="006D48AC">
      <w:pPr>
        <w:pStyle w:val="ParaNumbering"/>
        <w:numPr>
          <w:ilvl w:val="0"/>
          <w:numId w:val="0"/>
        </w:numPr>
        <w:ind w:hanging="720"/>
      </w:pPr>
      <w:r>
        <w:rPr>
          <w:sz w:val="20"/>
        </w:rPr>
        <w:t>39</w:t>
      </w:r>
      <w:r>
        <w:rPr>
          <w:sz w:val="20"/>
        </w:rPr>
        <w:tab/>
      </w:r>
      <w:r w:rsidR="004A7F35">
        <w:t>In respect of t</w:t>
      </w:r>
      <w:r w:rsidR="00C51C56">
        <w:t xml:space="preserve">he </w:t>
      </w:r>
      <w:r w:rsidR="005A32B8">
        <w:t>application of the principle to the task of pleading</w:t>
      </w:r>
      <w:r w:rsidR="004A7F35">
        <w:t xml:space="preserve">, </w:t>
      </w:r>
      <w:r w:rsidR="00FF06CA">
        <w:t xml:space="preserve">his Honour continued </w:t>
      </w:r>
      <w:r w:rsidR="004704FA">
        <w:t>(at [39])</w:t>
      </w:r>
      <w:r w:rsidR="003635F7">
        <w:t xml:space="preserve">: </w:t>
      </w:r>
      <w:r w:rsidR="005A32B8">
        <w:t xml:space="preserve"> </w:t>
      </w:r>
    </w:p>
    <w:p w14:paraId="0C7D1D2F" w14:textId="77777777" w:rsidR="008A064F" w:rsidRDefault="008A064F" w:rsidP="00EC1A42">
      <w:pPr>
        <w:pStyle w:val="Quote1"/>
        <w:ind w:left="1440" w:hanging="703"/>
      </w:pPr>
    </w:p>
    <w:p w14:paraId="44EFA430" w14:textId="17E93555" w:rsidR="00937B98" w:rsidRDefault="009879F5" w:rsidP="00EC1A42">
      <w:pPr>
        <w:pStyle w:val="Quote1"/>
        <w:ind w:left="1440" w:hanging="703"/>
      </w:pPr>
      <w:r>
        <w:t>39</w:t>
      </w:r>
      <w:r w:rsidR="008A064F">
        <w:t>.</w:t>
      </w:r>
      <w:r w:rsidR="00B70B19">
        <w:tab/>
      </w:r>
      <w:r w:rsidR="00CC3170">
        <w:t xml:space="preserve">It is not always necessary that this should be lengthy. In a case of goods sold and delivered or services supplied the debt will, in many cases, arise at the date of delivery: </w:t>
      </w:r>
      <w:r w:rsidR="00CC3170" w:rsidRPr="00B70B19">
        <w:rPr>
          <w:i/>
        </w:rPr>
        <w:t xml:space="preserve">Australian Securities &amp; Investments Commission v Plymin </w:t>
      </w:r>
      <w:r w:rsidR="00CC3170">
        <w:t>(2003) 175 FLR 124; [2003] VSC 123 at [517]. It should be possible to group claims of this type together and plead the incurring of the debts by reference to the dates the goods were delivered or the services were supplied, as the case may be, in tabular form. Where, as in this case, there are multiple claims for the employee claims may be more complicated, especially if the employees are contending that they have been underpaid for work actually done. But there seems no reason in principle why these too could not be pleaded in a tabular form.</w:t>
      </w:r>
    </w:p>
    <w:p w14:paraId="6F28BAC6" w14:textId="169BB0DC" w:rsidR="008C17BA" w:rsidRDefault="006D48AC" w:rsidP="006D48AC">
      <w:pPr>
        <w:pStyle w:val="ParaNumbering"/>
        <w:numPr>
          <w:ilvl w:val="0"/>
          <w:numId w:val="0"/>
        </w:numPr>
        <w:ind w:hanging="720"/>
      </w:pPr>
      <w:r>
        <w:rPr>
          <w:sz w:val="20"/>
        </w:rPr>
        <w:lastRenderedPageBreak/>
        <w:t>40</w:t>
      </w:r>
      <w:r>
        <w:rPr>
          <w:sz w:val="20"/>
        </w:rPr>
        <w:tab/>
      </w:r>
      <w:r w:rsidR="003B0410">
        <w:t>K</w:t>
      </w:r>
      <w:r w:rsidR="00485BCF">
        <w:t xml:space="preserve">aushik submits that the particulars proposed in the RDASOC </w:t>
      </w:r>
      <w:r w:rsidR="00197FEF">
        <w:t xml:space="preserve">should not be allowed for reasons which </w:t>
      </w:r>
      <w:r w:rsidR="00DA1039">
        <w:t xml:space="preserve">are predicated on </w:t>
      </w:r>
      <w:r w:rsidR="007E4B22">
        <w:t>an attempt to understand</w:t>
      </w:r>
      <w:r w:rsidR="00532E33">
        <w:t xml:space="preserve"> what is alleged in RDASOC[</w:t>
      </w:r>
      <w:r w:rsidR="00B85857">
        <w:t xml:space="preserve">100] and is purported to be supported by the </w:t>
      </w:r>
      <w:r w:rsidR="00F16BC7">
        <w:t xml:space="preserve">proposed incorporated particulars. </w:t>
      </w:r>
      <w:r w:rsidR="007E4B22">
        <w:t xml:space="preserve">I do not see any </w:t>
      </w:r>
      <w:r w:rsidR="00A50B12">
        <w:t>utility</w:t>
      </w:r>
      <w:r w:rsidR="007E4B22">
        <w:t xml:space="preserve"> in </w:t>
      </w:r>
      <w:r w:rsidR="009A2B19">
        <w:t xml:space="preserve">reciting </w:t>
      </w:r>
      <w:r w:rsidR="00675301">
        <w:t>the</w:t>
      </w:r>
      <w:r w:rsidR="009A2B19">
        <w:t xml:space="preserve"> attempt </w:t>
      </w:r>
      <w:r w:rsidR="00675301">
        <w:t xml:space="preserve">by Kaushik </w:t>
      </w:r>
      <w:r w:rsidR="009A2B19">
        <w:t xml:space="preserve">to follow through what RDASOC[100] as particularised is intended to </w:t>
      </w:r>
      <w:r w:rsidR="005663CB">
        <w:t xml:space="preserve">convey. I will simply note that </w:t>
      </w:r>
      <w:r w:rsidR="00F746C5">
        <w:t>one of the</w:t>
      </w:r>
      <w:r w:rsidR="00D50AA6">
        <w:t xml:space="preserve"> </w:t>
      </w:r>
      <w:r w:rsidR="005663CB">
        <w:t>function</w:t>
      </w:r>
      <w:r w:rsidR="009A61D2">
        <w:t>s</w:t>
      </w:r>
      <w:r w:rsidR="005663CB">
        <w:t xml:space="preserve"> </w:t>
      </w:r>
      <w:r w:rsidR="00D50AA6">
        <w:t xml:space="preserve">which </w:t>
      </w:r>
      <w:r w:rsidR="009A61D2">
        <w:t xml:space="preserve">pleadings are </w:t>
      </w:r>
      <w:r w:rsidR="005663CB">
        <w:t>intended to serve</w:t>
      </w:r>
      <w:r w:rsidR="00242559">
        <w:t xml:space="preserve">, supplemented by particulars, is </w:t>
      </w:r>
      <w:r w:rsidR="00C61E9E">
        <w:t xml:space="preserve">procedural fairness </w:t>
      </w:r>
      <w:r w:rsidR="00A71F52">
        <w:t>by</w:t>
      </w:r>
      <w:r w:rsidR="00242559" w:rsidDel="00A71F52">
        <w:t xml:space="preserve"> </w:t>
      </w:r>
      <w:r w:rsidR="00F04779">
        <w:t>expos</w:t>
      </w:r>
      <w:r w:rsidR="00A71F52">
        <w:t>ing</w:t>
      </w:r>
      <w:r w:rsidR="00F04779">
        <w:t xml:space="preserve"> the case which the respondent must </w:t>
      </w:r>
      <w:r w:rsidR="003D716C">
        <w:t xml:space="preserve">meet. </w:t>
      </w:r>
      <w:r w:rsidR="000922D1">
        <w:t>For reasons which will become apparent</w:t>
      </w:r>
      <w:r w:rsidR="005036D1">
        <w:t>,</w:t>
      </w:r>
      <w:r w:rsidR="005F5C5D">
        <w:t xml:space="preserve"> I am satisfied that the inclusion of the </w:t>
      </w:r>
      <w:r w:rsidR="000A3FE2">
        <w:t>particulars</w:t>
      </w:r>
      <w:r w:rsidR="00FB6C97">
        <w:t xml:space="preserve"> in RDASOC[100] does not adequately expose the </w:t>
      </w:r>
      <w:r w:rsidR="002F179C">
        <w:t>case that Kaushik is required to meet in relation to the insolvent trading claims</w:t>
      </w:r>
      <w:r w:rsidR="000A3FE2">
        <w:t xml:space="preserve"> to discharge that function. Having reached that conclusion</w:t>
      </w:r>
      <w:r w:rsidR="000922D1">
        <w:t xml:space="preserve">, </w:t>
      </w:r>
      <w:r w:rsidR="008F59ED">
        <w:t>i</w:t>
      </w:r>
      <w:r w:rsidR="003D716C">
        <w:t xml:space="preserve">t </w:t>
      </w:r>
      <w:r w:rsidR="001B00FB">
        <w:t>i</w:t>
      </w:r>
      <w:r w:rsidR="003D716C">
        <w:t xml:space="preserve">s not necessary for me to address whether the submissions made by counsel for Kaushik represent a </w:t>
      </w:r>
      <w:r w:rsidR="00B85B0C">
        <w:t xml:space="preserve">real </w:t>
      </w:r>
      <w:r w:rsidR="003D716C">
        <w:t xml:space="preserve">attempt to engage with </w:t>
      </w:r>
      <w:r w:rsidR="001B00FB">
        <w:t xml:space="preserve">the </w:t>
      </w:r>
      <w:r w:rsidR="003D716C">
        <w:t>pleading</w:t>
      </w:r>
      <w:r w:rsidR="00B7175C">
        <w:t xml:space="preserve">, noting that the submissions </w:t>
      </w:r>
      <w:r w:rsidR="009E2550">
        <w:t>rely on</w:t>
      </w:r>
      <w:r w:rsidR="00B7175C">
        <w:t xml:space="preserve"> </w:t>
      </w:r>
      <w:r w:rsidR="00162706">
        <w:t xml:space="preserve">sections of the </w:t>
      </w:r>
      <w:r w:rsidR="00F81630">
        <w:t xml:space="preserve">Act </w:t>
      </w:r>
      <w:r w:rsidR="00162706">
        <w:t>that</w:t>
      </w:r>
      <w:r w:rsidR="009E2550">
        <w:t xml:space="preserve"> are not directly relevant</w:t>
      </w:r>
      <w:r w:rsidR="0019626D">
        <w:t>.</w:t>
      </w:r>
      <w:r w:rsidR="009E2550">
        <w:t xml:space="preserve"> </w:t>
      </w:r>
    </w:p>
    <w:p w14:paraId="1530ED4A" w14:textId="6F0E673E" w:rsidR="0035185E" w:rsidRDefault="006D48AC" w:rsidP="006D48AC">
      <w:pPr>
        <w:pStyle w:val="ParaNumbering"/>
        <w:numPr>
          <w:ilvl w:val="0"/>
          <w:numId w:val="0"/>
        </w:numPr>
        <w:ind w:hanging="720"/>
      </w:pPr>
      <w:r>
        <w:rPr>
          <w:sz w:val="20"/>
        </w:rPr>
        <w:t>41</w:t>
      </w:r>
      <w:r>
        <w:rPr>
          <w:sz w:val="20"/>
        </w:rPr>
        <w:tab/>
      </w:r>
      <w:r w:rsidR="00F16BC7">
        <w:t>Kaush</w:t>
      </w:r>
      <w:r w:rsidR="00130C26">
        <w:t xml:space="preserve">ik’s submissions on this issue focussed on the component of the </w:t>
      </w:r>
      <w:r w:rsidR="00AF0CDB">
        <w:t>Insolvent Debts (as defined in RDASOC[100])</w:t>
      </w:r>
      <w:r w:rsidR="00775F0F">
        <w:t xml:space="preserve"> described as</w:t>
      </w:r>
      <w:r w:rsidR="0081792C">
        <w:t xml:space="preserve"> “Insolvent Trading Claim </w:t>
      </w:r>
      <w:r w:rsidR="0040460F">
        <w:t>–</w:t>
      </w:r>
      <w:r w:rsidR="0081792C">
        <w:t xml:space="preserve"> K</w:t>
      </w:r>
      <w:r w:rsidR="0040460F">
        <w:t>aushik ($)”</w:t>
      </w:r>
      <w:r w:rsidR="00775F0F">
        <w:t xml:space="preserve"> </w:t>
      </w:r>
      <w:r w:rsidR="009D07FD">
        <w:t xml:space="preserve">being owed to </w:t>
      </w:r>
      <w:r w:rsidR="00FF5001">
        <w:t xml:space="preserve">a Creditor </w:t>
      </w:r>
      <w:r w:rsidR="007B15A6">
        <w:t xml:space="preserve">described </w:t>
      </w:r>
      <w:r w:rsidR="0000094E">
        <w:t>as</w:t>
      </w:r>
      <w:r w:rsidR="00FF5001">
        <w:t xml:space="preserve"> </w:t>
      </w:r>
      <w:r w:rsidR="00775F0F">
        <w:t xml:space="preserve">“ATO – Running Balance </w:t>
      </w:r>
      <w:r w:rsidR="009D07FD">
        <w:t>Account</w:t>
      </w:r>
      <w:r w:rsidR="00FF5001">
        <w:t>” in the sum of $</w:t>
      </w:r>
      <w:r w:rsidR="009B3015">
        <w:t>682,031.87</w:t>
      </w:r>
      <w:r w:rsidR="006B5599">
        <w:t xml:space="preserve"> and purp</w:t>
      </w:r>
      <w:r w:rsidR="00F36883">
        <w:t>ortedly, particularised by Table 1</w:t>
      </w:r>
      <w:r w:rsidR="009B3015">
        <w:t>.</w:t>
      </w:r>
      <w:r w:rsidR="0000094E">
        <w:t xml:space="preserve"> That </w:t>
      </w:r>
      <w:r w:rsidR="00ED18F9">
        <w:t xml:space="preserve">amount </w:t>
      </w:r>
      <w:r w:rsidR="00F36883">
        <w:t xml:space="preserve">of </w:t>
      </w:r>
      <w:r w:rsidR="00A7782B">
        <w:t xml:space="preserve">$682,031.87 </w:t>
      </w:r>
      <w:r w:rsidR="00ED18F9">
        <w:t xml:space="preserve">equates to </w:t>
      </w:r>
      <w:r w:rsidR="00F25D9C">
        <w:t xml:space="preserve">what is described in the allegation in RDASOC[100] as </w:t>
      </w:r>
      <w:r w:rsidR="00ED18F9">
        <w:t xml:space="preserve">the </w:t>
      </w:r>
      <w:r w:rsidR="00A13217">
        <w:t>“Debts incurred post 30</w:t>
      </w:r>
      <w:r w:rsidR="000A7B06">
        <w:t> </w:t>
      </w:r>
      <w:r w:rsidR="00A13217">
        <w:t>June 2014 ($)</w:t>
      </w:r>
      <w:r w:rsidR="00AD76EF">
        <w:t xml:space="preserve">”. </w:t>
      </w:r>
      <w:r w:rsidR="00F25D9C">
        <w:t xml:space="preserve">The </w:t>
      </w:r>
      <w:r w:rsidR="008353E6">
        <w:t xml:space="preserve">allegation in RDASOC[100] also includes reference to what is described as </w:t>
      </w:r>
      <w:r w:rsidR="00133F56">
        <w:t>“</w:t>
      </w:r>
      <w:r w:rsidR="00133F56" w:rsidRPr="00133F56">
        <w:t>Total Creditor Liability as at 7</w:t>
      </w:r>
      <w:r w:rsidR="00EF4414">
        <w:t> </w:t>
      </w:r>
      <w:r w:rsidR="00133F56" w:rsidRPr="00133F56">
        <w:t>August 2015 ($)</w:t>
      </w:r>
      <w:r w:rsidR="00133F56">
        <w:t>”</w:t>
      </w:r>
      <w:r w:rsidR="00F25D9C">
        <w:t xml:space="preserve"> </w:t>
      </w:r>
      <w:r w:rsidR="00F81526">
        <w:t xml:space="preserve">in the amount of </w:t>
      </w:r>
      <w:r w:rsidR="002F1DEB">
        <w:t>“$</w:t>
      </w:r>
      <w:r w:rsidR="002F1DEB" w:rsidRPr="002F1DEB">
        <w:t>681,951.46</w:t>
      </w:r>
      <w:r w:rsidR="002F1DEB">
        <w:t xml:space="preserve">”. </w:t>
      </w:r>
    </w:p>
    <w:p w14:paraId="767B6061" w14:textId="482C859B" w:rsidR="00A41E87" w:rsidRDefault="006D48AC" w:rsidP="006D48AC">
      <w:pPr>
        <w:pStyle w:val="ParaNumbering"/>
        <w:numPr>
          <w:ilvl w:val="0"/>
          <w:numId w:val="0"/>
        </w:numPr>
        <w:ind w:hanging="720"/>
      </w:pPr>
      <w:r>
        <w:rPr>
          <w:sz w:val="20"/>
        </w:rPr>
        <w:t>42</w:t>
      </w:r>
      <w:r>
        <w:rPr>
          <w:sz w:val="20"/>
        </w:rPr>
        <w:tab/>
      </w:r>
      <w:r w:rsidR="0035185E">
        <w:t xml:space="preserve">The allegation in </w:t>
      </w:r>
      <w:r w:rsidR="006E7695">
        <w:t>RDASOC[100]</w:t>
      </w:r>
      <w:r w:rsidR="00B238FA">
        <w:t xml:space="preserve"> is</w:t>
      </w:r>
      <w:r w:rsidR="0065147B">
        <w:t>,</w:t>
      </w:r>
      <w:r w:rsidR="00B238FA">
        <w:t xml:space="preserve"> to put it neutrally</w:t>
      </w:r>
      <w:r w:rsidR="0065147B">
        <w:t>,</w:t>
      </w:r>
      <w:r w:rsidR="00B238FA">
        <w:t xml:space="preserve"> </w:t>
      </w:r>
      <w:r w:rsidR="00E20EC7">
        <w:t>opaque. T</w:t>
      </w:r>
      <w:r w:rsidR="006A3511">
        <w:t>he particulars</w:t>
      </w:r>
      <w:r w:rsidR="00E20EC7">
        <w:t xml:space="preserve"> which are </w:t>
      </w:r>
      <w:r w:rsidR="00DE0DEE">
        <w:t>proposed are in</w:t>
      </w:r>
      <w:r w:rsidR="006A3511">
        <w:t xml:space="preserve"> the form of </w:t>
      </w:r>
      <w:r w:rsidR="00BE706D">
        <w:t>what appears to be</w:t>
      </w:r>
      <w:r w:rsidR="00E9028D">
        <w:t xml:space="preserve"> a reproduction of a statement of the ATO’s running account balance (as provided for in s</w:t>
      </w:r>
      <w:r w:rsidR="000A7B06">
        <w:t> </w:t>
      </w:r>
      <w:r w:rsidR="00E842E1" w:rsidRPr="00E842E1">
        <w:t xml:space="preserve">8AAZC of the </w:t>
      </w:r>
      <w:r w:rsidR="00E842E1" w:rsidRPr="00117879">
        <w:rPr>
          <w:i/>
        </w:rPr>
        <w:t>Taxation Administration Act</w:t>
      </w:r>
      <w:r w:rsidR="0061435B" w:rsidRPr="0061435B">
        <w:rPr>
          <w:i/>
          <w:iCs/>
        </w:rPr>
        <w:t xml:space="preserve"> </w:t>
      </w:r>
      <w:r w:rsidR="00E30EF3">
        <w:rPr>
          <w:i/>
          <w:iCs/>
        </w:rPr>
        <w:t>1953</w:t>
      </w:r>
      <w:r w:rsidR="0061435B">
        <w:t xml:space="preserve"> (</w:t>
      </w:r>
      <w:r w:rsidR="00E30EF3">
        <w:t>Cth</w:t>
      </w:r>
      <w:r w:rsidR="0061435B">
        <w:t>)</w:t>
      </w:r>
      <w:r w:rsidR="00E842E1">
        <w:t>)</w:t>
      </w:r>
      <w:r w:rsidR="00C97F79">
        <w:t xml:space="preserve">. </w:t>
      </w:r>
    </w:p>
    <w:p w14:paraId="6DB84C1D" w14:textId="5B4D8678" w:rsidR="00AF1214" w:rsidRDefault="006D48AC" w:rsidP="006D48AC">
      <w:pPr>
        <w:pStyle w:val="ParaNumbering"/>
        <w:numPr>
          <w:ilvl w:val="0"/>
          <w:numId w:val="0"/>
        </w:numPr>
        <w:ind w:hanging="720"/>
      </w:pPr>
      <w:r>
        <w:rPr>
          <w:sz w:val="20"/>
        </w:rPr>
        <w:t>43</w:t>
      </w:r>
      <w:r>
        <w:rPr>
          <w:sz w:val="20"/>
        </w:rPr>
        <w:tab/>
      </w:r>
      <w:r w:rsidR="0019620C">
        <w:t xml:space="preserve">The “Total </w:t>
      </w:r>
      <w:r w:rsidR="0019620C" w:rsidRPr="0019620C">
        <w:t>Creditor Liability as at 7</w:t>
      </w:r>
      <w:r w:rsidR="00904B40">
        <w:t> </w:t>
      </w:r>
      <w:r w:rsidR="0019620C" w:rsidRPr="0019620C">
        <w:t>August 2015 ($)</w:t>
      </w:r>
      <w:r w:rsidR="0019620C">
        <w:t xml:space="preserve">” </w:t>
      </w:r>
      <w:r w:rsidR="005916A6">
        <w:t>of $</w:t>
      </w:r>
      <w:r w:rsidR="005916A6" w:rsidRPr="005916A6">
        <w:t>681,951.46</w:t>
      </w:r>
      <w:r w:rsidR="005916A6">
        <w:t xml:space="preserve"> </w:t>
      </w:r>
      <w:r w:rsidR="00BD68F2">
        <w:t>in respect of the “ATO – Running Balance Account”</w:t>
      </w:r>
      <w:r w:rsidR="005916A6">
        <w:t xml:space="preserve"> </w:t>
      </w:r>
      <w:r w:rsidR="00331D2D">
        <w:t xml:space="preserve">is </w:t>
      </w:r>
      <w:r w:rsidR="00613163">
        <w:t xml:space="preserve">particularised by reference to the </w:t>
      </w:r>
      <w:r w:rsidR="00826982">
        <w:t xml:space="preserve">final particularised </w:t>
      </w:r>
      <w:r w:rsidR="00613163">
        <w:t>running account balance a</w:t>
      </w:r>
      <w:r w:rsidR="00765E2B">
        <w:t>s</w:t>
      </w:r>
      <w:r w:rsidR="00613163">
        <w:t xml:space="preserve"> at 20</w:t>
      </w:r>
      <w:r w:rsidR="00563D86">
        <w:t> </w:t>
      </w:r>
      <w:r w:rsidR="00613163">
        <w:t>August 2015</w:t>
      </w:r>
      <w:r w:rsidR="00B539CB">
        <w:t xml:space="preserve">, </w:t>
      </w:r>
      <w:r w:rsidR="0012476E">
        <w:t xml:space="preserve">being </w:t>
      </w:r>
      <w:r w:rsidR="001869C9">
        <w:t>a date after the end of the “Relevant Period” as defined</w:t>
      </w:r>
      <w:r w:rsidR="0027430C">
        <w:t>.</w:t>
      </w:r>
      <w:r w:rsidR="00DE61EE">
        <w:t xml:space="preserve"> </w:t>
      </w:r>
      <w:r w:rsidR="002273E4">
        <w:t xml:space="preserve">There is no entry in </w:t>
      </w:r>
      <w:r w:rsidR="000D46AE">
        <w:t>Table 1</w:t>
      </w:r>
      <w:r w:rsidR="00A51671">
        <w:t xml:space="preserve"> </w:t>
      </w:r>
      <w:r w:rsidR="00310BA7">
        <w:t>with</w:t>
      </w:r>
      <w:r w:rsidR="005C28BE">
        <w:t xml:space="preserve"> </w:t>
      </w:r>
      <w:r w:rsidR="00310BA7">
        <w:t>an</w:t>
      </w:r>
      <w:r w:rsidR="005C28BE">
        <w:t xml:space="preserve"> </w:t>
      </w:r>
      <w:r w:rsidR="00B74C18">
        <w:t xml:space="preserve">effective </w:t>
      </w:r>
      <w:r w:rsidR="005C28BE">
        <w:t xml:space="preserve">date </w:t>
      </w:r>
      <w:r w:rsidR="00A51671">
        <w:t>of</w:t>
      </w:r>
      <w:r w:rsidR="005C28BE">
        <w:t xml:space="preserve"> 7</w:t>
      </w:r>
      <w:r w:rsidR="00563D86">
        <w:t> </w:t>
      </w:r>
      <w:r w:rsidR="005C28BE">
        <w:t xml:space="preserve">August 2015. </w:t>
      </w:r>
      <w:r w:rsidR="00310BA7">
        <w:t xml:space="preserve">The most recent entry in Table 1 before the end of the Relevant Period is an entry </w:t>
      </w:r>
      <w:r w:rsidR="00E5437B">
        <w:t xml:space="preserve">for </w:t>
      </w:r>
      <w:r w:rsidR="00C9673A">
        <w:t>25</w:t>
      </w:r>
      <w:r w:rsidR="00563D86">
        <w:t> </w:t>
      </w:r>
      <w:r w:rsidR="00C9673A">
        <w:t>Jul</w:t>
      </w:r>
      <w:r w:rsidR="00962CB0">
        <w:t>y 2015</w:t>
      </w:r>
      <w:r w:rsidR="00E5437B">
        <w:t xml:space="preserve"> in the sum of </w:t>
      </w:r>
      <w:r w:rsidR="0073281B">
        <w:t>$</w:t>
      </w:r>
      <w:r w:rsidR="0073281B" w:rsidRPr="00962CB0">
        <w:t>492,639.57</w:t>
      </w:r>
      <w:r w:rsidR="00416CC1">
        <w:t xml:space="preserve">. </w:t>
      </w:r>
      <w:r w:rsidR="00A01E51">
        <w:t xml:space="preserve">The next date after </w:t>
      </w:r>
      <w:r w:rsidR="00691914">
        <w:t>25 July 2015 is an entry with an effective date of</w:t>
      </w:r>
      <w:r w:rsidR="00A01E51">
        <w:t xml:space="preserve"> </w:t>
      </w:r>
      <w:r w:rsidR="00416CC1">
        <w:t>25</w:t>
      </w:r>
      <w:r w:rsidR="00563D86">
        <w:t> </w:t>
      </w:r>
      <w:r w:rsidR="00416CC1">
        <w:t>August</w:t>
      </w:r>
      <w:r w:rsidR="00243023">
        <w:t> </w:t>
      </w:r>
      <w:r w:rsidR="00416CC1">
        <w:t>2015</w:t>
      </w:r>
      <w:r w:rsidR="00215CBE">
        <w:t>. There are t</w:t>
      </w:r>
      <w:r w:rsidR="00D056BB">
        <w:t>hree entries for 25 August 20</w:t>
      </w:r>
      <w:r w:rsidR="00BC68D1">
        <w:t>15</w:t>
      </w:r>
      <w:r w:rsidR="00326C7E">
        <w:t xml:space="preserve">. Two of these entries increase the amount included in the </w:t>
      </w:r>
      <w:r w:rsidR="005F6FAD">
        <w:t>column headed “Balance”</w:t>
      </w:r>
      <w:r w:rsidR="00964275">
        <w:t xml:space="preserve">. </w:t>
      </w:r>
      <w:r w:rsidR="00535816">
        <w:t>T</w:t>
      </w:r>
      <w:r w:rsidR="00253D5D">
        <w:t xml:space="preserve">he running account balance is increased to reflect </w:t>
      </w:r>
      <w:r w:rsidR="00F67587">
        <w:t xml:space="preserve">a debit in respect of </w:t>
      </w:r>
      <w:r w:rsidR="00253D5D">
        <w:t xml:space="preserve">GST </w:t>
      </w:r>
      <w:r w:rsidR="00F67587">
        <w:t>in the sum of $153,970</w:t>
      </w:r>
      <w:r w:rsidR="005652D9">
        <w:t xml:space="preserve"> on </w:t>
      </w:r>
      <w:r w:rsidR="00571610">
        <w:t>25</w:t>
      </w:r>
      <w:r w:rsidR="00904B40">
        <w:t> </w:t>
      </w:r>
      <w:r w:rsidR="00571610">
        <w:t>August 2025</w:t>
      </w:r>
      <w:r w:rsidR="00286F94">
        <w:t xml:space="preserve"> </w:t>
      </w:r>
      <w:r w:rsidR="00152C33">
        <w:t>and</w:t>
      </w:r>
      <w:r w:rsidR="00D6082A">
        <w:t xml:space="preserve"> </w:t>
      </w:r>
      <w:r w:rsidR="009D7E7F">
        <w:t xml:space="preserve">a further debit </w:t>
      </w:r>
      <w:r w:rsidR="009D7E7F">
        <w:lastRenderedPageBreak/>
        <w:t xml:space="preserve">in respect of PAYG Withholding </w:t>
      </w:r>
      <w:r w:rsidR="0057766F">
        <w:t>in the sum of</w:t>
      </w:r>
      <w:r w:rsidR="009D7E7F">
        <w:t xml:space="preserve"> </w:t>
      </w:r>
      <w:r w:rsidR="00D6082A">
        <w:t>$33,734</w:t>
      </w:r>
      <w:r w:rsidR="00C820CC">
        <w:t>, also</w:t>
      </w:r>
      <w:r w:rsidR="00571610">
        <w:t xml:space="preserve"> on 25</w:t>
      </w:r>
      <w:r w:rsidR="00904B40">
        <w:t> </w:t>
      </w:r>
      <w:r w:rsidR="00571610">
        <w:t>August 2025</w:t>
      </w:r>
      <w:r w:rsidR="00C820CC">
        <w:t xml:space="preserve">. Following the </w:t>
      </w:r>
      <w:r w:rsidR="002B793E">
        <w:t>entries for 25 August 2015,</w:t>
      </w:r>
      <w:r w:rsidR="00C820CC">
        <w:t xml:space="preserve"> </w:t>
      </w:r>
      <w:r w:rsidR="007351FF">
        <w:t>there is</w:t>
      </w:r>
      <w:r w:rsidR="00D6082A">
        <w:t xml:space="preserve"> a debit </w:t>
      </w:r>
      <w:r w:rsidR="00A54BAF">
        <w:t>entry</w:t>
      </w:r>
      <w:r w:rsidR="00D6082A">
        <w:t xml:space="preserve"> in relation to GIC of $1,</w:t>
      </w:r>
      <w:r w:rsidR="00C23ABD">
        <w:t xml:space="preserve">607.89 </w:t>
      </w:r>
      <w:r w:rsidR="00571610">
        <w:t>on 20</w:t>
      </w:r>
      <w:r w:rsidR="00904B40">
        <w:t> </w:t>
      </w:r>
      <w:r w:rsidR="00571610">
        <w:t>August 2025</w:t>
      </w:r>
      <w:r w:rsidR="00467B3E">
        <w:t xml:space="preserve"> </w:t>
      </w:r>
      <w:r w:rsidR="00D6082A">
        <w:t>with the result that the</w:t>
      </w:r>
      <w:r w:rsidR="00C23ABD">
        <w:t xml:space="preserve"> running account balance</w:t>
      </w:r>
      <w:r w:rsidR="00571610" w:rsidRPr="00571610">
        <w:t xml:space="preserve"> </w:t>
      </w:r>
      <w:r w:rsidR="00571610">
        <w:t>as at the effective date of 20</w:t>
      </w:r>
      <w:r w:rsidR="00243023">
        <w:t> </w:t>
      </w:r>
      <w:r w:rsidR="00571610">
        <w:t>August 2015</w:t>
      </w:r>
      <w:r w:rsidR="00C23ABD">
        <w:t xml:space="preserve"> </w:t>
      </w:r>
      <w:r w:rsidR="00DA2417">
        <w:t>is</w:t>
      </w:r>
      <w:r w:rsidR="00C23ABD">
        <w:t xml:space="preserve"> </w:t>
      </w:r>
      <w:r w:rsidR="00A54BAF">
        <w:t>described as being</w:t>
      </w:r>
      <w:r w:rsidR="00C23ABD">
        <w:t xml:space="preserve"> $681,951.46</w:t>
      </w:r>
      <w:r w:rsidR="00D7566D">
        <w:t>.</w:t>
      </w:r>
      <w:r w:rsidR="00962CB0">
        <w:t xml:space="preserve"> </w:t>
      </w:r>
      <w:r w:rsidR="002273E4">
        <w:t xml:space="preserve"> </w:t>
      </w:r>
    </w:p>
    <w:p w14:paraId="438EF121" w14:textId="340913E8" w:rsidR="00BE69C8" w:rsidRDefault="006D48AC" w:rsidP="006D48AC">
      <w:pPr>
        <w:pStyle w:val="ParaNumbering"/>
        <w:numPr>
          <w:ilvl w:val="0"/>
          <w:numId w:val="0"/>
        </w:numPr>
        <w:ind w:hanging="720"/>
      </w:pPr>
      <w:r>
        <w:rPr>
          <w:sz w:val="20"/>
        </w:rPr>
        <w:t>44</w:t>
      </w:r>
      <w:r>
        <w:rPr>
          <w:sz w:val="20"/>
        </w:rPr>
        <w:tab/>
      </w:r>
      <w:r w:rsidR="004572C1">
        <w:t xml:space="preserve">The </w:t>
      </w:r>
      <w:r w:rsidR="002465BF">
        <w:t>pleader</w:t>
      </w:r>
      <w:r w:rsidR="00B35841">
        <w:t xml:space="preserve"> allege</w:t>
      </w:r>
      <w:r w:rsidR="002465BF">
        <w:t>s</w:t>
      </w:r>
      <w:r w:rsidR="00B35841">
        <w:t xml:space="preserve"> </w:t>
      </w:r>
      <w:r w:rsidR="00517E1A">
        <w:t xml:space="preserve">that the </w:t>
      </w:r>
      <w:r w:rsidR="002465BF">
        <w:t>“</w:t>
      </w:r>
      <w:r w:rsidR="00654A4E">
        <w:t>T</w:t>
      </w:r>
      <w:r w:rsidR="00517E1A">
        <w:t xml:space="preserve">otal creditor liability as at </w:t>
      </w:r>
      <w:r w:rsidR="00332F69">
        <w:t>7</w:t>
      </w:r>
      <w:r w:rsidR="006C70E3">
        <w:t> </w:t>
      </w:r>
      <w:r w:rsidR="00332F69">
        <w:t>August 2015</w:t>
      </w:r>
      <w:r w:rsidR="002465BF">
        <w:t xml:space="preserve">” </w:t>
      </w:r>
      <w:r w:rsidR="00CD0CB4">
        <w:t xml:space="preserve">attributable to the </w:t>
      </w:r>
      <w:r w:rsidR="00B50FD9">
        <w:t>“</w:t>
      </w:r>
      <w:r w:rsidR="00B50FD9" w:rsidRPr="00B50FD9">
        <w:t>ATO – Running Balance Account</w:t>
      </w:r>
      <w:r w:rsidR="00B50FD9">
        <w:t>”</w:t>
      </w:r>
      <w:r w:rsidR="00332F69">
        <w:t xml:space="preserve"> equates with the running account balance </w:t>
      </w:r>
      <w:r w:rsidR="00CF6EE6">
        <w:t>which includes</w:t>
      </w:r>
      <w:r w:rsidR="00977C11">
        <w:t xml:space="preserve"> </w:t>
      </w:r>
      <w:r w:rsidR="0049217F">
        <w:t xml:space="preserve">“transactions” on that account </w:t>
      </w:r>
      <w:r w:rsidR="00277F8E">
        <w:t xml:space="preserve">which occurred </w:t>
      </w:r>
      <w:r w:rsidR="0049217F">
        <w:t xml:space="preserve">on 20 and </w:t>
      </w:r>
      <w:r w:rsidR="00F4254D">
        <w:t>25</w:t>
      </w:r>
      <w:r w:rsidR="006C70E3">
        <w:t> </w:t>
      </w:r>
      <w:r w:rsidR="00F4254D">
        <w:t>August 2015</w:t>
      </w:r>
      <w:r w:rsidR="00571610">
        <w:t>.</w:t>
      </w:r>
      <w:r w:rsidR="00277F8E">
        <w:t xml:space="preserve"> </w:t>
      </w:r>
      <w:r w:rsidR="00571610">
        <w:t xml:space="preserve"> </w:t>
      </w:r>
      <w:r w:rsidR="005748CC">
        <w:t xml:space="preserve">The rationale for this conclusion is not exposed and as a result the purported particularisation does not dispel the opacity of the pleading of the primary allegation. </w:t>
      </w:r>
    </w:p>
    <w:p w14:paraId="2FF93D6E" w14:textId="2543C5D4" w:rsidR="00FA558D" w:rsidRDefault="006D48AC" w:rsidP="006D48AC">
      <w:pPr>
        <w:pStyle w:val="ParaNumbering"/>
        <w:numPr>
          <w:ilvl w:val="0"/>
          <w:numId w:val="0"/>
        </w:numPr>
        <w:ind w:hanging="720"/>
      </w:pPr>
      <w:r>
        <w:rPr>
          <w:sz w:val="20"/>
        </w:rPr>
        <w:t>45</w:t>
      </w:r>
      <w:r>
        <w:rPr>
          <w:sz w:val="20"/>
        </w:rPr>
        <w:tab/>
      </w:r>
      <w:r w:rsidR="00BE69C8">
        <w:t xml:space="preserve">The pleader </w:t>
      </w:r>
      <w:r w:rsidR="00DA5A98">
        <w:t>alleges that the</w:t>
      </w:r>
      <w:r w:rsidR="00556A97">
        <w:t xml:space="preserve"> </w:t>
      </w:r>
      <w:r w:rsidR="00277F8E">
        <w:t xml:space="preserve">ATO - Running Balance Account </w:t>
      </w:r>
      <w:r w:rsidR="00556A97">
        <w:t xml:space="preserve">debts incurred post </w:t>
      </w:r>
      <w:r w:rsidR="005558BD">
        <w:t xml:space="preserve">30 June </w:t>
      </w:r>
      <w:r w:rsidR="00150005">
        <w:t>2014 a</w:t>
      </w:r>
      <w:r w:rsidR="00225779">
        <w:t>mount to</w:t>
      </w:r>
      <w:r w:rsidR="00556A97">
        <w:t xml:space="preserve"> </w:t>
      </w:r>
      <w:r w:rsidR="004A3B1F">
        <w:t>$</w:t>
      </w:r>
      <w:r w:rsidR="00AD08A0">
        <w:t xml:space="preserve">682,031.87 </w:t>
      </w:r>
      <w:r w:rsidR="002738E5">
        <w:t xml:space="preserve">and that this is the sum </w:t>
      </w:r>
      <w:r w:rsidR="00E82032">
        <w:t>is a component</w:t>
      </w:r>
      <w:r w:rsidR="002738E5">
        <w:t xml:space="preserve"> of the “Insolvent Trading Claim </w:t>
      </w:r>
      <w:r w:rsidR="002C4CE5">
        <w:t>–</w:t>
      </w:r>
      <w:r w:rsidR="002738E5">
        <w:t xml:space="preserve"> Kaush</w:t>
      </w:r>
      <w:r w:rsidR="005917C8">
        <w:t>ik</w:t>
      </w:r>
      <w:r w:rsidR="002C4CE5">
        <w:t xml:space="preserve"> ($)</w:t>
      </w:r>
      <w:r w:rsidR="00FC572B">
        <w:t>”.</w:t>
      </w:r>
      <w:r w:rsidR="00BE69C8">
        <w:t xml:space="preserve"> </w:t>
      </w:r>
      <w:r w:rsidR="00CA3440">
        <w:t>Kaushik is left to guess</w:t>
      </w:r>
      <w:r w:rsidR="00467B3E">
        <w:t xml:space="preserve"> </w:t>
      </w:r>
      <w:r w:rsidR="004F12B1">
        <w:t xml:space="preserve">on the critical issue of the timing of </w:t>
      </w:r>
      <w:r w:rsidR="001F410A">
        <w:t xml:space="preserve">the alleged </w:t>
      </w:r>
      <w:r w:rsidR="004F12B1">
        <w:t xml:space="preserve">debts </w:t>
      </w:r>
      <w:r w:rsidR="001F410A">
        <w:t>being incurred</w:t>
      </w:r>
      <w:r w:rsidR="004F12B1">
        <w:t xml:space="preserve"> </w:t>
      </w:r>
      <w:r w:rsidR="000F2EF6">
        <w:t>and the dates on which</w:t>
      </w:r>
      <w:r w:rsidR="0006350B">
        <w:t xml:space="preserve"> </w:t>
      </w:r>
      <w:r w:rsidR="0049217F">
        <w:t>he is alleged to have known</w:t>
      </w:r>
      <w:r w:rsidR="0086173D">
        <w:t xml:space="preserve"> that</w:t>
      </w:r>
      <w:r w:rsidR="004F12B1">
        <w:t xml:space="preserve"> the Company was insolvent</w:t>
      </w:r>
      <w:r w:rsidR="00CA3440">
        <w:t>.</w:t>
      </w:r>
      <w:r w:rsidR="002714B3">
        <w:t xml:space="preserve"> </w:t>
      </w:r>
      <w:r w:rsidR="003B0849">
        <w:t xml:space="preserve">That is an essential flaw in the way the insolvent trading claim against Kaushik is pleaded: see </w:t>
      </w:r>
      <w:r w:rsidR="003B0849" w:rsidRPr="000024EA">
        <w:rPr>
          <w:i/>
        </w:rPr>
        <w:t>Skyworkers</w:t>
      </w:r>
      <w:r w:rsidR="003B0849">
        <w:t xml:space="preserve"> at [23</w:t>
      </w:r>
      <w:r w:rsidR="00D028BE">
        <w:t>]</w:t>
      </w:r>
      <w:r w:rsidR="007F1CB6">
        <w:t xml:space="preserve"> to [24]</w:t>
      </w:r>
      <w:r w:rsidR="00D028BE">
        <w:t xml:space="preserve">. </w:t>
      </w:r>
      <w:r w:rsidR="002714B3">
        <w:t>Further the basis of the $682,031.87</w:t>
      </w:r>
      <w:r w:rsidR="00175FB7">
        <w:t xml:space="preserve"> sum alleged</w:t>
      </w:r>
      <w:r w:rsidR="002714B3">
        <w:t xml:space="preserve"> is not exposed in the particulars which </w:t>
      </w:r>
      <w:r w:rsidR="00E82032">
        <w:t>are</w:t>
      </w:r>
      <w:r w:rsidR="002714B3">
        <w:t xml:space="preserve"> </w:t>
      </w:r>
      <w:r w:rsidR="000410E2">
        <w:t>put forth</w:t>
      </w:r>
      <w:r w:rsidR="002714B3">
        <w:t xml:space="preserve"> to su</w:t>
      </w:r>
      <w:r w:rsidR="000410E2">
        <w:t>bstantiate</w:t>
      </w:r>
      <w:r w:rsidR="002714B3">
        <w:t xml:space="preserve"> this pleading.</w:t>
      </w:r>
      <w:r w:rsidR="00CA3440">
        <w:t xml:space="preserve"> That said, Kaushik is not required to plead to the particulars </w:t>
      </w:r>
      <w:r w:rsidR="00D237CA">
        <w:t xml:space="preserve">to </w:t>
      </w:r>
      <w:r w:rsidR="001B3E62">
        <w:t>RDASOC[100]. The adequacy of the particulars, or</w:t>
      </w:r>
      <w:r w:rsidR="00AC7D37">
        <w:t xml:space="preserve"> rather</w:t>
      </w:r>
      <w:r w:rsidR="00200EA1">
        <w:t xml:space="preserve"> the</w:t>
      </w:r>
      <w:r w:rsidR="001B3E62">
        <w:t xml:space="preserve"> lack thereof, may </w:t>
      </w:r>
      <w:r w:rsidR="00046B03">
        <w:t>result in Kaushik being left in a position where he does</w:t>
      </w:r>
      <w:r w:rsidR="00F35219">
        <w:t xml:space="preserve"> </w:t>
      </w:r>
      <w:r w:rsidR="00046B03">
        <w:t>not admit or</w:t>
      </w:r>
      <w:r w:rsidR="00F35219">
        <w:t xml:space="preserve"> </w:t>
      </w:r>
      <w:r w:rsidR="00046B03">
        <w:t>den</w:t>
      </w:r>
      <w:r w:rsidR="000E742C">
        <w:t>y</w:t>
      </w:r>
      <w:r w:rsidR="00046B03">
        <w:t xml:space="preserve"> the allegation </w:t>
      </w:r>
      <w:r w:rsidR="00165D7B">
        <w:t>in RDASOC[100]</w:t>
      </w:r>
      <w:r w:rsidR="0086173D">
        <w:t xml:space="preserve"> </w:t>
      </w:r>
      <w:r w:rsidR="008540E4">
        <w:t xml:space="preserve">because he does not </w:t>
      </w:r>
      <w:r w:rsidR="00FA558D">
        <w:t>follow the allegation made against him</w:t>
      </w:r>
      <w:r w:rsidR="00165D7B">
        <w:t xml:space="preserve">. </w:t>
      </w:r>
      <w:r w:rsidR="00101189">
        <w:t>T</w:t>
      </w:r>
      <w:r w:rsidR="00AC1851">
        <w:t xml:space="preserve">o allow an amendment with that likely consequence </w:t>
      </w:r>
      <w:r w:rsidR="00101189">
        <w:t>would not be consistent with the overarching purpose.</w:t>
      </w:r>
      <w:r w:rsidR="001B3E62">
        <w:t xml:space="preserve"> </w:t>
      </w:r>
      <w:r w:rsidR="00097E0B">
        <w:t>In this regard, I note that</w:t>
      </w:r>
      <w:r w:rsidR="008C3FB2">
        <w:t xml:space="preserve"> </w:t>
      </w:r>
      <w:r w:rsidR="008A7F3C">
        <w:t xml:space="preserve">Kaushik has not </w:t>
      </w:r>
      <w:r w:rsidR="00097E0B">
        <w:t xml:space="preserve">presently </w:t>
      </w:r>
      <w:r w:rsidR="009F1AC5">
        <w:t>applied</w:t>
      </w:r>
      <w:r w:rsidR="008A7F3C">
        <w:t xml:space="preserve"> to strike out SOC [110] and </w:t>
      </w:r>
      <w:r w:rsidR="00097E0B">
        <w:t xml:space="preserve">has pleaded </w:t>
      </w:r>
      <w:r w:rsidR="00AD7A36">
        <w:t xml:space="preserve">to this allegation by </w:t>
      </w:r>
      <w:r w:rsidR="0002022A">
        <w:t>pleading a general non-admission.</w:t>
      </w:r>
    </w:p>
    <w:p w14:paraId="7AF1AEAF" w14:textId="5D65CBAE" w:rsidR="0002022A" w:rsidRDefault="006D48AC" w:rsidP="006D48AC">
      <w:pPr>
        <w:pStyle w:val="ParaNumbering"/>
        <w:numPr>
          <w:ilvl w:val="0"/>
          <w:numId w:val="0"/>
        </w:numPr>
        <w:ind w:hanging="720"/>
      </w:pPr>
      <w:r>
        <w:rPr>
          <w:sz w:val="20"/>
        </w:rPr>
        <w:t>46</w:t>
      </w:r>
      <w:r>
        <w:rPr>
          <w:sz w:val="20"/>
        </w:rPr>
        <w:tab/>
      </w:r>
      <w:r w:rsidR="00AC1851">
        <w:t xml:space="preserve">Having regard to the extant application for particulars of the earlier </w:t>
      </w:r>
      <w:r w:rsidR="00AF1214">
        <w:t>iteration</w:t>
      </w:r>
      <w:r w:rsidR="00AC1851">
        <w:t xml:space="preserve"> of this paragraph of the SOC</w:t>
      </w:r>
      <w:r w:rsidR="008B5E49">
        <w:t xml:space="preserve"> in SOC [110]</w:t>
      </w:r>
      <w:r w:rsidR="00AC1851">
        <w:t xml:space="preserve">, </w:t>
      </w:r>
      <w:r w:rsidR="004C7DD1">
        <w:t xml:space="preserve">and </w:t>
      </w:r>
      <w:r w:rsidR="00AB13E7">
        <w:t xml:space="preserve">given </w:t>
      </w:r>
      <w:r w:rsidR="004C7DD1">
        <w:t xml:space="preserve">that </w:t>
      </w:r>
      <w:r w:rsidR="00B01231">
        <w:t>Kaushik</w:t>
      </w:r>
      <w:r w:rsidR="009D7EE5">
        <w:t xml:space="preserve">’s </w:t>
      </w:r>
      <w:r w:rsidR="004C7DD1">
        <w:t>opposition to leave</w:t>
      </w:r>
      <w:r w:rsidR="009D7EE5">
        <w:t xml:space="preserve"> being granted</w:t>
      </w:r>
      <w:r w:rsidR="004C7DD1">
        <w:t xml:space="preserve"> is limited to </w:t>
      </w:r>
      <w:r w:rsidR="009D7EE5">
        <w:t xml:space="preserve">the </w:t>
      </w:r>
      <w:r w:rsidR="004C7DD1">
        <w:t>inclusion of the particulars to RDASOC[100]</w:t>
      </w:r>
      <w:r w:rsidR="009D7EE5">
        <w:t>,</w:t>
      </w:r>
      <w:r w:rsidR="004C7DD1">
        <w:t xml:space="preserve"> </w:t>
      </w:r>
      <w:r w:rsidR="00DA5414">
        <w:t>as a matter of case management and in order to avoid</w:t>
      </w:r>
      <w:r w:rsidR="003F2B9A">
        <w:t>, to the extent possible within the Court’s power,</w:t>
      </w:r>
      <w:r w:rsidR="00DA5414">
        <w:t xml:space="preserve"> further interlocutory </w:t>
      </w:r>
      <w:r w:rsidR="003F2B9A">
        <w:t xml:space="preserve">procedural </w:t>
      </w:r>
      <w:r w:rsidR="00DA5414">
        <w:t>applications</w:t>
      </w:r>
      <w:r w:rsidR="003F2B9A">
        <w:t xml:space="preserve">, I propose to </w:t>
      </w:r>
      <w:r w:rsidR="00AB13E7">
        <w:t>resolve the disputes in relation to this paragraph</w:t>
      </w:r>
      <w:r w:rsidR="005C0218">
        <w:t>, including the extant dispute about the request for particulars of the paragraph,</w:t>
      </w:r>
      <w:r w:rsidR="00AB13E7">
        <w:t xml:space="preserve"> as follows. </w:t>
      </w:r>
    </w:p>
    <w:p w14:paraId="6A9BD25F" w14:textId="7DC082C5" w:rsidR="003D32F8" w:rsidRDefault="006D48AC" w:rsidP="006D48AC">
      <w:pPr>
        <w:pStyle w:val="ParaNumbering"/>
        <w:numPr>
          <w:ilvl w:val="0"/>
          <w:numId w:val="0"/>
        </w:numPr>
        <w:ind w:hanging="720"/>
      </w:pPr>
      <w:r>
        <w:rPr>
          <w:sz w:val="20"/>
        </w:rPr>
        <w:t>47</w:t>
      </w:r>
      <w:r>
        <w:rPr>
          <w:sz w:val="20"/>
        </w:rPr>
        <w:tab/>
      </w:r>
      <w:r w:rsidR="00EB25C0">
        <w:t xml:space="preserve">I </w:t>
      </w:r>
      <w:r w:rsidR="00DA01A4">
        <w:t xml:space="preserve">refuse </w:t>
      </w:r>
      <w:r w:rsidR="0002022A">
        <w:t xml:space="preserve">the applicants </w:t>
      </w:r>
      <w:r w:rsidR="00DA01A4">
        <w:t>leave to amend by including the</w:t>
      </w:r>
      <w:r w:rsidR="00EB25C0">
        <w:t xml:space="preserve"> proposed</w:t>
      </w:r>
      <w:r w:rsidR="00DA01A4">
        <w:t xml:space="preserve"> particulars of</w:t>
      </w:r>
      <w:r w:rsidR="00F60630">
        <w:t xml:space="preserve"> RDASOC[100]</w:t>
      </w:r>
      <w:r w:rsidR="0002022A">
        <w:t xml:space="preserve">. I grant </w:t>
      </w:r>
      <w:r w:rsidR="008A0E69">
        <w:t>the applicants</w:t>
      </w:r>
      <w:r w:rsidR="00402D98">
        <w:t xml:space="preserve"> liberty to replead to include </w:t>
      </w:r>
      <w:r w:rsidR="004A127E">
        <w:t>as</w:t>
      </w:r>
      <w:r w:rsidR="00400066">
        <w:t xml:space="preserve"> part of</w:t>
      </w:r>
      <w:r w:rsidR="00402D98">
        <w:t xml:space="preserve"> the </w:t>
      </w:r>
      <w:r w:rsidR="005E6024">
        <w:t xml:space="preserve">substantive </w:t>
      </w:r>
      <w:r w:rsidR="003A1A87">
        <w:t>allegations of fact</w:t>
      </w:r>
      <w:r w:rsidR="0047231F">
        <w:t>,</w:t>
      </w:r>
      <w:r w:rsidR="003A1A87">
        <w:t xml:space="preserve"> </w:t>
      </w:r>
      <w:r w:rsidR="00BA1A00">
        <w:t xml:space="preserve">the </w:t>
      </w:r>
      <w:r w:rsidR="0016074A">
        <w:t>date</w:t>
      </w:r>
      <w:r w:rsidR="003635F7">
        <w:t>s</w:t>
      </w:r>
      <w:r w:rsidR="0016074A">
        <w:t xml:space="preserve"> on</w:t>
      </w:r>
      <w:r w:rsidR="00BA1A00">
        <w:t xml:space="preserve"> which </w:t>
      </w:r>
      <w:r w:rsidR="003635F7">
        <w:t xml:space="preserve">each of </w:t>
      </w:r>
      <w:r w:rsidR="00A93A36">
        <w:t>the debts alleged to comprise the “Insolvent De</w:t>
      </w:r>
      <w:r w:rsidR="00CE7314">
        <w:t xml:space="preserve">bts” </w:t>
      </w:r>
      <w:r w:rsidR="0016074A">
        <w:t xml:space="preserve">were incurred and </w:t>
      </w:r>
      <w:r w:rsidR="00181866">
        <w:t xml:space="preserve">how each debt arose. </w:t>
      </w:r>
      <w:r w:rsidR="0047231F">
        <w:t>That pleading should make clear</w:t>
      </w:r>
      <w:r w:rsidR="007C0869">
        <w:t xml:space="preserve"> whether </w:t>
      </w:r>
      <w:r w:rsidR="00D13C16">
        <w:t>the allegation i</w:t>
      </w:r>
      <w:r w:rsidR="004B145E">
        <w:t xml:space="preserve">n </w:t>
      </w:r>
      <w:r w:rsidR="003D7F5A">
        <w:lastRenderedPageBreak/>
        <w:t>RDASOC</w:t>
      </w:r>
      <w:r w:rsidR="00793967">
        <w:t xml:space="preserve">[100] is as to three single debts </w:t>
      </w:r>
      <w:r w:rsidR="00D42DC3">
        <w:t xml:space="preserve">arising under the respective statutes or as a series of </w:t>
      </w:r>
      <w:r w:rsidR="0001657F">
        <w:t>individual debts</w:t>
      </w:r>
      <w:r w:rsidR="00E70B9E">
        <w:t xml:space="preserve"> </w:t>
      </w:r>
      <w:r w:rsidR="00C9017C">
        <w:t xml:space="preserve">arising under the respective statutes giving rise to the cumulative totals </w:t>
      </w:r>
      <w:r w:rsidR="002D2C4A">
        <w:t xml:space="preserve">alleged in RDASOC[100]. </w:t>
      </w:r>
      <w:r w:rsidR="00401489">
        <w:t xml:space="preserve">The pleading should </w:t>
      </w:r>
      <w:r w:rsidR="00997E0F">
        <w:t xml:space="preserve">further make clear </w:t>
      </w:r>
      <w:r w:rsidR="007C2E67">
        <w:t xml:space="preserve">the basis upon which the applicants </w:t>
      </w:r>
      <w:r w:rsidR="00877014">
        <w:t xml:space="preserve">allege the debts arose, whether </w:t>
      </w:r>
      <w:r w:rsidR="003118CD">
        <w:t xml:space="preserve">that be </w:t>
      </w:r>
      <w:r w:rsidR="00877014">
        <w:t xml:space="preserve">as </w:t>
      </w:r>
      <w:r w:rsidR="003118CD">
        <w:t xml:space="preserve">contingent </w:t>
      </w:r>
      <w:r w:rsidR="00877014">
        <w:t>liabilities</w:t>
      </w:r>
      <w:r w:rsidR="003118CD">
        <w:t xml:space="preserve"> or as debts due under the relevant legislation. To the extent that </w:t>
      </w:r>
      <w:r w:rsidR="008034D5">
        <w:t xml:space="preserve">the applicants rely on </w:t>
      </w:r>
      <w:r w:rsidR="00213204">
        <w:t>statutory presumptions in respect of the alleged “Insolvent Debts” then the material facts relie</w:t>
      </w:r>
      <w:r w:rsidR="00C94A28">
        <w:t>d</w:t>
      </w:r>
      <w:r w:rsidR="00213204">
        <w:t xml:space="preserve"> upon so as to engage those presumptions must be pleaded</w:t>
      </w:r>
      <w:r w:rsidR="00C715B3">
        <w:t>.</w:t>
      </w:r>
      <w:r w:rsidR="00877014">
        <w:t xml:space="preserve"> </w:t>
      </w:r>
      <w:r w:rsidR="00D42DC3">
        <w:t xml:space="preserve"> </w:t>
      </w:r>
      <w:r w:rsidR="00D13C16">
        <w:t xml:space="preserve"> </w:t>
      </w:r>
    </w:p>
    <w:p w14:paraId="041EA21B" w14:textId="55BE39E9" w:rsidR="00773E9A" w:rsidRPr="006B4AC5" w:rsidRDefault="006D48AC" w:rsidP="006D48AC">
      <w:pPr>
        <w:pStyle w:val="ParaNumbering"/>
        <w:numPr>
          <w:ilvl w:val="0"/>
          <w:numId w:val="0"/>
        </w:numPr>
        <w:ind w:hanging="720"/>
      </w:pPr>
      <w:r w:rsidRPr="006B4AC5">
        <w:rPr>
          <w:sz w:val="20"/>
        </w:rPr>
        <w:t>48</w:t>
      </w:r>
      <w:r w:rsidRPr="006B4AC5">
        <w:rPr>
          <w:sz w:val="20"/>
        </w:rPr>
        <w:tab/>
      </w:r>
      <w:r w:rsidR="001D1CE0">
        <w:t xml:space="preserve">I have not overlooked the </w:t>
      </w:r>
      <w:r w:rsidR="00773E9A">
        <w:t xml:space="preserve">applicants’ submissions </w:t>
      </w:r>
      <w:r w:rsidR="00AF69A3">
        <w:t xml:space="preserve">in which they </w:t>
      </w:r>
      <w:r w:rsidR="00773E9A">
        <w:t>rel</w:t>
      </w:r>
      <w:r w:rsidR="00AF69A3">
        <w:t>ied</w:t>
      </w:r>
      <w:r w:rsidR="00773E9A">
        <w:t xml:space="preserve"> on </w:t>
      </w:r>
      <w:r w:rsidR="00773E9A" w:rsidRPr="002F0823">
        <w:rPr>
          <w:i/>
          <w:iCs/>
        </w:rPr>
        <w:t xml:space="preserve">Owen as Liquidator of </w:t>
      </w:r>
      <w:r w:rsidR="00773E9A" w:rsidRPr="002F0823">
        <w:rPr>
          <w:b/>
          <w:i/>
        </w:rPr>
        <w:t>Davey SG</w:t>
      </w:r>
      <w:r w:rsidR="00773E9A" w:rsidRPr="002F0823">
        <w:rPr>
          <w:i/>
          <w:iCs/>
        </w:rPr>
        <w:t xml:space="preserve"> Pty Ltd (in liq) v Davey, in the matter of Davey SG Pty Ltd (in liq)</w:t>
      </w:r>
      <w:r w:rsidR="00773E9A" w:rsidRPr="006D3D0D">
        <w:t xml:space="preserve"> [2021] FCA 200 at [28] </w:t>
      </w:r>
      <w:r w:rsidR="00056F5F">
        <w:t>to</w:t>
      </w:r>
      <w:r w:rsidR="00056F5F" w:rsidRPr="006D3D0D">
        <w:t xml:space="preserve"> </w:t>
      </w:r>
      <w:r w:rsidR="00773E9A" w:rsidRPr="006D3D0D">
        <w:t xml:space="preserve">[30] </w:t>
      </w:r>
      <w:r w:rsidR="00AF69A3">
        <w:t>and</w:t>
      </w:r>
      <w:r w:rsidR="00773E9A">
        <w:t xml:space="preserve"> </w:t>
      </w:r>
      <w:r w:rsidR="00773E9A" w:rsidRPr="002F0823">
        <w:rPr>
          <w:b/>
          <w:i/>
        </w:rPr>
        <w:t>Re Melbournehomes</w:t>
      </w:r>
      <w:r w:rsidR="00773E9A" w:rsidRPr="002F0823">
        <w:rPr>
          <w:i/>
        </w:rPr>
        <w:t>.com Pty Ltd (in liq)</w:t>
      </w:r>
      <w:r w:rsidR="00773E9A" w:rsidRPr="0092578E">
        <w:t xml:space="preserve"> [2020] VSC 854; 356 FLR 390 at [42]</w:t>
      </w:r>
      <w:r w:rsidR="00AD7093">
        <w:t xml:space="preserve">. </w:t>
      </w:r>
      <w:r w:rsidR="0026418B">
        <w:t>T</w:t>
      </w:r>
      <w:r w:rsidR="002D3208">
        <w:t xml:space="preserve">he </w:t>
      </w:r>
      <w:r w:rsidR="0026418B">
        <w:t>submissions</w:t>
      </w:r>
      <w:r w:rsidR="002D3208">
        <w:t xml:space="preserve"> made in reliance on those authorities in the present context </w:t>
      </w:r>
      <w:r w:rsidR="0026418B">
        <w:t xml:space="preserve">are </w:t>
      </w:r>
      <w:r w:rsidR="00B903B8">
        <w:t>superficial</w:t>
      </w:r>
      <w:r w:rsidR="0026418B">
        <w:t xml:space="preserve">. I </w:t>
      </w:r>
      <w:r w:rsidR="00C66CB2">
        <w:t>am not persuaded by them</w:t>
      </w:r>
      <w:r w:rsidR="00A74BC6">
        <w:t xml:space="preserve">. </w:t>
      </w:r>
      <w:r w:rsidR="00D71582" w:rsidRPr="002F0823">
        <w:rPr>
          <w:i/>
          <w:iCs/>
        </w:rPr>
        <w:t>Davey SG</w:t>
      </w:r>
      <w:r w:rsidR="00D71582">
        <w:rPr>
          <w:i/>
          <w:iCs/>
        </w:rPr>
        <w:t xml:space="preserve"> </w:t>
      </w:r>
      <w:r w:rsidR="00D71582">
        <w:t xml:space="preserve">is a decision in respect of </w:t>
      </w:r>
      <w:r w:rsidR="0076221E">
        <w:t xml:space="preserve">an application for judgment in default of an appearance. </w:t>
      </w:r>
      <w:r w:rsidR="00CF2379">
        <w:t xml:space="preserve">It is not apposite to the pleading issue </w:t>
      </w:r>
      <w:r w:rsidR="00EC795B">
        <w:t xml:space="preserve">before me. </w:t>
      </w:r>
      <w:r w:rsidR="00A74BC6">
        <w:t xml:space="preserve">In the present circumstances, </w:t>
      </w:r>
      <w:r w:rsidR="0018422B">
        <w:t xml:space="preserve">as I have already mentioned, </w:t>
      </w:r>
      <w:r w:rsidR="00A74BC6">
        <w:t>the p</w:t>
      </w:r>
      <w:r w:rsidR="004E1916">
        <w:t>roposed pleading is opaque as to whether the “</w:t>
      </w:r>
      <w:r w:rsidR="0081594A">
        <w:t>Insolvent D</w:t>
      </w:r>
      <w:r w:rsidR="004E1916">
        <w:t xml:space="preserve">ebt” </w:t>
      </w:r>
      <w:r w:rsidR="00236368">
        <w:t xml:space="preserve">is the series of singular debts or </w:t>
      </w:r>
      <w:r w:rsidR="005D181C">
        <w:t xml:space="preserve">the </w:t>
      </w:r>
      <w:r w:rsidR="00236368">
        <w:t xml:space="preserve">aggregated </w:t>
      </w:r>
      <w:r w:rsidR="00B97527">
        <w:t xml:space="preserve">total in respect of each discrete tax liability. </w:t>
      </w:r>
      <w:r w:rsidR="00631C55">
        <w:t xml:space="preserve">The date(s) </w:t>
      </w:r>
      <w:r w:rsidR="00F9067D">
        <w:t>on</w:t>
      </w:r>
      <w:r w:rsidR="00631C55">
        <w:t xml:space="preserve"> and the manner in which the liability in respect of each debt</w:t>
      </w:r>
      <w:r w:rsidR="00236368">
        <w:t xml:space="preserve"> </w:t>
      </w:r>
      <w:r w:rsidR="007C7339">
        <w:t>is</w:t>
      </w:r>
      <w:r w:rsidR="005C3E77">
        <w:t xml:space="preserve"> </w:t>
      </w:r>
      <w:r w:rsidR="00F9067D">
        <w:t>alleged to arise</w:t>
      </w:r>
      <w:r w:rsidR="00236368">
        <w:t xml:space="preserve"> </w:t>
      </w:r>
      <w:r w:rsidR="007C7339">
        <w:t>is</w:t>
      </w:r>
      <w:r w:rsidR="005C3E77">
        <w:t xml:space="preserve"> </w:t>
      </w:r>
      <w:r w:rsidR="007C7339">
        <w:t>not adequately exposed in the RDASOC.</w:t>
      </w:r>
      <w:r w:rsidR="00915870">
        <w:t xml:space="preserve"> </w:t>
      </w:r>
      <w:r w:rsidR="004B72B5">
        <w:t xml:space="preserve">The observation </w:t>
      </w:r>
      <w:r w:rsidR="009961A7">
        <w:t xml:space="preserve">in </w:t>
      </w:r>
      <w:r w:rsidR="004B72B5" w:rsidRPr="002F0823">
        <w:rPr>
          <w:i/>
          <w:iCs/>
        </w:rPr>
        <w:t>Re</w:t>
      </w:r>
      <w:r w:rsidR="005D45B5">
        <w:rPr>
          <w:i/>
          <w:iCs/>
        </w:rPr>
        <w:t> </w:t>
      </w:r>
      <w:r w:rsidR="004B72B5" w:rsidRPr="002F0823">
        <w:rPr>
          <w:i/>
          <w:iCs/>
        </w:rPr>
        <w:t>Melbournehomes</w:t>
      </w:r>
      <w:r w:rsidR="004B72B5" w:rsidRPr="00773E9A">
        <w:t xml:space="preserve"> </w:t>
      </w:r>
      <w:r w:rsidR="0095143C">
        <w:t>at [42]</w:t>
      </w:r>
      <w:r w:rsidR="004B72B5" w:rsidRPr="00773E9A">
        <w:t xml:space="preserve"> </w:t>
      </w:r>
      <w:r w:rsidR="009961A7">
        <w:t xml:space="preserve">upon which the applicants rely </w:t>
      </w:r>
      <w:r w:rsidR="00126530">
        <w:t>is context specific</w:t>
      </w:r>
      <w:r w:rsidR="00B05E82">
        <w:t xml:space="preserve"> and it is </w:t>
      </w:r>
      <w:r w:rsidR="001C45C2">
        <w:t xml:space="preserve">principally concerned with </w:t>
      </w:r>
      <w:r w:rsidR="008532D9">
        <w:t>matters of proof</w:t>
      </w:r>
      <w:r w:rsidR="00126530">
        <w:t xml:space="preserve">. </w:t>
      </w:r>
      <w:r w:rsidR="00A64FF1">
        <w:t xml:space="preserve">It does not alter the conclusion I have reached in relation to the adequacy of the pleading of RDASOC [110] in </w:t>
      </w:r>
      <w:r w:rsidR="00480C89">
        <w:t xml:space="preserve">satisfying the </w:t>
      </w:r>
      <w:r w:rsidR="00D95B1F">
        <w:t>procedural fairness function</w:t>
      </w:r>
      <w:r w:rsidR="00A64FF1">
        <w:t>.</w:t>
      </w:r>
    </w:p>
    <w:p w14:paraId="75D5A311" w14:textId="12AEC4BD" w:rsidR="006A7295" w:rsidRDefault="006D48AC" w:rsidP="006D48AC">
      <w:pPr>
        <w:pStyle w:val="ParaNumbering"/>
        <w:numPr>
          <w:ilvl w:val="0"/>
          <w:numId w:val="0"/>
        </w:numPr>
        <w:ind w:hanging="720"/>
      </w:pPr>
      <w:r>
        <w:rPr>
          <w:sz w:val="20"/>
        </w:rPr>
        <w:t>49</w:t>
      </w:r>
      <w:r>
        <w:rPr>
          <w:sz w:val="20"/>
        </w:rPr>
        <w:tab/>
      </w:r>
      <w:r w:rsidR="006A7295">
        <w:t xml:space="preserve">If the applicants exercise the liberty to replead, then it is imperative that they pay close attention to observations made in </w:t>
      </w:r>
      <w:r w:rsidR="006A7295">
        <w:rPr>
          <w:i/>
          <w:iCs/>
        </w:rPr>
        <w:t xml:space="preserve">Devine </w:t>
      </w:r>
      <w:r w:rsidR="006A7295">
        <w:t xml:space="preserve">and </w:t>
      </w:r>
      <w:r w:rsidR="006A7295" w:rsidRPr="006D3D0D">
        <w:rPr>
          <w:i/>
          <w:iCs/>
        </w:rPr>
        <w:t>Skyworkers</w:t>
      </w:r>
      <w:r w:rsidR="006A7295">
        <w:t xml:space="preserve">. In this regard I also direct the applicants’ representatives to the observations of the Full Court in </w:t>
      </w:r>
      <w:r w:rsidR="006A7295" w:rsidRPr="00F44F9D">
        <w:rPr>
          <w:i/>
          <w:iCs/>
        </w:rPr>
        <w:t>Oztech Pty Ltd v Public Trustee of Queensland</w:t>
      </w:r>
      <w:r w:rsidR="006A7295" w:rsidRPr="00F4569F">
        <w:t xml:space="preserve"> [2019] FCAFC 102; 269 FCR 349 at [28] to [30</w:t>
      </w:r>
      <w:r w:rsidR="006A7295">
        <w:t>]</w:t>
      </w:r>
      <w:r w:rsidR="6C326001">
        <w:t xml:space="preserve"> (the Court)</w:t>
      </w:r>
      <w:r w:rsidR="006A7295">
        <w:t xml:space="preserve">. </w:t>
      </w:r>
    </w:p>
    <w:p w14:paraId="4E61C075" w14:textId="0760411E" w:rsidR="000E20F3" w:rsidRDefault="006D48AC" w:rsidP="006D48AC">
      <w:pPr>
        <w:pStyle w:val="ParaNumbering"/>
        <w:numPr>
          <w:ilvl w:val="0"/>
          <w:numId w:val="0"/>
        </w:numPr>
        <w:ind w:hanging="720"/>
      </w:pPr>
      <w:r>
        <w:rPr>
          <w:sz w:val="20"/>
        </w:rPr>
        <w:t>50</w:t>
      </w:r>
      <w:r>
        <w:rPr>
          <w:sz w:val="20"/>
        </w:rPr>
        <w:tab/>
      </w:r>
      <w:r w:rsidR="00856DBC">
        <w:t>In the event that the applicants do not exercise the liberty to replead</w:t>
      </w:r>
      <w:r w:rsidR="007C2361">
        <w:t xml:space="preserve"> or </w:t>
      </w:r>
      <w:r w:rsidR="001D18F0">
        <w:t xml:space="preserve">replead in a way that </w:t>
      </w:r>
      <w:r w:rsidR="00DB64B4">
        <w:t xml:space="preserve">is not adequate to expose the </w:t>
      </w:r>
      <w:r w:rsidR="008710DE">
        <w:t>fundamental elements of the insolvent trading claim</w:t>
      </w:r>
      <w:r w:rsidR="00856DBC">
        <w:t xml:space="preserve"> then </w:t>
      </w:r>
      <w:r w:rsidR="00A87E3D">
        <w:t>the claim is at peril of being struck out</w:t>
      </w:r>
      <w:r w:rsidR="00BD21A4">
        <w:t xml:space="preserve"> </w:t>
      </w:r>
      <w:r w:rsidR="002B7F65">
        <w:t xml:space="preserve">on a future occasion. </w:t>
      </w:r>
    </w:p>
    <w:p w14:paraId="54575EA0" w14:textId="76ED4440" w:rsidR="00552B42" w:rsidRDefault="006D48AC" w:rsidP="006D48AC">
      <w:pPr>
        <w:pStyle w:val="ParaNumbering"/>
        <w:numPr>
          <w:ilvl w:val="0"/>
          <w:numId w:val="0"/>
        </w:numPr>
        <w:ind w:hanging="720"/>
      </w:pPr>
      <w:r>
        <w:rPr>
          <w:sz w:val="20"/>
        </w:rPr>
        <w:t>51</w:t>
      </w:r>
      <w:r>
        <w:rPr>
          <w:sz w:val="20"/>
        </w:rPr>
        <w:tab/>
      </w:r>
      <w:r w:rsidR="0033638C">
        <w:t xml:space="preserve">I will make orders accordingly. </w:t>
      </w:r>
    </w:p>
    <w:p w14:paraId="496FF932" w14:textId="130D0E60" w:rsidR="00110CC5" w:rsidRDefault="006D48AC" w:rsidP="006D48AC">
      <w:pPr>
        <w:pStyle w:val="ParaNumbering"/>
        <w:numPr>
          <w:ilvl w:val="0"/>
          <w:numId w:val="0"/>
        </w:numPr>
        <w:ind w:hanging="720"/>
      </w:pPr>
      <w:r>
        <w:rPr>
          <w:sz w:val="20"/>
        </w:rPr>
        <w:t>52</w:t>
      </w:r>
      <w:r>
        <w:rPr>
          <w:sz w:val="20"/>
        </w:rPr>
        <w:tab/>
      </w:r>
      <w:r w:rsidR="00110CC5">
        <w:t>I now turn to the amendment</w:t>
      </w:r>
      <w:r w:rsidR="00EE3608">
        <w:t>s</w:t>
      </w:r>
      <w:r w:rsidR="00110CC5">
        <w:t xml:space="preserve"> in respect of which the Accolade Parties opposes leave.</w:t>
      </w:r>
    </w:p>
    <w:p w14:paraId="33C74A78" w14:textId="13327DB4" w:rsidR="00F21D7F" w:rsidRDefault="006D48AC" w:rsidP="006D48AC">
      <w:pPr>
        <w:pStyle w:val="ParaNumbering"/>
        <w:numPr>
          <w:ilvl w:val="0"/>
          <w:numId w:val="0"/>
        </w:numPr>
        <w:ind w:hanging="720"/>
      </w:pPr>
      <w:r>
        <w:rPr>
          <w:sz w:val="20"/>
        </w:rPr>
        <w:lastRenderedPageBreak/>
        <w:t>53</w:t>
      </w:r>
      <w:r>
        <w:rPr>
          <w:sz w:val="20"/>
        </w:rPr>
        <w:tab/>
      </w:r>
      <w:r w:rsidR="001B7BB4">
        <w:t>Based on the FAOA t</w:t>
      </w:r>
      <w:r w:rsidR="00427FA9" w:rsidRPr="00427FA9">
        <w:t>he c</w:t>
      </w:r>
      <w:r w:rsidR="00090425">
        <w:t>laim</w:t>
      </w:r>
      <w:r w:rsidR="00427FA9" w:rsidRPr="00427FA9">
        <w:t xml:space="preserve"> against Accolade</w:t>
      </w:r>
      <w:r w:rsidR="001B7BB4">
        <w:t xml:space="preserve">, </w:t>
      </w:r>
      <w:r w:rsidR="00427FA9" w:rsidRPr="00427FA9">
        <w:t xml:space="preserve">Reliance </w:t>
      </w:r>
      <w:r w:rsidR="001B7BB4">
        <w:t xml:space="preserve">and Carmelo </w:t>
      </w:r>
      <w:r w:rsidR="00427FA9" w:rsidRPr="00427FA9">
        <w:t xml:space="preserve">is one of </w:t>
      </w:r>
      <w:r w:rsidR="001B7BB4">
        <w:t xml:space="preserve">“voluntary receipt” or </w:t>
      </w:r>
      <w:r w:rsidR="00427FA9" w:rsidRPr="00427FA9">
        <w:t xml:space="preserve">knowing </w:t>
      </w:r>
      <w:r w:rsidR="001B7BB4">
        <w:t>receipt of trust property</w:t>
      </w:r>
      <w:r w:rsidR="00546EE5">
        <w:t xml:space="preserve"> being funds the subject of the Accolade Transfer, Reliance Transfer and Carmelo Transfer respectively</w:t>
      </w:r>
      <w:r w:rsidR="00427FA9" w:rsidRPr="00427FA9">
        <w:t>.</w:t>
      </w:r>
      <w:r w:rsidR="00090425">
        <w:t xml:space="preserve"> </w:t>
      </w:r>
      <w:r w:rsidR="0097326B">
        <w:t>The paragraphs con</w:t>
      </w:r>
      <w:r w:rsidR="001959B3">
        <w:t>taining the allegations in relation to the Carmelo Transfer have been deleted in strikethrough from the RDASOC</w:t>
      </w:r>
      <w:r w:rsidR="00E92988">
        <w:t>.</w:t>
      </w:r>
      <w:r w:rsidR="00090425">
        <w:t xml:space="preserve"> The claim against Carmelo </w:t>
      </w:r>
      <w:r w:rsidR="001B7BB4">
        <w:t>includes a further claim of knowing assistance in respect of the Accolade transfer and the Reliance Transfer</w:t>
      </w:r>
      <w:r w:rsidR="005B0DA0">
        <w:t>.</w:t>
      </w:r>
      <w:r w:rsidR="00090425">
        <w:t xml:space="preserve"> </w:t>
      </w:r>
    </w:p>
    <w:p w14:paraId="0C90ACC2" w14:textId="6C264503" w:rsidR="006D439A" w:rsidRDefault="006D48AC" w:rsidP="006D48AC">
      <w:pPr>
        <w:pStyle w:val="ParaNumbering"/>
        <w:numPr>
          <w:ilvl w:val="0"/>
          <w:numId w:val="0"/>
        </w:numPr>
        <w:ind w:hanging="720"/>
      </w:pPr>
      <w:r>
        <w:rPr>
          <w:sz w:val="20"/>
        </w:rPr>
        <w:t>54</w:t>
      </w:r>
      <w:r>
        <w:rPr>
          <w:sz w:val="20"/>
        </w:rPr>
        <w:tab/>
      </w:r>
      <w:r w:rsidR="00705CEC" w:rsidRPr="00E03087">
        <w:t xml:space="preserve">The paragraphs to which objection is taken </w:t>
      </w:r>
      <w:r w:rsidR="00E3412E">
        <w:t>by the Accolade Parties were not re</w:t>
      </w:r>
      <w:r w:rsidR="003A6ED4">
        <w:t xml:space="preserve">vised in the RDASOC – these paragraphs are in the same form as in the DASOC that was current as at the date of the second </w:t>
      </w:r>
      <w:r w:rsidR="009F0901">
        <w:t xml:space="preserve">hearing. </w:t>
      </w:r>
      <w:r w:rsidR="00977382" w:rsidRPr="00E03087">
        <w:t>Accordingly</w:t>
      </w:r>
      <w:r w:rsidR="0039589F" w:rsidRPr="00E03087">
        <w:t xml:space="preserve">, I </w:t>
      </w:r>
      <w:r w:rsidR="006D70AC">
        <w:t>have</w:t>
      </w:r>
      <w:r w:rsidR="0039589F" w:rsidRPr="00E03087">
        <w:t xml:space="preserve"> consider</w:t>
      </w:r>
      <w:r w:rsidR="006D70AC">
        <w:t>ed</w:t>
      </w:r>
      <w:r w:rsidR="0039589F" w:rsidRPr="00E03087">
        <w:t xml:space="preserve"> the </w:t>
      </w:r>
      <w:r w:rsidR="006D70AC">
        <w:t xml:space="preserve">remaining disputed </w:t>
      </w:r>
      <w:r w:rsidR="0039589F" w:rsidRPr="00E03087">
        <w:t>amendments, applying the principles identified above and having regard to the submissions made by the parties in relation to the DASOC</w:t>
      </w:r>
      <w:r w:rsidR="006D439A" w:rsidRPr="00E03087">
        <w:t xml:space="preserve">. </w:t>
      </w:r>
    </w:p>
    <w:p w14:paraId="551E8D6D" w14:textId="74834CCD" w:rsidR="00DC1605" w:rsidRDefault="006D48AC" w:rsidP="006D48AC">
      <w:pPr>
        <w:pStyle w:val="ParaNumbering"/>
        <w:numPr>
          <w:ilvl w:val="0"/>
          <w:numId w:val="0"/>
        </w:numPr>
        <w:ind w:hanging="720"/>
      </w:pPr>
      <w:r>
        <w:rPr>
          <w:sz w:val="20"/>
        </w:rPr>
        <w:t>55</w:t>
      </w:r>
      <w:r>
        <w:rPr>
          <w:sz w:val="20"/>
        </w:rPr>
        <w:tab/>
      </w:r>
      <w:r w:rsidR="00F113DC">
        <w:t xml:space="preserve">The submissions advanced by the Accolade </w:t>
      </w:r>
      <w:r w:rsidR="00C54560">
        <w:t>P</w:t>
      </w:r>
      <w:r w:rsidR="00F113DC">
        <w:t>arties</w:t>
      </w:r>
      <w:r w:rsidR="00C54560">
        <w:t>, in writing and in oral argument,</w:t>
      </w:r>
      <w:r w:rsidR="00F113DC">
        <w:t xml:space="preserve"> </w:t>
      </w:r>
      <w:r w:rsidR="00EE5370">
        <w:t>in respect of</w:t>
      </w:r>
      <w:r w:rsidR="00223A4C">
        <w:t xml:space="preserve"> those paragraphs that were still in dispute after circulation of</w:t>
      </w:r>
      <w:r w:rsidR="00EE5370">
        <w:t xml:space="preserve"> </w:t>
      </w:r>
      <w:r w:rsidR="00223A4C">
        <w:t xml:space="preserve">the </w:t>
      </w:r>
      <w:r w:rsidR="00EA7D57">
        <w:t xml:space="preserve">RDASOC </w:t>
      </w:r>
      <w:r w:rsidR="00C54560">
        <w:t>we</w:t>
      </w:r>
      <w:r w:rsidR="00CC2169">
        <w:t xml:space="preserve">re </w:t>
      </w:r>
      <w:r w:rsidR="00402B52">
        <w:t xml:space="preserve">directed </w:t>
      </w:r>
      <w:r w:rsidR="00C54560">
        <w:t xml:space="preserve">to </w:t>
      </w:r>
      <w:r w:rsidR="00FA2427">
        <w:t>p</w:t>
      </w:r>
      <w:r w:rsidR="00FA2427" w:rsidRPr="00FA2427">
        <w:t xml:space="preserve">aragraphs </w:t>
      </w:r>
      <w:r w:rsidR="00DC2745">
        <w:t xml:space="preserve">91 to 96, </w:t>
      </w:r>
      <w:r w:rsidR="00FA2427" w:rsidRPr="00FA2427">
        <w:t>97 to 99; 101 to 102</w:t>
      </w:r>
      <w:r w:rsidR="00DC2745">
        <w:t xml:space="preserve">; </w:t>
      </w:r>
      <w:r w:rsidR="00DC2745" w:rsidRPr="00DC2745">
        <w:t>100 to 100C</w:t>
      </w:r>
      <w:r w:rsidR="000E576E">
        <w:t xml:space="preserve"> and</w:t>
      </w:r>
      <w:r w:rsidR="00DC2745" w:rsidRPr="00DC2745">
        <w:t xml:space="preserve"> 103 to 103C</w:t>
      </w:r>
      <w:r w:rsidR="00223A4C">
        <w:t>.</w:t>
      </w:r>
    </w:p>
    <w:p w14:paraId="6F676BA2" w14:textId="43502409" w:rsidR="00AB5CCC" w:rsidRDefault="006D48AC" w:rsidP="006D48AC">
      <w:pPr>
        <w:pStyle w:val="ParaNumbering"/>
        <w:numPr>
          <w:ilvl w:val="0"/>
          <w:numId w:val="0"/>
        </w:numPr>
        <w:ind w:hanging="720"/>
      </w:pPr>
      <w:r>
        <w:rPr>
          <w:sz w:val="20"/>
        </w:rPr>
        <w:t>56</w:t>
      </w:r>
      <w:r>
        <w:rPr>
          <w:sz w:val="20"/>
        </w:rPr>
        <w:tab/>
      </w:r>
      <w:r w:rsidR="00623175">
        <w:t>It is not necessary to descend to the detail</w:t>
      </w:r>
      <w:r w:rsidR="003A1E34">
        <w:t xml:space="preserve">ed critique of the pleading advanced by </w:t>
      </w:r>
      <w:r w:rsidR="00D517BA">
        <w:t>t</w:t>
      </w:r>
      <w:r w:rsidR="002103A5">
        <w:t xml:space="preserve">he </w:t>
      </w:r>
      <w:r w:rsidR="00860DCF">
        <w:t>Accolade Parties</w:t>
      </w:r>
      <w:r w:rsidR="00D517BA">
        <w:t xml:space="preserve"> on this application at this stage. Many </w:t>
      </w:r>
      <w:r w:rsidR="00433026">
        <w:t xml:space="preserve">of those criticisms </w:t>
      </w:r>
      <w:r w:rsidR="00DD44A2">
        <w:t>may well</w:t>
      </w:r>
      <w:r w:rsidR="00433026">
        <w:t xml:space="preserve"> feature in </w:t>
      </w:r>
      <w:r w:rsidR="00097C30">
        <w:t xml:space="preserve">any closing submissions made by the Accolade Parties, which is another way of </w:t>
      </w:r>
      <w:r w:rsidR="00742B10">
        <w:t xml:space="preserve">observing that the </w:t>
      </w:r>
      <w:r w:rsidR="00F60479">
        <w:t xml:space="preserve">submissions are </w:t>
      </w:r>
      <w:r w:rsidR="00D93441">
        <w:t xml:space="preserve">a forceful attack on the merits of the claim pleaded against the Accolade </w:t>
      </w:r>
      <w:r w:rsidR="00E05C5D">
        <w:t xml:space="preserve">Parties. This amendment application is not the occasion to </w:t>
      </w:r>
      <w:r w:rsidR="00E207F0">
        <w:t>be drawn into a</w:t>
      </w:r>
      <w:r w:rsidR="00C105F0">
        <w:t xml:space="preserve"> detailed</w:t>
      </w:r>
      <w:r w:rsidR="00E207F0">
        <w:t xml:space="preserve"> assessment of the strength of the applicants’ </w:t>
      </w:r>
      <w:r w:rsidR="00334021">
        <w:t xml:space="preserve">pleaded </w:t>
      </w:r>
      <w:r w:rsidR="00E207F0">
        <w:t>claim</w:t>
      </w:r>
      <w:r w:rsidR="00EC4101">
        <w:t xml:space="preserve">. </w:t>
      </w:r>
      <w:r w:rsidR="00933B7B">
        <w:t>Provided that I am satisfied that the claim is not manifestly futile, which I am, m</w:t>
      </w:r>
      <w:r w:rsidR="00EC4101">
        <w:t xml:space="preserve">y focus must be on whether the RDASOC fulfils the function that </w:t>
      </w:r>
      <w:r w:rsidR="00F33AD4">
        <w:t>pleadings</w:t>
      </w:r>
      <w:r w:rsidR="001668A4">
        <w:t xml:space="preserve"> are </w:t>
      </w:r>
      <w:r w:rsidR="00F33AD4">
        <w:t>intended</w:t>
      </w:r>
      <w:r w:rsidR="001668A4">
        <w:t xml:space="preserve"> to </w:t>
      </w:r>
      <w:r w:rsidR="00F33AD4">
        <w:t>serve, including in respect of procedural fairness</w:t>
      </w:r>
      <w:r w:rsidR="009442D6">
        <w:t>, such that leave should be granted to file</w:t>
      </w:r>
      <w:r w:rsidR="003E6837">
        <w:t xml:space="preserve"> and rely on it</w:t>
      </w:r>
      <w:r w:rsidR="001668A4">
        <w:t xml:space="preserve">. </w:t>
      </w:r>
    </w:p>
    <w:p w14:paraId="1C4185B3" w14:textId="74B4488C" w:rsidR="00D61009" w:rsidRDefault="006D48AC" w:rsidP="006D48AC">
      <w:pPr>
        <w:pStyle w:val="ParaNumbering"/>
        <w:numPr>
          <w:ilvl w:val="0"/>
          <w:numId w:val="0"/>
        </w:numPr>
        <w:ind w:hanging="720"/>
      </w:pPr>
      <w:r>
        <w:rPr>
          <w:sz w:val="20"/>
        </w:rPr>
        <w:t>57</w:t>
      </w:r>
      <w:r>
        <w:rPr>
          <w:sz w:val="20"/>
        </w:rPr>
        <w:tab/>
      </w:r>
      <w:r w:rsidR="00707D71">
        <w:t>Save for certain narrow exceptions, t</w:t>
      </w:r>
      <w:r w:rsidR="001668A4">
        <w:t xml:space="preserve">he way in which this application has developed </w:t>
      </w:r>
      <w:r w:rsidR="0097509F">
        <w:t xml:space="preserve">demonstrates that the Accolade Parties are sufficiently </w:t>
      </w:r>
      <w:r w:rsidR="001471E8">
        <w:t>apprised</w:t>
      </w:r>
      <w:r w:rsidR="0097509F">
        <w:t xml:space="preserve"> of the </w:t>
      </w:r>
      <w:r w:rsidR="001471E8">
        <w:t>claim against them to prepare a defence</w:t>
      </w:r>
      <w:r w:rsidR="00707D71">
        <w:t xml:space="preserve"> to the amended pleading</w:t>
      </w:r>
      <w:r w:rsidR="00B65F47">
        <w:t xml:space="preserve">. I am not </w:t>
      </w:r>
      <w:r w:rsidR="00860329">
        <w:t>persuaded to accede to the</w:t>
      </w:r>
      <w:r w:rsidR="00CD5543">
        <w:t xml:space="preserve"> Accolade Parties’ urging to refuse leave to amend and t</w:t>
      </w:r>
      <w:r w:rsidR="005032FB">
        <w:t xml:space="preserve">o deny </w:t>
      </w:r>
      <w:r w:rsidR="005F4338">
        <w:t xml:space="preserve">the </w:t>
      </w:r>
      <w:r w:rsidR="005032FB">
        <w:t>opportunity to replead</w:t>
      </w:r>
      <w:r w:rsidR="00D869BE">
        <w:t>. Nor am I persuaded to succumb to</w:t>
      </w:r>
      <w:r w:rsidR="005F4338">
        <w:t xml:space="preserve"> </w:t>
      </w:r>
      <w:r w:rsidR="00982369">
        <w:t xml:space="preserve">the hyperbolic </w:t>
      </w:r>
      <w:r w:rsidR="005835D2">
        <w:t xml:space="preserve">entreaty to summarily dismiss the </w:t>
      </w:r>
      <w:r w:rsidR="00F1641E">
        <w:t>claim when the</w:t>
      </w:r>
      <w:r w:rsidR="00DF0FB7">
        <w:t xml:space="preserve"> Accolade Parties have sought no such relief</w:t>
      </w:r>
      <w:r w:rsidR="005032FB">
        <w:t xml:space="preserve">. </w:t>
      </w:r>
      <w:r w:rsidR="00DF0FB7">
        <w:t>T</w:t>
      </w:r>
      <w:r w:rsidR="00074B01">
        <w:t>he</w:t>
      </w:r>
      <w:r w:rsidR="00DF0FB7">
        <w:t xml:space="preserve"> Accolade </w:t>
      </w:r>
      <w:r w:rsidR="00EB155B">
        <w:t>P</w:t>
      </w:r>
      <w:r w:rsidR="00DF0FB7">
        <w:t>arties</w:t>
      </w:r>
      <w:r w:rsidR="00074B01">
        <w:t xml:space="preserve"> have </w:t>
      </w:r>
      <w:r w:rsidR="00DF0FB7">
        <w:t xml:space="preserve">in fact </w:t>
      </w:r>
      <w:r w:rsidR="00074B01">
        <w:t xml:space="preserve">filed defences to </w:t>
      </w:r>
      <w:r w:rsidR="00DF0FB7">
        <w:t xml:space="preserve">the </w:t>
      </w:r>
      <w:r w:rsidR="00EB155B">
        <w:t xml:space="preserve">existing </w:t>
      </w:r>
      <w:r w:rsidR="00DF0FB7">
        <w:t>SOC</w:t>
      </w:r>
      <w:r w:rsidR="00EB155B">
        <w:t>. Although</w:t>
      </w:r>
      <w:r w:rsidR="00855FAF">
        <w:t>, the manner in which the</w:t>
      </w:r>
      <w:r w:rsidR="00074B01">
        <w:t xml:space="preserve"> </w:t>
      </w:r>
      <w:r w:rsidR="00D323CA">
        <w:t xml:space="preserve">SOC </w:t>
      </w:r>
      <w:r w:rsidR="00855FAF">
        <w:t xml:space="preserve">has been drafted has given </w:t>
      </w:r>
      <w:r w:rsidR="00A65C30">
        <w:t xml:space="preserve">the Accolade Parties the opportunity </w:t>
      </w:r>
      <w:r w:rsidR="00855FAF">
        <w:t xml:space="preserve">to </w:t>
      </w:r>
      <w:r w:rsidR="00A65C30">
        <w:t>populate their defences with a</w:t>
      </w:r>
      <w:r w:rsidR="00855FAF">
        <w:t xml:space="preserve"> blanket</w:t>
      </w:r>
      <w:r w:rsidR="00D323CA">
        <w:t xml:space="preserve"> </w:t>
      </w:r>
      <w:r w:rsidR="00C06B6E">
        <w:t xml:space="preserve">of </w:t>
      </w:r>
      <w:r w:rsidR="00D323CA">
        <w:t>non-admissions</w:t>
      </w:r>
      <w:r w:rsidR="00C06B6E">
        <w:t xml:space="preserve"> whereas a more </w:t>
      </w:r>
      <w:r w:rsidR="00D70C32">
        <w:t xml:space="preserve">focussed attempt at pleading would perhaps have resulted in the necessity for </w:t>
      </w:r>
      <w:r w:rsidR="00636135">
        <w:lastRenderedPageBreak/>
        <w:t>a more targeted defence, it is relatively clear that base</w:t>
      </w:r>
      <w:r w:rsidR="00ED636A">
        <w:t>d</w:t>
      </w:r>
      <w:r w:rsidR="00636135">
        <w:t xml:space="preserve"> on the RDASOC </w:t>
      </w:r>
      <w:r w:rsidR="00ED636A">
        <w:t xml:space="preserve">the </w:t>
      </w:r>
      <w:r w:rsidR="00C13FBF">
        <w:t>Accolade</w:t>
      </w:r>
      <w:r w:rsidR="00ED636A">
        <w:t xml:space="preserve"> Parties</w:t>
      </w:r>
      <w:r w:rsidR="00636135">
        <w:t xml:space="preserve"> apprehend the claim made against them</w:t>
      </w:r>
      <w:r w:rsidR="00C13FBF">
        <w:t xml:space="preserve"> such that the dictates of procedural fairness have been met</w:t>
      </w:r>
      <w:r w:rsidR="00074B01">
        <w:t xml:space="preserve">. </w:t>
      </w:r>
    </w:p>
    <w:p w14:paraId="779367AA" w14:textId="69C2E411" w:rsidR="002A1AEC" w:rsidRDefault="006D48AC" w:rsidP="006D48AC">
      <w:pPr>
        <w:pStyle w:val="ParaNumbering"/>
        <w:numPr>
          <w:ilvl w:val="0"/>
          <w:numId w:val="0"/>
        </w:numPr>
        <w:ind w:hanging="720"/>
      </w:pPr>
      <w:r>
        <w:rPr>
          <w:sz w:val="20"/>
        </w:rPr>
        <w:t>58</w:t>
      </w:r>
      <w:r>
        <w:rPr>
          <w:sz w:val="20"/>
        </w:rPr>
        <w:tab/>
      </w:r>
      <w:r w:rsidR="008530F1">
        <w:t>T</w:t>
      </w:r>
      <w:r w:rsidR="003E6837">
        <w:t xml:space="preserve">he </w:t>
      </w:r>
      <w:r w:rsidR="001E2E89">
        <w:t>applicants’ approach to the amendment of the pleading and prosecution of th</w:t>
      </w:r>
      <w:r w:rsidR="008530F1">
        <w:t>is</w:t>
      </w:r>
      <w:r w:rsidR="001E2E89">
        <w:t xml:space="preserve"> interlocutory application left much to be desired</w:t>
      </w:r>
      <w:r w:rsidR="00D61009">
        <w:t xml:space="preserve">. It </w:t>
      </w:r>
      <w:r w:rsidR="007C470A">
        <w:t>did not</w:t>
      </w:r>
      <w:r w:rsidR="001E2E89">
        <w:t xml:space="preserve"> facilitat</w:t>
      </w:r>
      <w:r w:rsidR="007C470A">
        <w:t>e</w:t>
      </w:r>
      <w:r w:rsidR="001E2E89">
        <w:t xml:space="preserve"> the objectives </w:t>
      </w:r>
      <w:r w:rsidR="007E12CC">
        <w:t>of modern case management</w:t>
      </w:r>
      <w:r w:rsidR="007C470A">
        <w:t xml:space="preserve"> or satisfy the overarching ob</w:t>
      </w:r>
      <w:r w:rsidR="00F07F02">
        <w:t>ligations of practitioners in proceedings before this Court</w:t>
      </w:r>
      <w:r w:rsidR="008530F1">
        <w:t xml:space="preserve">. </w:t>
      </w:r>
      <w:r w:rsidR="00F07F02">
        <w:t>However,</w:t>
      </w:r>
      <w:r w:rsidR="00C835E0">
        <w:t xml:space="preserve"> in circumstances where I am satisfied that, </w:t>
      </w:r>
      <w:r w:rsidR="00D61009">
        <w:t>save for limited exceptions, the Accolade Parties</w:t>
      </w:r>
      <w:r w:rsidR="00F07F02">
        <w:t xml:space="preserve"> know the claim they must meet</w:t>
      </w:r>
      <w:r w:rsidR="006102ED">
        <w:t xml:space="preserve"> </w:t>
      </w:r>
      <w:r w:rsidR="0072021D">
        <w:t>and h</w:t>
      </w:r>
      <w:r w:rsidR="004E7A12">
        <w:t xml:space="preserve">aving regard to </w:t>
      </w:r>
      <w:r w:rsidR="00DB5110" w:rsidDel="00150144">
        <w:t>the</w:t>
      </w:r>
      <w:r w:rsidR="00DB5110">
        <w:t xml:space="preserve"> existing attempts by the</w:t>
      </w:r>
      <w:r w:rsidR="004E7A12">
        <w:t xml:space="preserve"> applicants to </w:t>
      </w:r>
      <w:r w:rsidR="00DB5110">
        <w:t>plead their claims</w:t>
      </w:r>
      <w:r w:rsidR="004E7A12">
        <w:t xml:space="preserve">, </w:t>
      </w:r>
      <w:r w:rsidR="00BE4D23">
        <w:t xml:space="preserve">I </w:t>
      </w:r>
      <w:r w:rsidR="00707D71">
        <w:t>fear</w:t>
      </w:r>
      <w:r w:rsidR="00BE4D23">
        <w:t xml:space="preserve"> that </w:t>
      </w:r>
      <w:r w:rsidR="0088784A">
        <w:t xml:space="preserve">to </w:t>
      </w:r>
      <w:r w:rsidR="00707D71">
        <w:t xml:space="preserve">grant the </w:t>
      </w:r>
      <w:r w:rsidR="0088784A">
        <w:t xml:space="preserve">applicants </w:t>
      </w:r>
      <w:r w:rsidR="00707D71">
        <w:t xml:space="preserve">a further opportunity to re-plead the </w:t>
      </w:r>
      <w:r w:rsidR="00CE6E6F">
        <w:t>large tranches of the proposed pleading to which the Accolate Parties oppose leave</w:t>
      </w:r>
      <w:r w:rsidR="004E7A12">
        <w:t xml:space="preserve"> </w:t>
      </w:r>
      <w:r w:rsidR="0088784A">
        <w:t xml:space="preserve">is likely to be </w:t>
      </w:r>
      <w:r w:rsidR="00260D67">
        <w:t>productive of delay, waste</w:t>
      </w:r>
      <w:r w:rsidR="00CE6E6F">
        <w:t>d</w:t>
      </w:r>
      <w:r w:rsidR="00260D67">
        <w:t xml:space="preserve"> costs and</w:t>
      </w:r>
      <w:r w:rsidR="0077093B">
        <w:t xml:space="preserve"> is</w:t>
      </w:r>
      <w:r w:rsidR="00260D67">
        <w:t xml:space="preserve"> </w:t>
      </w:r>
      <w:r w:rsidR="0077093B">
        <w:t xml:space="preserve">unlikely to </w:t>
      </w:r>
      <w:r w:rsidR="00260D67">
        <w:t xml:space="preserve">result in </w:t>
      </w:r>
      <w:r w:rsidR="0001556B">
        <w:t>a meaningful refinement of the real issues in dispute.</w:t>
      </w:r>
      <w:r w:rsidR="00291D0A">
        <w:t xml:space="preserve"> </w:t>
      </w:r>
      <w:r w:rsidR="00F27143">
        <w:t xml:space="preserve">For these reasons, </w:t>
      </w:r>
      <w:r w:rsidR="00131344">
        <w:t>on the conditions</w:t>
      </w:r>
      <w:r w:rsidR="00EA7ABD">
        <w:t xml:space="preserve"> that I will now identify, I have </w:t>
      </w:r>
      <w:r w:rsidR="00355125">
        <w:t>concluded</w:t>
      </w:r>
      <w:r w:rsidR="00EA7ABD">
        <w:t xml:space="preserve"> that it is in all parties’ interests</w:t>
      </w:r>
      <w:r w:rsidR="00800FB3">
        <w:t xml:space="preserve">, and particularly in the interests of creditors of the Company, </w:t>
      </w:r>
      <w:r w:rsidR="00355125">
        <w:t xml:space="preserve">to grant leave to </w:t>
      </w:r>
      <w:r w:rsidR="00AF677E">
        <w:t xml:space="preserve">the applicants to </w:t>
      </w:r>
      <w:r w:rsidR="00355125">
        <w:t>file and rely on the RDASOC</w:t>
      </w:r>
      <w:r w:rsidR="00B36AB0">
        <w:t xml:space="preserve">. </w:t>
      </w:r>
      <w:r w:rsidR="00C03EF3">
        <w:t xml:space="preserve">I am also </w:t>
      </w:r>
      <w:r w:rsidR="004F700A">
        <w:t>satisfied that to do so is consistent with the overarching purpose</w:t>
      </w:r>
      <w:r w:rsidR="007E5925">
        <w:t xml:space="preserve">. </w:t>
      </w:r>
    </w:p>
    <w:p w14:paraId="24101E60" w14:textId="64AA065C" w:rsidR="00C604F5" w:rsidRDefault="006D48AC" w:rsidP="006D48AC">
      <w:pPr>
        <w:pStyle w:val="ParaNumbering"/>
        <w:numPr>
          <w:ilvl w:val="0"/>
          <w:numId w:val="0"/>
        </w:numPr>
        <w:ind w:hanging="720"/>
      </w:pPr>
      <w:r>
        <w:rPr>
          <w:sz w:val="20"/>
        </w:rPr>
        <w:t>59</w:t>
      </w:r>
      <w:r>
        <w:rPr>
          <w:sz w:val="20"/>
        </w:rPr>
        <w:tab/>
      </w:r>
      <w:r w:rsidR="00EA11C0">
        <w:t xml:space="preserve">In allowing </w:t>
      </w:r>
      <w:r w:rsidR="00B20DFD">
        <w:t>leave to f</w:t>
      </w:r>
      <w:r w:rsidR="0088156E">
        <w:t xml:space="preserve">ile the RDASOC </w:t>
      </w:r>
      <w:r w:rsidR="00EF74A6">
        <w:t xml:space="preserve">with </w:t>
      </w:r>
      <w:r w:rsidR="00EA11C0">
        <w:t xml:space="preserve">the </w:t>
      </w:r>
      <w:r w:rsidR="00DA0904">
        <w:t xml:space="preserve">disputed </w:t>
      </w:r>
      <w:r w:rsidR="00EA11C0">
        <w:t>amendments</w:t>
      </w:r>
      <w:r w:rsidR="0039700B">
        <w:t xml:space="preserve">, </w:t>
      </w:r>
      <w:r w:rsidR="00570C88">
        <w:t>I will</w:t>
      </w:r>
      <w:r w:rsidR="0039700B">
        <w:t xml:space="preserve"> afford the Accolade</w:t>
      </w:r>
      <w:r w:rsidR="00570C88">
        <w:t xml:space="preserve"> </w:t>
      </w:r>
      <w:r w:rsidR="00D45187">
        <w:t>Parties</w:t>
      </w:r>
      <w:r w:rsidR="00570C88">
        <w:t xml:space="preserve"> </w:t>
      </w:r>
      <w:r w:rsidR="00D45187">
        <w:t>the opportunity to request such</w:t>
      </w:r>
      <w:r w:rsidR="00150144">
        <w:t xml:space="preserve"> particulars as are</w:t>
      </w:r>
      <w:r w:rsidR="00570C88">
        <w:t xml:space="preserve"> reasonably necessary to </w:t>
      </w:r>
      <w:r w:rsidR="00150144">
        <w:t>facilitate the filing of their defences</w:t>
      </w:r>
      <w:r w:rsidR="00E72377">
        <w:t xml:space="preserve">. </w:t>
      </w:r>
      <w:r w:rsidR="002D3DB5">
        <w:t>I will make th</w:t>
      </w:r>
      <w:r w:rsidR="00C817F0">
        <w:t xml:space="preserve">at order in general terms. </w:t>
      </w:r>
      <w:r w:rsidR="00426D46">
        <w:t xml:space="preserve">Without </w:t>
      </w:r>
      <w:r w:rsidR="0043371E">
        <w:t>limiting the generality of that order</w:t>
      </w:r>
      <w:r w:rsidR="006D4FDD">
        <w:t>, b</w:t>
      </w:r>
      <w:r w:rsidR="00C817F0">
        <w:t xml:space="preserve">ased on the </w:t>
      </w:r>
      <w:r w:rsidR="00711380">
        <w:t xml:space="preserve">submissions on this application, I would expect that </w:t>
      </w:r>
      <w:r w:rsidR="00C0593B">
        <w:t xml:space="preserve">particulars will be requested and supplied that expose the material facts relevant to </w:t>
      </w:r>
      <w:r w:rsidR="000C372B">
        <w:t xml:space="preserve">allegations </w:t>
      </w:r>
      <w:r w:rsidR="00630D05">
        <w:t xml:space="preserve">made in relation to the </w:t>
      </w:r>
      <w:r w:rsidR="00874770">
        <w:t xml:space="preserve">allegations </w:t>
      </w:r>
      <w:r w:rsidR="0057516E">
        <w:t xml:space="preserve">about the Company </w:t>
      </w:r>
      <w:r w:rsidR="00BB1E3B">
        <w:t xml:space="preserve">divesting itself of property in </w:t>
      </w:r>
      <w:r w:rsidR="00E336EF">
        <w:t xml:space="preserve">the circumstances where it </w:t>
      </w:r>
      <w:r w:rsidR="00B74AEC">
        <w:t xml:space="preserve">is alleged to have </w:t>
      </w:r>
      <w:r w:rsidR="00E336EF">
        <w:t xml:space="preserve">held the property as a trustee and </w:t>
      </w:r>
      <w:r w:rsidR="00B74AEC">
        <w:t xml:space="preserve">where </w:t>
      </w:r>
      <w:r w:rsidR="00E336EF">
        <w:t xml:space="preserve">the </w:t>
      </w:r>
      <w:r w:rsidR="00CA5CD2">
        <w:t xml:space="preserve">relevant trust deed </w:t>
      </w:r>
      <w:r w:rsidR="00B74AEC">
        <w:t xml:space="preserve">is alleged to have </w:t>
      </w:r>
      <w:r w:rsidR="00315486">
        <w:t xml:space="preserve">included an </w:t>
      </w:r>
      <w:r w:rsidR="00315486" w:rsidRPr="005A2779">
        <w:rPr>
          <w:i/>
        </w:rPr>
        <w:t>ipso facto</w:t>
      </w:r>
      <w:r w:rsidR="00315486">
        <w:t xml:space="preserve"> clause and </w:t>
      </w:r>
      <w:r w:rsidR="00057675">
        <w:t>conferred</w:t>
      </w:r>
      <w:r w:rsidR="0072765C">
        <w:t xml:space="preserve"> a power </w:t>
      </w:r>
      <w:r w:rsidR="00B74AEC">
        <w:t xml:space="preserve">on </w:t>
      </w:r>
      <w:r w:rsidR="00AC0078">
        <w:t xml:space="preserve">Kaushik as </w:t>
      </w:r>
      <w:r w:rsidR="00B74AEC">
        <w:t xml:space="preserve">the </w:t>
      </w:r>
      <w:r w:rsidR="00AC0078">
        <w:t xml:space="preserve">sole </w:t>
      </w:r>
      <w:r w:rsidR="00B74AEC">
        <w:t>unit</w:t>
      </w:r>
      <w:r w:rsidR="00674D48">
        <w:t xml:space="preserve"> holder </w:t>
      </w:r>
      <w:r w:rsidR="0072765C">
        <w:t>to appoint a new trustee</w:t>
      </w:r>
      <w:r w:rsidR="00426D46">
        <w:t xml:space="preserve">. </w:t>
      </w:r>
      <w:r w:rsidR="00570C88">
        <w:t>I will make orders accordingly.</w:t>
      </w:r>
      <w:r w:rsidR="001972C8">
        <w:t xml:space="preserve"> </w:t>
      </w:r>
    </w:p>
    <w:p w14:paraId="6F18E1B7" w14:textId="55BA3C59" w:rsidR="00B65F47" w:rsidRDefault="006D48AC" w:rsidP="006D48AC">
      <w:pPr>
        <w:pStyle w:val="ParaNumbering"/>
        <w:numPr>
          <w:ilvl w:val="0"/>
          <w:numId w:val="0"/>
        </w:numPr>
        <w:ind w:hanging="720"/>
      </w:pPr>
      <w:r>
        <w:rPr>
          <w:sz w:val="20"/>
        </w:rPr>
        <w:t>60</w:t>
      </w:r>
      <w:r>
        <w:rPr>
          <w:sz w:val="20"/>
        </w:rPr>
        <w:tab/>
      </w:r>
      <w:r w:rsidR="001972C8">
        <w:t>In making orders</w:t>
      </w:r>
      <w:r w:rsidR="00985B6B">
        <w:t xml:space="preserve"> in relation to the provision of such particulars </w:t>
      </w:r>
      <w:r w:rsidR="005775BD">
        <w:t>as</w:t>
      </w:r>
      <w:r w:rsidR="001C3D2D">
        <w:t xml:space="preserve"> the Accol</w:t>
      </w:r>
      <w:r w:rsidR="00F720E7">
        <w:t xml:space="preserve">ade Parties </w:t>
      </w:r>
      <w:r w:rsidR="00EF74A6">
        <w:t xml:space="preserve">reasonably </w:t>
      </w:r>
      <w:r w:rsidR="00F720E7">
        <w:t>require</w:t>
      </w:r>
      <w:r w:rsidR="001A79EB">
        <w:t>, I expect that the applicants</w:t>
      </w:r>
      <w:r w:rsidR="009B20AC">
        <w:t xml:space="preserve"> </w:t>
      </w:r>
      <w:r w:rsidR="004F76C7">
        <w:t>through</w:t>
      </w:r>
      <w:r w:rsidR="009B20AC">
        <w:t xml:space="preserve"> their representatives</w:t>
      </w:r>
      <w:r w:rsidR="001A79EB">
        <w:t xml:space="preserve"> will </w:t>
      </w:r>
      <w:r w:rsidR="009B20AC">
        <w:t xml:space="preserve">engage in a meaningful way with any </w:t>
      </w:r>
      <w:r w:rsidR="003A3F67">
        <w:t xml:space="preserve">reasonable </w:t>
      </w:r>
      <w:r w:rsidR="009B20AC">
        <w:t>requests for</w:t>
      </w:r>
      <w:r w:rsidR="003A3F67">
        <w:t xml:space="preserve"> particulars </w:t>
      </w:r>
      <w:r w:rsidR="00B410D2">
        <w:t xml:space="preserve">and not raise </w:t>
      </w:r>
      <w:r w:rsidR="00C7788C">
        <w:t>technical</w:t>
      </w:r>
      <w:r w:rsidR="00650960">
        <w:t xml:space="preserve">ities to avoid </w:t>
      </w:r>
      <w:r w:rsidR="00DD136E">
        <w:t>providing the particulars</w:t>
      </w:r>
      <w:r w:rsidR="00C50677">
        <w:t xml:space="preserve">. In providing </w:t>
      </w:r>
      <w:r w:rsidR="00EA14E2">
        <w:t>a</w:t>
      </w:r>
      <w:r w:rsidR="009A27C6">
        <w:t>ny</w:t>
      </w:r>
      <w:r w:rsidR="00EA14E2">
        <w:t xml:space="preserve"> particulars</w:t>
      </w:r>
      <w:r w:rsidR="00DD136E">
        <w:t xml:space="preserve"> requested</w:t>
      </w:r>
      <w:r w:rsidR="009A27C6">
        <w:t>,</w:t>
      </w:r>
      <w:r w:rsidR="00EA14E2">
        <w:t xml:space="preserve"> the</w:t>
      </w:r>
      <w:r w:rsidR="00917140">
        <w:t xml:space="preserve"> applicants must</w:t>
      </w:r>
      <w:r w:rsidR="00913CB1">
        <w:t xml:space="preserve"> </w:t>
      </w:r>
      <w:r w:rsidR="008C40F8">
        <w:t>adhere to</w:t>
      </w:r>
      <w:r w:rsidR="00913CB1">
        <w:t xml:space="preserve"> the</w:t>
      </w:r>
      <w:r w:rsidR="00997279">
        <w:t>ir</w:t>
      </w:r>
      <w:r w:rsidR="00913CB1">
        <w:t xml:space="preserve"> </w:t>
      </w:r>
      <w:r w:rsidR="004E09D1">
        <w:t>obli</w:t>
      </w:r>
      <w:r w:rsidR="004727AC">
        <w:t>gation to</w:t>
      </w:r>
      <w:r w:rsidR="006F5B71">
        <w:t xml:space="preserve"> </w:t>
      </w:r>
      <w:r w:rsidR="009A27C6">
        <w:t>clearly iden</w:t>
      </w:r>
      <w:r w:rsidR="00FB2E92">
        <w:t>tify</w:t>
      </w:r>
      <w:r w:rsidR="009A27C6" w:rsidRPr="009A27C6">
        <w:t xml:space="preserve"> the legal elements of each </w:t>
      </w:r>
      <w:r w:rsidR="0089269C">
        <w:t>claim</w:t>
      </w:r>
      <w:r w:rsidR="009A27C6" w:rsidRPr="009A27C6">
        <w:t xml:space="preserve"> </w:t>
      </w:r>
      <w:r w:rsidR="005F1B82">
        <w:t xml:space="preserve">and </w:t>
      </w:r>
      <w:r w:rsidR="004727AC">
        <w:t>expose</w:t>
      </w:r>
      <w:r w:rsidR="009A27C6" w:rsidRPr="009A27C6">
        <w:t xml:space="preserve"> t</w:t>
      </w:r>
      <w:r w:rsidR="00AA2963">
        <w:t>he</w:t>
      </w:r>
      <w:r w:rsidR="009A27C6" w:rsidRPr="009A27C6">
        <w:t xml:space="preserve"> allegations of fact required to establish each element. </w:t>
      </w:r>
      <w:r w:rsidR="00817D7A">
        <w:t>While it may not strictly be</w:t>
      </w:r>
      <w:r w:rsidR="009A27C6" w:rsidRPr="009A27C6">
        <w:t xml:space="preserve"> necessary to plead the legal conclusions that follow from the facts</w:t>
      </w:r>
      <w:r w:rsidR="00817D7A">
        <w:t xml:space="preserve"> alleged</w:t>
      </w:r>
      <w:r w:rsidR="009A27C6" w:rsidRPr="009A27C6">
        <w:t xml:space="preserve">, it is often convenient </w:t>
      </w:r>
      <w:r w:rsidR="00817D7A">
        <w:t>and consistent with the overarching purpose</w:t>
      </w:r>
      <w:r w:rsidR="00BB1DE1" w:rsidRPr="00BB1DE1">
        <w:t xml:space="preserve"> </w:t>
      </w:r>
      <w:r w:rsidR="00BB1DE1" w:rsidRPr="009A27C6">
        <w:t>to do so</w:t>
      </w:r>
      <w:r w:rsidR="00817D7A">
        <w:t xml:space="preserve">. </w:t>
      </w:r>
      <w:r w:rsidR="003612CC">
        <w:t xml:space="preserve"> </w:t>
      </w:r>
    </w:p>
    <w:p w14:paraId="1BFCD9B0" w14:textId="710B3341" w:rsidR="00E664DF" w:rsidRPr="00BF4B56" w:rsidRDefault="006D48AC" w:rsidP="006D48AC">
      <w:pPr>
        <w:pStyle w:val="ParaNumbering"/>
        <w:numPr>
          <w:ilvl w:val="0"/>
          <w:numId w:val="0"/>
        </w:numPr>
        <w:ind w:hanging="720"/>
        <w:rPr>
          <w:sz w:val="22"/>
        </w:rPr>
      </w:pPr>
      <w:r w:rsidRPr="00BF4B56">
        <w:rPr>
          <w:sz w:val="20"/>
        </w:rPr>
        <w:lastRenderedPageBreak/>
        <w:t>61</w:t>
      </w:r>
      <w:r w:rsidRPr="00BF4B56">
        <w:rPr>
          <w:sz w:val="20"/>
        </w:rPr>
        <w:tab/>
      </w:r>
      <w:r w:rsidR="009C4F69">
        <w:t>There are t</w:t>
      </w:r>
      <w:r w:rsidR="00274F1F">
        <w:t>hree</w:t>
      </w:r>
      <w:r w:rsidR="009C4F69">
        <w:t xml:space="preserve"> additional matters that were not canvassed by the relevant parties. </w:t>
      </w:r>
    </w:p>
    <w:p w14:paraId="0551927B" w14:textId="1B002EAC" w:rsidR="00F6301C" w:rsidRDefault="006D48AC" w:rsidP="006D48AC">
      <w:pPr>
        <w:pStyle w:val="ParaNumbering"/>
        <w:numPr>
          <w:ilvl w:val="0"/>
          <w:numId w:val="0"/>
        </w:numPr>
        <w:ind w:hanging="720"/>
        <w:rPr>
          <w:sz w:val="22"/>
        </w:rPr>
      </w:pPr>
      <w:r>
        <w:rPr>
          <w:sz w:val="20"/>
        </w:rPr>
        <w:t>62</w:t>
      </w:r>
      <w:r>
        <w:rPr>
          <w:sz w:val="20"/>
        </w:rPr>
        <w:tab/>
      </w:r>
      <w:r w:rsidR="009C4F69">
        <w:t xml:space="preserve">The first is that </w:t>
      </w:r>
      <w:r w:rsidR="00F6301C">
        <w:t xml:space="preserve">the Further Amended </w:t>
      </w:r>
      <w:r w:rsidR="009C4F69">
        <w:t>Originating Application</w:t>
      </w:r>
      <w:r w:rsidR="00F6301C">
        <w:t xml:space="preserve"> </w:t>
      </w:r>
      <w:r w:rsidR="00AD1411">
        <w:t>(</w:t>
      </w:r>
      <w:r w:rsidR="00AD1411">
        <w:rPr>
          <w:b/>
          <w:bCs/>
        </w:rPr>
        <w:t>FA</w:t>
      </w:r>
      <w:r w:rsidR="00F06EC2">
        <w:rPr>
          <w:b/>
          <w:bCs/>
        </w:rPr>
        <w:t>OA)</w:t>
      </w:r>
      <w:r w:rsidR="00F06EC2">
        <w:t xml:space="preserve"> </w:t>
      </w:r>
      <w:r w:rsidR="00F6301C">
        <w:t xml:space="preserve">includes a prayer for relief seeking a declaration that Carmelo holds property on trust on the basis of receiving the “Carmelo Transfer”. </w:t>
      </w:r>
      <w:r w:rsidR="00F509B5">
        <w:t>As mentioned, t</w:t>
      </w:r>
      <w:r w:rsidR="00F6301C">
        <w:t>he pleadings in respect of the “Carmelo Transfer” in the RD</w:t>
      </w:r>
      <w:r w:rsidR="009C4F69">
        <w:t>A</w:t>
      </w:r>
      <w:r w:rsidR="00F6301C">
        <w:t>SOC have been deleted</w:t>
      </w:r>
      <w:r w:rsidR="00673865">
        <w:t xml:space="preserve"> in strikethrough</w:t>
      </w:r>
      <w:r w:rsidR="00F6301C">
        <w:t>. It is unclear whether the claims in respect of the Carmelo Transfer are pressed</w:t>
      </w:r>
      <w:r w:rsidR="00AD1411">
        <w:t xml:space="preserve">. If the claim is not pressed the </w:t>
      </w:r>
      <w:r w:rsidR="00673865">
        <w:t xml:space="preserve">references to the Carmelo Transfer in the </w:t>
      </w:r>
      <w:r w:rsidR="00F06EC2">
        <w:t>FAOA must be deleted</w:t>
      </w:r>
      <w:r w:rsidR="00C424D9">
        <w:t xml:space="preserve">. </w:t>
      </w:r>
      <w:r w:rsidR="00C424D9" w:rsidRPr="00295B01">
        <w:t>I will order that the parties submit agreed short minutes to address this issue.</w:t>
      </w:r>
      <w:r w:rsidR="00C424D9">
        <w:t xml:space="preserve"> </w:t>
      </w:r>
      <w:r w:rsidR="00F06EC2">
        <w:t xml:space="preserve"> </w:t>
      </w:r>
    </w:p>
    <w:p w14:paraId="5D43464E" w14:textId="528031B8" w:rsidR="0093486B" w:rsidRDefault="006D48AC" w:rsidP="006D48AC">
      <w:pPr>
        <w:pStyle w:val="ParaNumbering"/>
        <w:numPr>
          <w:ilvl w:val="0"/>
          <w:numId w:val="0"/>
        </w:numPr>
        <w:ind w:hanging="720"/>
      </w:pPr>
      <w:r>
        <w:rPr>
          <w:sz w:val="20"/>
        </w:rPr>
        <w:t>63</w:t>
      </w:r>
      <w:r>
        <w:rPr>
          <w:sz w:val="20"/>
        </w:rPr>
        <w:tab/>
      </w:r>
      <w:r w:rsidR="006D39E2">
        <w:t>The second</w:t>
      </w:r>
      <w:r w:rsidR="004E07E2">
        <w:t xml:space="preserve"> issue</w:t>
      </w:r>
      <w:r w:rsidR="006D39E2">
        <w:t xml:space="preserve"> is that</w:t>
      </w:r>
      <w:r w:rsidR="00694F82">
        <w:t xml:space="preserve"> </w:t>
      </w:r>
      <w:r w:rsidR="004E07E2">
        <w:t xml:space="preserve">a </w:t>
      </w:r>
      <w:r w:rsidR="00694F82">
        <w:t xml:space="preserve">declaration </w:t>
      </w:r>
      <w:r w:rsidR="0093486B">
        <w:t xml:space="preserve">of an institutional </w:t>
      </w:r>
      <w:r w:rsidR="00F6301C">
        <w:t xml:space="preserve">constructive trust </w:t>
      </w:r>
      <w:r w:rsidR="004E07E2">
        <w:t xml:space="preserve">in respect of </w:t>
      </w:r>
      <w:r w:rsidR="00F6301C" w:rsidRPr="00295B01">
        <w:t>MI</w:t>
      </w:r>
      <w:r w:rsidR="00D43B40" w:rsidRPr="00295B01">
        <w:t> </w:t>
      </w:r>
      <w:r w:rsidR="00F6301C" w:rsidRPr="00295B01">
        <w:t>Stores</w:t>
      </w:r>
      <w:r w:rsidR="0093486B">
        <w:t xml:space="preserve"> is sought in c</w:t>
      </w:r>
      <w:r w:rsidR="00AC3385">
        <w:t>ircumstances where MI Stores is not a party.</w:t>
      </w:r>
      <w:r w:rsidR="00E535AB" w:rsidRPr="00295B01">
        <w:t xml:space="preserve"> I will order the parties </w:t>
      </w:r>
      <w:r w:rsidR="00506330" w:rsidRPr="00295B01">
        <w:t xml:space="preserve">to </w:t>
      </w:r>
      <w:r w:rsidR="00E535AB" w:rsidRPr="00295B01">
        <w:t>submit agreed short minutes to address this issue</w:t>
      </w:r>
      <w:r w:rsidR="00B8363B" w:rsidRPr="00295B01">
        <w:t xml:space="preserve"> and in particular</w:t>
      </w:r>
      <w:r w:rsidR="006C00D4" w:rsidRPr="00295B01">
        <w:t>,</w:t>
      </w:r>
      <w:r w:rsidR="00B8363B" w:rsidRPr="00295B01">
        <w:t xml:space="preserve"> whether there is any reason why that part of the FAOA should not be struck out</w:t>
      </w:r>
      <w:r w:rsidR="00E535AB" w:rsidRPr="00295B01">
        <w:t>.</w:t>
      </w:r>
    </w:p>
    <w:p w14:paraId="67555D4C" w14:textId="1BC793DC" w:rsidR="00F6301C" w:rsidRDefault="006D48AC" w:rsidP="006D48AC">
      <w:pPr>
        <w:pStyle w:val="ParaNumbering"/>
        <w:numPr>
          <w:ilvl w:val="0"/>
          <w:numId w:val="0"/>
        </w:numPr>
        <w:ind w:hanging="720"/>
      </w:pPr>
      <w:r>
        <w:rPr>
          <w:sz w:val="20"/>
        </w:rPr>
        <w:t>64</w:t>
      </w:r>
      <w:r>
        <w:rPr>
          <w:sz w:val="20"/>
        </w:rPr>
        <w:tab/>
      </w:r>
      <w:r w:rsidR="00274F1F">
        <w:t>The third issue is that</w:t>
      </w:r>
      <w:r w:rsidR="004E07E2">
        <w:t xml:space="preserve"> a declaration of constructive trust</w:t>
      </w:r>
      <w:r w:rsidR="00D560A6">
        <w:t xml:space="preserve"> is sought</w:t>
      </w:r>
      <w:r w:rsidR="004E07E2">
        <w:t xml:space="preserve"> against</w:t>
      </w:r>
      <w:r w:rsidR="00274F1F">
        <w:t xml:space="preserve"> </w:t>
      </w:r>
      <w:r w:rsidR="00536A4B">
        <w:t xml:space="preserve">Accolade, </w:t>
      </w:r>
      <w:r w:rsidR="00F6301C">
        <w:t xml:space="preserve">Reliance and Carmelo over “any funds in </w:t>
      </w:r>
      <w:r w:rsidR="00D560A6">
        <w:t>[</w:t>
      </w:r>
      <w:r w:rsidR="00F6301C">
        <w:t>the</w:t>
      </w:r>
      <w:r w:rsidR="00D560A6">
        <w:t>ir respective]</w:t>
      </w:r>
      <w:r w:rsidR="00F6301C">
        <w:t xml:space="preserve"> possession, custody or control” on the apparent basis they </w:t>
      </w:r>
      <w:r w:rsidR="002364F3">
        <w:t xml:space="preserve">each </w:t>
      </w:r>
      <w:r w:rsidR="00F6301C">
        <w:t xml:space="preserve">have </w:t>
      </w:r>
      <w:r w:rsidR="00B8363B">
        <w:t xml:space="preserve">allegedly </w:t>
      </w:r>
      <w:r w:rsidR="00F6301C">
        <w:t>received trust property. Th</w:t>
      </w:r>
      <w:r w:rsidR="00204562">
        <w:t>ese</w:t>
      </w:r>
      <w:r w:rsidR="00F6301C">
        <w:t xml:space="preserve"> claim</w:t>
      </w:r>
      <w:r w:rsidR="00204562">
        <w:t>s</w:t>
      </w:r>
      <w:r w:rsidR="00F6301C">
        <w:t xml:space="preserve"> for relief appear to be cast </w:t>
      </w:r>
      <w:r w:rsidR="00204562">
        <w:t xml:space="preserve">more </w:t>
      </w:r>
      <w:r w:rsidR="00F6301C">
        <w:t xml:space="preserve">broadly </w:t>
      </w:r>
      <w:r w:rsidR="00204562">
        <w:t xml:space="preserve">than the </w:t>
      </w:r>
      <w:r w:rsidR="004463DC">
        <w:t xml:space="preserve">pleaded </w:t>
      </w:r>
      <w:r w:rsidR="00204562">
        <w:t>claim for</w:t>
      </w:r>
      <w:r w:rsidR="00F6301C">
        <w:t xml:space="preserve"> tracing. </w:t>
      </w:r>
      <w:r w:rsidR="00550E2D" w:rsidRPr="00295B01">
        <w:t>I will order the parties to submit agreed short minutes to address this issue and in particular</w:t>
      </w:r>
      <w:r w:rsidR="006C00D4" w:rsidRPr="00295B01">
        <w:t>,</w:t>
      </w:r>
      <w:r w:rsidR="00550E2D" w:rsidRPr="00295B01">
        <w:t xml:space="preserve"> whether </w:t>
      </w:r>
      <w:r w:rsidR="004463DC" w:rsidRPr="00295B01">
        <w:t>the FAO</w:t>
      </w:r>
      <w:r w:rsidR="00E20139" w:rsidRPr="00295B01">
        <w:t>A is proposed to be amended</w:t>
      </w:r>
      <w:r w:rsidR="00550E2D" w:rsidRPr="00295B01">
        <w:t>.</w:t>
      </w:r>
    </w:p>
    <w:p w14:paraId="5AE23622" w14:textId="7651F056" w:rsidR="008B6629" w:rsidRDefault="008B6629" w:rsidP="00F41A79">
      <w:pPr>
        <w:pStyle w:val="Heading2"/>
      </w:pPr>
      <w:r>
        <w:t>Determination</w:t>
      </w:r>
    </w:p>
    <w:p w14:paraId="36FECA7F" w14:textId="122475CA" w:rsidR="00FE2A20" w:rsidRDefault="006D48AC" w:rsidP="006D48AC">
      <w:pPr>
        <w:pStyle w:val="ParaNumbering"/>
        <w:numPr>
          <w:ilvl w:val="0"/>
          <w:numId w:val="0"/>
        </w:numPr>
        <w:ind w:hanging="720"/>
      </w:pPr>
      <w:r>
        <w:rPr>
          <w:sz w:val="20"/>
        </w:rPr>
        <w:t>65</w:t>
      </w:r>
      <w:r>
        <w:rPr>
          <w:sz w:val="20"/>
        </w:rPr>
        <w:tab/>
      </w:r>
      <w:r w:rsidR="00455C51">
        <w:t>For these reasons, I will</w:t>
      </w:r>
      <w:r w:rsidR="005661B7">
        <w:t xml:space="preserve"> </w:t>
      </w:r>
      <w:r w:rsidR="009F3DC2">
        <w:t>make orders as I have indicated above</w:t>
      </w:r>
      <w:r w:rsidR="00CF1450">
        <w:t xml:space="preserve">. </w:t>
      </w:r>
      <w:r w:rsidR="005661B7">
        <w:t xml:space="preserve"> </w:t>
      </w:r>
    </w:p>
    <w:p w14:paraId="0207B8CD" w14:textId="039F5249" w:rsidR="005E45BC" w:rsidRDefault="006D48AC" w:rsidP="006D48AC">
      <w:pPr>
        <w:pStyle w:val="ParaNumbering"/>
        <w:numPr>
          <w:ilvl w:val="0"/>
          <w:numId w:val="0"/>
        </w:numPr>
        <w:ind w:hanging="720"/>
      </w:pPr>
      <w:r>
        <w:rPr>
          <w:sz w:val="20"/>
        </w:rPr>
        <w:t>66</w:t>
      </w:r>
      <w:r>
        <w:rPr>
          <w:sz w:val="20"/>
        </w:rPr>
        <w:tab/>
      </w:r>
      <w:r w:rsidR="009F3DC2">
        <w:t xml:space="preserve">The only issue which remains is that of costs. I have </w:t>
      </w:r>
      <w:r w:rsidR="00181559">
        <w:t>previously ordered</w:t>
      </w:r>
      <w:r w:rsidR="009F3DC2">
        <w:t xml:space="preserve"> that the respondents should have the costs occasioned by </w:t>
      </w:r>
      <w:r w:rsidR="0083634C">
        <w:t>adjournment of the amendment application to enable the applicants to rely for the purpose of the application on the RDASOC.</w:t>
      </w:r>
      <w:r w:rsidR="00262367">
        <w:t xml:space="preserve"> </w:t>
      </w:r>
      <w:r w:rsidR="00B878E1">
        <w:t xml:space="preserve">There is no reason why the respondents should not have </w:t>
      </w:r>
      <w:r w:rsidR="000C0F5E">
        <w:t>their costs occasioned by the leave granted to file the RDASOC</w:t>
      </w:r>
      <w:r w:rsidR="009C2062">
        <w:t>,</w:t>
      </w:r>
      <w:r w:rsidR="005E45BC">
        <w:t xml:space="preserve"> including </w:t>
      </w:r>
      <w:r w:rsidR="009C2062">
        <w:t>in respect of</w:t>
      </w:r>
      <w:r w:rsidR="005E45BC">
        <w:t xml:space="preserve"> the amendment application</w:t>
      </w:r>
      <w:r w:rsidR="000C0F5E">
        <w:t xml:space="preserve">. </w:t>
      </w:r>
      <w:r w:rsidR="00A924BA">
        <w:t>I note that the time taken on this application was increased as a result of the manner in which the proposed amendments were put forward, including by the incoherent numbering of the successive iterations of the proposed pleading and the absence of reliable mark up of the amendments.</w:t>
      </w:r>
      <w:r w:rsidR="000C0F5E">
        <w:t xml:space="preserve"> I will order accordingly</w:t>
      </w:r>
      <w:r w:rsidR="00273650">
        <w:t xml:space="preserve">. </w:t>
      </w:r>
    </w:p>
    <w:p w14:paraId="149E151B" w14:textId="7C461465" w:rsidR="00FD41C0" w:rsidRDefault="006D48AC" w:rsidP="00FD41C0">
      <w:pPr>
        <w:pStyle w:val="Heading1"/>
      </w:pPr>
      <w:r>
        <w:rPr>
          <w:caps w:val="0"/>
        </w:rPr>
        <w:lastRenderedPageBreak/>
        <w:t>FREEZING ORDER EXTENSION APPLICATION AND FURTHER DISCLOSURE APPLICATION</w:t>
      </w:r>
    </w:p>
    <w:p w14:paraId="0F9C79D7" w14:textId="77777777" w:rsidR="00FD41C0" w:rsidRDefault="00FD41C0" w:rsidP="00FD41C0">
      <w:pPr>
        <w:pStyle w:val="Heading2"/>
      </w:pPr>
      <w:r>
        <w:t>Introduction</w:t>
      </w:r>
    </w:p>
    <w:p w14:paraId="1E6A1DF4" w14:textId="465D47FB" w:rsidR="0001396E" w:rsidRDefault="006D48AC" w:rsidP="006D48AC">
      <w:pPr>
        <w:pStyle w:val="ParaNumbering"/>
        <w:numPr>
          <w:ilvl w:val="0"/>
          <w:numId w:val="0"/>
        </w:numPr>
        <w:ind w:hanging="720"/>
      </w:pPr>
      <w:r>
        <w:rPr>
          <w:sz w:val="20"/>
        </w:rPr>
        <w:t>67</w:t>
      </w:r>
      <w:r>
        <w:rPr>
          <w:sz w:val="20"/>
        </w:rPr>
        <w:tab/>
      </w:r>
      <w:r w:rsidR="00FD41C0">
        <w:t>By amended interlocutory application, the applicants relevantly seek</w:t>
      </w:r>
      <w:r w:rsidR="00FD41C0">
        <w:rPr>
          <w:i/>
        </w:rPr>
        <w:t xml:space="preserve"> </w:t>
      </w:r>
      <w:r w:rsidR="00FD41C0">
        <w:t>to extend the interim freezing orders made against Sam, David and Carmelo respectively, until the final resolution of the proceedings pursuant to rr 7.32 and 7.33 of the</w:t>
      </w:r>
      <w:r w:rsidR="001C4956">
        <w:t xml:space="preserve"> </w:t>
      </w:r>
      <w:r w:rsidR="001C4956">
        <w:rPr>
          <w:i/>
          <w:iCs/>
        </w:rPr>
        <w:t>Rules</w:t>
      </w:r>
      <w:r w:rsidR="00FD41C0">
        <w:t xml:space="preserve">. </w:t>
      </w:r>
      <w:r w:rsidR="000C3B45">
        <w:t xml:space="preserve">The application is in effect the </w:t>
      </w:r>
      <w:r w:rsidR="002347F5">
        <w:rPr>
          <w:i/>
          <w:iCs/>
        </w:rPr>
        <w:t xml:space="preserve">inter partes </w:t>
      </w:r>
      <w:r w:rsidR="002347F5">
        <w:t>retu</w:t>
      </w:r>
      <w:r w:rsidR="00F23ED5">
        <w:t xml:space="preserve">rn </w:t>
      </w:r>
      <w:r w:rsidR="003B1C55">
        <w:t>in respect of free</w:t>
      </w:r>
      <w:r w:rsidR="00AF49BB">
        <w:t>z</w:t>
      </w:r>
      <w:r w:rsidR="003B1C55">
        <w:t xml:space="preserve">ing orders which were made </w:t>
      </w:r>
      <w:r w:rsidR="00212217">
        <w:rPr>
          <w:i/>
          <w:iCs/>
        </w:rPr>
        <w:t xml:space="preserve">ex parte </w:t>
      </w:r>
      <w:r w:rsidR="00212217">
        <w:t>and continued by consent on a</w:t>
      </w:r>
      <w:r w:rsidR="00AF2C41">
        <w:t xml:space="preserve"> without admissions basis</w:t>
      </w:r>
      <w:r w:rsidR="00886C4B">
        <w:t xml:space="preserve"> on multiple occasions</w:t>
      </w:r>
      <w:r w:rsidR="00AF2C41">
        <w:t xml:space="preserve">. </w:t>
      </w:r>
    </w:p>
    <w:p w14:paraId="7D1F0C28" w14:textId="241B4CC8" w:rsidR="002B321C" w:rsidRDefault="006D48AC" w:rsidP="006D48AC">
      <w:pPr>
        <w:pStyle w:val="ParaNumbering"/>
        <w:keepNext/>
        <w:keepLines/>
        <w:numPr>
          <w:ilvl w:val="0"/>
          <w:numId w:val="0"/>
        </w:numPr>
        <w:ind w:hanging="720"/>
      </w:pPr>
      <w:r>
        <w:rPr>
          <w:sz w:val="20"/>
        </w:rPr>
        <w:t>68</w:t>
      </w:r>
      <w:r>
        <w:rPr>
          <w:sz w:val="20"/>
        </w:rPr>
        <w:tab/>
      </w:r>
      <w:r w:rsidR="002B321C">
        <w:t>The relevant freezing orders are to the following effect:</w:t>
      </w:r>
    </w:p>
    <w:p w14:paraId="13B812B5" w14:textId="08B720FE" w:rsidR="004D180C" w:rsidRPr="0001396E" w:rsidRDefault="004D180C" w:rsidP="00B318F3">
      <w:pPr>
        <w:pStyle w:val="NoNum"/>
        <w:keepNext/>
        <w:keepLines/>
        <w:rPr>
          <w:i/>
          <w:iCs/>
        </w:rPr>
      </w:pPr>
      <w:r w:rsidRPr="0001396E">
        <w:rPr>
          <w:i/>
          <w:iCs/>
        </w:rPr>
        <w:t>The Cassanitis:</w:t>
      </w:r>
    </w:p>
    <w:p w14:paraId="4E006402" w14:textId="2B84E393" w:rsidR="004D180C" w:rsidRDefault="006D48AC" w:rsidP="006D48AC">
      <w:pPr>
        <w:pStyle w:val="ListNo1"/>
        <w:numPr>
          <w:ilvl w:val="0"/>
          <w:numId w:val="0"/>
        </w:numPr>
        <w:tabs>
          <w:tab w:val="left" w:pos="1146"/>
        </w:tabs>
        <w:ind w:left="1146" w:hanging="720"/>
      </w:pPr>
      <w:r>
        <w:t>(1)</w:t>
      </w:r>
      <w:r>
        <w:tab/>
      </w:r>
      <w:r w:rsidR="004D180C" w:rsidRPr="00C50EAF">
        <w:rPr>
          <w:b/>
        </w:rPr>
        <w:t>Sam</w:t>
      </w:r>
      <w:r w:rsidR="004D180C">
        <w:t xml:space="preserve"> – </w:t>
      </w:r>
      <w:r w:rsidR="009C43DC">
        <w:t>is</w:t>
      </w:r>
      <w:r w:rsidR="004D180C">
        <w:t xml:space="preserve"> prohibited from, in any way, disposing of, dealing with or diminishing the value of any of his assets in Australia</w:t>
      </w:r>
      <w:r w:rsidR="004D180C" w:rsidRPr="004622CD">
        <w:t xml:space="preserve"> </w:t>
      </w:r>
      <w:r w:rsidR="004D180C">
        <w:t>up to the unencumbered value of $780,702.53;</w:t>
      </w:r>
    </w:p>
    <w:p w14:paraId="62ECD6FC" w14:textId="5A4F33D9" w:rsidR="004D180C" w:rsidRDefault="006D48AC" w:rsidP="006D48AC">
      <w:pPr>
        <w:pStyle w:val="ListNo1"/>
        <w:numPr>
          <w:ilvl w:val="0"/>
          <w:numId w:val="0"/>
        </w:numPr>
        <w:tabs>
          <w:tab w:val="left" w:pos="1146"/>
        </w:tabs>
        <w:ind w:left="1146" w:hanging="720"/>
      </w:pPr>
      <w:r>
        <w:t>(2)</w:t>
      </w:r>
      <w:r>
        <w:tab/>
      </w:r>
      <w:r w:rsidR="004D180C">
        <w:rPr>
          <w:b/>
        </w:rPr>
        <w:t>David</w:t>
      </w:r>
      <w:r w:rsidR="004D180C" w:rsidRPr="00453178">
        <w:t xml:space="preserve"> </w:t>
      </w:r>
      <w:r w:rsidR="004D180C" w:rsidRPr="00B318F3">
        <w:t xml:space="preserve">– </w:t>
      </w:r>
      <w:r w:rsidR="009C43DC" w:rsidRPr="00B318F3">
        <w:t>is</w:t>
      </w:r>
      <w:r w:rsidR="004D180C">
        <w:rPr>
          <w:b/>
        </w:rPr>
        <w:t xml:space="preserve"> </w:t>
      </w:r>
      <w:r w:rsidR="004D180C">
        <w:t>prohibited from, in any way, disposing of, dealing with or diminishing the value of any of his assets in Australia</w:t>
      </w:r>
      <w:r w:rsidR="004D180C" w:rsidRPr="004622CD">
        <w:t xml:space="preserve"> </w:t>
      </w:r>
      <w:r w:rsidR="004D180C">
        <w:t>up to the unencumbered value of $780,702.53</w:t>
      </w:r>
      <w:r w:rsidR="005046BA">
        <w:t>; and</w:t>
      </w:r>
      <w:r w:rsidR="004D180C">
        <w:t xml:space="preserve"> </w:t>
      </w:r>
    </w:p>
    <w:p w14:paraId="7FFC5A4E" w14:textId="6DE737A9" w:rsidR="00C50EAF" w:rsidRDefault="006D48AC" w:rsidP="006D48AC">
      <w:pPr>
        <w:pStyle w:val="ListNo1"/>
        <w:numPr>
          <w:ilvl w:val="0"/>
          <w:numId w:val="0"/>
        </w:numPr>
        <w:tabs>
          <w:tab w:val="left" w:pos="1146"/>
        </w:tabs>
        <w:ind w:left="1146" w:hanging="720"/>
      </w:pPr>
      <w:r>
        <w:t>(3)</w:t>
      </w:r>
      <w:r>
        <w:tab/>
      </w:r>
      <w:r w:rsidR="008D2D56">
        <w:rPr>
          <w:b/>
          <w:bCs/>
        </w:rPr>
        <w:t>Carmelo</w:t>
      </w:r>
      <w:r w:rsidR="008D2D56" w:rsidRPr="00453178">
        <w:t xml:space="preserve"> </w:t>
      </w:r>
      <w:r w:rsidR="00A879A5">
        <w:t>–</w:t>
      </w:r>
      <w:r w:rsidR="00DC18F3">
        <w:t xml:space="preserve"> </w:t>
      </w:r>
      <w:r w:rsidR="00A879A5">
        <w:t>is</w:t>
      </w:r>
      <w:r w:rsidR="00DC18F3">
        <w:t xml:space="preserve"> </w:t>
      </w:r>
      <w:r w:rsidR="00F912DA">
        <w:t>prohibited from in any way, disposing of, dealing with or diminishing the value of any of his assets in Australia</w:t>
      </w:r>
      <w:r w:rsidR="00F912DA" w:rsidRPr="004622CD">
        <w:t xml:space="preserve"> </w:t>
      </w:r>
      <w:r w:rsidR="00F912DA">
        <w:t>up to the unencumbered value of $273,650.00</w:t>
      </w:r>
      <w:r w:rsidR="00E164D8">
        <w:t>.</w:t>
      </w:r>
    </w:p>
    <w:p w14:paraId="5EF9DD68" w14:textId="1CCC8A6D" w:rsidR="00E164D8" w:rsidRPr="00315409" w:rsidRDefault="006D48AC" w:rsidP="006D48AC">
      <w:pPr>
        <w:pStyle w:val="ParaNumbering"/>
        <w:numPr>
          <w:ilvl w:val="0"/>
          <w:numId w:val="0"/>
        </w:numPr>
        <w:ind w:hanging="720"/>
      </w:pPr>
      <w:r w:rsidRPr="00315409">
        <w:rPr>
          <w:sz w:val="20"/>
        </w:rPr>
        <w:t>69</w:t>
      </w:r>
      <w:r w:rsidRPr="00315409">
        <w:rPr>
          <w:sz w:val="20"/>
        </w:rPr>
        <w:tab/>
      </w:r>
      <w:r w:rsidR="00686141">
        <w:t>Relatedly, b</w:t>
      </w:r>
      <w:r w:rsidR="00E164D8">
        <w:t xml:space="preserve">y </w:t>
      </w:r>
      <w:r w:rsidR="00686141">
        <w:t xml:space="preserve">further </w:t>
      </w:r>
      <w:r w:rsidR="00E164D8">
        <w:t xml:space="preserve">interlocutory application, the applicants seek orders pursuant to r 7.33(1) of the </w:t>
      </w:r>
      <w:r w:rsidR="00E164D8" w:rsidRPr="00B318F3">
        <w:rPr>
          <w:i/>
        </w:rPr>
        <w:t>Rules</w:t>
      </w:r>
      <w:r w:rsidR="00E164D8">
        <w:t xml:space="preserve"> compelling Sam and David to swear further affidavits in compliance with the </w:t>
      </w:r>
      <w:r w:rsidR="00E164D8" w:rsidRPr="0021096B">
        <w:rPr>
          <w:i/>
        </w:rPr>
        <w:t>ex</w:t>
      </w:r>
      <w:r w:rsidR="00DA0730">
        <w:rPr>
          <w:i/>
        </w:rPr>
        <w:t> </w:t>
      </w:r>
      <w:r w:rsidR="00E164D8" w:rsidRPr="0021096B">
        <w:rPr>
          <w:i/>
        </w:rPr>
        <w:t>parte</w:t>
      </w:r>
      <w:r w:rsidR="00E164D8">
        <w:t xml:space="preserve"> ancillary asset disclosure orders made on 9 August 2021. </w:t>
      </w:r>
      <w:r w:rsidR="005F6E42" w:rsidRPr="00315409">
        <w:t>T</w:t>
      </w:r>
      <w:r w:rsidR="00E164D8" w:rsidRPr="00315409">
        <w:t xml:space="preserve">he relevant parties consented to </w:t>
      </w:r>
      <w:r w:rsidR="005E4641" w:rsidRPr="00315409">
        <w:t>the application</w:t>
      </w:r>
      <w:r w:rsidR="00E164D8" w:rsidRPr="00315409">
        <w:t xml:space="preserve"> being determined on the papers. </w:t>
      </w:r>
    </w:p>
    <w:p w14:paraId="0271309E" w14:textId="6FE7704F" w:rsidR="00E164D8" w:rsidRDefault="006D48AC" w:rsidP="006D48AC">
      <w:pPr>
        <w:pStyle w:val="ParaNumbering"/>
        <w:numPr>
          <w:ilvl w:val="0"/>
          <w:numId w:val="0"/>
        </w:numPr>
        <w:ind w:hanging="720"/>
      </w:pPr>
      <w:r>
        <w:rPr>
          <w:sz w:val="20"/>
        </w:rPr>
        <w:t>70</w:t>
      </w:r>
      <w:r>
        <w:rPr>
          <w:sz w:val="20"/>
        </w:rPr>
        <w:tab/>
      </w:r>
      <w:r w:rsidR="009E6A5B">
        <w:t xml:space="preserve">The </w:t>
      </w:r>
      <w:r w:rsidR="00223810">
        <w:t xml:space="preserve">relevant </w:t>
      </w:r>
      <w:r w:rsidR="009E6A5B">
        <w:t xml:space="preserve">circumstances in which this application is brought are addressed in [9] to </w:t>
      </w:r>
      <w:r w:rsidR="00E02479">
        <w:t>[1</w:t>
      </w:r>
      <w:r w:rsidR="00F1675E">
        <w:t>4</w:t>
      </w:r>
      <w:r w:rsidR="00E02479">
        <w:t xml:space="preserve">] of </w:t>
      </w:r>
      <w:r w:rsidR="00E02479">
        <w:rPr>
          <w:i/>
          <w:iCs/>
        </w:rPr>
        <w:t>Lloyds Curry (No 2)</w:t>
      </w:r>
      <w:r w:rsidR="00766F24">
        <w:t xml:space="preserve"> and are not repeated here.</w:t>
      </w:r>
      <w:r w:rsidR="00E164D8">
        <w:t xml:space="preserve"> </w:t>
      </w:r>
    </w:p>
    <w:p w14:paraId="239B35A0" w14:textId="77777777" w:rsidR="00FD41C0" w:rsidRDefault="00FD41C0" w:rsidP="00FD41C0">
      <w:pPr>
        <w:pStyle w:val="Heading2"/>
      </w:pPr>
      <w:r>
        <w:t>Evidence</w:t>
      </w:r>
    </w:p>
    <w:p w14:paraId="14650FDF" w14:textId="5200486D" w:rsidR="00FD41C0" w:rsidRDefault="006D48AC" w:rsidP="006D48AC">
      <w:pPr>
        <w:pStyle w:val="ParaNumbering"/>
        <w:numPr>
          <w:ilvl w:val="0"/>
          <w:numId w:val="0"/>
        </w:numPr>
        <w:ind w:hanging="720"/>
      </w:pPr>
      <w:r>
        <w:rPr>
          <w:sz w:val="20"/>
        </w:rPr>
        <w:t>71</w:t>
      </w:r>
      <w:r>
        <w:rPr>
          <w:sz w:val="20"/>
        </w:rPr>
        <w:tab/>
      </w:r>
      <w:r w:rsidR="00FD41C0">
        <w:t>At the hearing</w:t>
      </w:r>
      <w:r w:rsidR="00AB39A5">
        <w:t xml:space="preserve"> of the freezing order extension application</w:t>
      </w:r>
      <w:r w:rsidR="00FD41C0">
        <w:t>, the applicants relied on affidavits of Mr Hurst sworn 6</w:t>
      </w:r>
      <w:r w:rsidR="000C1B82">
        <w:t> </w:t>
      </w:r>
      <w:r w:rsidR="00FD41C0">
        <w:t>August 2021, 20 September 2021, 5</w:t>
      </w:r>
      <w:r w:rsidR="000C1B82">
        <w:t> </w:t>
      </w:r>
      <w:r w:rsidR="00FD41C0">
        <w:t>November 2021</w:t>
      </w:r>
      <w:r w:rsidR="00315409">
        <w:t>,</w:t>
      </w:r>
      <w:r w:rsidR="00FD41C0">
        <w:t xml:space="preserve"> 16</w:t>
      </w:r>
      <w:r w:rsidR="000C1B82">
        <w:t> </w:t>
      </w:r>
      <w:r w:rsidR="00FD41C0">
        <w:t>April 2022</w:t>
      </w:r>
      <w:r w:rsidR="00315409">
        <w:t xml:space="preserve"> and 19</w:t>
      </w:r>
      <w:r w:rsidR="00E220ED">
        <w:t> </w:t>
      </w:r>
      <w:r w:rsidR="00315409">
        <w:t>April 2022</w:t>
      </w:r>
      <w:r w:rsidR="00FD41C0">
        <w:t>; an affidavit of Nicarson Natkunarajah, a registered liquidator formerly working under the supervision of Mr</w:t>
      </w:r>
      <w:r w:rsidR="000C1B82">
        <w:t> </w:t>
      </w:r>
      <w:r w:rsidR="00FD41C0">
        <w:t>Hurst, sworn 5</w:t>
      </w:r>
      <w:r w:rsidR="000C1B82">
        <w:t> </w:t>
      </w:r>
      <w:r w:rsidR="00FD41C0">
        <w:t>November 2021; two affidavits of Mr Doue</w:t>
      </w:r>
      <w:r w:rsidR="004B6F25">
        <w:t>i</w:t>
      </w:r>
      <w:r w:rsidR="00FD41C0">
        <w:t xml:space="preserve">hi </w:t>
      </w:r>
      <w:r w:rsidR="00FD41C0">
        <w:lastRenderedPageBreak/>
        <w:t>sworn 21</w:t>
      </w:r>
      <w:r w:rsidR="000C1B82">
        <w:t> </w:t>
      </w:r>
      <w:r w:rsidR="00FD41C0">
        <w:t>February 2022 and 25 February 2022; and two affidavits of Gavin Parsons, solicitor for the applicants, sworn</w:t>
      </w:r>
      <w:r w:rsidR="000C1B82">
        <w:t xml:space="preserve"> </w:t>
      </w:r>
      <w:r w:rsidR="00FD41C0">
        <w:t>1</w:t>
      </w:r>
      <w:r w:rsidR="000C1B82">
        <w:t> </w:t>
      </w:r>
      <w:r w:rsidR="00FD41C0">
        <w:t>February 2022 and 2</w:t>
      </w:r>
      <w:r w:rsidR="000C1B82">
        <w:t> </w:t>
      </w:r>
      <w:r w:rsidR="00FD41C0">
        <w:t>February 2022. Sam and David each relied on an affidavit sworn by Sam on 1</w:t>
      </w:r>
      <w:r w:rsidR="00172924">
        <w:t> </w:t>
      </w:r>
      <w:r w:rsidR="00FD41C0">
        <w:t>September 2021, and an affidavit sworn by David on 2</w:t>
      </w:r>
      <w:r w:rsidR="00172924">
        <w:t> </w:t>
      </w:r>
      <w:r w:rsidR="00FD41C0">
        <w:t xml:space="preserve">September 2021. </w:t>
      </w:r>
      <w:r w:rsidR="007F7B43">
        <w:t>Carmelo</w:t>
      </w:r>
      <w:r w:rsidR="00FD41C0">
        <w:t xml:space="preserve"> relied on two affidavits of Mr Hurst sworn 9</w:t>
      </w:r>
      <w:r w:rsidR="00172924">
        <w:t> </w:t>
      </w:r>
      <w:r w:rsidR="00FD41C0">
        <w:t>August 2021 and 21</w:t>
      </w:r>
      <w:r w:rsidR="000D5510">
        <w:t> </w:t>
      </w:r>
      <w:r w:rsidR="00FD41C0">
        <w:t xml:space="preserve">September 2021. </w:t>
      </w:r>
      <w:r w:rsidR="007F7B43">
        <w:t>Carmelo</w:t>
      </w:r>
      <w:r w:rsidR="00284BF6">
        <w:t xml:space="preserve"> </w:t>
      </w:r>
      <w:r w:rsidR="00FD41C0">
        <w:t>also relied on an affidavit sworn by him on 18</w:t>
      </w:r>
      <w:r w:rsidR="00172924">
        <w:t> </w:t>
      </w:r>
      <w:r w:rsidR="00FD41C0">
        <w:t>October 2021, save for paragraphs [15] to [22]</w:t>
      </w:r>
      <w:r w:rsidR="00711915">
        <w:t xml:space="preserve"> and </w:t>
      </w:r>
      <w:r w:rsidR="00FD41C0">
        <w:t>an affidavit sworn by him on 16</w:t>
      </w:r>
      <w:r w:rsidR="00172924">
        <w:t> </w:t>
      </w:r>
      <w:r w:rsidR="00FD41C0">
        <w:t>March 2022</w:t>
      </w:r>
      <w:r w:rsidR="007E0183">
        <w:t xml:space="preserve"> </w:t>
      </w:r>
      <w:r w:rsidR="00FD41C0">
        <w:t>save for paragraphs [4] and [5]</w:t>
      </w:r>
      <w:r w:rsidR="00D651AC">
        <w:t xml:space="preserve">. </w:t>
      </w:r>
      <w:r w:rsidR="00024B25">
        <w:t>There were also a number of documentary exhibits tendered on the application.</w:t>
      </w:r>
    </w:p>
    <w:p w14:paraId="520EEFA3" w14:textId="24865F3C" w:rsidR="00FD41C0" w:rsidRDefault="006D48AC" w:rsidP="006D48AC">
      <w:pPr>
        <w:pStyle w:val="ParaNumbering"/>
        <w:numPr>
          <w:ilvl w:val="0"/>
          <w:numId w:val="0"/>
        </w:numPr>
        <w:ind w:hanging="720"/>
      </w:pPr>
      <w:r>
        <w:rPr>
          <w:sz w:val="20"/>
        </w:rPr>
        <w:t>72</w:t>
      </w:r>
      <w:r>
        <w:rPr>
          <w:sz w:val="20"/>
        </w:rPr>
        <w:tab/>
      </w:r>
      <w:r w:rsidR="00024B25">
        <w:t xml:space="preserve">In </w:t>
      </w:r>
      <w:r w:rsidR="00DB3B74">
        <w:rPr>
          <w:i/>
          <w:iCs/>
        </w:rPr>
        <w:t>Lloyds Curry (No 2)</w:t>
      </w:r>
      <w:r w:rsidR="008902C2">
        <w:t xml:space="preserve">, </w:t>
      </w:r>
      <w:r w:rsidR="00FD41C0">
        <w:t xml:space="preserve">I </w:t>
      </w:r>
      <w:r w:rsidR="008902C2">
        <w:t xml:space="preserve">allowed </w:t>
      </w:r>
      <w:r w:rsidR="00B41561">
        <w:t xml:space="preserve">the applicants to re-open </w:t>
      </w:r>
      <w:r w:rsidR="002A2221">
        <w:t xml:space="preserve">and </w:t>
      </w:r>
      <w:r w:rsidR="00FD41C0">
        <w:t>granted leave for</w:t>
      </w:r>
      <w:r w:rsidR="00FD41C0" w:rsidDel="00AB39A5">
        <w:t xml:space="preserve"> </w:t>
      </w:r>
      <w:r w:rsidR="002A2221">
        <w:t xml:space="preserve">them </w:t>
      </w:r>
      <w:r w:rsidR="00FD41C0">
        <w:t>to rely on additional affidavits</w:t>
      </w:r>
      <w:r w:rsidR="002A2221">
        <w:t xml:space="preserve"> of Mr Hurst</w:t>
      </w:r>
      <w:r w:rsidR="00CD6702">
        <w:t xml:space="preserve"> (multiple)</w:t>
      </w:r>
      <w:r w:rsidR="002A2221">
        <w:t xml:space="preserve"> and Mr Blanc</w:t>
      </w:r>
      <w:r w:rsidR="00F4549A">
        <w:t>h</w:t>
      </w:r>
      <w:r w:rsidR="000F6787">
        <w:t xml:space="preserve">, </w:t>
      </w:r>
      <w:r w:rsidR="000F6787" w:rsidRPr="00453178">
        <w:t>paralegal</w:t>
      </w:r>
      <w:r w:rsidR="0000769C">
        <w:t>,</w:t>
      </w:r>
      <w:r w:rsidR="007A2C8E">
        <w:t xml:space="preserve"> </w:t>
      </w:r>
      <w:r w:rsidR="00FD41C0">
        <w:t xml:space="preserve">in support </w:t>
      </w:r>
      <w:r w:rsidR="00D261D7">
        <w:t>o</w:t>
      </w:r>
      <w:r w:rsidR="00FD41C0">
        <w:t>f the Freezing Order Extension Application</w:t>
      </w:r>
      <w:r w:rsidR="0070759C">
        <w:t xml:space="preserve"> and the Further Disclosure </w:t>
      </w:r>
      <w:r w:rsidR="0083139C">
        <w:t>Application</w:t>
      </w:r>
      <w:r w:rsidR="00742C35">
        <w:t>.</w:t>
      </w:r>
      <w:r w:rsidR="00FD41C0">
        <w:t xml:space="preserve"> </w:t>
      </w:r>
      <w:r w:rsidR="007240BB">
        <w:t xml:space="preserve">My reasons for </w:t>
      </w:r>
      <w:r w:rsidR="003754D1">
        <w:t xml:space="preserve">doing so are </w:t>
      </w:r>
      <w:r w:rsidR="006B28A3">
        <w:t>at</w:t>
      </w:r>
      <w:r w:rsidR="0017282C">
        <w:t xml:space="preserve"> </w:t>
      </w:r>
      <w:r w:rsidR="0017282C">
        <w:rPr>
          <w:i/>
          <w:iCs/>
        </w:rPr>
        <w:t>Lloyds Curry (No 2)</w:t>
      </w:r>
      <w:r w:rsidR="0033448F">
        <w:t xml:space="preserve"> at [20</w:t>
      </w:r>
      <w:r w:rsidR="000B0D28">
        <w:t>].</w:t>
      </w:r>
      <w:r w:rsidR="006B28A3">
        <w:t xml:space="preserve"> </w:t>
      </w:r>
      <w:r w:rsidR="00C148B5">
        <w:t>T</w:t>
      </w:r>
      <w:r w:rsidR="00FD41C0">
        <w:t>hese affidavits relevantly contain evidence of current and historical land title searches</w:t>
      </w:r>
      <w:r w:rsidR="006102C2">
        <w:t xml:space="preserve"> </w:t>
      </w:r>
      <w:r w:rsidR="00FD41C0">
        <w:t xml:space="preserve">and personal name extract searches for Sam and David.  </w:t>
      </w:r>
    </w:p>
    <w:p w14:paraId="220C254C" w14:textId="77777777" w:rsidR="00FD41C0" w:rsidRDefault="00FD41C0" w:rsidP="00FD41C0">
      <w:pPr>
        <w:pStyle w:val="Heading2"/>
      </w:pPr>
      <w:r>
        <w:t>Legal Principles</w:t>
      </w:r>
    </w:p>
    <w:p w14:paraId="46FF895C" w14:textId="0E45BD93" w:rsidR="00FD41C0" w:rsidRDefault="006D48AC" w:rsidP="006D48AC">
      <w:pPr>
        <w:pStyle w:val="ParaNumbering"/>
        <w:keepNext/>
        <w:numPr>
          <w:ilvl w:val="0"/>
          <w:numId w:val="0"/>
        </w:numPr>
        <w:ind w:hanging="720"/>
      </w:pPr>
      <w:r>
        <w:rPr>
          <w:sz w:val="20"/>
        </w:rPr>
        <w:t>73</w:t>
      </w:r>
      <w:r>
        <w:rPr>
          <w:sz w:val="20"/>
        </w:rPr>
        <w:tab/>
      </w:r>
      <w:r w:rsidR="00FD41C0">
        <w:t>Rule 7.32 of the Rules provides:</w:t>
      </w:r>
    </w:p>
    <w:p w14:paraId="54456377" w14:textId="77777777" w:rsidR="00FD41C0" w:rsidRPr="00967921" w:rsidRDefault="00FD41C0" w:rsidP="0000769C">
      <w:pPr>
        <w:pStyle w:val="Quote1"/>
        <w:keepNext/>
        <w:rPr>
          <w:b/>
        </w:rPr>
      </w:pPr>
      <w:r w:rsidRPr="00967921">
        <w:rPr>
          <w:b/>
        </w:rPr>
        <w:t>Freezing order</w:t>
      </w:r>
    </w:p>
    <w:p w14:paraId="0505AC4B" w14:textId="77777777" w:rsidR="00FD41C0" w:rsidRPr="00967921" w:rsidRDefault="00FD41C0" w:rsidP="00FD41C0">
      <w:pPr>
        <w:pStyle w:val="Quote1"/>
        <w:ind w:left="1440" w:hanging="703"/>
      </w:pPr>
      <w:r>
        <w:t>(1)</w:t>
      </w:r>
      <w:r>
        <w:tab/>
      </w:r>
      <w:r w:rsidRPr="00967921">
        <w:t xml:space="preserve">The Court may make an order (a </w:t>
      </w:r>
      <w:r w:rsidRPr="00714528">
        <w:rPr>
          <w:b/>
          <w:i/>
        </w:rPr>
        <w:t>freezing order</w:t>
      </w:r>
      <w:r w:rsidRPr="00967921">
        <w:t>), with or without notice to a respondent, for the purpose of preventing the frustration or inhibition of the Court</w:t>
      </w:r>
      <w:r>
        <w:t>’</w:t>
      </w:r>
      <w:r w:rsidRPr="00967921">
        <w:t>s process by seeking to meet a danger that a judgment or prospective judgment of the Court will be wholly or partly unsatisfied.</w:t>
      </w:r>
    </w:p>
    <w:p w14:paraId="45AF677A" w14:textId="77777777" w:rsidR="00FD41C0" w:rsidRPr="00967921" w:rsidRDefault="00FD41C0" w:rsidP="00FD41C0">
      <w:pPr>
        <w:pStyle w:val="Quote1"/>
        <w:ind w:left="1440" w:hanging="703"/>
      </w:pPr>
      <w:r w:rsidRPr="00967921">
        <w:t>(2</w:t>
      </w:r>
      <w:r>
        <w:t xml:space="preserve">) </w:t>
      </w:r>
      <w:r>
        <w:tab/>
      </w:r>
      <w:r w:rsidRPr="00967921">
        <w:t>A freezing order may be an order restraining a respondent from removing any assets located in or outside Australia or from disposing of, dealing with, or diminishing the value of, those assets.</w:t>
      </w:r>
    </w:p>
    <w:p w14:paraId="75218FEE" w14:textId="77777777" w:rsidR="00FD41C0" w:rsidRPr="00714528" w:rsidRDefault="00FD41C0" w:rsidP="003C0C4A">
      <w:pPr>
        <w:pStyle w:val="Quote2"/>
        <w:rPr>
          <w:sz w:val="20"/>
          <w:szCs w:val="18"/>
        </w:rPr>
      </w:pPr>
      <w:r w:rsidRPr="00714528">
        <w:rPr>
          <w:sz w:val="20"/>
          <w:szCs w:val="18"/>
        </w:rPr>
        <w:t xml:space="preserve">Note:          </w:t>
      </w:r>
      <w:r w:rsidRPr="00714528">
        <w:rPr>
          <w:b/>
          <w:i/>
          <w:sz w:val="20"/>
          <w:szCs w:val="18"/>
        </w:rPr>
        <w:t>Without notice</w:t>
      </w:r>
      <w:r w:rsidRPr="00714528">
        <w:rPr>
          <w:sz w:val="20"/>
          <w:szCs w:val="18"/>
        </w:rPr>
        <w:t xml:space="preserve"> is defined in the Dictionary.</w:t>
      </w:r>
    </w:p>
    <w:p w14:paraId="239B8AC9" w14:textId="7BEEABE7" w:rsidR="00FD41C0" w:rsidRDefault="006D48AC" w:rsidP="006D48AC">
      <w:pPr>
        <w:pStyle w:val="ParaNumbering"/>
        <w:keepNext/>
        <w:keepLines/>
        <w:numPr>
          <w:ilvl w:val="0"/>
          <w:numId w:val="0"/>
        </w:numPr>
        <w:ind w:hanging="720"/>
      </w:pPr>
      <w:r>
        <w:rPr>
          <w:sz w:val="20"/>
        </w:rPr>
        <w:t>74</w:t>
      </w:r>
      <w:r>
        <w:rPr>
          <w:sz w:val="20"/>
        </w:rPr>
        <w:tab/>
      </w:r>
      <w:r w:rsidR="00FD41C0">
        <w:t>Rule 7.33 of the Rules provides:</w:t>
      </w:r>
    </w:p>
    <w:p w14:paraId="2127F519" w14:textId="77777777" w:rsidR="00FD41C0" w:rsidRPr="00967921" w:rsidRDefault="00FD41C0" w:rsidP="00260423">
      <w:pPr>
        <w:pStyle w:val="Quote1"/>
        <w:keepNext/>
        <w:keepLines/>
        <w:widowControl/>
        <w:rPr>
          <w:b/>
        </w:rPr>
      </w:pPr>
      <w:r w:rsidRPr="00967921">
        <w:rPr>
          <w:b/>
        </w:rPr>
        <w:t>Ancillary order</w:t>
      </w:r>
    </w:p>
    <w:p w14:paraId="14F27CC7" w14:textId="36ACA0D9" w:rsidR="00FD41C0" w:rsidRDefault="00FD41C0" w:rsidP="00260423">
      <w:pPr>
        <w:pStyle w:val="Quote1"/>
        <w:keepNext/>
        <w:keepLines/>
        <w:widowControl/>
        <w:ind w:left="1440" w:hanging="703"/>
      </w:pPr>
      <w:r w:rsidRPr="00967921">
        <w:t>(</w:t>
      </w:r>
      <w:r>
        <w:t>1)</w:t>
      </w:r>
      <w:r>
        <w:tab/>
        <w:t xml:space="preserve">The Court may make an order (an </w:t>
      </w:r>
      <w:r w:rsidRPr="005708AF">
        <w:rPr>
          <w:b/>
          <w:i/>
        </w:rPr>
        <w:t>ancillary order</w:t>
      </w:r>
      <w:r>
        <w:t>) ancillary to a freezing order or prospective freezing order as the Court considers appropriate.</w:t>
      </w:r>
    </w:p>
    <w:p w14:paraId="35A996B7" w14:textId="77777777" w:rsidR="00FD41C0" w:rsidRDefault="00FD41C0" w:rsidP="00FD41C0">
      <w:pPr>
        <w:pStyle w:val="Quote1"/>
        <w:ind w:left="1440" w:hanging="703"/>
      </w:pPr>
      <w:r>
        <w:t>(2)</w:t>
      </w:r>
      <w:r>
        <w:tab/>
        <w:t>Without limiting the generality of subrule (1), an ancillary order may be made for either or both of the following purposes:</w:t>
      </w:r>
    </w:p>
    <w:p w14:paraId="4607BBB4" w14:textId="4A94B4A1" w:rsidR="00FD41C0" w:rsidRDefault="00FD41C0" w:rsidP="00A33D3E">
      <w:pPr>
        <w:pStyle w:val="Quote2"/>
        <w:ind w:left="2160" w:hanging="720"/>
      </w:pPr>
      <w:r>
        <w:t>(a)</w:t>
      </w:r>
      <w:r>
        <w:tab/>
        <w:t>eliciting information relating to assets relevant to the freezing order or prospective freezing order;</w:t>
      </w:r>
    </w:p>
    <w:p w14:paraId="31B8BE56" w14:textId="45E25EA1" w:rsidR="00FD41C0" w:rsidRDefault="00FD41C0" w:rsidP="00A33D3E">
      <w:pPr>
        <w:pStyle w:val="Quote2"/>
        <w:ind w:left="2160" w:hanging="720"/>
      </w:pPr>
      <w:r>
        <w:t>(b)</w:t>
      </w:r>
      <w:r>
        <w:tab/>
        <w:t>determining whether the freezing order should be made.</w:t>
      </w:r>
    </w:p>
    <w:p w14:paraId="176AA9D5" w14:textId="771501B0" w:rsidR="00FD41C0" w:rsidRDefault="006D48AC" w:rsidP="006D48AC">
      <w:pPr>
        <w:pStyle w:val="ParaNumbering"/>
        <w:numPr>
          <w:ilvl w:val="0"/>
          <w:numId w:val="0"/>
        </w:numPr>
        <w:ind w:hanging="720"/>
      </w:pPr>
      <w:r>
        <w:rPr>
          <w:sz w:val="20"/>
        </w:rPr>
        <w:lastRenderedPageBreak/>
        <w:t>75</w:t>
      </w:r>
      <w:r>
        <w:rPr>
          <w:sz w:val="20"/>
        </w:rPr>
        <w:tab/>
      </w:r>
      <w:r w:rsidR="00FD41C0">
        <w:t xml:space="preserve">There </w:t>
      </w:r>
      <w:r w:rsidR="00D4189B">
        <w:t>was</w:t>
      </w:r>
      <w:r w:rsidR="00FD41C0">
        <w:t xml:space="preserve"> no debate </w:t>
      </w:r>
      <w:r w:rsidR="00D4189B">
        <w:t>on the</w:t>
      </w:r>
      <w:r w:rsidR="00FD41C0">
        <w:t xml:space="preserve"> applicable principles </w:t>
      </w:r>
      <w:r w:rsidR="0083139C">
        <w:t xml:space="preserve">in relation to </w:t>
      </w:r>
      <w:r w:rsidR="00880D34">
        <w:t xml:space="preserve">the continuance of the freezing orders </w:t>
      </w:r>
      <w:r w:rsidR="00FD41C0">
        <w:t xml:space="preserve">which </w:t>
      </w:r>
      <w:r w:rsidR="0021036C">
        <w:t>are</w:t>
      </w:r>
      <w:r w:rsidR="00FD41C0">
        <w:t xml:space="preserve"> summarised in </w:t>
      </w:r>
      <w:r w:rsidR="0021036C" w:rsidRPr="00861BEF">
        <w:rPr>
          <w:i/>
          <w:iCs/>
        </w:rPr>
        <w:t>Lloyds Curry</w:t>
      </w:r>
      <w:r w:rsidR="00FD41C0" w:rsidRPr="009F3AC2">
        <w:t xml:space="preserve"> </w:t>
      </w:r>
      <w:r w:rsidR="00FD41C0">
        <w:t xml:space="preserve">at [22] to [28] and </w:t>
      </w:r>
      <w:r w:rsidR="00FD41C0" w:rsidRPr="00B8427C">
        <w:rPr>
          <w:i/>
        </w:rPr>
        <w:t>Nicols as trustee of the bankrupt estate of Manietta v Manietta, in the matter of Manietta</w:t>
      </w:r>
      <w:r w:rsidR="00FD41C0" w:rsidRPr="002D2661">
        <w:t xml:space="preserve"> [2022] FCA </w:t>
      </w:r>
      <w:r w:rsidR="00FD41C0">
        <w:t>39</w:t>
      </w:r>
      <w:r w:rsidR="00FD41C0" w:rsidRPr="002D2661">
        <w:t xml:space="preserve"> at [47]</w:t>
      </w:r>
      <w:r w:rsidR="00FD41C0">
        <w:t xml:space="preserve"> to [</w:t>
      </w:r>
      <w:r w:rsidR="00ED7E74">
        <w:t>52</w:t>
      </w:r>
      <w:r w:rsidR="00FD41C0">
        <w:t>]</w:t>
      </w:r>
      <w:r w:rsidR="0021036C">
        <w:t xml:space="preserve">. I apply those principles </w:t>
      </w:r>
      <w:r w:rsidR="00484552">
        <w:t>here.</w:t>
      </w:r>
      <w:r w:rsidR="00FD41C0">
        <w:t xml:space="preserve"> </w:t>
      </w:r>
    </w:p>
    <w:p w14:paraId="37CA4EA4" w14:textId="33FC74AE" w:rsidR="003C34FF" w:rsidRDefault="006D48AC" w:rsidP="006D48AC">
      <w:pPr>
        <w:pStyle w:val="ParaNumbering"/>
        <w:numPr>
          <w:ilvl w:val="0"/>
          <w:numId w:val="0"/>
        </w:numPr>
        <w:ind w:hanging="720"/>
      </w:pPr>
      <w:r>
        <w:rPr>
          <w:sz w:val="20"/>
        </w:rPr>
        <w:t>76</w:t>
      </w:r>
      <w:r>
        <w:rPr>
          <w:sz w:val="20"/>
        </w:rPr>
        <w:tab/>
      </w:r>
      <w:r w:rsidR="003C34FF">
        <w:t xml:space="preserve">As mentioned, the application is in effect the </w:t>
      </w:r>
      <w:r w:rsidR="003C34FF">
        <w:rPr>
          <w:i/>
          <w:iCs/>
        </w:rPr>
        <w:t xml:space="preserve">inter partes </w:t>
      </w:r>
      <w:r w:rsidR="003C34FF">
        <w:t xml:space="preserve">return in respect of </w:t>
      </w:r>
      <w:r w:rsidR="003C34FF">
        <w:rPr>
          <w:i/>
          <w:iCs/>
        </w:rPr>
        <w:t xml:space="preserve">ex parte </w:t>
      </w:r>
      <w:r w:rsidR="003C34FF">
        <w:t xml:space="preserve">freezing orders. As such, the applicants bear the onus.  </w:t>
      </w:r>
    </w:p>
    <w:p w14:paraId="4A2770D9" w14:textId="52377125" w:rsidR="00526604" w:rsidRDefault="006D48AC" w:rsidP="006D48AC">
      <w:pPr>
        <w:pStyle w:val="ParaNumbering"/>
        <w:numPr>
          <w:ilvl w:val="0"/>
          <w:numId w:val="0"/>
        </w:numPr>
        <w:ind w:hanging="720"/>
      </w:pPr>
      <w:r>
        <w:rPr>
          <w:sz w:val="20"/>
        </w:rPr>
        <w:t>77</w:t>
      </w:r>
      <w:r>
        <w:rPr>
          <w:sz w:val="20"/>
        </w:rPr>
        <w:tab/>
      </w:r>
      <w:r w:rsidR="00E63024">
        <w:t>In their</w:t>
      </w:r>
      <w:r w:rsidR="00C54635">
        <w:t xml:space="preserve"> belated application for additional asset disclosure</w:t>
      </w:r>
      <w:r w:rsidR="00137E66">
        <w:t xml:space="preserve"> orders</w:t>
      </w:r>
      <w:r w:rsidR="00C54635">
        <w:t xml:space="preserve">, </w:t>
      </w:r>
      <w:r w:rsidR="0042075A">
        <w:t xml:space="preserve">the applicants </w:t>
      </w:r>
      <w:r w:rsidR="00572CD4">
        <w:t xml:space="preserve">relevantly </w:t>
      </w:r>
      <w:r w:rsidR="0042075A">
        <w:t>seek the orders</w:t>
      </w:r>
      <w:r w:rsidR="00F967C2">
        <w:t xml:space="preserve"> in respect of each of Sam and David p</w:t>
      </w:r>
      <w:r w:rsidR="00F967C2" w:rsidRPr="00A1251E">
        <w:t xml:space="preserve">ursuant to </w:t>
      </w:r>
      <w:r w:rsidR="00F967C2">
        <w:t>r</w:t>
      </w:r>
      <w:r w:rsidR="00F967C2" w:rsidRPr="00A1251E">
        <w:t xml:space="preserve"> 7.33(1) of the </w:t>
      </w:r>
      <w:r w:rsidR="00F967C2" w:rsidRPr="00526604">
        <w:rPr>
          <w:i/>
          <w:iCs/>
        </w:rPr>
        <w:t>Rules</w:t>
      </w:r>
      <w:r w:rsidR="00F967C2" w:rsidRPr="00A1251E">
        <w:t xml:space="preserve">, </w:t>
      </w:r>
      <w:r w:rsidR="00E63024">
        <w:t>that they each</w:t>
      </w:r>
      <w:r w:rsidR="00F967C2" w:rsidRPr="00A1251E">
        <w:t xml:space="preserve"> be ordered to swear a further affidavit in compliance with </w:t>
      </w:r>
      <w:r w:rsidR="00526604">
        <w:t xml:space="preserve">asset disclosure </w:t>
      </w:r>
      <w:r w:rsidR="00F967C2" w:rsidRPr="00A1251E">
        <w:t xml:space="preserve">orders </w:t>
      </w:r>
      <w:r w:rsidR="00526604">
        <w:t>previously made.</w:t>
      </w:r>
      <w:r w:rsidR="00903C13">
        <w:t xml:space="preserve"> </w:t>
      </w:r>
      <w:r w:rsidR="00CD79E5">
        <w:t>Despite undertaking to do so, t</w:t>
      </w:r>
      <w:r w:rsidR="00130F4B">
        <w:t xml:space="preserve">he applicants did not </w:t>
      </w:r>
      <w:r w:rsidR="00CD79E5">
        <w:t>identify</w:t>
      </w:r>
      <w:r w:rsidR="00CC7C07">
        <w:t xml:space="preserve"> any authority </w:t>
      </w:r>
      <w:r w:rsidR="00CD79E5">
        <w:t xml:space="preserve">to support </w:t>
      </w:r>
      <w:r w:rsidR="00FA2F2B">
        <w:t>their application</w:t>
      </w:r>
      <w:r w:rsidR="0072296E">
        <w:t xml:space="preserve"> to in effect </w:t>
      </w:r>
      <w:r w:rsidR="00B059F7">
        <w:t xml:space="preserve">bootstrap the orders already made, instead of </w:t>
      </w:r>
      <w:r w:rsidR="007C32F3">
        <w:t>initiating a contempt</w:t>
      </w:r>
      <w:r w:rsidR="00EA7614">
        <w:t xml:space="preserve"> proceeding</w:t>
      </w:r>
      <w:r w:rsidR="00B141A3">
        <w:t xml:space="preserve">. </w:t>
      </w:r>
    </w:p>
    <w:p w14:paraId="168BD648" w14:textId="77777777" w:rsidR="00FD41C0" w:rsidRDefault="00FD41C0" w:rsidP="00FD41C0">
      <w:pPr>
        <w:pStyle w:val="Heading2"/>
      </w:pPr>
      <w:r>
        <w:t>Consideration</w:t>
      </w:r>
    </w:p>
    <w:p w14:paraId="05A45890" w14:textId="196B3C6F" w:rsidR="00DB2389" w:rsidRPr="00185A2E" w:rsidRDefault="006D7576" w:rsidP="00185A2E">
      <w:pPr>
        <w:pStyle w:val="Heading3"/>
      </w:pPr>
      <w:r>
        <w:t xml:space="preserve">Application for further disclosure pursuant to </w:t>
      </w:r>
      <w:r w:rsidR="0041732D">
        <w:t>existing asset disclosure orders</w:t>
      </w:r>
    </w:p>
    <w:p w14:paraId="5AF05D5A" w14:textId="3408D746" w:rsidR="00CF280A" w:rsidRDefault="006D48AC" w:rsidP="006D48AC">
      <w:pPr>
        <w:pStyle w:val="ParaNumbering"/>
        <w:numPr>
          <w:ilvl w:val="0"/>
          <w:numId w:val="0"/>
        </w:numPr>
        <w:ind w:hanging="720"/>
      </w:pPr>
      <w:r>
        <w:rPr>
          <w:sz w:val="20"/>
        </w:rPr>
        <w:t>78</w:t>
      </w:r>
      <w:r>
        <w:rPr>
          <w:sz w:val="20"/>
        </w:rPr>
        <w:tab/>
      </w:r>
      <w:r w:rsidR="001B4D16">
        <w:t xml:space="preserve">It is necessary to first address </w:t>
      </w:r>
      <w:r w:rsidR="004F71A3">
        <w:t>the application for further disclosure.</w:t>
      </w:r>
      <w:r w:rsidR="00FD41C0" w:rsidDel="001B4D16">
        <w:t xml:space="preserve"> </w:t>
      </w:r>
      <w:r w:rsidR="006F4098">
        <w:t xml:space="preserve">The applicants seek an order against each of Sam and David that they </w:t>
      </w:r>
      <w:r w:rsidR="00EB433C">
        <w:t xml:space="preserve">each </w:t>
      </w:r>
      <w:r w:rsidR="00EB433C" w:rsidRPr="00EB433C">
        <w:t xml:space="preserve">swear a further affidavit in compliance </w:t>
      </w:r>
      <w:r w:rsidR="00EB433C">
        <w:t>with the</w:t>
      </w:r>
      <w:r w:rsidR="00EB433C" w:rsidRPr="00EB433C">
        <w:t xml:space="preserve"> orders </w:t>
      </w:r>
      <w:r w:rsidR="00EB433C">
        <w:t>previously</w:t>
      </w:r>
      <w:r w:rsidR="00EB433C" w:rsidRPr="00EB433C">
        <w:t xml:space="preserve"> made on 9</w:t>
      </w:r>
      <w:r w:rsidR="009275C8">
        <w:t> </w:t>
      </w:r>
      <w:r w:rsidR="00EB433C" w:rsidRPr="00EB433C">
        <w:t>August 2021</w:t>
      </w:r>
      <w:r w:rsidR="00AC2691">
        <w:t>.</w:t>
      </w:r>
      <w:r w:rsidR="00975EC0">
        <w:t xml:space="preserve"> </w:t>
      </w:r>
      <w:r w:rsidR="00090470">
        <w:t xml:space="preserve">The relevant </w:t>
      </w:r>
      <w:r w:rsidR="00707B08">
        <w:t xml:space="preserve">asset disclosure </w:t>
      </w:r>
      <w:r w:rsidR="00090470">
        <w:t>orders</w:t>
      </w:r>
      <w:r w:rsidR="00B8597C">
        <w:t>, previously made,</w:t>
      </w:r>
      <w:r w:rsidR="00090470">
        <w:t xml:space="preserve"> </w:t>
      </w:r>
      <w:r w:rsidR="00272A57">
        <w:t>against Sam and David were</w:t>
      </w:r>
      <w:r w:rsidR="002A6EAB">
        <w:t xml:space="preserve"> substantially</w:t>
      </w:r>
      <w:r w:rsidR="00272A57">
        <w:t xml:space="preserve"> in identical form</w:t>
      </w:r>
      <w:r w:rsidR="002A6EAB">
        <w:t xml:space="preserve"> as extracted below with order 7(a)(ii) being made against David only:</w:t>
      </w:r>
      <w:r w:rsidR="00272A57">
        <w:t xml:space="preserve"> </w:t>
      </w:r>
    </w:p>
    <w:p w14:paraId="252F74CF" w14:textId="77777777" w:rsidR="001D6544" w:rsidRPr="00A72064" w:rsidRDefault="001D6544" w:rsidP="001D6544">
      <w:pPr>
        <w:pStyle w:val="Quote1"/>
        <w:rPr>
          <w:b/>
        </w:rPr>
      </w:pPr>
      <w:r w:rsidRPr="00A72064">
        <w:rPr>
          <w:b/>
        </w:rPr>
        <w:t>PROVISION OF INFORMATION</w:t>
      </w:r>
    </w:p>
    <w:p w14:paraId="28A0FE3F" w14:textId="49C3D931" w:rsidR="001D6544" w:rsidRDefault="001D6544" w:rsidP="001D6544">
      <w:pPr>
        <w:pStyle w:val="Quote1"/>
      </w:pPr>
      <w:r>
        <w:t>(7)</w:t>
      </w:r>
      <w:r w:rsidR="0088485F">
        <w:tab/>
      </w:r>
      <w:r>
        <w:t>Subject to paragraph 9, you must:</w:t>
      </w:r>
    </w:p>
    <w:p w14:paraId="43467095" w14:textId="797019E5" w:rsidR="001D6544" w:rsidRDefault="001D6544" w:rsidP="00A72064">
      <w:pPr>
        <w:pStyle w:val="Quote2"/>
        <w:ind w:left="2160" w:hanging="720"/>
      </w:pPr>
      <w:r>
        <w:t>(a)</w:t>
      </w:r>
      <w:r w:rsidR="00A51D8A">
        <w:tab/>
      </w:r>
      <w:r>
        <w:t>at or before the further hearing on the Return Date (or within such further time as the Court may allow) to the best of your ability inform the applicants in writing of:</w:t>
      </w:r>
    </w:p>
    <w:p w14:paraId="0059D8BA" w14:textId="5C9E5203" w:rsidR="001D6544" w:rsidRDefault="001D6544" w:rsidP="00A33D3E">
      <w:pPr>
        <w:pStyle w:val="Quote3"/>
        <w:ind w:left="2880" w:hanging="720"/>
      </w:pPr>
      <w:r>
        <w:t>(i)</w:t>
      </w:r>
      <w:r w:rsidR="00A51D8A">
        <w:tab/>
      </w:r>
      <w:r>
        <w:t>all your assets in Australia, giving their value, location and details (including any mortgages, charges or other encumbrances to which they are subject) and the extent of your interest in the assets;</w:t>
      </w:r>
    </w:p>
    <w:p w14:paraId="11DC0DD2" w14:textId="40BD259D" w:rsidR="001D6544" w:rsidRDefault="001D6544" w:rsidP="00A33D3E">
      <w:pPr>
        <w:pStyle w:val="Quote3"/>
        <w:ind w:left="2880" w:hanging="720"/>
      </w:pPr>
      <w:r>
        <w:t>(ii)</w:t>
      </w:r>
      <w:r w:rsidR="00A51D8A">
        <w:tab/>
      </w:r>
      <w:r>
        <w:t>the current location of funds transferred to the Fourth Respondent, Reliance Financial Services Pty Ltd, on 18 August 2015 in the amount of $780,702.53, and if the current location of the funds is not known to you, details as to where and when those funds were paid or used, and for what purpose.</w:t>
      </w:r>
    </w:p>
    <w:p w14:paraId="420AF83F" w14:textId="3358E0C9" w:rsidR="001D6544" w:rsidRDefault="001D6544" w:rsidP="00A72064">
      <w:pPr>
        <w:pStyle w:val="Quote2"/>
        <w:ind w:left="2160" w:hanging="720"/>
      </w:pPr>
      <w:r>
        <w:t>(b)</w:t>
      </w:r>
      <w:r w:rsidR="00A51D8A">
        <w:tab/>
      </w:r>
      <w:r>
        <w:t>Within 10 working days after being served with this order, swear and serve on the Applicants an affidavit setting out the above information.</w:t>
      </w:r>
    </w:p>
    <w:p w14:paraId="39E2719E" w14:textId="48511BDB" w:rsidR="001D6544" w:rsidRDefault="001D6544" w:rsidP="005667B9">
      <w:pPr>
        <w:pStyle w:val="Quote1"/>
        <w:ind w:left="2160" w:hanging="1423"/>
      </w:pPr>
      <w:r>
        <w:lastRenderedPageBreak/>
        <w:t>(8)</w:t>
      </w:r>
      <w:r w:rsidR="008666EF">
        <w:t xml:space="preserve">        </w:t>
      </w:r>
      <w:r>
        <w:t>(a)</w:t>
      </w:r>
      <w:r w:rsidR="00A51D8A">
        <w:tab/>
      </w:r>
      <w:r>
        <w:t>This paragraph (8) also applies if you are a corporation and all of the persons who are able to comply with paragraphs 9 and 10 on your behalf and with whom you have been able to communicate, wish to object to your complying with paragraphs 9 and 10 on the grounds that some or all of the information required to be disclosed may tend to prove that they respectively:</w:t>
      </w:r>
    </w:p>
    <w:p w14:paraId="3F2D998F" w14:textId="46D2AD53" w:rsidR="001D6544" w:rsidRDefault="001D6544" w:rsidP="005667B9">
      <w:pPr>
        <w:pStyle w:val="Quote3"/>
        <w:ind w:left="2880" w:hanging="720"/>
      </w:pPr>
      <w:r>
        <w:t>(i)</w:t>
      </w:r>
      <w:r w:rsidR="00F132AF">
        <w:tab/>
      </w:r>
      <w:r>
        <w:t>have committed an offence against or arising under an Australian law or a law of a foreign country; or</w:t>
      </w:r>
    </w:p>
    <w:p w14:paraId="5368D0A6" w14:textId="2CE11F00" w:rsidR="001D6544" w:rsidRDefault="001D6544" w:rsidP="00A72064">
      <w:pPr>
        <w:pStyle w:val="Quote3"/>
      </w:pPr>
      <w:r>
        <w:t>(ii)</w:t>
      </w:r>
      <w:r w:rsidR="00F132AF">
        <w:tab/>
      </w:r>
      <w:r>
        <w:t>are liable to a civil penalty.</w:t>
      </w:r>
    </w:p>
    <w:p w14:paraId="77195801" w14:textId="1B503101" w:rsidR="001D6544" w:rsidRDefault="001D6544" w:rsidP="00A72064">
      <w:pPr>
        <w:pStyle w:val="Quote2"/>
      </w:pPr>
      <w:r>
        <w:t>(b)</w:t>
      </w:r>
      <w:r w:rsidR="00F132AF">
        <w:tab/>
      </w:r>
      <w:r>
        <w:t>You must:</w:t>
      </w:r>
    </w:p>
    <w:p w14:paraId="2B15CA33" w14:textId="6E74C3C2" w:rsidR="00CB271D" w:rsidRDefault="001D6544" w:rsidP="00A72064">
      <w:pPr>
        <w:pStyle w:val="Quote3"/>
        <w:ind w:left="2880" w:hanging="720"/>
      </w:pPr>
      <w:r>
        <w:t>(i)</w:t>
      </w:r>
      <w:r w:rsidR="00F132AF">
        <w:tab/>
      </w:r>
      <w:r>
        <w:t>disclose so much of the information required to be disclosed to which no objection is taken; and</w:t>
      </w:r>
    </w:p>
    <w:p w14:paraId="2921A4E2" w14:textId="1086E5DC" w:rsidR="0088485F" w:rsidRDefault="0088485F" w:rsidP="00A72064">
      <w:pPr>
        <w:pStyle w:val="Quote3"/>
        <w:ind w:left="2880" w:hanging="720"/>
      </w:pPr>
      <w:r>
        <w:t>(ii)</w:t>
      </w:r>
      <w:r w:rsidR="00F132AF">
        <w:tab/>
      </w:r>
      <w:r>
        <w:t>prepare an affidavit containing so much of the information required to be disclosed to which objection is taken, and deliver it to the Court in a sealed envelope; and</w:t>
      </w:r>
    </w:p>
    <w:p w14:paraId="1A8186F9" w14:textId="222CF07B" w:rsidR="0088485F" w:rsidRDefault="0088485F" w:rsidP="00A72064">
      <w:pPr>
        <w:pStyle w:val="Quote3"/>
        <w:ind w:left="2880" w:hanging="720"/>
      </w:pPr>
      <w:r>
        <w:t>(iii)</w:t>
      </w:r>
      <w:r w:rsidR="00F132AF">
        <w:tab/>
      </w:r>
      <w:r>
        <w:t>file and serve on each other party a separate affidavit setting out the basis of the objection.</w:t>
      </w:r>
    </w:p>
    <w:p w14:paraId="4095E4FC" w14:textId="17E7D5FC" w:rsidR="004C1A65" w:rsidRPr="00F512DC" w:rsidRDefault="006D48AC" w:rsidP="006D48AC">
      <w:pPr>
        <w:pStyle w:val="ParaNumbering"/>
        <w:numPr>
          <w:ilvl w:val="0"/>
          <w:numId w:val="0"/>
        </w:numPr>
        <w:ind w:hanging="720"/>
      </w:pPr>
      <w:r w:rsidRPr="00F512DC">
        <w:rPr>
          <w:sz w:val="20"/>
        </w:rPr>
        <w:t>79</w:t>
      </w:r>
      <w:r w:rsidRPr="00F512DC">
        <w:rPr>
          <w:sz w:val="20"/>
        </w:rPr>
        <w:tab/>
      </w:r>
      <w:r w:rsidR="00F9011B" w:rsidRPr="00F512DC">
        <w:t xml:space="preserve">The form of the order </w:t>
      </w:r>
      <w:r w:rsidR="00920E65" w:rsidRPr="00F512DC">
        <w:t>appears to be drawn directly from Annexure A</w:t>
      </w:r>
      <w:r w:rsidR="005B111B" w:rsidRPr="00F512DC">
        <w:t xml:space="preserve"> of GPN-FRZG which provides sample freezing orders.</w:t>
      </w:r>
      <w:r w:rsidR="00920E65" w:rsidRPr="00F512DC">
        <w:t xml:space="preserve"> </w:t>
      </w:r>
    </w:p>
    <w:p w14:paraId="3D4948EC" w14:textId="6A1A8EDE" w:rsidR="004F71A3" w:rsidRDefault="006D48AC" w:rsidP="006D48AC">
      <w:pPr>
        <w:pStyle w:val="ParaNumbering"/>
        <w:numPr>
          <w:ilvl w:val="0"/>
          <w:numId w:val="0"/>
        </w:numPr>
        <w:ind w:hanging="720"/>
      </w:pPr>
      <w:r>
        <w:rPr>
          <w:sz w:val="20"/>
        </w:rPr>
        <w:t>80</w:t>
      </w:r>
      <w:r>
        <w:rPr>
          <w:sz w:val="20"/>
        </w:rPr>
        <w:tab/>
      </w:r>
      <w:r w:rsidR="001B4D16">
        <w:t>The</w:t>
      </w:r>
      <w:r w:rsidR="004F71A3">
        <w:t xml:space="preserve"> applicants</w:t>
      </w:r>
      <w:r w:rsidR="001B4D16">
        <w:t xml:space="preserve"> submit, without reference to authority, that it is open for them to seek a further order for asset disclosure in circumstances where they did not </w:t>
      </w:r>
      <w:r w:rsidR="00F512DC">
        <w:t xml:space="preserve">persist in their application to </w:t>
      </w:r>
      <w:r w:rsidR="001B4D16">
        <w:t>cross-examine Sam and David on the affidavits given in response to the existing asset disclosure orders, and ha</w:t>
      </w:r>
      <w:r w:rsidR="004F71A3">
        <w:t>ve</w:t>
      </w:r>
      <w:r w:rsidR="001B4D16">
        <w:t xml:space="preserve"> not assumed the burden of bringing proceedings for contempt.</w:t>
      </w:r>
      <w:r w:rsidR="001B4D16" w:rsidDel="00AC2691">
        <w:t xml:space="preserve"> </w:t>
      </w:r>
      <w:r w:rsidR="001B4D16">
        <w:t>In their submissions in reply, again without reference to authority, the applicants submit that t</w:t>
      </w:r>
      <w:r w:rsidR="001B4D16" w:rsidRPr="00AA445C">
        <w:t xml:space="preserve">he </w:t>
      </w:r>
      <w:r w:rsidR="001B4D16">
        <w:t>“</w:t>
      </w:r>
      <w:r w:rsidR="001B4D16" w:rsidRPr="00AA445C">
        <w:t>question to be answered is whether, based on the evidence, it is in the interests of justice for further disclosure to be ordered</w:t>
      </w:r>
      <w:r w:rsidR="001B4D16">
        <w:t>”</w:t>
      </w:r>
      <w:r w:rsidR="0067765E">
        <w:t xml:space="preserve"> in respect of the orders alread</w:t>
      </w:r>
      <w:r w:rsidR="003D1A80">
        <w:t>y made</w:t>
      </w:r>
      <w:r w:rsidR="001B4D16">
        <w:t xml:space="preserve">.  </w:t>
      </w:r>
    </w:p>
    <w:p w14:paraId="70559B77" w14:textId="3CA391BB" w:rsidR="00FD41C0" w:rsidRDefault="006D48AC" w:rsidP="006D48AC">
      <w:pPr>
        <w:pStyle w:val="ParaNumbering"/>
        <w:numPr>
          <w:ilvl w:val="0"/>
          <w:numId w:val="0"/>
        </w:numPr>
        <w:ind w:hanging="720"/>
      </w:pPr>
      <w:r>
        <w:rPr>
          <w:sz w:val="20"/>
        </w:rPr>
        <w:t>81</w:t>
      </w:r>
      <w:r>
        <w:rPr>
          <w:sz w:val="20"/>
        </w:rPr>
        <w:tab/>
      </w:r>
      <w:r w:rsidR="001B4D16">
        <w:t xml:space="preserve">Sam and David submit that </w:t>
      </w:r>
      <w:r w:rsidR="001B4D16" w:rsidRPr="000B4ED7">
        <w:t xml:space="preserve">the application for orders to have </w:t>
      </w:r>
      <w:r w:rsidR="006F6DC5">
        <w:t>them</w:t>
      </w:r>
      <w:r w:rsidR="001B4D16" w:rsidRPr="000B4ED7">
        <w:t xml:space="preserve"> file further affidavits is the continuation of a pattern of a lack of proportionate conduct of the proceeding and haphazard applications, which serve to increase the costs well beyond the amount in issu</w:t>
      </w:r>
      <w:r w:rsidR="001B4D16">
        <w:t xml:space="preserve">e. Further, that </w:t>
      </w:r>
      <w:r w:rsidR="00037A90">
        <w:t>the</w:t>
      </w:r>
      <w:r w:rsidR="001B4D16">
        <w:t xml:space="preserve"> </w:t>
      </w:r>
      <w:r w:rsidR="001B4D16" w:rsidRPr="00340DD3">
        <w:t xml:space="preserve">reason for seeking the further affidavits </w:t>
      </w:r>
      <w:r w:rsidR="0076445C">
        <w:t xml:space="preserve">in the context of the </w:t>
      </w:r>
      <w:r w:rsidR="003E7649" w:rsidRPr="002A7DFB">
        <w:rPr>
          <w:i/>
        </w:rPr>
        <w:t>inter partes</w:t>
      </w:r>
      <w:r w:rsidR="003E7649">
        <w:t xml:space="preserve"> freezing order application </w:t>
      </w:r>
      <w:r w:rsidR="001B4D16" w:rsidRPr="00340DD3">
        <w:t xml:space="preserve">appears to be to try to establish that there has been a failure to disclose, but </w:t>
      </w:r>
      <w:r w:rsidR="003E7649">
        <w:t xml:space="preserve">that </w:t>
      </w:r>
      <w:r w:rsidR="00CF4283">
        <w:t xml:space="preserve">even if </w:t>
      </w:r>
      <w:r w:rsidR="006F6DC5">
        <w:t xml:space="preserve">that was </w:t>
      </w:r>
      <w:r w:rsidR="00CF4283">
        <w:t>established</w:t>
      </w:r>
      <w:r w:rsidR="006F6DC5">
        <w:t>,</w:t>
      </w:r>
      <w:r w:rsidR="00CF4283">
        <w:t xml:space="preserve"> </w:t>
      </w:r>
      <w:r w:rsidR="00FC026A">
        <w:t>that wo</w:t>
      </w:r>
      <w:r w:rsidR="003C383D">
        <w:t>uld</w:t>
      </w:r>
      <w:r w:rsidR="00CF4283">
        <w:t xml:space="preserve"> </w:t>
      </w:r>
      <w:r w:rsidR="001B4D16" w:rsidRPr="00340DD3">
        <w:t>not establish dissipation</w:t>
      </w:r>
      <w:r w:rsidR="000D68E7">
        <w:t>,</w:t>
      </w:r>
      <w:r w:rsidR="001B4D16" w:rsidRPr="00340DD3">
        <w:t xml:space="preserve"> or </w:t>
      </w:r>
      <w:r w:rsidR="000D68E7">
        <w:t xml:space="preserve">even </w:t>
      </w:r>
      <w:r w:rsidR="001B4D16" w:rsidRPr="00340DD3">
        <w:t>a risk of dissipation</w:t>
      </w:r>
      <w:r w:rsidR="001B4D16">
        <w:t>.</w:t>
      </w:r>
    </w:p>
    <w:p w14:paraId="15BCA2FD" w14:textId="1ED3C119" w:rsidR="00904DF3" w:rsidRDefault="006D48AC" w:rsidP="006D48AC">
      <w:pPr>
        <w:pStyle w:val="ParaNumbering"/>
        <w:numPr>
          <w:ilvl w:val="0"/>
          <w:numId w:val="0"/>
        </w:numPr>
        <w:ind w:hanging="720"/>
      </w:pPr>
      <w:r>
        <w:rPr>
          <w:sz w:val="20"/>
        </w:rPr>
        <w:t>82</w:t>
      </w:r>
      <w:r>
        <w:rPr>
          <w:sz w:val="20"/>
        </w:rPr>
        <w:tab/>
      </w:r>
      <w:r w:rsidR="00752A7F">
        <w:t xml:space="preserve">In the present circumstances, unaided by </w:t>
      </w:r>
      <w:r w:rsidR="0000131F">
        <w:t>the parties identifying</w:t>
      </w:r>
      <w:r w:rsidR="00752A7F">
        <w:t xml:space="preserve"> any relevant authority, I</w:t>
      </w:r>
      <w:r w:rsidR="00273176">
        <w:t> </w:t>
      </w:r>
      <w:r w:rsidR="00752A7F">
        <w:t xml:space="preserve">see no purpose in </w:t>
      </w:r>
      <w:r w:rsidR="00863EA2">
        <w:t>making a further order to duplicative effect</w:t>
      </w:r>
      <w:r w:rsidR="00BD7906">
        <w:t xml:space="preserve"> of the orders already made. </w:t>
      </w:r>
      <w:r w:rsidR="00273176">
        <w:t>I </w:t>
      </w:r>
      <w:r w:rsidR="00BD7906">
        <w:t xml:space="preserve">agree with the submission </w:t>
      </w:r>
      <w:r w:rsidR="009E7419">
        <w:t xml:space="preserve">advanced on behalf of Sam and David </w:t>
      </w:r>
      <w:r w:rsidR="00BD7906">
        <w:t>that this is regrettably another application that</w:t>
      </w:r>
      <w:r w:rsidR="0041595E">
        <w:t xml:space="preserve"> continues </w:t>
      </w:r>
      <w:r w:rsidR="0041595E" w:rsidDel="00966A67">
        <w:t xml:space="preserve">the </w:t>
      </w:r>
      <w:r w:rsidR="00B10DF4">
        <w:t>disorganised</w:t>
      </w:r>
      <w:r w:rsidR="000D19D1">
        <w:t xml:space="preserve"> </w:t>
      </w:r>
      <w:r w:rsidR="00D43FD3">
        <w:t>way</w:t>
      </w:r>
      <w:r w:rsidR="006B2D6A">
        <w:t xml:space="preserve"> in which the applicants have conducted the proceeding</w:t>
      </w:r>
      <w:r w:rsidR="000D19D1">
        <w:t xml:space="preserve"> to </w:t>
      </w:r>
      <w:r w:rsidR="000D19D1">
        <w:lastRenderedPageBreak/>
        <w:t>date</w:t>
      </w:r>
      <w:r w:rsidR="006B2D6A">
        <w:t xml:space="preserve">. </w:t>
      </w:r>
      <w:r w:rsidR="00D43FD3">
        <w:t>That said, I do not</w:t>
      </w:r>
      <w:r w:rsidR="006B2D6A">
        <w:t xml:space="preserve"> </w:t>
      </w:r>
      <w:r w:rsidR="00AF0E3C">
        <w:t xml:space="preserve">accept that the additional evidence </w:t>
      </w:r>
      <w:r w:rsidR="00016132">
        <w:t>belatedly</w:t>
      </w:r>
      <w:r w:rsidR="00AF0E3C">
        <w:t xml:space="preserve"> advanced by the applicants</w:t>
      </w:r>
      <w:r w:rsidR="002D403C">
        <w:t xml:space="preserve"> </w:t>
      </w:r>
      <w:r w:rsidR="00AF0E3C">
        <w:t xml:space="preserve">is </w:t>
      </w:r>
      <w:r w:rsidR="002D403C">
        <w:t>ir</w:t>
      </w:r>
      <w:r w:rsidR="00AF0E3C">
        <w:t xml:space="preserve">relevant to the issue of </w:t>
      </w:r>
      <w:r w:rsidR="00871EBF">
        <w:t xml:space="preserve">risk of </w:t>
      </w:r>
      <w:r w:rsidR="0001688F">
        <w:t>dissipation</w:t>
      </w:r>
      <w:r w:rsidR="00871EBF">
        <w:t>.</w:t>
      </w:r>
      <w:r w:rsidR="0001688F">
        <w:t xml:space="preserve"> That is an issue I will consider in the context of the application to extend the operation of the freezing orders. </w:t>
      </w:r>
      <w:r w:rsidR="002D403C">
        <w:t xml:space="preserve"> </w:t>
      </w:r>
    </w:p>
    <w:p w14:paraId="01548046" w14:textId="1ABB4F09" w:rsidR="0043772F" w:rsidRDefault="006D48AC" w:rsidP="006D48AC">
      <w:pPr>
        <w:pStyle w:val="ParaNumbering"/>
        <w:numPr>
          <w:ilvl w:val="0"/>
          <w:numId w:val="0"/>
        </w:numPr>
        <w:ind w:hanging="720"/>
      </w:pPr>
      <w:r>
        <w:rPr>
          <w:sz w:val="20"/>
        </w:rPr>
        <w:t>83</w:t>
      </w:r>
      <w:r>
        <w:rPr>
          <w:sz w:val="20"/>
        </w:rPr>
        <w:tab/>
      </w:r>
      <w:r w:rsidR="00036903">
        <w:t xml:space="preserve">Notwithstanding that the parties are legally represented, </w:t>
      </w:r>
      <w:r w:rsidR="005703D0">
        <w:t xml:space="preserve">given the manner in which this proceeding is being conducted, </w:t>
      </w:r>
      <w:r w:rsidR="006269EB">
        <w:t>i</w:t>
      </w:r>
      <w:r w:rsidR="0043772F">
        <w:t xml:space="preserve">t is relevant to note that where there </w:t>
      </w:r>
      <w:r w:rsidR="00C0419F">
        <w:t>is an allegation that</w:t>
      </w:r>
      <w:r w:rsidR="0043772F">
        <w:t xml:space="preserve"> there has been non-compliance with a Court order</w:t>
      </w:r>
      <w:r w:rsidR="00743954">
        <w:t>,</w:t>
      </w:r>
      <w:r w:rsidR="0043772F">
        <w:t xml:space="preserve"> the Court has an armoury of tools to manage </w:t>
      </w:r>
      <w:r w:rsidR="00615A74">
        <w:t>what i</w:t>
      </w:r>
      <w:r w:rsidR="006F2C7D">
        <w:t>s</w:t>
      </w:r>
      <w:r w:rsidR="00615A74">
        <w:t xml:space="preserve"> </w:t>
      </w:r>
      <w:r w:rsidR="0043772F" w:rsidRPr="00257F04">
        <w:rPr>
          <w:i/>
          <w:iCs/>
        </w:rPr>
        <w:t>prima facie</w:t>
      </w:r>
      <w:r w:rsidR="0043772F">
        <w:t xml:space="preserve"> </w:t>
      </w:r>
      <w:r w:rsidR="0043772F" w:rsidRPr="00623017">
        <w:t>contempt</w:t>
      </w:r>
      <w:r w:rsidR="0043772F">
        <w:t>. First, the Court may refuse to hear a person further in the same litigation until they have purged their contempt</w:t>
      </w:r>
      <w:r w:rsidR="008E5686">
        <w:t xml:space="preserve"> (</w:t>
      </w:r>
      <w:r w:rsidR="008E5686" w:rsidRPr="0004662F">
        <w:rPr>
          <w:b/>
        </w:rPr>
        <w:t>Option 1</w:t>
      </w:r>
      <w:r w:rsidR="008E5686">
        <w:t>)</w:t>
      </w:r>
      <w:r w:rsidR="0043772F">
        <w:t>. Second</w:t>
      </w:r>
      <w:r w:rsidR="005C4465">
        <w:t>ly</w:t>
      </w:r>
      <w:r w:rsidR="0043772F">
        <w:t>, the Court may strike out their defence in the proceeding unless they purge their contempt within a specified time</w:t>
      </w:r>
      <w:r w:rsidR="008E5686">
        <w:t xml:space="preserve"> (</w:t>
      </w:r>
      <w:r w:rsidR="008E5686" w:rsidRPr="0004662F">
        <w:rPr>
          <w:b/>
        </w:rPr>
        <w:t>Option 2</w:t>
      </w:r>
      <w:r w:rsidR="008E5686">
        <w:t>)</w:t>
      </w:r>
      <w:r w:rsidR="0043772F">
        <w:t>. Finally, the Court may punish the contemnor following formal contempt proceeding which may result in the imposition of fines, sequestration of property and imprisonment</w:t>
      </w:r>
      <w:r w:rsidR="008E5686">
        <w:t xml:space="preserve"> (</w:t>
      </w:r>
      <w:r w:rsidR="008E5686" w:rsidRPr="0004662F">
        <w:rPr>
          <w:b/>
        </w:rPr>
        <w:t>Option 3</w:t>
      </w:r>
      <w:r w:rsidR="008E5686">
        <w:t>)</w:t>
      </w:r>
      <w:r w:rsidR="0043772F">
        <w:t>.</w:t>
      </w:r>
    </w:p>
    <w:p w14:paraId="423ABF4F" w14:textId="2200FB74" w:rsidR="00AC05B6" w:rsidRDefault="006D48AC" w:rsidP="006D48AC">
      <w:pPr>
        <w:pStyle w:val="ParaNumbering"/>
        <w:numPr>
          <w:ilvl w:val="0"/>
          <w:numId w:val="0"/>
        </w:numPr>
        <w:ind w:hanging="720"/>
      </w:pPr>
      <w:r>
        <w:rPr>
          <w:sz w:val="20"/>
        </w:rPr>
        <w:t>84</w:t>
      </w:r>
      <w:r>
        <w:rPr>
          <w:sz w:val="20"/>
        </w:rPr>
        <w:tab/>
      </w:r>
      <w:r w:rsidR="00F25BF5" w:rsidRPr="005A404F">
        <w:rPr>
          <w:b/>
        </w:rPr>
        <w:t>Option 3</w:t>
      </w:r>
      <w:r w:rsidR="006B5145">
        <w:t xml:space="preserve"> </w:t>
      </w:r>
      <w:r w:rsidR="009B18B0">
        <w:t>—</w:t>
      </w:r>
      <w:r w:rsidR="005B759C" w:rsidRPr="005B759C">
        <w:t xml:space="preserve"> </w:t>
      </w:r>
      <w:r w:rsidR="005B759C" w:rsidRPr="005A404F">
        <w:rPr>
          <w:i/>
        </w:rPr>
        <w:t>punishing the contemnor following formal contempt proceedings</w:t>
      </w:r>
      <w:r w:rsidR="006B5145">
        <w:t xml:space="preserve"> </w:t>
      </w:r>
      <w:r w:rsidR="009B18B0">
        <w:t>—</w:t>
      </w:r>
      <w:r w:rsidR="00F25BF5">
        <w:t xml:space="preserve"> </w:t>
      </w:r>
      <w:r w:rsidR="00BF7ADC">
        <w:t>I do not consider punishment</w:t>
      </w:r>
      <w:r w:rsidR="00B16B01">
        <w:t>, in</w:t>
      </w:r>
      <w:r w:rsidR="00EE0D60">
        <w:t xml:space="preserve">cluding </w:t>
      </w:r>
      <w:r w:rsidR="00EB2476">
        <w:t xml:space="preserve">by way of </w:t>
      </w:r>
      <w:r w:rsidR="00BF7ADC">
        <w:t>imprisonment</w:t>
      </w:r>
      <w:r w:rsidR="00A41D17">
        <w:t>,</w:t>
      </w:r>
      <w:r w:rsidR="00BF7ADC">
        <w:t xml:space="preserve"> which may be imposed following a finding of contempt in contempt proceedings</w:t>
      </w:r>
      <w:r w:rsidR="007F4879">
        <w:t xml:space="preserve"> after</w:t>
      </w:r>
      <w:r w:rsidR="00BF7ADC" w:rsidDel="007F4879">
        <w:t xml:space="preserve"> </w:t>
      </w:r>
      <w:r w:rsidR="005641B3">
        <w:t xml:space="preserve">the </w:t>
      </w:r>
      <w:r w:rsidR="00592D63">
        <w:t>contemnor</w:t>
      </w:r>
      <w:r w:rsidR="00263B0B">
        <w:t xml:space="preserve"> </w:t>
      </w:r>
      <w:r w:rsidR="00FD2CA2">
        <w:t>ha</w:t>
      </w:r>
      <w:r w:rsidR="007F4879">
        <w:t>s</w:t>
      </w:r>
      <w:r w:rsidR="00FD2CA2">
        <w:t xml:space="preserve"> been </w:t>
      </w:r>
      <w:r w:rsidR="007F4879">
        <w:t>afforded procedural fairness</w:t>
      </w:r>
      <w:r w:rsidR="00F22A1C">
        <w:t xml:space="preserve">, </w:t>
      </w:r>
      <w:r w:rsidR="00BF7ADC">
        <w:t xml:space="preserve">to be appropriate </w:t>
      </w:r>
      <w:r w:rsidR="002774F1">
        <w:t xml:space="preserve">where the </w:t>
      </w:r>
      <w:r w:rsidR="006D150E">
        <w:t xml:space="preserve">aggrieved party </w:t>
      </w:r>
      <w:r w:rsidR="0013182A">
        <w:t xml:space="preserve">has not </w:t>
      </w:r>
      <w:r w:rsidR="009627FE">
        <w:t>assume</w:t>
      </w:r>
      <w:r w:rsidR="000F0987">
        <w:t>d</w:t>
      </w:r>
      <w:r w:rsidR="009627FE">
        <w:t xml:space="preserve"> the burden of establishing that</w:t>
      </w:r>
      <w:r w:rsidR="00643988">
        <w:t xml:space="preserve"> the respondent</w:t>
      </w:r>
      <w:r w:rsidR="00643988" w:rsidDel="009627FE">
        <w:t xml:space="preserve"> </w:t>
      </w:r>
      <w:r w:rsidR="00643988">
        <w:t xml:space="preserve">should be </w:t>
      </w:r>
      <w:r w:rsidR="0013182A">
        <w:t>commit</w:t>
      </w:r>
      <w:r w:rsidR="00643988">
        <w:t>ted</w:t>
      </w:r>
      <w:r w:rsidR="0013182A">
        <w:t xml:space="preserve"> for contempt. </w:t>
      </w:r>
      <w:r w:rsidR="0013182A" w:rsidRPr="0013182A">
        <w:t xml:space="preserve">Generally, </w:t>
      </w:r>
      <w:r w:rsidR="000004C8">
        <w:t>no sufficient public interest is served by punishing the offender if the person for whose benefit the order was made chooses not to insist on its enforcement</w:t>
      </w:r>
      <w:r w:rsidR="0013182A" w:rsidRPr="0013182A">
        <w:t xml:space="preserve">: </w:t>
      </w:r>
      <w:r w:rsidR="0013182A" w:rsidRPr="0004662F">
        <w:rPr>
          <w:i/>
        </w:rPr>
        <w:t>Australasian Meat Industry Employees’ Union v Mudginberri Station Pty Ltd</w:t>
      </w:r>
      <w:r w:rsidR="0013182A" w:rsidRPr="0013182A">
        <w:t xml:space="preserve"> </w:t>
      </w:r>
      <w:r w:rsidR="000060FC">
        <w:t>[</w:t>
      </w:r>
      <w:r w:rsidR="0013182A" w:rsidRPr="0013182A">
        <w:t>1986</w:t>
      </w:r>
      <w:r w:rsidR="000060FC">
        <w:t>]</w:t>
      </w:r>
      <w:r w:rsidR="0013182A" w:rsidRPr="0013182A">
        <w:t xml:space="preserve"> </w:t>
      </w:r>
      <w:r w:rsidR="000060FC">
        <w:t xml:space="preserve">HCA 46; </w:t>
      </w:r>
      <w:r w:rsidR="0013182A" w:rsidRPr="0013182A">
        <w:t>161 CLR 98 at 107</w:t>
      </w:r>
      <w:r w:rsidR="000004C8">
        <w:t xml:space="preserve"> citing </w:t>
      </w:r>
      <w:r w:rsidR="005D4AC5" w:rsidRPr="0004662F">
        <w:rPr>
          <w:i/>
        </w:rPr>
        <w:t>Attorney-General v Times Newspapers Ltd</w:t>
      </w:r>
      <w:r w:rsidR="005D4AC5" w:rsidRPr="005D4AC5">
        <w:t xml:space="preserve"> </w:t>
      </w:r>
      <w:r w:rsidR="005D4AC5" w:rsidRPr="00FA7FEE">
        <w:t>(1974) AC 273</w:t>
      </w:r>
      <w:r w:rsidR="005D4AC5" w:rsidRPr="005D4AC5">
        <w:t xml:space="preserve"> at 308</w:t>
      </w:r>
      <w:r w:rsidR="005D4AC5">
        <w:t xml:space="preserve"> (</w:t>
      </w:r>
      <w:r w:rsidR="006016BF">
        <w:t xml:space="preserve">Lord </w:t>
      </w:r>
      <w:r w:rsidR="005D4AC5">
        <w:t xml:space="preserve">Diplock). </w:t>
      </w:r>
      <w:r w:rsidR="008E5686">
        <w:t>Accordingly</w:t>
      </w:r>
      <w:r w:rsidR="00B6561E">
        <w:t>,</w:t>
      </w:r>
      <w:r w:rsidR="008E5686">
        <w:t xml:space="preserve"> I do not propose to proceed with Option 3. </w:t>
      </w:r>
      <w:r w:rsidR="00AF2A3E">
        <w:t>This does not</w:t>
      </w:r>
      <w:r w:rsidR="006E1B97">
        <w:t xml:space="preserve"> mean that </w:t>
      </w:r>
      <w:r w:rsidR="00C63C05">
        <w:t xml:space="preserve">where the aggrieved party chooses not to initiate contempt proceedings </w:t>
      </w:r>
      <w:r w:rsidR="006E1B97">
        <w:t>the Court is without remedy</w:t>
      </w:r>
      <w:r w:rsidR="0079209F">
        <w:t xml:space="preserve">, if it is established that there has been </w:t>
      </w:r>
      <w:r w:rsidR="006E1B97">
        <w:t xml:space="preserve">disobedience of its orders. </w:t>
      </w:r>
    </w:p>
    <w:p w14:paraId="423AAAE9" w14:textId="17653DCF" w:rsidR="006E1B97" w:rsidRPr="00CD67B1" w:rsidRDefault="006D48AC" w:rsidP="006D48AC">
      <w:pPr>
        <w:pStyle w:val="ParaNumbering"/>
        <w:numPr>
          <w:ilvl w:val="0"/>
          <w:numId w:val="0"/>
        </w:numPr>
        <w:ind w:hanging="720"/>
      </w:pPr>
      <w:r w:rsidRPr="00CD67B1">
        <w:rPr>
          <w:sz w:val="20"/>
        </w:rPr>
        <w:t>85</w:t>
      </w:r>
      <w:r w:rsidRPr="00CD67B1">
        <w:rPr>
          <w:sz w:val="20"/>
        </w:rPr>
        <w:tab/>
      </w:r>
      <w:r w:rsidR="001F1627" w:rsidRPr="00882B01">
        <w:rPr>
          <w:b/>
        </w:rPr>
        <w:t>Option 1</w:t>
      </w:r>
      <w:r w:rsidR="00B6561E">
        <w:rPr>
          <w:b/>
        </w:rPr>
        <w:t xml:space="preserve"> </w:t>
      </w:r>
      <w:r w:rsidR="00E77280">
        <w:t>—</w:t>
      </w:r>
      <w:r w:rsidR="005B759C">
        <w:t xml:space="preserve"> </w:t>
      </w:r>
      <w:r w:rsidR="005B759C" w:rsidRPr="00882B01">
        <w:rPr>
          <w:i/>
        </w:rPr>
        <w:t xml:space="preserve">refusing </w:t>
      </w:r>
      <w:r w:rsidR="005B759C" w:rsidRPr="005A404F">
        <w:rPr>
          <w:i/>
        </w:rPr>
        <w:t>to hear a person further in the same litigation until they have purged their contempt</w:t>
      </w:r>
      <w:r w:rsidR="005B759C" w:rsidRPr="005B759C">
        <w:t xml:space="preserve"> </w:t>
      </w:r>
      <w:r w:rsidR="001B6205">
        <w:t>—</w:t>
      </w:r>
      <w:r w:rsidR="001F1627">
        <w:t xml:space="preserve"> may be exercised even where formal contempt proceedings have not been brought</w:t>
      </w:r>
      <w:r w:rsidR="006F1AB3">
        <w:t>. I must</w:t>
      </w:r>
      <w:r w:rsidR="00BF4C64">
        <w:t>,</w:t>
      </w:r>
      <w:r w:rsidR="006F1AB3">
        <w:t xml:space="preserve"> however</w:t>
      </w:r>
      <w:r w:rsidR="00BF4C64">
        <w:t>,</w:t>
      </w:r>
      <w:r w:rsidR="006F1AB3">
        <w:t xml:space="preserve"> be satisfied on the balance of probabilities </w:t>
      </w:r>
      <w:r w:rsidR="009A1BE4">
        <w:t xml:space="preserve">of the existence of contempt, having regard to the seriousness of the application: see </w:t>
      </w:r>
      <w:r w:rsidR="00B93D93" w:rsidRPr="00461EA5">
        <w:rPr>
          <w:i/>
        </w:rPr>
        <w:t>In the Matter of Australasian Barrister Chambers Ltd (in liq)</w:t>
      </w:r>
      <w:r w:rsidR="00B93D93" w:rsidRPr="00B93D93">
        <w:t xml:space="preserve"> [2017] NSWSC 693</w:t>
      </w:r>
      <w:r w:rsidR="0018168F">
        <w:t>,</w:t>
      </w:r>
      <w:r w:rsidR="00B93D93" w:rsidRPr="00B93D93">
        <w:t xml:space="preserve"> [4]</w:t>
      </w:r>
      <w:r w:rsidR="00B93D93">
        <w:t xml:space="preserve"> and the authorities cited therein. </w:t>
      </w:r>
      <w:r w:rsidR="00C47E08">
        <w:t>I note that t</w:t>
      </w:r>
      <w:r w:rsidR="006816CB">
        <w:t>here is debate over whether Option 1 operates a</w:t>
      </w:r>
      <w:r w:rsidR="006D50CA">
        <w:t xml:space="preserve">s </w:t>
      </w:r>
      <w:r w:rsidR="006816CB">
        <w:t xml:space="preserve">a mandatory rule or if there is discretion </w:t>
      </w:r>
      <w:r w:rsidR="009F5A8C">
        <w:t>in exercising Option 1</w:t>
      </w:r>
      <w:r w:rsidR="00C47E08">
        <w:t xml:space="preserve">, with the weight of authority leaning towards it being a discretionary matter: </w:t>
      </w:r>
      <w:r w:rsidR="004D1E73" w:rsidRPr="00232DB3">
        <w:rPr>
          <w:i/>
        </w:rPr>
        <w:t>Blendell v Blendell</w:t>
      </w:r>
      <w:r w:rsidR="004D1E73" w:rsidRPr="004D1E73">
        <w:t xml:space="preserve"> [2020] NSWCA 154</w:t>
      </w:r>
      <w:r w:rsidR="004D1E73">
        <w:t>,</w:t>
      </w:r>
      <w:r w:rsidR="004D1E73" w:rsidRPr="004D1E73">
        <w:t xml:space="preserve"> [84]</w:t>
      </w:r>
      <w:r w:rsidR="004D1E73">
        <w:t xml:space="preserve"> (Leeming JA); </w:t>
      </w:r>
      <w:r w:rsidR="00461EA5" w:rsidRPr="00232DB3">
        <w:rPr>
          <w:i/>
        </w:rPr>
        <w:t xml:space="preserve">Chamberlain Group Pty </w:t>
      </w:r>
      <w:r w:rsidR="00461EA5" w:rsidRPr="00232DB3">
        <w:rPr>
          <w:i/>
        </w:rPr>
        <w:lastRenderedPageBreak/>
        <w:t>Ltd v Kids for Life Academy Pty Ltd</w:t>
      </w:r>
      <w:r w:rsidR="00461EA5">
        <w:t xml:space="preserve"> [2015] NSWCA 241, [17] (</w:t>
      </w:r>
      <w:r w:rsidR="00DC00C7">
        <w:t xml:space="preserve">Emmett JA, Leeming JA and Sackville AJA). </w:t>
      </w:r>
      <w:r w:rsidR="004D1E73" w:rsidRPr="004D1E73">
        <w:t xml:space="preserve"> </w:t>
      </w:r>
    </w:p>
    <w:p w14:paraId="6994DB00" w14:textId="79323D43" w:rsidR="00581FC5" w:rsidRDefault="006D48AC" w:rsidP="006D48AC">
      <w:pPr>
        <w:pStyle w:val="ParaNumbering"/>
        <w:numPr>
          <w:ilvl w:val="0"/>
          <w:numId w:val="0"/>
        </w:numPr>
        <w:ind w:hanging="720"/>
      </w:pPr>
      <w:r>
        <w:rPr>
          <w:sz w:val="20"/>
        </w:rPr>
        <w:t>86</w:t>
      </w:r>
      <w:r>
        <w:rPr>
          <w:sz w:val="20"/>
        </w:rPr>
        <w:tab/>
      </w:r>
      <w:r w:rsidR="005E5EFA" w:rsidRPr="00232DB3">
        <w:rPr>
          <w:b/>
        </w:rPr>
        <w:t>Option 2</w:t>
      </w:r>
      <w:r w:rsidR="007C0F11">
        <w:t xml:space="preserve"> </w:t>
      </w:r>
      <w:r w:rsidR="00F56C9B">
        <w:t>—</w:t>
      </w:r>
      <w:r w:rsidR="008A567D">
        <w:t xml:space="preserve"> </w:t>
      </w:r>
      <w:r w:rsidR="008A567D" w:rsidRPr="009140AD">
        <w:rPr>
          <w:i/>
        </w:rPr>
        <w:t>striking out the contemnor</w:t>
      </w:r>
      <w:r w:rsidR="00F64CBD" w:rsidRPr="009140AD">
        <w:rPr>
          <w:i/>
        </w:rPr>
        <w:t>’s</w:t>
      </w:r>
      <w:r w:rsidR="008A567D" w:rsidRPr="009140AD">
        <w:rPr>
          <w:i/>
        </w:rPr>
        <w:t xml:space="preserve"> defence in the proceeding unless they purge their contempt within a specified time</w:t>
      </w:r>
      <w:r w:rsidR="008A567D">
        <w:t xml:space="preserve"> </w:t>
      </w:r>
      <w:r w:rsidR="00F56C9B">
        <w:t>—</w:t>
      </w:r>
      <w:r w:rsidR="007C0F11">
        <w:t xml:space="preserve"> may be exercised as a sanction for disobedience to a freezing, ancillary or search order. </w:t>
      </w:r>
      <w:r w:rsidR="005D40B1">
        <w:t xml:space="preserve">Option 2 </w:t>
      </w:r>
      <w:r w:rsidR="00D72D6C">
        <w:t xml:space="preserve">is </w:t>
      </w:r>
      <w:r w:rsidR="00D2124A">
        <w:t>usually</w:t>
      </w:r>
      <w:r w:rsidR="00D72D6C">
        <w:t xml:space="preserve"> framed as </w:t>
      </w:r>
      <w:r w:rsidR="005D40B1">
        <w:t xml:space="preserve">a self-executing guillotine order which encourages compliance with the </w:t>
      </w:r>
      <w:r w:rsidR="00A9099C">
        <w:t xml:space="preserve">first </w:t>
      </w:r>
      <w:r w:rsidR="005D40B1">
        <w:t xml:space="preserve">Court order, continued default of which results in the strikeout of the defaulting party’s defence. </w:t>
      </w:r>
    </w:p>
    <w:p w14:paraId="71D5DC6E" w14:textId="64B7C5F5" w:rsidR="00F52B4F" w:rsidRDefault="006D48AC" w:rsidP="006D48AC">
      <w:pPr>
        <w:pStyle w:val="ParaNumbering"/>
        <w:numPr>
          <w:ilvl w:val="0"/>
          <w:numId w:val="0"/>
        </w:numPr>
        <w:ind w:hanging="720"/>
      </w:pPr>
      <w:r>
        <w:rPr>
          <w:sz w:val="20"/>
        </w:rPr>
        <w:t>87</w:t>
      </w:r>
      <w:r>
        <w:rPr>
          <w:sz w:val="20"/>
        </w:rPr>
        <w:tab/>
      </w:r>
      <w:r w:rsidR="00581FC5">
        <w:t>The options outlined above</w:t>
      </w:r>
      <w:r w:rsidR="00F0480F">
        <w:t xml:space="preserve"> are powerful tools which the Court may </w:t>
      </w:r>
      <w:r w:rsidR="001B6B46">
        <w:t>use</w:t>
      </w:r>
      <w:r w:rsidR="00F0480F">
        <w:t xml:space="preserve"> in discharging its role in ensuring that cases are managed in a manner which is consistent with the overarching purpose as set out in s</w:t>
      </w:r>
      <w:r w:rsidR="00A31CE2">
        <w:t> </w:t>
      </w:r>
      <w:r w:rsidR="00FC7E42">
        <w:t xml:space="preserve">37M of the </w:t>
      </w:r>
      <w:r w:rsidR="00FC7E42" w:rsidRPr="0004662F">
        <w:rPr>
          <w:i/>
        </w:rPr>
        <w:t>Federal Court of Australia Act 1976</w:t>
      </w:r>
      <w:r w:rsidR="00FC7E42">
        <w:t xml:space="preserve"> (Cth)</w:t>
      </w:r>
      <w:r w:rsidR="00752569">
        <w:t xml:space="preserve"> (</w:t>
      </w:r>
      <w:r w:rsidR="00752569" w:rsidRPr="00FA2E60">
        <w:rPr>
          <w:b/>
        </w:rPr>
        <w:t>FCA Act</w:t>
      </w:r>
      <w:r w:rsidR="00FC7E42">
        <w:t xml:space="preserve">). </w:t>
      </w:r>
    </w:p>
    <w:p w14:paraId="686DEACF" w14:textId="0D99EA22" w:rsidR="00F52B4F" w:rsidRDefault="006D48AC" w:rsidP="006D48AC">
      <w:pPr>
        <w:pStyle w:val="ParaNumbering"/>
        <w:numPr>
          <w:ilvl w:val="0"/>
          <w:numId w:val="0"/>
        </w:numPr>
        <w:ind w:hanging="720"/>
      </w:pPr>
      <w:r>
        <w:rPr>
          <w:sz w:val="20"/>
        </w:rPr>
        <w:t>88</w:t>
      </w:r>
      <w:r>
        <w:rPr>
          <w:sz w:val="20"/>
        </w:rPr>
        <w:tab/>
      </w:r>
      <w:r w:rsidR="00F458C3">
        <w:t xml:space="preserve">In the present application, the applicants have not </w:t>
      </w:r>
      <w:r w:rsidR="0078467B">
        <w:t xml:space="preserve">advanced submissions </w:t>
      </w:r>
      <w:r w:rsidR="00FB6DFA">
        <w:t>based on</w:t>
      </w:r>
      <w:r w:rsidR="0078467B">
        <w:t xml:space="preserve"> the alternatives </w:t>
      </w:r>
      <w:r w:rsidR="00FB6DFA">
        <w:t xml:space="preserve">outlined above. It follows that the respondents have not </w:t>
      </w:r>
      <w:r w:rsidR="00106635">
        <w:t xml:space="preserve">been afforded an opportunity to respond </w:t>
      </w:r>
      <w:r w:rsidR="00321D07">
        <w:t xml:space="preserve">on these issues. </w:t>
      </w:r>
      <w:r w:rsidR="0078467B">
        <w:t xml:space="preserve"> </w:t>
      </w:r>
    </w:p>
    <w:p w14:paraId="2D42D11A" w14:textId="43C23C8E" w:rsidR="00786EBC" w:rsidRDefault="006D48AC" w:rsidP="006D48AC">
      <w:pPr>
        <w:pStyle w:val="ParaNumbering"/>
        <w:numPr>
          <w:ilvl w:val="0"/>
          <w:numId w:val="0"/>
        </w:numPr>
        <w:ind w:hanging="720"/>
      </w:pPr>
      <w:r>
        <w:rPr>
          <w:sz w:val="20"/>
        </w:rPr>
        <w:t>89</w:t>
      </w:r>
      <w:r>
        <w:rPr>
          <w:sz w:val="20"/>
        </w:rPr>
        <w:tab/>
      </w:r>
      <w:r w:rsidR="009F2F10">
        <w:t>As indicated, i</w:t>
      </w:r>
      <w:r w:rsidR="005C7A15">
        <w:t xml:space="preserve">n the present application, I propose to </w:t>
      </w:r>
      <w:r w:rsidR="00E51425">
        <w:t xml:space="preserve">take into account the evidence belatedly led in relation to the issue of </w:t>
      </w:r>
      <w:r w:rsidR="00FC7EE7">
        <w:t>dissipation</w:t>
      </w:r>
      <w:r w:rsidR="00E51425">
        <w:t xml:space="preserve"> of </w:t>
      </w:r>
      <w:r w:rsidR="00A311DE">
        <w:t xml:space="preserve">assets on the </w:t>
      </w:r>
      <w:r w:rsidR="00A311DE">
        <w:rPr>
          <w:i/>
          <w:iCs/>
        </w:rPr>
        <w:t xml:space="preserve">inter partes </w:t>
      </w:r>
      <w:r w:rsidR="00A311DE">
        <w:t>application in relation to the freezing orders against Sam and David</w:t>
      </w:r>
      <w:r w:rsidR="000167E9">
        <w:t xml:space="preserve">. </w:t>
      </w:r>
    </w:p>
    <w:p w14:paraId="3741863A" w14:textId="75C921CE" w:rsidR="00DC21A0" w:rsidRDefault="006D48AC" w:rsidP="006D48AC">
      <w:pPr>
        <w:pStyle w:val="ParaNumbering"/>
        <w:numPr>
          <w:ilvl w:val="0"/>
          <w:numId w:val="0"/>
        </w:numPr>
        <w:ind w:hanging="720"/>
      </w:pPr>
      <w:bookmarkStart w:id="21" w:name="_Ref147238604"/>
      <w:r>
        <w:rPr>
          <w:sz w:val="20"/>
        </w:rPr>
        <w:t>90</w:t>
      </w:r>
      <w:r>
        <w:rPr>
          <w:sz w:val="20"/>
        </w:rPr>
        <w:tab/>
      </w:r>
      <w:r w:rsidR="00480BB1">
        <w:t>On the basis of the scant information before me</w:t>
      </w:r>
      <w:r w:rsidR="00CC5F6D">
        <w:t xml:space="preserve">, the most appropriate </w:t>
      </w:r>
      <w:r w:rsidR="00F5383C">
        <w:t xml:space="preserve">relief if </w:t>
      </w:r>
      <w:r w:rsidR="00963AB3" w:rsidRPr="005A3993">
        <w:rPr>
          <w:i/>
          <w:iCs/>
        </w:rPr>
        <w:t>prima facie</w:t>
      </w:r>
      <w:r w:rsidR="00963AB3">
        <w:t xml:space="preserve"> contempt is established</w:t>
      </w:r>
      <w:r w:rsidR="00F5383C">
        <w:t xml:space="preserve"> </w:t>
      </w:r>
      <w:r w:rsidR="00CC5F6D">
        <w:t>would appear to be in term</w:t>
      </w:r>
      <w:r w:rsidR="00B2714A">
        <w:t>s</w:t>
      </w:r>
      <w:r w:rsidR="00CC5F6D">
        <w:t xml:space="preserve"> of Option 2.</w:t>
      </w:r>
      <w:r w:rsidR="00480BB1">
        <w:t xml:space="preserve"> </w:t>
      </w:r>
      <w:r w:rsidR="00E2487E">
        <w:t>That may or may not be correct</w:t>
      </w:r>
      <w:r w:rsidR="00F126F8">
        <w:t>. It is possible that the alleged non</w:t>
      </w:r>
      <w:r w:rsidR="00BB5BC6">
        <w:noBreakHyphen/>
      </w:r>
      <w:r w:rsidR="00F126F8">
        <w:t>compliance may be remedied</w:t>
      </w:r>
      <w:r w:rsidR="00B2714A">
        <w:t xml:space="preserve"> </w:t>
      </w:r>
      <w:r w:rsidR="00D82CE0">
        <w:t xml:space="preserve">before it is necessary to </w:t>
      </w:r>
      <w:r w:rsidR="00534A8C">
        <w:t>consider this issue</w:t>
      </w:r>
      <w:r w:rsidR="00C66EDC">
        <w:t xml:space="preserve">. </w:t>
      </w:r>
      <w:r w:rsidR="00B2714A">
        <w:t xml:space="preserve">If it proves to be the case that alleged </w:t>
      </w:r>
      <w:r w:rsidR="002E399C">
        <w:t xml:space="preserve">non-compliance persists, then that is a matter </w:t>
      </w:r>
      <w:r w:rsidR="00E743F8">
        <w:t xml:space="preserve">which </w:t>
      </w:r>
      <w:r w:rsidR="009D04DD">
        <w:t xml:space="preserve">I expect the </w:t>
      </w:r>
      <w:r w:rsidR="0090010C">
        <w:t xml:space="preserve">applicants </w:t>
      </w:r>
      <w:r w:rsidR="00963AB3">
        <w:t xml:space="preserve">will </w:t>
      </w:r>
      <w:r w:rsidR="00FB6652">
        <w:t>bring back</w:t>
      </w:r>
      <w:r w:rsidR="0076737D">
        <w:t xml:space="preserve"> promptly to the Court</w:t>
      </w:r>
      <w:r w:rsidR="004118D2">
        <w:t>,</w:t>
      </w:r>
      <w:r w:rsidR="0076737D">
        <w:t xml:space="preserve"> </w:t>
      </w:r>
      <w:r w:rsidR="004118D2">
        <w:t xml:space="preserve">on notice, in </w:t>
      </w:r>
      <w:r w:rsidR="0076518D">
        <w:t xml:space="preserve">a </w:t>
      </w:r>
      <w:r w:rsidR="00EF4B2B">
        <w:t>manner</w:t>
      </w:r>
      <w:r w:rsidR="0076518D">
        <w:t xml:space="preserve"> that enables the Court to determine</w:t>
      </w:r>
      <w:r w:rsidR="004118D2">
        <w:t xml:space="preserve"> the alleged non-compliance with the existing orders</w:t>
      </w:r>
      <w:r w:rsidR="0076518D">
        <w:t xml:space="preserve"> on a</w:t>
      </w:r>
      <w:r w:rsidR="004118D2">
        <w:t xml:space="preserve"> considered </w:t>
      </w:r>
      <w:r w:rsidR="0076518D">
        <w:t>basis</w:t>
      </w:r>
      <w:r w:rsidR="004118D2">
        <w:t>.</w:t>
      </w:r>
      <w:bookmarkEnd w:id="21"/>
    </w:p>
    <w:p w14:paraId="249EAEEE" w14:textId="5D8DE062" w:rsidR="005F162B" w:rsidRDefault="006D48AC" w:rsidP="006D48AC">
      <w:pPr>
        <w:pStyle w:val="ParaNumbering"/>
        <w:numPr>
          <w:ilvl w:val="0"/>
          <w:numId w:val="0"/>
        </w:numPr>
        <w:ind w:hanging="720"/>
      </w:pPr>
      <w:bookmarkStart w:id="22" w:name="_Ref147238611"/>
      <w:r>
        <w:rPr>
          <w:sz w:val="20"/>
        </w:rPr>
        <w:t>91</w:t>
      </w:r>
      <w:r>
        <w:rPr>
          <w:sz w:val="20"/>
        </w:rPr>
        <w:tab/>
      </w:r>
      <w:r w:rsidR="00963AB3">
        <w:t>By way of contrast, t</w:t>
      </w:r>
      <w:r w:rsidR="00F5383C">
        <w:t>he applicants’ approach is to seek to make an ancillary order in the terms already made or an order for compliance with an order already made.</w:t>
      </w:r>
      <w:r w:rsidR="00963AB3">
        <w:t xml:space="preserve"> I decline to make such an order</w:t>
      </w:r>
      <w:r w:rsidR="005F162B">
        <w:t xml:space="preserve">. </w:t>
      </w:r>
      <w:r w:rsidR="00FB6652">
        <w:t xml:space="preserve">To do so would undermine the undermine the authority of the orders already made and derivatively undermine the administration of justice. If the applicants maintain that the existing asset disclosure orders have not been complied with, then there </w:t>
      </w:r>
      <w:r w:rsidR="00CB6BB1">
        <w:t>are clear</w:t>
      </w:r>
      <w:r w:rsidR="00FB6652">
        <w:t xml:space="preserve"> avenue</w:t>
      </w:r>
      <w:r w:rsidR="00CB6BB1">
        <w:t>s</w:t>
      </w:r>
      <w:r w:rsidR="00FB6652">
        <w:t xml:space="preserve"> available to them to address that non-compliance. </w:t>
      </w:r>
    </w:p>
    <w:p w14:paraId="2388FC42" w14:textId="2ECF30BF" w:rsidR="00FB6652" w:rsidRDefault="006D48AC" w:rsidP="006D48AC">
      <w:pPr>
        <w:pStyle w:val="ParaNumbering"/>
        <w:numPr>
          <w:ilvl w:val="0"/>
          <w:numId w:val="0"/>
        </w:numPr>
        <w:ind w:hanging="720"/>
      </w:pPr>
      <w:r>
        <w:rPr>
          <w:sz w:val="20"/>
        </w:rPr>
        <w:t>92</w:t>
      </w:r>
      <w:r>
        <w:rPr>
          <w:sz w:val="20"/>
        </w:rPr>
        <w:tab/>
      </w:r>
      <w:r w:rsidR="00FF68B9">
        <w:t xml:space="preserve">The interlocutory application </w:t>
      </w:r>
      <w:r w:rsidR="009B7E8F">
        <w:t>in relation to</w:t>
      </w:r>
      <w:r w:rsidR="00BB3B24">
        <w:t xml:space="preserve"> further disclosure</w:t>
      </w:r>
      <w:r w:rsidR="00264CEA">
        <w:t xml:space="preserve"> on the existing asset disclosure orders </w:t>
      </w:r>
      <w:r w:rsidR="00DB2389">
        <w:t>is dismissed with costs.</w:t>
      </w:r>
      <w:bookmarkEnd w:id="22"/>
    </w:p>
    <w:p w14:paraId="52720F48" w14:textId="1BBA017A" w:rsidR="00CB4B1C" w:rsidRDefault="000C067E" w:rsidP="005F162B">
      <w:pPr>
        <w:pStyle w:val="Heading3"/>
      </w:pPr>
      <w:r>
        <w:lastRenderedPageBreak/>
        <w:t>Freezing Order Exten</w:t>
      </w:r>
      <w:r w:rsidR="00CF53E2">
        <w:t>sion application</w:t>
      </w:r>
    </w:p>
    <w:p w14:paraId="208A12DF" w14:textId="0B71FBA2" w:rsidR="003E6781" w:rsidRDefault="006D48AC" w:rsidP="006D48AC">
      <w:pPr>
        <w:pStyle w:val="ParaNumbering"/>
        <w:numPr>
          <w:ilvl w:val="0"/>
          <w:numId w:val="0"/>
        </w:numPr>
        <w:ind w:hanging="720"/>
      </w:pPr>
      <w:r>
        <w:rPr>
          <w:sz w:val="20"/>
        </w:rPr>
        <w:t>93</w:t>
      </w:r>
      <w:r>
        <w:rPr>
          <w:sz w:val="20"/>
        </w:rPr>
        <w:tab/>
      </w:r>
      <w:r w:rsidR="00B06CD0">
        <w:t>I now turn to the substantive issue, which is whether the applicant has established that the freezing orders should be continued.</w:t>
      </w:r>
    </w:p>
    <w:p w14:paraId="3017E8D5" w14:textId="21927A7E" w:rsidR="00954861" w:rsidRDefault="006D48AC" w:rsidP="006D48AC">
      <w:pPr>
        <w:pStyle w:val="ParaNumbering"/>
        <w:numPr>
          <w:ilvl w:val="0"/>
          <w:numId w:val="0"/>
        </w:numPr>
        <w:ind w:hanging="720"/>
      </w:pPr>
      <w:r>
        <w:rPr>
          <w:sz w:val="20"/>
        </w:rPr>
        <w:t>94</w:t>
      </w:r>
      <w:r>
        <w:rPr>
          <w:sz w:val="20"/>
        </w:rPr>
        <w:tab/>
      </w:r>
      <w:r w:rsidR="003E6781">
        <w:t xml:space="preserve">As mentioned above, the </w:t>
      </w:r>
      <w:r w:rsidR="001770B2">
        <w:t xml:space="preserve">existing </w:t>
      </w:r>
      <w:r w:rsidR="003E6781">
        <w:t>freezing orders have been extended</w:t>
      </w:r>
      <w:r w:rsidR="00A14A7D">
        <w:t xml:space="preserve"> by consent</w:t>
      </w:r>
      <w:r w:rsidR="003E6781">
        <w:t xml:space="preserve"> on</w:t>
      </w:r>
      <w:r w:rsidR="001770B2">
        <w:t xml:space="preserve"> </w:t>
      </w:r>
      <w:r w:rsidR="003E6781">
        <w:t>a number of occasions on a with</w:t>
      </w:r>
      <w:r w:rsidR="001770B2">
        <w:t>out admissions basis</w:t>
      </w:r>
      <w:r w:rsidR="00A14A7D">
        <w:t xml:space="preserve"> as against the second to sixth respondents</w:t>
      </w:r>
      <w:r w:rsidR="001770B2">
        <w:t>.</w:t>
      </w:r>
      <w:r w:rsidR="00A14A7D">
        <w:t xml:space="preserve"> </w:t>
      </w:r>
      <w:r w:rsidR="00AD5115">
        <w:t xml:space="preserve">Sam, David and Carmelo withdrew from that position </w:t>
      </w:r>
      <w:r w:rsidR="00641E5A">
        <w:t>and the applicants assumed the burden of establishing that the existing orders should be continued against them</w:t>
      </w:r>
      <w:r w:rsidR="00F540C6">
        <w:t xml:space="preserve"> on an </w:t>
      </w:r>
      <w:r w:rsidR="00F540C6">
        <w:rPr>
          <w:i/>
          <w:iCs/>
        </w:rPr>
        <w:t xml:space="preserve">inter partes </w:t>
      </w:r>
      <w:r w:rsidR="00F540C6">
        <w:t>basis.</w:t>
      </w:r>
      <w:r w:rsidR="00BD102F">
        <w:t xml:space="preserve"> </w:t>
      </w:r>
    </w:p>
    <w:p w14:paraId="5C90B495" w14:textId="37BF3E97" w:rsidR="00BA7CB5" w:rsidRDefault="006D48AC" w:rsidP="006D48AC">
      <w:pPr>
        <w:pStyle w:val="ParaNumbering"/>
        <w:numPr>
          <w:ilvl w:val="0"/>
          <w:numId w:val="0"/>
        </w:numPr>
        <w:ind w:hanging="720"/>
      </w:pPr>
      <w:bookmarkStart w:id="23" w:name="_Ref147238214"/>
      <w:r>
        <w:rPr>
          <w:sz w:val="20"/>
        </w:rPr>
        <w:t>95</w:t>
      </w:r>
      <w:r>
        <w:rPr>
          <w:sz w:val="20"/>
        </w:rPr>
        <w:tab/>
      </w:r>
      <w:r w:rsidR="00BD102F">
        <w:t xml:space="preserve">Accolade </w:t>
      </w:r>
      <w:r w:rsidR="006D4697">
        <w:t xml:space="preserve">and Reliance </w:t>
      </w:r>
      <w:r w:rsidR="00954861">
        <w:t>initially indicated that they did</w:t>
      </w:r>
      <w:r w:rsidR="00BD102F">
        <w:t xml:space="preserve"> not </w:t>
      </w:r>
      <w:r w:rsidR="00017A96">
        <w:t xml:space="preserve">challenge the freezing orders against them, </w:t>
      </w:r>
      <w:r w:rsidR="00954861">
        <w:t>but sought to change their position at the hearing of the application</w:t>
      </w:r>
      <w:r w:rsidR="00CC2253">
        <w:t xml:space="preserve">. The applicants </w:t>
      </w:r>
      <w:r w:rsidR="00100A28">
        <w:t xml:space="preserve">said they </w:t>
      </w:r>
      <w:r w:rsidR="00CC2253">
        <w:t xml:space="preserve">were not in a position to deal with the change in position and </w:t>
      </w:r>
      <w:r w:rsidR="00100A28">
        <w:t xml:space="preserve">Accolade </w:t>
      </w:r>
      <w:r w:rsidR="006D4697">
        <w:t>and Reliance</w:t>
      </w:r>
      <w:r w:rsidR="00100A28">
        <w:t xml:space="preserve"> did not press to be heard</w:t>
      </w:r>
      <w:r w:rsidR="00A8420B">
        <w:t xml:space="preserve"> on the </w:t>
      </w:r>
      <w:r w:rsidR="00A8420B">
        <w:rPr>
          <w:i/>
          <w:iCs/>
        </w:rPr>
        <w:t xml:space="preserve">inter partes </w:t>
      </w:r>
      <w:r w:rsidR="00A8420B">
        <w:t>return of the freezing orders</w:t>
      </w:r>
      <w:r w:rsidR="001E4B50">
        <w:t xml:space="preserve">. When orders were made to permit additional submissions following determination of the application to re-open, those </w:t>
      </w:r>
      <w:r w:rsidR="009F088B">
        <w:t>orders were relevantly limited to Carmelo and did not extend to Accolade</w:t>
      </w:r>
      <w:r w:rsidR="00A03BD8">
        <w:t xml:space="preserve"> and Reliance</w:t>
      </w:r>
      <w:r w:rsidR="009F088B">
        <w:t xml:space="preserve">. </w:t>
      </w:r>
      <w:r w:rsidR="005324CF">
        <w:t xml:space="preserve">The applicants take the point that no orders having been made for </w:t>
      </w:r>
      <w:r w:rsidR="00A03BD8">
        <w:t>Accolade and Reliance</w:t>
      </w:r>
      <w:r w:rsidR="00F95250">
        <w:t xml:space="preserve"> to be heard on this application, they </w:t>
      </w:r>
      <w:r w:rsidR="00A8420B">
        <w:t xml:space="preserve">have </w:t>
      </w:r>
      <w:r w:rsidR="00F95250">
        <w:t>not repl</w:t>
      </w:r>
      <w:r w:rsidR="00A8420B">
        <w:t>ied</w:t>
      </w:r>
      <w:r w:rsidR="00F95250">
        <w:t xml:space="preserve"> to the </w:t>
      </w:r>
      <w:r w:rsidR="005F649F">
        <w:t xml:space="preserve">written submissions filed </w:t>
      </w:r>
      <w:r w:rsidR="00E10090">
        <w:t xml:space="preserve">by Accolade and Reliance </w:t>
      </w:r>
      <w:r w:rsidR="005F649F">
        <w:t xml:space="preserve">without leave. In the circumstances, </w:t>
      </w:r>
      <w:r w:rsidR="00E7341E">
        <w:t xml:space="preserve">it is only necessary for present purposes to consider the continuation of the freezing orders against Sam, David and Carmelo. </w:t>
      </w:r>
      <w:r w:rsidR="00E10090">
        <w:t>The applicants bear the onus.</w:t>
      </w:r>
      <w:r w:rsidR="001770B2">
        <w:t xml:space="preserve"> </w:t>
      </w:r>
      <w:bookmarkEnd w:id="23"/>
    </w:p>
    <w:p w14:paraId="4423D310" w14:textId="6786C1A1" w:rsidR="00C2774E" w:rsidRDefault="006D48AC" w:rsidP="006D48AC">
      <w:pPr>
        <w:pStyle w:val="ParaNumbering"/>
        <w:numPr>
          <w:ilvl w:val="0"/>
          <w:numId w:val="0"/>
        </w:numPr>
        <w:ind w:hanging="720"/>
      </w:pPr>
      <w:r>
        <w:rPr>
          <w:sz w:val="20"/>
        </w:rPr>
        <w:t>96</w:t>
      </w:r>
      <w:r>
        <w:rPr>
          <w:sz w:val="20"/>
        </w:rPr>
        <w:tab/>
      </w:r>
      <w:r w:rsidR="00135945">
        <w:t xml:space="preserve">Applying the principles, identified above, I am satisfied that </w:t>
      </w:r>
      <w:r w:rsidR="00BC1181">
        <w:t xml:space="preserve">it is appropriate to </w:t>
      </w:r>
      <w:r w:rsidR="0072782E">
        <w:t>extend</w:t>
      </w:r>
      <w:r w:rsidR="00BC1181">
        <w:t xml:space="preserve"> the</w:t>
      </w:r>
      <w:r w:rsidR="007065A8">
        <w:t xml:space="preserve"> existing freezing orders </w:t>
      </w:r>
      <w:r w:rsidR="00C74F9C">
        <w:t>against Sam and Carmelo</w:t>
      </w:r>
      <w:r w:rsidR="00300050">
        <w:t xml:space="preserve">. </w:t>
      </w:r>
      <w:r w:rsidR="00786AE4">
        <w:t xml:space="preserve">I am satisfied that the applicants have established </w:t>
      </w:r>
      <w:r w:rsidR="005E1561">
        <w:t xml:space="preserve">a </w:t>
      </w:r>
      <w:r w:rsidR="008A21B6">
        <w:t>good arguable</w:t>
      </w:r>
      <w:r w:rsidR="005E1561">
        <w:t xml:space="preserve"> case and that the </w:t>
      </w:r>
      <w:r w:rsidR="007F18CB">
        <w:t>balance of convenience otherwise favour</w:t>
      </w:r>
      <w:r w:rsidR="00C74F9C">
        <w:t>s</w:t>
      </w:r>
      <w:r w:rsidR="007F18CB">
        <w:t xml:space="preserve"> </w:t>
      </w:r>
      <w:r w:rsidR="00BB18F3">
        <w:t>that outcome</w:t>
      </w:r>
      <w:r w:rsidR="00C74F9C">
        <w:t xml:space="preserve">. The focal point of the submissions was on </w:t>
      </w:r>
      <w:r w:rsidR="00D827FD">
        <w:t xml:space="preserve">whether </w:t>
      </w:r>
      <w:r w:rsidR="007F18CB">
        <w:t xml:space="preserve">the applicants have established by evidence that there exists a real risk of dissipation </w:t>
      </w:r>
      <w:r w:rsidR="00360AD8">
        <w:t xml:space="preserve">in order to avoid </w:t>
      </w:r>
      <w:r w:rsidR="00894956">
        <w:t xml:space="preserve">a prospective judgment </w:t>
      </w:r>
      <w:r w:rsidR="00D827FD">
        <w:t xml:space="preserve">so </w:t>
      </w:r>
      <w:r w:rsidR="007F18CB">
        <w:t>as to warrant the extension of the freezing orders against Sam, David and Carmelo.</w:t>
      </w:r>
      <w:r w:rsidR="00AA2C86">
        <w:t xml:space="preserve"> That </w:t>
      </w:r>
      <w:r w:rsidR="00DB1A28">
        <w:t xml:space="preserve">issue was hotly contested. </w:t>
      </w:r>
    </w:p>
    <w:p w14:paraId="7CD321C3" w14:textId="1702F53C" w:rsidR="00EF3E2F" w:rsidRDefault="006D48AC" w:rsidP="006D48AC">
      <w:pPr>
        <w:pStyle w:val="ParaNumbering"/>
        <w:numPr>
          <w:ilvl w:val="0"/>
          <w:numId w:val="0"/>
        </w:numPr>
        <w:ind w:hanging="720"/>
      </w:pPr>
      <w:r>
        <w:rPr>
          <w:sz w:val="20"/>
        </w:rPr>
        <w:t>97</w:t>
      </w:r>
      <w:r>
        <w:rPr>
          <w:sz w:val="20"/>
        </w:rPr>
        <w:tab/>
      </w:r>
      <w:r w:rsidR="00DB1A28">
        <w:t>On balance</w:t>
      </w:r>
      <w:r w:rsidR="0079145A">
        <w:t>,</w:t>
      </w:r>
      <w:r w:rsidR="00DB1A28">
        <w:t xml:space="preserve"> I have concluded that </w:t>
      </w:r>
      <w:r w:rsidR="00CC0D18">
        <w:t xml:space="preserve">the applicants have established </w:t>
      </w:r>
      <w:r w:rsidR="00A514C0">
        <w:t xml:space="preserve">by evidence </w:t>
      </w:r>
      <w:r w:rsidR="00C2774E">
        <w:t xml:space="preserve">in relation to Sam and Carmelo </w:t>
      </w:r>
      <w:r w:rsidR="00A514C0">
        <w:t xml:space="preserve">that </w:t>
      </w:r>
      <w:r w:rsidR="007B468B">
        <w:t xml:space="preserve">there is </w:t>
      </w:r>
      <w:r w:rsidR="00C2774E">
        <w:t xml:space="preserve">relevantly </w:t>
      </w:r>
      <w:r w:rsidR="007B468B">
        <w:t>a real risk of diss</w:t>
      </w:r>
      <w:r w:rsidR="00684982">
        <w:t>ipation</w:t>
      </w:r>
      <w:r w:rsidR="00DA119B">
        <w:t xml:space="preserve"> </w:t>
      </w:r>
      <w:r w:rsidR="00C2774E">
        <w:t xml:space="preserve">such that </w:t>
      </w:r>
      <w:r w:rsidR="00A33CFA">
        <w:t xml:space="preserve">the </w:t>
      </w:r>
      <w:r w:rsidR="00C2774E">
        <w:t>Court’s processes may be frustrated</w:t>
      </w:r>
      <w:r w:rsidR="00A33CFA">
        <w:t>. In these circumstances, I am satisfied that it is appropriate to make freezing orders against Sam and Carmelo</w:t>
      </w:r>
      <w:r w:rsidR="003C09C2">
        <w:t xml:space="preserve"> until further order</w:t>
      </w:r>
      <w:r w:rsidR="000E6E35">
        <w:t xml:space="preserve"> on the undertaking as to damages proffered.</w:t>
      </w:r>
      <w:r w:rsidR="0090526A">
        <w:t xml:space="preserve"> </w:t>
      </w:r>
      <w:r w:rsidR="00BB18F3">
        <w:t xml:space="preserve">I am not satisfied that the applicants have discharged their onus in relation to </w:t>
      </w:r>
      <w:r w:rsidR="008558E8">
        <w:t xml:space="preserve">David and accordingly the freezing order against him will be discharged. </w:t>
      </w:r>
      <w:r w:rsidR="0090526A">
        <w:t>My reasons are as follows.</w:t>
      </w:r>
    </w:p>
    <w:p w14:paraId="73051A36" w14:textId="38830FD3" w:rsidR="00A9380F" w:rsidRDefault="006D48AC" w:rsidP="006D48AC">
      <w:pPr>
        <w:pStyle w:val="ParaNumbering"/>
        <w:numPr>
          <w:ilvl w:val="0"/>
          <w:numId w:val="0"/>
        </w:numPr>
        <w:ind w:hanging="720"/>
      </w:pPr>
      <w:r>
        <w:rPr>
          <w:sz w:val="20"/>
        </w:rPr>
        <w:lastRenderedPageBreak/>
        <w:t>98</w:t>
      </w:r>
      <w:r>
        <w:rPr>
          <w:sz w:val="20"/>
        </w:rPr>
        <w:tab/>
      </w:r>
      <w:r w:rsidR="00866351">
        <w:t xml:space="preserve">I repeat the observations made as to the relevant principles at [56] to [57] of </w:t>
      </w:r>
      <w:r w:rsidR="00866351">
        <w:rPr>
          <w:i/>
          <w:iCs/>
        </w:rPr>
        <w:t>Curry Shop</w:t>
      </w:r>
      <w:r w:rsidR="00866351">
        <w:t xml:space="preserve">. </w:t>
      </w:r>
    </w:p>
    <w:p w14:paraId="29E6F133" w14:textId="39602548" w:rsidR="00A9380F" w:rsidRDefault="006D48AC" w:rsidP="006D48AC">
      <w:pPr>
        <w:pStyle w:val="ParaNumbering"/>
        <w:numPr>
          <w:ilvl w:val="0"/>
          <w:numId w:val="0"/>
        </w:numPr>
        <w:ind w:hanging="720"/>
      </w:pPr>
      <w:r>
        <w:rPr>
          <w:sz w:val="20"/>
        </w:rPr>
        <w:t>99</w:t>
      </w:r>
      <w:r>
        <w:rPr>
          <w:sz w:val="20"/>
        </w:rPr>
        <w:tab/>
      </w:r>
      <w:r w:rsidR="00D85F9D">
        <w:t xml:space="preserve">I am satisfied that in the present circumstances there is a good arguable case </w:t>
      </w:r>
      <w:r w:rsidR="007D06C0">
        <w:t xml:space="preserve">that each </w:t>
      </w:r>
      <w:r w:rsidR="00BA596B">
        <w:t>of</w:t>
      </w:r>
      <w:r w:rsidR="00B46105">
        <w:t xml:space="preserve"> </w:t>
      </w:r>
      <w:r w:rsidR="007D06C0">
        <w:t xml:space="preserve">the </w:t>
      </w:r>
      <w:r w:rsidR="004644CF">
        <w:t>respondents</w:t>
      </w:r>
      <w:r w:rsidR="005817DF">
        <w:t xml:space="preserve"> </w:t>
      </w:r>
      <w:r w:rsidR="005C5333">
        <w:t xml:space="preserve">engaged in serious wrongdoing against the </w:t>
      </w:r>
      <w:r w:rsidR="002D23B6">
        <w:t xml:space="preserve">Company. </w:t>
      </w:r>
      <w:r w:rsidR="006147D0" w:rsidRPr="006147D0">
        <w:t>The applicant</w:t>
      </w:r>
      <w:r w:rsidR="00866351">
        <w:t>s</w:t>
      </w:r>
      <w:r w:rsidR="006147D0" w:rsidRPr="006147D0">
        <w:t xml:space="preserve"> plead that each of Sam, David and Carmelo engaged in Kaushik’s breaches of fiduciary duty which amounted to dishonest and fraudulent misappropriation of trust property to defeat its return to creditors (at RD</w:t>
      </w:r>
      <w:r w:rsidR="00E92988">
        <w:t>A</w:t>
      </w:r>
      <w:r w:rsidR="006147D0" w:rsidRPr="006147D0">
        <w:t>SOC [99], [</w:t>
      </w:r>
      <w:r w:rsidR="000C1DB4">
        <w:t>101A-</w:t>
      </w:r>
      <w:r w:rsidR="006147D0" w:rsidRPr="006147D0">
        <w:t>101B], [</w:t>
      </w:r>
      <w:r w:rsidR="000C1DB4">
        <w:t>102A-</w:t>
      </w:r>
      <w:r w:rsidR="006147D0" w:rsidRPr="006147D0">
        <w:t>102B])</w:t>
      </w:r>
      <w:r w:rsidR="006147D0">
        <w:t xml:space="preserve">. </w:t>
      </w:r>
      <w:r w:rsidR="002D23B6">
        <w:t>Th</w:t>
      </w:r>
      <w:r w:rsidR="00866351">
        <w:t>e nature of the allegations at the heart of the applicants’ claim</w:t>
      </w:r>
      <w:r w:rsidR="002D23B6">
        <w:t xml:space="preserve"> is relevant to the </w:t>
      </w:r>
      <w:r w:rsidR="00EA58AA">
        <w:t xml:space="preserve">whether there is a </w:t>
      </w:r>
      <w:r w:rsidR="00F171CD">
        <w:t xml:space="preserve">reasonable apprehension </w:t>
      </w:r>
      <w:r w:rsidR="00C42845">
        <w:t xml:space="preserve">of a </w:t>
      </w:r>
      <w:r w:rsidR="00EA58AA">
        <w:t>risk of dissipation for the p</w:t>
      </w:r>
      <w:r w:rsidR="00DF6D88">
        <w:t xml:space="preserve">urpose of </w:t>
      </w:r>
      <w:r w:rsidR="0090626B">
        <w:t xml:space="preserve">frustrating </w:t>
      </w:r>
      <w:r w:rsidR="00F171CD">
        <w:t>the action or execution</w:t>
      </w:r>
      <w:r w:rsidR="00DF6D88">
        <w:t xml:space="preserve">. </w:t>
      </w:r>
    </w:p>
    <w:p w14:paraId="6FDC14EB" w14:textId="326A76E6" w:rsidR="00A9380F" w:rsidRDefault="006D48AC" w:rsidP="006D48AC">
      <w:pPr>
        <w:pStyle w:val="ParaNumbering"/>
        <w:numPr>
          <w:ilvl w:val="0"/>
          <w:numId w:val="0"/>
        </w:numPr>
        <w:ind w:hanging="720"/>
      </w:pPr>
      <w:r>
        <w:rPr>
          <w:sz w:val="20"/>
        </w:rPr>
        <w:t>100</w:t>
      </w:r>
      <w:r>
        <w:rPr>
          <w:sz w:val="20"/>
        </w:rPr>
        <w:tab/>
      </w:r>
      <w:r w:rsidR="008C4397">
        <w:t xml:space="preserve">In this case, I am </w:t>
      </w:r>
      <w:r w:rsidR="006147D0">
        <w:t xml:space="preserve">further </w:t>
      </w:r>
      <w:r w:rsidR="008C4397">
        <w:t>satisfied that</w:t>
      </w:r>
      <w:r w:rsidR="006147D0">
        <w:t xml:space="preserve"> </w:t>
      </w:r>
      <w:r w:rsidR="00EA7B3D">
        <w:t>there is a good</w:t>
      </w:r>
      <w:r w:rsidR="008C4397">
        <w:t xml:space="preserve"> </w:t>
      </w:r>
      <w:r w:rsidR="00770621">
        <w:t xml:space="preserve">arguable case in respect of the </w:t>
      </w:r>
      <w:r w:rsidR="00DB406C">
        <w:t xml:space="preserve">allegations </w:t>
      </w:r>
      <w:r w:rsidR="00987E35">
        <w:t xml:space="preserve">made in respect of the </w:t>
      </w:r>
      <w:r w:rsidR="009F1333">
        <w:t>manner in which</w:t>
      </w:r>
      <w:r w:rsidR="00987E35">
        <w:t xml:space="preserve"> the Company’s assets </w:t>
      </w:r>
      <w:r w:rsidR="009F1333">
        <w:t xml:space="preserve">were </w:t>
      </w:r>
      <w:r w:rsidR="00FD4777">
        <w:t xml:space="preserve">rerouted </w:t>
      </w:r>
      <w:r w:rsidR="00987E35" w:rsidRPr="002E0905">
        <w:rPr>
          <w:i/>
        </w:rPr>
        <w:t>via</w:t>
      </w:r>
      <w:r w:rsidR="00987E35">
        <w:t xml:space="preserve"> </w:t>
      </w:r>
      <w:r w:rsidR="0097737C">
        <w:t xml:space="preserve">various corporate entities </w:t>
      </w:r>
      <w:r w:rsidR="00FD4777">
        <w:t xml:space="preserve">in close proximity in </w:t>
      </w:r>
      <w:r w:rsidR="00A058A3">
        <w:t>time and</w:t>
      </w:r>
      <w:r w:rsidR="00FD4777">
        <w:t xml:space="preserve"> in circumstances wh</w:t>
      </w:r>
      <w:r w:rsidR="00C14810">
        <w:t>ich</w:t>
      </w:r>
      <w:r w:rsidR="00503BB3">
        <w:t xml:space="preserve"> on the evidence as it stands on this application</w:t>
      </w:r>
      <w:r w:rsidR="00C14810">
        <w:t xml:space="preserve"> do not suggest a su</w:t>
      </w:r>
      <w:r w:rsidR="009C175D">
        <w:t xml:space="preserve">bstantive legal </w:t>
      </w:r>
      <w:r w:rsidR="00866351">
        <w:t xml:space="preserve">or commercial </w:t>
      </w:r>
      <w:r w:rsidR="00A058A3">
        <w:t>explanation</w:t>
      </w:r>
      <w:r w:rsidR="009C175D">
        <w:t xml:space="preserve"> for </w:t>
      </w:r>
      <w:r w:rsidR="00A058A3">
        <w:t>the transactions being conducted in the way in which they were</w:t>
      </w:r>
      <w:r w:rsidR="0069540F">
        <w:t xml:space="preserve">. </w:t>
      </w:r>
      <w:r w:rsidR="004D3CBD">
        <w:t xml:space="preserve">That is relevant to the risk of dissipation because it demonstrates </w:t>
      </w:r>
      <w:r w:rsidR="00952B74">
        <w:t>a</w:t>
      </w:r>
      <w:r w:rsidR="00866351">
        <w:t xml:space="preserve"> </w:t>
      </w:r>
      <w:r w:rsidR="00952B74">
        <w:rPr>
          <w:rFonts w:eastAsia="Times New Roman"/>
        </w:rPr>
        <w:t>capacity on the part of the respondents to deal with assets in a manner which may takes some time to unravel.</w:t>
      </w:r>
      <w:r w:rsidR="008C4397">
        <w:t xml:space="preserve"> </w:t>
      </w:r>
      <w:r w:rsidR="00D07AA3" w:rsidRPr="00540961">
        <w:t>In such circumstances, it may be unnecessary to adduce further evidence of the risk</w:t>
      </w:r>
      <w:r w:rsidR="00D07AA3">
        <w:t>.</w:t>
      </w:r>
      <w:r w:rsidR="001D2254">
        <w:t xml:space="preserve"> </w:t>
      </w:r>
      <w:r w:rsidR="00BE3D8B">
        <w:t xml:space="preserve">Against that I must weigh the fact that the </w:t>
      </w:r>
      <w:r w:rsidR="00926017">
        <w:t>relevant enquiry is whether there is a current risk of dissipation of assets now held. Past events may be relevant, but only if they serve to demonstrate current risk</w:t>
      </w:r>
      <w:r w:rsidR="00627B19">
        <w:t>.</w:t>
      </w:r>
      <w:r w:rsidR="001D2254">
        <w:t xml:space="preserve"> </w:t>
      </w:r>
    </w:p>
    <w:p w14:paraId="4EE4BEEB" w14:textId="0219CA17" w:rsidR="00DF6D88" w:rsidRDefault="006D48AC" w:rsidP="006D48AC">
      <w:pPr>
        <w:pStyle w:val="ParaNumbering"/>
        <w:numPr>
          <w:ilvl w:val="0"/>
          <w:numId w:val="0"/>
        </w:numPr>
        <w:ind w:hanging="720"/>
      </w:pPr>
      <w:r>
        <w:rPr>
          <w:sz w:val="20"/>
        </w:rPr>
        <w:t>101</w:t>
      </w:r>
      <w:r>
        <w:rPr>
          <w:sz w:val="20"/>
        </w:rPr>
        <w:tab/>
      </w:r>
      <w:r w:rsidR="00627B19">
        <w:t>I</w:t>
      </w:r>
      <w:r w:rsidR="001D2254">
        <w:t>n the circumstances of th</w:t>
      </w:r>
      <w:r w:rsidR="00A73A52">
        <w:t>is</w:t>
      </w:r>
      <w:r w:rsidR="001D2254">
        <w:t xml:space="preserve"> application, having regard to the passage of time since the impugned transactions and </w:t>
      </w:r>
      <w:r w:rsidR="00C81AAD">
        <w:t xml:space="preserve">the absence of evidence of actual </w:t>
      </w:r>
      <w:r w:rsidR="00C01308">
        <w:t>unjustifi</w:t>
      </w:r>
      <w:r w:rsidR="00C34C7F">
        <w:t>able</w:t>
      </w:r>
      <w:r w:rsidR="00C01308">
        <w:t xml:space="preserve"> </w:t>
      </w:r>
      <w:r w:rsidR="00C81AAD">
        <w:t>dissipation in th</w:t>
      </w:r>
      <w:r w:rsidR="001102AF">
        <w:t>e lengthy intervening</w:t>
      </w:r>
      <w:r w:rsidR="00C81AAD">
        <w:t xml:space="preserve"> </w:t>
      </w:r>
      <w:r w:rsidR="002C182D">
        <w:t>period,</w:t>
      </w:r>
      <w:r w:rsidR="002641C9">
        <w:t xml:space="preserve"> it is necessary</w:t>
      </w:r>
      <w:r w:rsidR="0009431E">
        <w:t xml:space="preserve"> for the applicants</w:t>
      </w:r>
      <w:r w:rsidR="002641C9">
        <w:t xml:space="preserve"> to establish </w:t>
      </w:r>
      <w:r w:rsidR="00907F97">
        <w:t>by</w:t>
      </w:r>
      <w:r w:rsidR="002641C9">
        <w:t xml:space="preserve"> evidence that </w:t>
      </w:r>
      <w:r w:rsidR="005E2731">
        <w:t xml:space="preserve">there is </w:t>
      </w:r>
      <w:r w:rsidR="0096082D">
        <w:t xml:space="preserve">presently </w:t>
      </w:r>
      <w:r w:rsidR="005E2731">
        <w:t>a reasonable</w:t>
      </w:r>
      <w:r w:rsidR="00227290">
        <w:t xml:space="preserve"> apprehension </w:t>
      </w:r>
      <w:r w:rsidR="005646A4">
        <w:t>of</w:t>
      </w:r>
      <w:r w:rsidR="00227290">
        <w:t xml:space="preserve"> the </w:t>
      </w:r>
      <w:r w:rsidR="00763FB4">
        <w:t>relevant</w:t>
      </w:r>
      <w:r w:rsidR="005646A4">
        <w:t xml:space="preserve"> risk</w:t>
      </w:r>
      <w:r w:rsidR="007208C6">
        <w:t>.</w:t>
      </w:r>
      <w:r w:rsidR="00716705">
        <w:t xml:space="preserve"> </w:t>
      </w:r>
      <w:r w:rsidR="003D0283">
        <w:t xml:space="preserve">In making that observation, I </w:t>
      </w:r>
      <w:r w:rsidR="005E4399">
        <w:t xml:space="preserve">do not intend to suggest that the mere fact of delay in bringing the initial application </w:t>
      </w:r>
      <w:r w:rsidR="0046548E">
        <w:t>establishes that there is no risk of dissipation</w:t>
      </w:r>
      <w:r w:rsidR="00D23927">
        <w:t xml:space="preserve">. </w:t>
      </w:r>
      <w:r w:rsidR="002F0497">
        <w:t>W</w:t>
      </w:r>
      <w:r w:rsidR="0067262A">
        <w:t xml:space="preserve">here a respondent knows that </w:t>
      </w:r>
      <w:r w:rsidR="001166A5">
        <w:t>he or she</w:t>
      </w:r>
      <w:r w:rsidR="0067262A">
        <w:t xml:space="preserve"> faces legal proceedings and a freezing order application for a substantial time, and does not take steps to dissipate its assets, that can be a powerful factor militating against a conclusion of a real risk of dissipation. </w:t>
      </w:r>
      <w:r w:rsidR="001E4B58">
        <w:t xml:space="preserve">The equally available alternative inference in the present circumstances is that the </w:t>
      </w:r>
      <w:r w:rsidR="003D1379">
        <w:t>rele</w:t>
      </w:r>
      <w:r w:rsidR="00130DBA">
        <w:t xml:space="preserve">vant </w:t>
      </w:r>
      <w:r w:rsidR="001E4B58">
        <w:t xml:space="preserve">respondents </w:t>
      </w:r>
      <w:r w:rsidR="00130DBA">
        <w:t>did not appreciate that they were at risk</w:t>
      </w:r>
      <w:r w:rsidR="00D37898">
        <w:t xml:space="preserve">, and that the passage of time reinforced </w:t>
      </w:r>
      <w:r w:rsidR="00BE6F62">
        <w:t xml:space="preserve">their </w:t>
      </w:r>
      <w:r w:rsidR="00B057B2">
        <w:t>confidence</w:t>
      </w:r>
      <w:r w:rsidR="00BE6F62">
        <w:t xml:space="preserve"> in that regard. </w:t>
      </w:r>
      <w:r w:rsidR="00937AC1">
        <w:t xml:space="preserve">Had there not been additional evidence, I would have regarded the </w:t>
      </w:r>
      <w:r w:rsidR="00BC77FF">
        <w:t>issue of dissipation to be finely balanced</w:t>
      </w:r>
      <w:r w:rsidR="00491B72">
        <w:t xml:space="preserve">, and </w:t>
      </w:r>
      <w:r w:rsidR="00B057B2">
        <w:t xml:space="preserve">as the </w:t>
      </w:r>
      <w:r w:rsidR="006561DA">
        <w:t xml:space="preserve">applicants bear the onus </w:t>
      </w:r>
      <w:r w:rsidR="009757CF">
        <w:t xml:space="preserve">I </w:t>
      </w:r>
      <w:r w:rsidR="006561DA">
        <w:t xml:space="preserve">would </w:t>
      </w:r>
      <w:r w:rsidR="00E22229">
        <w:t xml:space="preserve">have </w:t>
      </w:r>
      <w:r w:rsidR="003827DB">
        <w:t xml:space="preserve">reached a similar conclusion as I did in relation the </w:t>
      </w:r>
      <w:r w:rsidR="000F467B">
        <w:t>continuance of the freezing orders against Kaushik</w:t>
      </w:r>
      <w:r w:rsidR="008E2AE6">
        <w:t xml:space="preserve">, and </w:t>
      </w:r>
      <w:r w:rsidR="0080161F">
        <w:t>now, David</w:t>
      </w:r>
      <w:r w:rsidR="005F054D">
        <w:t>.</w:t>
      </w:r>
    </w:p>
    <w:p w14:paraId="275364B0" w14:textId="4CFC3212" w:rsidR="00B819CF" w:rsidRDefault="006D48AC" w:rsidP="006D48AC">
      <w:pPr>
        <w:pStyle w:val="ParaNumbering"/>
        <w:numPr>
          <w:ilvl w:val="0"/>
          <w:numId w:val="0"/>
        </w:numPr>
        <w:ind w:hanging="720"/>
      </w:pPr>
      <w:r>
        <w:rPr>
          <w:sz w:val="20"/>
        </w:rPr>
        <w:lastRenderedPageBreak/>
        <w:t>102</w:t>
      </w:r>
      <w:r>
        <w:rPr>
          <w:sz w:val="20"/>
        </w:rPr>
        <w:tab/>
      </w:r>
      <w:r w:rsidR="003C0C18">
        <w:t xml:space="preserve">In relation to Sam, the further evidence which in </w:t>
      </w:r>
      <w:r w:rsidR="0001020A">
        <w:t xml:space="preserve">my view </w:t>
      </w:r>
      <w:r w:rsidR="0072026F">
        <w:t>moves the needle, is th</w:t>
      </w:r>
      <w:r w:rsidR="00181649">
        <w:t xml:space="preserve">at notwithstanding </w:t>
      </w:r>
      <w:r w:rsidR="00BB1AF2">
        <w:t xml:space="preserve">that </w:t>
      </w:r>
      <w:r w:rsidR="00236491">
        <w:t>he was</w:t>
      </w:r>
      <w:r w:rsidR="00BB1AF2">
        <w:t xml:space="preserve"> compelled by Court order to disclose </w:t>
      </w:r>
      <w:r w:rsidR="00236491">
        <w:t>his</w:t>
      </w:r>
      <w:r w:rsidR="00BB1AF2">
        <w:t xml:space="preserve"> assets and to solemnly attest to the truth of </w:t>
      </w:r>
      <w:r w:rsidR="00236491">
        <w:t>his</w:t>
      </w:r>
      <w:r w:rsidR="00BB1AF2">
        <w:t xml:space="preserve"> respective disclosures, the</w:t>
      </w:r>
      <w:r w:rsidR="00F6765C">
        <w:t xml:space="preserve"> evidence on this application demonstrates that</w:t>
      </w:r>
      <w:r w:rsidR="00596CF5">
        <w:t xml:space="preserve"> </w:t>
      </w:r>
      <w:r w:rsidR="00236491">
        <w:t>he has</w:t>
      </w:r>
      <w:r w:rsidR="006507A4">
        <w:t xml:space="preserve"> not in </w:t>
      </w:r>
      <w:r w:rsidR="00236491">
        <w:t>his</w:t>
      </w:r>
      <w:r w:rsidR="006507A4">
        <w:t xml:space="preserve"> </w:t>
      </w:r>
      <w:r w:rsidR="00236491">
        <w:t>initial</w:t>
      </w:r>
      <w:r w:rsidR="006507A4">
        <w:t xml:space="preserve"> asset disclosure </w:t>
      </w:r>
      <w:r w:rsidR="0095738D">
        <w:t xml:space="preserve">affidavits, disclosed all of </w:t>
      </w:r>
      <w:r w:rsidR="00236491">
        <w:t>his</w:t>
      </w:r>
      <w:r w:rsidR="0095738D">
        <w:t xml:space="preserve"> assets as </w:t>
      </w:r>
      <w:r w:rsidR="00236491">
        <w:t>he was</w:t>
      </w:r>
      <w:r w:rsidR="0095738D">
        <w:t xml:space="preserve"> required to do. Contrary to the submission advanced </w:t>
      </w:r>
      <w:r w:rsidR="00FD1A0E">
        <w:t xml:space="preserve">on </w:t>
      </w:r>
      <w:r w:rsidR="00236491">
        <w:t>his</w:t>
      </w:r>
      <w:r w:rsidR="00FD1A0E">
        <w:t xml:space="preserve"> behalf, the issue of non-disclosure </w:t>
      </w:r>
      <w:r w:rsidR="00FB0447">
        <w:t xml:space="preserve">pursuant to an order that is made </w:t>
      </w:r>
      <w:r w:rsidR="006E3DF7">
        <w:t xml:space="preserve">as an </w:t>
      </w:r>
      <w:r w:rsidR="00FB0447">
        <w:t xml:space="preserve">ancillary </w:t>
      </w:r>
      <w:r w:rsidR="006E3DF7">
        <w:t xml:space="preserve">order </w:t>
      </w:r>
      <w:r w:rsidR="00FB0447">
        <w:t xml:space="preserve">to a freezing order </w:t>
      </w:r>
      <w:r w:rsidR="00F26ECB">
        <w:t xml:space="preserve">is a matter that may, when taken in context of the whole of the evidence, demonstrate a </w:t>
      </w:r>
      <w:r w:rsidR="003B276F">
        <w:t xml:space="preserve">reasonable apprehension of </w:t>
      </w:r>
      <w:r w:rsidR="001B4B58">
        <w:t xml:space="preserve">unjustifiable </w:t>
      </w:r>
      <w:r w:rsidR="003B276F">
        <w:t xml:space="preserve">dissipation </w:t>
      </w:r>
      <w:r w:rsidR="00D07BE7">
        <w:t>which may in turn</w:t>
      </w:r>
      <w:r w:rsidR="003B276F">
        <w:t xml:space="preserve"> frustrate the </w:t>
      </w:r>
      <w:r w:rsidR="00D07BE7">
        <w:t>Court’s processes.</w:t>
      </w:r>
      <w:r w:rsidR="00997E70">
        <w:t xml:space="preserve"> </w:t>
      </w:r>
      <w:r w:rsidR="00236491">
        <w:t xml:space="preserve">That inference is readily drawn </w:t>
      </w:r>
      <w:r w:rsidR="000C1F4C">
        <w:t>where assets are omitted</w:t>
      </w:r>
      <w:r w:rsidR="00585F28">
        <w:t xml:space="preserve"> from the affidavit which purports to </w:t>
      </w:r>
      <w:r w:rsidR="00C93D12">
        <w:t xml:space="preserve">be </w:t>
      </w:r>
      <w:r w:rsidR="00585F28">
        <w:t>given in accordance with the order made</w:t>
      </w:r>
      <w:r w:rsidR="001B7239">
        <w:t xml:space="preserve"> and the omission is not </w:t>
      </w:r>
      <w:r w:rsidR="00D61080">
        <w:t xml:space="preserve">adequately </w:t>
      </w:r>
      <w:r w:rsidR="001B7239">
        <w:t>explained</w:t>
      </w:r>
      <w:r w:rsidR="00585F28">
        <w:t>.</w:t>
      </w:r>
    </w:p>
    <w:p w14:paraId="11EEB5FC" w14:textId="2F077ABB" w:rsidR="00E37F7A" w:rsidRDefault="006D48AC" w:rsidP="006D48AC">
      <w:pPr>
        <w:pStyle w:val="ParaNumbering"/>
        <w:numPr>
          <w:ilvl w:val="0"/>
          <w:numId w:val="0"/>
        </w:numPr>
        <w:ind w:hanging="720"/>
      </w:pPr>
      <w:r>
        <w:rPr>
          <w:sz w:val="20"/>
        </w:rPr>
        <w:t>103</w:t>
      </w:r>
      <w:r>
        <w:rPr>
          <w:sz w:val="20"/>
        </w:rPr>
        <w:tab/>
      </w:r>
      <w:r w:rsidR="00997E70">
        <w:t xml:space="preserve">It is not necessary to trace through the arguments made in relation to </w:t>
      </w:r>
      <w:r w:rsidR="00515FF1">
        <w:t xml:space="preserve">each of the assets </w:t>
      </w:r>
      <w:r w:rsidR="00585F28">
        <w:t xml:space="preserve">held by Sam </w:t>
      </w:r>
      <w:r w:rsidR="00515FF1">
        <w:t>that were not disclosed</w:t>
      </w:r>
      <w:r w:rsidR="00585F28">
        <w:t xml:space="preserve"> by him</w:t>
      </w:r>
      <w:r w:rsidR="00515FF1">
        <w:t xml:space="preserve">. The </w:t>
      </w:r>
      <w:r w:rsidR="00B26253">
        <w:t>evidence demonstrates Sam did not disclose his shareholdings in multiple companies</w:t>
      </w:r>
      <w:r w:rsidR="00085D83">
        <w:t xml:space="preserve">, </w:t>
      </w:r>
      <w:r w:rsidR="00494C68">
        <w:t xml:space="preserve">including companies in respect of which he </w:t>
      </w:r>
      <w:r w:rsidR="00197A25">
        <w:t>w</w:t>
      </w:r>
      <w:r w:rsidR="00494C68">
        <w:t xml:space="preserve">as the sole </w:t>
      </w:r>
      <w:r w:rsidR="00632BF3">
        <w:t>director</w:t>
      </w:r>
      <w:r w:rsidR="00197A25">
        <w:t xml:space="preserve"> and</w:t>
      </w:r>
      <w:r w:rsidR="00632BF3">
        <w:t xml:space="preserve"> sole shareholder</w:t>
      </w:r>
      <w:r w:rsidR="00B651EC">
        <w:t xml:space="preserve"> and which held real property</w:t>
      </w:r>
      <w:r w:rsidR="0017403C">
        <w:t xml:space="preserve">. </w:t>
      </w:r>
      <w:r w:rsidR="00E14231">
        <w:t xml:space="preserve">The shares in the companies are </w:t>
      </w:r>
      <w:r w:rsidR="00B819CF">
        <w:t xml:space="preserve">Sam’s </w:t>
      </w:r>
      <w:r w:rsidR="00E14231">
        <w:t>assets</w:t>
      </w:r>
      <w:r w:rsidR="00197A25">
        <w:t>.</w:t>
      </w:r>
      <w:r w:rsidR="00061667">
        <w:t xml:space="preserve"> </w:t>
      </w:r>
      <w:r w:rsidR="00B651EC">
        <w:t xml:space="preserve">That is so regardless of whether the </w:t>
      </w:r>
      <w:r w:rsidR="00A925D8">
        <w:t>relevant companies act as corporate trustees.</w:t>
      </w:r>
      <w:r w:rsidR="00061667">
        <w:t xml:space="preserve"> </w:t>
      </w:r>
      <w:r w:rsidR="00192341">
        <w:t xml:space="preserve">Sam did not disclose these assets until the liquidator led evidence which called </w:t>
      </w:r>
      <w:r w:rsidR="004533EA">
        <w:t>his asset disclosure affidavit into question</w:t>
      </w:r>
      <w:r w:rsidR="00AA2DD5">
        <w:t>.</w:t>
      </w:r>
      <w:r w:rsidR="004533EA">
        <w:t xml:space="preserve"> I am satisfied that </w:t>
      </w:r>
      <w:r w:rsidR="00D2228D">
        <w:t xml:space="preserve">Sam’s failure to disclose these assets was a material omission which has not been </w:t>
      </w:r>
      <w:r w:rsidR="00FB12D9">
        <w:t xml:space="preserve">adequately </w:t>
      </w:r>
      <w:r w:rsidR="00D2228D">
        <w:t>explained.</w:t>
      </w:r>
      <w:r w:rsidR="00720171">
        <w:t xml:space="preserve"> </w:t>
      </w:r>
      <w:r w:rsidR="00891CE9">
        <w:t xml:space="preserve">It is evidence which in the whole of the circumstances establishes </w:t>
      </w:r>
      <w:r w:rsidR="00720171">
        <w:t xml:space="preserve">that there is a reasonable risk of dissipation that is sufficient to warrant </w:t>
      </w:r>
      <w:r w:rsidR="001C3DDB">
        <w:t xml:space="preserve">the making of the freezing orders against Sam. </w:t>
      </w:r>
      <w:r w:rsidR="00720171">
        <w:t xml:space="preserve"> </w:t>
      </w:r>
    </w:p>
    <w:p w14:paraId="11E9E209" w14:textId="55A827B0" w:rsidR="000E6E35" w:rsidRDefault="006D48AC" w:rsidP="006D48AC">
      <w:pPr>
        <w:pStyle w:val="ParaNumbering"/>
        <w:numPr>
          <w:ilvl w:val="0"/>
          <w:numId w:val="0"/>
        </w:numPr>
        <w:ind w:hanging="720"/>
      </w:pPr>
      <w:r>
        <w:rPr>
          <w:sz w:val="20"/>
        </w:rPr>
        <w:t>104</w:t>
      </w:r>
      <w:r>
        <w:rPr>
          <w:sz w:val="20"/>
        </w:rPr>
        <w:tab/>
      </w:r>
      <w:r w:rsidR="00966F32">
        <w:t xml:space="preserve">The evidence in relation to David was </w:t>
      </w:r>
      <w:r w:rsidR="00063F06">
        <w:t xml:space="preserve">much </w:t>
      </w:r>
      <w:r w:rsidR="009E100B">
        <w:t xml:space="preserve">narrower in compass. It demonstrated that he had not disclosed </w:t>
      </w:r>
      <w:r w:rsidR="00E47F2C">
        <w:t>his asset</w:t>
      </w:r>
      <w:r w:rsidR="006841BB">
        <w:t xml:space="preserve"> comprised of the </w:t>
      </w:r>
      <w:r w:rsidR="00AB163C">
        <w:t>100% of the shares</w:t>
      </w:r>
      <w:r w:rsidR="00E47F2C">
        <w:t xml:space="preserve"> in </w:t>
      </w:r>
      <w:r w:rsidR="00AB163C" w:rsidRPr="00D13254">
        <w:rPr>
          <w:b/>
        </w:rPr>
        <w:t xml:space="preserve">Whistledixie </w:t>
      </w:r>
      <w:r w:rsidR="00AB163C">
        <w:t>Pty Ltd</w:t>
      </w:r>
      <w:r w:rsidR="0080692D">
        <w:t xml:space="preserve">, a company which is the sole </w:t>
      </w:r>
      <w:r w:rsidR="00D62215">
        <w:t>proprietor</w:t>
      </w:r>
      <w:r w:rsidR="0080692D">
        <w:t xml:space="preserve"> </w:t>
      </w:r>
      <w:r w:rsidR="00491867">
        <w:t>of a property in Ruse, New South Wales</w:t>
      </w:r>
      <w:r w:rsidR="00255C96">
        <w:t xml:space="preserve">. </w:t>
      </w:r>
      <w:r w:rsidR="00275AB8">
        <w:t xml:space="preserve">David </w:t>
      </w:r>
      <w:r w:rsidR="004F53FD">
        <w:t xml:space="preserve">identified </w:t>
      </w:r>
      <w:r w:rsidR="00881603">
        <w:t>Whistledixie</w:t>
      </w:r>
      <w:r w:rsidR="004F53FD">
        <w:t xml:space="preserve"> as a former client of</w:t>
      </w:r>
      <w:r w:rsidR="00275AB8">
        <w:t xml:space="preserve"> </w:t>
      </w:r>
      <w:r w:rsidR="00881603" w:rsidRPr="00881603">
        <w:t>Cassaniti &amp; Associates</w:t>
      </w:r>
      <w:r w:rsidR="00881603">
        <w:t xml:space="preserve"> </w:t>
      </w:r>
      <w:r w:rsidR="00CC5AAC">
        <w:t xml:space="preserve">and that </w:t>
      </w:r>
      <w:r w:rsidR="00F9167F">
        <w:t xml:space="preserve">he </w:t>
      </w:r>
      <w:r w:rsidR="00B063FC">
        <w:t>had been</w:t>
      </w:r>
      <w:r w:rsidR="00CC5AAC">
        <w:t xml:space="preserve"> employed by </w:t>
      </w:r>
      <w:r w:rsidR="00B063FC" w:rsidRPr="00881603">
        <w:t>Cassaniti &amp; Associates</w:t>
      </w:r>
      <w:r w:rsidR="00F9167F">
        <w:t xml:space="preserve">. </w:t>
      </w:r>
      <w:r w:rsidR="00C33EEB">
        <w:t xml:space="preserve">He noted that his address on the ASIC records was an address he had not lived </w:t>
      </w:r>
      <w:r w:rsidR="000359E8">
        <w:t>at for about 20 years.</w:t>
      </w:r>
      <w:r w:rsidR="00C33EEB">
        <w:t xml:space="preserve"> </w:t>
      </w:r>
      <w:r w:rsidR="004C7D5F">
        <w:t xml:space="preserve">David has deposed that </w:t>
      </w:r>
      <w:r w:rsidR="005E7FF9">
        <w:t xml:space="preserve">he did not know he was a shareholder of </w:t>
      </w:r>
      <w:r w:rsidR="004C7D5F">
        <w:t>Whistledixie</w:t>
      </w:r>
      <w:r w:rsidR="00C41FF7">
        <w:t>, had not ever received dividends from Whistledixie</w:t>
      </w:r>
      <w:r w:rsidR="005E7FF9">
        <w:t xml:space="preserve"> and that he had since </w:t>
      </w:r>
      <w:r w:rsidR="00041DBB">
        <w:t xml:space="preserve">instructed </w:t>
      </w:r>
      <w:r w:rsidR="00436777">
        <w:t xml:space="preserve">Accolade </w:t>
      </w:r>
      <w:r w:rsidR="002413CF">
        <w:t>to update and rectify the ASIC register</w:t>
      </w:r>
      <w:r w:rsidR="0088779B">
        <w:t>.</w:t>
      </w:r>
      <w:r w:rsidR="00AA2DD5">
        <w:t xml:space="preserve"> </w:t>
      </w:r>
      <w:r w:rsidR="00063F06">
        <w:t xml:space="preserve">His explanation as to how </w:t>
      </w:r>
      <w:r w:rsidR="007B49C4">
        <w:t xml:space="preserve">he may have come to be a shareholder of that company was not </w:t>
      </w:r>
      <w:r w:rsidR="008C2BD8">
        <w:t xml:space="preserve">directly </w:t>
      </w:r>
      <w:r w:rsidR="007B49C4">
        <w:t>challenged</w:t>
      </w:r>
      <w:r w:rsidR="008C2BD8">
        <w:t xml:space="preserve"> although I was invited to reject it</w:t>
      </w:r>
      <w:r w:rsidR="000B215B">
        <w:t>.</w:t>
      </w:r>
      <w:r w:rsidR="008C2BD8">
        <w:t xml:space="preserve"> I have considered </w:t>
      </w:r>
      <w:r w:rsidR="00317D0A">
        <w:t>this evidence.</w:t>
      </w:r>
      <w:r w:rsidR="000B215B">
        <w:t xml:space="preserve"> I am not satisfied that </w:t>
      </w:r>
      <w:r w:rsidR="00C2774E">
        <w:t>the applicants have established that there is</w:t>
      </w:r>
      <w:r w:rsidR="002F61F5">
        <w:t xml:space="preserve"> presently</w:t>
      </w:r>
      <w:r w:rsidR="00C2774E">
        <w:t xml:space="preserve"> a reasonable risk of dissipation </w:t>
      </w:r>
      <w:r w:rsidR="00AA0B01">
        <w:t xml:space="preserve">by David </w:t>
      </w:r>
      <w:r w:rsidR="00D3302D">
        <w:t xml:space="preserve">based on this evidence. </w:t>
      </w:r>
    </w:p>
    <w:p w14:paraId="3E13DC85" w14:textId="276B2CF3" w:rsidR="00D21C07" w:rsidRPr="003E55A8" w:rsidRDefault="006D48AC" w:rsidP="006D48AC">
      <w:pPr>
        <w:pStyle w:val="ParaNumbering"/>
        <w:numPr>
          <w:ilvl w:val="0"/>
          <w:numId w:val="0"/>
        </w:numPr>
        <w:ind w:hanging="720"/>
        <w:rPr>
          <w:color w:val="92D050"/>
        </w:rPr>
      </w:pPr>
      <w:r w:rsidRPr="003E55A8">
        <w:rPr>
          <w:sz w:val="20"/>
        </w:rPr>
        <w:lastRenderedPageBreak/>
        <w:t>105</w:t>
      </w:r>
      <w:r w:rsidRPr="003E55A8">
        <w:rPr>
          <w:sz w:val="20"/>
        </w:rPr>
        <w:tab/>
      </w:r>
      <w:r w:rsidR="00E056CB">
        <w:t xml:space="preserve">In relation to Carmelo, I am satisfied that </w:t>
      </w:r>
      <w:r w:rsidR="00D944A3">
        <w:t>the applicants have established on the evidence the relevant risk of dissipation</w:t>
      </w:r>
      <w:r w:rsidR="00AF0D6B">
        <w:t>.</w:t>
      </w:r>
      <w:r w:rsidR="00786AE4" w:rsidRPr="00786AE4">
        <w:t xml:space="preserve"> </w:t>
      </w:r>
      <w:r w:rsidR="008F5CDB">
        <w:t xml:space="preserve">In his asset disclosure affidavit of </w:t>
      </w:r>
      <w:r w:rsidR="0051334C">
        <w:t xml:space="preserve">5 October 2021, Carmelo disclosed </w:t>
      </w:r>
      <w:r w:rsidR="00557216">
        <w:t xml:space="preserve">fairly </w:t>
      </w:r>
      <w:r w:rsidR="00886F79">
        <w:t>meagre</w:t>
      </w:r>
      <w:r w:rsidR="0051334C">
        <w:t xml:space="preserve"> assets</w:t>
      </w:r>
      <w:r w:rsidR="0025237B">
        <w:t xml:space="preserve"> of less than $15,000 consisting of: </w:t>
      </w:r>
      <w:r w:rsidR="00A11CCF">
        <w:t xml:space="preserve">a joint bank account with a balance of $12,600, </w:t>
      </w:r>
      <w:r w:rsidR="0025237B">
        <w:t>thirteen</w:t>
      </w:r>
      <w:r w:rsidR="00A11CCF">
        <w:t xml:space="preserve"> </w:t>
      </w:r>
      <w:r w:rsidR="0025237B">
        <w:t xml:space="preserve">bank accounts, with a balance of $0.00 in twelve </w:t>
      </w:r>
      <w:r w:rsidR="00A11CCF">
        <w:t>account</w:t>
      </w:r>
      <w:r w:rsidR="003F4244">
        <w:t>s</w:t>
      </w:r>
      <w:r w:rsidR="00A11CCF">
        <w:t xml:space="preserve"> </w:t>
      </w:r>
      <w:r w:rsidR="0025237B">
        <w:t xml:space="preserve">and $500 in one </w:t>
      </w:r>
      <w:r w:rsidR="00A11CCF">
        <w:t>account</w:t>
      </w:r>
      <w:r w:rsidR="0025237B">
        <w:t xml:space="preserve">, shares in Accolade Advisory Pty </w:t>
      </w:r>
      <w:r w:rsidR="00276C70">
        <w:t>L</w:t>
      </w:r>
      <w:r w:rsidR="0025237B">
        <w:t xml:space="preserve">td </w:t>
      </w:r>
      <w:r w:rsidR="00A11CCF">
        <w:t xml:space="preserve">valued at $100, “Crypto Currency” valued at $1,418, Carmelo’s remuneration received on a weekly basis, the figure of which is not disclosed and Carmelo’s personal clothing, toiletries and effects, the value of which is not disclosed. I note that </w:t>
      </w:r>
      <w:r w:rsidR="008C2952">
        <w:t xml:space="preserve">disclosed </w:t>
      </w:r>
      <w:r w:rsidR="00A11CCF">
        <w:t xml:space="preserve">monetary value of the assets held by Carmelo are well below </w:t>
      </w:r>
      <w:r w:rsidR="007126A7">
        <w:t xml:space="preserve">the </w:t>
      </w:r>
      <w:r w:rsidR="00C166F4">
        <w:t>$273,650</w:t>
      </w:r>
      <w:r w:rsidR="00882701">
        <w:t xml:space="preserve"> in value of Australian assets that Carmelo is required to preserve pursuant to the freezing order made against him.</w:t>
      </w:r>
      <w:r w:rsidR="0051334C" w:rsidDel="00C166F4">
        <w:t xml:space="preserve"> </w:t>
      </w:r>
      <w:r w:rsidR="00B66C86">
        <w:t xml:space="preserve">In Carmelo’s affidavit of </w:t>
      </w:r>
      <w:r w:rsidR="00CB46F0">
        <w:t>6</w:t>
      </w:r>
      <w:r w:rsidR="00E96FF0">
        <w:t> </w:t>
      </w:r>
      <w:r w:rsidR="00B66C86">
        <w:t xml:space="preserve">October 2022, </w:t>
      </w:r>
      <w:r w:rsidR="00CB46F0">
        <w:t xml:space="preserve">Carmelo discloses that </w:t>
      </w:r>
      <w:r w:rsidR="00A02956">
        <w:t xml:space="preserve">about </w:t>
      </w:r>
      <w:r w:rsidR="000113BA">
        <w:t>three</w:t>
      </w:r>
      <w:r w:rsidR="00A02956">
        <w:t xml:space="preserve"> weeks </w:t>
      </w:r>
      <w:r w:rsidR="000A1DBD">
        <w:t>after he provided his asset disclosure affidavit</w:t>
      </w:r>
      <w:r w:rsidR="00E96FF0">
        <w:t>,</w:t>
      </w:r>
      <w:r w:rsidR="00A02956">
        <w:t xml:space="preserve"> he</w:t>
      </w:r>
      <w:r w:rsidR="008C6CEA">
        <w:t>, as purchaser,</w:t>
      </w:r>
      <w:r w:rsidR="00A02956">
        <w:t xml:space="preserve"> </w:t>
      </w:r>
      <w:r w:rsidR="00AE4A80">
        <w:t>exchanged contracts</w:t>
      </w:r>
      <w:r w:rsidR="00A02956">
        <w:t xml:space="preserve"> </w:t>
      </w:r>
      <w:r w:rsidR="008C6CEA">
        <w:t>for the purchase of</w:t>
      </w:r>
      <w:r w:rsidR="00A02956">
        <w:t xml:space="preserve"> a</w:t>
      </w:r>
      <w:r w:rsidR="00B66C86">
        <w:t xml:space="preserve"> </w:t>
      </w:r>
      <w:r w:rsidR="006A369E">
        <w:t>real property in Elizabeth Hills</w:t>
      </w:r>
      <w:r w:rsidR="00FE5746">
        <w:t xml:space="preserve">, NSW for the </w:t>
      </w:r>
      <w:r w:rsidR="00060F4E">
        <w:t>contract price of $1,420,000</w:t>
      </w:r>
      <w:r w:rsidR="008C6CEA">
        <w:t xml:space="preserve"> and the</w:t>
      </w:r>
      <w:r w:rsidR="00B14BBB">
        <w:t xml:space="preserve"> </w:t>
      </w:r>
      <w:r w:rsidR="00FF30E0">
        <w:t xml:space="preserve">settlement of the purchase was effected on </w:t>
      </w:r>
      <w:r w:rsidR="006A6556">
        <w:t>7</w:t>
      </w:r>
      <w:r w:rsidR="00C7316E">
        <w:t> </w:t>
      </w:r>
      <w:r w:rsidR="006A6556">
        <w:t xml:space="preserve">December 2021. </w:t>
      </w:r>
      <w:r w:rsidR="00B66C86">
        <w:t xml:space="preserve">Carmelo </w:t>
      </w:r>
      <w:r w:rsidR="001C58FD">
        <w:t xml:space="preserve">does not offer any explanation </w:t>
      </w:r>
      <w:r w:rsidR="00BB6C90">
        <w:t>for</w:t>
      </w:r>
      <w:r w:rsidR="00B66C86">
        <w:t xml:space="preserve"> how </w:t>
      </w:r>
      <w:r w:rsidR="007B6307">
        <w:t>he</w:t>
      </w:r>
      <w:r w:rsidR="00B66C86">
        <w:t xml:space="preserve"> source</w:t>
      </w:r>
      <w:r w:rsidR="007B6307">
        <w:t>d</w:t>
      </w:r>
      <w:r w:rsidR="00B66C86">
        <w:t xml:space="preserve"> the funds to do so</w:t>
      </w:r>
      <w:r w:rsidR="00FD535E">
        <w:t xml:space="preserve">, given he had </w:t>
      </w:r>
      <w:r w:rsidR="0015689A">
        <w:t xml:space="preserve">only weeks earlier deposed to having </w:t>
      </w:r>
      <w:r w:rsidR="00E96FF0">
        <w:t>very low value</w:t>
      </w:r>
      <w:r w:rsidR="0015689A">
        <w:t xml:space="preserve"> assets</w:t>
      </w:r>
      <w:r w:rsidR="00B66C86">
        <w:t xml:space="preserve">. </w:t>
      </w:r>
      <w:r w:rsidR="002C1C9D">
        <w:t>It then emerged that i</w:t>
      </w:r>
      <w:r w:rsidR="00000153">
        <w:t xml:space="preserve">n </w:t>
      </w:r>
      <w:r w:rsidR="001873B2">
        <w:t>mid</w:t>
      </w:r>
      <w:r w:rsidR="00885577">
        <w:noBreakHyphen/>
      </w:r>
      <w:r w:rsidR="001873B2">
        <w:t xml:space="preserve">2022, Carmelo offered the </w:t>
      </w:r>
      <w:r w:rsidR="00F33209">
        <w:t>property for sale through a real estate agent, hoping to se</w:t>
      </w:r>
      <w:r w:rsidR="002C1C9D">
        <w:t>ll</w:t>
      </w:r>
      <w:r w:rsidR="00F33209">
        <w:t xml:space="preserve"> the property for </w:t>
      </w:r>
      <w:r w:rsidR="007212D8">
        <w:t xml:space="preserve">$1,500,000. </w:t>
      </w:r>
      <w:r w:rsidR="00762872">
        <w:t>Between early July and mid-September 2022 he received offers in</w:t>
      </w:r>
      <w:r w:rsidR="00965F99">
        <w:t xml:space="preserve"> the</w:t>
      </w:r>
      <w:r w:rsidR="00762872">
        <w:t xml:space="preserve"> range of about </w:t>
      </w:r>
      <w:r w:rsidR="00111D1A">
        <w:t>$</w:t>
      </w:r>
      <w:r w:rsidR="00B53CA5">
        <w:t>1,250</w:t>
      </w:r>
      <w:r w:rsidR="00CB508B">
        <w:t>,000 to $1,380,000</w:t>
      </w:r>
      <w:r w:rsidR="00F33209">
        <w:t xml:space="preserve">. </w:t>
      </w:r>
      <w:r w:rsidR="00965F99">
        <w:t xml:space="preserve">He says that because he did not receive offers in his desired </w:t>
      </w:r>
      <w:r w:rsidR="00FB579D">
        <w:t>range, he withdrew the pro</w:t>
      </w:r>
      <w:r w:rsidR="002C1C9D">
        <w:t xml:space="preserve">perty from sale. </w:t>
      </w:r>
      <w:r w:rsidR="006A2D22">
        <w:t xml:space="preserve">Based on the evidence as it stands, </w:t>
      </w:r>
      <w:r w:rsidR="004E0210">
        <w:t xml:space="preserve">and the absence of an explanation as to how he </w:t>
      </w:r>
      <w:r w:rsidR="00D643D7">
        <w:t>funded the acquisition of the property,</w:t>
      </w:r>
      <w:r w:rsidR="004E0210">
        <w:t xml:space="preserve"> I infer that</w:t>
      </w:r>
      <w:r w:rsidR="007A7FA6">
        <w:t>, on the evidence before me, it appears that</w:t>
      </w:r>
      <w:r w:rsidR="004E0210">
        <w:t xml:space="preserve"> Carmelo </w:t>
      </w:r>
      <w:r w:rsidR="00700506">
        <w:t>may</w:t>
      </w:r>
      <w:r w:rsidR="00D643D7">
        <w:t xml:space="preserve"> not </w:t>
      </w:r>
      <w:r w:rsidR="00700506">
        <w:t>have</w:t>
      </w:r>
      <w:r w:rsidR="00D643D7" w:rsidRPr="003E55A8">
        <w:t xml:space="preserve"> </w:t>
      </w:r>
      <w:r w:rsidR="00D643D7">
        <w:t xml:space="preserve">been frank in </w:t>
      </w:r>
      <w:r w:rsidR="003716F2">
        <w:t xml:space="preserve">his asset disclosure affidavit. Coupled with the recent attempt to sell the property </w:t>
      </w:r>
      <w:r w:rsidR="0055767C">
        <w:t>I am satisfied</w:t>
      </w:r>
      <w:r w:rsidR="006A2D22">
        <w:t xml:space="preserve"> that </w:t>
      </w:r>
      <w:r w:rsidR="0055767C">
        <w:t xml:space="preserve">there the applicants have established </w:t>
      </w:r>
      <w:r w:rsidR="006A2D22">
        <w:t xml:space="preserve">the </w:t>
      </w:r>
      <w:r w:rsidR="0055767C">
        <w:t>requisite risk</w:t>
      </w:r>
      <w:r w:rsidR="006A2D22">
        <w:t xml:space="preserve"> of </w:t>
      </w:r>
      <w:r w:rsidR="0055767C">
        <w:t xml:space="preserve">dissipation </w:t>
      </w:r>
      <w:r w:rsidR="007D1DDE">
        <w:t>necessary to</w:t>
      </w:r>
      <w:r w:rsidR="00B66C86">
        <w:t xml:space="preserve"> extend the freezing orders against Carmelo. </w:t>
      </w:r>
    </w:p>
    <w:p w14:paraId="4BB35F98" w14:textId="71E98A4A" w:rsidR="002339D1" w:rsidRPr="003E55A8" w:rsidRDefault="006D48AC" w:rsidP="006D48AC">
      <w:pPr>
        <w:pStyle w:val="ParaNumbering"/>
        <w:numPr>
          <w:ilvl w:val="0"/>
          <w:numId w:val="0"/>
        </w:numPr>
        <w:ind w:hanging="720"/>
        <w:rPr>
          <w:color w:val="92D050"/>
        </w:rPr>
      </w:pPr>
      <w:r w:rsidRPr="003E55A8">
        <w:rPr>
          <w:sz w:val="20"/>
        </w:rPr>
        <w:t>106</w:t>
      </w:r>
      <w:r w:rsidRPr="003E55A8">
        <w:rPr>
          <w:sz w:val="20"/>
        </w:rPr>
        <w:tab/>
      </w:r>
      <w:r w:rsidR="002339D1">
        <w:t>For completeness, I note that it was submitted on behalf of Carmelo that another reason to discharge the freezing order against him was bec</w:t>
      </w:r>
      <w:r w:rsidR="00825C51">
        <w:t xml:space="preserve">ause on the </w:t>
      </w:r>
      <w:r w:rsidR="00825C51" w:rsidRPr="00825C51">
        <w:rPr>
          <w:i/>
          <w:iCs/>
        </w:rPr>
        <w:t xml:space="preserve">ex parte </w:t>
      </w:r>
      <w:r w:rsidR="00825C51">
        <w:t xml:space="preserve">application, counsel for the applicants had breached his duty of candour to the Court. </w:t>
      </w:r>
      <w:r w:rsidR="00852C55">
        <w:t>It is alleged that the explanation proffered by the applicants for the delay in bringing the application</w:t>
      </w:r>
      <w:r w:rsidR="00990D30">
        <w:t xml:space="preserve"> against Carmelo</w:t>
      </w:r>
      <w:r w:rsidR="00852C55">
        <w:t xml:space="preserve"> </w:t>
      </w:r>
      <w:r w:rsidR="00852C55" w:rsidRPr="004204A4">
        <w:t>was that an affidavit from Sam on behalf of Accolade and Reliance failed to disclose the explanation for the transfer of some $273,000 to Carmelo</w:t>
      </w:r>
      <w:r w:rsidR="00852C55">
        <w:t xml:space="preserve"> however</w:t>
      </w:r>
      <w:r w:rsidR="008557D0">
        <w:t>,</w:t>
      </w:r>
      <w:r w:rsidR="00852C55" w:rsidRPr="004204A4">
        <w:t xml:space="preserve"> counsel for the </w:t>
      </w:r>
      <w:r w:rsidR="00852C55">
        <w:t>a</w:t>
      </w:r>
      <w:r w:rsidR="00852C55" w:rsidRPr="004204A4">
        <w:t>pplicants failed to draw the Court’s attention to the fact that Mr Hurst already knew, as early as 6 April 2021, an amount of $273,000 was paid from Reliance to Carmelo.</w:t>
      </w:r>
      <w:r w:rsidR="00267CE9" w:rsidRPr="00267CE9">
        <w:t xml:space="preserve"> </w:t>
      </w:r>
      <w:r w:rsidR="00267CE9">
        <w:t xml:space="preserve">I have reviewed the transcript of the </w:t>
      </w:r>
      <w:r w:rsidR="00267CE9" w:rsidRPr="00825C51">
        <w:rPr>
          <w:i/>
          <w:iCs/>
        </w:rPr>
        <w:t>ex parte</w:t>
      </w:r>
      <w:r w:rsidR="00267CE9">
        <w:t xml:space="preserve"> application which Carmelo relies on in making this submission.</w:t>
      </w:r>
    </w:p>
    <w:p w14:paraId="7CBCD14D" w14:textId="0FCE218B" w:rsidR="00DE000C" w:rsidRPr="00B0341C" w:rsidRDefault="006D48AC" w:rsidP="006D48AC">
      <w:pPr>
        <w:pStyle w:val="ParaNumbering"/>
        <w:numPr>
          <w:ilvl w:val="0"/>
          <w:numId w:val="0"/>
        </w:numPr>
        <w:ind w:hanging="720"/>
      </w:pPr>
      <w:r w:rsidRPr="00B0341C">
        <w:rPr>
          <w:sz w:val="20"/>
        </w:rPr>
        <w:lastRenderedPageBreak/>
        <w:t>107</w:t>
      </w:r>
      <w:r w:rsidRPr="00B0341C">
        <w:rPr>
          <w:sz w:val="20"/>
        </w:rPr>
        <w:tab/>
      </w:r>
      <w:r w:rsidR="00302B8A">
        <w:t>I</w:t>
      </w:r>
      <w:r w:rsidR="00475D0F">
        <w:t>t is tolerably clear that</w:t>
      </w:r>
      <w:r w:rsidR="00D35D25">
        <w:t xml:space="preserve"> </w:t>
      </w:r>
      <w:r w:rsidR="00BF2BB0">
        <w:t xml:space="preserve">counsel for the applicants in fact </w:t>
      </w:r>
      <w:r w:rsidR="000815B7">
        <w:t>expressly stated that Mr Hurst had been aware of the transaction “a few months ago” however it was the failure of Sam in his affidavit to disclose why that transaction occurred which “spurred” Mr</w:t>
      </w:r>
      <w:r w:rsidR="00E12B9D">
        <w:t> </w:t>
      </w:r>
      <w:r w:rsidR="000815B7">
        <w:t xml:space="preserve">Hurst to join </w:t>
      </w:r>
      <w:r w:rsidR="00DE000C">
        <w:t>Carmelo</w:t>
      </w:r>
      <w:r w:rsidR="00D35D25">
        <w:t xml:space="preserve">. The respondents’ submission that counsel for the applicants breached their duty of candour on an </w:t>
      </w:r>
      <w:r w:rsidR="00D35D25" w:rsidRPr="00775314">
        <w:rPr>
          <w:i/>
          <w:iCs/>
        </w:rPr>
        <w:t>ex parte</w:t>
      </w:r>
      <w:r w:rsidR="00D35D25">
        <w:t xml:space="preserve"> application </w:t>
      </w:r>
      <w:r w:rsidR="009361C4">
        <w:t>proceeds on a false premise</w:t>
      </w:r>
      <w:r w:rsidR="00D35D25">
        <w:t xml:space="preserve"> and I reject it. </w:t>
      </w:r>
    </w:p>
    <w:p w14:paraId="6CD40280" w14:textId="77777777" w:rsidR="00FD41C0" w:rsidRDefault="00FD41C0" w:rsidP="00FD41C0">
      <w:pPr>
        <w:pStyle w:val="Heading2"/>
      </w:pPr>
      <w:r>
        <w:t>Determination</w:t>
      </w:r>
    </w:p>
    <w:p w14:paraId="1C70EC9A" w14:textId="5EAF8D57" w:rsidR="00FD41C0" w:rsidRPr="008B6629" w:rsidRDefault="006D48AC" w:rsidP="006D48AC">
      <w:pPr>
        <w:pStyle w:val="ParaNumbering"/>
        <w:numPr>
          <w:ilvl w:val="0"/>
          <w:numId w:val="0"/>
        </w:numPr>
        <w:ind w:hanging="720"/>
      </w:pPr>
      <w:r w:rsidRPr="008B6629">
        <w:rPr>
          <w:sz w:val="20"/>
        </w:rPr>
        <w:t>108</w:t>
      </w:r>
      <w:r w:rsidRPr="008B6629">
        <w:rPr>
          <w:sz w:val="20"/>
        </w:rPr>
        <w:tab/>
      </w:r>
      <w:r w:rsidR="00E84E09">
        <w:t xml:space="preserve">For these reasons, I am satisfied that the freezing orders made against Sam and Carmelo </w:t>
      </w:r>
      <w:r w:rsidR="009A4789">
        <w:t xml:space="preserve">should </w:t>
      </w:r>
      <w:r w:rsidR="00E84E09">
        <w:t xml:space="preserve">be </w:t>
      </w:r>
      <w:r w:rsidR="009A4789">
        <w:t>continued until further order</w:t>
      </w:r>
      <w:r w:rsidR="003A7277">
        <w:t xml:space="preserve"> whereas the freezing order against David should be discharged</w:t>
      </w:r>
      <w:r w:rsidR="00E84E09">
        <w:t xml:space="preserve">. </w:t>
      </w:r>
      <w:r w:rsidR="00514A8C">
        <w:t xml:space="preserve">In the ordinary course, costs should follow the event. Accordingly, </w:t>
      </w:r>
      <w:r w:rsidR="006125C2">
        <w:t xml:space="preserve">in the absence of any application for a different costs order, I will order that </w:t>
      </w:r>
      <w:r w:rsidR="00563A95">
        <w:t xml:space="preserve">the applicants must pay </w:t>
      </w:r>
      <w:r w:rsidR="00D108AB">
        <w:t xml:space="preserve">David’s </w:t>
      </w:r>
      <w:r w:rsidR="00563A95">
        <w:t xml:space="preserve">costs of this </w:t>
      </w:r>
      <w:r w:rsidR="00563A95">
        <w:rPr>
          <w:i/>
          <w:iCs/>
        </w:rPr>
        <w:t xml:space="preserve">inter partes </w:t>
      </w:r>
      <w:r w:rsidR="00563A95">
        <w:t>application</w:t>
      </w:r>
      <w:r w:rsidR="00D108AB">
        <w:t xml:space="preserve"> and that </w:t>
      </w:r>
      <w:r w:rsidR="003143E5">
        <w:t xml:space="preserve">Sam and Carmelo pay the applicants’ of this </w:t>
      </w:r>
      <w:r w:rsidR="003143E5">
        <w:rPr>
          <w:i/>
          <w:iCs/>
        </w:rPr>
        <w:t xml:space="preserve">inter partes </w:t>
      </w:r>
      <w:r w:rsidR="003143E5">
        <w:t>application as it relates to Sam and Carmelo</w:t>
      </w:r>
      <w:r w:rsidR="00D47726">
        <w:t>.</w:t>
      </w:r>
      <w:r w:rsidR="00BE5102">
        <w:t xml:space="preserve"> I will </w:t>
      </w:r>
      <w:r w:rsidR="005B5083">
        <w:t xml:space="preserve">however </w:t>
      </w:r>
      <w:r w:rsidR="00BE5102">
        <w:t xml:space="preserve">afford the parties an opportunity to </w:t>
      </w:r>
      <w:r w:rsidR="005B5083">
        <w:t>apply for</w:t>
      </w:r>
      <w:r w:rsidR="00BE5102">
        <w:t xml:space="preserve"> a different costs order</w:t>
      </w:r>
      <w:r w:rsidR="005B5083">
        <w:t xml:space="preserve"> if they seek to do so</w:t>
      </w:r>
      <w:r w:rsidR="00563A95">
        <w:t xml:space="preserve">. </w:t>
      </w:r>
      <w:r w:rsidR="00E84E09">
        <w:t xml:space="preserve">The parties are to confer and </w:t>
      </w:r>
      <w:r w:rsidR="00DB2136">
        <w:t>submit</w:t>
      </w:r>
      <w:r w:rsidR="00E84E09">
        <w:t xml:space="preserve"> short minutes of order to give effect</w:t>
      </w:r>
      <w:r w:rsidR="00563A95">
        <w:t xml:space="preserve"> these orders. </w:t>
      </w:r>
    </w:p>
    <w:p w14:paraId="17F5102B" w14:textId="5F343A61" w:rsidR="00B565E7" w:rsidRDefault="006D48AC" w:rsidP="00105E4B">
      <w:pPr>
        <w:pStyle w:val="Heading1"/>
      </w:pPr>
      <w:r>
        <w:rPr>
          <w:caps w:val="0"/>
        </w:rPr>
        <w:t xml:space="preserve">REVIEW APPLICATION </w:t>
      </w:r>
    </w:p>
    <w:p w14:paraId="1C607FA4" w14:textId="4F0E011F" w:rsidR="00022DD6" w:rsidRDefault="00022DD6" w:rsidP="00105E4B">
      <w:pPr>
        <w:pStyle w:val="Heading2"/>
      </w:pPr>
      <w:r>
        <w:t>Introduction</w:t>
      </w:r>
    </w:p>
    <w:p w14:paraId="205DE860" w14:textId="7CD6FCDC" w:rsidR="00962E0C" w:rsidRDefault="006D48AC" w:rsidP="006D48AC">
      <w:pPr>
        <w:pStyle w:val="ParaNumbering"/>
        <w:numPr>
          <w:ilvl w:val="0"/>
          <w:numId w:val="0"/>
        </w:numPr>
        <w:ind w:hanging="720"/>
      </w:pPr>
      <w:r>
        <w:rPr>
          <w:sz w:val="20"/>
        </w:rPr>
        <w:t>109</w:t>
      </w:r>
      <w:r>
        <w:rPr>
          <w:sz w:val="20"/>
        </w:rPr>
        <w:tab/>
      </w:r>
      <w:r w:rsidR="00962E0C">
        <w:t>On or shortly after 26</w:t>
      </w:r>
      <w:r w:rsidR="001C25A8">
        <w:t> </w:t>
      </w:r>
      <w:r w:rsidR="00962E0C">
        <w:t xml:space="preserve">April 2022, the applicants served notices to produce on each of Accolade and Reliance seeking production of </w:t>
      </w:r>
      <w:r w:rsidR="008655F9">
        <w:t xml:space="preserve">the trust deeds </w:t>
      </w:r>
      <w:r w:rsidR="00616CC6">
        <w:t>for</w:t>
      </w:r>
      <w:r w:rsidR="00962E0C" w:rsidRPr="00F4566A" w:rsidDel="00B17819">
        <w:t xml:space="preserve"> the </w:t>
      </w:r>
      <w:r w:rsidR="00962E0C" w:rsidRPr="00F4566A">
        <w:t>“Accolade Trust”</w:t>
      </w:r>
      <w:r w:rsidR="00B17819">
        <w:t xml:space="preserve"> and </w:t>
      </w:r>
      <w:r w:rsidR="00B17819" w:rsidRPr="00F4566A">
        <w:t xml:space="preserve">“Reliance Discretionary Trust” </w:t>
      </w:r>
      <w:r w:rsidR="00616CC6">
        <w:t xml:space="preserve">and </w:t>
      </w:r>
      <w:r w:rsidR="00962E0C" w:rsidRPr="00F4566A">
        <w:t>for</w:t>
      </w:r>
      <w:r w:rsidR="00616CC6">
        <w:t xml:space="preserve"> documents for</w:t>
      </w:r>
      <w:r w:rsidR="00962E0C" w:rsidRPr="00F4566A">
        <w:t xml:space="preserve"> the financial years 2017 to </w:t>
      </w:r>
      <w:r w:rsidR="00962E0C" w:rsidRPr="004C37E9">
        <w:t>2021</w:t>
      </w:r>
      <w:r w:rsidR="00616CC6">
        <w:t xml:space="preserve"> related to those trusts</w:t>
      </w:r>
      <w:r w:rsidR="00962E0C" w:rsidRPr="004C37E9">
        <w:t>.</w:t>
      </w:r>
      <w:r w:rsidR="00962E0C">
        <w:t xml:space="preserve"> On 4 May 2022, Accolade and Reliance filed an interlocutory application seeking to set aside the notices to produce (</w:t>
      </w:r>
      <w:r w:rsidR="00962E0C" w:rsidRPr="00962E0C">
        <w:rPr>
          <w:b/>
        </w:rPr>
        <w:t>NTP Application</w:t>
      </w:r>
      <w:r w:rsidR="00962E0C" w:rsidRPr="004C37E9">
        <w:t>)</w:t>
      </w:r>
      <w:r w:rsidR="00417A1E">
        <w:rPr>
          <w:b/>
        </w:rPr>
        <w:t xml:space="preserve"> </w:t>
      </w:r>
      <w:r w:rsidR="00417A1E">
        <w:t>which was referred</w:t>
      </w:r>
      <w:r w:rsidR="00962E0C">
        <w:t xml:space="preserve"> to a Registrar of the Court for determination</w:t>
      </w:r>
      <w:r w:rsidR="0084645A">
        <w:t xml:space="preserve">. </w:t>
      </w:r>
      <w:r w:rsidR="008C74CC">
        <w:t xml:space="preserve">The Registrar concluded that the NTP Application should be dismissed because, </w:t>
      </w:r>
      <w:r w:rsidR="008C74CC" w:rsidRPr="008C74CC">
        <w:rPr>
          <w:i/>
        </w:rPr>
        <w:t>inter alia</w:t>
      </w:r>
      <w:r w:rsidR="008C74CC">
        <w:t xml:space="preserve">, the issue as to who controls each of </w:t>
      </w:r>
      <w:r w:rsidR="008C74CC" w:rsidDel="00A94003">
        <w:t xml:space="preserve">the </w:t>
      </w:r>
      <w:r w:rsidR="008C74CC">
        <w:t>Accolade Trust</w:t>
      </w:r>
      <w:r w:rsidR="00A94003">
        <w:t xml:space="preserve"> and the Reliance Discretionary Trus</w:t>
      </w:r>
      <w:r w:rsidR="001F2FFD">
        <w:t>t</w:t>
      </w:r>
      <w:r w:rsidR="008C74CC">
        <w:t xml:space="preserve"> is relevant to the substantive proceeding. </w:t>
      </w:r>
    </w:p>
    <w:p w14:paraId="3948D846" w14:textId="2EF80B51" w:rsidR="00B565E7" w:rsidRDefault="006D48AC" w:rsidP="006D48AC">
      <w:pPr>
        <w:pStyle w:val="ParaNumbering"/>
        <w:numPr>
          <w:ilvl w:val="0"/>
          <w:numId w:val="0"/>
        </w:numPr>
        <w:ind w:hanging="720"/>
      </w:pPr>
      <w:r>
        <w:rPr>
          <w:sz w:val="20"/>
        </w:rPr>
        <w:t>110</w:t>
      </w:r>
      <w:r>
        <w:rPr>
          <w:sz w:val="20"/>
        </w:rPr>
        <w:tab/>
      </w:r>
      <w:r w:rsidR="00962E0C">
        <w:t xml:space="preserve">By interlocutory application </w:t>
      </w:r>
      <w:r w:rsidR="008C74CC">
        <w:t>pursuant to ss</w:t>
      </w:r>
      <w:r w:rsidR="001C25A8">
        <w:t> </w:t>
      </w:r>
      <w:r w:rsidR="008C74CC">
        <w:t xml:space="preserve">35A(5) and (6) of the </w:t>
      </w:r>
      <w:r w:rsidR="002C7A66" w:rsidRPr="00F4566A">
        <w:t>FCA Act</w:t>
      </w:r>
      <w:r w:rsidR="00014E91" w:rsidRPr="00014E91">
        <w:t xml:space="preserve"> </w:t>
      </w:r>
      <w:r w:rsidR="008C74CC">
        <w:t>an</w:t>
      </w:r>
      <w:r w:rsidR="002C7A66">
        <w:t>d</w:t>
      </w:r>
      <w:r w:rsidR="008C74CC">
        <w:t xml:space="preserve"> r</w:t>
      </w:r>
      <w:r w:rsidR="00174CEA">
        <w:t> </w:t>
      </w:r>
      <w:r w:rsidR="008C74CC">
        <w:t xml:space="preserve">3.11(1) of the </w:t>
      </w:r>
      <w:r w:rsidR="00AD394D" w:rsidRPr="00AD394D">
        <w:t>Rules</w:t>
      </w:r>
      <w:r w:rsidR="00014E91">
        <w:t xml:space="preserve">, </w:t>
      </w:r>
      <w:r w:rsidR="008C74CC">
        <w:t>Accolade and Reliance seek</w:t>
      </w:r>
      <w:r w:rsidR="00962E0C">
        <w:t xml:space="preserve"> </w:t>
      </w:r>
      <w:r w:rsidR="00A25DA1">
        <w:t xml:space="preserve">a </w:t>
      </w:r>
      <w:r w:rsidR="008C74CC">
        <w:t xml:space="preserve">review </w:t>
      </w:r>
      <w:r w:rsidR="00A25DA1">
        <w:t>of</w:t>
      </w:r>
      <w:r w:rsidR="008C74CC">
        <w:t xml:space="preserve"> the </w:t>
      </w:r>
      <w:r w:rsidR="00A25DA1">
        <w:t>Registrar’s deci</w:t>
      </w:r>
      <w:r w:rsidR="00FD2808">
        <w:t>sion</w:t>
      </w:r>
      <w:r w:rsidR="00B871ED">
        <w:t xml:space="preserve"> and that </w:t>
      </w:r>
      <w:r w:rsidR="000412F5">
        <w:t>the Registrar’s orders and the notices to produce be set aside</w:t>
      </w:r>
      <w:r w:rsidR="00962E0C">
        <w:t xml:space="preserve">. </w:t>
      </w:r>
      <w:r w:rsidR="00507B62">
        <w:t>The review application is to be determined on</w:t>
      </w:r>
      <w:r w:rsidR="008C74CC">
        <w:t xml:space="preserve"> the </w:t>
      </w:r>
      <w:r w:rsidR="00507B62">
        <w:t>papers.</w:t>
      </w:r>
    </w:p>
    <w:p w14:paraId="019FC5F9" w14:textId="77777777" w:rsidR="00833157" w:rsidRDefault="00833157" w:rsidP="00F41A79">
      <w:pPr>
        <w:pStyle w:val="Heading2"/>
      </w:pPr>
      <w:r>
        <w:lastRenderedPageBreak/>
        <w:t>Evidence</w:t>
      </w:r>
    </w:p>
    <w:p w14:paraId="5BB29214" w14:textId="3631C8FB" w:rsidR="003B57FA" w:rsidRDefault="006D48AC" w:rsidP="006D48AC">
      <w:pPr>
        <w:pStyle w:val="ParaNumbering"/>
        <w:numPr>
          <w:ilvl w:val="0"/>
          <w:numId w:val="0"/>
        </w:numPr>
        <w:ind w:hanging="720"/>
      </w:pPr>
      <w:r>
        <w:rPr>
          <w:sz w:val="20"/>
        </w:rPr>
        <w:t>111</w:t>
      </w:r>
      <w:r>
        <w:rPr>
          <w:sz w:val="20"/>
        </w:rPr>
        <w:tab/>
      </w:r>
      <w:r w:rsidR="003B57FA">
        <w:t xml:space="preserve">Accolade and Reliance did not file evidence in support of their application. The applicants rely on </w:t>
      </w:r>
      <w:r w:rsidR="00F86E08">
        <w:t xml:space="preserve">the evidence that was before the Registrar and in addition </w:t>
      </w:r>
      <w:r w:rsidR="003B57FA">
        <w:t>an affidavit of Mr Doue</w:t>
      </w:r>
      <w:r w:rsidR="009C006A">
        <w:t>i</w:t>
      </w:r>
      <w:r w:rsidR="003B57FA">
        <w:t>hi sworn 28</w:t>
      </w:r>
      <w:r w:rsidR="00BB43E7">
        <w:t> </w:t>
      </w:r>
      <w:r w:rsidR="003B57FA">
        <w:t>July 2022 and annexures GD</w:t>
      </w:r>
      <w:r w:rsidR="001C25A8">
        <w:noBreakHyphen/>
      </w:r>
      <w:r w:rsidR="003B57FA">
        <w:t>39 and GD</w:t>
      </w:r>
      <w:r w:rsidR="001C25A8">
        <w:noBreakHyphen/>
      </w:r>
      <w:r w:rsidR="003B57FA">
        <w:t xml:space="preserve">40 thereto. </w:t>
      </w:r>
    </w:p>
    <w:p w14:paraId="1BF3060E" w14:textId="77777777" w:rsidR="00833157" w:rsidRDefault="00833157" w:rsidP="00F41A79">
      <w:pPr>
        <w:pStyle w:val="Heading2"/>
      </w:pPr>
      <w:r>
        <w:t>Legal Principles</w:t>
      </w:r>
    </w:p>
    <w:p w14:paraId="3B34804F" w14:textId="103401B2" w:rsidR="00AD104B" w:rsidRDefault="006D48AC" w:rsidP="006D48AC">
      <w:pPr>
        <w:pStyle w:val="ParaNumbering"/>
        <w:numPr>
          <w:ilvl w:val="0"/>
          <w:numId w:val="0"/>
        </w:numPr>
        <w:ind w:hanging="720"/>
      </w:pPr>
      <w:r>
        <w:rPr>
          <w:sz w:val="20"/>
        </w:rPr>
        <w:t>112</w:t>
      </w:r>
      <w:r>
        <w:rPr>
          <w:sz w:val="20"/>
        </w:rPr>
        <w:tab/>
      </w:r>
      <w:r w:rsidR="00AE6B46" w:rsidRPr="00546C8A">
        <w:t xml:space="preserve">A party may apply to the Court under </w:t>
      </w:r>
      <w:r w:rsidR="00AE6B46">
        <w:t>s</w:t>
      </w:r>
      <w:r w:rsidR="00BB43E7">
        <w:t> </w:t>
      </w:r>
      <w:r w:rsidR="00AE6B46" w:rsidRPr="00546C8A">
        <w:t xml:space="preserve">35A(5) of the </w:t>
      </w:r>
      <w:r w:rsidR="00AE6B46">
        <w:t>FCA Act</w:t>
      </w:r>
      <w:r w:rsidR="00AE6B46" w:rsidRPr="00546C8A">
        <w:t xml:space="preserve"> and </w:t>
      </w:r>
      <w:r w:rsidR="00AE6B46">
        <w:t>r</w:t>
      </w:r>
      <w:r w:rsidR="00BB43E7">
        <w:t> </w:t>
      </w:r>
      <w:r w:rsidR="00AE6B46" w:rsidRPr="00546C8A">
        <w:t xml:space="preserve">3.11 of the </w:t>
      </w:r>
      <w:r w:rsidR="00AE6B46">
        <w:t xml:space="preserve">Rules </w:t>
      </w:r>
      <w:r w:rsidR="00AE6B46" w:rsidRPr="00546C8A">
        <w:t xml:space="preserve">for review of the exercise of a power of the Court by a Registrar. A review under </w:t>
      </w:r>
      <w:r w:rsidR="00AE6B46">
        <w:t>s</w:t>
      </w:r>
      <w:r w:rsidR="00BB43E7">
        <w:t> </w:t>
      </w:r>
      <w:r w:rsidR="00AE6B46" w:rsidRPr="00546C8A">
        <w:t xml:space="preserve">35A(5) of the </w:t>
      </w:r>
      <w:r w:rsidR="00AE6B46">
        <w:t xml:space="preserve">FCA </w:t>
      </w:r>
      <w:r w:rsidR="00AE6B46" w:rsidRPr="00546C8A">
        <w:t xml:space="preserve">Act is in the nature of a hearing </w:t>
      </w:r>
      <w:r w:rsidR="00AE6B46" w:rsidRPr="00C80B7F">
        <w:rPr>
          <w:i/>
          <w:iCs/>
        </w:rPr>
        <w:t>de novo</w:t>
      </w:r>
      <w:r w:rsidR="00AE6B46" w:rsidRPr="00546C8A">
        <w:t xml:space="preserve">: </w:t>
      </w:r>
      <w:r w:rsidR="00AE6B46" w:rsidRPr="00546C8A">
        <w:rPr>
          <w:i/>
        </w:rPr>
        <w:t>Totev v Sfar</w:t>
      </w:r>
      <w:r w:rsidR="00AE6B46" w:rsidRPr="00546C8A">
        <w:t xml:space="preserve"> [2008] FCAFC 35; 167 FCR 193 at [13]</w:t>
      </w:r>
      <w:r w:rsidR="00D86879">
        <w:t xml:space="preserve"> (Emmett J)</w:t>
      </w:r>
      <w:r w:rsidR="000F718A">
        <w:t xml:space="preserve">, at [58] </w:t>
      </w:r>
      <w:r w:rsidR="42505835">
        <w:t>(</w:t>
      </w:r>
      <w:r w:rsidR="000F718A">
        <w:t>Bennett J agreeing</w:t>
      </w:r>
      <w:r w:rsidR="16E48528">
        <w:t>)</w:t>
      </w:r>
      <w:r w:rsidR="00491A84">
        <w:t xml:space="preserve">, at [92] </w:t>
      </w:r>
      <w:r w:rsidR="007C1FCD">
        <w:t>(Cowdroy J)</w:t>
      </w:r>
      <w:r w:rsidR="00AE6B46" w:rsidRPr="00546C8A">
        <w:t>.</w:t>
      </w:r>
      <w:r w:rsidR="00AE6B46">
        <w:t xml:space="preserve"> </w:t>
      </w:r>
      <w:r w:rsidR="00666B67">
        <w:t xml:space="preserve">A review application does not hinge on </w:t>
      </w:r>
      <w:r w:rsidR="00E61DE0">
        <w:t>error being established in the decision the subject of the review.</w:t>
      </w:r>
    </w:p>
    <w:p w14:paraId="157DB307" w14:textId="4D389EE1" w:rsidR="0029459A" w:rsidRDefault="006D48AC" w:rsidP="006D48AC">
      <w:pPr>
        <w:pStyle w:val="ParaNumbering"/>
        <w:numPr>
          <w:ilvl w:val="0"/>
          <w:numId w:val="0"/>
        </w:numPr>
        <w:ind w:hanging="720"/>
      </w:pPr>
      <w:r>
        <w:rPr>
          <w:sz w:val="20"/>
        </w:rPr>
        <w:t>113</w:t>
      </w:r>
      <w:r>
        <w:rPr>
          <w:sz w:val="20"/>
        </w:rPr>
        <w:tab/>
      </w:r>
      <w:r w:rsidR="0029459A">
        <w:t>In</w:t>
      </w:r>
      <w:r w:rsidR="6394A96A">
        <w:t xml:space="preserve"> </w:t>
      </w:r>
      <w:r w:rsidR="6394A96A" w:rsidRPr="05FCB06D">
        <w:rPr>
          <w:i/>
          <w:iCs/>
        </w:rPr>
        <w:t>Trevor, in the matter of</w:t>
      </w:r>
      <w:r w:rsidR="0029459A">
        <w:t xml:space="preserve"> </w:t>
      </w:r>
      <w:r w:rsidR="00AD104B" w:rsidRPr="00F4566A">
        <w:rPr>
          <w:b/>
          <w:i/>
        </w:rPr>
        <w:t>Bell Group NV</w:t>
      </w:r>
      <w:r w:rsidR="00AD104B" w:rsidRPr="00AD104B">
        <w:rPr>
          <w:i/>
          <w:iCs/>
        </w:rPr>
        <w:t xml:space="preserve"> (in liq) (No 2) </w:t>
      </w:r>
      <w:r w:rsidR="00AD104B" w:rsidRPr="00F4566A">
        <w:t>[2017] FCA 927; 122 ACSR 418</w:t>
      </w:r>
      <w:r w:rsidR="0029459A">
        <w:t>, Jagot J</w:t>
      </w:r>
      <w:r w:rsidR="00AD104B">
        <w:t xml:space="preserve"> (when her Honour was on this Court)</w:t>
      </w:r>
      <w:r w:rsidR="0029459A">
        <w:t xml:space="preserve"> said relevantly (at [20]):</w:t>
      </w:r>
    </w:p>
    <w:p w14:paraId="553C0DAB" w14:textId="6750BDEF" w:rsidR="00833157" w:rsidRDefault="00FA60A9" w:rsidP="00C80B7F">
      <w:pPr>
        <w:pStyle w:val="Quote1"/>
        <w:ind w:left="1440" w:hanging="703"/>
      </w:pPr>
      <w:r>
        <w:t xml:space="preserve">20. </w:t>
      </w:r>
      <w:r>
        <w:tab/>
      </w:r>
      <w:r w:rsidR="07E36C0A">
        <w:t>...</w:t>
      </w:r>
      <w:r w:rsidR="0029459A">
        <w:t xml:space="preserve">As explained by Kenny J in </w:t>
      </w:r>
      <w:r w:rsidR="0029459A" w:rsidRPr="00F4566A">
        <w:rPr>
          <w:i/>
        </w:rPr>
        <w:t>Deputy Commissioner of Taxation v Australian Securities and Investments Commission</w:t>
      </w:r>
      <w:r w:rsidR="0029459A">
        <w:t xml:space="preserve"> [2013] FCA 623; (2013) 304 ALR 319 the right of review under s 35A(5) is “by way of a hearing de novo in the sense that the parties may adduce fresh evidence as of right”, “is a complete rehearing; and the judge is not fettered by the Registrar’s decision” (at [36]), so that the “court must determine the facts on the evidence that is adduced at the hearing before it, whether or not that evidence, and the facts to which they relate, were in existence at the time the Registrar made the decision under review” (at [38]).</w:t>
      </w:r>
    </w:p>
    <w:p w14:paraId="7BE53701" w14:textId="77777777" w:rsidR="00833157" w:rsidRDefault="00833157" w:rsidP="00F41A79">
      <w:pPr>
        <w:pStyle w:val="Heading2"/>
      </w:pPr>
      <w:r>
        <w:t>Consideration</w:t>
      </w:r>
    </w:p>
    <w:p w14:paraId="4133D5CE" w14:textId="3CC0D859" w:rsidR="00280B84" w:rsidRDefault="006D48AC" w:rsidP="006D48AC">
      <w:pPr>
        <w:pStyle w:val="ParaNumbering"/>
        <w:numPr>
          <w:ilvl w:val="0"/>
          <w:numId w:val="0"/>
        </w:numPr>
        <w:ind w:hanging="720"/>
      </w:pPr>
      <w:r>
        <w:rPr>
          <w:sz w:val="20"/>
        </w:rPr>
        <w:t>114</w:t>
      </w:r>
      <w:r>
        <w:rPr>
          <w:sz w:val="20"/>
        </w:rPr>
        <w:tab/>
      </w:r>
      <w:r w:rsidR="00280B84">
        <w:t>Accolade and Reliance rely on two grounds:</w:t>
      </w:r>
    </w:p>
    <w:p w14:paraId="7C9E2642" w14:textId="6AC5AE69" w:rsidR="00280B84" w:rsidRDefault="006D48AC" w:rsidP="006D48AC">
      <w:pPr>
        <w:pStyle w:val="ListNo1"/>
        <w:numPr>
          <w:ilvl w:val="0"/>
          <w:numId w:val="0"/>
        </w:numPr>
        <w:tabs>
          <w:tab w:val="left" w:pos="1146"/>
        </w:tabs>
        <w:ind w:left="1146" w:hanging="720"/>
      </w:pPr>
      <w:r>
        <w:t>(1)</w:t>
      </w:r>
      <w:r>
        <w:tab/>
      </w:r>
      <w:r w:rsidR="00280B84">
        <w:t xml:space="preserve">That the Registrar erred in refusing to set aside the </w:t>
      </w:r>
      <w:r w:rsidR="002D7B84">
        <w:t>n</w:t>
      </w:r>
      <w:r w:rsidR="00280B84">
        <w:t xml:space="preserve">otices to </w:t>
      </w:r>
      <w:r w:rsidR="002D7B84">
        <w:t>p</w:t>
      </w:r>
      <w:r w:rsidR="00280B84">
        <w:t xml:space="preserve">roduce in circumstances </w:t>
      </w:r>
      <w:r w:rsidR="00CA059F">
        <w:t>tantamount</w:t>
      </w:r>
      <w:r w:rsidR="00EA7062">
        <w:t xml:space="preserve"> to</w:t>
      </w:r>
      <w:r w:rsidR="00280B84">
        <w:t xml:space="preserve"> </w:t>
      </w:r>
      <w:r w:rsidR="00CA059F">
        <w:t>an abuse of process</w:t>
      </w:r>
      <w:r w:rsidR="00280B84">
        <w:t>; and</w:t>
      </w:r>
    </w:p>
    <w:p w14:paraId="0C52555C" w14:textId="289B5983" w:rsidR="00833157" w:rsidRPr="008B6629" w:rsidRDefault="006D48AC" w:rsidP="006D48AC">
      <w:pPr>
        <w:pStyle w:val="ListNo1"/>
        <w:numPr>
          <w:ilvl w:val="0"/>
          <w:numId w:val="0"/>
        </w:numPr>
        <w:tabs>
          <w:tab w:val="left" w:pos="1146"/>
        </w:tabs>
        <w:ind w:left="1146" w:hanging="720"/>
      </w:pPr>
      <w:r w:rsidRPr="008B6629">
        <w:t>(2)</w:t>
      </w:r>
      <w:r w:rsidRPr="008B6629">
        <w:tab/>
      </w:r>
      <w:r w:rsidR="00EA7062">
        <w:t>That</w:t>
      </w:r>
      <w:r w:rsidR="00280B84">
        <w:t xml:space="preserve"> the Registrar erred in holding that </w:t>
      </w:r>
      <w:r w:rsidR="00EA7062">
        <w:t>n</w:t>
      </w:r>
      <w:r w:rsidR="00280B84">
        <w:t xml:space="preserve">otices to </w:t>
      </w:r>
      <w:r w:rsidR="00EA7062">
        <w:t>p</w:t>
      </w:r>
      <w:r w:rsidR="00280B84">
        <w:t xml:space="preserve">roduce may be relevant to the </w:t>
      </w:r>
      <w:r w:rsidR="00EA7062">
        <w:t>f</w:t>
      </w:r>
      <w:r w:rsidR="00280B84">
        <w:t xml:space="preserve">urther </w:t>
      </w:r>
      <w:r w:rsidR="00EA7062">
        <w:t>d</w:t>
      </w:r>
      <w:r w:rsidR="00280B84">
        <w:t xml:space="preserve">isclosure </w:t>
      </w:r>
      <w:r w:rsidR="00EA7062">
        <w:t>a</w:t>
      </w:r>
      <w:r w:rsidR="00280B84">
        <w:t xml:space="preserve">pplication against </w:t>
      </w:r>
      <w:r w:rsidR="00711339">
        <w:t>Sam</w:t>
      </w:r>
      <w:r w:rsidR="00280B84">
        <w:t xml:space="preserve"> and </w:t>
      </w:r>
      <w:r w:rsidR="00711339">
        <w:t>David</w:t>
      </w:r>
      <w:r w:rsidR="00280B84">
        <w:t xml:space="preserve"> notwithstanding</w:t>
      </w:r>
      <w:r w:rsidR="00497758">
        <w:t xml:space="preserve"> that</w:t>
      </w:r>
      <w:r w:rsidR="00280B84">
        <w:t xml:space="preserve"> the freezing orders </w:t>
      </w:r>
      <w:r w:rsidR="00175102">
        <w:t>may be</w:t>
      </w:r>
      <w:r w:rsidR="00280B84">
        <w:t xml:space="preserve"> discharged.</w:t>
      </w:r>
    </w:p>
    <w:p w14:paraId="3DB9EC7A" w14:textId="7114089D" w:rsidR="00615F3C" w:rsidRDefault="006D48AC" w:rsidP="006D48AC">
      <w:pPr>
        <w:pStyle w:val="ParaNumbering"/>
        <w:numPr>
          <w:ilvl w:val="0"/>
          <w:numId w:val="0"/>
        </w:numPr>
        <w:ind w:hanging="720"/>
      </w:pPr>
      <w:r>
        <w:rPr>
          <w:sz w:val="20"/>
        </w:rPr>
        <w:t>115</w:t>
      </w:r>
      <w:r>
        <w:rPr>
          <w:sz w:val="20"/>
        </w:rPr>
        <w:tab/>
      </w:r>
      <w:r w:rsidR="00AD104B">
        <w:t xml:space="preserve">The </w:t>
      </w:r>
      <w:r w:rsidR="00395794">
        <w:t>submission</w:t>
      </w:r>
      <w:r w:rsidR="00836DB8">
        <w:t>s advanced by Accolade and Reliance</w:t>
      </w:r>
      <w:r w:rsidR="00AD104B">
        <w:t xml:space="preserve"> proceed on the basis that the relevant state of affairs against which the </w:t>
      </w:r>
      <w:r w:rsidR="00CA059F">
        <w:t>review</w:t>
      </w:r>
      <w:r w:rsidR="00AD104B">
        <w:t xml:space="preserve"> is to be </w:t>
      </w:r>
      <w:r w:rsidR="006847EA">
        <w:t xml:space="preserve">considered is constrained to </w:t>
      </w:r>
      <w:r w:rsidR="00395794">
        <w:t>the position as it applied before the Registrar. That is not correct</w:t>
      </w:r>
      <w:r w:rsidR="00A70534">
        <w:t>:</w:t>
      </w:r>
      <w:r w:rsidR="003C609D" w:rsidRPr="00F4566A">
        <w:rPr>
          <w:i/>
        </w:rPr>
        <w:t xml:space="preserve"> Bell Group NV </w:t>
      </w:r>
      <w:r w:rsidR="003C609D" w:rsidRPr="00F4566A">
        <w:t>at [20]</w:t>
      </w:r>
      <w:r w:rsidR="00395794">
        <w:t xml:space="preserve">. </w:t>
      </w:r>
      <w:r w:rsidR="003C609D">
        <w:t xml:space="preserve">The review application falls to be determined </w:t>
      </w:r>
      <w:r w:rsidR="00175202">
        <w:t>by reference to the</w:t>
      </w:r>
      <w:r w:rsidR="00E722D7">
        <w:t xml:space="preserve"> subsequent</w:t>
      </w:r>
      <w:r w:rsidR="00175202">
        <w:t xml:space="preserve"> </w:t>
      </w:r>
      <w:r w:rsidR="0014273B">
        <w:t>determination of the Extension of the Freezing Order application and the Further Disclosure application</w:t>
      </w:r>
      <w:r w:rsidR="008C306E">
        <w:t xml:space="preserve">. </w:t>
      </w:r>
    </w:p>
    <w:p w14:paraId="3744AB63" w14:textId="4D81367C" w:rsidR="00BF236C" w:rsidRDefault="006D48AC" w:rsidP="006D48AC">
      <w:pPr>
        <w:pStyle w:val="ParaNumbering"/>
        <w:numPr>
          <w:ilvl w:val="0"/>
          <w:numId w:val="0"/>
        </w:numPr>
        <w:ind w:hanging="720"/>
      </w:pPr>
      <w:r>
        <w:rPr>
          <w:sz w:val="20"/>
        </w:rPr>
        <w:lastRenderedPageBreak/>
        <w:t>116</w:t>
      </w:r>
      <w:r>
        <w:rPr>
          <w:sz w:val="20"/>
        </w:rPr>
        <w:tab/>
      </w:r>
      <w:r w:rsidR="005A274B">
        <w:t xml:space="preserve">In the application before me, </w:t>
      </w:r>
      <w:r w:rsidR="00BF0062">
        <w:t xml:space="preserve">it was established that at the relevant times, </w:t>
      </w:r>
      <w:r w:rsidR="0035384C">
        <w:t>Reliance was operating as trustee of the Reliance Discretionary Trust</w:t>
      </w:r>
      <w:r w:rsidR="006E314B">
        <w:t>,</w:t>
      </w:r>
      <w:r w:rsidR="0035384C">
        <w:t xml:space="preserve"> Sam was the Appointor of the Reliance Discretionary Trust</w:t>
      </w:r>
      <w:r w:rsidR="00281B5B">
        <w:t xml:space="preserve"> and relevantly swore an affidavit on behalf of Reliance in </w:t>
      </w:r>
      <w:r w:rsidR="00160A2B">
        <w:t xml:space="preserve">response </w:t>
      </w:r>
      <w:r w:rsidR="003E274D">
        <w:t xml:space="preserve">to </w:t>
      </w:r>
      <w:r w:rsidR="00160A2B">
        <w:t>the existing asset disclosure orders</w:t>
      </w:r>
      <w:r w:rsidR="00E13B4C">
        <w:t>,</w:t>
      </w:r>
      <w:r w:rsidR="0035384C">
        <w:t xml:space="preserve"> and Sam is and was a general beneficiary of the Reliance Discretionary Trust.</w:t>
      </w:r>
      <w:r w:rsidR="00BF0062">
        <w:t xml:space="preserve"> </w:t>
      </w:r>
      <w:r w:rsidR="0070341D">
        <w:t xml:space="preserve">Attempts </w:t>
      </w:r>
      <w:r w:rsidR="00E60BE3">
        <w:t>by the appl</w:t>
      </w:r>
      <w:r w:rsidR="00DA5403">
        <w:t>i</w:t>
      </w:r>
      <w:r w:rsidR="00E60BE3">
        <w:t>cants</w:t>
      </w:r>
      <w:r w:rsidR="0070341D">
        <w:t xml:space="preserve"> to obtain information as to whether</w:t>
      </w:r>
      <w:r w:rsidR="00BF0062">
        <w:t xml:space="preserve"> </w:t>
      </w:r>
      <w:r w:rsidR="0096717F">
        <w:t xml:space="preserve">the affidavits filed pursuant to </w:t>
      </w:r>
      <w:r w:rsidR="000B7DD1">
        <w:t xml:space="preserve">the existing asset disclosure orders </w:t>
      </w:r>
      <w:r w:rsidR="002A54F8">
        <w:t xml:space="preserve">addressed the issue of interests in trust property have not been answered. </w:t>
      </w:r>
      <w:r w:rsidR="003C24FE">
        <w:t>A query in relation to whether s</w:t>
      </w:r>
      <w:r w:rsidR="002A54F8">
        <w:t xml:space="preserve">upplementary affidavits </w:t>
      </w:r>
      <w:r w:rsidR="003C24FE">
        <w:t>would be given similarly went unanswered.</w:t>
      </w:r>
      <w:r w:rsidR="00FB2865">
        <w:t xml:space="preserve"> In these circumstances, I conclude, that the </w:t>
      </w:r>
      <w:r w:rsidR="00F836F1">
        <w:t xml:space="preserve">issue </w:t>
      </w:r>
      <w:r w:rsidR="005C5781">
        <w:t xml:space="preserve">as to who has control over the </w:t>
      </w:r>
      <w:r w:rsidR="008C19F4">
        <w:t>two trusts</w:t>
      </w:r>
      <w:r w:rsidR="008B30FC">
        <w:t>, including with respect to distributions</w:t>
      </w:r>
      <w:r w:rsidR="00B36472">
        <w:t xml:space="preserve">, is </w:t>
      </w:r>
      <w:r w:rsidR="00921682">
        <w:t xml:space="preserve">of </w:t>
      </w:r>
      <w:r w:rsidR="00B36472">
        <w:t>relevan</w:t>
      </w:r>
      <w:r w:rsidR="00921682">
        <w:t>ce in the proceeding</w:t>
      </w:r>
      <w:r w:rsidR="0026308B">
        <w:t xml:space="preserve">. </w:t>
      </w:r>
    </w:p>
    <w:p w14:paraId="0CE69046" w14:textId="4DE10B74" w:rsidR="00615F3C" w:rsidRPr="00B646D2" w:rsidRDefault="006D48AC" w:rsidP="006D48AC">
      <w:pPr>
        <w:pStyle w:val="ParaNumbering"/>
        <w:numPr>
          <w:ilvl w:val="0"/>
          <w:numId w:val="0"/>
        </w:numPr>
        <w:ind w:hanging="720"/>
      </w:pPr>
      <w:r w:rsidRPr="00B646D2">
        <w:rPr>
          <w:sz w:val="20"/>
        </w:rPr>
        <w:t>117</w:t>
      </w:r>
      <w:r w:rsidRPr="00B646D2">
        <w:rPr>
          <w:sz w:val="20"/>
        </w:rPr>
        <w:tab/>
      </w:r>
      <w:r w:rsidR="00AF46D1" w:rsidRPr="00B646D2">
        <w:t xml:space="preserve">The extant application to continue the freezing orders on an </w:t>
      </w:r>
      <w:r w:rsidR="00AF46D1" w:rsidRPr="00B646D2">
        <w:rPr>
          <w:i/>
          <w:iCs/>
        </w:rPr>
        <w:t xml:space="preserve">inter partes </w:t>
      </w:r>
      <w:r w:rsidR="00AF46D1" w:rsidRPr="00B646D2">
        <w:t xml:space="preserve">basis </w:t>
      </w:r>
      <w:r w:rsidR="00831116" w:rsidRPr="00B646D2">
        <w:t xml:space="preserve">was brought in respect of </w:t>
      </w:r>
      <w:r w:rsidR="007209BF" w:rsidRPr="00B646D2">
        <w:t>the freezing orders against Sam, David and Carmelo</w:t>
      </w:r>
      <w:r w:rsidR="008F4894" w:rsidRPr="00B646D2">
        <w:t>, not</w:t>
      </w:r>
      <w:r w:rsidR="007209BF" w:rsidRPr="00B646D2">
        <w:t xml:space="preserve"> </w:t>
      </w:r>
      <w:r w:rsidR="00985084" w:rsidRPr="00B646D2">
        <w:t>in respect of the freezing orders against Accolade and Reliance</w:t>
      </w:r>
      <w:r w:rsidR="00C467FE" w:rsidRPr="00B646D2">
        <w:t>: see [</w:t>
      </w:r>
      <w:r w:rsidR="008B1E99" w:rsidRPr="00B646D2">
        <w:fldChar w:fldCharType="begin"/>
      </w:r>
      <w:r w:rsidR="008B1E99" w:rsidRPr="00B646D2">
        <w:instrText xml:space="preserve"> REF _Ref147238214 \r \h </w:instrText>
      </w:r>
      <w:r w:rsidR="00B646D2" w:rsidRPr="00B646D2">
        <w:instrText xml:space="preserve"> \* MERGEFORMAT </w:instrText>
      </w:r>
      <w:r w:rsidR="008B1E99" w:rsidRPr="00B646D2">
        <w:fldChar w:fldCharType="separate"/>
      </w:r>
      <w:r w:rsidR="00B559A8">
        <w:t>95</w:t>
      </w:r>
      <w:r w:rsidR="008B1E99" w:rsidRPr="00B646D2">
        <w:fldChar w:fldCharType="end"/>
      </w:r>
      <w:r w:rsidR="00C467FE" w:rsidRPr="00B646D2">
        <w:t xml:space="preserve">] above. </w:t>
      </w:r>
      <w:r w:rsidR="0005605B" w:rsidRPr="00B646D2">
        <w:t xml:space="preserve">The notices to produce are </w:t>
      </w:r>
      <w:r w:rsidR="008157D6" w:rsidRPr="00B646D2">
        <w:t xml:space="preserve">potentially relevant </w:t>
      </w:r>
      <w:r w:rsidR="00A26B47" w:rsidRPr="00B646D2">
        <w:t>on</w:t>
      </w:r>
      <w:r w:rsidR="008157D6" w:rsidRPr="00B646D2">
        <w:t xml:space="preserve"> the </w:t>
      </w:r>
      <w:r w:rsidR="00A26B47" w:rsidRPr="00B646D2">
        <w:rPr>
          <w:i/>
        </w:rPr>
        <w:t>inter partes</w:t>
      </w:r>
      <w:r w:rsidR="00A26B47" w:rsidRPr="00B646D2">
        <w:t xml:space="preserve"> application to continue these freezing orders, if and when brought. As indicated above, this is an issue on which Accolade and Reliance have waxed and waned</w:t>
      </w:r>
      <w:r w:rsidR="0085386F" w:rsidRPr="00B646D2">
        <w:t xml:space="preserve"> but their most recent position was that they</w:t>
      </w:r>
      <w:r w:rsidR="00B010A2" w:rsidRPr="00B646D2">
        <w:t xml:space="preserve"> </w:t>
      </w:r>
      <w:r w:rsidR="00534E0F" w:rsidRPr="00B646D2">
        <w:t>intended</w:t>
      </w:r>
      <w:r w:rsidR="00B010A2" w:rsidRPr="00B646D2">
        <w:t xml:space="preserve"> to </w:t>
      </w:r>
      <w:r w:rsidR="00534E0F" w:rsidRPr="00B646D2">
        <w:t>proceed at some point</w:t>
      </w:r>
      <w:r w:rsidR="00A26B47" w:rsidRPr="00B646D2">
        <w:t>.</w:t>
      </w:r>
      <w:r w:rsidR="00C467FE" w:rsidRPr="00B646D2">
        <w:t xml:space="preserve"> </w:t>
      </w:r>
    </w:p>
    <w:p w14:paraId="627221DA" w14:textId="6DC2310F" w:rsidR="00D21BDB" w:rsidRDefault="006D48AC" w:rsidP="006D48AC">
      <w:pPr>
        <w:pStyle w:val="ParaNumbering"/>
        <w:numPr>
          <w:ilvl w:val="0"/>
          <w:numId w:val="0"/>
        </w:numPr>
        <w:ind w:hanging="720"/>
      </w:pPr>
      <w:r>
        <w:rPr>
          <w:sz w:val="20"/>
        </w:rPr>
        <w:t>118</w:t>
      </w:r>
      <w:r>
        <w:rPr>
          <w:sz w:val="20"/>
        </w:rPr>
        <w:tab/>
      </w:r>
      <w:r w:rsidR="008C306E">
        <w:t>Although</w:t>
      </w:r>
      <w:r w:rsidR="0044664A">
        <w:t xml:space="preserve">, </w:t>
      </w:r>
      <w:r w:rsidR="00615F3C">
        <w:t xml:space="preserve">I have dismissed the application for further disclosure on </w:t>
      </w:r>
      <w:r w:rsidR="00E336C8">
        <w:t>the existing asset discl</w:t>
      </w:r>
      <w:r w:rsidR="002F03FE">
        <w:t>osure orders</w:t>
      </w:r>
      <w:r w:rsidR="000E3E17">
        <w:t xml:space="preserve">, </w:t>
      </w:r>
      <w:r w:rsidR="00FA01ED">
        <w:t xml:space="preserve">that is largely </w:t>
      </w:r>
      <w:r w:rsidR="0069351D">
        <w:t xml:space="preserve">a product of the fact that the applicants did not </w:t>
      </w:r>
      <w:r w:rsidR="00C30934">
        <w:t>prepare</w:t>
      </w:r>
      <w:r w:rsidR="0083584A">
        <w:t xml:space="preserve"> that application </w:t>
      </w:r>
      <w:r w:rsidR="00C30934">
        <w:t xml:space="preserve">by reference to </w:t>
      </w:r>
      <w:r w:rsidR="000012A2">
        <w:t>establishe</w:t>
      </w:r>
      <w:r w:rsidR="00F9069D">
        <w:t>d</w:t>
      </w:r>
      <w:r w:rsidR="000012A2">
        <w:t xml:space="preserve"> legal principle</w:t>
      </w:r>
      <w:r w:rsidR="001E5757">
        <w:t xml:space="preserve"> with the result that the affected parties were not afforded an </w:t>
      </w:r>
      <w:r w:rsidR="00D61D83">
        <w:t xml:space="preserve">adequate </w:t>
      </w:r>
      <w:r w:rsidR="001E5757">
        <w:t xml:space="preserve">opportunity to </w:t>
      </w:r>
      <w:r w:rsidR="00D61D83">
        <w:t>respond</w:t>
      </w:r>
      <w:r w:rsidR="005E6EA5">
        <w:t xml:space="preserve">. In light of my conclusion at </w:t>
      </w:r>
      <w:r w:rsidR="00A46D1F">
        <w:t>[</w:t>
      </w:r>
      <w:r w:rsidR="003C0B45">
        <w:fldChar w:fldCharType="begin"/>
      </w:r>
      <w:r w:rsidR="003C0B45">
        <w:instrText xml:space="preserve"> REF _Ref147238604 \r \h </w:instrText>
      </w:r>
      <w:r w:rsidR="003C0B45">
        <w:fldChar w:fldCharType="separate"/>
      </w:r>
      <w:r w:rsidR="00B559A8">
        <w:t>90</w:t>
      </w:r>
      <w:r w:rsidR="003C0B45">
        <w:fldChar w:fldCharType="end"/>
      </w:r>
      <w:r w:rsidR="00E77ECD">
        <w:t>]</w:t>
      </w:r>
      <w:r w:rsidR="003C0B45">
        <w:t xml:space="preserve"> </w:t>
      </w:r>
      <w:r w:rsidR="0098156C">
        <w:t>and</w:t>
      </w:r>
      <w:r w:rsidR="003C0B45">
        <w:t xml:space="preserve"> </w:t>
      </w:r>
      <w:r w:rsidR="00E77ECD">
        <w:t>[</w:t>
      </w:r>
      <w:r w:rsidR="003C0B45">
        <w:fldChar w:fldCharType="begin"/>
      </w:r>
      <w:r w:rsidR="003C0B45">
        <w:instrText xml:space="preserve"> REF _Ref147238611 \r \h </w:instrText>
      </w:r>
      <w:r w:rsidR="003C0B45">
        <w:fldChar w:fldCharType="separate"/>
      </w:r>
      <w:r w:rsidR="00B559A8">
        <w:t>91</w:t>
      </w:r>
      <w:r w:rsidR="003C0B45">
        <w:fldChar w:fldCharType="end"/>
      </w:r>
      <w:r w:rsidR="00A46D1F">
        <w:t xml:space="preserve">] above, </w:t>
      </w:r>
      <w:r w:rsidR="00496754">
        <w:t xml:space="preserve">I </w:t>
      </w:r>
      <w:r w:rsidR="000D66EA">
        <w:t>consider that the material sought by the notices to produce</w:t>
      </w:r>
      <w:r w:rsidR="00134A05">
        <w:t xml:space="preserve">, </w:t>
      </w:r>
      <w:r w:rsidR="0055298C">
        <w:t>is of continuing</w:t>
      </w:r>
      <w:r w:rsidR="00134A05">
        <w:t xml:space="preserve"> relevan</w:t>
      </w:r>
      <w:r w:rsidR="000047E2">
        <w:t>ce</w:t>
      </w:r>
      <w:r w:rsidR="00134A05">
        <w:t xml:space="preserve"> to the issue of </w:t>
      </w:r>
      <w:r w:rsidR="00D11DD7">
        <w:t>alleged non-</w:t>
      </w:r>
      <w:r w:rsidR="00134A05">
        <w:t xml:space="preserve">compliance with the </w:t>
      </w:r>
      <w:r w:rsidR="00502D0C">
        <w:t xml:space="preserve">existing </w:t>
      </w:r>
      <w:r w:rsidR="00134A05">
        <w:t>asset disclosure orders</w:t>
      </w:r>
      <w:r w:rsidR="00092375">
        <w:t>, which</w:t>
      </w:r>
      <w:r w:rsidR="000A3839">
        <w:t xml:space="preserve"> </w:t>
      </w:r>
      <w:r w:rsidR="00D11DD7">
        <w:t>is an issue</w:t>
      </w:r>
      <w:r w:rsidR="00092375">
        <w:t xml:space="preserve"> </w:t>
      </w:r>
      <w:r w:rsidR="00CA3798">
        <w:t xml:space="preserve">that if not addressed, is likely to be the subject of a further application. </w:t>
      </w:r>
      <w:r w:rsidR="00092375">
        <w:t xml:space="preserve"> </w:t>
      </w:r>
    </w:p>
    <w:p w14:paraId="42C3DE70" w14:textId="7B04446E" w:rsidR="00AD104B" w:rsidRDefault="006D48AC" w:rsidP="006D48AC">
      <w:pPr>
        <w:pStyle w:val="ParaNumbering"/>
        <w:numPr>
          <w:ilvl w:val="0"/>
          <w:numId w:val="0"/>
        </w:numPr>
        <w:ind w:hanging="720"/>
      </w:pPr>
      <w:r>
        <w:rPr>
          <w:sz w:val="20"/>
        </w:rPr>
        <w:t>119</w:t>
      </w:r>
      <w:r>
        <w:rPr>
          <w:sz w:val="20"/>
        </w:rPr>
        <w:tab/>
      </w:r>
      <w:r w:rsidR="00F9069D">
        <w:t xml:space="preserve">I refer to the observations I made in respect of the application for leave to file further evidence in </w:t>
      </w:r>
      <w:r w:rsidR="00D3387C" w:rsidRPr="00F4566A">
        <w:rPr>
          <w:i/>
        </w:rPr>
        <w:t>Lloyds Curry (No 2)</w:t>
      </w:r>
      <w:r w:rsidR="00F9069D">
        <w:t xml:space="preserve"> </w:t>
      </w:r>
      <w:r w:rsidR="00B7708A">
        <w:t>at [</w:t>
      </w:r>
      <w:r w:rsidR="00826900">
        <w:t>20</w:t>
      </w:r>
      <w:r w:rsidR="00B7708A">
        <w:t>].</w:t>
      </w:r>
      <w:r w:rsidR="00826900">
        <w:t xml:space="preserve"> Observations to similar effect</w:t>
      </w:r>
      <w:r w:rsidR="00B7708A">
        <w:t xml:space="preserve"> </w:t>
      </w:r>
      <w:r w:rsidR="004200B5">
        <w:t xml:space="preserve">may be made in the present context. </w:t>
      </w:r>
      <w:r w:rsidR="0078430C">
        <w:t xml:space="preserve">The </w:t>
      </w:r>
      <w:r w:rsidR="005909DF">
        <w:t>notices to produce are targeted</w:t>
      </w:r>
      <w:r w:rsidR="0047661D">
        <w:t xml:space="preserve"> and </w:t>
      </w:r>
      <w:r w:rsidR="005909DF">
        <w:t xml:space="preserve">the issues to </w:t>
      </w:r>
      <w:r w:rsidR="00A13DC8">
        <w:t>which they are directed are significant</w:t>
      </w:r>
      <w:r w:rsidR="008364CA">
        <w:t xml:space="preserve"> </w:t>
      </w:r>
      <w:r w:rsidR="0039003C">
        <w:t xml:space="preserve">in relation to the issue which is </w:t>
      </w:r>
      <w:r w:rsidR="00664E5A">
        <w:t>likely to be re-agitated as to compliance with the asset disclosure order</w:t>
      </w:r>
      <w:r w:rsidR="00F4566A">
        <w:t>s</w:t>
      </w:r>
      <w:r w:rsidR="00C261B6">
        <w:t xml:space="preserve">. </w:t>
      </w:r>
      <w:r w:rsidR="00A54F59">
        <w:t>I agree with the submissions advanced on behalf of Accolade and Reliance in relation to</w:t>
      </w:r>
      <w:r w:rsidR="00776C9A">
        <w:t xml:space="preserve"> the dilatory</w:t>
      </w:r>
      <w:r w:rsidR="00A54F59">
        <w:t xml:space="preserve"> </w:t>
      </w:r>
      <w:r w:rsidR="009C1DD7">
        <w:t xml:space="preserve">manner in which the applicants have approached their investigations and </w:t>
      </w:r>
      <w:r w:rsidR="00B665B5">
        <w:t>preparation of evidence in respect of the</w:t>
      </w:r>
      <w:r w:rsidR="004F6D71">
        <w:t>ir</w:t>
      </w:r>
      <w:r w:rsidR="00B665B5">
        <w:t xml:space="preserve"> interlocutory </w:t>
      </w:r>
      <w:r w:rsidR="004F6D71">
        <w:t>applications</w:t>
      </w:r>
      <w:r w:rsidR="00EE4165">
        <w:t xml:space="preserve">. Their approach has been consistently to put the cart before the horse. This application is </w:t>
      </w:r>
      <w:r w:rsidR="00F4566A">
        <w:t xml:space="preserve">regrettably </w:t>
      </w:r>
      <w:r w:rsidR="00EE4165">
        <w:t>n</w:t>
      </w:r>
      <w:r w:rsidR="00776C9A">
        <w:t>o different. It is a matter than may</w:t>
      </w:r>
      <w:r w:rsidR="00D21BDB">
        <w:t xml:space="preserve"> ap</w:t>
      </w:r>
      <w:r w:rsidR="00D36FC2">
        <w:t>p</w:t>
      </w:r>
      <w:r w:rsidR="00D21BDB">
        <w:t>ropriately</w:t>
      </w:r>
      <w:r w:rsidR="00776C9A">
        <w:t xml:space="preserve"> </w:t>
      </w:r>
      <w:r w:rsidR="00D36FC2">
        <w:t>be recognised</w:t>
      </w:r>
      <w:r w:rsidR="00AB6065">
        <w:t xml:space="preserve"> by denying the applicants their </w:t>
      </w:r>
      <w:r w:rsidR="00AB6065">
        <w:lastRenderedPageBreak/>
        <w:t>costs on this application</w:t>
      </w:r>
      <w:r w:rsidR="00776C9A">
        <w:t xml:space="preserve"> </w:t>
      </w:r>
      <w:r w:rsidR="00D21BDB">
        <w:t xml:space="preserve">even </w:t>
      </w:r>
      <w:r w:rsidR="006C23D5">
        <w:t>though they will have successfully resisted the review application</w:t>
      </w:r>
      <w:r w:rsidR="00D21BDB">
        <w:t>.</w:t>
      </w:r>
      <w:r w:rsidR="00776C9A">
        <w:t xml:space="preserve"> </w:t>
      </w:r>
      <w:r w:rsidR="0029233C">
        <w:t>H</w:t>
      </w:r>
      <w:r w:rsidR="00BC654A">
        <w:t>aving regard to the overarching purpose</w:t>
      </w:r>
      <w:r w:rsidR="009F0B84">
        <w:t>, I am satisfied that it is appropriate to dismiss the present application</w:t>
      </w:r>
      <w:r w:rsidR="00BC654A">
        <w:t xml:space="preserve"> </w:t>
      </w:r>
      <w:r w:rsidR="008325FE">
        <w:t xml:space="preserve">in order to forestall the same, or substantially </w:t>
      </w:r>
      <w:r w:rsidR="00B53A9D">
        <w:t>similar, notices to produce being issued</w:t>
      </w:r>
      <w:r w:rsidR="00BC654A">
        <w:t xml:space="preserve"> </w:t>
      </w:r>
      <w:r w:rsidR="0086347E">
        <w:t>with the result</w:t>
      </w:r>
      <w:r w:rsidR="00BC654A">
        <w:t xml:space="preserve"> that </w:t>
      </w:r>
      <w:r w:rsidR="00020801">
        <w:t>there would be a new round of applications in respect of those notices</w:t>
      </w:r>
      <w:r w:rsidR="00BC654A">
        <w:t xml:space="preserve"> that </w:t>
      </w:r>
      <w:r w:rsidR="002A7CA8">
        <w:t>mirror th</w:t>
      </w:r>
      <w:r w:rsidR="003D59B8">
        <w:t xml:space="preserve">e </w:t>
      </w:r>
      <w:r w:rsidR="00401B43">
        <w:t xml:space="preserve">application </w:t>
      </w:r>
      <w:r w:rsidR="003D59B8">
        <w:t>determ</w:t>
      </w:r>
      <w:r w:rsidR="00401B43">
        <w:t>ined by the Registrar and</w:t>
      </w:r>
      <w:r w:rsidR="00BC654A">
        <w:t xml:space="preserve"> </w:t>
      </w:r>
      <w:r w:rsidR="00401B43">
        <w:t>the present application</w:t>
      </w:r>
      <w:r w:rsidR="0029233C">
        <w:t xml:space="preserve"> and in respect of which the same arguments would likely be re-agitated</w:t>
      </w:r>
      <w:r w:rsidR="00401B43">
        <w:t>.</w:t>
      </w:r>
      <w:r w:rsidR="004F6D71">
        <w:t xml:space="preserve"> </w:t>
      </w:r>
    </w:p>
    <w:p w14:paraId="6F3937E4" w14:textId="77777777" w:rsidR="00AD104B" w:rsidRDefault="00AD104B" w:rsidP="00AD104B">
      <w:pPr>
        <w:pStyle w:val="Heading2"/>
      </w:pPr>
      <w:r>
        <w:t>Determination</w:t>
      </w:r>
    </w:p>
    <w:p w14:paraId="01A23F97" w14:textId="05391C6D" w:rsidR="00967921" w:rsidRDefault="006D48AC" w:rsidP="006D48AC">
      <w:pPr>
        <w:pStyle w:val="ParaNumbering"/>
        <w:numPr>
          <w:ilvl w:val="0"/>
          <w:numId w:val="0"/>
        </w:numPr>
        <w:ind w:hanging="720"/>
      </w:pPr>
      <w:r>
        <w:rPr>
          <w:sz w:val="20"/>
        </w:rPr>
        <w:t>120</w:t>
      </w:r>
      <w:r>
        <w:rPr>
          <w:sz w:val="20"/>
        </w:rPr>
        <w:tab/>
      </w:r>
      <w:r w:rsidR="008E6BBB" w:rsidRPr="008E6BBB">
        <w:t>Th</w:t>
      </w:r>
      <w:r w:rsidR="008E6BBB">
        <w:t>e</w:t>
      </w:r>
      <w:r w:rsidR="008E6BBB" w:rsidRPr="008E6BBB">
        <w:t xml:space="preserve"> </w:t>
      </w:r>
      <w:r w:rsidR="008E6BBB">
        <w:t>review</w:t>
      </w:r>
      <w:r w:rsidR="008E6BBB" w:rsidRPr="008E6BBB">
        <w:t xml:space="preserve"> application should be dismissed</w:t>
      </w:r>
      <w:r w:rsidR="007D2190">
        <w:t xml:space="preserve"> with </w:t>
      </w:r>
      <w:r w:rsidR="0043669E">
        <w:t>each party to bear their costs of the application</w:t>
      </w:r>
      <w:r w:rsidR="008E6BBB" w:rsidRPr="008E6BBB">
        <w:t xml:space="preserve">. </w:t>
      </w:r>
    </w:p>
    <w:p w14:paraId="21AE1CDC" w14:textId="1CB5CD57" w:rsidR="00BE66D9" w:rsidRDefault="006D48AC" w:rsidP="00BE66D9">
      <w:pPr>
        <w:pStyle w:val="Heading1"/>
      </w:pPr>
      <w:r>
        <w:rPr>
          <w:caps w:val="0"/>
        </w:rPr>
        <w:t xml:space="preserve">INDEMNITY COSTS APPLICATION </w:t>
      </w:r>
    </w:p>
    <w:p w14:paraId="2F95F96B" w14:textId="77777777" w:rsidR="00BE66D9" w:rsidRDefault="00BE66D9" w:rsidP="00BE66D9">
      <w:pPr>
        <w:pStyle w:val="Heading2"/>
      </w:pPr>
      <w:r>
        <w:t>Introduction</w:t>
      </w:r>
    </w:p>
    <w:p w14:paraId="278E3B04" w14:textId="473CDEB8" w:rsidR="00BE66D9" w:rsidRDefault="006D48AC" w:rsidP="006D48AC">
      <w:pPr>
        <w:pStyle w:val="ParaNumbering"/>
        <w:numPr>
          <w:ilvl w:val="0"/>
          <w:numId w:val="0"/>
        </w:numPr>
        <w:ind w:hanging="720"/>
      </w:pPr>
      <w:r>
        <w:rPr>
          <w:sz w:val="20"/>
        </w:rPr>
        <w:t>121</w:t>
      </w:r>
      <w:r>
        <w:rPr>
          <w:sz w:val="20"/>
        </w:rPr>
        <w:tab/>
      </w:r>
      <w:r w:rsidR="00BE66D9">
        <w:t xml:space="preserve">The Accolade Parties filed a further amended interlocutory application seeking security for their costs against </w:t>
      </w:r>
      <w:r w:rsidR="004C7917">
        <w:t>the applicants</w:t>
      </w:r>
      <w:r w:rsidR="00BE66D9">
        <w:t xml:space="preserve"> (</w:t>
      </w:r>
      <w:r w:rsidR="00BE66D9" w:rsidRPr="00ED5798">
        <w:rPr>
          <w:b/>
        </w:rPr>
        <w:t>Security Application</w:t>
      </w:r>
      <w:r w:rsidR="00BE66D9">
        <w:t xml:space="preserve">). </w:t>
      </w:r>
      <w:r w:rsidR="004C7917">
        <w:t xml:space="preserve">That application was </w:t>
      </w:r>
      <w:r w:rsidR="00584283">
        <w:t>the subject of a report</w:t>
      </w:r>
      <w:r w:rsidR="004C7917">
        <w:t xml:space="preserve"> by</w:t>
      </w:r>
      <w:r w:rsidR="00BE66D9">
        <w:t xml:space="preserve"> a Registrar of the Court </w:t>
      </w:r>
      <w:r w:rsidR="004C7917">
        <w:t>acting</w:t>
      </w:r>
      <w:r w:rsidR="00BE66D9">
        <w:t xml:space="preserve"> as </w:t>
      </w:r>
      <w:r w:rsidR="00584283">
        <w:t>a</w:t>
      </w:r>
      <w:r w:rsidR="00BE66D9">
        <w:t xml:space="preserve"> </w:t>
      </w:r>
      <w:r w:rsidR="00BE66D9" w:rsidRPr="00E02F9A">
        <w:rPr>
          <w:b/>
        </w:rPr>
        <w:t>Referee</w:t>
      </w:r>
      <w:r w:rsidR="00BE66D9">
        <w:t xml:space="preserve"> </w:t>
      </w:r>
      <w:r w:rsidR="00584283">
        <w:rPr>
          <w:bCs/>
        </w:rPr>
        <w:t>which</w:t>
      </w:r>
      <w:r w:rsidR="00356E9A">
        <w:rPr>
          <w:bCs/>
        </w:rPr>
        <w:t xml:space="preserve"> </w:t>
      </w:r>
      <w:r w:rsidR="00BE66D9">
        <w:t>address</w:t>
      </w:r>
      <w:r w:rsidR="00584283">
        <w:t>ed</w:t>
      </w:r>
      <w:r w:rsidR="00BE66D9">
        <w:t xml:space="preserve"> the question of whether security for costs ought</w:t>
      </w:r>
      <w:r w:rsidR="007D0D41">
        <w:t xml:space="preserve"> to</w:t>
      </w:r>
      <w:r w:rsidR="00BE66D9">
        <w:t xml:space="preserve"> be granted, and, if so, in what amount and on what terms. The Referee delivered a </w:t>
      </w:r>
      <w:r w:rsidR="00BE66D9" w:rsidRPr="00A1693C">
        <w:rPr>
          <w:b/>
        </w:rPr>
        <w:t>Report</w:t>
      </w:r>
      <w:r w:rsidR="00BE66D9">
        <w:t xml:space="preserve"> recommending that the application be dismissed </w:t>
      </w:r>
      <w:r w:rsidR="00584283">
        <w:t>and that</w:t>
      </w:r>
      <w:r w:rsidR="00BE66D9">
        <w:t xml:space="preserve"> an order </w:t>
      </w:r>
      <w:r w:rsidR="00584283">
        <w:t xml:space="preserve">be made </w:t>
      </w:r>
      <w:r w:rsidR="00BE66D9">
        <w:t xml:space="preserve">that the Accolade Parties pay the applicants’ costs. By interlocutory application, the applicants sought that (1) the Court adopt the Report in whole; (2) the Security for Costs Application be dismissed; and (3) that the Accolade Parties pay the applicants’ costs of the Security for Costs Application on an indemnity basis. </w:t>
      </w:r>
      <w:r w:rsidR="005C2146">
        <w:t xml:space="preserve">The Accolade Parties initially opposed </w:t>
      </w:r>
      <w:r w:rsidR="00DA47A3">
        <w:t>this application but ultimately did not press their opposition.</w:t>
      </w:r>
      <w:r w:rsidR="005C2146">
        <w:t xml:space="preserve"> </w:t>
      </w:r>
      <w:r w:rsidR="00BE66D9">
        <w:t>On 8</w:t>
      </w:r>
      <w:r w:rsidR="00BB43E7">
        <w:t> </w:t>
      </w:r>
      <w:r w:rsidR="00BE66D9">
        <w:t xml:space="preserve">August 2022, I ordered that the Report be adopted in whole and dismissed the Security for Costs Application. </w:t>
      </w:r>
      <w:r w:rsidR="00584283">
        <w:t>The</w:t>
      </w:r>
      <w:r w:rsidR="00BE66D9">
        <w:t xml:space="preserve"> only live issue for determination</w:t>
      </w:r>
      <w:r w:rsidR="00584283">
        <w:t xml:space="preserve"> is the application for indemnity costs</w:t>
      </w:r>
      <w:r w:rsidR="00BE66D9">
        <w:t xml:space="preserve">. The Accolade Parties concede that they ought to pay the applicants costs of the Security for Costs Application, but submit that there is no basis for the Court to order that costs be paid on an indemnity basis. </w:t>
      </w:r>
      <w:r w:rsidR="009D130F">
        <w:t>The concession as to costs was only made by the Accolade Parties when they filed their submissions.</w:t>
      </w:r>
    </w:p>
    <w:p w14:paraId="167AC453" w14:textId="77777777" w:rsidR="00BE66D9" w:rsidRDefault="00BE66D9" w:rsidP="00BE66D9">
      <w:pPr>
        <w:pStyle w:val="Heading2"/>
      </w:pPr>
      <w:r>
        <w:t>Evidence</w:t>
      </w:r>
    </w:p>
    <w:p w14:paraId="7ECA5CA5" w14:textId="4F13D771" w:rsidR="00BE66D9" w:rsidRPr="00276955" w:rsidRDefault="006D48AC" w:rsidP="006D48AC">
      <w:pPr>
        <w:pStyle w:val="ParaNumbering"/>
        <w:numPr>
          <w:ilvl w:val="0"/>
          <w:numId w:val="0"/>
        </w:numPr>
        <w:ind w:hanging="720"/>
      </w:pPr>
      <w:r w:rsidRPr="00276955">
        <w:rPr>
          <w:sz w:val="20"/>
        </w:rPr>
        <w:t>122</w:t>
      </w:r>
      <w:r w:rsidRPr="00276955">
        <w:rPr>
          <w:sz w:val="20"/>
        </w:rPr>
        <w:tab/>
      </w:r>
      <w:r w:rsidR="00BE66D9">
        <w:t>The applicants rely on the affidavit of Kurtis Blanch, a paralegal employed by the applicants’ solicitors, affirmed on 23</w:t>
      </w:r>
      <w:r w:rsidR="00BB43E7">
        <w:t> </w:t>
      </w:r>
      <w:r w:rsidR="00BE66D9">
        <w:t>August 2022 and annexures KB</w:t>
      </w:r>
      <w:r w:rsidR="00A00A94">
        <w:noBreakHyphen/>
      </w:r>
      <w:r w:rsidR="00BE66D9">
        <w:t>5, KB</w:t>
      </w:r>
      <w:r w:rsidR="00A00A94">
        <w:noBreakHyphen/>
      </w:r>
      <w:r w:rsidR="00BE66D9">
        <w:t>6 and KB</w:t>
      </w:r>
      <w:r w:rsidR="00A00A94">
        <w:noBreakHyphen/>
      </w:r>
      <w:r w:rsidR="00BE66D9">
        <w:t xml:space="preserve">7 thereto. The Accolade Parties did </w:t>
      </w:r>
      <w:r w:rsidR="002C375E">
        <w:t xml:space="preserve">not </w:t>
      </w:r>
      <w:r w:rsidR="00BE66D9">
        <w:t xml:space="preserve">file evidence in opposition to the application. </w:t>
      </w:r>
    </w:p>
    <w:p w14:paraId="27F1EE09" w14:textId="77777777" w:rsidR="00BE66D9" w:rsidRDefault="00BE66D9" w:rsidP="00BE66D9">
      <w:pPr>
        <w:pStyle w:val="Heading2"/>
      </w:pPr>
      <w:r>
        <w:lastRenderedPageBreak/>
        <w:t>Legal Principles</w:t>
      </w:r>
    </w:p>
    <w:p w14:paraId="089DFA99" w14:textId="24864BBA" w:rsidR="00032A07" w:rsidRDefault="006D48AC" w:rsidP="006D48AC">
      <w:pPr>
        <w:pStyle w:val="ParaNumbering"/>
        <w:numPr>
          <w:ilvl w:val="0"/>
          <w:numId w:val="0"/>
        </w:numPr>
        <w:ind w:hanging="720"/>
      </w:pPr>
      <w:r>
        <w:rPr>
          <w:sz w:val="20"/>
        </w:rPr>
        <w:t>123</w:t>
      </w:r>
      <w:r>
        <w:rPr>
          <w:sz w:val="20"/>
        </w:rPr>
        <w:tab/>
      </w:r>
      <w:r w:rsidR="00BE66D9" w:rsidRPr="003C34AA">
        <w:t xml:space="preserve">The </w:t>
      </w:r>
      <w:r w:rsidR="00DA47A3">
        <w:t>applicable principles are well established</w:t>
      </w:r>
      <w:r w:rsidR="00BE302F">
        <w:t>. In the context</w:t>
      </w:r>
      <w:r w:rsidR="000C1663">
        <w:t xml:space="preserve"> </w:t>
      </w:r>
      <w:r w:rsidR="00F93DDC">
        <w:t xml:space="preserve">of the </w:t>
      </w:r>
      <w:r w:rsidR="00CA4D6A">
        <w:t xml:space="preserve">matters in issue </w:t>
      </w:r>
      <w:r w:rsidR="00032A07">
        <w:t>on</w:t>
      </w:r>
      <w:r w:rsidR="00CA4D6A">
        <w:t xml:space="preserve"> this</w:t>
      </w:r>
      <w:r w:rsidR="00F93DDC">
        <w:t xml:space="preserve"> </w:t>
      </w:r>
      <w:r w:rsidR="00032A07">
        <w:t>application</w:t>
      </w:r>
      <w:r w:rsidR="000C1663">
        <w:t xml:space="preserve"> it is </w:t>
      </w:r>
      <w:r w:rsidR="00032A07">
        <w:t>sufficient</w:t>
      </w:r>
      <w:r w:rsidR="000C1663">
        <w:t xml:space="preserve"> to </w:t>
      </w:r>
      <w:r w:rsidR="00BB27ED">
        <w:t xml:space="preserve">extract the observations </w:t>
      </w:r>
      <w:r w:rsidR="00C90786">
        <w:t>of</w:t>
      </w:r>
      <w:r w:rsidR="00032A07">
        <w:t xml:space="preserve"> the Full Court in </w:t>
      </w:r>
      <w:r w:rsidR="00032A07">
        <w:rPr>
          <w:i/>
        </w:rPr>
        <w:t>Anchorage Capital Partners Pty Ltd v ACPA Pty Ltd (No 2)</w:t>
      </w:r>
      <w:r w:rsidR="00032A07">
        <w:t xml:space="preserve"> [2018] FCAFC 112</w:t>
      </w:r>
      <w:r w:rsidR="67D25A40">
        <w:t xml:space="preserve"> (the Court)</w:t>
      </w:r>
      <w:r w:rsidR="00032A07">
        <w:t>:</w:t>
      </w:r>
    </w:p>
    <w:p w14:paraId="5AFB24D4" w14:textId="69343F3A" w:rsidR="00032A07" w:rsidRDefault="00032A07" w:rsidP="002B4D48">
      <w:pPr>
        <w:pStyle w:val="Quote1"/>
        <w:ind w:left="1440" w:hanging="703"/>
      </w:pPr>
      <w:r>
        <w:t>5</w:t>
      </w:r>
      <w:r w:rsidR="00F04046">
        <w:t>.</w:t>
      </w:r>
      <w:r w:rsidR="00F04046">
        <w:tab/>
      </w:r>
      <w:r>
        <w:t xml:space="preserve">Section 43 of the </w:t>
      </w:r>
      <w:r w:rsidRPr="002B4D48">
        <w:rPr>
          <w:i/>
          <w:iCs/>
        </w:rPr>
        <w:t>Federal Court of Australia Act 1976</w:t>
      </w:r>
      <w:r>
        <w:t xml:space="preserve"> (Cth) confers a broad discretion on the Court to award costs in proceedings. In </w:t>
      </w:r>
      <w:r w:rsidRPr="002B4D48">
        <w:rPr>
          <w:i/>
          <w:iCs/>
        </w:rPr>
        <w:t>Re Wilcox; Ex parte Venture Industries Pty Ltd (No 2)</w:t>
      </w:r>
      <w:r>
        <w:t xml:space="preserve"> (1996) 72 FCR 151, Black CJ at 152 stated the principles applicable to a claim for indemnity costs:</w:t>
      </w:r>
    </w:p>
    <w:p w14:paraId="6FC0CAFB" w14:textId="77777777" w:rsidR="00032A07" w:rsidRDefault="00032A07" w:rsidP="002B4D48">
      <w:pPr>
        <w:pStyle w:val="Quote3"/>
      </w:pPr>
      <w:r>
        <w:t>…it is well established that the starting point for any consideration of an application for indemnity costs is that in the ordinary case costs will follow the event</w:t>
      </w:r>
      <w:r w:rsidR="00DA47A3">
        <w:t xml:space="preserve"> and </w:t>
      </w:r>
      <w:r>
        <w:t xml:space="preserve">the Court will order the unsuccessful party to pay the costs of the successful party, on a party and party basis, a basis which will fall short of complete indemnity. Nevertheless, the Court has an absolute and unfettered jurisdiction in awarding costs, although the discretion must be exercised judicially. So indemnity costs </w:t>
      </w:r>
      <w:r w:rsidR="00DA47A3">
        <w:t xml:space="preserve">may </w:t>
      </w:r>
      <w:r>
        <w:t>properly be awarded where there is some special or unusual feature in the case justifying the Court in exercising the discretion in that way.</w:t>
      </w:r>
    </w:p>
    <w:p w14:paraId="5237E396" w14:textId="3840642C" w:rsidR="00032A07" w:rsidRDefault="00032A07" w:rsidP="002B4D48">
      <w:pPr>
        <w:pStyle w:val="Quote1"/>
        <w:ind w:left="1440" w:hanging="703"/>
      </w:pPr>
      <w:r>
        <w:t>6</w:t>
      </w:r>
      <w:r w:rsidR="00F04046">
        <w:t>.</w:t>
      </w:r>
      <w:r w:rsidR="00F04046">
        <w:tab/>
      </w:r>
      <w:r>
        <w:t>A well-established circumstance justifying an award of indemnity costs is an imprudent refusal of an offer to compromise (</w:t>
      </w:r>
      <w:r w:rsidRPr="002B4D48">
        <w:rPr>
          <w:i/>
          <w:iCs/>
        </w:rPr>
        <w:t>Colgate-Palmolive Co v Cussons Pty Ltd</w:t>
      </w:r>
      <w:r>
        <w:t xml:space="preserve"> (1993) 46 FCR 225 at 233 per Sheppard J). In such cases, a key question is whether the offeree’s refusal of the offer was “unreasonable” when viewed in light of the circumstances existing at the time the offer was rejected (</w:t>
      </w:r>
      <w:r w:rsidRPr="002B4D48">
        <w:rPr>
          <w:i/>
          <w:iCs/>
        </w:rPr>
        <w:t>Black v Lipovac</w:t>
      </w:r>
      <w:r>
        <w:t xml:space="preserve"> (1998) 217 ALR 386 at 432 per Miles, Heerey and Madgwick JJ; </w:t>
      </w:r>
      <w:r w:rsidRPr="002B4D48">
        <w:rPr>
          <w:i/>
          <w:iCs/>
        </w:rPr>
        <w:t>CGU Insurance Ltd v Corrections Corporation of Australia Staff Superannuation Ltd</w:t>
      </w:r>
      <w:r>
        <w:t xml:space="preserve"> [2008] FCAFC 173 at [75] per Moore, Finn and Jessup JJ).</w:t>
      </w:r>
    </w:p>
    <w:p w14:paraId="4522DA9E" w14:textId="1979556F" w:rsidR="00032A07" w:rsidRDefault="00032A07" w:rsidP="002B4D48">
      <w:pPr>
        <w:pStyle w:val="Quote1"/>
        <w:ind w:left="1440" w:hanging="703"/>
      </w:pPr>
      <w:r>
        <w:t>7</w:t>
      </w:r>
      <w:r w:rsidR="00F04046">
        <w:t>.</w:t>
      </w:r>
      <w:r w:rsidR="00F04046">
        <w:tab/>
      </w:r>
      <w:r>
        <w:t>The circumstances to be taken into account in determining whether rejection of an offer was “unreasonable” cannot be stated exhaustively but may include, for example:</w:t>
      </w:r>
    </w:p>
    <w:p w14:paraId="6529B32B" w14:textId="1B82E72C" w:rsidR="00032A07" w:rsidRDefault="00032A07" w:rsidP="00A33D3E">
      <w:pPr>
        <w:pStyle w:val="Quote2"/>
        <w:ind w:left="2160" w:hanging="720"/>
      </w:pPr>
      <w:r>
        <w:t>(a)</w:t>
      </w:r>
      <w:r w:rsidR="005422C8">
        <w:tab/>
      </w:r>
      <w:r>
        <w:t>the stage of the proceeding at which the offer was received;</w:t>
      </w:r>
    </w:p>
    <w:p w14:paraId="0BCB5550" w14:textId="77777777" w:rsidR="00032A07" w:rsidRDefault="00032A07" w:rsidP="00A33D3E">
      <w:pPr>
        <w:pStyle w:val="Quote2"/>
        <w:ind w:left="2160" w:hanging="720"/>
      </w:pPr>
      <w:r>
        <w:t>(b)</w:t>
      </w:r>
      <w:r>
        <w:tab/>
        <w:t>the time allowed to the offeree to consider the offer;</w:t>
      </w:r>
    </w:p>
    <w:p w14:paraId="129485A1" w14:textId="77777777" w:rsidR="00032A07" w:rsidRDefault="00032A07" w:rsidP="00A33D3E">
      <w:pPr>
        <w:pStyle w:val="Quote2"/>
        <w:ind w:left="2160" w:hanging="720"/>
      </w:pPr>
      <w:r>
        <w:t>(c)</w:t>
      </w:r>
      <w:r>
        <w:tab/>
        <w:t>the extent of the compromise offered;</w:t>
      </w:r>
    </w:p>
    <w:p w14:paraId="66D7215E" w14:textId="77777777" w:rsidR="00032A07" w:rsidRDefault="00032A07" w:rsidP="00A33D3E">
      <w:pPr>
        <w:pStyle w:val="Quote2"/>
        <w:ind w:left="2160" w:hanging="720"/>
      </w:pPr>
      <w:r>
        <w:t>(d)</w:t>
      </w:r>
      <w:r>
        <w:tab/>
        <w:t>the offeree’s prospects of success, assessed as at the date of the offer;</w:t>
      </w:r>
    </w:p>
    <w:p w14:paraId="161C175D" w14:textId="77777777" w:rsidR="00A05395" w:rsidRDefault="00032A07" w:rsidP="00A33D3E">
      <w:pPr>
        <w:pStyle w:val="Quote2"/>
        <w:ind w:left="2160" w:hanging="720"/>
      </w:pPr>
      <w:r>
        <w:t>(e)</w:t>
      </w:r>
      <w:r>
        <w:tab/>
        <w:t xml:space="preserve">the clarity with which the terms of the offer were expressed; and </w:t>
      </w:r>
    </w:p>
    <w:p w14:paraId="2520130F" w14:textId="79E30AA3" w:rsidR="00032A07" w:rsidRDefault="00032A07" w:rsidP="00A33D3E">
      <w:pPr>
        <w:pStyle w:val="Quote2"/>
        <w:ind w:left="2160" w:hanging="720"/>
      </w:pPr>
      <w:r>
        <w:t>(f)</w:t>
      </w:r>
      <w:r>
        <w:tab/>
        <w:t>whether the offer foreshadowed an application for an indemnity costs in the event of the offeree rejecting it.</w:t>
      </w:r>
    </w:p>
    <w:p w14:paraId="5A87E2B1" w14:textId="6B9340A1" w:rsidR="00032A07" w:rsidRDefault="00032A07" w:rsidP="004A11A8">
      <w:pPr>
        <w:pStyle w:val="Quote1"/>
        <w:ind w:left="1440"/>
      </w:pPr>
      <w:r>
        <w:t>(</w:t>
      </w:r>
      <w:r w:rsidRPr="004A11A8">
        <w:rPr>
          <w:i/>
          <w:iCs/>
        </w:rPr>
        <w:t>Hazeldene’s Chicken Farm Pty Ltd v Victorian WorkCover Authority (No</w:t>
      </w:r>
      <w:r w:rsidR="00813726">
        <w:rPr>
          <w:i/>
        </w:rPr>
        <w:t> </w:t>
      </w:r>
      <w:r w:rsidRPr="004A11A8">
        <w:rPr>
          <w:i/>
          <w:iCs/>
        </w:rPr>
        <w:t>2)</w:t>
      </w:r>
      <w:r w:rsidR="00497943">
        <w:rPr>
          <w:i/>
        </w:rPr>
        <w:t xml:space="preserve"> </w:t>
      </w:r>
      <w:r>
        <w:t xml:space="preserve">(2005) 13 VR 435 at [25] per Warren CJ, Maxwell P and Harper AJA; </w:t>
      </w:r>
      <w:r w:rsidRPr="004A11A8">
        <w:rPr>
          <w:i/>
        </w:rPr>
        <w:t>Beling v Sixty International S.A. (No 2)</w:t>
      </w:r>
      <w:r>
        <w:t xml:space="preserve"> [2015] FCA 355 at [25] per Mortimer J).</w:t>
      </w:r>
    </w:p>
    <w:p w14:paraId="48BE830C" w14:textId="53EB4616" w:rsidR="00032A07" w:rsidRDefault="00032A07" w:rsidP="004A11A8">
      <w:pPr>
        <w:pStyle w:val="Quote1"/>
        <w:ind w:left="1440" w:hanging="703"/>
      </w:pPr>
      <w:r>
        <w:t>8</w:t>
      </w:r>
      <w:r w:rsidR="004833A3">
        <w:t>.</w:t>
      </w:r>
      <w:r w:rsidR="004833A3">
        <w:tab/>
      </w:r>
      <w:r>
        <w:t>An unsuccessful party is not liable to pay indemnity costs merely because it received an offer to settle on terms more favourable than it achieved at trial and rejected that offer (</w:t>
      </w:r>
      <w:r w:rsidRPr="004A11A8">
        <w:rPr>
          <w:i/>
          <w:iCs/>
        </w:rPr>
        <w:t>CGU Insurance</w:t>
      </w:r>
      <w:r>
        <w:t xml:space="preserve"> at [75]; </w:t>
      </w:r>
      <w:r w:rsidRPr="004A11A8">
        <w:rPr>
          <w:i/>
          <w:iCs/>
        </w:rPr>
        <w:t xml:space="preserve">Black </w:t>
      </w:r>
      <w:r>
        <w:t xml:space="preserve">at [217]–[218]). As we observed in the Appeal Reasons, albeit in the context of r 25.14(2) of the FCRs, </w:t>
      </w:r>
      <w:r>
        <w:lastRenderedPageBreak/>
        <w:t xml:space="preserve">assessment of the “unreasonableness” of an offeree’s refusal of a settlement offer is a broad-ranging inquiry that is not restricted to consideration of the extent or quantum of the compromise offered. </w:t>
      </w:r>
    </w:p>
    <w:p w14:paraId="13C667C1" w14:textId="22D37042" w:rsidR="00BE66D9" w:rsidRDefault="006D48AC" w:rsidP="006D48AC">
      <w:pPr>
        <w:pStyle w:val="ParaNumbering"/>
        <w:numPr>
          <w:ilvl w:val="0"/>
          <w:numId w:val="0"/>
        </w:numPr>
        <w:ind w:hanging="720"/>
      </w:pPr>
      <w:r>
        <w:rPr>
          <w:sz w:val="20"/>
        </w:rPr>
        <w:t>124</w:t>
      </w:r>
      <w:r>
        <w:rPr>
          <w:sz w:val="20"/>
        </w:rPr>
        <w:tab/>
      </w:r>
      <w:r w:rsidR="00C54256">
        <w:t xml:space="preserve">The applicants </w:t>
      </w:r>
      <w:r w:rsidR="00C368AD">
        <w:t>submit that a</w:t>
      </w:r>
      <w:r w:rsidR="00BE66D9" w:rsidRPr="003C34AA">
        <w:t xml:space="preserve">n order for indemnity costs may be made where a litigant “properly advised, should have known that he had no chance of success”: </w:t>
      </w:r>
      <w:r w:rsidR="00BE66D9" w:rsidRPr="003C34AA">
        <w:rPr>
          <w:i/>
        </w:rPr>
        <w:t xml:space="preserve">Fountain Selected Meats (Sales) Pty Ltd v International Produce Merchants Pty Ltd </w:t>
      </w:r>
      <w:r w:rsidR="00DD1B47">
        <w:t>[</w:t>
      </w:r>
      <w:r w:rsidR="00BE66D9" w:rsidRPr="003C34AA">
        <w:t>1988</w:t>
      </w:r>
      <w:r w:rsidR="00DD1B47">
        <w:t>] FCA 202;</w:t>
      </w:r>
      <w:r w:rsidR="00BE66D9" w:rsidRPr="003C34AA">
        <w:t xml:space="preserve"> 81 ALR 397 at 401. </w:t>
      </w:r>
      <w:r w:rsidR="00C368AD">
        <w:t>Further, that a</w:t>
      </w:r>
      <w:r w:rsidR="00BE66D9" w:rsidRPr="003C34AA">
        <w:t xml:space="preserve"> </w:t>
      </w:r>
      <w:r w:rsidR="00DD63E1">
        <w:t>due and timely</w:t>
      </w:r>
      <w:r w:rsidR="00BE66D9" w:rsidRPr="003C34AA">
        <w:t xml:space="preserve"> warning of an intention to claim indemnity costs will make the awarding of indemnity costs more likely: </w:t>
      </w:r>
      <w:r w:rsidR="00BE66D9" w:rsidRPr="003C34AA">
        <w:rPr>
          <w:i/>
        </w:rPr>
        <w:t>Huntsman Chemical Co Aust Ltd v International Pools Aust Pty Ltd</w:t>
      </w:r>
      <w:r w:rsidR="00BE66D9" w:rsidRPr="003C34AA">
        <w:t xml:space="preserve"> (1995) 36 NSWLR 242 at 249.</w:t>
      </w:r>
      <w:r w:rsidR="00BE66D9">
        <w:t xml:space="preserve"> </w:t>
      </w:r>
    </w:p>
    <w:p w14:paraId="3BC9AD75" w14:textId="3F43B069" w:rsidR="00BE66D9" w:rsidRDefault="006D48AC" w:rsidP="006D48AC">
      <w:pPr>
        <w:pStyle w:val="ParaNumbering"/>
        <w:numPr>
          <w:ilvl w:val="0"/>
          <w:numId w:val="0"/>
        </w:numPr>
        <w:ind w:hanging="720"/>
      </w:pPr>
      <w:r>
        <w:rPr>
          <w:sz w:val="20"/>
        </w:rPr>
        <w:t>125</w:t>
      </w:r>
      <w:r>
        <w:rPr>
          <w:sz w:val="20"/>
        </w:rPr>
        <w:tab/>
      </w:r>
      <w:r w:rsidR="00BE66D9">
        <w:t>The Court’s costs practice note (GPN-COSTS) applies to all proceedings in this Court. It relevantly provides that the Court’s preference, wherever practicable and appropriate, is for the making of lump sum costs orders. However, the adoption of a lump sum costs procedure remains at the discretion of the judge</w:t>
      </w:r>
      <w:r w:rsidR="00265218">
        <w:t>:</w:t>
      </w:r>
      <w:r w:rsidR="00BE66D9">
        <w:t xml:space="preserve"> </w:t>
      </w:r>
      <w:r w:rsidR="00265218">
        <w:t>s</w:t>
      </w:r>
      <w:r w:rsidR="004F3643">
        <w:t xml:space="preserve">ee </w:t>
      </w:r>
      <w:r w:rsidR="004F3643">
        <w:rPr>
          <w:i/>
        </w:rPr>
        <w:t xml:space="preserve">LFDB v Ms S M (No 2) </w:t>
      </w:r>
      <w:r w:rsidR="004F3643">
        <w:t>[2018] FCA 2062 at [6] to [8].</w:t>
      </w:r>
    </w:p>
    <w:p w14:paraId="3FA41917" w14:textId="77777777" w:rsidR="00BE66D9" w:rsidRDefault="00BE66D9" w:rsidP="00BE66D9">
      <w:pPr>
        <w:pStyle w:val="Heading2"/>
      </w:pPr>
      <w:r>
        <w:t>Consideration</w:t>
      </w:r>
    </w:p>
    <w:p w14:paraId="6BD6B053" w14:textId="0F620AC4" w:rsidR="00470A11" w:rsidRDefault="006D48AC" w:rsidP="006D48AC">
      <w:pPr>
        <w:pStyle w:val="ParaNumbering"/>
        <w:numPr>
          <w:ilvl w:val="0"/>
          <w:numId w:val="0"/>
        </w:numPr>
        <w:ind w:hanging="720"/>
      </w:pPr>
      <w:r>
        <w:rPr>
          <w:sz w:val="20"/>
        </w:rPr>
        <w:t>126</w:t>
      </w:r>
      <w:r>
        <w:rPr>
          <w:sz w:val="20"/>
        </w:rPr>
        <w:tab/>
      </w:r>
      <w:r w:rsidR="00BE66D9">
        <w:t xml:space="preserve">Prior to the hearing of the Security Application, on three occasions the Accolade Parties were </w:t>
      </w:r>
      <w:r w:rsidR="009D3370">
        <w:t>informed</w:t>
      </w:r>
      <w:r w:rsidR="00BE66D9">
        <w:t xml:space="preserve"> that the </w:t>
      </w:r>
      <w:r w:rsidR="00035A3C">
        <w:t xml:space="preserve">applicants considered </w:t>
      </w:r>
      <w:r w:rsidR="00BE66D9">
        <w:t xml:space="preserve">the application </w:t>
      </w:r>
      <w:r w:rsidR="00035A3C">
        <w:t xml:space="preserve">to be </w:t>
      </w:r>
      <w:r w:rsidR="008D6197">
        <w:t>“</w:t>
      </w:r>
      <w:r w:rsidR="00035A3C">
        <w:t xml:space="preserve">manifestly hopeless and </w:t>
      </w:r>
      <w:r w:rsidR="00F541C9">
        <w:t>bound to fail”</w:t>
      </w:r>
      <w:r w:rsidR="009D3370">
        <w:t xml:space="preserve"> and </w:t>
      </w:r>
      <w:r w:rsidR="00470A11">
        <w:t xml:space="preserve">on each occasion </w:t>
      </w:r>
      <w:r w:rsidR="009D3370">
        <w:t xml:space="preserve">put on notice that </w:t>
      </w:r>
      <w:r w:rsidR="00581E96">
        <w:t xml:space="preserve">the applicants would </w:t>
      </w:r>
      <w:r w:rsidR="0025434A">
        <w:t xml:space="preserve">seek indemnity costs if the application was pressed </w:t>
      </w:r>
      <w:r w:rsidR="00172C14">
        <w:t>but refused by the Court.</w:t>
      </w:r>
      <w:r w:rsidR="00BE66D9">
        <w:t xml:space="preserve"> </w:t>
      </w:r>
    </w:p>
    <w:p w14:paraId="3A4B6FFF" w14:textId="08B47E68" w:rsidR="00470A11" w:rsidRDefault="006D48AC" w:rsidP="006D48AC">
      <w:pPr>
        <w:pStyle w:val="ParaNumbering"/>
        <w:numPr>
          <w:ilvl w:val="0"/>
          <w:numId w:val="0"/>
        </w:numPr>
        <w:ind w:hanging="720"/>
      </w:pPr>
      <w:r>
        <w:rPr>
          <w:sz w:val="20"/>
        </w:rPr>
        <w:t>127</w:t>
      </w:r>
      <w:r>
        <w:rPr>
          <w:sz w:val="20"/>
        </w:rPr>
        <w:tab/>
      </w:r>
      <w:r w:rsidR="00BE66D9">
        <w:t>On 16</w:t>
      </w:r>
      <w:r w:rsidR="00F3483F">
        <w:t> </w:t>
      </w:r>
      <w:r w:rsidR="00BE66D9">
        <w:t>February 2022, the</w:t>
      </w:r>
      <w:r w:rsidR="0067160B">
        <w:t xml:space="preserve"> </w:t>
      </w:r>
      <w:r w:rsidR="000B1412">
        <w:t>a</w:t>
      </w:r>
      <w:r w:rsidR="00BE66D9">
        <w:t xml:space="preserve">pplicants provided the Accolade Parties with information concerning the financial position of the </w:t>
      </w:r>
      <w:r w:rsidR="00470A11">
        <w:t>l</w:t>
      </w:r>
      <w:r w:rsidR="00BE66D9">
        <w:t xml:space="preserve">iquidator, and </w:t>
      </w:r>
      <w:r w:rsidR="000F030B">
        <w:t xml:space="preserve">exposed by reference to authority why the applicants considered </w:t>
      </w:r>
      <w:r w:rsidR="00BE66D9">
        <w:t xml:space="preserve">that </w:t>
      </w:r>
      <w:r w:rsidR="000F030B">
        <w:t>the Accolade Parties’</w:t>
      </w:r>
      <w:r w:rsidR="00BE66D9">
        <w:t xml:space="preserve"> reliance on the position of the </w:t>
      </w:r>
      <w:r w:rsidR="00470A11">
        <w:t xml:space="preserve">Company, being </w:t>
      </w:r>
      <w:r w:rsidR="00BE66D9">
        <w:t>a company in liquidation</w:t>
      </w:r>
      <w:r w:rsidR="00470A11">
        <w:t>,</w:t>
      </w:r>
      <w:r w:rsidR="00BE66D9">
        <w:t xml:space="preserve"> was misplaced.</w:t>
      </w:r>
      <w:r w:rsidR="00136DC3">
        <w:t xml:space="preserve"> </w:t>
      </w:r>
    </w:p>
    <w:p w14:paraId="0A2F0DE8" w14:textId="3817EB8E" w:rsidR="00470A11" w:rsidRDefault="006D48AC" w:rsidP="006D48AC">
      <w:pPr>
        <w:pStyle w:val="ParaNumbering"/>
        <w:numPr>
          <w:ilvl w:val="0"/>
          <w:numId w:val="0"/>
        </w:numPr>
        <w:ind w:hanging="720"/>
      </w:pPr>
      <w:r>
        <w:rPr>
          <w:sz w:val="20"/>
        </w:rPr>
        <w:t>128</w:t>
      </w:r>
      <w:r>
        <w:rPr>
          <w:sz w:val="20"/>
        </w:rPr>
        <w:tab/>
      </w:r>
      <w:r w:rsidR="00BE66D9">
        <w:t>On 8</w:t>
      </w:r>
      <w:r w:rsidR="00D744A8">
        <w:t> </w:t>
      </w:r>
      <w:r w:rsidR="00BE66D9">
        <w:t xml:space="preserve">March 2022, the </w:t>
      </w:r>
      <w:r w:rsidR="00004C94">
        <w:t>a</w:t>
      </w:r>
      <w:r w:rsidR="00BE66D9">
        <w:t xml:space="preserve">pplicants provided evidence that the </w:t>
      </w:r>
      <w:r w:rsidR="000B1412">
        <w:t>l</w:t>
      </w:r>
      <w:r w:rsidR="00BE66D9">
        <w:t>iquidator had obtained adverse costs insurance in the sum of $430,000</w:t>
      </w:r>
      <w:r w:rsidR="00E36998">
        <w:t xml:space="preserve"> and offered </w:t>
      </w:r>
      <w:r w:rsidR="007B2D10">
        <w:t xml:space="preserve">to consent to the </w:t>
      </w:r>
      <w:r w:rsidR="00907A4D">
        <w:t xml:space="preserve">Accolade Parties </w:t>
      </w:r>
      <w:r w:rsidR="004E080D">
        <w:t xml:space="preserve">withdrawing the application with </w:t>
      </w:r>
      <w:r w:rsidR="00C50242">
        <w:t>no orders as to costs. That offer</w:t>
      </w:r>
      <w:r w:rsidR="006B4433">
        <w:t>, made after busi</w:t>
      </w:r>
      <w:r w:rsidR="00BA0F9C">
        <w:t xml:space="preserve">ness hours on </w:t>
      </w:r>
      <w:r w:rsidR="00C758D5">
        <w:t>8 March 2022</w:t>
      </w:r>
      <w:r w:rsidR="00EF444C">
        <w:t>,</w:t>
      </w:r>
      <w:r w:rsidR="00C50242">
        <w:t xml:space="preserve"> was</w:t>
      </w:r>
      <w:r w:rsidR="00EF444C">
        <w:t xml:space="preserve"> expressed to be open until </w:t>
      </w:r>
      <w:r w:rsidR="00E36FAF">
        <w:t>4pm, 9 March 2022.</w:t>
      </w:r>
      <w:r w:rsidR="00C50242">
        <w:t xml:space="preserve">  </w:t>
      </w:r>
    </w:p>
    <w:p w14:paraId="663F4A9D" w14:textId="04291BB0" w:rsidR="00BE66D9" w:rsidRDefault="006D48AC" w:rsidP="006D48AC">
      <w:pPr>
        <w:pStyle w:val="ParaNumbering"/>
        <w:numPr>
          <w:ilvl w:val="0"/>
          <w:numId w:val="0"/>
        </w:numPr>
        <w:ind w:hanging="720"/>
      </w:pPr>
      <w:r>
        <w:rPr>
          <w:sz w:val="20"/>
        </w:rPr>
        <w:t>129</w:t>
      </w:r>
      <w:r>
        <w:rPr>
          <w:sz w:val="20"/>
        </w:rPr>
        <w:tab/>
      </w:r>
      <w:r w:rsidR="00BE66D9">
        <w:t>On 10</w:t>
      </w:r>
      <w:r w:rsidR="00D744A8">
        <w:t> </w:t>
      </w:r>
      <w:r w:rsidR="00BE66D9">
        <w:t xml:space="preserve">March 2022, the </w:t>
      </w:r>
      <w:r w:rsidR="000B1412">
        <w:t>a</w:t>
      </w:r>
      <w:r w:rsidR="00BE66D9">
        <w:t xml:space="preserve">pplicants provided the </w:t>
      </w:r>
      <w:r w:rsidR="00893C18">
        <w:t xml:space="preserve">Accolade Parties with a copy of </w:t>
      </w:r>
      <w:r w:rsidR="00BE66D9">
        <w:t xml:space="preserve">the adverse costs insurance policy </w:t>
      </w:r>
      <w:r w:rsidR="00893C18">
        <w:t xml:space="preserve">it had obtained </w:t>
      </w:r>
      <w:r w:rsidR="00BE66D9">
        <w:t>(redact</w:t>
      </w:r>
      <w:r w:rsidR="00E66670">
        <w:t>ing</w:t>
      </w:r>
      <w:r w:rsidR="00BE66D9">
        <w:t xml:space="preserve"> </w:t>
      </w:r>
      <w:r w:rsidR="00893C18">
        <w:t>for privilege</w:t>
      </w:r>
      <w:r w:rsidR="00F165A2">
        <w:t xml:space="preserve"> and also in respect of the policy premium and payment details</w:t>
      </w:r>
      <w:r w:rsidR="00BE66D9">
        <w:t>).</w:t>
      </w:r>
      <w:r w:rsidR="00893C18">
        <w:t xml:space="preserve"> At this time the </w:t>
      </w:r>
      <w:r w:rsidR="00470A11">
        <w:t xml:space="preserve">applicants again offered to consent to the Accolade Parties withdrawing the application with no orders as to costs. That offer, made at about 4pm on 8 March 2022 was expressed to be open until 5pm, 11 March 2022.  </w:t>
      </w:r>
    </w:p>
    <w:p w14:paraId="71957CD9" w14:textId="7B68F26C" w:rsidR="00D30D79" w:rsidRDefault="006D48AC" w:rsidP="006D48AC">
      <w:pPr>
        <w:pStyle w:val="ParaNumbering"/>
        <w:numPr>
          <w:ilvl w:val="0"/>
          <w:numId w:val="0"/>
        </w:numPr>
        <w:ind w:hanging="720"/>
      </w:pPr>
      <w:r>
        <w:rPr>
          <w:sz w:val="20"/>
        </w:rPr>
        <w:lastRenderedPageBreak/>
        <w:t>130</w:t>
      </w:r>
      <w:r>
        <w:rPr>
          <w:sz w:val="20"/>
        </w:rPr>
        <w:tab/>
      </w:r>
      <w:r w:rsidR="001B6627">
        <w:t>The communications sent by the applicants clearly foreshadowed the making of an application for indemnity costs</w:t>
      </w:r>
      <w:r w:rsidR="0061499D">
        <w:t xml:space="preserve"> and exposed the basis </w:t>
      </w:r>
      <w:r w:rsidR="00A55B1D">
        <w:t>for why the applicants maintained the application would fail</w:t>
      </w:r>
      <w:r w:rsidR="00D30D79">
        <w:t>. The reasons as to why the application would most likely fail highlighted by the applicants’ solicitors in their communications to the Accolade Parties’ solicitors, including the financial position of the liquidator, the existence of the adverse costs policy and the likelihood that any costs order, if made, would be made against both the liquidator and the Company on a joint and several basis, featured in the Decision as to why there was no reason to believe that the applicants would be unable to pay an adverse costs order if so ordered.</w:t>
      </w:r>
    </w:p>
    <w:p w14:paraId="2FC5C7D3" w14:textId="6BCEE660" w:rsidR="0067160B" w:rsidRDefault="006D48AC" w:rsidP="006D48AC">
      <w:pPr>
        <w:pStyle w:val="ParaNumbering"/>
        <w:numPr>
          <w:ilvl w:val="0"/>
          <w:numId w:val="0"/>
        </w:numPr>
        <w:ind w:hanging="720"/>
      </w:pPr>
      <w:r>
        <w:rPr>
          <w:sz w:val="20"/>
        </w:rPr>
        <w:t>131</w:t>
      </w:r>
      <w:r>
        <w:rPr>
          <w:sz w:val="20"/>
        </w:rPr>
        <w:tab/>
      </w:r>
      <w:r w:rsidR="00BC3F8C">
        <w:t>The offers made on 8 March 2022 and 10 March 2022 were not made pursuant to r</w:t>
      </w:r>
      <w:r w:rsidR="004450BE">
        <w:t> </w:t>
      </w:r>
      <w:r w:rsidR="00BC3F8C">
        <w:t xml:space="preserve">25.01 of the </w:t>
      </w:r>
      <w:r w:rsidR="00BC3F8C" w:rsidRPr="001B677C">
        <w:rPr>
          <w:i/>
        </w:rPr>
        <w:t>Rules</w:t>
      </w:r>
      <w:r w:rsidR="00286723">
        <w:t xml:space="preserve"> nor were they expressed to be made in accordance with the principles in </w:t>
      </w:r>
      <w:r w:rsidR="003C5F00" w:rsidRPr="00535167">
        <w:rPr>
          <w:i/>
          <w:iCs/>
        </w:rPr>
        <w:t xml:space="preserve">Calderbank v Calderbank </w:t>
      </w:r>
      <w:r w:rsidR="003C5F00" w:rsidRPr="003C5F00">
        <w:t>[1975] 3 All ER 333</w:t>
      </w:r>
      <w:r w:rsidR="00B34DE9">
        <w:t xml:space="preserve">. </w:t>
      </w:r>
      <w:r w:rsidR="00F91E6D">
        <w:t xml:space="preserve">That </w:t>
      </w:r>
      <w:r w:rsidR="00F91E6D" w:rsidRPr="00F91E6D">
        <w:t xml:space="preserve">does not mean </w:t>
      </w:r>
      <w:r w:rsidR="00F91E6D">
        <w:t>the offers are</w:t>
      </w:r>
      <w:r w:rsidR="00F91E6D" w:rsidRPr="00F91E6D">
        <w:t xml:space="preserve"> not effective in an argument on costs: </w:t>
      </w:r>
      <w:r w:rsidR="00F91E6D" w:rsidRPr="001B677C">
        <w:rPr>
          <w:i/>
        </w:rPr>
        <w:t>Jones v Bradley (No</w:t>
      </w:r>
      <w:r w:rsidR="00166181">
        <w:rPr>
          <w:i/>
        </w:rPr>
        <w:t> </w:t>
      </w:r>
      <w:r w:rsidR="00F91E6D" w:rsidRPr="001B677C">
        <w:rPr>
          <w:i/>
        </w:rPr>
        <w:t xml:space="preserve">2) </w:t>
      </w:r>
      <w:r w:rsidR="00F91E6D" w:rsidRPr="001F32DA">
        <w:rPr>
          <w:iCs/>
        </w:rPr>
        <w:t>[2003] NSWCA 258</w:t>
      </w:r>
      <w:r w:rsidR="00A436CF">
        <w:t xml:space="preserve"> (Meagher, Beazley and Santow JJA)</w:t>
      </w:r>
      <w:r w:rsidR="00F91E6D" w:rsidRPr="00F91E6D">
        <w:t xml:space="preserve"> at [15]</w:t>
      </w:r>
      <w:r w:rsidR="00974ED6">
        <w:t>.</w:t>
      </w:r>
      <w:r w:rsidR="00B34DE9">
        <w:t xml:space="preserve"> </w:t>
      </w:r>
      <w:r w:rsidR="00EB1F32">
        <w:t xml:space="preserve">However, </w:t>
      </w:r>
      <w:r w:rsidR="00493D3B">
        <w:t xml:space="preserve">in the context where the applicants on a reasoned basis maintained that the </w:t>
      </w:r>
      <w:r w:rsidR="00974ED6">
        <w:t>application was</w:t>
      </w:r>
      <w:r w:rsidR="0079727E">
        <w:t xml:space="preserve"> doomed to fail</w:t>
      </w:r>
      <w:r w:rsidR="00EF1DBB">
        <w:t>,</w:t>
      </w:r>
      <w:r w:rsidR="00EB1F32">
        <w:t xml:space="preserve"> the</w:t>
      </w:r>
      <w:r w:rsidR="00974ED6">
        <w:t xml:space="preserve"> </w:t>
      </w:r>
      <w:r w:rsidR="00436B29">
        <w:t>offers</w:t>
      </w:r>
      <w:r w:rsidR="00EB1F32">
        <w:t xml:space="preserve"> to consent to the application being withdrawn with no order for costs </w:t>
      </w:r>
      <w:r w:rsidR="0079727E">
        <w:t>represent</w:t>
      </w:r>
      <w:r w:rsidR="00436B29">
        <w:t>ed</w:t>
      </w:r>
      <w:r w:rsidR="0079727E">
        <w:t xml:space="preserve"> a</w:t>
      </w:r>
      <w:r w:rsidR="00EB1F32">
        <w:t xml:space="preserve"> real compromise</w:t>
      </w:r>
      <w:r w:rsidR="0079727E">
        <w:t xml:space="preserve"> on the part of the </w:t>
      </w:r>
      <w:r w:rsidR="00510D4D">
        <w:t xml:space="preserve">applicants. </w:t>
      </w:r>
      <w:r w:rsidR="00DC1025">
        <w:t>T</w:t>
      </w:r>
      <w:r w:rsidR="00DC1025" w:rsidRPr="00DC1025">
        <w:t xml:space="preserve">he original Security Application </w:t>
      </w:r>
      <w:r w:rsidR="00DC1025">
        <w:t>had</w:t>
      </w:r>
      <w:r w:rsidR="00DC1025" w:rsidRPr="00DC1025">
        <w:t xml:space="preserve"> </w:t>
      </w:r>
      <w:r w:rsidR="00AE41C8">
        <w:t>been filed</w:t>
      </w:r>
      <w:r w:rsidR="00DC1025" w:rsidRPr="00DC1025">
        <w:t xml:space="preserve"> four months’ </w:t>
      </w:r>
      <w:r w:rsidR="00BB2D23">
        <w:t>be</w:t>
      </w:r>
      <w:r w:rsidR="00536716">
        <w:t>fore the offers were made</w:t>
      </w:r>
      <w:r w:rsidR="0030068B">
        <w:t>.</w:t>
      </w:r>
      <w:r w:rsidR="00DC1025" w:rsidRPr="00DC1025">
        <w:t xml:space="preserve"> </w:t>
      </w:r>
      <w:r w:rsidR="0030068B">
        <w:t>D</w:t>
      </w:r>
      <w:r w:rsidR="00DC1025" w:rsidRPr="00DC1025">
        <w:t xml:space="preserve">uring </w:t>
      </w:r>
      <w:r w:rsidR="0030068B">
        <w:t>that</w:t>
      </w:r>
      <w:r w:rsidR="00DC1025" w:rsidRPr="00DC1025">
        <w:t xml:space="preserve"> time</w:t>
      </w:r>
      <w:r w:rsidR="0030068B">
        <w:t>, it can readily be inferred that</w:t>
      </w:r>
      <w:r w:rsidR="00DC1025" w:rsidRPr="00DC1025">
        <w:t xml:space="preserve"> costs </w:t>
      </w:r>
      <w:r w:rsidR="0030068B">
        <w:t>had been</w:t>
      </w:r>
      <w:r w:rsidR="00DC1025" w:rsidRPr="00DC1025">
        <w:t xml:space="preserve"> incurred by the </w:t>
      </w:r>
      <w:r w:rsidR="0030068B">
        <w:t>a</w:t>
      </w:r>
      <w:r w:rsidR="00DC1025" w:rsidRPr="00DC1025">
        <w:t>pplicants on the application</w:t>
      </w:r>
      <w:r w:rsidR="0030068B">
        <w:t xml:space="preserve">. </w:t>
      </w:r>
      <w:r w:rsidR="00B871F1">
        <w:t xml:space="preserve">The Accolade Parties’ submission that the </w:t>
      </w:r>
      <w:r w:rsidR="00786D1C">
        <w:t>offers did not represent a real compromise because they did not offer to provide security are not to the point.</w:t>
      </w:r>
    </w:p>
    <w:p w14:paraId="1A452002" w14:textId="03A1A8A1" w:rsidR="00BE66D9" w:rsidRDefault="006D48AC" w:rsidP="006D48AC">
      <w:pPr>
        <w:pStyle w:val="ParaNumbering"/>
        <w:numPr>
          <w:ilvl w:val="0"/>
          <w:numId w:val="0"/>
        </w:numPr>
        <w:ind w:hanging="720"/>
      </w:pPr>
      <w:r>
        <w:rPr>
          <w:sz w:val="20"/>
        </w:rPr>
        <w:t>132</w:t>
      </w:r>
      <w:r>
        <w:rPr>
          <w:sz w:val="20"/>
        </w:rPr>
        <w:tab/>
      </w:r>
      <w:r w:rsidR="0022152B">
        <w:t>The Accolade Parties submit that</w:t>
      </w:r>
      <w:r w:rsidR="0022152B" w:rsidRPr="001B677C">
        <w:t xml:space="preserve"> </w:t>
      </w:r>
      <w:r w:rsidR="0022152B">
        <w:t xml:space="preserve">it was not unreasonable to reject the offers </w:t>
      </w:r>
      <w:r w:rsidR="00A2794E">
        <w:t>because the letters did</w:t>
      </w:r>
      <w:r w:rsidR="0022152B">
        <w:t xml:space="preserve"> </w:t>
      </w:r>
      <w:r w:rsidR="00612345">
        <w:t>not</w:t>
      </w:r>
      <w:r w:rsidR="0022152B">
        <w:t xml:space="preserve"> address the issues raised by Yates J in </w:t>
      </w:r>
      <w:r w:rsidR="0022152B" w:rsidRPr="000134B5">
        <w:rPr>
          <w:b/>
          <w:i/>
        </w:rPr>
        <w:t>Peterson</w:t>
      </w:r>
      <w:r w:rsidR="0022152B" w:rsidRPr="000134B5">
        <w:rPr>
          <w:i/>
        </w:rPr>
        <w:t xml:space="preserve"> Superannuation Fund Pty Ltd v Bank of Queensland Ltd</w:t>
      </w:r>
      <w:r w:rsidR="0022152B">
        <w:t xml:space="preserve"> [2017] FCA 699 and general proposition that litigation insurance is not a panacea for an adverse costs order because the respondent is primar</w:t>
      </w:r>
      <w:r w:rsidR="00612345">
        <w:t>il</w:t>
      </w:r>
      <w:r w:rsidR="0022152B">
        <w:t xml:space="preserve">y dependent upon the applicant to make a claim and for the conduct of the applicant to not have adversely </w:t>
      </w:r>
      <w:r w:rsidR="004E276C">
        <w:t>affected the</w:t>
      </w:r>
      <w:r w:rsidR="0022152B">
        <w:t xml:space="preserve"> liability of the insurer. </w:t>
      </w:r>
      <w:r w:rsidR="00612345">
        <w:t>The Accolade Parties submit that i</w:t>
      </w:r>
      <w:r w:rsidR="0022152B">
        <w:t xml:space="preserve">n </w:t>
      </w:r>
      <w:r w:rsidR="0022152B" w:rsidRPr="000134B5">
        <w:rPr>
          <w:i/>
        </w:rPr>
        <w:t>Peterson</w:t>
      </w:r>
      <w:r w:rsidR="0022152B">
        <w:t xml:space="preserve">, Yates J ordered security because the policy did not insure the respondents. </w:t>
      </w:r>
      <w:r w:rsidR="00612345">
        <w:t xml:space="preserve">Further that </w:t>
      </w:r>
      <w:r w:rsidR="001B340A">
        <w:t xml:space="preserve">as in </w:t>
      </w:r>
      <w:r w:rsidR="001B340A">
        <w:rPr>
          <w:i/>
          <w:iCs/>
        </w:rPr>
        <w:t>Peterson</w:t>
      </w:r>
      <w:r w:rsidR="00612345">
        <w:rPr>
          <w:i/>
        </w:rPr>
        <w:t xml:space="preserve"> </w:t>
      </w:r>
      <w:r w:rsidR="0022152B">
        <w:t>in this case, the policy insures the applicants</w:t>
      </w:r>
      <w:r w:rsidR="002A064F">
        <w:t xml:space="preserve"> and that t</w:t>
      </w:r>
      <w:r w:rsidR="0022152B">
        <w:t>he policy is of no or little security given the applicants may not claim and the claim may not be answerable if the applicants failed to honour the terms of the policy.</w:t>
      </w:r>
      <w:r w:rsidR="00034E30">
        <w:t xml:space="preserve"> I do not agree. In the present case, </w:t>
      </w:r>
      <w:r w:rsidR="00830EFD">
        <w:t xml:space="preserve">the adverse costs policy was not offered as the form of security for </w:t>
      </w:r>
      <w:r w:rsidR="001D3E74">
        <w:t>cost</w:t>
      </w:r>
      <w:r w:rsidR="003F5A5F">
        <w:t>s</w:t>
      </w:r>
      <w:r w:rsidR="003B4A77">
        <w:t xml:space="preserve">. </w:t>
      </w:r>
      <w:r w:rsidR="00DB75C7">
        <w:t>The policy was but one of a</w:t>
      </w:r>
      <w:r w:rsidR="00FA1869">
        <w:t xml:space="preserve"> number of factors </w:t>
      </w:r>
      <w:r w:rsidR="00280B68">
        <w:t xml:space="preserve">relevant to the determination </w:t>
      </w:r>
      <w:r w:rsidR="00005FA6">
        <w:t>of whether the</w:t>
      </w:r>
      <w:r w:rsidR="007C110C">
        <w:t xml:space="preserve">re was reason to </w:t>
      </w:r>
      <w:r w:rsidR="001E3A59">
        <w:t xml:space="preserve">believe that the applicants </w:t>
      </w:r>
      <w:r w:rsidR="0071050D">
        <w:t xml:space="preserve">would be unable to </w:t>
      </w:r>
      <w:r w:rsidR="008D60E1">
        <w:t xml:space="preserve">satisfy </w:t>
      </w:r>
      <w:r w:rsidR="00DE17DA">
        <w:t>an adverse costs order</w:t>
      </w:r>
      <w:r w:rsidR="00DA039E">
        <w:t xml:space="preserve">. </w:t>
      </w:r>
    </w:p>
    <w:p w14:paraId="0F29F2ED" w14:textId="0737D2E1" w:rsidR="00BE66D9" w:rsidRDefault="006D48AC" w:rsidP="006D48AC">
      <w:pPr>
        <w:pStyle w:val="ParaNumbering"/>
        <w:numPr>
          <w:ilvl w:val="0"/>
          <w:numId w:val="0"/>
        </w:numPr>
        <w:ind w:hanging="720"/>
      </w:pPr>
      <w:r>
        <w:rPr>
          <w:sz w:val="20"/>
        </w:rPr>
        <w:lastRenderedPageBreak/>
        <w:t>133</w:t>
      </w:r>
      <w:r>
        <w:rPr>
          <w:sz w:val="20"/>
        </w:rPr>
        <w:tab/>
      </w:r>
      <w:r w:rsidR="009D130F">
        <w:t xml:space="preserve">Taking all of the above into account, I am satisfied that in the circumstances of this application, it is appropriate to depart from the usual order that costs </w:t>
      </w:r>
      <w:r w:rsidR="00A27F50">
        <w:t xml:space="preserve">be awarded to the successful party on a party/party </w:t>
      </w:r>
      <w:r w:rsidR="00DD3D41">
        <w:t xml:space="preserve">basis and award the applicants their costs of the Security Application </w:t>
      </w:r>
      <w:r w:rsidR="00C22369">
        <w:t xml:space="preserve">on an indemnity basis. </w:t>
      </w:r>
      <w:r w:rsidR="00BE66D9">
        <w:t>The costs of this application (the adoption application) should also be paid by the Accolade Parties</w:t>
      </w:r>
      <w:r w:rsidR="00736E50">
        <w:t xml:space="preserve"> on the ordinary basis</w:t>
      </w:r>
      <w:r w:rsidR="00BE66D9">
        <w:t xml:space="preserve">.  </w:t>
      </w:r>
    </w:p>
    <w:p w14:paraId="57593428" w14:textId="77777777" w:rsidR="00BE66D9" w:rsidRDefault="00BE66D9" w:rsidP="00BE66D9">
      <w:pPr>
        <w:pStyle w:val="Heading2"/>
      </w:pPr>
      <w:r>
        <w:t>Determination</w:t>
      </w:r>
    </w:p>
    <w:p w14:paraId="1432B601" w14:textId="4F5B9389" w:rsidR="00BE66D9" w:rsidRPr="008B6629" w:rsidRDefault="006D48AC" w:rsidP="006D48AC">
      <w:pPr>
        <w:pStyle w:val="ParaNumbering"/>
        <w:numPr>
          <w:ilvl w:val="0"/>
          <w:numId w:val="0"/>
        </w:numPr>
        <w:ind w:hanging="720"/>
      </w:pPr>
      <w:r w:rsidRPr="008B6629">
        <w:rPr>
          <w:sz w:val="20"/>
        </w:rPr>
        <w:t>134</w:t>
      </w:r>
      <w:r w:rsidRPr="008B6629">
        <w:rPr>
          <w:sz w:val="20"/>
        </w:rPr>
        <w:tab/>
      </w:r>
      <w:r w:rsidR="00AF085A">
        <w:t xml:space="preserve">For the above reasons, </w:t>
      </w:r>
      <w:r w:rsidR="0047789E">
        <w:t xml:space="preserve">I will </w:t>
      </w:r>
      <w:r w:rsidR="00682FE7">
        <w:t xml:space="preserve">order that </w:t>
      </w:r>
      <w:r w:rsidR="00AF085A">
        <w:t xml:space="preserve">the </w:t>
      </w:r>
      <w:r w:rsidR="00333E68">
        <w:t xml:space="preserve">Accolade Parties pay the </w:t>
      </w:r>
      <w:r w:rsidR="00004C94">
        <w:t>a</w:t>
      </w:r>
      <w:r w:rsidR="00333E68">
        <w:t>pplicants</w:t>
      </w:r>
      <w:r w:rsidR="00843D18">
        <w:t>’</w:t>
      </w:r>
      <w:r w:rsidR="00333E68">
        <w:t xml:space="preserve"> </w:t>
      </w:r>
      <w:r w:rsidR="00D63E89">
        <w:t xml:space="preserve">costs on the </w:t>
      </w:r>
      <w:r w:rsidR="00843D18">
        <w:t>Security Application on an indemnity basis</w:t>
      </w:r>
      <w:r w:rsidR="00D63E89">
        <w:t xml:space="preserve"> </w:t>
      </w:r>
      <w:r w:rsidR="00843D18">
        <w:t xml:space="preserve">and </w:t>
      </w:r>
      <w:r w:rsidR="00C961E8">
        <w:t>on this adoption application on a party/party basis</w:t>
      </w:r>
      <w:r w:rsidR="00843D18">
        <w:t>.</w:t>
      </w:r>
      <w:r w:rsidR="00C961E8">
        <w:t xml:space="preserve"> In the event that costs are not agreed, </w:t>
      </w:r>
      <w:r w:rsidR="001A0982">
        <w:t>they are to be assessed by a Registrar of the Court on a lump sum basis.</w:t>
      </w:r>
    </w:p>
    <w:p w14:paraId="1E22434E" w14:textId="7EF2AE3E" w:rsidR="00495DEF" w:rsidRDefault="006D48AC" w:rsidP="00495DEF">
      <w:pPr>
        <w:pStyle w:val="Heading1"/>
      </w:pPr>
      <w:r>
        <w:rPr>
          <w:caps w:val="0"/>
        </w:rPr>
        <w:t>CONCLUSION</w:t>
      </w:r>
    </w:p>
    <w:p w14:paraId="53734C30" w14:textId="3B65E6FF" w:rsidR="00495DEF" w:rsidRDefault="006D48AC" w:rsidP="006D48AC">
      <w:pPr>
        <w:pStyle w:val="ParaNumbering"/>
        <w:numPr>
          <w:ilvl w:val="0"/>
          <w:numId w:val="0"/>
        </w:numPr>
        <w:ind w:hanging="720"/>
      </w:pPr>
      <w:r>
        <w:rPr>
          <w:sz w:val="20"/>
        </w:rPr>
        <w:t>135</w:t>
      </w:r>
      <w:r>
        <w:rPr>
          <w:sz w:val="20"/>
        </w:rPr>
        <w:tab/>
      </w:r>
      <w:r w:rsidR="00E25702">
        <w:t>For these reasons</w:t>
      </w:r>
      <w:r w:rsidR="0095414F">
        <w:t>,</w:t>
      </w:r>
      <w:r w:rsidR="00E25702">
        <w:t xml:space="preserve"> I </w:t>
      </w:r>
      <w:r w:rsidR="0095414F">
        <w:t xml:space="preserve">will </w:t>
      </w:r>
      <w:r w:rsidR="001A0982">
        <w:t>make</w:t>
      </w:r>
      <w:r w:rsidR="0095414F">
        <w:t xml:space="preserve"> order</w:t>
      </w:r>
      <w:r w:rsidR="001A0982">
        <w:t>s in relation to each of the interlocutory appl</w:t>
      </w:r>
      <w:r w:rsidR="004B0B8A">
        <w:t>ications as indicated in these reasons.</w:t>
      </w:r>
    </w:p>
    <w:p w14:paraId="17AB2583" w14:textId="77777777" w:rsidR="0049558A" w:rsidRDefault="0049558A">
      <w:pPr>
        <w:pStyle w:val="BodyText"/>
      </w:pPr>
      <w:bookmarkStart w:id="24" w:name="Certification"/>
    </w:p>
    <w:tbl>
      <w:tblPr>
        <w:tblW w:w="0" w:type="auto"/>
        <w:tblLook w:val="04A0" w:firstRow="1" w:lastRow="0" w:firstColumn="1" w:lastColumn="0" w:noHBand="0" w:noVBand="1"/>
      </w:tblPr>
      <w:tblGrid>
        <w:gridCol w:w="3794"/>
      </w:tblGrid>
      <w:tr w:rsidR="0049558A" w:rsidRPr="0049558A" w14:paraId="4E5F3D5D" w14:textId="77777777">
        <w:tc>
          <w:tcPr>
            <w:tcW w:w="3794" w:type="dxa"/>
            <w:shd w:val="clear" w:color="auto" w:fill="auto"/>
          </w:tcPr>
          <w:p w14:paraId="1BCACE76" w14:textId="251D3B08" w:rsidR="0049558A" w:rsidRPr="0049558A" w:rsidRDefault="0049558A" w:rsidP="0049558A">
            <w:pPr>
              <w:pStyle w:val="Normal1linespace"/>
            </w:pPr>
            <w:r w:rsidRPr="0049558A">
              <w:t xml:space="preserve">I certify that the preceding </w:t>
            </w:r>
            <w:bookmarkStart w:id="25" w:name="NumberWord"/>
            <w:r>
              <w:t>one hundred and thirty-five</w:t>
            </w:r>
            <w:bookmarkEnd w:id="25"/>
            <w:r w:rsidRPr="0049558A">
              <w:t xml:space="preserve"> (</w:t>
            </w:r>
            <w:bookmarkStart w:id="26" w:name="NumberNumeral"/>
            <w:r>
              <w:t>135</w:t>
            </w:r>
            <w:bookmarkEnd w:id="26"/>
            <w:r w:rsidRPr="0049558A">
              <w:t xml:space="preserve">) numbered </w:t>
            </w:r>
            <w:bookmarkStart w:id="27" w:name="CertPara"/>
            <w:r>
              <w:t>paragraphs are</w:t>
            </w:r>
            <w:bookmarkEnd w:id="27"/>
            <w:r w:rsidRPr="0049558A">
              <w:t xml:space="preserve"> a true copy of the Reasons for Judgment of </w:t>
            </w:r>
            <w:bookmarkStart w:id="28" w:name="bkHonourable"/>
            <w:r w:rsidRPr="0049558A">
              <w:t xml:space="preserve">the Honourable </w:t>
            </w:r>
            <w:bookmarkStart w:id="29" w:name="Justice"/>
            <w:bookmarkEnd w:id="28"/>
            <w:r>
              <w:t>Justice Cheeseman</w:t>
            </w:r>
            <w:bookmarkEnd w:id="29"/>
            <w:r w:rsidRPr="0049558A">
              <w:t>.</w:t>
            </w:r>
          </w:p>
        </w:tc>
      </w:tr>
    </w:tbl>
    <w:p w14:paraId="36C1F0FA" w14:textId="77777777" w:rsidR="0049558A" w:rsidRDefault="0049558A">
      <w:pPr>
        <w:pStyle w:val="BodyText"/>
      </w:pPr>
    </w:p>
    <w:p w14:paraId="1ED51444" w14:textId="009C6082" w:rsidR="0049558A" w:rsidRDefault="0049558A">
      <w:pPr>
        <w:pStyle w:val="BodyText"/>
      </w:pPr>
      <w:r>
        <w:t xml:space="preserve">Associate: </w:t>
      </w:r>
    </w:p>
    <w:p w14:paraId="6F774134" w14:textId="77777777" w:rsidR="0049558A" w:rsidRDefault="0049558A">
      <w:pPr>
        <w:pStyle w:val="BodyText"/>
      </w:pPr>
    </w:p>
    <w:p w14:paraId="4D0D5330" w14:textId="6D6E5C6C" w:rsidR="0049558A" w:rsidRDefault="0049558A">
      <w:pPr>
        <w:pStyle w:val="BodyText"/>
        <w:tabs>
          <w:tab w:val="left" w:pos="1134"/>
        </w:tabs>
      </w:pPr>
      <w:r>
        <w:t>Dated:</w:t>
      </w:r>
      <w:r>
        <w:tab/>
      </w:r>
      <w:bookmarkStart w:id="30" w:name="CertifyDated"/>
      <w:r>
        <w:t>4 October 2023</w:t>
      </w:r>
      <w:bookmarkEnd w:id="30"/>
    </w:p>
    <w:p w14:paraId="133D367A" w14:textId="77777777" w:rsidR="0049558A" w:rsidRDefault="0049558A">
      <w:pPr>
        <w:pStyle w:val="BodyText"/>
      </w:pPr>
    </w:p>
    <w:bookmarkEnd w:id="24"/>
    <w:p w14:paraId="51ABD7ED" w14:textId="77777777" w:rsidR="00495DEF" w:rsidRDefault="00495DEF" w:rsidP="0049558A">
      <w:pPr>
        <w:pStyle w:val="BodyText"/>
      </w:pPr>
    </w:p>
    <w:p w14:paraId="2D72F484" w14:textId="77777777" w:rsidR="00495DEF" w:rsidRDefault="00495DEF">
      <w:pPr>
        <w:spacing w:line="240" w:lineRule="auto"/>
        <w:jc w:val="left"/>
        <w:rPr>
          <w:b/>
          <w:sz w:val="28"/>
          <w:szCs w:val="28"/>
        </w:rPr>
      </w:pPr>
      <w:r>
        <w:rPr>
          <w:sz w:val="28"/>
          <w:szCs w:val="28"/>
        </w:rPr>
        <w:br w:type="page"/>
      </w:r>
    </w:p>
    <w:p w14:paraId="2D325C6C" w14:textId="307C591A" w:rsidR="00083D12" w:rsidRPr="00CD498A" w:rsidRDefault="00083D12" w:rsidP="00E91A0F">
      <w:pPr>
        <w:pStyle w:val="NormalHeadings"/>
        <w:spacing w:before="180" w:line="480" w:lineRule="auto"/>
        <w:jc w:val="center"/>
        <w:rPr>
          <w:sz w:val="28"/>
          <w:szCs w:val="28"/>
        </w:rPr>
      </w:pPr>
      <w:r w:rsidRPr="00CD498A">
        <w:rPr>
          <w:sz w:val="28"/>
          <w:szCs w:val="28"/>
        </w:rPr>
        <w:lastRenderedPageBreak/>
        <w:t>SCHEDULE OF PARTIES</w:t>
      </w:r>
    </w:p>
    <w:p w14:paraId="00106E1C" w14:textId="77777777" w:rsidR="00083D12" w:rsidRPr="00663089" w:rsidRDefault="00083D12" w:rsidP="00962E0C">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083D12" w14:paraId="61E647C5" w14:textId="77777777" w:rsidTr="00083D12">
        <w:tc>
          <w:tcPr>
            <w:tcW w:w="3368" w:type="dxa"/>
          </w:tcPr>
          <w:p w14:paraId="115CD79B" w14:textId="77777777" w:rsidR="00083D12" w:rsidRDefault="00083D12" w:rsidP="00962E0C">
            <w:pPr>
              <w:pStyle w:val="NormalHeadings"/>
              <w:jc w:val="left"/>
              <w:rPr>
                <w:caps/>
                <w:szCs w:val="24"/>
              </w:rPr>
            </w:pPr>
          </w:p>
        </w:tc>
        <w:tc>
          <w:tcPr>
            <w:tcW w:w="5874" w:type="dxa"/>
          </w:tcPr>
          <w:p w14:paraId="31C807F6" w14:textId="77777777" w:rsidR="00083D12" w:rsidRDefault="006D48AC" w:rsidP="00962E0C">
            <w:pPr>
              <w:pStyle w:val="NormalHeadings"/>
              <w:jc w:val="right"/>
            </w:pPr>
            <w:fldSimple w:instr=" REF  FileNo " w:fldLock="1">
              <w:r w:rsidR="00083D12">
                <w:t>NSD 797 of 2021</w:t>
              </w:r>
            </w:fldSimple>
          </w:p>
        </w:tc>
      </w:tr>
      <w:tr w:rsidR="00083D12" w14:paraId="2A659738" w14:textId="77777777" w:rsidTr="00083D12">
        <w:trPr>
          <w:trHeight w:val="386"/>
        </w:trPr>
        <w:tc>
          <w:tcPr>
            <w:tcW w:w="3368" w:type="dxa"/>
          </w:tcPr>
          <w:p w14:paraId="5A5C2B4E" w14:textId="77777777" w:rsidR="00083D12" w:rsidRDefault="00083D12" w:rsidP="00962E0C">
            <w:pPr>
              <w:pStyle w:val="BodyTextBold"/>
              <w:spacing w:before="180"/>
              <w:jc w:val="left"/>
            </w:pPr>
            <w:bookmarkStart w:id="31" w:name="SOP_RespondentsRows" w:colFirst="0" w:colLast="1"/>
            <w:r>
              <w:t>Respondents</w:t>
            </w:r>
          </w:p>
        </w:tc>
        <w:tc>
          <w:tcPr>
            <w:tcW w:w="5874" w:type="dxa"/>
            <w:tcMar>
              <w:left w:w="28" w:type="dxa"/>
            </w:tcMar>
          </w:tcPr>
          <w:p w14:paraId="1CF627E7" w14:textId="77777777" w:rsidR="00083D12" w:rsidRDefault="00083D12" w:rsidP="00962E0C">
            <w:pPr>
              <w:pStyle w:val="BodyText"/>
              <w:jc w:val="left"/>
            </w:pPr>
          </w:p>
        </w:tc>
      </w:tr>
      <w:tr w:rsidR="00083D12" w14:paraId="534EBA2A" w14:textId="77777777" w:rsidTr="00083D12">
        <w:trPr>
          <w:trHeight w:val="386"/>
        </w:trPr>
        <w:tc>
          <w:tcPr>
            <w:tcW w:w="3368" w:type="dxa"/>
          </w:tcPr>
          <w:p w14:paraId="16671211" w14:textId="77777777" w:rsidR="00083D12" w:rsidRDefault="00083D12" w:rsidP="00962E0C">
            <w:pPr>
              <w:pStyle w:val="BodyText"/>
              <w:spacing w:after="240" w:line="240" w:lineRule="auto"/>
              <w:jc w:val="left"/>
            </w:pPr>
            <w:bookmarkStart w:id="32" w:name="SOP_FirstRespondent"/>
            <w:bookmarkEnd w:id="32"/>
            <w:r>
              <w:t>Fourth Respondent:</w:t>
            </w:r>
          </w:p>
        </w:tc>
        <w:tc>
          <w:tcPr>
            <w:tcW w:w="5874" w:type="dxa"/>
            <w:tcMar>
              <w:left w:w="28" w:type="dxa"/>
            </w:tcMar>
          </w:tcPr>
          <w:p w14:paraId="0B2CDE09" w14:textId="77777777" w:rsidR="00083D12" w:rsidRDefault="00083D12" w:rsidP="00962E0C">
            <w:pPr>
              <w:pStyle w:val="BodyText"/>
              <w:spacing w:after="240" w:line="240" w:lineRule="auto"/>
              <w:jc w:val="left"/>
            </w:pPr>
            <w:r>
              <w:t>RELIANCE FINANCIAL SERVICES PTY LTD ACN 146317919</w:t>
            </w:r>
          </w:p>
        </w:tc>
      </w:tr>
      <w:tr w:rsidR="00083D12" w14:paraId="004BF569" w14:textId="77777777" w:rsidTr="00083D12">
        <w:trPr>
          <w:trHeight w:val="386"/>
        </w:trPr>
        <w:tc>
          <w:tcPr>
            <w:tcW w:w="3368" w:type="dxa"/>
          </w:tcPr>
          <w:p w14:paraId="0E48AE42" w14:textId="77777777" w:rsidR="00083D12" w:rsidRDefault="00083D12" w:rsidP="00962E0C">
            <w:pPr>
              <w:pStyle w:val="BodyText"/>
              <w:spacing w:after="240" w:line="240" w:lineRule="auto"/>
              <w:jc w:val="left"/>
            </w:pPr>
            <w:r>
              <w:t>Fifth Respondent:</w:t>
            </w:r>
          </w:p>
        </w:tc>
        <w:tc>
          <w:tcPr>
            <w:tcW w:w="5874" w:type="dxa"/>
            <w:tcMar>
              <w:left w:w="28" w:type="dxa"/>
            </w:tcMar>
          </w:tcPr>
          <w:p w14:paraId="1551DB04" w14:textId="77777777" w:rsidR="00083D12" w:rsidRDefault="00083D12" w:rsidP="00962E0C">
            <w:pPr>
              <w:pStyle w:val="BodyText"/>
              <w:spacing w:after="240" w:line="240" w:lineRule="auto"/>
              <w:jc w:val="left"/>
            </w:pPr>
            <w:r>
              <w:t>DAVID CASSANITI</w:t>
            </w:r>
          </w:p>
        </w:tc>
      </w:tr>
      <w:tr w:rsidR="00083D12" w14:paraId="69FF0AA6" w14:textId="77777777" w:rsidTr="00083D12">
        <w:trPr>
          <w:trHeight w:val="386"/>
        </w:trPr>
        <w:tc>
          <w:tcPr>
            <w:tcW w:w="3368" w:type="dxa"/>
          </w:tcPr>
          <w:p w14:paraId="7D125F29" w14:textId="77777777" w:rsidR="00083D12" w:rsidRDefault="00083D12" w:rsidP="00962E0C">
            <w:pPr>
              <w:pStyle w:val="BodyText"/>
              <w:spacing w:after="240" w:line="240" w:lineRule="auto"/>
              <w:jc w:val="left"/>
            </w:pPr>
            <w:r>
              <w:t>Sixth Respondent:</w:t>
            </w:r>
          </w:p>
        </w:tc>
        <w:tc>
          <w:tcPr>
            <w:tcW w:w="5874" w:type="dxa"/>
            <w:tcMar>
              <w:left w:w="28" w:type="dxa"/>
            </w:tcMar>
          </w:tcPr>
          <w:p w14:paraId="44D99391" w14:textId="77777777" w:rsidR="00083D12" w:rsidRDefault="00083D12" w:rsidP="00962E0C">
            <w:pPr>
              <w:pStyle w:val="BodyText"/>
              <w:spacing w:after="240" w:line="240" w:lineRule="auto"/>
              <w:jc w:val="left"/>
            </w:pPr>
            <w:r>
              <w:t>CARMELO DUARDO</w:t>
            </w:r>
          </w:p>
        </w:tc>
      </w:tr>
      <w:bookmarkEnd w:id="31"/>
    </w:tbl>
    <w:p w14:paraId="78486E7F" w14:textId="77777777" w:rsidR="00083D12" w:rsidRDefault="00083D12" w:rsidP="002B0E91">
      <w:pPr>
        <w:pStyle w:val="BodyText"/>
      </w:pPr>
    </w:p>
    <w:p w14:paraId="0DC4096F" w14:textId="77777777" w:rsidR="00083D12" w:rsidRDefault="00083D12" w:rsidP="00083D12">
      <w:pPr>
        <w:pStyle w:val="BodyText"/>
      </w:pPr>
    </w:p>
    <w:sectPr w:rsidR="00083D12"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AB42" w14:textId="77777777" w:rsidR="00A4216B" w:rsidRDefault="00A4216B">
      <w:pPr>
        <w:spacing w:line="20" w:lineRule="exact"/>
      </w:pPr>
    </w:p>
    <w:p w14:paraId="427AEF06" w14:textId="77777777" w:rsidR="00A4216B" w:rsidRDefault="00A4216B"/>
    <w:p w14:paraId="0130902D" w14:textId="77777777" w:rsidR="00A4216B" w:rsidRDefault="00A4216B"/>
  </w:endnote>
  <w:endnote w:type="continuationSeparator" w:id="0">
    <w:p w14:paraId="0CC9F4F6" w14:textId="77777777" w:rsidR="00A4216B" w:rsidRDefault="00A4216B">
      <w:r>
        <w:t xml:space="preserve"> </w:t>
      </w:r>
    </w:p>
    <w:p w14:paraId="3AC72675" w14:textId="77777777" w:rsidR="00A4216B" w:rsidRDefault="00A4216B"/>
    <w:p w14:paraId="051B2CFA" w14:textId="77777777" w:rsidR="00A4216B" w:rsidRDefault="00A4216B"/>
  </w:endnote>
  <w:endnote w:type="continuationNotice" w:id="1">
    <w:p w14:paraId="5225DCE3" w14:textId="77777777" w:rsidR="00A4216B" w:rsidRDefault="00A4216B">
      <w:r>
        <w:t xml:space="preserve"> </w:t>
      </w:r>
    </w:p>
    <w:p w14:paraId="1197D433" w14:textId="77777777" w:rsidR="00A4216B" w:rsidRDefault="00A4216B"/>
    <w:p w14:paraId="08B452F1" w14:textId="77777777" w:rsidR="00A4216B" w:rsidRDefault="00A42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CE25" w14:textId="77777777" w:rsidR="006D48AC" w:rsidRDefault="006D4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A0E2" w14:textId="1CD50BC3" w:rsidR="00D35A4F" w:rsidRPr="008F701A" w:rsidRDefault="00D35A4F" w:rsidP="008F701A">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1F0B46AB" wp14:editId="0EA2E02C">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3EBFB99A"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567C52">
          <w:rPr>
            <w:bCs/>
            <w:sz w:val="18"/>
            <w:szCs w:val="18"/>
          </w:rPr>
          <w:t xml:space="preserve">Hurst, in the matter of Lloyds Curry Shop Pty Ltd (in liq) v Prasad (No 3) [2023] FCA 1174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6977" w14:textId="069E8277" w:rsidR="00D35A4F" w:rsidRPr="00A436E8" w:rsidRDefault="00D35A4F" w:rsidP="00A436E8">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14AB" w14:textId="73BD7326" w:rsidR="00D35A4F" w:rsidRPr="00C47B9D" w:rsidRDefault="00D35A4F"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197EA77E" wp14:editId="2AEC4665">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4D908944"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CC53D0AF86B744ACB531CA9FAA019206"/>
        </w:placeholder>
        <w:dataBinding w:prefixMappings="xmlns:ns0='http://schemas.globalmacros.com/FCA'" w:xpath="/ns0:root[1]/ns0:Name[1]" w:storeItemID="{687E7CCB-4AA5-44E7-B148-17BA2B6F57C0}"/>
        <w:text w:multiLine="1"/>
      </w:sdtPr>
      <w:sdtEndPr/>
      <w:sdtContent>
        <w:r w:rsidR="00567C52">
          <w:rPr>
            <w:bCs/>
            <w:sz w:val="18"/>
            <w:szCs w:val="18"/>
          </w:rPr>
          <w:t xml:space="preserve">Hurst, in the matter of Lloyds Curry Shop Pty Ltd (in liq) v Prasad (No 3) [2023] FCA 1174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14:paraId="39F4D3FD" w14:textId="5B4D83B5" w:rsidR="00D35A4F" w:rsidRPr="00A84FD0" w:rsidRDefault="00D35A4F" w:rsidP="008F701A">
    <w:pPr>
      <w:pStyle w:val="Foo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8C63" w14:textId="2654A5A1" w:rsidR="00D35A4F" w:rsidRPr="008F701A" w:rsidRDefault="00D35A4F" w:rsidP="008F701A">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45555E51" wp14:editId="77102A28">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740A3D42"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7FAA0914A990436C807FA4BFA18E264D"/>
        </w:placeholder>
        <w:dataBinding w:prefixMappings="xmlns:ns0='http://schemas.globalmacros.com/FCA'" w:xpath="/ns0:root[1]/ns0:Name[1]" w:storeItemID="{687E7CCB-4AA5-44E7-B148-17BA2B6F57C0}"/>
        <w:text w:multiLine="1"/>
      </w:sdtPr>
      <w:sdtEndPr/>
      <w:sdtContent>
        <w:r w:rsidR="00567C52">
          <w:rPr>
            <w:bCs/>
            <w:sz w:val="18"/>
            <w:szCs w:val="18"/>
          </w:rPr>
          <w:t xml:space="preserve">Hurst, in the matter of Lloyds Curry Shop Pty Ltd (in liq) v Prasad (No 3) [2023] FCA 1174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C47E9">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510" w14:textId="12C24FC3" w:rsidR="00D35A4F" w:rsidRPr="008F701A" w:rsidRDefault="00D35A4F" w:rsidP="008F701A">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2B42E2A0" wp14:editId="3FFCCB1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7A045D92"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EA1B0A5048DB49F8879A1A7921EFE104"/>
        </w:placeholder>
        <w:dataBinding w:prefixMappings="xmlns:ns0='http://schemas.globalmacros.com/FCA'" w:xpath="/ns0:root[1]/ns0:Name[1]" w:storeItemID="{687E7CCB-4AA5-44E7-B148-17BA2B6F57C0}"/>
        <w:text w:multiLine="1"/>
      </w:sdtPr>
      <w:sdtEndPr/>
      <w:sdtContent>
        <w:r w:rsidR="00567C52">
          <w:rPr>
            <w:bCs/>
            <w:sz w:val="18"/>
            <w:szCs w:val="18"/>
          </w:rPr>
          <w:t xml:space="preserve">Hurst, in the matter of Lloyds Curry Shop Pty Ltd (in liq) v Prasad (No 3) [2023] FCA 1174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C47E9">
      <w:rPr>
        <w:bCs/>
        <w:noProof/>
        <w:sz w:val="20"/>
      </w:rPr>
      <w:t>19</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442B" w14:textId="54D07D02" w:rsidR="00D35A4F" w:rsidRPr="008F701A" w:rsidRDefault="00D35A4F" w:rsidP="008F701A">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60094A8A" wp14:editId="5F7D67A6">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090F5D00"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11B4ECA6C67A430CA7F170DAE8B990F7"/>
        </w:placeholder>
        <w:dataBinding w:prefixMappings="xmlns:ns0='http://schemas.globalmacros.com/FCA'" w:xpath="/ns0:root[1]/ns0:Name[1]" w:storeItemID="{687E7CCB-4AA5-44E7-B148-17BA2B6F57C0}"/>
        <w:text w:multiLine="1"/>
      </w:sdtPr>
      <w:sdtEndPr/>
      <w:sdtContent>
        <w:r w:rsidR="00567C52">
          <w:rPr>
            <w:bCs/>
            <w:sz w:val="18"/>
            <w:szCs w:val="18"/>
          </w:rPr>
          <w:t xml:space="preserve">Hurst, in the matter of Lloyds Curry Shop Pty Ltd (in liq) v Prasad (No 3) [2023] FCA 1174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C47E9">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92E9A" w14:textId="77777777" w:rsidR="00A4216B" w:rsidRDefault="00A4216B"/>
  </w:footnote>
  <w:footnote w:type="continuationSeparator" w:id="0">
    <w:p w14:paraId="7F2B7880" w14:textId="77777777" w:rsidR="00A4216B" w:rsidRDefault="00A4216B">
      <w:r>
        <w:continuationSeparator/>
      </w:r>
    </w:p>
    <w:p w14:paraId="41BAC4E7" w14:textId="77777777" w:rsidR="00A4216B" w:rsidRDefault="00A4216B"/>
    <w:p w14:paraId="3520BC3E" w14:textId="77777777" w:rsidR="00A4216B" w:rsidRDefault="00A4216B"/>
  </w:footnote>
  <w:footnote w:type="continuationNotice" w:id="1">
    <w:p w14:paraId="5F8AA223" w14:textId="77777777" w:rsidR="00A4216B" w:rsidRDefault="00A421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4F52" w14:textId="77777777" w:rsidR="006D48AC" w:rsidRDefault="006D4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CA16" w14:textId="77777777" w:rsidR="006D48AC" w:rsidRDefault="006D4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7CDD" w14:textId="77777777" w:rsidR="006D48AC" w:rsidRDefault="006D4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6F53" w14:textId="77777777" w:rsidR="00D35A4F" w:rsidRDefault="00D35A4F">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ECE1" w14:textId="77777777" w:rsidR="00D35A4F" w:rsidRDefault="00D35A4F">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EB2A" w14:textId="77777777" w:rsidR="00D35A4F" w:rsidRDefault="00D35A4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EFC1" w14:textId="77777777" w:rsidR="00D35A4F" w:rsidRDefault="00D35A4F">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FB38" w14:textId="77777777" w:rsidR="00D35A4F" w:rsidRDefault="00D35A4F"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693F2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5615C9"/>
    <w:multiLevelType w:val="multilevel"/>
    <w:tmpl w:val="C652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1146"/>
        </w:tabs>
        <w:ind w:left="1146"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51BE531A"/>
    <w:lvl w:ilvl="0">
      <w:start w:val="1"/>
      <w:numFmt w:val="decimal"/>
      <w:lvlRestart w:val="0"/>
      <w:pStyle w:val="ParaNumbering"/>
      <w:lvlText w:val="%1"/>
      <w:lvlJc w:val="left"/>
      <w:pPr>
        <w:tabs>
          <w:tab w:val="num" w:pos="720"/>
        </w:tabs>
        <w:ind w:left="0" w:hanging="720"/>
      </w:pPr>
      <w:rPr>
        <w:rFonts w:hint="default"/>
        <w:color w:val="auto"/>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2A70B68"/>
    <w:multiLevelType w:val="hybridMultilevel"/>
    <w:tmpl w:val="4EF47BC0"/>
    <w:lvl w:ilvl="0" w:tplc="212C0E1A">
      <w:start w:val="1"/>
      <w:numFmt w:val="decimal"/>
      <w:lvlText w:val="(%1)"/>
      <w:lvlJc w:val="left"/>
      <w:pPr>
        <w:ind w:left="1157" w:hanging="360"/>
      </w:pPr>
      <w:rPr>
        <w:rFonts w:hint="default"/>
      </w:rPr>
    </w:lvl>
    <w:lvl w:ilvl="1" w:tplc="0C090019" w:tentative="1">
      <w:start w:val="1"/>
      <w:numFmt w:val="lowerLetter"/>
      <w:lvlText w:val="%2."/>
      <w:lvlJc w:val="left"/>
      <w:pPr>
        <w:ind w:left="1877" w:hanging="360"/>
      </w:pPr>
    </w:lvl>
    <w:lvl w:ilvl="2" w:tplc="0C09001B" w:tentative="1">
      <w:start w:val="1"/>
      <w:numFmt w:val="lowerRoman"/>
      <w:lvlText w:val="%3."/>
      <w:lvlJc w:val="right"/>
      <w:pPr>
        <w:ind w:left="2597" w:hanging="180"/>
      </w:pPr>
    </w:lvl>
    <w:lvl w:ilvl="3" w:tplc="0C09000F" w:tentative="1">
      <w:start w:val="1"/>
      <w:numFmt w:val="decimal"/>
      <w:lvlText w:val="%4."/>
      <w:lvlJc w:val="left"/>
      <w:pPr>
        <w:ind w:left="3317" w:hanging="360"/>
      </w:pPr>
    </w:lvl>
    <w:lvl w:ilvl="4" w:tplc="0C090019" w:tentative="1">
      <w:start w:val="1"/>
      <w:numFmt w:val="lowerLetter"/>
      <w:lvlText w:val="%5."/>
      <w:lvlJc w:val="left"/>
      <w:pPr>
        <w:ind w:left="4037" w:hanging="360"/>
      </w:pPr>
    </w:lvl>
    <w:lvl w:ilvl="5" w:tplc="0C09001B" w:tentative="1">
      <w:start w:val="1"/>
      <w:numFmt w:val="lowerRoman"/>
      <w:lvlText w:val="%6."/>
      <w:lvlJc w:val="right"/>
      <w:pPr>
        <w:ind w:left="4757" w:hanging="180"/>
      </w:pPr>
    </w:lvl>
    <w:lvl w:ilvl="6" w:tplc="0C09000F" w:tentative="1">
      <w:start w:val="1"/>
      <w:numFmt w:val="decimal"/>
      <w:lvlText w:val="%7."/>
      <w:lvlJc w:val="left"/>
      <w:pPr>
        <w:ind w:left="5477" w:hanging="360"/>
      </w:pPr>
    </w:lvl>
    <w:lvl w:ilvl="7" w:tplc="0C090019" w:tentative="1">
      <w:start w:val="1"/>
      <w:numFmt w:val="lowerLetter"/>
      <w:lvlText w:val="%8."/>
      <w:lvlJc w:val="left"/>
      <w:pPr>
        <w:ind w:left="6197" w:hanging="360"/>
      </w:pPr>
    </w:lvl>
    <w:lvl w:ilvl="8" w:tplc="0C09001B" w:tentative="1">
      <w:start w:val="1"/>
      <w:numFmt w:val="lowerRoman"/>
      <w:lvlText w:val="%9."/>
      <w:lvlJc w:val="right"/>
      <w:pPr>
        <w:ind w:left="6917" w:hanging="180"/>
      </w:pPr>
    </w:lvl>
  </w:abstractNum>
  <w:abstractNum w:abstractNumId="25" w15:restartNumberingAfterBreak="0">
    <w:nsid w:val="5DA42D10"/>
    <w:multiLevelType w:val="multilevel"/>
    <w:tmpl w:val="C652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7C0328"/>
    <w:multiLevelType w:val="multilevel"/>
    <w:tmpl w:val="A89A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9C919A7"/>
    <w:multiLevelType w:val="multilevel"/>
    <w:tmpl w:val="A89A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0" w15:restartNumberingAfterBreak="0">
    <w:nsid w:val="723C2D0D"/>
    <w:multiLevelType w:val="hybridMultilevel"/>
    <w:tmpl w:val="157C8FF4"/>
    <w:lvl w:ilvl="0" w:tplc="FA5E94F6">
      <w:start w:val="1"/>
      <w:numFmt w:val="decimal"/>
      <w:lvlText w:val="%1 "/>
      <w:lvlJc w:val="left"/>
      <w:pPr>
        <w:ind w:left="720" w:hanging="360"/>
      </w:pPr>
    </w:lvl>
    <w:lvl w:ilvl="1" w:tplc="38100C2A">
      <w:start w:val="1"/>
      <w:numFmt w:val="decimal"/>
      <w:lvlText w:val="%2 "/>
      <w:lvlJc w:val="left"/>
      <w:pPr>
        <w:ind w:left="720" w:hanging="360"/>
      </w:pPr>
    </w:lvl>
    <w:lvl w:ilvl="2" w:tplc="F9108D96">
      <w:start w:val="1"/>
      <w:numFmt w:val="decimal"/>
      <w:lvlText w:val="%3 "/>
      <w:lvlJc w:val="left"/>
      <w:pPr>
        <w:ind w:left="720" w:hanging="360"/>
      </w:pPr>
    </w:lvl>
    <w:lvl w:ilvl="3" w:tplc="1DACC952">
      <w:start w:val="1"/>
      <w:numFmt w:val="decimal"/>
      <w:lvlText w:val="%4 "/>
      <w:lvlJc w:val="left"/>
      <w:pPr>
        <w:ind w:left="720" w:hanging="360"/>
      </w:pPr>
    </w:lvl>
    <w:lvl w:ilvl="4" w:tplc="FFF60A14">
      <w:start w:val="1"/>
      <w:numFmt w:val="decimal"/>
      <w:lvlText w:val="%5 "/>
      <w:lvlJc w:val="left"/>
      <w:pPr>
        <w:ind w:left="720" w:hanging="360"/>
      </w:pPr>
    </w:lvl>
    <w:lvl w:ilvl="5" w:tplc="1AB4E452">
      <w:start w:val="1"/>
      <w:numFmt w:val="decimal"/>
      <w:lvlText w:val="%6 "/>
      <w:lvlJc w:val="left"/>
      <w:pPr>
        <w:ind w:left="720" w:hanging="360"/>
      </w:pPr>
    </w:lvl>
    <w:lvl w:ilvl="6" w:tplc="B43AB716">
      <w:start w:val="1"/>
      <w:numFmt w:val="decimal"/>
      <w:lvlText w:val="%7 "/>
      <w:lvlJc w:val="left"/>
      <w:pPr>
        <w:ind w:left="720" w:hanging="360"/>
      </w:pPr>
    </w:lvl>
    <w:lvl w:ilvl="7" w:tplc="582C1D98">
      <w:start w:val="1"/>
      <w:numFmt w:val="decimal"/>
      <w:lvlText w:val="%8 "/>
      <w:lvlJc w:val="left"/>
      <w:pPr>
        <w:ind w:left="720" w:hanging="360"/>
      </w:pPr>
    </w:lvl>
    <w:lvl w:ilvl="8" w:tplc="A2623B0E">
      <w:start w:val="1"/>
      <w:numFmt w:val="decimal"/>
      <w:lvlText w:val="%9 "/>
      <w:lvlJc w:val="left"/>
      <w:pPr>
        <w:ind w:left="720" w:hanging="360"/>
      </w:pPr>
    </w:lvl>
  </w:abstractNum>
  <w:abstractNum w:abstractNumId="3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550844825">
    <w:abstractNumId w:val="16"/>
  </w:num>
  <w:num w:numId="2" w16cid:durableId="1835679329">
    <w:abstractNumId w:val="10"/>
  </w:num>
  <w:num w:numId="3" w16cid:durableId="1199006234">
    <w:abstractNumId w:val="8"/>
  </w:num>
  <w:num w:numId="4" w16cid:durableId="415592214">
    <w:abstractNumId w:val="7"/>
  </w:num>
  <w:num w:numId="5" w16cid:durableId="1680234096">
    <w:abstractNumId w:val="6"/>
  </w:num>
  <w:num w:numId="6" w16cid:durableId="803936273">
    <w:abstractNumId w:val="5"/>
  </w:num>
  <w:num w:numId="7" w16cid:durableId="150221146">
    <w:abstractNumId w:val="9"/>
  </w:num>
  <w:num w:numId="8" w16cid:durableId="1817061888">
    <w:abstractNumId w:val="4"/>
  </w:num>
  <w:num w:numId="9" w16cid:durableId="858009423">
    <w:abstractNumId w:val="3"/>
  </w:num>
  <w:num w:numId="10" w16cid:durableId="1802840246">
    <w:abstractNumId w:val="2"/>
  </w:num>
  <w:num w:numId="11" w16cid:durableId="181748851">
    <w:abstractNumId w:val="1"/>
  </w:num>
  <w:num w:numId="12" w16cid:durableId="1950820305">
    <w:abstractNumId w:val="27"/>
  </w:num>
  <w:num w:numId="13" w16cid:durableId="1175608785">
    <w:abstractNumId w:val="22"/>
  </w:num>
  <w:num w:numId="14" w16cid:durableId="521213327">
    <w:abstractNumId w:val="23"/>
  </w:num>
  <w:num w:numId="15" w16cid:durableId="1082333068">
    <w:abstractNumId w:val="31"/>
  </w:num>
  <w:num w:numId="16" w16cid:durableId="1171064386">
    <w:abstractNumId w:val="15"/>
  </w:num>
  <w:num w:numId="17" w16cid:durableId="1595017980">
    <w:abstractNumId w:val="29"/>
  </w:num>
  <w:num w:numId="18" w16cid:durableId="762805427">
    <w:abstractNumId w:val="12"/>
  </w:num>
  <w:num w:numId="19" w16cid:durableId="1066877025">
    <w:abstractNumId w:val="20"/>
  </w:num>
  <w:num w:numId="20" w16cid:durableId="1796948809">
    <w:abstractNumId w:val="17"/>
  </w:num>
  <w:num w:numId="21" w16cid:durableId="972250861">
    <w:abstractNumId w:val="18"/>
  </w:num>
  <w:num w:numId="22" w16cid:durableId="963997723">
    <w:abstractNumId w:val="21"/>
  </w:num>
  <w:num w:numId="23" w16cid:durableId="130024259">
    <w:abstractNumId w:val="11"/>
  </w:num>
  <w:num w:numId="24" w16cid:durableId="1527522243">
    <w:abstractNumId w:val="11"/>
  </w:num>
  <w:num w:numId="25" w16cid:durableId="43868504">
    <w:abstractNumId w:val="14"/>
  </w:num>
  <w:num w:numId="26" w16cid:durableId="124853498">
    <w:abstractNumId w:val="19"/>
  </w:num>
  <w:num w:numId="27" w16cid:durableId="618992816">
    <w:abstractNumId w:val="19"/>
  </w:num>
  <w:num w:numId="28" w16cid:durableId="2068916845">
    <w:abstractNumId w:val="19"/>
  </w:num>
  <w:num w:numId="29" w16cid:durableId="262566993">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1004476181">
    <w:abstractNumId w:val="16"/>
    <w:lvlOverride w:ilvl="0">
      <w:startOverride w:val="1"/>
    </w:lvlOverride>
  </w:num>
  <w:num w:numId="31" w16cid:durableId="272515941">
    <w:abstractNumId w:val="24"/>
  </w:num>
  <w:num w:numId="32" w16cid:durableId="157269348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377999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885781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168549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637112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8407294">
    <w:abstractNumId w:val="21"/>
  </w:num>
  <w:num w:numId="38" w16cid:durableId="22664787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688312">
    <w:abstractNumId w:val="21"/>
  </w:num>
  <w:num w:numId="40" w16cid:durableId="2101174957">
    <w:abstractNumId w:val="21"/>
  </w:num>
  <w:num w:numId="41" w16cid:durableId="74594929">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043904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278977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0106240">
    <w:abstractNumId w:val="21"/>
  </w:num>
  <w:num w:numId="45" w16cid:durableId="162981800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336186">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1530695">
    <w:abstractNumId w:val="21"/>
  </w:num>
  <w:num w:numId="48" w16cid:durableId="120849426">
    <w:abstractNumId w:val="21"/>
  </w:num>
  <w:num w:numId="49" w16cid:durableId="137195821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0413489">
    <w:abstractNumId w:val="26"/>
    <w:lvlOverride w:ilvl="0">
      <w:startOverride w:val="23"/>
    </w:lvlOverride>
  </w:num>
  <w:num w:numId="51" w16cid:durableId="764808334">
    <w:abstractNumId w:val="28"/>
  </w:num>
  <w:num w:numId="52" w16cid:durableId="1605381575">
    <w:abstractNumId w:val="0"/>
  </w:num>
  <w:num w:numId="53" w16cid:durableId="961307245">
    <w:abstractNumId w:val="30"/>
  </w:num>
  <w:num w:numId="54" w16cid:durableId="1839465989">
    <w:abstractNumId w:val="21"/>
    <w:lvlOverride w:ilvl="0">
      <w:startOverride w:val="1"/>
      <w:lvl w:ilvl="0">
        <w:start w:val="1"/>
        <w:numFmt w:val="decimal"/>
        <w:lvlRestart w:val="0"/>
        <w:pStyle w:val="ListNo1"/>
        <w:lvlText w:val="(%1)"/>
        <w:lvlJc w:val="left"/>
        <w:pPr>
          <w:tabs>
            <w:tab w:val="num" w:pos="1146"/>
          </w:tabs>
          <w:ind w:left="1146"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5" w16cid:durableId="138038123">
    <w:abstractNumId w:val="21"/>
    <w:lvlOverride w:ilvl="0">
      <w:startOverride w:val="1"/>
      <w:lvl w:ilvl="0">
        <w:start w:val="1"/>
        <w:numFmt w:val="decimal"/>
        <w:lvlRestart w:val="0"/>
        <w:pStyle w:val="ListNo1"/>
        <w:lvlText w:val="(%1)"/>
        <w:lvlJc w:val="left"/>
        <w:pPr>
          <w:tabs>
            <w:tab w:val="num" w:pos="1146"/>
          </w:tabs>
          <w:ind w:left="1146"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6" w16cid:durableId="1959676987">
    <w:abstractNumId w:val="21"/>
    <w:lvlOverride w:ilvl="0">
      <w:lvl w:ilvl="0">
        <w:start w:val="1"/>
        <w:numFmt w:val="decimal"/>
        <w:lvlRestart w:val="0"/>
        <w:pStyle w:val="ListNo1"/>
        <w:lvlText w:val="(%1)"/>
        <w:lvlJc w:val="left"/>
        <w:pPr>
          <w:tabs>
            <w:tab w:val="num" w:pos="1146"/>
          </w:tabs>
          <w:ind w:left="1146"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57" w16cid:durableId="119670131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6390827">
    <w:abstractNumId w:val="13"/>
    <w:lvlOverride w:ilvl="0">
      <w:startOverride w:val="23"/>
    </w:lvlOverride>
  </w:num>
  <w:num w:numId="59" w16cid:durableId="1965385400">
    <w:abstractNumId w:val="13"/>
    <w:lvlOverride w:ilvl="0">
      <w:startOverride w:val="24"/>
    </w:lvlOverride>
  </w:num>
  <w:num w:numId="60" w16cid:durableId="1450468429">
    <w:abstractNumId w:val="25"/>
  </w:num>
  <w:num w:numId="61" w16cid:durableId="2059818808">
    <w:abstractNumId w:val="21"/>
    <w:lvlOverride w:ilvl="0">
      <w:startOverride w:val="1"/>
      <w:lvl w:ilvl="0">
        <w:start w:val="1"/>
        <w:numFmt w:val="decimal"/>
        <w:lvlRestart w:val="0"/>
        <w:pStyle w:val="ListNo1"/>
        <w:lvlText w:val="(%1)"/>
        <w:lvlJc w:val="left"/>
        <w:pPr>
          <w:tabs>
            <w:tab w:val="num" w:pos="1146"/>
          </w:tabs>
          <w:ind w:left="1146"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12"/>
    <w:rsid w:val="00000153"/>
    <w:rsid w:val="000004C8"/>
    <w:rsid w:val="00000747"/>
    <w:rsid w:val="0000094E"/>
    <w:rsid w:val="00000E4B"/>
    <w:rsid w:val="00000F25"/>
    <w:rsid w:val="000012A2"/>
    <w:rsid w:val="0000131F"/>
    <w:rsid w:val="000015D8"/>
    <w:rsid w:val="00001AB3"/>
    <w:rsid w:val="00001F7B"/>
    <w:rsid w:val="000024EA"/>
    <w:rsid w:val="0000265B"/>
    <w:rsid w:val="00002C25"/>
    <w:rsid w:val="000035FD"/>
    <w:rsid w:val="00003649"/>
    <w:rsid w:val="00003C46"/>
    <w:rsid w:val="00003C75"/>
    <w:rsid w:val="0000440D"/>
    <w:rsid w:val="000047E2"/>
    <w:rsid w:val="0000484E"/>
    <w:rsid w:val="00004C94"/>
    <w:rsid w:val="000055E6"/>
    <w:rsid w:val="00005E6A"/>
    <w:rsid w:val="00005FA6"/>
    <w:rsid w:val="000060FC"/>
    <w:rsid w:val="00006BAF"/>
    <w:rsid w:val="00006E5B"/>
    <w:rsid w:val="00006F98"/>
    <w:rsid w:val="000071AC"/>
    <w:rsid w:val="00007683"/>
    <w:rsid w:val="0000769C"/>
    <w:rsid w:val="000076BE"/>
    <w:rsid w:val="00007905"/>
    <w:rsid w:val="00007C76"/>
    <w:rsid w:val="00007E3F"/>
    <w:rsid w:val="00007EB6"/>
    <w:rsid w:val="0001020A"/>
    <w:rsid w:val="0001027A"/>
    <w:rsid w:val="000109C5"/>
    <w:rsid w:val="00010BB1"/>
    <w:rsid w:val="00010C3E"/>
    <w:rsid w:val="00010E1F"/>
    <w:rsid w:val="00011398"/>
    <w:rsid w:val="000113BA"/>
    <w:rsid w:val="000115C5"/>
    <w:rsid w:val="00011EF6"/>
    <w:rsid w:val="0001200E"/>
    <w:rsid w:val="00012069"/>
    <w:rsid w:val="00012486"/>
    <w:rsid w:val="00012663"/>
    <w:rsid w:val="00012961"/>
    <w:rsid w:val="000134B5"/>
    <w:rsid w:val="0001360D"/>
    <w:rsid w:val="00013654"/>
    <w:rsid w:val="0001396E"/>
    <w:rsid w:val="00013BB9"/>
    <w:rsid w:val="00014499"/>
    <w:rsid w:val="0001469E"/>
    <w:rsid w:val="00014A49"/>
    <w:rsid w:val="00014BCB"/>
    <w:rsid w:val="00014DAF"/>
    <w:rsid w:val="00014E91"/>
    <w:rsid w:val="00015550"/>
    <w:rsid w:val="0001556B"/>
    <w:rsid w:val="00015993"/>
    <w:rsid w:val="00015B95"/>
    <w:rsid w:val="00015E97"/>
    <w:rsid w:val="00015EBD"/>
    <w:rsid w:val="00015F72"/>
    <w:rsid w:val="00016132"/>
    <w:rsid w:val="000162C2"/>
    <w:rsid w:val="0001657F"/>
    <w:rsid w:val="00016600"/>
    <w:rsid w:val="00016783"/>
    <w:rsid w:val="000167E9"/>
    <w:rsid w:val="0001688F"/>
    <w:rsid w:val="000170CA"/>
    <w:rsid w:val="00017141"/>
    <w:rsid w:val="0001796C"/>
    <w:rsid w:val="00017A96"/>
    <w:rsid w:val="00017CFE"/>
    <w:rsid w:val="00017DFC"/>
    <w:rsid w:val="0002022A"/>
    <w:rsid w:val="000206B0"/>
    <w:rsid w:val="0002076E"/>
    <w:rsid w:val="00020801"/>
    <w:rsid w:val="000215EE"/>
    <w:rsid w:val="00021A0A"/>
    <w:rsid w:val="00021CCB"/>
    <w:rsid w:val="00021F6C"/>
    <w:rsid w:val="00022289"/>
    <w:rsid w:val="000226DC"/>
    <w:rsid w:val="00022864"/>
    <w:rsid w:val="00022945"/>
    <w:rsid w:val="00022DD6"/>
    <w:rsid w:val="0002302B"/>
    <w:rsid w:val="000231E6"/>
    <w:rsid w:val="000237E9"/>
    <w:rsid w:val="000241DA"/>
    <w:rsid w:val="000249A1"/>
    <w:rsid w:val="00024B25"/>
    <w:rsid w:val="00024CCA"/>
    <w:rsid w:val="00025445"/>
    <w:rsid w:val="000255B8"/>
    <w:rsid w:val="00026CBB"/>
    <w:rsid w:val="00026F27"/>
    <w:rsid w:val="00027398"/>
    <w:rsid w:val="000302DF"/>
    <w:rsid w:val="0003053D"/>
    <w:rsid w:val="00030858"/>
    <w:rsid w:val="00030869"/>
    <w:rsid w:val="00030CEE"/>
    <w:rsid w:val="00030DF8"/>
    <w:rsid w:val="00030EF1"/>
    <w:rsid w:val="0003113E"/>
    <w:rsid w:val="000318B2"/>
    <w:rsid w:val="0003198D"/>
    <w:rsid w:val="00031AB8"/>
    <w:rsid w:val="0003201A"/>
    <w:rsid w:val="0003207A"/>
    <w:rsid w:val="000326FD"/>
    <w:rsid w:val="00032A07"/>
    <w:rsid w:val="00032A98"/>
    <w:rsid w:val="00032F9F"/>
    <w:rsid w:val="0003310C"/>
    <w:rsid w:val="00033311"/>
    <w:rsid w:val="000339E9"/>
    <w:rsid w:val="00033C3F"/>
    <w:rsid w:val="00033FDC"/>
    <w:rsid w:val="00034140"/>
    <w:rsid w:val="000346B8"/>
    <w:rsid w:val="00034E30"/>
    <w:rsid w:val="000355E1"/>
    <w:rsid w:val="000359E8"/>
    <w:rsid w:val="00035A3C"/>
    <w:rsid w:val="00035B8D"/>
    <w:rsid w:val="0003653E"/>
    <w:rsid w:val="00036903"/>
    <w:rsid w:val="00036D70"/>
    <w:rsid w:val="00037783"/>
    <w:rsid w:val="000377F0"/>
    <w:rsid w:val="00037A90"/>
    <w:rsid w:val="00037F41"/>
    <w:rsid w:val="00040464"/>
    <w:rsid w:val="00040AB5"/>
    <w:rsid w:val="00040D6F"/>
    <w:rsid w:val="000410E2"/>
    <w:rsid w:val="000412F5"/>
    <w:rsid w:val="000415C8"/>
    <w:rsid w:val="000417A0"/>
    <w:rsid w:val="00041C07"/>
    <w:rsid w:val="00041DBB"/>
    <w:rsid w:val="000421B2"/>
    <w:rsid w:val="000421FE"/>
    <w:rsid w:val="0004220B"/>
    <w:rsid w:val="00042448"/>
    <w:rsid w:val="000426A4"/>
    <w:rsid w:val="00042C91"/>
    <w:rsid w:val="00042CC9"/>
    <w:rsid w:val="000432D5"/>
    <w:rsid w:val="000432D9"/>
    <w:rsid w:val="00043358"/>
    <w:rsid w:val="00043779"/>
    <w:rsid w:val="000437AF"/>
    <w:rsid w:val="00043CDD"/>
    <w:rsid w:val="0004470F"/>
    <w:rsid w:val="000449D4"/>
    <w:rsid w:val="00044B06"/>
    <w:rsid w:val="00044E78"/>
    <w:rsid w:val="00045250"/>
    <w:rsid w:val="00045BB7"/>
    <w:rsid w:val="00045BC2"/>
    <w:rsid w:val="00045DD2"/>
    <w:rsid w:val="00046285"/>
    <w:rsid w:val="000465CC"/>
    <w:rsid w:val="0004662F"/>
    <w:rsid w:val="000467EE"/>
    <w:rsid w:val="00046B03"/>
    <w:rsid w:val="00046BBE"/>
    <w:rsid w:val="00047891"/>
    <w:rsid w:val="00050ACE"/>
    <w:rsid w:val="00051100"/>
    <w:rsid w:val="000511B0"/>
    <w:rsid w:val="000518E1"/>
    <w:rsid w:val="000527D9"/>
    <w:rsid w:val="00055265"/>
    <w:rsid w:val="00055556"/>
    <w:rsid w:val="00055719"/>
    <w:rsid w:val="0005589E"/>
    <w:rsid w:val="00055A4F"/>
    <w:rsid w:val="00055B32"/>
    <w:rsid w:val="00055E1F"/>
    <w:rsid w:val="0005605B"/>
    <w:rsid w:val="000561AA"/>
    <w:rsid w:val="0005641B"/>
    <w:rsid w:val="00056717"/>
    <w:rsid w:val="00056755"/>
    <w:rsid w:val="000567D1"/>
    <w:rsid w:val="00056D54"/>
    <w:rsid w:val="00056F5F"/>
    <w:rsid w:val="00056FE8"/>
    <w:rsid w:val="000570AD"/>
    <w:rsid w:val="0005715F"/>
    <w:rsid w:val="00057675"/>
    <w:rsid w:val="00057A56"/>
    <w:rsid w:val="00057DF6"/>
    <w:rsid w:val="00057E23"/>
    <w:rsid w:val="000601C9"/>
    <w:rsid w:val="00060417"/>
    <w:rsid w:val="00060AD1"/>
    <w:rsid w:val="00060F4E"/>
    <w:rsid w:val="00061091"/>
    <w:rsid w:val="000614C2"/>
    <w:rsid w:val="00061526"/>
    <w:rsid w:val="000615E2"/>
    <w:rsid w:val="00061667"/>
    <w:rsid w:val="0006196A"/>
    <w:rsid w:val="00061C3F"/>
    <w:rsid w:val="0006212C"/>
    <w:rsid w:val="000625B9"/>
    <w:rsid w:val="00062D0C"/>
    <w:rsid w:val="00062DD2"/>
    <w:rsid w:val="0006320C"/>
    <w:rsid w:val="000633A9"/>
    <w:rsid w:val="0006350B"/>
    <w:rsid w:val="000638D9"/>
    <w:rsid w:val="00063909"/>
    <w:rsid w:val="00063B1A"/>
    <w:rsid w:val="00063F06"/>
    <w:rsid w:val="00064281"/>
    <w:rsid w:val="00064829"/>
    <w:rsid w:val="00064FD1"/>
    <w:rsid w:val="000650F0"/>
    <w:rsid w:val="0006511B"/>
    <w:rsid w:val="00065444"/>
    <w:rsid w:val="000660B1"/>
    <w:rsid w:val="0006651C"/>
    <w:rsid w:val="000665B6"/>
    <w:rsid w:val="00066897"/>
    <w:rsid w:val="00066D17"/>
    <w:rsid w:val="00067BA1"/>
    <w:rsid w:val="000705EE"/>
    <w:rsid w:val="00071FB3"/>
    <w:rsid w:val="00072736"/>
    <w:rsid w:val="00072A65"/>
    <w:rsid w:val="00072B8D"/>
    <w:rsid w:val="0007328F"/>
    <w:rsid w:val="000739D7"/>
    <w:rsid w:val="00074470"/>
    <w:rsid w:val="00074B01"/>
    <w:rsid w:val="000750C5"/>
    <w:rsid w:val="00075C3D"/>
    <w:rsid w:val="00075FB9"/>
    <w:rsid w:val="0007626A"/>
    <w:rsid w:val="00076376"/>
    <w:rsid w:val="000767B1"/>
    <w:rsid w:val="00077739"/>
    <w:rsid w:val="00077768"/>
    <w:rsid w:val="00077BEA"/>
    <w:rsid w:val="00077E5B"/>
    <w:rsid w:val="0008013E"/>
    <w:rsid w:val="000801F4"/>
    <w:rsid w:val="00080346"/>
    <w:rsid w:val="0008039D"/>
    <w:rsid w:val="00080AD9"/>
    <w:rsid w:val="00080CE2"/>
    <w:rsid w:val="00080F18"/>
    <w:rsid w:val="000810BB"/>
    <w:rsid w:val="00081497"/>
    <w:rsid w:val="00081510"/>
    <w:rsid w:val="000815B7"/>
    <w:rsid w:val="00081EB5"/>
    <w:rsid w:val="00082786"/>
    <w:rsid w:val="000831EC"/>
    <w:rsid w:val="00083204"/>
    <w:rsid w:val="00083527"/>
    <w:rsid w:val="0008378B"/>
    <w:rsid w:val="00083859"/>
    <w:rsid w:val="0008399D"/>
    <w:rsid w:val="000839A5"/>
    <w:rsid w:val="00083A77"/>
    <w:rsid w:val="00083D12"/>
    <w:rsid w:val="00084126"/>
    <w:rsid w:val="00084E1B"/>
    <w:rsid w:val="00085255"/>
    <w:rsid w:val="000854CB"/>
    <w:rsid w:val="00085806"/>
    <w:rsid w:val="00085B94"/>
    <w:rsid w:val="00085D83"/>
    <w:rsid w:val="000864AF"/>
    <w:rsid w:val="000868F1"/>
    <w:rsid w:val="00086C08"/>
    <w:rsid w:val="00086E4F"/>
    <w:rsid w:val="00086FBE"/>
    <w:rsid w:val="000870A9"/>
    <w:rsid w:val="0008726D"/>
    <w:rsid w:val="000872A7"/>
    <w:rsid w:val="00087433"/>
    <w:rsid w:val="00087810"/>
    <w:rsid w:val="0008781F"/>
    <w:rsid w:val="00090425"/>
    <w:rsid w:val="00090470"/>
    <w:rsid w:val="00090C5B"/>
    <w:rsid w:val="00091188"/>
    <w:rsid w:val="000913A5"/>
    <w:rsid w:val="000915FB"/>
    <w:rsid w:val="000917DB"/>
    <w:rsid w:val="00091826"/>
    <w:rsid w:val="00091D02"/>
    <w:rsid w:val="000922CE"/>
    <w:rsid w:val="000922D1"/>
    <w:rsid w:val="00092375"/>
    <w:rsid w:val="000933A0"/>
    <w:rsid w:val="00093AAD"/>
    <w:rsid w:val="0009417D"/>
    <w:rsid w:val="000941DF"/>
    <w:rsid w:val="00094217"/>
    <w:rsid w:val="0009431E"/>
    <w:rsid w:val="000945E0"/>
    <w:rsid w:val="00094FF4"/>
    <w:rsid w:val="00095EAA"/>
    <w:rsid w:val="000963A2"/>
    <w:rsid w:val="000964F2"/>
    <w:rsid w:val="0009687E"/>
    <w:rsid w:val="00096973"/>
    <w:rsid w:val="00097577"/>
    <w:rsid w:val="00097C30"/>
    <w:rsid w:val="00097E0B"/>
    <w:rsid w:val="00097E77"/>
    <w:rsid w:val="000A0020"/>
    <w:rsid w:val="000A01ED"/>
    <w:rsid w:val="000A0FB0"/>
    <w:rsid w:val="000A1215"/>
    <w:rsid w:val="000A12A9"/>
    <w:rsid w:val="000A1A33"/>
    <w:rsid w:val="000A1DBD"/>
    <w:rsid w:val="000A1E25"/>
    <w:rsid w:val="000A217C"/>
    <w:rsid w:val="000A2763"/>
    <w:rsid w:val="000A281E"/>
    <w:rsid w:val="000A2E76"/>
    <w:rsid w:val="000A31AD"/>
    <w:rsid w:val="000A35BA"/>
    <w:rsid w:val="000A3839"/>
    <w:rsid w:val="000A39F4"/>
    <w:rsid w:val="000A3BB7"/>
    <w:rsid w:val="000A3DAD"/>
    <w:rsid w:val="000A3FE2"/>
    <w:rsid w:val="000A408F"/>
    <w:rsid w:val="000A4553"/>
    <w:rsid w:val="000A476C"/>
    <w:rsid w:val="000A4807"/>
    <w:rsid w:val="000A4BE4"/>
    <w:rsid w:val="000A555D"/>
    <w:rsid w:val="000A58FE"/>
    <w:rsid w:val="000A5964"/>
    <w:rsid w:val="000A607F"/>
    <w:rsid w:val="000A609E"/>
    <w:rsid w:val="000A6387"/>
    <w:rsid w:val="000A6B42"/>
    <w:rsid w:val="000A6C5C"/>
    <w:rsid w:val="000A6CA7"/>
    <w:rsid w:val="000A6EFF"/>
    <w:rsid w:val="000A7150"/>
    <w:rsid w:val="000A7411"/>
    <w:rsid w:val="000A7732"/>
    <w:rsid w:val="000A7840"/>
    <w:rsid w:val="000A7B06"/>
    <w:rsid w:val="000B04D8"/>
    <w:rsid w:val="000B0D28"/>
    <w:rsid w:val="000B0FDC"/>
    <w:rsid w:val="000B12BC"/>
    <w:rsid w:val="000B1361"/>
    <w:rsid w:val="000B13C8"/>
    <w:rsid w:val="000B1412"/>
    <w:rsid w:val="000B1641"/>
    <w:rsid w:val="000B1EA2"/>
    <w:rsid w:val="000B1F0A"/>
    <w:rsid w:val="000B1F40"/>
    <w:rsid w:val="000B20A6"/>
    <w:rsid w:val="000B210D"/>
    <w:rsid w:val="000B215B"/>
    <w:rsid w:val="000B21D4"/>
    <w:rsid w:val="000B2DB8"/>
    <w:rsid w:val="000B2DD7"/>
    <w:rsid w:val="000B2F35"/>
    <w:rsid w:val="000B30C2"/>
    <w:rsid w:val="000B33F8"/>
    <w:rsid w:val="000B3432"/>
    <w:rsid w:val="000B37A8"/>
    <w:rsid w:val="000B3863"/>
    <w:rsid w:val="000B3B4E"/>
    <w:rsid w:val="000B4615"/>
    <w:rsid w:val="000B4868"/>
    <w:rsid w:val="000B4ED7"/>
    <w:rsid w:val="000B52D3"/>
    <w:rsid w:val="000B5EEB"/>
    <w:rsid w:val="000B5F63"/>
    <w:rsid w:val="000B61CE"/>
    <w:rsid w:val="000B79B1"/>
    <w:rsid w:val="000B7DD1"/>
    <w:rsid w:val="000C023E"/>
    <w:rsid w:val="000C067E"/>
    <w:rsid w:val="000C0B46"/>
    <w:rsid w:val="000C0F5E"/>
    <w:rsid w:val="000C12C5"/>
    <w:rsid w:val="000C1663"/>
    <w:rsid w:val="000C18CC"/>
    <w:rsid w:val="000C1A44"/>
    <w:rsid w:val="000C1B82"/>
    <w:rsid w:val="000C1CEF"/>
    <w:rsid w:val="000C1DB4"/>
    <w:rsid w:val="000C1F4C"/>
    <w:rsid w:val="000C2173"/>
    <w:rsid w:val="000C2AAB"/>
    <w:rsid w:val="000C2ACC"/>
    <w:rsid w:val="000C2CE3"/>
    <w:rsid w:val="000C315D"/>
    <w:rsid w:val="000C372B"/>
    <w:rsid w:val="000C3A70"/>
    <w:rsid w:val="000C3B45"/>
    <w:rsid w:val="000C3C8F"/>
    <w:rsid w:val="000C3CB6"/>
    <w:rsid w:val="000C3E33"/>
    <w:rsid w:val="000C3E90"/>
    <w:rsid w:val="000C405D"/>
    <w:rsid w:val="000C43BC"/>
    <w:rsid w:val="000C47E3"/>
    <w:rsid w:val="000C499D"/>
    <w:rsid w:val="000C4E89"/>
    <w:rsid w:val="000C5195"/>
    <w:rsid w:val="000C51B4"/>
    <w:rsid w:val="000C551C"/>
    <w:rsid w:val="000C55AE"/>
    <w:rsid w:val="000C5761"/>
    <w:rsid w:val="000C5DD5"/>
    <w:rsid w:val="000C6186"/>
    <w:rsid w:val="000C62EF"/>
    <w:rsid w:val="000C654B"/>
    <w:rsid w:val="000C6930"/>
    <w:rsid w:val="000C7E30"/>
    <w:rsid w:val="000C7E96"/>
    <w:rsid w:val="000D0214"/>
    <w:rsid w:val="000D05C2"/>
    <w:rsid w:val="000D05F3"/>
    <w:rsid w:val="000D0C6C"/>
    <w:rsid w:val="000D102D"/>
    <w:rsid w:val="000D124F"/>
    <w:rsid w:val="000D1622"/>
    <w:rsid w:val="000D19D1"/>
    <w:rsid w:val="000D1EC5"/>
    <w:rsid w:val="000D2137"/>
    <w:rsid w:val="000D215C"/>
    <w:rsid w:val="000D229E"/>
    <w:rsid w:val="000D24EC"/>
    <w:rsid w:val="000D263E"/>
    <w:rsid w:val="000D27D1"/>
    <w:rsid w:val="000D2B63"/>
    <w:rsid w:val="000D2FC5"/>
    <w:rsid w:val="000D2FFF"/>
    <w:rsid w:val="000D31AE"/>
    <w:rsid w:val="000D388D"/>
    <w:rsid w:val="000D3C8D"/>
    <w:rsid w:val="000D3FD2"/>
    <w:rsid w:val="000D4152"/>
    <w:rsid w:val="000D45A8"/>
    <w:rsid w:val="000D46AE"/>
    <w:rsid w:val="000D4B2E"/>
    <w:rsid w:val="000D536F"/>
    <w:rsid w:val="000D54E5"/>
    <w:rsid w:val="000D5510"/>
    <w:rsid w:val="000D56A2"/>
    <w:rsid w:val="000D56B9"/>
    <w:rsid w:val="000D627E"/>
    <w:rsid w:val="000D66EA"/>
    <w:rsid w:val="000D68E7"/>
    <w:rsid w:val="000D6B34"/>
    <w:rsid w:val="000D6B54"/>
    <w:rsid w:val="000D6BE9"/>
    <w:rsid w:val="000D6FB5"/>
    <w:rsid w:val="000D70A0"/>
    <w:rsid w:val="000D727A"/>
    <w:rsid w:val="000D785D"/>
    <w:rsid w:val="000D79D4"/>
    <w:rsid w:val="000D7C3A"/>
    <w:rsid w:val="000E00EA"/>
    <w:rsid w:val="000E0182"/>
    <w:rsid w:val="000E07C3"/>
    <w:rsid w:val="000E0BE6"/>
    <w:rsid w:val="000E0CFD"/>
    <w:rsid w:val="000E0EF0"/>
    <w:rsid w:val="000E0FE6"/>
    <w:rsid w:val="000E1DFC"/>
    <w:rsid w:val="000E1FEB"/>
    <w:rsid w:val="000E20F3"/>
    <w:rsid w:val="000E2612"/>
    <w:rsid w:val="000E2DD4"/>
    <w:rsid w:val="000E2FB3"/>
    <w:rsid w:val="000E36C0"/>
    <w:rsid w:val="000E385B"/>
    <w:rsid w:val="000E387F"/>
    <w:rsid w:val="000E3E17"/>
    <w:rsid w:val="000E3FC8"/>
    <w:rsid w:val="000E4636"/>
    <w:rsid w:val="000E576E"/>
    <w:rsid w:val="000E6300"/>
    <w:rsid w:val="000E6BE1"/>
    <w:rsid w:val="000E6E35"/>
    <w:rsid w:val="000E742C"/>
    <w:rsid w:val="000E79D2"/>
    <w:rsid w:val="000E79DA"/>
    <w:rsid w:val="000E7B89"/>
    <w:rsid w:val="000E7BAE"/>
    <w:rsid w:val="000F015C"/>
    <w:rsid w:val="000F0301"/>
    <w:rsid w:val="000F030B"/>
    <w:rsid w:val="000F05EF"/>
    <w:rsid w:val="000F0987"/>
    <w:rsid w:val="000F0C7D"/>
    <w:rsid w:val="000F0D21"/>
    <w:rsid w:val="000F133D"/>
    <w:rsid w:val="000F1C21"/>
    <w:rsid w:val="000F1D79"/>
    <w:rsid w:val="000F1F76"/>
    <w:rsid w:val="000F210C"/>
    <w:rsid w:val="000F2702"/>
    <w:rsid w:val="000F2E3B"/>
    <w:rsid w:val="000F2EF6"/>
    <w:rsid w:val="000F333B"/>
    <w:rsid w:val="000F3679"/>
    <w:rsid w:val="000F39DC"/>
    <w:rsid w:val="000F4608"/>
    <w:rsid w:val="000F467B"/>
    <w:rsid w:val="000F475E"/>
    <w:rsid w:val="000F4956"/>
    <w:rsid w:val="000F4EC5"/>
    <w:rsid w:val="000F5AD2"/>
    <w:rsid w:val="000F5C02"/>
    <w:rsid w:val="000F5E42"/>
    <w:rsid w:val="000F6787"/>
    <w:rsid w:val="000F67F2"/>
    <w:rsid w:val="000F6FA3"/>
    <w:rsid w:val="000F718A"/>
    <w:rsid w:val="000F7288"/>
    <w:rsid w:val="000F7824"/>
    <w:rsid w:val="000F7A12"/>
    <w:rsid w:val="000F7C2A"/>
    <w:rsid w:val="000F7D58"/>
    <w:rsid w:val="000F7E56"/>
    <w:rsid w:val="000F7E9D"/>
    <w:rsid w:val="00100A28"/>
    <w:rsid w:val="00100F96"/>
    <w:rsid w:val="00101189"/>
    <w:rsid w:val="0010181D"/>
    <w:rsid w:val="00101C7D"/>
    <w:rsid w:val="00101D98"/>
    <w:rsid w:val="0010235B"/>
    <w:rsid w:val="001026EF"/>
    <w:rsid w:val="00102842"/>
    <w:rsid w:val="00102A5A"/>
    <w:rsid w:val="001034D0"/>
    <w:rsid w:val="0010392A"/>
    <w:rsid w:val="00103AD4"/>
    <w:rsid w:val="00104419"/>
    <w:rsid w:val="001049AD"/>
    <w:rsid w:val="0010509A"/>
    <w:rsid w:val="0010536B"/>
    <w:rsid w:val="001053A0"/>
    <w:rsid w:val="00105812"/>
    <w:rsid w:val="00105E4B"/>
    <w:rsid w:val="00106261"/>
    <w:rsid w:val="00106635"/>
    <w:rsid w:val="00106653"/>
    <w:rsid w:val="00106ADD"/>
    <w:rsid w:val="001074CD"/>
    <w:rsid w:val="00107B51"/>
    <w:rsid w:val="001102AF"/>
    <w:rsid w:val="00110771"/>
    <w:rsid w:val="0011095C"/>
    <w:rsid w:val="001109E6"/>
    <w:rsid w:val="00110CC5"/>
    <w:rsid w:val="0011145C"/>
    <w:rsid w:val="001116B9"/>
    <w:rsid w:val="00111D1A"/>
    <w:rsid w:val="00111D30"/>
    <w:rsid w:val="001128BD"/>
    <w:rsid w:val="00112EE6"/>
    <w:rsid w:val="001135FB"/>
    <w:rsid w:val="00113735"/>
    <w:rsid w:val="00113882"/>
    <w:rsid w:val="00113AAA"/>
    <w:rsid w:val="0011419D"/>
    <w:rsid w:val="001144C1"/>
    <w:rsid w:val="00114B02"/>
    <w:rsid w:val="00114D02"/>
    <w:rsid w:val="00115462"/>
    <w:rsid w:val="001155F1"/>
    <w:rsid w:val="0011576D"/>
    <w:rsid w:val="00115C6E"/>
    <w:rsid w:val="00115CFC"/>
    <w:rsid w:val="00115EA2"/>
    <w:rsid w:val="001166A5"/>
    <w:rsid w:val="0011692E"/>
    <w:rsid w:val="00116D46"/>
    <w:rsid w:val="00116E8A"/>
    <w:rsid w:val="00117134"/>
    <w:rsid w:val="00117480"/>
    <w:rsid w:val="00117879"/>
    <w:rsid w:val="00117C4A"/>
    <w:rsid w:val="001202AC"/>
    <w:rsid w:val="001203C4"/>
    <w:rsid w:val="001206BE"/>
    <w:rsid w:val="0012082A"/>
    <w:rsid w:val="00120DD5"/>
    <w:rsid w:val="00120F4D"/>
    <w:rsid w:val="00121E9A"/>
    <w:rsid w:val="00122428"/>
    <w:rsid w:val="001226C0"/>
    <w:rsid w:val="00123329"/>
    <w:rsid w:val="001234F6"/>
    <w:rsid w:val="00123DC4"/>
    <w:rsid w:val="0012476E"/>
    <w:rsid w:val="001248DE"/>
    <w:rsid w:val="00124DAB"/>
    <w:rsid w:val="0012572E"/>
    <w:rsid w:val="00125ACA"/>
    <w:rsid w:val="00125C16"/>
    <w:rsid w:val="001260B2"/>
    <w:rsid w:val="00126368"/>
    <w:rsid w:val="00126530"/>
    <w:rsid w:val="00126EC8"/>
    <w:rsid w:val="001271A0"/>
    <w:rsid w:val="0012731C"/>
    <w:rsid w:val="001276D7"/>
    <w:rsid w:val="00127F9E"/>
    <w:rsid w:val="001300ED"/>
    <w:rsid w:val="001300FE"/>
    <w:rsid w:val="0013014F"/>
    <w:rsid w:val="001309D4"/>
    <w:rsid w:val="00130C26"/>
    <w:rsid w:val="00130DBA"/>
    <w:rsid w:val="00130F4B"/>
    <w:rsid w:val="00131344"/>
    <w:rsid w:val="0013159C"/>
    <w:rsid w:val="001316F4"/>
    <w:rsid w:val="00131733"/>
    <w:rsid w:val="0013182A"/>
    <w:rsid w:val="00131DD5"/>
    <w:rsid w:val="00131E85"/>
    <w:rsid w:val="00132054"/>
    <w:rsid w:val="001320B9"/>
    <w:rsid w:val="00132997"/>
    <w:rsid w:val="00133EB1"/>
    <w:rsid w:val="00133F56"/>
    <w:rsid w:val="001345E0"/>
    <w:rsid w:val="0013481A"/>
    <w:rsid w:val="00134964"/>
    <w:rsid w:val="00134A05"/>
    <w:rsid w:val="00134B52"/>
    <w:rsid w:val="00134C98"/>
    <w:rsid w:val="001351B9"/>
    <w:rsid w:val="00135792"/>
    <w:rsid w:val="00135945"/>
    <w:rsid w:val="00136299"/>
    <w:rsid w:val="00136A9B"/>
    <w:rsid w:val="00136DC3"/>
    <w:rsid w:val="00136E5F"/>
    <w:rsid w:val="0013704A"/>
    <w:rsid w:val="001372C1"/>
    <w:rsid w:val="00137A4D"/>
    <w:rsid w:val="00137B17"/>
    <w:rsid w:val="00137C4F"/>
    <w:rsid w:val="00137D44"/>
    <w:rsid w:val="00137DF1"/>
    <w:rsid w:val="00137E13"/>
    <w:rsid w:val="00137E66"/>
    <w:rsid w:val="00137EB0"/>
    <w:rsid w:val="00140635"/>
    <w:rsid w:val="001412CC"/>
    <w:rsid w:val="00141328"/>
    <w:rsid w:val="001415BC"/>
    <w:rsid w:val="001419BD"/>
    <w:rsid w:val="00141A25"/>
    <w:rsid w:val="00141A37"/>
    <w:rsid w:val="001425DA"/>
    <w:rsid w:val="0014273B"/>
    <w:rsid w:val="0014278D"/>
    <w:rsid w:val="00142793"/>
    <w:rsid w:val="001428D5"/>
    <w:rsid w:val="001429CD"/>
    <w:rsid w:val="001444B5"/>
    <w:rsid w:val="00144CD9"/>
    <w:rsid w:val="00144F2A"/>
    <w:rsid w:val="0014587D"/>
    <w:rsid w:val="00145DEE"/>
    <w:rsid w:val="00145E0E"/>
    <w:rsid w:val="001460C5"/>
    <w:rsid w:val="001467D2"/>
    <w:rsid w:val="001467E6"/>
    <w:rsid w:val="00146AF9"/>
    <w:rsid w:val="00146BD0"/>
    <w:rsid w:val="00146E88"/>
    <w:rsid w:val="001471E8"/>
    <w:rsid w:val="00147472"/>
    <w:rsid w:val="0014759C"/>
    <w:rsid w:val="00147646"/>
    <w:rsid w:val="00150005"/>
    <w:rsid w:val="00150118"/>
    <w:rsid w:val="00150144"/>
    <w:rsid w:val="00150777"/>
    <w:rsid w:val="00150A76"/>
    <w:rsid w:val="00150BE0"/>
    <w:rsid w:val="0015114F"/>
    <w:rsid w:val="00151584"/>
    <w:rsid w:val="0015170C"/>
    <w:rsid w:val="00151838"/>
    <w:rsid w:val="00151A9D"/>
    <w:rsid w:val="00152103"/>
    <w:rsid w:val="001529F8"/>
    <w:rsid w:val="00152B59"/>
    <w:rsid w:val="00152BBC"/>
    <w:rsid w:val="00152C33"/>
    <w:rsid w:val="001533A6"/>
    <w:rsid w:val="00153762"/>
    <w:rsid w:val="00153934"/>
    <w:rsid w:val="00153A15"/>
    <w:rsid w:val="00153A61"/>
    <w:rsid w:val="00153A68"/>
    <w:rsid w:val="0015461E"/>
    <w:rsid w:val="00154664"/>
    <w:rsid w:val="00154713"/>
    <w:rsid w:val="00154C67"/>
    <w:rsid w:val="00154DA5"/>
    <w:rsid w:val="00154F68"/>
    <w:rsid w:val="001553F3"/>
    <w:rsid w:val="001559DA"/>
    <w:rsid w:val="00155B90"/>
    <w:rsid w:val="00155CAC"/>
    <w:rsid w:val="00155CD2"/>
    <w:rsid w:val="00155D20"/>
    <w:rsid w:val="00155F12"/>
    <w:rsid w:val="00156171"/>
    <w:rsid w:val="00156583"/>
    <w:rsid w:val="0015665C"/>
    <w:rsid w:val="0015687F"/>
    <w:rsid w:val="0015689A"/>
    <w:rsid w:val="00157313"/>
    <w:rsid w:val="00157A76"/>
    <w:rsid w:val="00157C05"/>
    <w:rsid w:val="0016074A"/>
    <w:rsid w:val="00160931"/>
    <w:rsid w:val="00160A2B"/>
    <w:rsid w:val="00160B42"/>
    <w:rsid w:val="00161079"/>
    <w:rsid w:val="00161E4F"/>
    <w:rsid w:val="00162706"/>
    <w:rsid w:val="001628F0"/>
    <w:rsid w:val="00162B3F"/>
    <w:rsid w:val="00163B03"/>
    <w:rsid w:val="001644D3"/>
    <w:rsid w:val="00164C71"/>
    <w:rsid w:val="00164EE1"/>
    <w:rsid w:val="00164F0B"/>
    <w:rsid w:val="00164F1F"/>
    <w:rsid w:val="00165041"/>
    <w:rsid w:val="00165505"/>
    <w:rsid w:val="0016558C"/>
    <w:rsid w:val="00165D7B"/>
    <w:rsid w:val="00166181"/>
    <w:rsid w:val="00166468"/>
    <w:rsid w:val="001668A4"/>
    <w:rsid w:val="00166A54"/>
    <w:rsid w:val="001670B7"/>
    <w:rsid w:val="001670F2"/>
    <w:rsid w:val="001672FF"/>
    <w:rsid w:val="00167321"/>
    <w:rsid w:val="00167DA1"/>
    <w:rsid w:val="0017052A"/>
    <w:rsid w:val="00170DA3"/>
    <w:rsid w:val="001712FE"/>
    <w:rsid w:val="00171394"/>
    <w:rsid w:val="00171549"/>
    <w:rsid w:val="00171A06"/>
    <w:rsid w:val="00171E3B"/>
    <w:rsid w:val="00171F9E"/>
    <w:rsid w:val="0017277B"/>
    <w:rsid w:val="001727A4"/>
    <w:rsid w:val="0017282C"/>
    <w:rsid w:val="001728B5"/>
    <w:rsid w:val="00172924"/>
    <w:rsid w:val="00172BBF"/>
    <w:rsid w:val="00172C14"/>
    <w:rsid w:val="0017376C"/>
    <w:rsid w:val="001738AB"/>
    <w:rsid w:val="00173A24"/>
    <w:rsid w:val="00173A7B"/>
    <w:rsid w:val="00173EE4"/>
    <w:rsid w:val="0017403C"/>
    <w:rsid w:val="001740D7"/>
    <w:rsid w:val="001741AA"/>
    <w:rsid w:val="00174CB4"/>
    <w:rsid w:val="00174CEA"/>
    <w:rsid w:val="00174D3A"/>
    <w:rsid w:val="00175102"/>
    <w:rsid w:val="00175202"/>
    <w:rsid w:val="001753D0"/>
    <w:rsid w:val="001753F9"/>
    <w:rsid w:val="001755C7"/>
    <w:rsid w:val="00175FB7"/>
    <w:rsid w:val="0017626C"/>
    <w:rsid w:val="001765E0"/>
    <w:rsid w:val="001770B2"/>
    <w:rsid w:val="001770BB"/>
    <w:rsid w:val="00177759"/>
    <w:rsid w:val="00177B03"/>
    <w:rsid w:val="00180BB3"/>
    <w:rsid w:val="00180C83"/>
    <w:rsid w:val="0018107E"/>
    <w:rsid w:val="0018131E"/>
    <w:rsid w:val="00181559"/>
    <w:rsid w:val="00181649"/>
    <w:rsid w:val="0018168F"/>
    <w:rsid w:val="00181866"/>
    <w:rsid w:val="0018222A"/>
    <w:rsid w:val="00182234"/>
    <w:rsid w:val="0018245B"/>
    <w:rsid w:val="001825A2"/>
    <w:rsid w:val="00182B5E"/>
    <w:rsid w:val="00182C9E"/>
    <w:rsid w:val="00183155"/>
    <w:rsid w:val="001831C1"/>
    <w:rsid w:val="001836AD"/>
    <w:rsid w:val="00183BA3"/>
    <w:rsid w:val="00183E1B"/>
    <w:rsid w:val="00183E23"/>
    <w:rsid w:val="0018422B"/>
    <w:rsid w:val="00184380"/>
    <w:rsid w:val="001848E8"/>
    <w:rsid w:val="00184FC7"/>
    <w:rsid w:val="00185A2E"/>
    <w:rsid w:val="00185DD6"/>
    <w:rsid w:val="00185E6B"/>
    <w:rsid w:val="00186496"/>
    <w:rsid w:val="0018668A"/>
    <w:rsid w:val="001869C9"/>
    <w:rsid w:val="00186BBB"/>
    <w:rsid w:val="001873B2"/>
    <w:rsid w:val="00187BBC"/>
    <w:rsid w:val="00187C7C"/>
    <w:rsid w:val="001900F0"/>
    <w:rsid w:val="00190257"/>
    <w:rsid w:val="00190500"/>
    <w:rsid w:val="001905BF"/>
    <w:rsid w:val="00190906"/>
    <w:rsid w:val="00190931"/>
    <w:rsid w:val="00190DE3"/>
    <w:rsid w:val="0019139B"/>
    <w:rsid w:val="0019146F"/>
    <w:rsid w:val="00191867"/>
    <w:rsid w:val="00191F7F"/>
    <w:rsid w:val="0019229A"/>
    <w:rsid w:val="00192341"/>
    <w:rsid w:val="00192455"/>
    <w:rsid w:val="0019297D"/>
    <w:rsid w:val="00192A4B"/>
    <w:rsid w:val="00192B2D"/>
    <w:rsid w:val="00192DB1"/>
    <w:rsid w:val="00192F51"/>
    <w:rsid w:val="001932F3"/>
    <w:rsid w:val="00194552"/>
    <w:rsid w:val="00194641"/>
    <w:rsid w:val="00194C4B"/>
    <w:rsid w:val="00194D19"/>
    <w:rsid w:val="001959B3"/>
    <w:rsid w:val="00195D56"/>
    <w:rsid w:val="00195EFF"/>
    <w:rsid w:val="0019620C"/>
    <w:rsid w:val="00196228"/>
    <w:rsid w:val="0019626D"/>
    <w:rsid w:val="001964FA"/>
    <w:rsid w:val="00196501"/>
    <w:rsid w:val="001967A4"/>
    <w:rsid w:val="00196934"/>
    <w:rsid w:val="00196BFC"/>
    <w:rsid w:val="0019707C"/>
    <w:rsid w:val="001972C8"/>
    <w:rsid w:val="00197483"/>
    <w:rsid w:val="00197A25"/>
    <w:rsid w:val="00197CE2"/>
    <w:rsid w:val="00197FEF"/>
    <w:rsid w:val="001A01C1"/>
    <w:rsid w:val="001A01C6"/>
    <w:rsid w:val="001A0762"/>
    <w:rsid w:val="001A08AE"/>
    <w:rsid w:val="001A0982"/>
    <w:rsid w:val="001A09FD"/>
    <w:rsid w:val="001A1689"/>
    <w:rsid w:val="001A1ABA"/>
    <w:rsid w:val="001A1B0A"/>
    <w:rsid w:val="001A1C54"/>
    <w:rsid w:val="001A1F15"/>
    <w:rsid w:val="001A2B40"/>
    <w:rsid w:val="001A2CC1"/>
    <w:rsid w:val="001A2D3E"/>
    <w:rsid w:val="001A4309"/>
    <w:rsid w:val="001A46AE"/>
    <w:rsid w:val="001A4EC2"/>
    <w:rsid w:val="001A50AC"/>
    <w:rsid w:val="001A531F"/>
    <w:rsid w:val="001A53F9"/>
    <w:rsid w:val="001A5722"/>
    <w:rsid w:val="001A5AC6"/>
    <w:rsid w:val="001A5C3C"/>
    <w:rsid w:val="001A6772"/>
    <w:rsid w:val="001A6C52"/>
    <w:rsid w:val="001A6F12"/>
    <w:rsid w:val="001A7086"/>
    <w:rsid w:val="001A72C8"/>
    <w:rsid w:val="001A7750"/>
    <w:rsid w:val="001A79EB"/>
    <w:rsid w:val="001A7C9B"/>
    <w:rsid w:val="001B00FB"/>
    <w:rsid w:val="001B04D8"/>
    <w:rsid w:val="001B0A03"/>
    <w:rsid w:val="001B1053"/>
    <w:rsid w:val="001B10A6"/>
    <w:rsid w:val="001B14AC"/>
    <w:rsid w:val="001B15CC"/>
    <w:rsid w:val="001B1BCD"/>
    <w:rsid w:val="001B1D42"/>
    <w:rsid w:val="001B2015"/>
    <w:rsid w:val="001B20AF"/>
    <w:rsid w:val="001B21A6"/>
    <w:rsid w:val="001B21E7"/>
    <w:rsid w:val="001B2BBC"/>
    <w:rsid w:val="001B2D46"/>
    <w:rsid w:val="001B323C"/>
    <w:rsid w:val="001B340A"/>
    <w:rsid w:val="001B39CB"/>
    <w:rsid w:val="001B3A24"/>
    <w:rsid w:val="001B3AF0"/>
    <w:rsid w:val="001B3E62"/>
    <w:rsid w:val="001B40BE"/>
    <w:rsid w:val="001B4B58"/>
    <w:rsid w:val="001B4CC1"/>
    <w:rsid w:val="001B4D16"/>
    <w:rsid w:val="001B50FE"/>
    <w:rsid w:val="001B546C"/>
    <w:rsid w:val="001B5BF2"/>
    <w:rsid w:val="001B6205"/>
    <w:rsid w:val="001B627C"/>
    <w:rsid w:val="001B6627"/>
    <w:rsid w:val="001B677C"/>
    <w:rsid w:val="001B699A"/>
    <w:rsid w:val="001B6B46"/>
    <w:rsid w:val="001B7239"/>
    <w:rsid w:val="001B753E"/>
    <w:rsid w:val="001B78E1"/>
    <w:rsid w:val="001B7940"/>
    <w:rsid w:val="001B7AB9"/>
    <w:rsid w:val="001B7BB4"/>
    <w:rsid w:val="001B7D0D"/>
    <w:rsid w:val="001C0C1B"/>
    <w:rsid w:val="001C1208"/>
    <w:rsid w:val="001C171A"/>
    <w:rsid w:val="001C1836"/>
    <w:rsid w:val="001C1B72"/>
    <w:rsid w:val="001C20F4"/>
    <w:rsid w:val="001C218A"/>
    <w:rsid w:val="001C25A8"/>
    <w:rsid w:val="001C2A35"/>
    <w:rsid w:val="001C2FE0"/>
    <w:rsid w:val="001C3192"/>
    <w:rsid w:val="001C3352"/>
    <w:rsid w:val="001C37CA"/>
    <w:rsid w:val="001C3870"/>
    <w:rsid w:val="001C3D2D"/>
    <w:rsid w:val="001C3DDB"/>
    <w:rsid w:val="001C4085"/>
    <w:rsid w:val="001C45C2"/>
    <w:rsid w:val="001C45D1"/>
    <w:rsid w:val="001C4956"/>
    <w:rsid w:val="001C4E1E"/>
    <w:rsid w:val="001C51DF"/>
    <w:rsid w:val="001C537E"/>
    <w:rsid w:val="001C54E0"/>
    <w:rsid w:val="001C5714"/>
    <w:rsid w:val="001C58FD"/>
    <w:rsid w:val="001C5DCD"/>
    <w:rsid w:val="001C61FC"/>
    <w:rsid w:val="001C63B4"/>
    <w:rsid w:val="001C6499"/>
    <w:rsid w:val="001C6DCE"/>
    <w:rsid w:val="001C6F35"/>
    <w:rsid w:val="001C6F53"/>
    <w:rsid w:val="001C758A"/>
    <w:rsid w:val="001C7864"/>
    <w:rsid w:val="001C794D"/>
    <w:rsid w:val="001C7A1C"/>
    <w:rsid w:val="001D05FD"/>
    <w:rsid w:val="001D0B9F"/>
    <w:rsid w:val="001D0DE2"/>
    <w:rsid w:val="001D1200"/>
    <w:rsid w:val="001D1647"/>
    <w:rsid w:val="001D172A"/>
    <w:rsid w:val="001D1897"/>
    <w:rsid w:val="001D18F0"/>
    <w:rsid w:val="001D1CE0"/>
    <w:rsid w:val="001D1DB1"/>
    <w:rsid w:val="001D2042"/>
    <w:rsid w:val="001D208F"/>
    <w:rsid w:val="001D2254"/>
    <w:rsid w:val="001D2754"/>
    <w:rsid w:val="001D2920"/>
    <w:rsid w:val="001D2CAC"/>
    <w:rsid w:val="001D2E01"/>
    <w:rsid w:val="001D2E28"/>
    <w:rsid w:val="001D3452"/>
    <w:rsid w:val="001D3E74"/>
    <w:rsid w:val="001D416C"/>
    <w:rsid w:val="001D41D6"/>
    <w:rsid w:val="001D4303"/>
    <w:rsid w:val="001D46F6"/>
    <w:rsid w:val="001D4987"/>
    <w:rsid w:val="001D4A90"/>
    <w:rsid w:val="001D5022"/>
    <w:rsid w:val="001D51F8"/>
    <w:rsid w:val="001D5465"/>
    <w:rsid w:val="001D5483"/>
    <w:rsid w:val="001D5D7F"/>
    <w:rsid w:val="001D6544"/>
    <w:rsid w:val="001D65F6"/>
    <w:rsid w:val="001D6746"/>
    <w:rsid w:val="001D687D"/>
    <w:rsid w:val="001D7431"/>
    <w:rsid w:val="001D7585"/>
    <w:rsid w:val="001D7C52"/>
    <w:rsid w:val="001E012F"/>
    <w:rsid w:val="001E060B"/>
    <w:rsid w:val="001E0793"/>
    <w:rsid w:val="001E0C61"/>
    <w:rsid w:val="001E0E0C"/>
    <w:rsid w:val="001E1832"/>
    <w:rsid w:val="001E1EF3"/>
    <w:rsid w:val="001E1EF5"/>
    <w:rsid w:val="001E27CE"/>
    <w:rsid w:val="001E2880"/>
    <w:rsid w:val="001E29FC"/>
    <w:rsid w:val="001E2E89"/>
    <w:rsid w:val="001E3104"/>
    <w:rsid w:val="001E3A59"/>
    <w:rsid w:val="001E3B49"/>
    <w:rsid w:val="001E41DF"/>
    <w:rsid w:val="001E4A05"/>
    <w:rsid w:val="001E4B50"/>
    <w:rsid w:val="001E4B58"/>
    <w:rsid w:val="001E55F2"/>
    <w:rsid w:val="001E5757"/>
    <w:rsid w:val="001E5874"/>
    <w:rsid w:val="001E5ACF"/>
    <w:rsid w:val="001E68A4"/>
    <w:rsid w:val="001E6A19"/>
    <w:rsid w:val="001E7388"/>
    <w:rsid w:val="001E76EA"/>
    <w:rsid w:val="001E779E"/>
    <w:rsid w:val="001E78D8"/>
    <w:rsid w:val="001F0109"/>
    <w:rsid w:val="001F1167"/>
    <w:rsid w:val="001F117A"/>
    <w:rsid w:val="001F128A"/>
    <w:rsid w:val="001F13DD"/>
    <w:rsid w:val="001F1627"/>
    <w:rsid w:val="001F1D47"/>
    <w:rsid w:val="001F1D51"/>
    <w:rsid w:val="001F1DC4"/>
    <w:rsid w:val="001F2473"/>
    <w:rsid w:val="001F25BB"/>
    <w:rsid w:val="001F26B0"/>
    <w:rsid w:val="001F27AF"/>
    <w:rsid w:val="001F2DBC"/>
    <w:rsid w:val="001F2FFD"/>
    <w:rsid w:val="001F32DA"/>
    <w:rsid w:val="001F349F"/>
    <w:rsid w:val="001F3938"/>
    <w:rsid w:val="001F39A2"/>
    <w:rsid w:val="001F410A"/>
    <w:rsid w:val="001F4D0A"/>
    <w:rsid w:val="001F5177"/>
    <w:rsid w:val="001F52FC"/>
    <w:rsid w:val="001F5E27"/>
    <w:rsid w:val="001F60D5"/>
    <w:rsid w:val="001F6614"/>
    <w:rsid w:val="001F6F29"/>
    <w:rsid w:val="001F73E8"/>
    <w:rsid w:val="001F7481"/>
    <w:rsid w:val="001F759F"/>
    <w:rsid w:val="0020024B"/>
    <w:rsid w:val="00200339"/>
    <w:rsid w:val="00200863"/>
    <w:rsid w:val="00200AE7"/>
    <w:rsid w:val="00200EA1"/>
    <w:rsid w:val="002011EB"/>
    <w:rsid w:val="002019A2"/>
    <w:rsid w:val="00201C86"/>
    <w:rsid w:val="00202495"/>
    <w:rsid w:val="0020262B"/>
    <w:rsid w:val="0020262C"/>
    <w:rsid w:val="00202723"/>
    <w:rsid w:val="00202A0F"/>
    <w:rsid w:val="00202AF2"/>
    <w:rsid w:val="00202D49"/>
    <w:rsid w:val="0020331B"/>
    <w:rsid w:val="002034C4"/>
    <w:rsid w:val="00203814"/>
    <w:rsid w:val="0020390D"/>
    <w:rsid w:val="00203CFA"/>
    <w:rsid w:val="00204562"/>
    <w:rsid w:val="00204774"/>
    <w:rsid w:val="0020496A"/>
    <w:rsid w:val="00204F04"/>
    <w:rsid w:val="0020508B"/>
    <w:rsid w:val="00206AA1"/>
    <w:rsid w:val="00207573"/>
    <w:rsid w:val="002076A0"/>
    <w:rsid w:val="00207C63"/>
    <w:rsid w:val="00207F5C"/>
    <w:rsid w:val="0021036C"/>
    <w:rsid w:val="002103A5"/>
    <w:rsid w:val="002106A7"/>
    <w:rsid w:val="0021096B"/>
    <w:rsid w:val="00210B04"/>
    <w:rsid w:val="00211A3E"/>
    <w:rsid w:val="00211D92"/>
    <w:rsid w:val="00212217"/>
    <w:rsid w:val="002126AF"/>
    <w:rsid w:val="002129CE"/>
    <w:rsid w:val="00212D16"/>
    <w:rsid w:val="00213204"/>
    <w:rsid w:val="00213A80"/>
    <w:rsid w:val="00213E7F"/>
    <w:rsid w:val="00213E81"/>
    <w:rsid w:val="00213F20"/>
    <w:rsid w:val="00214055"/>
    <w:rsid w:val="00214128"/>
    <w:rsid w:val="002146FA"/>
    <w:rsid w:val="00214AFB"/>
    <w:rsid w:val="00214BA8"/>
    <w:rsid w:val="00214C03"/>
    <w:rsid w:val="00214DB4"/>
    <w:rsid w:val="0021575F"/>
    <w:rsid w:val="00215BCA"/>
    <w:rsid w:val="00215CBE"/>
    <w:rsid w:val="00215D82"/>
    <w:rsid w:val="002160F5"/>
    <w:rsid w:val="00216808"/>
    <w:rsid w:val="0021747B"/>
    <w:rsid w:val="0021787E"/>
    <w:rsid w:val="0021795F"/>
    <w:rsid w:val="00217AC4"/>
    <w:rsid w:val="00217C70"/>
    <w:rsid w:val="00220844"/>
    <w:rsid w:val="00220C2D"/>
    <w:rsid w:val="00220DE9"/>
    <w:rsid w:val="00221461"/>
    <w:rsid w:val="0022152B"/>
    <w:rsid w:val="002216F5"/>
    <w:rsid w:val="00221A2C"/>
    <w:rsid w:val="00222D68"/>
    <w:rsid w:val="00222EEB"/>
    <w:rsid w:val="00223810"/>
    <w:rsid w:val="00223A4C"/>
    <w:rsid w:val="00223F61"/>
    <w:rsid w:val="00223FC1"/>
    <w:rsid w:val="002240F1"/>
    <w:rsid w:val="00224204"/>
    <w:rsid w:val="00224468"/>
    <w:rsid w:val="00224523"/>
    <w:rsid w:val="00224537"/>
    <w:rsid w:val="00225779"/>
    <w:rsid w:val="002259B5"/>
    <w:rsid w:val="00225AC9"/>
    <w:rsid w:val="00225D1D"/>
    <w:rsid w:val="00226288"/>
    <w:rsid w:val="002268AE"/>
    <w:rsid w:val="00226D30"/>
    <w:rsid w:val="002270A2"/>
    <w:rsid w:val="002271C6"/>
    <w:rsid w:val="00227290"/>
    <w:rsid w:val="002273E4"/>
    <w:rsid w:val="002278BD"/>
    <w:rsid w:val="00227B38"/>
    <w:rsid w:val="00227B96"/>
    <w:rsid w:val="002305EF"/>
    <w:rsid w:val="002308C6"/>
    <w:rsid w:val="00230B4F"/>
    <w:rsid w:val="00230C95"/>
    <w:rsid w:val="002313EC"/>
    <w:rsid w:val="00231D16"/>
    <w:rsid w:val="00232195"/>
    <w:rsid w:val="0023232F"/>
    <w:rsid w:val="0023246C"/>
    <w:rsid w:val="00232C36"/>
    <w:rsid w:val="00232DB3"/>
    <w:rsid w:val="00232F2D"/>
    <w:rsid w:val="0023331C"/>
    <w:rsid w:val="002335FF"/>
    <w:rsid w:val="002339D1"/>
    <w:rsid w:val="0023408F"/>
    <w:rsid w:val="002342AA"/>
    <w:rsid w:val="002342C4"/>
    <w:rsid w:val="002346E0"/>
    <w:rsid w:val="002347F5"/>
    <w:rsid w:val="00234D0C"/>
    <w:rsid w:val="0023502F"/>
    <w:rsid w:val="00235956"/>
    <w:rsid w:val="00236368"/>
    <w:rsid w:val="00236491"/>
    <w:rsid w:val="002364F3"/>
    <w:rsid w:val="00236744"/>
    <w:rsid w:val="00236A18"/>
    <w:rsid w:val="00236BFC"/>
    <w:rsid w:val="00237441"/>
    <w:rsid w:val="00237539"/>
    <w:rsid w:val="002379B8"/>
    <w:rsid w:val="00240049"/>
    <w:rsid w:val="00240245"/>
    <w:rsid w:val="002406C2"/>
    <w:rsid w:val="00240B8F"/>
    <w:rsid w:val="00240F4D"/>
    <w:rsid w:val="002411C3"/>
    <w:rsid w:val="002411E1"/>
    <w:rsid w:val="0024121B"/>
    <w:rsid w:val="0024136A"/>
    <w:rsid w:val="002413CF"/>
    <w:rsid w:val="002414DB"/>
    <w:rsid w:val="00241574"/>
    <w:rsid w:val="0024192B"/>
    <w:rsid w:val="00241EA7"/>
    <w:rsid w:val="00241EDA"/>
    <w:rsid w:val="00241F70"/>
    <w:rsid w:val="00242559"/>
    <w:rsid w:val="002427B4"/>
    <w:rsid w:val="00243023"/>
    <w:rsid w:val="0024346F"/>
    <w:rsid w:val="002434D2"/>
    <w:rsid w:val="00243E5E"/>
    <w:rsid w:val="00243FB9"/>
    <w:rsid w:val="002440F1"/>
    <w:rsid w:val="002447CA"/>
    <w:rsid w:val="00244AF9"/>
    <w:rsid w:val="00244DE5"/>
    <w:rsid w:val="002453A7"/>
    <w:rsid w:val="002458A9"/>
    <w:rsid w:val="00245F72"/>
    <w:rsid w:val="0024620D"/>
    <w:rsid w:val="00246480"/>
    <w:rsid w:val="002465BF"/>
    <w:rsid w:val="002467A6"/>
    <w:rsid w:val="002467C9"/>
    <w:rsid w:val="0024684E"/>
    <w:rsid w:val="00246850"/>
    <w:rsid w:val="00246A58"/>
    <w:rsid w:val="00246BE2"/>
    <w:rsid w:val="00246E77"/>
    <w:rsid w:val="00247029"/>
    <w:rsid w:val="00247620"/>
    <w:rsid w:val="00247806"/>
    <w:rsid w:val="00247C9A"/>
    <w:rsid w:val="00250865"/>
    <w:rsid w:val="00250AE9"/>
    <w:rsid w:val="002515AC"/>
    <w:rsid w:val="0025160C"/>
    <w:rsid w:val="00251DC9"/>
    <w:rsid w:val="00251E4B"/>
    <w:rsid w:val="00251F49"/>
    <w:rsid w:val="0025218F"/>
    <w:rsid w:val="0025237B"/>
    <w:rsid w:val="0025268F"/>
    <w:rsid w:val="00252CF8"/>
    <w:rsid w:val="00252E2D"/>
    <w:rsid w:val="002535D0"/>
    <w:rsid w:val="0025373F"/>
    <w:rsid w:val="002539B3"/>
    <w:rsid w:val="00253CA2"/>
    <w:rsid w:val="00253CAE"/>
    <w:rsid w:val="00253D5D"/>
    <w:rsid w:val="0025431B"/>
    <w:rsid w:val="0025434A"/>
    <w:rsid w:val="0025464F"/>
    <w:rsid w:val="00254C1B"/>
    <w:rsid w:val="00255845"/>
    <w:rsid w:val="00255C96"/>
    <w:rsid w:val="00255F61"/>
    <w:rsid w:val="00256323"/>
    <w:rsid w:val="00256336"/>
    <w:rsid w:val="00256394"/>
    <w:rsid w:val="002563C0"/>
    <w:rsid w:val="00256602"/>
    <w:rsid w:val="002569B9"/>
    <w:rsid w:val="00256A79"/>
    <w:rsid w:val="002572C0"/>
    <w:rsid w:val="00257A52"/>
    <w:rsid w:val="00257C3E"/>
    <w:rsid w:val="002602C2"/>
    <w:rsid w:val="00260423"/>
    <w:rsid w:val="00260538"/>
    <w:rsid w:val="00260A93"/>
    <w:rsid w:val="00260B25"/>
    <w:rsid w:val="00260C8E"/>
    <w:rsid w:val="00260D67"/>
    <w:rsid w:val="00261493"/>
    <w:rsid w:val="002617ED"/>
    <w:rsid w:val="00261EA4"/>
    <w:rsid w:val="00262367"/>
    <w:rsid w:val="0026267B"/>
    <w:rsid w:val="00262F48"/>
    <w:rsid w:val="00263083"/>
    <w:rsid w:val="0026308B"/>
    <w:rsid w:val="00263400"/>
    <w:rsid w:val="00263853"/>
    <w:rsid w:val="00263B0B"/>
    <w:rsid w:val="0026418B"/>
    <w:rsid w:val="002641C9"/>
    <w:rsid w:val="0026475E"/>
    <w:rsid w:val="00264828"/>
    <w:rsid w:val="00264CEA"/>
    <w:rsid w:val="00265218"/>
    <w:rsid w:val="00265232"/>
    <w:rsid w:val="00265722"/>
    <w:rsid w:val="00265DDC"/>
    <w:rsid w:val="002662C0"/>
    <w:rsid w:val="00266588"/>
    <w:rsid w:val="002666C9"/>
    <w:rsid w:val="002667C7"/>
    <w:rsid w:val="00266857"/>
    <w:rsid w:val="00266D4A"/>
    <w:rsid w:val="00266F8E"/>
    <w:rsid w:val="002671E9"/>
    <w:rsid w:val="00267546"/>
    <w:rsid w:val="00267CE9"/>
    <w:rsid w:val="00267E2D"/>
    <w:rsid w:val="00270136"/>
    <w:rsid w:val="002705C4"/>
    <w:rsid w:val="002708F3"/>
    <w:rsid w:val="00270FD7"/>
    <w:rsid w:val="002710DE"/>
    <w:rsid w:val="002714B3"/>
    <w:rsid w:val="002716E6"/>
    <w:rsid w:val="0027269A"/>
    <w:rsid w:val="00272A57"/>
    <w:rsid w:val="00272F5F"/>
    <w:rsid w:val="00272F74"/>
    <w:rsid w:val="00273176"/>
    <w:rsid w:val="00273650"/>
    <w:rsid w:val="002738E5"/>
    <w:rsid w:val="00273B8A"/>
    <w:rsid w:val="00274087"/>
    <w:rsid w:val="0027430C"/>
    <w:rsid w:val="00274F1F"/>
    <w:rsid w:val="00274F5B"/>
    <w:rsid w:val="002756D2"/>
    <w:rsid w:val="002757B9"/>
    <w:rsid w:val="00275AB8"/>
    <w:rsid w:val="00275B77"/>
    <w:rsid w:val="00275BD9"/>
    <w:rsid w:val="00275D68"/>
    <w:rsid w:val="00275F5A"/>
    <w:rsid w:val="00276721"/>
    <w:rsid w:val="00276955"/>
    <w:rsid w:val="00276C70"/>
    <w:rsid w:val="00276EEF"/>
    <w:rsid w:val="00276F2B"/>
    <w:rsid w:val="00277442"/>
    <w:rsid w:val="002774F1"/>
    <w:rsid w:val="0027764A"/>
    <w:rsid w:val="00277696"/>
    <w:rsid w:val="00277717"/>
    <w:rsid w:val="00277F5D"/>
    <w:rsid w:val="00277F8E"/>
    <w:rsid w:val="00277FEA"/>
    <w:rsid w:val="00280775"/>
    <w:rsid w:val="00280836"/>
    <w:rsid w:val="00280B49"/>
    <w:rsid w:val="00280B68"/>
    <w:rsid w:val="00280B84"/>
    <w:rsid w:val="00280C70"/>
    <w:rsid w:val="00281349"/>
    <w:rsid w:val="002813E0"/>
    <w:rsid w:val="00281A22"/>
    <w:rsid w:val="00281B5B"/>
    <w:rsid w:val="00281C2C"/>
    <w:rsid w:val="00282272"/>
    <w:rsid w:val="00282323"/>
    <w:rsid w:val="00282798"/>
    <w:rsid w:val="00282E1A"/>
    <w:rsid w:val="00282E7B"/>
    <w:rsid w:val="00282F4E"/>
    <w:rsid w:val="00283215"/>
    <w:rsid w:val="00283282"/>
    <w:rsid w:val="0028339F"/>
    <w:rsid w:val="002838A5"/>
    <w:rsid w:val="00283F74"/>
    <w:rsid w:val="002840F1"/>
    <w:rsid w:val="002846C5"/>
    <w:rsid w:val="0028489F"/>
    <w:rsid w:val="00284BB0"/>
    <w:rsid w:val="00284BF6"/>
    <w:rsid w:val="002854BF"/>
    <w:rsid w:val="00285922"/>
    <w:rsid w:val="00285ACD"/>
    <w:rsid w:val="00285BEE"/>
    <w:rsid w:val="00286224"/>
    <w:rsid w:val="00286226"/>
    <w:rsid w:val="00286723"/>
    <w:rsid w:val="00286892"/>
    <w:rsid w:val="00286CBA"/>
    <w:rsid w:val="00286F94"/>
    <w:rsid w:val="00287BF8"/>
    <w:rsid w:val="00290C56"/>
    <w:rsid w:val="00290F3D"/>
    <w:rsid w:val="0029113B"/>
    <w:rsid w:val="002917DD"/>
    <w:rsid w:val="00291D0A"/>
    <w:rsid w:val="00291DBA"/>
    <w:rsid w:val="0029219C"/>
    <w:rsid w:val="0029233C"/>
    <w:rsid w:val="00292741"/>
    <w:rsid w:val="00292852"/>
    <w:rsid w:val="00292B23"/>
    <w:rsid w:val="00292DBE"/>
    <w:rsid w:val="002933F2"/>
    <w:rsid w:val="0029341C"/>
    <w:rsid w:val="002934C0"/>
    <w:rsid w:val="0029369A"/>
    <w:rsid w:val="00293CDE"/>
    <w:rsid w:val="00293E1F"/>
    <w:rsid w:val="0029459A"/>
    <w:rsid w:val="00294968"/>
    <w:rsid w:val="00294D19"/>
    <w:rsid w:val="00294D92"/>
    <w:rsid w:val="002955C6"/>
    <w:rsid w:val="002956B6"/>
    <w:rsid w:val="002957A4"/>
    <w:rsid w:val="00295B01"/>
    <w:rsid w:val="00295E3A"/>
    <w:rsid w:val="00296FDA"/>
    <w:rsid w:val="00297582"/>
    <w:rsid w:val="00297612"/>
    <w:rsid w:val="0029764C"/>
    <w:rsid w:val="00297856"/>
    <w:rsid w:val="00297C96"/>
    <w:rsid w:val="00297E24"/>
    <w:rsid w:val="002A010C"/>
    <w:rsid w:val="002A03AB"/>
    <w:rsid w:val="002A064F"/>
    <w:rsid w:val="002A12E3"/>
    <w:rsid w:val="002A1AEC"/>
    <w:rsid w:val="002A1B50"/>
    <w:rsid w:val="002A1F68"/>
    <w:rsid w:val="002A21E7"/>
    <w:rsid w:val="002A2221"/>
    <w:rsid w:val="002A2D2D"/>
    <w:rsid w:val="002A2E75"/>
    <w:rsid w:val="002A2E79"/>
    <w:rsid w:val="002A3378"/>
    <w:rsid w:val="002A34DD"/>
    <w:rsid w:val="002A3ABE"/>
    <w:rsid w:val="002A3AF3"/>
    <w:rsid w:val="002A3C52"/>
    <w:rsid w:val="002A4813"/>
    <w:rsid w:val="002A4A0E"/>
    <w:rsid w:val="002A4B42"/>
    <w:rsid w:val="002A4FFF"/>
    <w:rsid w:val="002A54F5"/>
    <w:rsid w:val="002A54F8"/>
    <w:rsid w:val="002A5F59"/>
    <w:rsid w:val="002A6EAB"/>
    <w:rsid w:val="002A6F6B"/>
    <w:rsid w:val="002A6FC6"/>
    <w:rsid w:val="002A6FD8"/>
    <w:rsid w:val="002A708F"/>
    <w:rsid w:val="002A71E3"/>
    <w:rsid w:val="002A7272"/>
    <w:rsid w:val="002A7509"/>
    <w:rsid w:val="002A7BAE"/>
    <w:rsid w:val="002A7CA8"/>
    <w:rsid w:val="002A7DAD"/>
    <w:rsid w:val="002A7DFB"/>
    <w:rsid w:val="002B007A"/>
    <w:rsid w:val="002B04DD"/>
    <w:rsid w:val="002B063A"/>
    <w:rsid w:val="002B0DC2"/>
    <w:rsid w:val="002B0E91"/>
    <w:rsid w:val="002B1026"/>
    <w:rsid w:val="002B1157"/>
    <w:rsid w:val="002B132C"/>
    <w:rsid w:val="002B1DA8"/>
    <w:rsid w:val="002B20EA"/>
    <w:rsid w:val="002B2424"/>
    <w:rsid w:val="002B2685"/>
    <w:rsid w:val="002B27BC"/>
    <w:rsid w:val="002B28B5"/>
    <w:rsid w:val="002B321C"/>
    <w:rsid w:val="002B331C"/>
    <w:rsid w:val="002B3A0D"/>
    <w:rsid w:val="002B3AFD"/>
    <w:rsid w:val="002B3F23"/>
    <w:rsid w:val="002B410A"/>
    <w:rsid w:val="002B4271"/>
    <w:rsid w:val="002B451D"/>
    <w:rsid w:val="002B4C85"/>
    <w:rsid w:val="002B4D48"/>
    <w:rsid w:val="002B4EB5"/>
    <w:rsid w:val="002B4FBE"/>
    <w:rsid w:val="002B5987"/>
    <w:rsid w:val="002B5AF5"/>
    <w:rsid w:val="002B60A4"/>
    <w:rsid w:val="002B60E6"/>
    <w:rsid w:val="002B6276"/>
    <w:rsid w:val="002B6779"/>
    <w:rsid w:val="002B6D76"/>
    <w:rsid w:val="002B7105"/>
    <w:rsid w:val="002B717D"/>
    <w:rsid w:val="002B71C0"/>
    <w:rsid w:val="002B7666"/>
    <w:rsid w:val="002B793E"/>
    <w:rsid w:val="002B7A34"/>
    <w:rsid w:val="002B7D70"/>
    <w:rsid w:val="002B7E02"/>
    <w:rsid w:val="002B7F65"/>
    <w:rsid w:val="002C0388"/>
    <w:rsid w:val="002C07AB"/>
    <w:rsid w:val="002C07B0"/>
    <w:rsid w:val="002C0B57"/>
    <w:rsid w:val="002C0C8A"/>
    <w:rsid w:val="002C0F34"/>
    <w:rsid w:val="002C150B"/>
    <w:rsid w:val="002C1587"/>
    <w:rsid w:val="002C182D"/>
    <w:rsid w:val="002C19AC"/>
    <w:rsid w:val="002C1C9D"/>
    <w:rsid w:val="002C25B1"/>
    <w:rsid w:val="002C2AA5"/>
    <w:rsid w:val="002C2FE8"/>
    <w:rsid w:val="002C3044"/>
    <w:rsid w:val="002C30EA"/>
    <w:rsid w:val="002C31AD"/>
    <w:rsid w:val="002C375E"/>
    <w:rsid w:val="002C3996"/>
    <w:rsid w:val="002C40EB"/>
    <w:rsid w:val="002C42BF"/>
    <w:rsid w:val="002C47E9"/>
    <w:rsid w:val="002C4A19"/>
    <w:rsid w:val="002C4CE5"/>
    <w:rsid w:val="002C52C5"/>
    <w:rsid w:val="002C54C2"/>
    <w:rsid w:val="002C611E"/>
    <w:rsid w:val="002C64BC"/>
    <w:rsid w:val="002C65CF"/>
    <w:rsid w:val="002C6A6C"/>
    <w:rsid w:val="002C6E24"/>
    <w:rsid w:val="002C700C"/>
    <w:rsid w:val="002C70CB"/>
    <w:rsid w:val="002C7118"/>
    <w:rsid w:val="002C7385"/>
    <w:rsid w:val="002C74FE"/>
    <w:rsid w:val="002C7A66"/>
    <w:rsid w:val="002C7D8B"/>
    <w:rsid w:val="002D09F9"/>
    <w:rsid w:val="002D154E"/>
    <w:rsid w:val="002D1BFC"/>
    <w:rsid w:val="002D23B6"/>
    <w:rsid w:val="002D2661"/>
    <w:rsid w:val="002D27A2"/>
    <w:rsid w:val="002D2C4A"/>
    <w:rsid w:val="002D2DBB"/>
    <w:rsid w:val="002D3208"/>
    <w:rsid w:val="002D33D9"/>
    <w:rsid w:val="002D34DE"/>
    <w:rsid w:val="002D37D8"/>
    <w:rsid w:val="002D3823"/>
    <w:rsid w:val="002D3DB5"/>
    <w:rsid w:val="002D403C"/>
    <w:rsid w:val="002D4041"/>
    <w:rsid w:val="002D44B0"/>
    <w:rsid w:val="002D4B3F"/>
    <w:rsid w:val="002D4C22"/>
    <w:rsid w:val="002D4E1C"/>
    <w:rsid w:val="002D5066"/>
    <w:rsid w:val="002D51D9"/>
    <w:rsid w:val="002D532A"/>
    <w:rsid w:val="002D53E3"/>
    <w:rsid w:val="002D53F5"/>
    <w:rsid w:val="002D54A6"/>
    <w:rsid w:val="002D54D7"/>
    <w:rsid w:val="002D5912"/>
    <w:rsid w:val="002D5D83"/>
    <w:rsid w:val="002D5F0D"/>
    <w:rsid w:val="002D5F60"/>
    <w:rsid w:val="002D6429"/>
    <w:rsid w:val="002D66FC"/>
    <w:rsid w:val="002D6A46"/>
    <w:rsid w:val="002D6E0C"/>
    <w:rsid w:val="002D704C"/>
    <w:rsid w:val="002D719C"/>
    <w:rsid w:val="002D71CB"/>
    <w:rsid w:val="002D7B84"/>
    <w:rsid w:val="002D7C46"/>
    <w:rsid w:val="002D7E2E"/>
    <w:rsid w:val="002E0472"/>
    <w:rsid w:val="002E0893"/>
    <w:rsid w:val="002E0905"/>
    <w:rsid w:val="002E0AA6"/>
    <w:rsid w:val="002E0E56"/>
    <w:rsid w:val="002E1D37"/>
    <w:rsid w:val="002E20B4"/>
    <w:rsid w:val="002E2A0A"/>
    <w:rsid w:val="002E2B57"/>
    <w:rsid w:val="002E2F57"/>
    <w:rsid w:val="002E35E0"/>
    <w:rsid w:val="002E360D"/>
    <w:rsid w:val="002E371C"/>
    <w:rsid w:val="002E3779"/>
    <w:rsid w:val="002E399C"/>
    <w:rsid w:val="002E3DAE"/>
    <w:rsid w:val="002E4467"/>
    <w:rsid w:val="002E4488"/>
    <w:rsid w:val="002E4C3A"/>
    <w:rsid w:val="002E4D2E"/>
    <w:rsid w:val="002E52F3"/>
    <w:rsid w:val="002E5BF9"/>
    <w:rsid w:val="002E6595"/>
    <w:rsid w:val="002E65AA"/>
    <w:rsid w:val="002E6763"/>
    <w:rsid w:val="002E6A7A"/>
    <w:rsid w:val="002E6C5E"/>
    <w:rsid w:val="002E6F59"/>
    <w:rsid w:val="002E71D3"/>
    <w:rsid w:val="002E747D"/>
    <w:rsid w:val="002E7BD7"/>
    <w:rsid w:val="002E7E46"/>
    <w:rsid w:val="002F03FE"/>
    <w:rsid w:val="002F0497"/>
    <w:rsid w:val="002F06E3"/>
    <w:rsid w:val="002F0823"/>
    <w:rsid w:val="002F145F"/>
    <w:rsid w:val="002F16AA"/>
    <w:rsid w:val="002F179C"/>
    <w:rsid w:val="002F1C84"/>
    <w:rsid w:val="002F1DEB"/>
    <w:rsid w:val="002F1E49"/>
    <w:rsid w:val="002F244C"/>
    <w:rsid w:val="002F27F3"/>
    <w:rsid w:val="002F28E7"/>
    <w:rsid w:val="002F301F"/>
    <w:rsid w:val="002F3BE8"/>
    <w:rsid w:val="002F4572"/>
    <w:rsid w:val="002F4E9C"/>
    <w:rsid w:val="002F538D"/>
    <w:rsid w:val="002F61F5"/>
    <w:rsid w:val="002F661D"/>
    <w:rsid w:val="002F6714"/>
    <w:rsid w:val="002F67EB"/>
    <w:rsid w:val="002F6859"/>
    <w:rsid w:val="002F6E15"/>
    <w:rsid w:val="002F7034"/>
    <w:rsid w:val="002F7238"/>
    <w:rsid w:val="002F7641"/>
    <w:rsid w:val="002F7C39"/>
    <w:rsid w:val="002F7EC4"/>
    <w:rsid w:val="00300050"/>
    <w:rsid w:val="0030068B"/>
    <w:rsid w:val="0030087F"/>
    <w:rsid w:val="003010BA"/>
    <w:rsid w:val="00301113"/>
    <w:rsid w:val="0030169F"/>
    <w:rsid w:val="00301B1F"/>
    <w:rsid w:val="0030226D"/>
    <w:rsid w:val="00302459"/>
    <w:rsid w:val="003024C9"/>
    <w:rsid w:val="00302B6A"/>
    <w:rsid w:val="00302B8A"/>
    <w:rsid w:val="00302F4E"/>
    <w:rsid w:val="00303151"/>
    <w:rsid w:val="003037A9"/>
    <w:rsid w:val="0030404E"/>
    <w:rsid w:val="0030414C"/>
    <w:rsid w:val="00304699"/>
    <w:rsid w:val="003047A3"/>
    <w:rsid w:val="00305035"/>
    <w:rsid w:val="00305E4C"/>
    <w:rsid w:val="00306706"/>
    <w:rsid w:val="0030728B"/>
    <w:rsid w:val="003075E6"/>
    <w:rsid w:val="003101F0"/>
    <w:rsid w:val="00310563"/>
    <w:rsid w:val="00310957"/>
    <w:rsid w:val="00310BA7"/>
    <w:rsid w:val="00310CE7"/>
    <w:rsid w:val="00311393"/>
    <w:rsid w:val="0031145A"/>
    <w:rsid w:val="003118CD"/>
    <w:rsid w:val="00311C28"/>
    <w:rsid w:val="0031220B"/>
    <w:rsid w:val="00312317"/>
    <w:rsid w:val="0031256C"/>
    <w:rsid w:val="00312794"/>
    <w:rsid w:val="003129A3"/>
    <w:rsid w:val="00312AD7"/>
    <w:rsid w:val="00312AE9"/>
    <w:rsid w:val="00313095"/>
    <w:rsid w:val="0031338C"/>
    <w:rsid w:val="00313528"/>
    <w:rsid w:val="0031353E"/>
    <w:rsid w:val="00313C7E"/>
    <w:rsid w:val="00313FDE"/>
    <w:rsid w:val="003143E5"/>
    <w:rsid w:val="003146EC"/>
    <w:rsid w:val="0031473D"/>
    <w:rsid w:val="00314771"/>
    <w:rsid w:val="003147EC"/>
    <w:rsid w:val="00314C5E"/>
    <w:rsid w:val="00314C64"/>
    <w:rsid w:val="00314D6C"/>
    <w:rsid w:val="00314F47"/>
    <w:rsid w:val="003151D8"/>
    <w:rsid w:val="00315409"/>
    <w:rsid w:val="00315486"/>
    <w:rsid w:val="00315659"/>
    <w:rsid w:val="003158B4"/>
    <w:rsid w:val="00315BE1"/>
    <w:rsid w:val="00316D2A"/>
    <w:rsid w:val="0031709E"/>
    <w:rsid w:val="003172AE"/>
    <w:rsid w:val="00317C40"/>
    <w:rsid w:val="00317D0A"/>
    <w:rsid w:val="00317DAA"/>
    <w:rsid w:val="003204AF"/>
    <w:rsid w:val="003208B0"/>
    <w:rsid w:val="00321762"/>
    <w:rsid w:val="00321817"/>
    <w:rsid w:val="00321D07"/>
    <w:rsid w:val="00322A7C"/>
    <w:rsid w:val="00322B2E"/>
    <w:rsid w:val="00322B3A"/>
    <w:rsid w:val="00322C61"/>
    <w:rsid w:val="00322EEC"/>
    <w:rsid w:val="00323061"/>
    <w:rsid w:val="00323FB1"/>
    <w:rsid w:val="003246ED"/>
    <w:rsid w:val="003249DA"/>
    <w:rsid w:val="00324A67"/>
    <w:rsid w:val="003250AF"/>
    <w:rsid w:val="00325187"/>
    <w:rsid w:val="00325297"/>
    <w:rsid w:val="00325576"/>
    <w:rsid w:val="003263FA"/>
    <w:rsid w:val="00326AB4"/>
    <w:rsid w:val="00326C7E"/>
    <w:rsid w:val="003270E2"/>
    <w:rsid w:val="003271FE"/>
    <w:rsid w:val="0032761C"/>
    <w:rsid w:val="003278F9"/>
    <w:rsid w:val="00327AF6"/>
    <w:rsid w:val="00327C8D"/>
    <w:rsid w:val="003300AD"/>
    <w:rsid w:val="003306D6"/>
    <w:rsid w:val="003308FC"/>
    <w:rsid w:val="0033107B"/>
    <w:rsid w:val="0033144E"/>
    <w:rsid w:val="00331AF8"/>
    <w:rsid w:val="00331D2D"/>
    <w:rsid w:val="00332462"/>
    <w:rsid w:val="00332C09"/>
    <w:rsid w:val="00332DDB"/>
    <w:rsid w:val="00332F69"/>
    <w:rsid w:val="00332F8A"/>
    <w:rsid w:val="00332FB4"/>
    <w:rsid w:val="003336BF"/>
    <w:rsid w:val="00333C98"/>
    <w:rsid w:val="00333E68"/>
    <w:rsid w:val="00334021"/>
    <w:rsid w:val="0033448F"/>
    <w:rsid w:val="00335456"/>
    <w:rsid w:val="00335BF6"/>
    <w:rsid w:val="00336035"/>
    <w:rsid w:val="0033638C"/>
    <w:rsid w:val="00336466"/>
    <w:rsid w:val="00336BFA"/>
    <w:rsid w:val="00336F6D"/>
    <w:rsid w:val="00337322"/>
    <w:rsid w:val="003376FA"/>
    <w:rsid w:val="00337AD8"/>
    <w:rsid w:val="003402D3"/>
    <w:rsid w:val="0034068E"/>
    <w:rsid w:val="00340DB4"/>
    <w:rsid w:val="00340DD3"/>
    <w:rsid w:val="0034129E"/>
    <w:rsid w:val="00341781"/>
    <w:rsid w:val="00341D0A"/>
    <w:rsid w:val="00341FF3"/>
    <w:rsid w:val="0034274C"/>
    <w:rsid w:val="0034320C"/>
    <w:rsid w:val="003432EF"/>
    <w:rsid w:val="003433CD"/>
    <w:rsid w:val="0034387C"/>
    <w:rsid w:val="00343ABC"/>
    <w:rsid w:val="00343AF1"/>
    <w:rsid w:val="00343D47"/>
    <w:rsid w:val="00344814"/>
    <w:rsid w:val="00344880"/>
    <w:rsid w:val="003452FF"/>
    <w:rsid w:val="0034554E"/>
    <w:rsid w:val="003455EB"/>
    <w:rsid w:val="00345AAA"/>
    <w:rsid w:val="0034630D"/>
    <w:rsid w:val="003463FE"/>
    <w:rsid w:val="00346560"/>
    <w:rsid w:val="00346581"/>
    <w:rsid w:val="003469F3"/>
    <w:rsid w:val="00346A21"/>
    <w:rsid w:val="00346A2F"/>
    <w:rsid w:val="003471DE"/>
    <w:rsid w:val="003472FC"/>
    <w:rsid w:val="003474EF"/>
    <w:rsid w:val="00347501"/>
    <w:rsid w:val="00347503"/>
    <w:rsid w:val="0034758B"/>
    <w:rsid w:val="00347C3D"/>
    <w:rsid w:val="00347D41"/>
    <w:rsid w:val="00350798"/>
    <w:rsid w:val="003509B0"/>
    <w:rsid w:val="00350A8D"/>
    <w:rsid w:val="00350BCD"/>
    <w:rsid w:val="00350CE3"/>
    <w:rsid w:val="003510E6"/>
    <w:rsid w:val="0035185E"/>
    <w:rsid w:val="00351ADD"/>
    <w:rsid w:val="00351E98"/>
    <w:rsid w:val="00352B02"/>
    <w:rsid w:val="0035320C"/>
    <w:rsid w:val="0035384C"/>
    <w:rsid w:val="0035387B"/>
    <w:rsid w:val="00353E9B"/>
    <w:rsid w:val="00353ED9"/>
    <w:rsid w:val="00355125"/>
    <w:rsid w:val="003551E0"/>
    <w:rsid w:val="003552FF"/>
    <w:rsid w:val="00355442"/>
    <w:rsid w:val="003554B3"/>
    <w:rsid w:val="00355792"/>
    <w:rsid w:val="00355DEA"/>
    <w:rsid w:val="00356055"/>
    <w:rsid w:val="00356632"/>
    <w:rsid w:val="00356E9A"/>
    <w:rsid w:val="0035705C"/>
    <w:rsid w:val="00357927"/>
    <w:rsid w:val="00357C7E"/>
    <w:rsid w:val="00357D9F"/>
    <w:rsid w:val="00360A70"/>
    <w:rsid w:val="00360AD8"/>
    <w:rsid w:val="00360FBC"/>
    <w:rsid w:val="00361296"/>
    <w:rsid w:val="003612CC"/>
    <w:rsid w:val="00361E63"/>
    <w:rsid w:val="003626D4"/>
    <w:rsid w:val="00362CF4"/>
    <w:rsid w:val="00362D5B"/>
    <w:rsid w:val="003634F8"/>
    <w:rsid w:val="003635F7"/>
    <w:rsid w:val="0036395E"/>
    <w:rsid w:val="00363B81"/>
    <w:rsid w:val="00363C8A"/>
    <w:rsid w:val="003652C2"/>
    <w:rsid w:val="003653B6"/>
    <w:rsid w:val="00365452"/>
    <w:rsid w:val="0036554A"/>
    <w:rsid w:val="00365D2D"/>
    <w:rsid w:val="00365DE9"/>
    <w:rsid w:val="00365E1A"/>
    <w:rsid w:val="00366A38"/>
    <w:rsid w:val="00366AAE"/>
    <w:rsid w:val="003678B1"/>
    <w:rsid w:val="00370327"/>
    <w:rsid w:val="00370A95"/>
    <w:rsid w:val="00370EDB"/>
    <w:rsid w:val="00371288"/>
    <w:rsid w:val="003716F2"/>
    <w:rsid w:val="003718A4"/>
    <w:rsid w:val="00371BEB"/>
    <w:rsid w:val="00372272"/>
    <w:rsid w:val="00372CB2"/>
    <w:rsid w:val="0037310F"/>
    <w:rsid w:val="003733FE"/>
    <w:rsid w:val="00373622"/>
    <w:rsid w:val="003743DD"/>
    <w:rsid w:val="00374ACB"/>
    <w:rsid w:val="00374C3F"/>
    <w:rsid w:val="00374CC4"/>
    <w:rsid w:val="003754D1"/>
    <w:rsid w:val="0037565E"/>
    <w:rsid w:val="0037577B"/>
    <w:rsid w:val="003758DE"/>
    <w:rsid w:val="00376077"/>
    <w:rsid w:val="003762DC"/>
    <w:rsid w:val="00376CAC"/>
    <w:rsid w:val="00376D18"/>
    <w:rsid w:val="00376D44"/>
    <w:rsid w:val="00376ED5"/>
    <w:rsid w:val="00376F9C"/>
    <w:rsid w:val="003770DE"/>
    <w:rsid w:val="003773D6"/>
    <w:rsid w:val="003774B2"/>
    <w:rsid w:val="00377B50"/>
    <w:rsid w:val="003802C7"/>
    <w:rsid w:val="0038065A"/>
    <w:rsid w:val="00380823"/>
    <w:rsid w:val="00380837"/>
    <w:rsid w:val="00380EEF"/>
    <w:rsid w:val="00380F2D"/>
    <w:rsid w:val="00381389"/>
    <w:rsid w:val="003814F8"/>
    <w:rsid w:val="0038155F"/>
    <w:rsid w:val="003819D0"/>
    <w:rsid w:val="00381A63"/>
    <w:rsid w:val="00382653"/>
    <w:rsid w:val="0038268D"/>
    <w:rsid w:val="003826BB"/>
    <w:rsid w:val="003827DB"/>
    <w:rsid w:val="00382E83"/>
    <w:rsid w:val="003832EE"/>
    <w:rsid w:val="00383DA2"/>
    <w:rsid w:val="00383E2F"/>
    <w:rsid w:val="003845A9"/>
    <w:rsid w:val="00384CBB"/>
    <w:rsid w:val="00384D6A"/>
    <w:rsid w:val="00384DD7"/>
    <w:rsid w:val="00384E05"/>
    <w:rsid w:val="003850C9"/>
    <w:rsid w:val="0038520A"/>
    <w:rsid w:val="0038525C"/>
    <w:rsid w:val="00385367"/>
    <w:rsid w:val="00385839"/>
    <w:rsid w:val="00385EC4"/>
    <w:rsid w:val="003869D7"/>
    <w:rsid w:val="00386BA3"/>
    <w:rsid w:val="003879D4"/>
    <w:rsid w:val="0039003C"/>
    <w:rsid w:val="003905DE"/>
    <w:rsid w:val="00390883"/>
    <w:rsid w:val="00390F2C"/>
    <w:rsid w:val="0039110F"/>
    <w:rsid w:val="00391190"/>
    <w:rsid w:val="003911D3"/>
    <w:rsid w:val="003912C1"/>
    <w:rsid w:val="00391584"/>
    <w:rsid w:val="00391905"/>
    <w:rsid w:val="00391F44"/>
    <w:rsid w:val="00391F5D"/>
    <w:rsid w:val="00392153"/>
    <w:rsid w:val="003921D1"/>
    <w:rsid w:val="003922F8"/>
    <w:rsid w:val="00392741"/>
    <w:rsid w:val="00392E57"/>
    <w:rsid w:val="00393361"/>
    <w:rsid w:val="0039346D"/>
    <w:rsid w:val="00393CF4"/>
    <w:rsid w:val="00393E5B"/>
    <w:rsid w:val="00393FAD"/>
    <w:rsid w:val="00394097"/>
    <w:rsid w:val="003942A7"/>
    <w:rsid w:val="003947F8"/>
    <w:rsid w:val="0039549E"/>
    <w:rsid w:val="00395794"/>
    <w:rsid w:val="0039589F"/>
    <w:rsid w:val="003959D1"/>
    <w:rsid w:val="003959F4"/>
    <w:rsid w:val="00395B24"/>
    <w:rsid w:val="00395E49"/>
    <w:rsid w:val="003968CB"/>
    <w:rsid w:val="00396B2D"/>
    <w:rsid w:val="0039700B"/>
    <w:rsid w:val="003978C2"/>
    <w:rsid w:val="00397A5E"/>
    <w:rsid w:val="003A0955"/>
    <w:rsid w:val="003A0C79"/>
    <w:rsid w:val="003A1516"/>
    <w:rsid w:val="003A15E6"/>
    <w:rsid w:val="003A1A87"/>
    <w:rsid w:val="003A1B9F"/>
    <w:rsid w:val="003A1E34"/>
    <w:rsid w:val="003A23A1"/>
    <w:rsid w:val="003A27AA"/>
    <w:rsid w:val="003A2D2C"/>
    <w:rsid w:val="003A2D38"/>
    <w:rsid w:val="003A31D1"/>
    <w:rsid w:val="003A3275"/>
    <w:rsid w:val="003A37F1"/>
    <w:rsid w:val="003A3BEB"/>
    <w:rsid w:val="003A3F67"/>
    <w:rsid w:val="003A4246"/>
    <w:rsid w:val="003A4622"/>
    <w:rsid w:val="003A46E0"/>
    <w:rsid w:val="003A4E4A"/>
    <w:rsid w:val="003A5464"/>
    <w:rsid w:val="003A55EE"/>
    <w:rsid w:val="003A5AAB"/>
    <w:rsid w:val="003A696C"/>
    <w:rsid w:val="003A6B01"/>
    <w:rsid w:val="003A6ECE"/>
    <w:rsid w:val="003A6ED4"/>
    <w:rsid w:val="003A7277"/>
    <w:rsid w:val="003A75A9"/>
    <w:rsid w:val="003A7B68"/>
    <w:rsid w:val="003A7C2B"/>
    <w:rsid w:val="003A7CEF"/>
    <w:rsid w:val="003A7D8B"/>
    <w:rsid w:val="003A7ECC"/>
    <w:rsid w:val="003A7F2D"/>
    <w:rsid w:val="003B0410"/>
    <w:rsid w:val="003B0849"/>
    <w:rsid w:val="003B0AE9"/>
    <w:rsid w:val="003B0F2E"/>
    <w:rsid w:val="003B0FBA"/>
    <w:rsid w:val="003B12B5"/>
    <w:rsid w:val="003B1825"/>
    <w:rsid w:val="003B1936"/>
    <w:rsid w:val="003B19C0"/>
    <w:rsid w:val="003B1C39"/>
    <w:rsid w:val="003B1C55"/>
    <w:rsid w:val="003B1C97"/>
    <w:rsid w:val="003B1E57"/>
    <w:rsid w:val="003B1F4C"/>
    <w:rsid w:val="003B24CD"/>
    <w:rsid w:val="003B276F"/>
    <w:rsid w:val="003B2C72"/>
    <w:rsid w:val="003B2D45"/>
    <w:rsid w:val="003B3319"/>
    <w:rsid w:val="003B3626"/>
    <w:rsid w:val="003B38AD"/>
    <w:rsid w:val="003B403F"/>
    <w:rsid w:val="003B4191"/>
    <w:rsid w:val="003B4A77"/>
    <w:rsid w:val="003B543E"/>
    <w:rsid w:val="003B5545"/>
    <w:rsid w:val="003B57FA"/>
    <w:rsid w:val="003B58B4"/>
    <w:rsid w:val="003B6888"/>
    <w:rsid w:val="003B6AA1"/>
    <w:rsid w:val="003B788A"/>
    <w:rsid w:val="003B7B11"/>
    <w:rsid w:val="003B7C7A"/>
    <w:rsid w:val="003B7E69"/>
    <w:rsid w:val="003C0242"/>
    <w:rsid w:val="003C09C2"/>
    <w:rsid w:val="003C0B45"/>
    <w:rsid w:val="003C0C18"/>
    <w:rsid w:val="003C0C4A"/>
    <w:rsid w:val="003C0D2C"/>
    <w:rsid w:val="003C1333"/>
    <w:rsid w:val="003C16C8"/>
    <w:rsid w:val="003C20FF"/>
    <w:rsid w:val="003C2495"/>
    <w:rsid w:val="003C24F2"/>
    <w:rsid w:val="003C24FE"/>
    <w:rsid w:val="003C2DB5"/>
    <w:rsid w:val="003C34AA"/>
    <w:rsid w:val="003C34FF"/>
    <w:rsid w:val="003C383D"/>
    <w:rsid w:val="003C3B39"/>
    <w:rsid w:val="003C44DA"/>
    <w:rsid w:val="003C4AE4"/>
    <w:rsid w:val="003C4BEB"/>
    <w:rsid w:val="003C50BC"/>
    <w:rsid w:val="003C5259"/>
    <w:rsid w:val="003C5420"/>
    <w:rsid w:val="003C550A"/>
    <w:rsid w:val="003C5A1C"/>
    <w:rsid w:val="003C5F00"/>
    <w:rsid w:val="003C6055"/>
    <w:rsid w:val="003C609D"/>
    <w:rsid w:val="003C63B2"/>
    <w:rsid w:val="003C6457"/>
    <w:rsid w:val="003C69EA"/>
    <w:rsid w:val="003C77FB"/>
    <w:rsid w:val="003C7CA1"/>
    <w:rsid w:val="003C7E8C"/>
    <w:rsid w:val="003D0283"/>
    <w:rsid w:val="003D03D0"/>
    <w:rsid w:val="003D053B"/>
    <w:rsid w:val="003D063A"/>
    <w:rsid w:val="003D08FE"/>
    <w:rsid w:val="003D1379"/>
    <w:rsid w:val="003D17E8"/>
    <w:rsid w:val="003D18BB"/>
    <w:rsid w:val="003D1A80"/>
    <w:rsid w:val="003D1ED2"/>
    <w:rsid w:val="003D2650"/>
    <w:rsid w:val="003D27EA"/>
    <w:rsid w:val="003D2BA8"/>
    <w:rsid w:val="003D2DA7"/>
    <w:rsid w:val="003D2F43"/>
    <w:rsid w:val="003D3149"/>
    <w:rsid w:val="003D31E5"/>
    <w:rsid w:val="003D32F8"/>
    <w:rsid w:val="003D37EC"/>
    <w:rsid w:val="003D415A"/>
    <w:rsid w:val="003D4647"/>
    <w:rsid w:val="003D4B5B"/>
    <w:rsid w:val="003D560C"/>
    <w:rsid w:val="003D5870"/>
    <w:rsid w:val="003D59B8"/>
    <w:rsid w:val="003D5C00"/>
    <w:rsid w:val="003D5F00"/>
    <w:rsid w:val="003D5F1B"/>
    <w:rsid w:val="003D64B9"/>
    <w:rsid w:val="003D6555"/>
    <w:rsid w:val="003D65DB"/>
    <w:rsid w:val="003D6CCA"/>
    <w:rsid w:val="003D6CEA"/>
    <w:rsid w:val="003D6E2A"/>
    <w:rsid w:val="003D6FDE"/>
    <w:rsid w:val="003D716C"/>
    <w:rsid w:val="003D7A45"/>
    <w:rsid w:val="003D7A7A"/>
    <w:rsid w:val="003D7B59"/>
    <w:rsid w:val="003D7F5A"/>
    <w:rsid w:val="003E00AB"/>
    <w:rsid w:val="003E0DA4"/>
    <w:rsid w:val="003E10B6"/>
    <w:rsid w:val="003E111F"/>
    <w:rsid w:val="003E1CA1"/>
    <w:rsid w:val="003E1E3C"/>
    <w:rsid w:val="003E229B"/>
    <w:rsid w:val="003E274D"/>
    <w:rsid w:val="003E288D"/>
    <w:rsid w:val="003E2BA1"/>
    <w:rsid w:val="003E2FFA"/>
    <w:rsid w:val="003E3154"/>
    <w:rsid w:val="003E31FC"/>
    <w:rsid w:val="003E3526"/>
    <w:rsid w:val="003E39DD"/>
    <w:rsid w:val="003E471D"/>
    <w:rsid w:val="003E4A73"/>
    <w:rsid w:val="003E4E40"/>
    <w:rsid w:val="003E5309"/>
    <w:rsid w:val="003E5439"/>
    <w:rsid w:val="003E55A8"/>
    <w:rsid w:val="003E5724"/>
    <w:rsid w:val="003E57C7"/>
    <w:rsid w:val="003E5874"/>
    <w:rsid w:val="003E5EAA"/>
    <w:rsid w:val="003E63BA"/>
    <w:rsid w:val="003E664F"/>
    <w:rsid w:val="003E6781"/>
    <w:rsid w:val="003E6837"/>
    <w:rsid w:val="003E6901"/>
    <w:rsid w:val="003E6C50"/>
    <w:rsid w:val="003E6C6D"/>
    <w:rsid w:val="003E6FBC"/>
    <w:rsid w:val="003E71C9"/>
    <w:rsid w:val="003E72D3"/>
    <w:rsid w:val="003E7649"/>
    <w:rsid w:val="003E7EDA"/>
    <w:rsid w:val="003F061E"/>
    <w:rsid w:val="003F07F2"/>
    <w:rsid w:val="003F07FF"/>
    <w:rsid w:val="003F0F09"/>
    <w:rsid w:val="003F117D"/>
    <w:rsid w:val="003F151B"/>
    <w:rsid w:val="003F193E"/>
    <w:rsid w:val="003F242C"/>
    <w:rsid w:val="003F2554"/>
    <w:rsid w:val="003F2B9A"/>
    <w:rsid w:val="003F2D04"/>
    <w:rsid w:val="003F3238"/>
    <w:rsid w:val="003F34F1"/>
    <w:rsid w:val="003F39B6"/>
    <w:rsid w:val="003F3FD6"/>
    <w:rsid w:val="003F4244"/>
    <w:rsid w:val="003F45CB"/>
    <w:rsid w:val="003F5438"/>
    <w:rsid w:val="003F5A5F"/>
    <w:rsid w:val="003F60DF"/>
    <w:rsid w:val="003F61B4"/>
    <w:rsid w:val="003F6224"/>
    <w:rsid w:val="003F640C"/>
    <w:rsid w:val="003F64ED"/>
    <w:rsid w:val="003F6C2F"/>
    <w:rsid w:val="003F6DBE"/>
    <w:rsid w:val="003F7206"/>
    <w:rsid w:val="00400066"/>
    <w:rsid w:val="004004D3"/>
    <w:rsid w:val="00400514"/>
    <w:rsid w:val="004007D3"/>
    <w:rsid w:val="004008C9"/>
    <w:rsid w:val="00400E97"/>
    <w:rsid w:val="00400ECA"/>
    <w:rsid w:val="00400ED5"/>
    <w:rsid w:val="0040115B"/>
    <w:rsid w:val="00401489"/>
    <w:rsid w:val="00401B43"/>
    <w:rsid w:val="00401F99"/>
    <w:rsid w:val="004020B6"/>
    <w:rsid w:val="00402B52"/>
    <w:rsid w:val="00402D6B"/>
    <w:rsid w:val="00402D98"/>
    <w:rsid w:val="004031D8"/>
    <w:rsid w:val="004033D4"/>
    <w:rsid w:val="004036E6"/>
    <w:rsid w:val="0040418D"/>
    <w:rsid w:val="0040460F"/>
    <w:rsid w:val="0040462F"/>
    <w:rsid w:val="004049C3"/>
    <w:rsid w:val="00404F86"/>
    <w:rsid w:val="00405429"/>
    <w:rsid w:val="00405A05"/>
    <w:rsid w:val="00405E30"/>
    <w:rsid w:val="00405EB9"/>
    <w:rsid w:val="004061A2"/>
    <w:rsid w:val="0040741B"/>
    <w:rsid w:val="00407564"/>
    <w:rsid w:val="00407FE4"/>
    <w:rsid w:val="00410017"/>
    <w:rsid w:val="0041003B"/>
    <w:rsid w:val="00410096"/>
    <w:rsid w:val="0041014E"/>
    <w:rsid w:val="0041017C"/>
    <w:rsid w:val="004104B6"/>
    <w:rsid w:val="004118D2"/>
    <w:rsid w:val="00411AE8"/>
    <w:rsid w:val="00411BDC"/>
    <w:rsid w:val="00411CA5"/>
    <w:rsid w:val="00411D16"/>
    <w:rsid w:val="00412CA0"/>
    <w:rsid w:val="00412D3E"/>
    <w:rsid w:val="004137C8"/>
    <w:rsid w:val="00413858"/>
    <w:rsid w:val="00413B74"/>
    <w:rsid w:val="00414314"/>
    <w:rsid w:val="0041595E"/>
    <w:rsid w:val="0041596D"/>
    <w:rsid w:val="00415E6B"/>
    <w:rsid w:val="00416507"/>
    <w:rsid w:val="00416561"/>
    <w:rsid w:val="004166EA"/>
    <w:rsid w:val="00416797"/>
    <w:rsid w:val="00416816"/>
    <w:rsid w:val="00416CC1"/>
    <w:rsid w:val="00416DC9"/>
    <w:rsid w:val="00417051"/>
    <w:rsid w:val="0041732D"/>
    <w:rsid w:val="004173E2"/>
    <w:rsid w:val="00417A1E"/>
    <w:rsid w:val="0042001A"/>
    <w:rsid w:val="004200B5"/>
    <w:rsid w:val="004200C7"/>
    <w:rsid w:val="004200F2"/>
    <w:rsid w:val="004201D4"/>
    <w:rsid w:val="004204A4"/>
    <w:rsid w:val="0042075A"/>
    <w:rsid w:val="00420A24"/>
    <w:rsid w:val="00421F3B"/>
    <w:rsid w:val="00421F43"/>
    <w:rsid w:val="0042216C"/>
    <w:rsid w:val="00422957"/>
    <w:rsid w:val="00422B37"/>
    <w:rsid w:val="00423301"/>
    <w:rsid w:val="00423304"/>
    <w:rsid w:val="0042344B"/>
    <w:rsid w:val="0042356B"/>
    <w:rsid w:val="0042424C"/>
    <w:rsid w:val="0042442C"/>
    <w:rsid w:val="0042443F"/>
    <w:rsid w:val="00424547"/>
    <w:rsid w:val="00424AA6"/>
    <w:rsid w:val="00424F9E"/>
    <w:rsid w:val="00425028"/>
    <w:rsid w:val="00425155"/>
    <w:rsid w:val="004255DE"/>
    <w:rsid w:val="004258B1"/>
    <w:rsid w:val="00425D7C"/>
    <w:rsid w:val="00425E45"/>
    <w:rsid w:val="00426220"/>
    <w:rsid w:val="004262B5"/>
    <w:rsid w:val="00426432"/>
    <w:rsid w:val="00426A6D"/>
    <w:rsid w:val="00426D46"/>
    <w:rsid w:val="00427401"/>
    <w:rsid w:val="00427E43"/>
    <w:rsid w:val="00427FA9"/>
    <w:rsid w:val="00427FBB"/>
    <w:rsid w:val="004302D3"/>
    <w:rsid w:val="00430BB7"/>
    <w:rsid w:val="0043195C"/>
    <w:rsid w:val="00431DF2"/>
    <w:rsid w:val="00432173"/>
    <w:rsid w:val="00433026"/>
    <w:rsid w:val="00433238"/>
    <w:rsid w:val="00433340"/>
    <w:rsid w:val="0043371E"/>
    <w:rsid w:val="004342F3"/>
    <w:rsid w:val="004342F5"/>
    <w:rsid w:val="00434683"/>
    <w:rsid w:val="00434921"/>
    <w:rsid w:val="004354D8"/>
    <w:rsid w:val="00435719"/>
    <w:rsid w:val="00435C5F"/>
    <w:rsid w:val="00436155"/>
    <w:rsid w:val="00436460"/>
    <w:rsid w:val="0043669E"/>
    <w:rsid w:val="00436777"/>
    <w:rsid w:val="0043679D"/>
    <w:rsid w:val="00436A50"/>
    <w:rsid w:val="00436A73"/>
    <w:rsid w:val="00436B29"/>
    <w:rsid w:val="0043772F"/>
    <w:rsid w:val="00437B0C"/>
    <w:rsid w:val="00437CBE"/>
    <w:rsid w:val="00440979"/>
    <w:rsid w:val="00440C06"/>
    <w:rsid w:val="00441373"/>
    <w:rsid w:val="004414C0"/>
    <w:rsid w:val="00441E4E"/>
    <w:rsid w:val="00441E98"/>
    <w:rsid w:val="00442794"/>
    <w:rsid w:val="0044283B"/>
    <w:rsid w:val="00442B66"/>
    <w:rsid w:val="00442DDC"/>
    <w:rsid w:val="00443446"/>
    <w:rsid w:val="00444B72"/>
    <w:rsid w:val="00444BA4"/>
    <w:rsid w:val="004450BE"/>
    <w:rsid w:val="0044537D"/>
    <w:rsid w:val="004454B5"/>
    <w:rsid w:val="0044599C"/>
    <w:rsid w:val="00445F53"/>
    <w:rsid w:val="004463DC"/>
    <w:rsid w:val="00446554"/>
    <w:rsid w:val="0044664A"/>
    <w:rsid w:val="004468A1"/>
    <w:rsid w:val="00446ACC"/>
    <w:rsid w:val="00447CF8"/>
    <w:rsid w:val="00447D67"/>
    <w:rsid w:val="00447F23"/>
    <w:rsid w:val="004502D1"/>
    <w:rsid w:val="00450F3A"/>
    <w:rsid w:val="0045122F"/>
    <w:rsid w:val="00451238"/>
    <w:rsid w:val="00451BAA"/>
    <w:rsid w:val="00451C45"/>
    <w:rsid w:val="004520DD"/>
    <w:rsid w:val="00452305"/>
    <w:rsid w:val="00452730"/>
    <w:rsid w:val="004527F6"/>
    <w:rsid w:val="00452AD0"/>
    <w:rsid w:val="00452EE7"/>
    <w:rsid w:val="004530BF"/>
    <w:rsid w:val="00453178"/>
    <w:rsid w:val="004532F7"/>
    <w:rsid w:val="004533EA"/>
    <w:rsid w:val="004535B9"/>
    <w:rsid w:val="004539E7"/>
    <w:rsid w:val="00453C19"/>
    <w:rsid w:val="004547A2"/>
    <w:rsid w:val="00454CC8"/>
    <w:rsid w:val="00454CF7"/>
    <w:rsid w:val="00454D57"/>
    <w:rsid w:val="004559A8"/>
    <w:rsid w:val="00455C51"/>
    <w:rsid w:val="004566D8"/>
    <w:rsid w:val="004567FB"/>
    <w:rsid w:val="00456C66"/>
    <w:rsid w:val="004570FF"/>
    <w:rsid w:val="004571FE"/>
    <w:rsid w:val="004572C1"/>
    <w:rsid w:val="00457654"/>
    <w:rsid w:val="00457864"/>
    <w:rsid w:val="00457FE5"/>
    <w:rsid w:val="00460571"/>
    <w:rsid w:val="004605C3"/>
    <w:rsid w:val="004606F0"/>
    <w:rsid w:val="004608DF"/>
    <w:rsid w:val="0046093D"/>
    <w:rsid w:val="004614B0"/>
    <w:rsid w:val="004619DB"/>
    <w:rsid w:val="00461EA5"/>
    <w:rsid w:val="004622CD"/>
    <w:rsid w:val="00462602"/>
    <w:rsid w:val="00462A60"/>
    <w:rsid w:val="00462C5A"/>
    <w:rsid w:val="00462CCD"/>
    <w:rsid w:val="00463660"/>
    <w:rsid w:val="004636F2"/>
    <w:rsid w:val="00463744"/>
    <w:rsid w:val="004637F3"/>
    <w:rsid w:val="00463A98"/>
    <w:rsid w:val="00463DED"/>
    <w:rsid w:val="00464030"/>
    <w:rsid w:val="00464168"/>
    <w:rsid w:val="004643B8"/>
    <w:rsid w:val="004644CF"/>
    <w:rsid w:val="004647DE"/>
    <w:rsid w:val="00464BF3"/>
    <w:rsid w:val="00464C2A"/>
    <w:rsid w:val="00464D51"/>
    <w:rsid w:val="004650A8"/>
    <w:rsid w:val="00465348"/>
    <w:rsid w:val="004653D1"/>
    <w:rsid w:val="0046548E"/>
    <w:rsid w:val="004659E6"/>
    <w:rsid w:val="00465A81"/>
    <w:rsid w:val="00465E06"/>
    <w:rsid w:val="00466199"/>
    <w:rsid w:val="004662C8"/>
    <w:rsid w:val="00466486"/>
    <w:rsid w:val="004669F7"/>
    <w:rsid w:val="0046706B"/>
    <w:rsid w:val="004670FE"/>
    <w:rsid w:val="004671E9"/>
    <w:rsid w:val="004674E5"/>
    <w:rsid w:val="00467839"/>
    <w:rsid w:val="00467B3E"/>
    <w:rsid w:val="004701F0"/>
    <w:rsid w:val="004704FA"/>
    <w:rsid w:val="00470A11"/>
    <w:rsid w:val="00471811"/>
    <w:rsid w:val="00471976"/>
    <w:rsid w:val="00471F6D"/>
    <w:rsid w:val="00472027"/>
    <w:rsid w:val="0047231F"/>
    <w:rsid w:val="00472435"/>
    <w:rsid w:val="004727AC"/>
    <w:rsid w:val="00472CDE"/>
    <w:rsid w:val="00472FF8"/>
    <w:rsid w:val="00473031"/>
    <w:rsid w:val="004739D5"/>
    <w:rsid w:val="0047427A"/>
    <w:rsid w:val="004745E0"/>
    <w:rsid w:val="00474772"/>
    <w:rsid w:val="004749EA"/>
    <w:rsid w:val="00474F64"/>
    <w:rsid w:val="00475D0F"/>
    <w:rsid w:val="00475DE6"/>
    <w:rsid w:val="004764D9"/>
    <w:rsid w:val="004765B5"/>
    <w:rsid w:val="0047661D"/>
    <w:rsid w:val="00476CD7"/>
    <w:rsid w:val="00476F4A"/>
    <w:rsid w:val="004773B5"/>
    <w:rsid w:val="00477769"/>
    <w:rsid w:val="0047789E"/>
    <w:rsid w:val="00477939"/>
    <w:rsid w:val="00477B00"/>
    <w:rsid w:val="00477B9B"/>
    <w:rsid w:val="00477CC4"/>
    <w:rsid w:val="00477D14"/>
    <w:rsid w:val="0048002C"/>
    <w:rsid w:val="004804CF"/>
    <w:rsid w:val="004806EB"/>
    <w:rsid w:val="00480813"/>
    <w:rsid w:val="00480ACF"/>
    <w:rsid w:val="00480AD5"/>
    <w:rsid w:val="00480BB1"/>
    <w:rsid w:val="00480C89"/>
    <w:rsid w:val="004814A8"/>
    <w:rsid w:val="0048160A"/>
    <w:rsid w:val="00481A48"/>
    <w:rsid w:val="00481D3A"/>
    <w:rsid w:val="00481EB4"/>
    <w:rsid w:val="00481ECF"/>
    <w:rsid w:val="004826C2"/>
    <w:rsid w:val="00482938"/>
    <w:rsid w:val="00482952"/>
    <w:rsid w:val="00483314"/>
    <w:rsid w:val="004833A3"/>
    <w:rsid w:val="00483A05"/>
    <w:rsid w:val="00483C9E"/>
    <w:rsid w:val="00483F6C"/>
    <w:rsid w:val="004843EB"/>
    <w:rsid w:val="00484552"/>
    <w:rsid w:val="00484962"/>
    <w:rsid w:val="00484B9B"/>
    <w:rsid w:val="00484C31"/>
    <w:rsid w:val="00484C3F"/>
    <w:rsid w:val="00484CCC"/>
    <w:rsid w:val="00484F6D"/>
    <w:rsid w:val="00484FB7"/>
    <w:rsid w:val="004854B1"/>
    <w:rsid w:val="0048554D"/>
    <w:rsid w:val="00485BCF"/>
    <w:rsid w:val="00486823"/>
    <w:rsid w:val="004868F5"/>
    <w:rsid w:val="0048756D"/>
    <w:rsid w:val="004877E9"/>
    <w:rsid w:val="004879CE"/>
    <w:rsid w:val="004900AD"/>
    <w:rsid w:val="0049066B"/>
    <w:rsid w:val="004914C4"/>
    <w:rsid w:val="00491867"/>
    <w:rsid w:val="00491A84"/>
    <w:rsid w:val="00491B0C"/>
    <w:rsid w:val="00491B72"/>
    <w:rsid w:val="00491BCC"/>
    <w:rsid w:val="00491BFD"/>
    <w:rsid w:val="0049217F"/>
    <w:rsid w:val="00492490"/>
    <w:rsid w:val="00492CF6"/>
    <w:rsid w:val="0049338A"/>
    <w:rsid w:val="00493B3B"/>
    <w:rsid w:val="00493D3B"/>
    <w:rsid w:val="0049417F"/>
    <w:rsid w:val="0049435C"/>
    <w:rsid w:val="00494C68"/>
    <w:rsid w:val="0049505B"/>
    <w:rsid w:val="0049558A"/>
    <w:rsid w:val="00495C1B"/>
    <w:rsid w:val="00495DCE"/>
    <w:rsid w:val="00495DEF"/>
    <w:rsid w:val="00495E44"/>
    <w:rsid w:val="004960FE"/>
    <w:rsid w:val="00496754"/>
    <w:rsid w:val="00496D41"/>
    <w:rsid w:val="00497758"/>
    <w:rsid w:val="00497943"/>
    <w:rsid w:val="004A0171"/>
    <w:rsid w:val="004A07A5"/>
    <w:rsid w:val="004A0AF5"/>
    <w:rsid w:val="004A11A8"/>
    <w:rsid w:val="004A11F5"/>
    <w:rsid w:val="004A127E"/>
    <w:rsid w:val="004A1586"/>
    <w:rsid w:val="004A177E"/>
    <w:rsid w:val="004A1F09"/>
    <w:rsid w:val="004A22C8"/>
    <w:rsid w:val="004A2ED8"/>
    <w:rsid w:val="004A3215"/>
    <w:rsid w:val="004A3440"/>
    <w:rsid w:val="004A3B1F"/>
    <w:rsid w:val="004A423E"/>
    <w:rsid w:val="004A48AB"/>
    <w:rsid w:val="004A4C46"/>
    <w:rsid w:val="004A4E36"/>
    <w:rsid w:val="004A52DB"/>
    <w:rsid w:val="004A53BB"/>
    <w:rsid w:val="004A60D9"/>
    <w:rsid w:val="004A6549"/>
    <w:rsid w:val="004A6602"/>
    <w:rsid w:val="004A67F5"/>
    <w:rsid w:val="004A68FF"/>
    <w:rsid w:val="004A6E9E"/>
    <w:rsid w:val="004A7002"/>
    <w:rsid w:val="004A75D4"/>
    <w:rsid w:val="004A76AA"/>
    <w:rsid w:val="004A795E"/>
    <w:rsid w:val="004A79F3"/>
    <w:rsid w:val="004A7C66"/>
    <w:rsid w:val="004A7C9D"/>
    <w:rsid w:val="004A7EF0"/>
    <w:rsid w:val="004A7F35"/>
    <w:rsid w:val="004B000A"/>
    <w:rsid w:val="004B0101"/>
    <w:rsid w:val="004B02DC"/>
    <w:rsid w:val="004B0369"/>
    <w:rsid w:val="004B0B8A"/>
    <w:rsid w:val="004B0E7D"/>
    <w:rsid w:val="004B1057"/>
    <w:rsid w:val="004B145E"/>
    <w:rsid w:val="004B16AD"/>
    <w:rsid w:val="004B19F2"/>
    <w:rsid w:val="004B1AD6"/>
    <w:rsid w:val="004B1DE8"/>
    <w:rsid w:val="004B1E46"/>
    <w:rsid w:val="004B2237"/>
    <w:rsid w:val="004B24C0"/>
    <w:rsid w:val="004B27C8"/>
    <w:rsid w:val="004B2960"/>
    <w:rsid w:val="004B3A53"/>
    <w:rsid w:val="004B3A8F"/>
    <w:rsid w:val="004B3DD8"/>
    <w:rsid w:val="004B3E0F"/>
    <w:rsid w:val="004B3EFA"/>
    <w:rsid w:val="004B4A65"/>
    <w:rsid w:val="004B5C78"/>
    <w:rsid w:val="004B6F25"/>
    <w:rsid w:val="004B72B5"/>
    <w:rsid w:val="004B7360"/>
    <w:rsid w:val="004B7738"/>
    <w:rsid w:val="004B7739"/>
    <w:rsid w:val="004B7866"/>
    <w:rsid w:val="004B7D5B"/>
    <w:rsid w:val="004B7F7A"/>
    <w:rsid w:val="004C0174"/>
    <w:rsid w:val="004C036A"/>
    <w:rsid w:val="004C06A2"/>
    <w:rsid w:val="004C0B13"/>
    <w:rsid w:val="004C0DCF"/>
    <w:rsid w:val="004C0F15"/>
    <w:rsid w:val="004C1352"/>
    <w:rsid w:val="004C15B0"/>
    <w:rsid w:val="004C19FF"/>
    <w:rsid w:val="004C1A65"/>
    <w:rsid w:val="004C1B42"/>
    <w:rsid w:val="004C1C6A"/>
    <w:rsid w:val="004C2A87"/>
    <w:rsid w:val="004C2ECA"/>
    <w:rsid w:val="004C3225"/>
    <w:rsid w:val="004C37E9"/>
    <w:rsid w:val="004C40FE"/>
    <w:rsid w:val="004C4892"/>
    <w:rsid w:val="004C4C28"/>
    <w:rsid w:val="004C4D7B"/>
    <w:rsid w:val="004C4ED3"/>
    <w:rsid w:val="004C53AF"/>
    <w:rsid w:val="004C5C62"/>
    <w:rsid w:val="004C5E78"/>
    <w:rsid w:val="004C5E91"/>
    <w:rsid w:val="004C64A9"/>
    <w:rsid w:val="004C667B"/>
    <w:rsid w:val="004C667D"/>
    <w:rsid w:val="004C6CEC"/>
    <w:rsid w:val="004C7155"/>
    <w:rsid w:val="004C782F"/>
    <w:rsid w:val="004C7917"/>
    <w:rsid w:val="004C7D5F"/>
    <w:rsid w:val="004C7DD1"/>
    <w:rsid w:val="004C7ECD"/>
    <w:rsid w:val="004D0192"/>
    <w:rsid w:val="004D0475"/>
    <w:rsid w:val="004D0FDA"/>
    <w:rsid w:val="004D1531"/>
    <w:rsid w:val="004D1642"/>
    <w:rsid w:val="004D180C"/>
    <w:rsid w:val="004D1A28"/>
    <w:rsid w:val="004D1B60"/>
    <w:rsid w:val="004D1E73"/>
    <w:rsid w:val="004D25E8"/>
    <w:rsid w:val="004D27D4"/>
    <w:rsid w:val="004D2CF3"/>
    <w:rsid w:val="004D2EA5"/>
    <w:rsid w:val="004D32A6"/>
    <w:rsid w:val="004D3A63"/>
    <w:rsid w:val="004D3CBD"/>
    <w:rsid w:val="004D4B8C"/>
    <w:rsid w:val="004D4DA4"/>
    <w:rsid w:val="004D53E5"/>
    <w:rsid w:val="004D6175"/>
    <w:rsid w:val="004D61C4"/>
    <w:rsid w:val="004D6BDD"/>
    <w:rsid w:val="004D6D78"/>
    <w:rsid w:val="004D7001"/>
    <w:rsid w:val="004D742F"/>
    <w:rsid w:val="004D7485"/>
    <w:rsid w:val="004D7950"/>
    <w:rsid w:val="004D7FAC"/>
    <w:rsid w:val="004E0210"/>
    <w:rsid w:val="004E0607"/>
    <w:rsid w:val="004E0644"/>
    <w:rsid w:val="004E07E2"/>
    <w:rsid w:val="004E080D"/>
    <w:rsid w:val="004E09D1"/>
    <w:rsid w:val="004E0DB7"/>
    <w:rsid w:val="004E0E63"/>
    <w:rsid w:val="004E153C"/>
    <w:rsid w:val="004E1916"/>
    <w:rsid w:val="004E1929"/>
    <w:rsid w:val="004E19A2"/>
    <w:rsid w:val="004E1CA1"/>
    <w:rsid w:val="004E2493"/>
    <w:rsid w:val="004E276C"/>
    <w:rsid w:val="004E27DA"/>
    <w:rsid w:val="004E3011"/>
    <w:rsid w:val="004E38B4"/>
    <w:rsid w:val="004E3D0F"/>
    <w:rsid w:val="004E41E4"/>
    <w:rsid w:val="004E44C8"/>
    <w:rsid w:val="004E48BE"/>
    <w:rsid w:val="004E4A56"/>
    <w:rsid w:val="004E4FC3"/>
    <w:rsid w:val="004E5D70"/>
    <w:rsid w:val="004E6421"/>
    <w:rsid w:val="004E6DC4"/>
    <w:rsid w:val="004E7465"/>
    <w:rsid w:val="004E7A12"/>
    <w:rsid w:val="004E7EB1"/>
    <w:rsid w:val="004F0014"/>
    <w:rsid w:val="004F010F"/>
    <w:rsid w:val="004F061A"/>
    <w:rsid w:val="004F07E7"/>
    <w:rsid w:val="004F0C6A"/>
    <w:rsid w:val="004F0DE6"/>
    <w:rsid w:val="004F12B1"/>
    <w:rsid w:val="004F1A69"/>
    <w:rsid w:val="004F1B8F"/>
    <w:rsid w:val="004F1C08"/>
    <w:rsid w:val="004F1F82"/>
    <w:rsid w:val="004F1FAD"/>
    <w:rsid w:val="004F21C1"/>
    <w:rsid w:val="004F21DF"/>
    <w:rsid w:val="004F29DF"/>
    <w:rsid w:val="004F30CF"/>
    <w:rsid w:val="004F32D5"/>
    <w:rsid w:val="004F33BD"/>
    <w:rsid w:val="004F3643"/>
    <w:rsid w:val="004F38BB"/>
    <w:rsid w:val="004F3AED"/>
    <w:rsid w:val="004F3B32"/>
    <w:rsid w:val="004F3C84"/>
    <w:rsid w:val="004F4718"/>
    <w:rsid w:val="004F49F4"/>
    <w:rsid w:val="004F4C4F"/>
    <w:rsid w:val="004F528F"/>
    <w:rsid w:val="004F53FD"/>
    <w:rsid w:val="004F61BB"/>
    <w:rsid w:val="004F64E6"/>
    <w:rsid w:val="004F64FC"/>
    <w:rsid w:val="004F6B02"/>
    <w:rsid w:val="004F6D71"/>
    <w:rsid w:val="004F700A"/>
    <w:rsid w:val="004F71A3"/>
    <w:rsid w:val="004F755A"/>
    <w:rsid w:val="004F7567"/>
    <w:rsid w:val="004F76C7"/>
    <w:rsid w:val="004F7A9A"/>
    <w:rsid w:val="004F7E41"/>
    <w:rsid w:val="0050050C"/>
    <w:rsid w:val="00500D60"/>
    <w:rsid w:val="00500E44"/>
    <w:rsid w:val="00501346"/>
    <w:rsid w:val="0050175D"/>
    <w:rsid w:val="00501A12"/>
    <w:rsid w:val="00501E4C"/>
    <w:rsid w:val="0050205C"/>
    <w:rsid w:val="00502235"/>
    <w:rsid w:val="005023E2"/>
    <w:rsid w:val="00502873"/>
    <w:rsid w:val="00502D0C"/>
    <w:rsid w:val="00502D50"/>
    <w:rsid w:val="0050309C"/>
    <w:rsid w:val="005031D4"/>
    <w:rsid w:val="00503221"/>
    <w:rsid w:val="005032FB"/>
    <w:rsid w:val="00503625"/>
    <w:rsid w:val="005036D1"/>
    <w:rsid w:val="005037B1"/>
    <w:rsid w:val="00503BB3"/>
    <w:rsid w:val="00503BE8"/>
    <w:rsid w:val="00503D58"/>
    <w:rsid w:val="00504412"/>
    <w:rsid w:val="005046BA"/>
    <w:rsid w:val="005047AE"/>
    <w:rsid w:val="00504818"/>
    <w:rsid w:val="005048C0"/>
    <w:rsid w:val="00505854"/>
    <w:rsid w:val="00505F4C"/>
    <w:rsid w:val="0050626E"/>
    <w:rsid w:val="00506330"/>
    <w:rsid w:val="00506957"/>
    <w:rsid w:val="00506C88"/>
    <w:rsid w:val="00507B62"/>
    <w:rsid w:val="00507B87"/>
    <w:rsid w:val="00507CDD"/>
    <w:rsid w:val="0051011C"/>
    <w:rsid w:val="00510195"/>
    <w:rsid w:val="00510641"/>
    <w:rsid w:val="00510B94"/>
    <w:rsid w:val="00510C36"/>
    <w:rsid w:val="00510D4D"/>
    <w:rsid w:val="00511367"/>
    <w:rsid w:val="0051178B"/>
    <w:rsid w:val="00511EE4"/>
    <w:rsid w:val="00512495"/>
    <w:rsid w:val="00512598"/>
    <w:rsid w:val="00512629"/>
    <w:rsid w:val="00512922"/>
    <w:rsid w:val="00513068"/>
    <w:rsid w:val="00513270"/>
    <w:rsid w:val="0051327C"/>
    <w:rsid w:val="0051334C"/>
    <w:rsid w:val="0051346D"/>
    <w:rsid w:val="005135B3"/>
    <w:rsid w:val="005135E6"/>
    <w:rsid w:val="00513EAE"/>
    <w:rsid w:val="00514219"/>
    <w:rsid w:val="005142BB"/>
    <w:rsid w:val="0051434F"/>
    <w:rsid w:val="00514A8C"/>
    <w:rsid w:val="00515039"/>
    <w:rsid w:val="005150A0"/>
    <w:rsid w:val="005159F8"/>
    <w:rsid w:val="00515D5F"/>
    <w:rsid w:val="00515FF1"/>
    <w:rsid w:val="0051652A"/>
    <w:rsid w:val="00516806"/>
    <w:rsid w:val="00517065"/>
    <w:rsid w:val="00517323"/>
    <w:rsid w:val="0051743C"/>
    <w:rsid w:val="00517613"/>
    <w:rsid w:val="00517E1A"/>
    <w:rsid w:val="00520312"/>
    <w:rsid w:val="0052098C"/>
    <w:rsid w:val="00520D7A"/>
    <w:rsid w:val="005211B7"/>
    <w:rsid w:val="00521411"/>
    <w:rsid w:val="00521602"/>
    <w:rsid w:val="005219C4"/>
    <w:rsid w:val="0052200E"/>
    <w:rsid w:val="00522200"/>
    <w:rsid w:val="00522240"/>
    <w:rsid w:val="005228D4"/>
    <w:rsid w:val="00522E6F"/>
    <w:rsid w:val="005234A1"/>
    <w:rsid w:val="005234CE"/>
    <w:rsid w:val="0052382B"/>
    <w:rsid w:val="00523A5D"/>
    <w:rsid w:val="00523E6B"/>
    <w:rsid w:val="005242FB"/>
    <w:rsid w:val="00525A49"/>
    <w:rsid w:val="00525AA5"/>
    <w:rsid w:val="005262D1"/>
    <w:rsid w:val="00526604"/>
    <w:rsid w:val="005268BC"/>
    <w:rsid w:val="00526C4B"/>
    <w:rsid w:val="00527395"/>
    <w:rsid w:val="005275EC"/>
    <w:rsid w:val="00527D6F"/>
    <w:rsid w:val="0053039C"/>
    <w:rsid w:val="00530516"/>
    <w:rsid w:val="00530876"/>
    <w:rsid w:val="00530CCC"/>
    <w:rsid w:val="005322EE"/>
    <w:rsid w:val="005324CF"/>
    <w:rsid w:val="00532967"/>
    <w:rsid w:val="00532E33"/>
    <w:rsid w:val="00532FE4"/>
    <w:rsid w:val="005332BD"/>
    <w:rsid w:val="00533938"/>
    <w:rsid w:val="00533C27"/>
    <w:rsid w:val="00534A8C"/>
    <w:rsid w:val="00534C7E"/>
    <w:rsid w:val="00534E0F"/>
    <w:rsid w:val="00534F62"/>
    <w:rsid w:val="00535167"/>
    <w:rsid w:val="00535177"/>
    <w:rsid w:val="005352B1"/>
    <w:rsid w:val="005353EC"/>
    <w:rsid w:val="00535613"/>
    <w:rsid w:val="00535816"/>
    <w:rsid w:val="005359EB"/>
    <w:rsid w:val="00535C3C"/>
    <w:rsid w:val="00535CD6"/>
    <w:rsid w:val="00536716"/>
    <w:rsid w:val="00536887"/>
    <w:rsid w:val="00536925"/>
    <w:rsid w:val="00536A4B"/>
    <w:rsid w:val="0053742C"/>
    <w:rsid w:val="00537617"/>
    <w:rsid w:val="00537C31"/>
    <w:rsid w:val="00540961"/>
    <w:rsid w:val="0054109A"/>
    <w:rsid w:val="005416F3"/>
    <w:rsid w:val="00541F11"/>
    <w:rsid w:val="00542029"/>
    <w:rsid w:val="005422C8"/>
    <w:rsid w:val="0054254A"/>
    <w:rsid w:val="0054263D"/>
    <w:rsid w:val="00542811"/>
    <w:rsid w:val="00542A4A"/>
    <w:rsid w:val="005433C4"/>
    <w:rsid w:val="00543A5E"/>
    <w:rsid w:val="00543D58"/>
    <w:rsid w:val="00544128"/>
    <w:rsid w:val="0054450C"/>
    <w:rsid w:val="00544D49"/>
    <w:rsid w:val="0054500B"/>
    <w:rsid w:val="005451CE"/>
    <w:rsid w:val="00545362"/>
    <w:rsid w:val="0054576E"/>
    <w:rsid w:val="00545863"/>
    <w:rsid w:val="00545BC0"/>
    <w:rsid w:val="00545EFC"/>
    <w:rsid w:val="005466B5"/>
    <w:rsid w:val="005469AC"/>
    <w:rsid w:val="00546C8A"/>
    <w:rsid w:val="00546EE5"/>
    <w:rsid w:val="00546FAA"/>
    <w:rsid w:val="005477F9"/>
    <w:rsid w:val="00547D7D"/>
    <w:rsid w:val="00550E2D"/>
    <w:rsid w:val="0055122A"/>
    <w:rsid w:val="0055131A"/>
    <w:rsid w:val="00551383"/>
    <w:rsid w:val="00551398"/>
    <w:rsid w:val="00551D4B"/>
    <w:rsid w:val="0055224A"/>
    <w:rsid w:val="00552683"/>
    <w:rsid w:val="00552828"/>
    <w:rsid w:val="0055298C"/>
    <w:rsid w:val="00552B42"/>
    <w:rsid w:val="00553363"/>
    <w:rsid w:val="005533DF"/>
    <w:rsid w:val="005537AF"/>
    <w:rsid w:val="00553DFF"/>
    <w:rsid w:val="00553F05"/>
    <w:rsid w:val="0055409D"/>
    <w:rsid w:val="00554221"/>
    <w:rsid w:val="00554314"/>
    <w:rsid w:val="00554A42"/>
    <w:rsid w:val="00554E4D"/>
    <w:rsid w:val="00555391"/>
    <w:rsid w:val="00555595"/>
    <w:rsid w:val="00555703"/>
    <w:rsid w:val="005558BD"/>
    <w:rsid w:val="00556916"/>
    <w:rsid w:val="005569FB"/>
    <w:rsid w:val="00556A97"/>
    <w:rsid w:val="00556D4F"/>
    <w:rsid w:val="00557216"/>
    <w:rsid w:val="00557577"/>
    <w:rsid w:val="00557605"/>
    <w:rsid w:val="0055767C"/>
    <w:rsid w:val="00557F06"/>
    <w:rsid w:val="005604B7"/>
    <w:rsid w:val="005608CD"/>
    <w:rsid w:val="00560C70"/>
    <w:rsid w:val="00560E0A"/>
    <w:rsid w:val="00562829"/>
    <w:rsid w:val="005629B3"/>
    <w:rsid w:val="00562F52"/>
    <w:rsid w:val="00563A95"/>
    <w:rsid w:val="00563D86"/>
    <w:rsid w:val="005641B3"/>
    <w:rsid w:val="00564684"/>
    <w:rsid w:val="005646A4"/>
    <w:rsid w:val="00564B10"/>
    <w:rsid w:val="00564D36"/>
    <w:rsid w:val="00564F10"/>
    <w:rsid w:val="00565181"/>
    <w:rsid w:val="005652D9"/>
    <w:rsid w:val="00565E05"/>
    <w:rsid w:val="00566147"/>
    <w:rsid w:val="005661B7"/>
    <w:rsid w:val="005662AA"/>
    <w:rsid w:val="005663CB"/>
    <w:rsid w:val="005663F8"/>
    <w:rsid w:val="00566688"/>
    <w:rsid w:val="005667B9"/>
    <w:rsid w:val="00566A28"/>
    <w:rsid w:val="00567C52"/>
    <w:rsid w:val="00567E3D"/>
    <w:rsid w:val="00567EE5"/>
    <w:rsid w:val="00567F16"/>
    <w:rsid w:val="005703D0"/>
    <w:rsid w:val="0057076B"/>
    <w:rsid w:val="005708AF"/>
    <w:rsid w:val="00570B76"/>
    <w:rsid w:val="00570C88"/>
    <w:rsid w:val="00570F79"/>
    <w:rsid w:val="00571243"/>
    <w:rsid w:val="0057128A"/>
    <w:rsid w:val="00571610"/>
    <w:rsid w:val="005724F6"/>
    <w:rsid w:val="00572CD4"/>
    <w:rsid w:val="005731B2"/>
    <w:rsid w:val="005739BC"/>
    <w:rsid w:val="00573AC4"/>
    <w:rsid w:val="00573F05"/>
    <w:rsid w:val="00573F1A"/>
    <w:rsid w:val="0057404E"/>
    <w:rsid w:val="00574174"/>
    <w:rsid w:val="005748CC"/>
    <w:rsid w:val="00574AE4"/>
    <w:rsid w:val="00574E32"/>
    <w:rsid w:val="0057516E"/>
    <w:rsid w:val="005753EA"/>
    <w:rsid w:val="005762E7"/>
    <w:rsid w:val="00576761"/>
    <w:rsid w:val="005769BE"/>
    <w:rsid w:val="00576B6D"/>
    <w:rsid w:val="00576DC5"/>
    <w:rsid w:val="00577111"/>
    <w:rsid w:val="005775BD"/>
    <w:rsid w:val="0057766F"/>
    <w:rsid w:val="00577CA8"/>
    <w:rsid w:val="0058000A"/>
    <w:rsid w:val="00580185"/>
    <w:rsid w:val="005801FC"/>
    <w:rsid w:val="00580538"/>
    <w:rsid w:val="00580788"/>
    <w:rsid w:val="00580883"/>
    <w:rsid w:val="005817DF"/>
    <w:rsid w:val="00581D53"/>
    <w:rsid w:val="00581E96"/>
    <w:rsid w:val="00581FC5"/>
    <w:rsid w:val="00582524"/>
    <w:rsid w:val="00582B07"/>
    <w:rsid w:val="00582D56"/>
    <w:rsid w:val="00582DA2"/>
    <w:rsid w:val="00582FE9"/>
    <w:rsid w:val="005835D2"/>
    <w:rsid w:val="00583B58"/>
    <w:rsid w:val="00583E5C"/>
    <w:rsid w:val="00583F76"/>
    <w:rsid w:val="0058424B"/>
    <w:rsid w:val="00584283"/>
    <w:rsid w:val="00584312"/>
    <w:rsid w:val="005847FF"/>
    <w:rsid w:val="00585078"/>
    <w:rsid w:val="00585BA9"/>
    <w:rsid w:val="00585F28"/>
    <w:rsid w:val="00586C6D"/>
    <w:rsid w:val="0058710C"/>
    <w:rsid w:val="00587359"/>
    <w:rsid w:val="005876AD"/>
    <w:rsid w:val="00587A2F"/>
    <w:rsid w:val="00587A70"/>
    <w:rsid w:val="00587D8A"/>
    <w:rsid w:val="0059003A"/>
    <w:rsid w:val="00590520"/>
    <w:rsid w:val="005909DF"/>
    <w:rsid w:val="00590C43"/>
    <w:rsid w:val="00590E4A"/>
    <w:rsid w:val="00591041"/>
    <w:rsid w:val="005914EE"/>
    <w:rsid w:val="005916A6"/>
    <w:rsid w:val="005917C8"/>
    <w:rsid w:val="00591927"/>
    <w:rsid w:val="00592D63"/>
    <w:rsid w:val="00592D92"/>
    <w:rsid w:val="00593532"/>
    <w:rsid w:val="0059429E"/>
    <w:rsid w:val="00594672"/>
    <w:rsid w:val="00595016"/>
    <w:rsid w:val="0059514A"/>
    <w:rsid w:val="00595D81"/>
    <w:rsid w:val="00595D93"/>
    <w:rsid w:val="005960EE"/>
    <w:rsid w:val="005962DD"/>
    <w:rsid w:val="00596510"/>
    <w:rsid w:val="00596785"/>
    <w:rsid w:val="00596C61"/>
    <w:rsid w:val="00596CF5"/>
    <w:rsid w:val="00596DE8"/>
    <w:rsid w:val="00596FCF"/>
    <w:rsid w:val="00597441"/>
    <w:rsid w:val="00597563"/>
    <w:rsid w:val="00597644"/>
    <w:rsid w:val="0059779B"/>
    <w:rsid w:val="005978A0"/>
    <w:rsid w:val="00597A52"/>
    <w:rsid w:val="00597AAE"/>
    <w:rsid w:val="00597BF6"/>
    <w:rsid w:val="005A0050"/>
    <w:rsid w:val="005A00D1"/>
    <w:rsid w:val="005A0111"/>
    <w:rsid w:val="005A03A3"/>
    <w:rsid w:val="005A045C"/>
    <w:rsid w:val="005A060F"/>
    <w:rsid w:val="005A0655"/>
    <w:rsid w:val="005A06CB"/>
    <w:rsid w:val="005A0730"/>
    <w:rsid w:val="005A089C"/>
    <w:rsid w:val="005A09EB"/>
    <w:rsid w:val="005A0F49"/>
    <w:rsid w:val="005A1428"/>
    <w:rsid w:val="005A1A9B"/>
    <w:rsid w:val="005A1CCE"/>
    <w:rsid w:val="005A222A"/>
    <w:rsid w:val="005A222C"/>
    <w:rsid w:val="005A25F1"/>
    <w:rsid w:val="005A274B"/>
    <w:rsid w:val="005A2779"/>
    <w:rsid w:val="005A2A64"/>
    <w:rsid w:val="005A2AC3"/>
    <w:rsid w:val="005A32B8"/>
    <w:rsid w:val="005A3868"/>
    <w:rsid w:val="005A3993"/>
    <w:rsid w:val="005A3EE3"/>
    <w:rsid w:val="005A404F"/>
    <w:rsid w:val="005A4401"/>
    <w:rsid w:val="005A491E"/>
    <w:rsid w:val="005A4DF8"/>
    <w:rsid w:val="005A4E3D"/>
    <w:rsid w:val="005A5102"/>
    <w:rsid w:val="005A5723"/>
    <w:rsid w:val="005A5D37"/>
    <w:rsid w:val="005A5E81"/>
    <w:rsid w:val="005A61AA"/>
    <w:rsid w:val="005A62F8"/>
    <w:rsid w:val="005A67EE"/>
    <w:rsid w:val="005A69F7"/>
    <w:rsid w:val="005A6ED3"/>
    <w:rsid w:val="005A7516"/>
    <w:rsid w:val="005A78C8"/>
    <w:rsid w:val="005B00EA"/>
    <w:rsid w:val="005B0155"/>
    <w:rsid w:val="005B038F"/>
    <w:rsid w:val="005B03ED"/>
    <w:rsid w:val="005B08ED"/>
    <w:rsid w:val="005B099E"/>
    <w:rsid w:val="005B0BAB"/>
    <w:rsid w:val="005B0DA0"/>
    <w:rsid w:val="005B111B"/>
    <w:rsid w:val="005B1276"/>
    <w:rsid w:val="005B1426"/>
    <w:rsid w:val="005B154B"/>
    <w:rsid w:val="005B160C"/>
    <w:rsid w:val="005B1650"/>
    <w:rsid w:val="005B1705"/>
    <w:rsid w:val="005B1E1B"/>
    <w:rsid w:val="005B1F26"/>
    <w:rsid w:val="005B2146"/>
    <w:rsid w:val="005B23E4"/>
    <w:rsid w:val="005B2A37"/>
    <w:rsid w:val="005B2A48"/>
    <w:rsid w:val="005B3AF5"/>
    <w:rsid w:val="005B3BC0"/>
    <w:rsid w:val="005B3F5F"/>
    <w:rsid w:val="005B40F9"/>
    <w:rsid w:val="005B5069"/>
    <w:rsid w:val="005B5083"/>
    <w:rsid w:val="005B5F0C"/>
    <w:rsid w:val="005B63E8"/>
    <w:rsid w:val="005B6447"/>
    <w:rsid w:val="005B74A4"/>
    <w:rsid w:val="005B759C"/>
    <w:rsid w:val="005B76F7"/>
    <w:rsid w:val="005B7840"/>
    <w:rsid w:val="005B7B24"/>
    <w:rsid w:val="005B7F81"/>
    <w:rsid w:val="005C00E6"/>
    <w:rsid w:val="005C0218"/>
    <w:rsid w:val="005C0291"/>
    <w:rsid w:val="005C07A5"/>
    <w:rsid w:val="005C092E"/>
    <w:rsid w:val="005C09F1"/>
    <w:rsid w:val="005C0A8E"/>
    <w:rsid w:val="005C1602"/>
    <w:rsid w:val="005C1767"/>
    <w:rsid w:val="005C185C"/>
    <w:rsid w:val="005C1A71"/>
    <w:rsid w:val="005C1E9E"/>
    <w:rsid w:val="005C1EC0"/>
    <w:rsid w:val="005C2146"/>
    <w:rsid w:val="005C2175"/>
    <w:rsid w:val="005C252C"/>
    <w:rsid w:val="005C28BE"/>
    <w:rsid w:val="005C29EF"/>
    <w:rsid w:val="005C29F9"/>
    <w:rsid w:val="005C2D36"/>
    <w:rsid w:val="005C34BB"/>
    <w:rsid w:val="005C3E77"/>
    <w:rsid w:val="005C40EB"/>
    <w:rsid w:val="005C42EF"/>
    <w:rsid w:val="005C4465"/>
    <w:rsid w:val="005C4EEB"/>
    <w:rsid w:val="005C5333"/>
    <w:rsid w:val="005C5426"/>
    <w:rsid w:val="005C5468"/>
    <w:rsid w:val="005C55EA"/>
    <w:rsid w:val="005C5781"/>
    <w:rsid w:val="005C5C18"/>
    <w:rsid w:val="005C5D71"/>
    <w:rsid w:val="005C662A"/>
    <w:rsid w:val="005C6672"/>
    <w:rsid w:val="005C68AD"/>
    <w:rsid w:val="005C6A56"/>
    <w:rsid w:val="005C727C"/>
    <w:rsid w:val="005C7A15"/>
    <w:rsid w:val="005D07E9"/>
    <w:rsid w:val="005D0B38"/>
    <w:rsid w:val="005D0E56"/>
    <w:rsid w:val="005D0EEF"/>
    <w:rsid w:val="005D1397"/>
    <w:rsid w:val="005D181C"/>
    <w:rsid w:val="005D1ABC"/>
    <w:rsid w:val="005D253E"/>
    <w:rsid w:val="005D25E3"/>
    <w:rsid w:val="005D2691"/>
    <w:rsid w:val="005D2701"/>
    <w:rsid w:val="005D284B"/>
    <w:rsid w:val="005D2915"/>
    <w:rsid w:val="005D2D82"/>
    <w:rsid w:val="005D327E"/>
    <w:rsid w:val="005D3556"/>
    <w:rsid w:val="005D3591"/>
    <w:rsid w:val="005D39E7"/>
    <w:rsid w:val="005D40B1"/>
    <w:rsid w:val="005D45B5"/>
    <w:rsid w:val="005D49EA"/>
    <w:rsid w:val="005D4AC5"/>
    <w:rsid w:val="005D4B9B"/>
    <w:rsid w:val="005D524F"/>
    <w:rsid w:val="005D54DA"/>
    <w:rsid w:val="005D58BA"/>
    <w:rsid w:val="005D5CC3"/>
    <w:rsid w:val="005D5F49"/>
    <w:rsid w:val="005D5FA2"/>
    <w:rsid w:val="005D642F"/>
    <w:rsid w:val="005D6A58"/>
    <w:rsid w:val="005D705E"/>
    <w:rsid w:val="005D7180"/>
    <w:rsid w:val="005D75F0"/>
    <w:rsid w:val="005D7869"/>
    <w:rsid w:val="005E0134"/>
    <w:rsid w:val="005E02F5"/>
    <w:rsid w:val="005E0510"/>
    <w:rsid w:val="005E0EF5"/>
    <w:rsid w:val="005E1561"/>
    <w:rsid w:val="005E176E"/>
    <w:rsid w:val="005E18B2"/>
    <w:rsid w:val="005E1D90"/>
    <w:rsid w:val="005E218E"/>
    <w:rsid w:val="005E2354"/>
    <w:rsid w:val="005E24D4"/>
    <w:rsid w:val="005E2731"/>
    <w:rsid w:val="005E27BF"/>
    <w:rsid w:val="005E27F4"/>
    <w:rsid w:val="005E285D"/>
    <w:rsid w:val="005E35A0"/>
    <w:rsid w:val="005E3CE8"/>
    <w:rsid w:val="005E4339"/>
    <w:rsid w:val="005E4399"/>
    <w:rsid w:val="005E45BC"/>
    <w:rsid w:val="005E4641"/>
    <w:rsid w:val="005E5429"/>
    <w:rsid w:val="005E5491"/>
    <w:rsid w:val="005E585B"/>
    <w:rsid w:val="005E58A8"/>
    <w:rsid w:val="005E5990"/>
    <w:rsid w:val="005E5DC5"/>
    <w:rsid w:val="005E5EFA"/>
    <w:rsid w:val="005E6024"/>
    <w:rsid w:val="005E6702"/>
    <w:rsid w:val="005E6EA5"/>
    <w:rsid w:val="005E6F4D"/>
    <w:rsid w:val="005E7933"/>
    <w:rsid w:val="005E795E"/>
    <w:rsid w:val="005E7AFE"/>
    <w:rsid w:val="005E7CE7"/>
    <w:rsid w:val="005E7FF9"/>
    <w:rsid w:val="005F0186"/>
    <w:rsid w:val="005F0439"/>
    <w:rsid w:val="005F0497"/>
    <w:rsid w:val="005F054D"/>
    <w:rsid w:val="005F0D1B"/>
    <w:rsid w:val="005F0F0F"/>
    <w:rsid w:val="005F11AA"/>
    <w:rsid w:val="005F162B"/>
    <w:rsid w:val="005F17E3"/>
    <w:rsid w:val="005F1865"/>
    <w:rsid w:val="005F1B05"/>
    <w:rsid w:val="005F1B56"/>
    <w:rsid w:val="005F1B82"/>
    <w:rsid w:val="005F1CD0"/>
    <w:rsid w:val="005F20BC"/>
    <w:rsid w:val="005F2736"/>
    <w:rsid w:val="005F3316"/>
    <w:rsid w:val="005F33EE"/>
    <w:rsid w:val="005F383C"/>
    <w:rsid w:val="005F3877"/>
    <w:rsid w:val="005F4214"/>
    <w:rsid w:val="005F4338"/>
    <w:rsid w:val="005F4429"/>
    <w:rsid w:val="005F45B4"/>
    <w:rsid w:val="005F49A2"/>
    <w:rsid w:val="005F5603"/>
    <w:rsid w:val="005F5839"/>
    <w:rsid w:val="005F59E9"/>
    <w:rsid w:val="005F5C5D"/>
    <w:rsid w:val="005F5E3F"/>
    <w:rsid w:val="005F649F"/>
    <w:rsid w:val="005F651D"/>
    <w:rsid w:val="005F652F"/>
    <w:rsid w:val="005F686F"/>
    <w:rsid w:val="005F6D5F"/>
    <w:rsid w:val="005F6E42"/>
    <w:rsid w:val="005F6FAD"/>
    <w:rsid w:val="005F7A0E"/>
    <w:rsid w:val="006002BC"/>
    <w:rsid w:val="00600417"/>
    <w:rsid w:val="006004FE"/>
    <w:rsid w:val="006007BD"/>
    <w:rsid w:val="0060105C"/>
    <w:rsid w:val="00601235"/>
    <w:rsid w:val="006013C8"/>
    <w:rsid w:val="006016BF"/>
    <w:rsid w:val="006016C7"/>
    <w:rsid w:val="006018BF"/>
    <w:rsid w:val="006018D3"/>
    <w:rsid w:val="00601EEC"/>
    <w:rsid w:val="0060270D"/>
    <w:rsid w:val="00602C3F"/>
    <w:rsid w:val="00604342"/>
    <w:rsid w:val="0060453B"/>
    <w:rsid w:val="00604611"/>
    <w:rsid w:val="006052DE"/>
    <w:rsid w:val="00605463"/>
    <w:rsid w:val="006057B6"/>
    <w:rsid w:val="006066F0"/>
    <w:rsid w:val="00606E61"/>
    <w:rsid w:val="00607522"/>
    <w:rsid w:val="0060752A"/>
    <w:rsid w:val="006077E1"/>
    <w:rsid w:val="00607ADA"/>
    <w:rsid w:val="006102C2"/>
    <w:rsid w:val="006102ED"/>
    <w:rsid w:val="006105BE"/>
    <w:rsid w:val="006107E9"/>
    <w:rsid w:val="006109AC"/>
    <w:rsid w:val="00611137"/>
    <w:rsid w:val="006111EC"/>
    <w:rsid w:val="00611330"/>
    <w:rsid w:val="00611586"/>
    <w:rsid w:val="006115D8"/>
    <w:rsid w:val="00611604"/>
    <w:rsid w:val="006119E9"/>
    <w:rsid w:val="00611A72"/>
    <w:rsid w:val="006121A6"/>
    <w:rsid w:val="00612345"/>
    <w:rsid w:val="006125C2"/>
    <w:rsid w:val="00612D26"/>
    <w:rsid w:val="00613163"/>
    <w:rsid w:val="00613D10"/>
    <w:rsid w:val="00614178"/>
    <w:rsid w:val="0061435B"/>
    <w:rsid w:val="00614507"/>
    <w:rsid w:val="006147D0"/>
    <w:rsid w:val="0061499D"/>
    <w:rsid w:val="00614BA0"/>
    <w:rsid w:val="00615331"/>
    <w:rsid w:val="00615549"/>
    <w:rsid w:val="00615826"/>
    <w:rsid w:val="00615855"/>
    <w:rsid w:val="00615A2D"/>
    <w:rsid w:val="00615A74"/>
    <w:rsid w:val="00615B46"/>
    <w:rsid w:val="00615F3C"/>
    <w:rsid w:val="006167E3"/>
    <w:rsid w:val="00616CC6"/>
    <w:rsid w:val="00617CB8"/>
    <w:rsid w:val="0062078C"/>
    <w:rsid w:val="00620DA8"/>
    <w:rsid w:val="006213EB"/>
    <w:rsid w:val="0062141B"/>
    <w:rsid w:val="006214E5"/>
    <w:rsid w:val="00621887"/>
    <w:rsid w:val="00621B6A"/>
    <w:rsid w:val="0062229D"/>
    <w:rsid w:val="00622E58"/>
    <w:rsid w:val="00623017"/>
    <w:rsid w:val="00623175"/>
    <w:rsid w:val="006233BC"/>
    <w:rsid w:val="00623438"/>
    <w:rsid w:val="006235CB"/>
    <w:rsid w:val="006236AE"/>
    <w:rsid w:val="00624520"/>
    <w:rsid w:val="00624D45"/>
    <w:rsid w:val="00624D75"/>
    <w:rsid w:val="00625136"/>
    <w:rsid w:val="006256F7"/>
    <w:rsid w:val="00626383"/>
    <w:rsid w:val="006263E7"/>
    <w:rsid w:val="006265C4"/>
    <w:rsid w:val="006269C6"/>
    <w:rsid w:val="006269EB"/>
    <w:rsid w:val="00626C59"/>
    <w:rsid w:val="00626E70"/>
    <w:rsid w:val="00627089"/>
    <w:rsid w:val="00627194"/>
    <w:rsid w:val="006271F5"/>
    <w:rsid w:val="0062788D"/>
    <w:rsid w:val="0062790A"/>
    <w:rsid w:val="00627B19"/>
    <w:rsid w:val="00627B5A"/>
    <w:rsid w:val="00627C93"/>
    <w:rsid w:val="00627D94"/>
    <w:rsid w:val="00630D05"/>
    <w:rsid w:val="00631261"/>
    <w:rsid w:val="00631C55"/>
    <w:rsid w:val="00631C83"/>
    <w:rsid w:val="00632300"/>
    <w:rsid w:val="00632BB7"/>
    <w:rsid w:val="00632BF3"/>
    <w:rsid w:val="00632F28"/>
    <w:rsid w:val="006334A3"/>
    <w:rsid w:val="006334FF"/>
    <w:rsid w:val="0063435E"/>
    <w:rsid w:val="00634D8F"/>
    <w:rsid w:val="006355C8"/>
    <w:rsid w:val="00635747"/>
    <w:rsid w:val="00635B36"/>
    <w:rsid w:val="00635C64"/>
    <w:rsid w:val="00635F78"/>
    <w:rsid w:val="00636135"/>
    <w:rsid w:val="006362AD"/>
    <w:rsid w:val="0063648F"/>
    <w:rsid w:val="0063663C"/>
    <w:rsid w:val="00636871"/>
    <w:rsid w:val="00636A1E"/>
    <w:rsid w:val="00636EE6"/>
    <w:rsid w:val="00637537"/>
    <w:rsid w:val="0063755C"/>
    <w:rsid w:val="00637950"/>
    <w:rsid w:val="00637D24"/>
    <w:rsid w:val="00637E8B"/>
    <w:rsid w:val="00637F37"/>
    <w:rsid w:val="0064056D"/>
    <w:rsid w:val="00640AD7"/>
    <w:rsid w:val="00640EE1"/>
    <w:rsid w:val="00640F4E"/>
    <w:rsid w:val="00640F5F"/>
    <w:rsid w:val="00641BD1"/>
    <w:rsid w:val="00641E5A"/>
    <w:rsid w:val="00642B20"/>
    <w:rsid w:val="00643798"/>
    <w:rsid w:val="00643988"/>
    <w:rsid w:val="00643DE0"/>
    <w:rsid w:val="0064437D"/>
    <w:rsid w:val="006444AC"/>
    <w:rsid w:val="00644671"/>
    <w:rsid w:val="0064473F"/>
    <w:rsid w:val="00644D38"/>
    <w:rsid w:val="00644E85"/>
    <w:rsid w:val="00645260"/>
    <w:rsid w:val="00645EAA"/>
    <w:rsid w:val="00646574"/>
    <w:rsid w:val="00646879"/>
    <w:rsid w:val="00646CF6"/>
    <w:rsid w:val="006472C7"/>
    <w:rsid w:val="0064748C"/>
    <w:rsid w:val="006476FB"/>
    <w:rsid w:val="0064780B"/>
    <w:rsid w:val="00647D90"/>
    <w:rsid w:val="00647E19"/>
    <w:rsid w:val="00647ED2"/>
    <w:rsid w:val="00650084"/>
    <w:rsid w:val="00650189"/>
    <w:rsid w:val="006507A4"/>
    <w:rsid w:val="00650960"/>
    <w:rsid w:val="00650A00"/>
    <w:rsid w:val="00650A9A"/>
    <w:rsid w:val="00650D50"/>
    <w:rsid w:val="0065122C"/>
    <w:rsid w:val="0065147B"/>
    <w:rsid w:val="006516D8"/>
    <w:rsid w:val="00652054"/>
    <w:rsid w:val="00652210"/>
    <w:rsid w:val="00652498"/>
    <w:rsid w:val="00652504"/>
    <w:rsid w:val="00652BA5"/>
    <w:rsid w:val="00652C27"/>
    <w:rsid w:val="00652C52"/>
    <w:rsid w:val="00652E7B"/>
    <w:rsid w:val="00654008"/>
    <w:rsid w:val="0065401F"/>
    <w:rsid w:val="006545DF"/>
    <w:rsid w:val="00654778"/>
    <w:rsid w:val="00654A4E"/>
    <w:rsid w:val="0065557C"/>
    <w:rsid w:val="006561DA"/>
    <w:rsid w:val="006563FA"/>
    <w:rsid w:val="00656DDB"/>
    <w:rsid w:val="0065723E"/>
    <w:rsid w:val="00657283"/>
    <w:rsid w:val="0066023D"/>
    <w:rsid w:val="0066063F"/>
    <w:rsid w:val="0066112C"/>
    <w:rsid w:val="00661980"/>
    <w:rsid w:val="00661A47"/>
    <w:rsid w:val="00661F35"/>
    <w:rsid w:val="0066232E"/>
    <w:rsid w:val="00662380"/>
    <w:rsid w:val="006623BE"/>
    <w:rsid w:val="00662518"/>
    <w:rsid w:val="006625CF"/>
    <w:rsid w:val="00662BB0"/>
    <w:rsid w:val="00663878"/>
    <w:rsid w:val="006642F7"/>
    <w:rsid w:val="006643F2"/>
    <w:rsid w:val="006646C0"/>
    <w:rsid w:val="00664E5A"/>
    <w:rsid w:val="00665967"/>
    <w:rsid w:val="00665985"/>
    <w:rsid w:val="00665A8B"/>
    <w:rsid w:val="00665C7C"/>
    <w:rsid w:val="0066624A"/>
    <w:rsid w:val="00666A25"/>
    <w:rsid w:val="00666B67"/>
    <w:rsid w:val="00666D2E"/>
    <w:rsid w:val="00666D72"/>
    <w:rsid w:val="00667321"/>
    <w:rsid w:val="00667773"/>
    <w:rsid w:val="00667804"/>
    <w:rsid w:val="00667CFC"/>
    <w:rsid w:val="00667D31"/>
    <w:rsid w:val="0067007B"/>
    <w:rsid w:val="0067072D"/>
    <w:rsid w:val="00670743"/>
    <w:rsid w:val="006710B0"/>
    <w:rsid w:val="0067160B"/>
    <w:rsid w:val="00671743"/>
    <w:rsid w:val="00671CC2"/>
    <w:rsid w:val="00671F07"/>
    <w:rsid w:val="006720DE"/>
    <w:rsid w:val="0067241E"/>
    <w:rsid w:val="0067262A"/>
    <w:rsid w:val="00672703"/>
    <w:rsid w:val="0067291A"/>
    <w:rsid w:val="0067296C"/>
    <w:rsid w:val="00672E85"/>
    <w:rsid w:val="00673865"/>
    <w:rsid w:val="00673CEC"/>
    <w:rsid w:val="00674034"/>
    <w:rsid w:val="0067415F"/>
    <w:rsid w:val="0067419C"/>
    <w:rsid w:val="006743A6"/>
    <w:rsid w:val="006743E9"/>
    <w:rsid w:val="006744E9"/>
    <w:rsid w:val="00674CA2"/>
    <w:rsid w:val="00674D46"/>
    <w:rsid w:val="00674D48"/>
    <w:rsid w:val="00675301"/>
    <w:rsid w:val="00675D5D"/>
    <w:rsid w:val="00676C1D"/>
    <w:rsid w:val="0067765E"/>
    <w:rsid w:val="00677951"/>
    <w:rsid w:val="006803BE"/>
    <w:rsid w:val="00680A85"/>
    <w:rsid w:val="00680F16"/>
    <w:rsid w:val="006810F7"/>
    <w:rsid w:val="00681384"/>
    <w:rsid w:val="006813D5"/>
    <w:rsid w:val="0068164D"/>
    <w:rsid w:val="006816CB"/>
    <w:rsid w:val="00681ADF"/>
    <w:rsid w:val="00681CD8"/>
    <w:rsid w:val="006821BA"/>
    <w:rsid w:val="006824ED"/>
    <w:rsid w:val="006825ED"/>
    <w:rsid w:val="00682E6D"/>
    <w:rsid w:val="00682E84"/>
    <w:rsid w:val="00682FE7"/>
    <w:rsid w:val="006830C5"/>
    <w:rsid w:val="0068345B"/>
    <w:rsid w:val="00683657"/>
    <w:rsid w:val="00683E95"/>
    <w:rsid w:val="006841BB"/>
    <w:rsid w:val="00684214"/>
    <w:rsid w:val="006847EA"/>
    <w:rsid w:val="00684866"/>
    <w:rsid w:val="00684982"/>
    <w:rsid w:val="00684AB8"/>
    <w:rsid w:val="006859F0"/>
    <w:rsid w:val="00685A0D"/>
    <w:rsid w:val="00686141"/>
    <w:rsid w:val="0068639E"/>
    <w:rsid w:val="00687C41"/>
    <w:rsid w:val="0069047D"/>
    <w:rsid w:val="00690AE2"/>
    <w:rsid w:val="00690C10"/>
    <w:rsid w:val="00690E46"/>
    <w:rsid w:val="00690EE2"/>
    <w:rsid w:val="00691566"/>
    <w:rsid w:val="00691914"/>
    <w:rsid w:val="00691B73"/>
    <w:rsid w:val="00691EED"/>
    <w:rsid w:val="00692149"/>
    <w:rsid w:val="006923EE"/>
    <w:rsid w:val="0069291E"/>
    <w:rsid w:val="00692A43"/>
    <w:rsid w:val="00692A83"/>
    <w:rsid w:val="00692D7E"/>
    <w:rsid w:val="00692E0A"/>
    <w:rsid w:val="00693185"/>
    <w:rsid w:val="006932CD"/>
    <w:rsid w:val="0069351D"/>
    <w:rsid w:val="00693854"/>
    <w:rsid w:val="00693AB3"/>
    <w:rsid w:val="00693E58"/>
    <w:rsid w:val="00694201"/>
    <w:rsid w:val="006942DD"/>
    <w:rsid w:val="00694443"/>
    <w:rsid w:val="0069489B"/>
    <w:rsid w:val="00694BEB"/>
    <w:rsid w:val="00694CAF"/>
    <w:rsid w:val="00694F82"/>
    <w:rsid w:val="0069520A"/>
    <w:rsid w:val="006952D9"/>
    <w:rsid w:val="0069540F"/>
    <w:rsid w:val="00695690"/>
    <w:rsid w:val="006956EB"/>
    <w:rsid w:val="006956EE"/>
    <w:rsid w:val="00695AA8"/>
    <w:rsid w:val="00695AC9"/>
    <w:rsid w:val="00695CCC"/>
    <w:rsid w:val="006962AC"/>
    <w:rsid w:val="006964E2"/>
    <w:rsid w:val="006969B8"/>
    <w:rsid w:val="00696A07"/>
    <w:rsid w:val="00696A18"/>
    <w:rsid w:val="00696F17"/>
    <w:rsid w:val="00697037"/>
    <w:rsid w:val="00697891"/>
    <w:rsid w:val="00697BDF"/>
    <w:rsid w:val="00697F9A"/>
    <w:rsid w:val="006A008D"/>
    <w:rsid w:val="006A01CC"/>
    <w:rsid w:val="006A0E20"/>
    <w:rsid w:val="006A0F26"/>
    <w:rsid w:val="006A110A"/>
    <w:rsid w:val="006A19CD"/>
    <w:rsid w:val="006A1AD8"/>
    <w:rsid w:val="006A1D56"/>
    <w:rsid w:val="006A1FE9"/>
    <w:rsid w:val="006A2168"/>
    <w:rsid w:val="006A22E5"/>
    <w:rsid w:val="006A24E3"/>
    <w:rsid w:val="006A2570"/>
    <w:rsid w:val="006A26D2"/>
    <w:rsid w:val="006A2D22"/>
    <w:rsid w:val="006A2D97"/>
    <w:rsid w:val="006A3511"/>
    <w:rsid w:val="006A369E"/>
    <w:rsid w:val="006A37D3"/>
    <w:rsid w:val="006A3D77"/>
    <w:rsid w:val="006A40F2"/>
    <w:rsid w:val="006A424C"/>
    <w:rsid w:val="006A48CA"/>
    <w:rsid w:val="006A4E3C"/>
    <w:rsid w:val="006A54E0"/>
    <w:rsid w:val="006A5695"/>
    <w:rsid w:val="006A637B"/>
    <w:rsid w:val="006A6556"/>
    <w:rsid w:val="006A65B6"/>
    <w:rsid w:val="006A6BDE"/>
    <w:rsid w:val="006A6D92"/>
    <w:rsid w:val="006A7295"/>
    <w:rsid w:val="006A7CA1"/>
    <w:rsid w:val="006B0439"/>
    <w:rsid w:val="006B0960"/>
    <w:rsid w:val="006B0E8F"/>
    <w:rsid w:val="006B142B"/>
    <w:rsid w:val="006B1708"/>
    <w:rsid w:val="006B1DBB"/>
    <w:rsid w:val="006B28A3"/>
    <w:rsid w:val="006B2CAE"/>
    <w:rsid w:val="006B2D2D"/>
    <w:rsid w:val="006B2D6A"/>
    <w:rsid w:val="006B2E4E"/>
    <w:rsid w:val="006B3111"/>
    <w:rsid w:val="006B3904"/>
    <w:rsid w:val="006B3CFE"/>
    <w:rsid w:val="006B4433"/>
    <w:rsid w:val="006B4AC5"/>
    <w:rsid w:val="006B4B8C"/>
    <w:rsid w:val="006B507E"/>
    <w:rsid w:val="006B5145"/>
    <w:rsid w:val="006B5599"/>
    <w:rsid w:val="006B5B7D"/>
    <w:rsid w:val="006B5C78"/>
    <w:rsid w:val="006B6049"/>
    <w:rsid w:val="006B667A"/>
    <w:rsid w:val="006B6881"/>
    <w:rsid w:val="006B6B83"/>
    <w:rsid w:val="006B6EFA"/>
    <w:rsid w:val="006B6FB3"/>
    <w:rsid w:val="006B7E5A"/>
    <w:rsid w:val="006C00D4"/>
    <w:rsid w:val="006C085A"/>
    <w:rsid w:val="006C1618"/>
    <w:rsid w:val="006C1DE7"/>
    <w:rsid w:val="006C1F4E"/>
    <w:rsid w:val="006C23D5"/>
    <w:rsid w:val="006C25A0"/>
    <w:rsid w:val="006C2938"/>
    <w:rsid w:val="006C2990"/>
    <w:rsid w:val="006C2A3B"/>
    <w:rsid w:val="006C2A50"/>
    <w:rsid w:val="006C3859"/>
    <w:rsid w:val="006C3BC3"/>
    <w:rsid w:val="006C3C65"/>
    <w:rsid w:val="006C3D9A"/>
    <w:rsid w:val="006C40D6"/>
    <w:rsid w:val="006C4424"/>
    <w:rsid w:val="006C491D"/>
    <w:rsid w:val="006C4B30"/>
    <w:rsid w:val="006C502F"/>
    <w:rsid w:val="006C5634"/>
    <w:rsid w:val="006C58A2"/>
    <w:rsid w:val="006C591B"/>
    <w:rsid w:val="006C59DF"/>
    <w:rsid w:val="006C5B46"/>
    <w:rsid w:val="006C636C"/>
    <w:rsid w:val="006C6506"/>
    <w:rsid w:val="006C6712"/>
    <w:rsid w:val="006C6E39"/>
    <w:rsid w:val="006C70E3"/>
    <w:rsid w:val="006C7248"/>
    <w:rsid w:val="006C732E"/>
    <w:rsid w:val="006D02F8"/>
    <w:rsid w:val="006D085B"/>
    <w:rsid w:val="006D0ECF"/>
    <w:rsid w:val="006D150E"/>
    <w:rsid w:val="006D1C76"/>
    <w:rsid w:val="006D1D19"/>
    <w:rsid w:val="006D26E2"/>
    <w:rsid w:val="006D26F8"/>
    <w:rsid w:val="006D2745"/>
    <w:rsid w:val="006D2E97"/>
    <w:rsid w:val="006D36D8"/>
    <w:rsid w:val="006D3744"/>
    <w:rsid w:val="006D38C0"/>
    <w:rsid w:val="006D39E2"/>
    <w:rsid w:val="006D3D5B"/>
    <w:rsid w:val="006D3DA4"/>
    <w:rsid w:val="006D3F54"/>
    <w:rsid w:val="006D439A"/>
    <w:rsid w:val="006D4697"/>
    <w:rsid w:val="006D48AC"/>
    <w:rsid w:val="006D4C92"/>
    <w:rsid w:val="006D4EB6"/>
    <w:rsid w:val="006D4FDD"/>
    <w:rsid w:val="006D50CA"/>
    <w:rsid w:val="006D5812"/>
    <w:rsid w:val="006D5D3B"/>
    <w:rsid w:val="006D5DA9"/>
    <w:rsid w:val="006D5FE9"/>
    <w:rsid w:val="006D680B"/>
    <w:rsid w:val="006D6AF5"/>
    <w:rsid w:val="006D70AC"/>
    <w:rsid w:val="006D7576"/>
    <w:rsid w:val="006D790F"/>
    <w:rsid w:val="006D7B85"/>
    <w:rsid w:val="006D7B94"/>
    <w:rsid w:val="006D7C8F"/>
    <w:rsid w:val="006D7FBC"/>
    <w:rsid w:val="006E13CA"/>
    <w:rsid w:val="006E150E"/>
    <w:rsid w:val="006E1B97"/>
    <w:rsid w:val="006E2C55"/>
    <w:rsid w:val="006E314B"/>
    <w:rsid w:val="006E32C4"/>
    <w:rsid w:val="006E330B"/>
    <w:rsid w:val="006E338B"/>
    <w:rsid w:val="006E34B6"/>
    <w:rsid w:val="006E34E1"/>
    <w:rsid w:val="006E35BF"/>
    <w:rsid w:val="006E37C7"/>
    <w:rsid w:val="006E3BCC"/>
    <w:rsid w:val="006E3D1A"/>
    <w:rsid w:val="006E3DF7"/>
    <w:rsid w:val="006E3FD7"/>
    <w:rsid w:val="006E46C6"/>
    <w:rsid w:val="006E4A8C"/>
    <w:rsid w:val="006E6645"/>
    <w:rsid w:val="006E6975"/>
    <w:rsid w:val="006E6EBB"/>
    <w:rsid w:val="006E71CF"/>
    <w:rsid w:val="006E7368"/>
    <w:rsid w:val="006E7541"/>
    <w:rsid w:val="006E7627"/>
    <w:rsid w:val="006E7695"/>
    <w:rsid w:val="006E7850"/>
    <w:rsid w:val="006F0141"/>
    <w:rsid w:val="006F01DE"/>
    <w:rsid w:val="006F0ED8"/>
    <w:rsid w:val="006F0FD6"/>
    <w:rsid w:val="006F0FD9"/>
    <w:rsid w:val="006F18FD"/>
    <w:rsid w:val="006F19D8"/>
    <w:rsid w:val="006F1AB3"/>
    <w:rsid w:val="006F1D98"/>
    <w:rsid w:val="006F230D"/>
    <w:rsid w:val="006F23A4"/>
    <w:rsid w:val="006F266E"/>
    <w:rsid w:val="006F2A6E"/>
    <w:rsid w:val="006F2AA1"/>
    <w:rsid w:val="006F2C7D"/>
    <w:rsid w:val="006F2EF8"/>
    <w:rsid w:val="006F31EB"/>
    <w:rsid w:val="006F3717"/>
    <w:rsid w:val="006F4098"/>
    <w:rsid w:val="006F4115"/>
    <w:rsid w:val="006F4238"/>
    <w:rsid w:val="006F46D6"/>
    <w:rsid w:val="006F4772"/>
    <w:rsid w:val="006F4A9D"/>
    <w:rsid w:val="006F4B0F"/>
    <w:rsid w:val="006F4BBB"/>
    <w:rsid w:val="006F5174"/>
    <w:rsid w:val="006F52EC"/>
    <w:rsid w:val="006F5B71"/>
    <w:rsid w:val="006F5FF0"/>
    <w:rsid w:val="006F6364"/>
    <w:rsid w:val="006F6491"/>
    <w:rsid w:val="006F6BF9"/>
    <w:rsid w:val="006F6DC5"/>
    <w:rsid w:val="006F6DF8"/>
    <w:rsid w:val="006F6E2D"/>
    <w:rsid w:val="006F6FD4"/>
    <w:rsid w:val="006F72AD"/>
    <w:rsid w:val="00700360"/>
    <w:rsid w:val="007004A5"/>
    <w:rsid w:val="007004D1"/>
    <w:rsid w:val="00700506"/>
    <w:rsid w:val="0070050E"/>
    <w:rsid w:val="007005C1"/>
    <w:rsid w:val="007006D9"/>
    <w:rsid w:val="007010C0"/>
    <w:rsid w:val="0070143F"/>
    <w:rsid w:val="00701BB4"/>
    <w:rsid w:val="0070259D"/>
    <w:rsid w:val="007028D9"/>
    <w:rsid w:val="00702F21"/>
    <w:rsid w:val="0070341D"/>
    <w:rsid w:val="0070376E"/>
    <w:rsid w:val="007041B5"/>
    <w:rsid w:val="0070438A"/>
    <w:rsid w:val="00704555"/>
    <w:rsid w:val="007045F4"/>
    <w:rsid w:val="00704FAE"/>
    <w:rsid w:val="00704FBF"/>
    <w:rsid w:val="00705480"/>
    <w:rsid w:val="0070585E"/>
    <w:rsid w:val="00705C8C"/>
    <w:rsid w:val="00705CEC"/>
    <w:rsid w:val="00705DF9"/>
    <w:rsid w:val="0070657A"/>
    <w:rsid w:val="007065A8"/>
    <w:rsid w:val="0070708F"/>
    <w:rsid w:val="00707218"/>
    <w:rsid w:val="0070759C"/>
    <w:rsid w:val="00707627"/>
    <w:rsid w:val="00707812"/>
    <w:rsid w:val="00707882"/>
    <w:rsid w:val="00707B08"/>
    <w:rsid w:val="00707B92"/>
    <w:rsid w:val="00707D71"/>
    <w:rsid w:val="00707F4A"/>
    <w:rsid w:val="00707F91"/>
    <w:rsid w:val="00710387"/>
    <w:rsid w:val="0071050D"/>
    <w:rsid w:val="007109B2"/>
    <w:rsid w:val="00710D04"/>
    <w:rsid w:val="00711339"/>
    <w:rsid w:val="00711380"/>
    <w:rsid w:val="00711915"/>
    <w:rsid w:val="00711A74"/>
    <w:rsid w:val="00711DEA"/>
    <w:rsid w:val="00712202"/>
    <w:rsid w:val="007126A7"/>
    <w:rsid w:val="0071275F"/>
    <w:rsid w:val="00712A11"/>
    <w:rsid w:val="00712B1D"/>
    <w:rsid w:val="00712B23"/>
    <w:rsid w:val="00712EAD"/>
    <w:rsid w:val="007136A5"/>
    <w:rsid w:val="00713ADD"/>
    <w:rsid w:val="00713FF0"/>
    <w:rsid w:val="007141E2"/>
    <w:rsid w:val="00714528"/>
    <w:rsid w:val="0071483B"/>
    <w:rsid w:val="00714E8F"/>
    <w:rsid w:val="007152B9"/>
    <w:rsid w:val="00715751"/>
    <w:rsid w:val="00715772"/>
    <w:rsid w:val="00715E8F"/>
    <w:rsid w:val="007164F9"/>
    <w:rsid w:val="00716630"/>
    <w:rsid w:val="00716705"/>
    <w:rsid w:val="00716B4E"/>
    <w:rsid w:val="0071701C"/>
    <w:rsid w:val="007171BA"/>
    <w:rsid w:val="00717616"/>
    <w:rsid w:val="00720171"/>
    <w:rsid w:val="0072021D"/>
    <w:rsid w:val="0072026F"/>
    <w:rsid w:val="00720841"/>
    <w:rsid w:val="007208C6"/>
    <w:rsid w:val="007209BF"/>
    <w:rsid w:val="00720CE7"/>
    <w:rsid w:val="00720E73"/>
    <w:rsid w:val="00720F5E"/>
    <w:rsid w:val="007212D8"/>
    <w:rsid w:val="00721785"/>
    <w:rsid w:val="007228C0"/>
    <w:rsid w:val="0072296E"/>
    <w:rsid w:val="00722977"/>
    <w:rsid w:val="0072329E"/>
    <w:rsid w:val="0072388C"/>
    <w:rsid w:val="00723D8E"/>
    <w:rsid w:val="007240BB"/>
    <w:rsid w:val="0072441A"/>
    <w:rsid w:val="007247A1"/>
    <w:rsid w:val="00724CB6"/>
    <w:rsid w:val="00726262"/>
    <w:rsid w:val="007268C9"/>
    <w:rsid w:val="00726D0A"/>
    <w:rsid w:val="00727565"/>
    <w:rsid w:val="0072765C"/>
    <w:rsid w:val="00727802"/>
    <w:rsid w:val="0072782A"/>
    <w:rsid w:val="0072782E"/>
    <w:rsid w:val="00727BC4"/>
    <w:rsid w:val="00727F23"/>
    <w:rsid w:val="007300DD"/>
    <w:rsid w:val="007304DC"/>
    <w:rsid w:val="007311D7"/>
    <w:rsid w:val="00731414"/>
    <w:rsid w:val="00732093"/>
    <w:rsid w:val="007323CC"/>
    <w:rsid w:val="00732456"/>
    <w:rsid w:val="00732512"/>
    <w:rsid w:val="007325D9"/>
    <w:rsid w:val="00732691"/>
    <w:rsid w:val="0073274A"/>
    <w:rsid w:val="0073281B"/>
    <w:rsid w:val="00733184"/>
    <w:rsid w:val="00733A33"/>
    <w:rsid w:val="00733EB5"/>
    <w:rsid w:val="00734005"/>
    <w:rsid w:val="0073413F"/>
    <w:rsid w:val="007349FC"/>
    <w:rsid w:val="00734E70"/>
    <w:rsid w:val="00735081"/>
    <w:rsid w:val="007351FF"/>
    <w:rsid w:val="0073526E"/>
    <w:rsid w:val="00735524"/>
    <w:rsid w:val="00735569"/>
    <w:rsid w:val="007356B0"/>
    <w:rsid w:val="0073583B"/>
    <w:rsid w:val="007360CA"/>
    <w:rsid w:val="00736385"/>
    <w:rsid w:val="0073655E"/>
    <w:rsid w:val="00736E50"/>
    <w:rsid w:val="00737603"/>
    <w:rsid w:val="00737754"/>
    <w:rsid w:val="00737B54"/>
    <w:rsid w:val="0074008F"/>
    <w:rsid w:val="007403D1"/>
    <w:rsid w:val="0074084E"/>
    <w:rsid w:val="00740875"/>
    <w:rsid w:val="00740E27"/>
    <w:rsid w:val="00740EB0"/>
    <w:rsid w:val="00740F75"/>
    <w:rsid w:val="00741242"/>
    <w:rsid w:val="00741E71"/>
    <w:rsid w:val="00742B10"/>
    <w:rsid w:val="00742C35"/>
    <w:rsid w:val="00743145"/>
    <w:rsid w:val="00743466"/>
    <w:rsid w:val="00743954"/>
    <w:rsid w:val="00744388"/>
    <w:rsid w:val="0074446A"/>
    <w:rsid w:val="0074475E"/>
    <w:rsid w:val="007448EE"/>
    <w:rsid w:val="00745787"/>
    <w:rsid w:val="007458AA"/>
    <w:rsid w:val="00745C20"/>
    <w:rsid w:val="00745C9E"/>
    <w:rsid w:val="00745ED2"/>
    <w:rsid w:val="00746181"/>
    <w:rsid w:val="007464C8"/>
    <w:rsid w:val="0074667B"/>
    <w:rsid w:val="00746BB5"/>
    <w:rsid w:val="00746C49"/>
    <w:rsid w:val="00746D04"/>
    <w:rsid w:val="00746D91"/>
    <w:rsid w:val="007470BD"/>
    <w:rsid w:val="007472C6"/>
    <w:rsid w:val="00747C53"/>
    <w:rsid w:val="00750878"/>
    <w:rsid w:val="007512F8"/>
    <w:rsid w:val="00751340"/>
    <w:rsid w:val="00751E6E"/>
    <w:rsid w:val="0075201E"/>
    <w:rsid w:val="00752569"/>
    <w:rsid w:val="00752A7F"/>
    <w:rsid w:val="00752DBB"/>
    <w:rsid w:val="0075328A"/>
    <w:rsid w:val="00753A9F"/>
    <w:rsid w:val="007540A0"/>
    <w:rsid w:val="00754810"/>
    <w:rsid w:val="00754B2C"/>
    <w:rsid w:val="00756082"/>
    <w:rsid w:val="00756256"/>
    <w:rsid w:val="00756CB9"/>
    <w:rsid w:val="00756E79"/>
    <w:rsid w:val="00757F3B"/>
    <w:rsid w:val="00757FE8"/>
    <w:rsid w:val="00760A87"/>
    <w:rsid w:val="00760BBB"/>
    <w:rsid w:val="00760DCF"/>
    <w:rsid w:val="00760EC0"/>
    <w:rsid w:val="00761AF8"/>
    <w:rsid w:val="00761B8E"/>
    <w:rsid w:val="00761D1E"/>
    <w:rsid w:val="0076221E"/>
    <w:rsid w:val="0076261D"/>
    <w:rsid w:val="007627C9"/>
    <w:rsid w:val="00762872"/>
    <w:rsid w:val="0076321C"/>
    <w:rsid w:val="00763255"/>
    <w:rsid w:val="00763C8C"/>
    <w:rsid w:val="00763F22"/>
    <w:rsid w:val="00763FB4"/>
    <w:rsid w:val="0076418B"/>
    <w:rsid w:val="00764355"/>
    <w:rsid w:val="0076445C"/>
    <w:rsid w:val="007644C7"/>
    <w:rsid w:val="0076468F"/>
    <w:rsid w:val="00764717"/>
    <w:rsid w:val="00764933"/>
    <w:rsid w:val="00764C98"/>
    <w:rsid w:val="00765106"/>
    <w:rsid w:val="0076518D"/>
    <w:rsid w:val="00765E2B"/>
    <w:rsid w:val="00766A89"/>
    <w:rsid w:val="00766F24"/>
    <w:rsid w:val="0076737D"/>
    <w:rsid w:val="00767BC2"/>
    <w:rsid w:val="007702B3"/>
    <w:rsid w:val="00770621"/>
    <w:rsid w:val="0077093B"/>
    <w:rsid w:val="007711BD"/>
    <w:rsid w:val="00771227"/>
    <w:rsid w:val="0077137B"/>
    <w:rsid w:val="00771C9F"/>
    <w:rsid w:val="00771D45"/>
    <w:rsid w:val="0077230E"/>
    <w:rsid w:val="0077311D"/>
    <w:rsid w:val="00773CE3"/>
    <w:rsid w:val="00773E9A"/>
    <w:rsid w:val="00773F89"/>
    <w:rsid w:val="00774088"/>
    <w:rsid w:val="00774713"/>
    <w:rsid w:val="00775314"/>
    <w:rsid w:val="007758A7"/>
    <w:rsid w:val="00775F0F"/>
    <w:rsid w:val="00776640"/>
    <w:rsid w:val="00776735"/>
    <w:rsid w:val="00776C9A"/>
    <w:rsid w:val="00776DCC"/>
    <w:rsid w:val="0077723C"/>
    <w:rsid w:val="00777355"/>
    <w:rsid w:val="007774B6"/>
    <w:rsid w:val="007775E4"/>
    <w:rsid w:val="00777942"/>
    <w:rsid w:val="00777F3A"/>
    <w:rsid w:val="0078003A"/>
    <w:rsid w:val="00780339"/>
    <w:rsid w:val="00780533"/>
    <w:rsid w:val="00780771"/>
    <w:rsid w:val="00780B3F"/>
    <w:rsid w:val="00780F3F"/>
    <w:rsid w:val="007812C9"/>
    <w:rsid w:val="00781331"/>
    <w:rsid w:val="007819ED"/>
    <w:rsid w:val="00781A0F"/>
    <w:rsid w:val="007825B8"/>
    <w:rsid w:val="007826ED"/>
    <w:rsid w:val="00782AEF"/>
    <w:rsid w:val="00783713"/>
    <w:rsid w:val="00783A44"/>
    <w:rsid w:val="007840E7"/>
    <w:rsid w:val="0078430C"/>
    <w:rsid w:val="0078467B"/>
    <w:rsid w:val="00784DD7"/>
    <w:rsid w:val="0078515F"/>
    <w:rsid w:val="00785416"/>
    <w:rsid w:val="0078556C"/>
    <w:rsid w:val="00785730"/>
    <w:rsid w:val="00785885"/>
    <w:rsid w:val="00785987"/>
    <w:rsid w:val="007867EA"/>
    <w:rsid w:val="00786AE4"/>
    <w:rsid w:val="00786D1C"/>
    <w:rsid w:val="00786EBC"/>
    <w:rsid w:val="00786EF6"/>
    <w:rsid w:val="00787127"/>
    <w:rsid w:val="00787221"/>
    <w:rsid w:val="00787255"/>
    <w:rsid w:val="00787C99"/>
    <w:rsid w:val="00790B0B"/>
    <w:rsid w:val="0079145A"/>
    <w:rsid w:val="00791493"/>
    <w:rsid w:val="00791883"/>
    <w:rsid w:val="00791A9A"/>
    <w:rsid w:val="00791D00"/>
    <w:rsid w:val="0079209F"/>
    <w:rsid w:val="00792343"/>
    <w:rsid w:val="00792889"/>
    <w:rsid w:val="007929CF"/>
    <w:rsid w:val="00792AEE"/>
    <w:rsid w:val="00792FD3"/>
    <w:rsid w:val="0079330A"/>
    <w:rsid w:val="00793967"/>
    <w:rsid w:val="00793AC0"/>
    <w:rsid w:val="00793B5A"/>
    <w:rsid w:val="00794251"/>
    <w:rsid w:val="0079565D"/>
    <w:rsid w:val="007959C4"/>
    <w:rsid w:val="00796012"/>
    <w:rsid w:val="00796AC3"/>
    <w:rsid w:val="00796DAA"/>
    <w:rsid w:val="0079727E"/>
    <w:rsid w:val="00797989"/>
    <w:rsid w:val="00797BA8"/>
    <w:rsid w:val="00797BF7"/>
    <w:rsid w:val="00797F06"/>
    <w:rsid w:val="00797F60"/>
    <w:rsid w:val="007A081D"/>
    <w:rsid w:val="007A0F8E"/>
    <w:rsid w:val="007A1D31"/>
    <w:rsid w:val="007A1D34"/>
    <w:rsid w:val="007A2178"/>
    <w:rsid w:val="007A217D"/>
    <w:rsid w:val="007A2303"/>
    <w:rsid w:val="007A2C8E"/>
    <w:rsid w:val="007A31E3"/>
    <w:rsid w:val="007A35AC"/>
    <w:rsid w:val="007A36C4"/>
    <w:rsid w:val="007A3768"/>
    <w:rsid w:val="007A3FF8"/>
    <w:rsid w:val="007A4408"/>
    <w:rsid w:val="007A44A7"/>
    <w:rsid w:val="007A49A1"/>
    <w:rsid w:val="007A49E7"/>
    <w:rsid w:val="007A573E"/>
    <w:rsid w:val="007A58A1"/>
    <w:rsid w:val="007A58AC"/>
    <w:rsid w:val="007A58C5"/>
    <w:rsid w:val="007A58CD"/>
    <w:rsid w:val="007A5A36"/>
    <w:rsid w:val="007A616E"/>
    <w:rsid w:val="007A6293"/>
    <w:rsid w:val="007A6736"/>
    <w:rsid w:val="007A676D"/>
    <w:rsid w:val="007A69D0"/>
    <w:rsid w:val="007A6E89"/>
    <w:rsid w:val="007A6F28"/>
    <w:rsid w:val="007A6F3D"/>
    <w:rsid w:val="007A7024"/>
    <w:rsid w:val="007A72C4"/>
    <w:rsid w:val="007A7629"/>
    <w:rsid w:val="007A76D9"/>
    <w:rsid w:val="007A7720"/>
    <w:rsid w:val="007A7F64"/>
    <w:rsid w:val="007A7FA6"/>
    <w:rsid w:val="007B01C8"/>
    <w:rsid w:val="007B03C6"/>
    <w:rsid w:val="007B0B85"/>
    <w:rsid w:val="007B0C80"/>
    <w:rsid w:val="007B0D9E"/>
    <w:rsid w:val="007B0DB1"/>
    <w:rsid w:val="007B13C1"/>
    <w:rsid w:val="007B15A6"/>
    <w:rsid w:val="007B1881"/>
    <w:rsid w:val="007B19EA"/>
    <w:rsid w:val="007B1A18"/>
    <w:rsid w:val="007B1D44"/>
    <w:rsid w:val="007B2A42"/>
    <w:rsid w:val="007B2D10"/>
    <w:rsid w:val="007B2E81"/>
    <w:rsid w:val="007B330B"/>
    <w:rsid w:val="007B3F3C"/>
    <w:rsid w:val="007B413D"/>
    <w:rsid w:val="007B43F9"/>
    <w:rsid w:val="007B468B"/>
    <w:rsid w:val="007B49C4"/>
    <w:rsid w:val="007B4E5C"/>
    <w:rsid w:val="007B542C"/>
    <w:rsid w:val="007B5673"/>
    <w:rsid w:val="007B574D"/>
    <w:rsid w:val="007B5BD4"/>
    <w:rsid w:val="007B5C3F"/>
    <w:rsid w:val="007B5D81"/>
    <w:rsid w:val="007B61A0"/>
    <w:rsid w:val="007B6307"/>
    <w:rsid w:val="007B6789"/>
    <w:rsid w:val="007B7238"/>
    <w:rsid w:val="007B76FF"/>
    <w:rsid w:val="007B7868"/>
    <w:rsid w:val="007C084B"/>
    <w:rsid w:val="007C0869"/>
    <w:rsid w:val="007C0BC2"/>
    <w:rsid w:val="007C0F11"/>
    <w:rsid w:val="007C110C"/>
    <w:rsid w:val="007C1C3A"/>
    <w:rsid w:val="007C1FCD"/>
    <w:rsid w:val="007C2361"/>
    <w:rsid w:val="007C2E67"/>
    <w:rsid w:val="007C3098"/>
    <w:rsid w:val="007C32F3"/>
    <w:rsid w:val="007C3691"/>
    <w:rsid w:val="007C3BF6"/>
    <w:rsid w:val="007C4203"/>
    <w:rsid w:val="007C470A"/>
    <w:rsid w:val="007C47D7"/>
    <w:rsid w:val="007C4B51"/>
    <w:rsid w:val="007C4E21"/>
    <w:rsid w:val="007C508B"/>
    <w:rsid w:val="007C53E0"/>
    <w:rsid w:val="007C54C3"/>
    <w:rsid w:val="007C55E9"/>
    <w:rsid w:val="007C563E"/>
    <w:rsid w:val="007C6045"/>
    <w:rsid w:val="007C63DC"/>
    <w:rsid w:val="007C64AE"/>
    <w:rsid w:val="007C67B3"/>
    <w:rsid w:val="007C6B17"/>
    <w:rsid w:val="007C6B66"/>
    <w:rsid w:val="007C732D"/>
    <w:rsid w:val="007C7339"/>
    <w:rsid w:val="007C73B7"/>
    <w:rsid w:val="007C7799"/>
    <w:rsid w:val="007D05A2"/>
    <w:rsid w:val="007D0639"/>
    <w:rsid w:val="007D06C0"/>
    <w:rsid w:val="007D0A0B"/>
    <w:rsid w:val="007D0D41"/>
    <w:rsid w:val="007D0FD2"/>
    <w:rsid w:val="007D11AB"/>
    <w:rsid w:val="007D13AF"/>
    <w:rsid w:val="007D146D"/>
    <w:rsid w:val="007D17B9"/>
    <w:rsid w:val="007D1963"/>
    <w:rsid w:val="007D1CD8"/>
    <w:rsid w:val="007D1DDE"/>
    <w:rsid w:val="007D2190"/>
    <w:rsid w:val="007D2D1E"/>
    <w:rsid w:val="007D2EF8"/>
    <w:rsid w:val="007D2F13"/>
    <w:rsid w:val="007D3E69"/>
    <w:rsid w:val="007D49D8"/>
    <w:rsid w:val="007D51A8"/>
    <w:rsid w:val="007D51B8"/>
    <w:rsid w:val="007D5254"/>
    <w:rsid w:val="007D561F"/>
    <w:rsid w:val="007D58D0"/>
    <w:rsid w:val="007D5E68"/>
    <w:rsid w:val="007D6294"/>
    <w:rsid w:val="007D6653"/>
    <w:rsid w:val="007D67C4"/>
    <w:rsid w:val="007D6DE1"/>
    <w:rsid w:val="007D6F9E"/>
    <w:rsid w:val="007D7332"/>
    <w:rsid w:val="007D759C"/>
    <w:rsid w:val="007D76F7"/>
    <w:rsid w:val="007D7B17"/>
    <w:rsid w:val="007D7FD2"/>
    <w:rsid w:val="007E0183"/>
    <w:rsid w:val="007E0768"/>
    <w:rsid w:val="007E0954"/>
    <w:rsid w:val="007E0EF4"/>
    <w:rsid w:val="007E0EF6"/>
    <w:rsid w:val="007E12CC"/>
    <w:rsid w:val="007E13D9"/>
    <w:rsid w:val="007E1680"/>
    <w:rsid w:val="007E17E3"/>
    <w:rsid w:val="007E185E"/>
    <w:rsid w:val="007E1998"/>
    <w:rsid w:val="007E1DCB"/>
    <w:rsid w:val="007E234F"/>
    <w:rsid w:val="007E2AEC"/>
    <w:rsid w:val="007E35F9"/>
    <w:rsid w:val="007E3949"/>
    <w:rsid w:val="007E3F1F"/>
    <w:rsid w:val="007E3F3D"/>
    <w:rsid w:val="007E4060"/>
    <w:rsid w:val="007E41BE"/>
    <w:rsid w:val="007E42C3"/>
    <w:rsid w:val="007E4528"/>
    <w:rsid w:val="007E4792"/>
    <w:rsid w:val="007E4B22"/>
    <w:rsid w:val="007E4DB6"/>
    <w:rsid w:val="007E4F0D"/>
    <w:rsid w:val="007E5598"/>
    <w:rsid w:val="007E559E"/>
    <w:rsid w:val="007E590B"/>
    <w:rsid w:val="007E5925"/>
    <w:rsid w:val="007E6295"/>
    <w:rsid w:val="007E6733"/>
    <w:rsid w:val="007E7188"/>
    <w:rsid w:val="007E7A1C"/>
    <w:rsid w:val="007E7CD4"/>
    <w:rsid w:val="007E7D71"/>
    <w:rsid w:val="007F0C0E"/>
    <w:rsid w:val="007F12AC"/>
    <w:rsid w:val="007F18CB"/>
    <w:rsid w:val="007F1900"/>
    <w:rsid w:val="007F1CB6"/>
    <w:rsid w:val="007F201F"/>
    <w:rsid w:val="007F2E6D"/>
    <w:rsid w:val="007F2F45"/>
    <w:rsid w:val="007F30FA"/>
    <w:rsid w:val="007F3886"/>
    <w:rsid w:val="007F411E"/>
    <w:rsid w:val="007F4501"/>
    <w:rsid w:val="007F461A"/>
    <w:rsid w:val="007F4879"/>
    <w:rsid w:val="007F488A"/>
    <w:rsid w:val="007F48F8"/>
    <w:rsid w:val="007F4C64"/>
    <w:rsid w:val="007F50DD"/>
    <w:rsid w:val="007F5194"/>
    <w:rsid w:val="007F54AF"/>
    <w:rsid w:val="007F55D9"/>
    <w:rsid w:val="007F5BD2"/>
    <w:rsid w:val="007F60DF"/>
    <w:rsid w:val="007F61A5"/>
    <w:rsid w:val="007F6262"/>
    <w:rsid w:val="007F6ADB"/>
    <w:rsid w:val="007F6C2C"/>
    <w:rsid w:val="007F6D6C"/>
    <w:rsid w:val="007F7293"/>
    <w:rsid w:val="007F7955"/>
    <w:rsid w:val="007F7B43"/>
    <w:rsid w:val="007F7CB5"/>
    <w:rsid w:val="007F7FC2"/>
    <w:rsid w:val="00800518"/>
    <w:rsid w:val="00800FB3"/>
    <w:rsid w:val="00800FC1"/>
    <w:rsid w:val="00801053"/>
    <w:rsid w:val="0080161F"/>
    <w:rsid w:val="00801800"/>
    <w:rsid w:val="00801861"/>
    <w:rsid w:val="00801B5B"/>
    <w:rsid w:val="00802414"/>
    <w:rsid w:val="00802F70"/>
    <w:rsid w:val="00802F99"/>
    <w:rsid w:val="00802FD6"/>
    <w:rsid w:val="0080312F"/>
    <w:rsid w:val="00803468"/>
    <w:rsid w:val="008034D5"/>
    <w:rsid w:val="00803657"/>
    <w:rsid w:val="00803B64"/>
    <w:rsid w:val="00804530"/>
    <w:rsid w:val="00804553"/>
    <w:rsid w:val="00804B4D"/>
    <w:rsid w:val="0080500F"/>
    <w:rsid w:val="00805193"/>
    <w:rsid w:val="00805256"/>
    <w:rsid w:val="00805266"/>
    <w:rsid w:val="0080576B"/>
    <w:rsid w:val="0080590E"/>
    <w:rsid w:val="00805A30"/>
    <w:rsid w:val="00805BB4"/>
    <w:rsid w:val="0080692D"/>
    <w:rsid w:val="008072EB"/>
    <w:rsid w:val="00807378"/>
    <w:rsid w:val="00807521"/>
    <w:rsid w:val="00807F3F"/>
    <w:rsid w:val="00810B46"/>
    <w:rsid w:val="00810F09"/>
    <w:rsid w:val="00811055"/>
    <w:rsid w:val="008110D7"/>
    <w:rsid w:val="00811AD9"/>
    <w:rsid w:val="00811CD6"/>
    <w:rsid w:val="008120A8"/>
    <w:rsid w:val="008124AC"/>
    <w:rsid w:val="0081266C"/>
    <w:rsid w:val="008127EC"/>
    <w:rsid w:val="00812982"/>
    <w:rsid w:val="008134A0"/>
    <w:rsid w:val="008136A6"/>
    <w:rsid w:val="00813726"/>
    <w:rsid w:val="0081375A"/>
    <w:rsid w:val="0081392F"/>
    <w:rsid w:val="00813BF7"/>
    <w:rsid w:val="00813CAD"/>
    <w:rsid w:val="00813D5E"/>
    <w:rsid w:val="00814582"/>
    <w:rsid w:val="0081493D"/>
    <w:rsid w:val="00814F1C"/>
    <w:rsid w:val="00815046"/>
    <w:rsid w:val="00815708"/>
    <w:rsid w:val="008157D6"/>
    <w:rsid w:val="0081594A"/>
    <w:rsid w:val="00815AAF"/>
    <w:rsid w:val="00815F4F"/>
    <w:rsid w:val="00816572"/>
    <w:rsid w:val="00816AE9"/>
    <w:rsid w:val="00817120"/>
    <w:rsid w:val="0081712D"/>
    <w:rsid w:val="008172CA"/>
    <w:rsid w:val="00817519"/>
    <w:rsid w:val="0081792C"/>
    <w:rsid w:val="00817BBB"/>
    <w:rsid w:val="00817D14"/>
    <w:rsid w:val="00817D7A"/>
    <w:rsid w:val="00817F6C"/>
    <w:rsid w:val="00817FF0"/>
    <w:rsid w:val="00820073"/>
    <w:rsid w:val="00820DBE"/>
    <w:rsid w:val="00820F11"/>
    <w:rsid w:val="008216E7"/>
    <w:rsid w:val="00821BFD"/>
    <w:rsid w:val="00821F49"/>
    <w:rsid w:val="008220AC"/>
    <w:rsid w:val="008222F8"/>
    <w:rsid w:val="008226BF"/>
    <w:rsid w:val="0082278B"/>
    <w:rsid w:val="00822947"/>
    <w:rsid w:val="008229F4"/>
    <w:rsid w:val="00822CA2"/>
    <w:rsid w:val="00822FF7"/>
    <w:rsid w:val="0082309F"/>
    <w:rsid w:val="0082366E"/>
    <w:rsid w:val="00823E9E"/>
    <w:rsid w:val="008240C5"/>
    <w:rsid w:val="0082446D"/>
    <w:rsid w:val="00824477"/>
    <w:rsid w:val="00824493"/>
    <w:rsid w:val="008247E2"/>
    <w:rsid w:val="00824C9C"/>
    <w:rsid w:val="00824FAE"/>
    <w:rsid w:val="008253FE"/>
    <w:rsid w:val="00825AB3"/>
    <w:rsid w:val="00825BE6"/>
    <w:rsid w:val="00825C51"/>
    <w:rsid w:val="0082614B"/>
    <w:rsid w:val="0082626D"/>
    <w:rsid w:val="00826900"/>
    <w:rsid w:val="00826982"/>
    <w:rsid w:val="00826E09"/>
    <w:rsid w:val="00826E49"/>
    <w:rsid w:val="008270EE"/>
    <w:rsid w:val="00827508"/>
    <w:rsid w:val="00827676"/>
    <w:rsid w:val="008276B4"/>
    <w:rsid w:val="008277D7"/>
    <w:rsid w:val="00827E28"/>
    <w:rsid w:val="00830638"/>
    <w:rsid w:val="00830EFD"/>
    <w:rsid w:val="00830F51"/>
    <w:rsid w:val="0083103F"/>
    <w:rsid w:val="00831116"/>
    <w:rsid w:val="0083139C"/>
    <w:rsid w:val="00831662"/>
    <w:rsid w:val="00831927"/>
    <w:rsid w:val="00831B80"/>
    <w:rsid w:val="00831C9A"/>
    <w:rsid w:val="008323B9"/>
    <w:rsid w:val="008325FE"/>
    <w:rsid w:val="00832ABA"/>
    <w:rsid w:val="00832C0E"/>
    <w:rsid w:val="00833157"/>
    <w:rsid w:val="00833169"/>
    <w:rsid w:val="00833342"/>
    <w:rsid w:val="008339E1"/>
    <w:rsid w:val="00833ABD"/>
    <w:rsid w:val="00833AF3"/>
    <w:rsid w:val="00833BD8"/>
    <w:rsid w:val="00833FE8"/>
    <w:rsid w:val="008342E3"/>
    <w:rsid w:val="00834724"/>
    <w:rsid w:val="00834A31"/>
    <w:rsid w:val="00834C7F"/>
    <w:rsid w:val="008350A0"/>
    <w:rsid w:val="00835131"/>
    <w:rsid w:val="008353E6"/>
    <w:rsid w:val="00835491"/>
    <w:rsid w:val="008356DD"/>
    <w:rsid w:val="0083584A"/>
    <w:rsid w:val="00835B61"/>
    <w:rsid w:val="00835E27"/>
    <w:rsid w:val="00836251"/>
    <w:rsid w:val="0083634C"/>
    <w:rsid w:val="008364CA"/>
    <w:rsid w:val="00836CB5"/>
    <w:rsid w:val="00836DB8"/>
    <w:rsid w:val="00837288"/>
    <w:rsid w:val="008374AA"/>
    <w:rsid w:val="008376C3"/>
    <w:rsid w:val="00837742"/>
    <w:rsid w:val="008379F0"/>
    <w:rsid w:val="00837AD8"/>
    <w:rsid w:val="00837BE7"/>
    <w:rsid w:val="00837ED0"/>
    <w:rsid w:val="00841561"/>
    <w:rsid w:val="00841794"/>
    <w:rsid w:val="0084185A"/>
    <w:rsid w:val="00841BD3"/>
    <w:rsid w:val="00841F0C"/>
    <w:rsid w:val="008426CF"/>
    <w:rsid w:val="0084273D"/>
    <w:rsid w:val="00842978"/>
    <w:rsid w:val="00842E09"/>
    <w:rsid w:val="00842FFD"/>
    <w:rsid w:val="008433B1"/>
    <w:rsid w:val="008434D6"/>
    <w:rsid w:val="008435B5"/>
    <w:rsid w:val="008435C1"/>
    <w:rsid w:val="00843D18"/>
    <w:rsid w:val="00843E9E"/>
    <w:rsid w:val="00843F03"/>
    <w:rsid w:val="0084440C"/>
    <w:rsid w:val="00844E3F"/>
    <w:rsid w:val="00844F25"/>
    <w:rsid w:val="0084535E"/>
    <w:rsid w:val="00845A83"/>
    <w:rsid w:val="00845BB7"/>
    <w:rsid w:val="00845F8B"/>
    <w:rsid w:val="008463F2"/>
    <w:rsid w:val="0084645A"/>
    <w:rsid w:val="008469C2"/>
    <w:rsid w:val="00846BB9"/>
    <w:rsid w:val="0084754C"/>
    <w:rsid w:val="00847CC8"/>
    <w:rsid w:val="00847D4F"/>
    <w:rsid w:val="0085043E"/>
    <w:rsid w:val="00850467"/>
    <w:rsid w:val="008504AF"/>
    <w:rsid w:val="00851476"/>
    <w:rsid w:val="00851676"/>
    <w:rsid w:val="0085208A"/>
    <w:rsid w:val="0085225C"/>
    <w:rsid w:val="008527B9"/>
    <w:rsid w:val="00852A68"/>
    <w:rsid w:val="00852C32"/>
    <w:rsid w:val="00852C55"/>
    <w:rsid w:val="008530F1"/>
    <w:rsid w:val="008532D9"/>
    <w:rsid w:val="00853410"/>
    <w:rsid w:val="0085346A"/>
    <w:rsid w:val="00853736"/>
    <w:rsid w:val="0085381B"/>
    <w:rsid w:val="0085383A"/>
    <w:rsid w:val="0085386F"/>
    <w:rsid w:val="008540E4"/>
    <w:rsid w:val="00854977"/>
    <w:rsid w:val="008549A2"/>
    <w:rsid w:val="00854FAC"/>
    <w:rsid w:val="00855052"/>
    <w:rsid w:val="0085565E"/>
    <w:rsid w:val="008557D0"/>
    <w:rsid w:val="0085583F"/>
    <w:rsid w:val="008558E8"/>
    <w:rsid w:val="00855C29"/>
    <w:rsid w:val="00855FAF"/>
    <w:rsid w:val="008560A3"/>
    <w:rsid w:val="00856156"/>
    <w:rsid w:val="00856D6D"/>
    <w:rsid w:val="00856DBC"/>
    <w:rsid w:val="00857120"/>
    <w:rsid w:val="00857420"/>
    <w:rsid w:val="00857461"/>
    <w:rsid w:val="008576D1"/>
    <w:rsid w:val="00860329"/>
    <w:rsid w:val="00860DCF"/>
    <w:rsid w:val="0086173D"/>
    <w:rsid w:val="00861BEF"/>
    <w:rsid w:val="00861FCE"/>
    <w:rsid w:val="00862284"/>
    <w:rsid w:val="00862E1D"/>
    <w:rsid w:val="0086347E"/>
    <w:rsid w:val="0086367F"/>
    <w:rsid w:val="00863EA2"/>
    <w:rsid w:val="00863EBE"/>
    <w:rsid w:val="008640EB"/>
    <w:rsid w:val="008649D5"/>
    <w:rsid w:val="00864AD5"/>
    <w:rsid w:val="00864EA1"/>
    <w:rsid w:val="008655F9"/>
    <w:rsid w:val="00865800"/>
    <w:rsid w:val="00865ED1"/>
    <w:rsid w:val="00866351"/>
    <w:rsid w:val="0086637D"/>
    <w:rsid w:val="00866560"/>
    <w:rsid w:val="008666B9"/>
    <w:rsid w:val="008666EF"/>
    <w:rsid w:val="00867769"/>
    <w:rsid w:val="00867916"/>
    <w:rsid w:val="00867D14"/>
    <w:rsid w:val="00867E2E"/>
    <w:rsid w:val="00867EEE"/>
    <w:rsid w:val="00870A82"/>
    <w:rsid w:val="00870C33"/>
    <w:rsid w:val="00870C6C"/>
    <w:rsid w:val="008710DE"/>
    <w:rsid w:val="0087122E"/>
    <w:rsid w:val="008712BB"/>
    <w:rsid w:val="008717DE"/>
    <w:rsid w:val="00871C3D"/>
    <w:rsid w:val="00871EBF"/>
    <w:rsid w:val="008721E2"/>
    <w:rsid w:val="008725B2"/>
    <w:rsid w:val="008726DF"/>
    <w:rsid w:val="00873009"/>
    <w:rsid w:val="00873297"/>
    <w:rsid w:val="008737E0"/>
    <w:rsid w:val="0087414C"/>
    <w:rsid w:val="00874156"/>
    <w:rsid w:val="0087453F"/>
    <w:rsid w:val="00874713"/>
    <w:rsid w:val="00874770"/>
    <w:rsid w:val="00874DD2"/>
    <w:rsid w:val="008752F5"/>
    <w:rsid w:val="00875440"/>
    <w:rsid w:val="008757BA"/>
    <w:rsid w:val="00876455"/>
    <w:rsid w:val="00876574"/>
    <w:rsid w:val="00876DCE"/>
    <w:rsid w:val="00877014"/>
    <w:rsid w:val="0087742E"/>
    <w:rsid w:val="00880949"/>
    <w:rsid w:val="00880D34"/>
    <w:rsid w:val="008813A9"/>
    <w:rsid w:val="0088156E"/>
    <w:rsid w:val="00881603"/>
    <w:rsid w:val="0088237F"/>
    <w:rsid w:val="00882701"/>
    <w:rsid w:val="00882A19"/>
    <w:rsid w:val="00882B01"/>
    <w:rsid w:val="00882CD1"/>
    <w:rsid w:val="00882FC7"/>
    <w:rsid w:val="008830E7"/>
    <w:rsid w:val="00884172"/>
    <w:rsid w:val="00884447"/>
    <w:rsid w:val="008844B5"/>
    <w:rsid w:val="0088485F"/>
    <w:rsid w:val="00884A9D"/>
    <w:rsid w:val="00885078"/>
    <w:rsid w:val="0088544C"/>
    <w:rsid w:val="00885577"/>
    <w:rsid w:val="00885755"/>
    <w:rsid w:val="00885796"/>
    <w:rsid w:val="00885A13"/>
    <w:rsid w:val="00885D9D"/>
    <w:rsid w:val="0088649E"/>
    <w:rsid w:val="00886C4B"/>
    <w:rsid w:val="00886F79"/>
    <w:rsid w:val="0088779B"/>
    <w:rsid w:val="0088784A"/>
    <w:rsid w:val="0089014F"/>
    <w:rsid w:val="008901B4"/>
    <w:rsid w:val="008902C2"/>
    <w:rsid w:val="00890834"/>
    <w:rsid w:val="00890D93"/>
    <w:rsid w:val="00890EDE"/>
    <w:rsid w:val="00891A1C"/>
    <w:rsid w:val="00891CE9"/>
    <w:rsid w:val="00891E61"/>
    <w:rsid w:val="00891ED9"/>
    <w:rsid w:val="00892108"/>
    <w:rsid w:val="008923EF"/>
    <w:rsid w:val="0089269C"/>
    <w:rsid w:val="00892794"/>
    <w:rsid w:val="00892814"/>
    <w:rsid w:val="00892B38"/>
    <w:rsid w:val="0089310B"/>
    <w:rsid w:val="00893592"/>
    <w:rsid w:val="0089380C"/>
    <w:rsid w:val="00893C18"/>
    <w:rsid w:val="008940A2"/>
    <w:rsid w:val="0089421F"/>
    <w:rsid w:val="00894956"/>
    <w:rsid w:val="00894FE1"/>
    <w:rsid w:val="00895531"/>
    <w:rsid w:val="00895675"/>
    <w:rsid w:val="00895A15"/>
    <w:rsid w:val="00895A5D"/>
    <w:rsid w:val="008966D8"/>
    <w:rsid w:val="00896A9B"/>
    <w:rsid w:val="00897040"/>
    <w:rsid w:val="008975ED"/>
    <w:rsid w:val="00897837"/>
    <w:rsid w:val="00897ECE"/>
    <w:rsid w:val="00897FDD"/>
    <w:rsid w:val="008A01E8"/>
    <w:rsid w:val="008A0565"/>
    <w:rsid w:val="008A05A4"/>
    <w:rsid w:val="008A064F"/>
    <w:rsid w:val="008A0E69"/>
    <w:rsid w:val="008A1741"/>
    <w:rsid w:val="008A1A22"/>
    <w:rsid w:val="008A2105"/>
    <w:rsid w:val="008A21B6"/>
    <w:rsid w:val="008A232C"/>
    <w:rsid w:val="008A2484"/>
    <w:rsid w:val="008A2854"/>
    <w:rsid w:val="008A3562"/>
    <w:rsid w:val="008A3E82"/>
    <w:rsid w:val="008A4C15"/>
    <w:rsid w:val="008A52F3"/>
    <w:rsid w:val="008A5430"/>
    <w:rsid w:val="008A55A6"/>
    <w:rsid w:val="008A5654"/>
    <w:rsid w:val="008A567D"/>
    <w:rsid w:val="008A598D"/>
    <w:rsid w:val="008A59AC"/>
    <w:rsid w:val="008A5B9E"/>
    <w:rsid w:val="008A71A3"/>
    <w:rsid w:val="008A721A"/>
    <w:rsid w:val="008A741F"/>
    <w:rsid w:val="008A7F3C"/>
    <w:rsid w:val="008A7FFC"/>
    <w:rsid w:val="008B0180"/>
    <w:rsid w:val="008B0271"/>
    <w:rsid w:val="008B0553"/>
    <w:rsid w:val="008B06F0"/>
    <w:rsid w:val="008B133D"/>
    <w:rsid w:val="008B150E"/>
    <w:rsid w:val="008B16C0"/>
    <w:rsid w:val="008B1989"/>
    <w:rsid w:val="008B1E99"/>
    <w:rsid w:val="008B207D"/>
    <w:rsid w:val="008B2D63"/>
    <w:rsid w:val="008B2FCE"/>
    <w:rsid w:val="008B30FC"/>
    <w:rsid w:val="008B365A"/>
    <w:rsid w:val="008B3698"/>
    <w:rsid w:val="008B3FA8"/>
    <w:rsid w:val="008B41D9"/>
    <w:rsid w:val="008B41FA"/>
    <w:rsid w:val="008B48F5"/>
    <w:rsid w:val="008B4ABE"/>
    <w:rsid w:val="008B4AD4"/>
    <w:rsid w:val="008B4C58"/>
    <w:rsid w:val="008B4F1B"/>
    <w:rsid w:val="008B502E"/>
    <w:rsid w:val="008B5939"/>
    <w:rsid w:val="008B5D5B"/>
    <w:rsid w:val="008B5E49"/>
    <w:rsid w:val="008B6377"/>
    <w:rsid w:val="008B6629"/>
    <w:rsid w:val="008B6AE2"/>
    <w:rsid w:val="008B6CE1"/>
    <w:rsid w:val="008B7520"/>
    <w:rsid w:val="008B786B"/>
    <w:rsid w:val="008B7BC1"/>
    <w:rsid w:val="008C00F5"/>
    <w:rsid w:val="008C01FC"/>
    <w:rsid w:val="008C03C5"/>
    <w:rsid w:val="008C070B"/>
    <w:rsid w:val="008C071C"/>
    <w:rsid w:val="008C0D9F"/>
    <w:rsid w:val="008C0F97"/>
    <w:rsid w:val="008C12E7"/>
    <w:rsid w:val="008C1512"/>
    <w:rsid w:val="008C1737"/>
    <w:rsid w:val="008C17BA"/>
    <w:rsid w:val="008C19F4"/>
    <w:rsid w:val="008C2184"/>
    <w:rsid w:val="008C26D9"/>
    <w:rsid w:val="008C271E"/>
    <w:rsid w:val="008C2952"/>
    <w:rsid w:val="008C2BD8"/>
    <w:rsid w:val="008C306E"/>
    <w:rsid w:val="008C3DF0"/>
    <w:rsid w:val="008C3FB2"/>
    <w:rsid w:val="008C40F8"/>
    <w:rsid w:val="008C41D3"/>
    <w:rsid w:val="008C4397"/>
    <w:rsid w:val="008C47F3"/>
    <w:rsid w:val="008C4878"/>
    <w:rsid w:val="008C5EDE"/>
    <w:rsid w:val="008C5F2D"/>
    <w:rsid w:val="008C6A04"/>
    <w:rsid w:val="008C6CEA"/>
    <w:rsid w:val="008C6D50"/>
    <w:rsid w:val="008C7167"/>
    <w:rsid w:val="008C74CC"/>
    <w:rsid w:val="008C7503"/>
    <w:rsid w:val="008C7A2B"/>
    <w:rsid w:val="008D003D"/>
    <w:rsid w:val="008D1458"/>
    <w:rsid w:val="008D15DC"/>
    <w:rsid w:val="008D1617"/>
    <w:rsid w:val="008D170C"/>
    <w:rsid w:val="008D1CD6"/>
    <w:rsid w:val="008D2565"/>
    <w:rsid w:val="008D2682"/>
    <w:rsid w:val="008D2C3C"/>
    <w:rsid w:val="008D2D56"/>
    <w:rsid w:val="008D3226"/>
    <w:rsid w:val="008D330F"/>
    <w:rsid w:val="008D3820"/>
    <w:rsid w:val="008D3ACA"/>
    <w:rsid w:val="008D3C9A"/>
    <w:rsid w:val="008D410B"/>
    <w:rsid w:val="008D4206"/>
    <w:rsid w:val="008D48C1"/>
    <w:rsid w:val="008D4A70"/>
    <w:rsid w:val="008D576C"/>
    <w:rsid w:val="008D59AF"/>
    <w:rsid w:val="008D60E1"/>
    <w:rsid w:val="008D6197"/>
    <w:rsid w:val="008D75F2"/>
    <w:rsid w:val="008D7918"/>
    <w:rsid w:val="008D7E21"/>
    <w:rsid w:val="008D7E4B"/>
    <w:rsid w:val="008E0148"/>
    <w:rsid w:val="008E068F"/>
    <w:rsid w:val="008E120B"/>
    <w:rsid w:val="008E13B1"/>
    <w:rsid w:val="008E1779"/>
    <w:rsid w:val="008E1AF3"/>
    <w:rsid w:val="008E1C37"/>
    <w:rsid w:val="008E1F79"/>
    <w:rsid w:val="008E1FAB"/>
    <w:rsid w:val="008E2095"/>
    <w:rsid w:val="008E2258"/>
    <w:rsid w:val="008E2AAA"/>
    <w:rsid w:val="008E2AE6"/>
    <w:rsid w:val="008E2FB3"/>
    <w:rsid w:val="008E39B7"/>
    <w:rsid w:val="008E3A2C"/>
    <w:rsid w:val="008E428D"/>
    <w:rsid w:val="008E4586"/>
    <w:rsid w:val="008E47E1"/>
    <w:rsid w:val="008E4C2F"/>
    <w:rsid w:val="008E4E17"/>
    <w:rsid w:val="008E5345"/>
    <w:rsid w:val="008E53DE"/>
    <w:rsid w:val="008E5685"/>
    <w:rsid w:val="008E5686"/>
    <w:rsid w:val="008E5902"/>
    <w:rsid w:val="008E5C9F"/>
    <w:rsid w:val="008E5DC7"/>
    <w:rsid w:val="008E5E56"/>
    <w:rsid w:val="008E6315"/>
    <w:rsid w:val="008E64F7"/>
    <w:rsid w:val="008E6581"/>
    <w:rsid w:val="008E67EA"/>
    <w:rsid w:val="008E6911"/>
    <w:rsid w:val="008E6BBB"/>
    <w:rsid w:val="008E710F"/>
    <w:rsid w:val="008E713E"/>
    <w:rsid w:val="008E782E"/>
    <w:rsid w:val="008F02C3"/>
    <w:rsid w:val="008F0480"/>
    <w:rsid w:val="008F07FC"/>
    <w:rsid w:val="008F0880"/>
    <w:rsid w:val="008F0F01"/>
    <w:rsid w:val="008F11E0"/>
    <w:rsid w:val="008F15FF"/>
    <w:rsid w:val="008F20D1"/>
    <w:rsid w:val="008F275C"/>
    <w:rsid w:val="008F2876"/>
    <w:rsid w:val="008F2951"/>
    <w:rsid w:val="008F3475"/>
    <w:rsid w:val="008F394C"/>
    <w:rsid w:val="008F3C7D"/>
    <w:rsid w:val="008F3EA7"/>
    <w:rsid w:val="008F469E"/>
    <w:rsid w:val="008F4894"/>
    <w:rsid w:val="008F4DA2"/>
    <w:rsid w:val="008F4FEB"/>
    <w:rsid w:val="008F5134"/>
    <w:rsid w:val="008F5731"/>
    <w:rsid w:val="008F5883"/>
    <w:rsid w:val="008F59ED"/>
    <w:rsid w:val="008F5AFF"/>
    <w:rsid w:val="008F5CDB"/>
    <w:rsid w:val="008F5D1D"/>
    <w:rsid w:val="008F6291"/>
    <w:rsid w:val="008F64D9"/>
    <w:rsid w:val="008F6819"/>
    <w:rsid w:val="008F6E12"/>
    <w:rsid w:val="008F6E89"/>
    <w:rsid w:val="008F701A"/>
    <w:rsid w:val="008F7299"/>
    <w:rsid w:val="008F78BC"/>
    <w:rsid w:val="008F7B63"/>
    <w:rsid w:val="008F7D6A"/>
    <w:rsid w:val="009000E8"/>
    <w:rsid w:val="009000FE"/>
    <w:rsid w:val="0090010C"/>
    <w:rsid w:val="00900345"/>
    <w:rsid w:val="009006AB"/>
    <w:rsid w:val="009006D5"/>
    <w:rsid w:val="0090095B"/>
    <w:rsid w:val="00900DC2"/>
    <w:rsid w:val="00901073"/>
    <w:rsid w:val="0090124F"/>
    <w:rsid w:val="009014DD"/>
    <w:rsid w:val="00901C86"/>
    <w:rsid w:val="00902403"/>
    <w:rsid w:val="00902B8E"/>
    <w:rsid w:val="00902BEB"/>
    <w:rsid w:val="00902F14"/>
    <w:rsid w:val="0090353D"/>
    <w:rsid w:val="009035DB"/>
    <w:rsid w:val="00903603"/>
    <w:rsid w:val="0090393E"/>
    <w:rsid w:val="00903BBA"/>
    <w:rsid w:val="00903BF0"/>
    <w:rsid w:val="00903C13"/>
    <w:rsid w:val="00903F8D"/>
    <w:rsid w:val="00904063"/>
    <w:rsid w:val="00904294"/>
    <w:rsid w:val="00904B40"/>
    <w:rsid w:val="00904D14"/>
    <w:rsid w:val="00904DF3"/>
    <w:rsid w:val="009050C5"/>
    <w:rsid w:val="0090526A"/>
    <w:rsid w:val="00905281"/>
    <w:rsid w:val="00905345"/>
    <w:rsid w:val="009054CB"/>
    <w:rsid w:val="00905581"/>
    <w:rsid w:val="009055F8"/>
    <w:rsid w:val="00905756"/>
    <w:rsid w:val="0090626B"/>
    <w:rsid w:val="009067C2"/>
    <w:rsid w:val="00906A99"/>
    <w:rsid w:val="00906CEA"/>
    <w:rsid w:val="009072ED"/>
    <w:rsid w:val="00907A4D"/>
    <w:rsid w:val="00907E80"/>
    <w:rsid w:val="00907F97"/>
    <w:rsid w:val="009100C7"/>
    <w:rsid w:val="009104CC"/>
    <w:rsid w:val="00910634"/>
    <w:rsid w:val="00910AF6"/>
    <w:rsid w:val="00910EFE"/>
    <w:rsid w:val="009110ED"/>
    <w:rsid w:val="00911B9D"/>
    <w:rsid w:val="00911F8D"/>
    <w:rsid w:val="00912482"/>
    <w:rsid w:val="009126E3"/>
    <w:rsid w:val="009128D6"/>
    <w:rsid w:val="00912B29"/>
    <w:rsid w:val="00912D3C"/>
    <w:rsid w:val="00912ED3"/>
    <w:rsid w:val="00912F94"/>
    <w:rsid w:val="00913512"/>
    <w:rsid w:val="00913816"/>
    <w:rsid w:val="009138A1"/>
    <w:rsid w:val="00913CB1"/>
    <w:rsid w:val="009140AD"/>
    <w:rsid w:val="0091419A"/>
    <w:rsid w:val="009149D2"/>
    <w:rsid w:val="0091536C"/>
    <w:rsid w:val="00915452"/>
    <w:rsid w:val="009154EB"/>
    <w:rsid w:val="00915870"/>
    <w:rsid w:val="009158AD"/>
    <w:rsid w:val="0091650E"/>
    <w:rsid w:val="00917122"/>
    <w:rsid w:val="00917140"/>
    <w:rsid w:val="009171BC"/>
    <w:rsid w:val="00917208"/>
    <w:rsid w:val="00917327"/>
    <w:rsid w:val="009174F7"/>
    <w:rsid w:val="00917C6A"/>
    <w:rsid w:val="00917EB0"/>
    <w:rsid w:val="009201AF"/>
    <w:rsid w:val="009208FE"/>
    <w:rsid w:val="00920E65"/>
    <w:rsid w:val="00920EF6"/>
    <w:rsid w:val="00921330"/>
    <w:rsid w:val="00921682"/>
    <w:rsid w:val="00921A01"/>
    <w:rsid w:val="00921B52"/>
    <w:rsid w:val="00921BE5"/>
    <w:rsid w:val="00922579"/>
    <w:rsid w:val="009235ED"/>
    <w:rsid w:val="009237F0"/>
    <w:rsid w:val="00923C59"/>
    <w:rsid w:val="0092497E"/>
    <w:rsid w:val="00924FDD"/>
    <w:rsid w:val="00925500"/>
    <w:rsid w:val="0092561B"/>
    <w:rsid w:val="0092590B"/>
    <w:rsid w:val="00925A3B"/>
    <w:rsid w:val="00925B14"/>
    <w:rsid w:val="00925BF3"/>
    <w:rsid w:val="00925E60"/>
    <w:rsid w:val="00926017"/>
    <w:rsid w:val="009264B3"/>
    <w:rsid w:val="00926AE2"/>
    <w:rsid w:val="00927101"/>
    <w:rsid w:val="009275C8"/>
    <w:rsid w:val="009276AC"/>
    <w:rsid w:val="00927B30"/>
    <w:rsid w:val="00930230"/>
    <w:rsid w:val="00930E7F"/>
    <w:rsid w:val="00930EA4"/>
    <w:rsid w:val="00930FE0"/>
    <w:rsid w:val="00931318"/>
    <w:rsid w:val="009317D3"/>
    <w:rsid w:val="00931E4C"/>
    <w:rsid w:val="009322CE"/>
    <w:rsid w:val="00932305"/>
    <w:rsid w:val="0093281D"/>
    <w:rsid w:val="0093290E"/>
    <w:rsid w:val="009329FA"/>
    <w:rsid w:val="00932C0A"/>
    <w:rsid w:val="00932CF8"/>
    <w:rsid w:val="00932E4A"/>
    <w:rsid w:val="00933468"/>
    <w:rsid w:val="009334CD"/>
    <w:rsid w:val="0093388D"/>
    <w:rsid w:val="00933B7B"/>
    <w:rsid w:val="00933E7E"/>
    <w:rsid w:val="0093416B"/>
    <w:rsid w:val="0093440E"/>
    <w:rsid w:val="0093486B"/>
    <w:rsid w:val="00934FB1"/>
    <w:rsid w:val="0093518C"/>
    <w:rsid w:val="00935BEC"/>
    <w:rsid w:val="00935BEE"/>
    <w:rsid w:val="00935F03"/>
    <w:rsid w:val="00935FC6"/>
    <w:rsid w:val="009361C4"/>
    <w:rsid w:val="009365E0"/>
    <w:rsid w:val="009367C6"/>
    <w:rsid w:val="00936A7E"/>
    <w:rsid w:val="00936D16"/>
    <w:rsid w:val="00937475"/>
    <w:rsid w:val="00937AC1"/>
    <w:rsid w:val="00937B98"/>
    <w:rsid w:val="00937D83"/>
    <w:rsid w:val="009406EE"/>
    <w:rsid w:val="00940A40"/>
    <w:rsid w:val="00940A93"/>
    <w:rsid w:val="00940CAE"/>
    <w:rsid w:val="0094178B"/>
    <w:rsid w:val="00941D42"/>
    <w:rsid w:val="0094277F"/>
    <w:rsid w:val="00942BA2"/>
    <w:rsid w:val="009432B7"/>
    <w:rsid w:val="009434C6"/>
    <w:rsid w:val="00943908"/>
    <w:rsid w:val="00944136"/>
    <w:rsid w:val="009442D6"/>
    <w:rsid w:val="009447BB"/>
    <w:rsid w:val="009447CF"/>
    <w:rsid w:val="00944C86"/>
    <w:rsid w:val="00944EA9"/>
    <w:rsid w:val="009454F7"/>
    <w:rsid w:val="00945555"/>
    <w:rsid w:val="00945599"/>
    <w:rsid w:val="009456E2"/>
    <w:rsid w:val="009458A1"/>
    <w:rsid w:val="00946D29"/>
    <w:rsid w:val="009475C1"/>
    <w:rsid w:val="00947614"/>
    <w:rsid w:val="00947C02"/>
    <w:rsid w:val="00947C71"/>
    <w:rsid w:val="00950363"/>
    <w:rsid w:val="009505A2"/>
    <w:rsid w:val="00950A3A"/>
    <w:rsid w:val="00950BE6"/>
    <w:rsid w:val="00950EAA"/>
    <w:rsid w:val="0095129E"/>
    <w:rsid w:val="0095143C"/>
    <w:rsid w:val="00951903"/>
    <w:rsid w:val="00951933"/>
    <w:rsid w:val="00951D18"/>
    <w:rsid w:val="00951D25"/>
    <w:rsid w:val="009520F2"/>
    <w:rsid w:val="0095223D"/>
    <w:rsid w:val="0095271E"/>
    <w:rsid w:val="00952911"/>
    <w:rsid w:val="00952B74"/>
    <w:rsid w:val="0095382B"/>
    <w:rsid w:val="00953914"/>
    <w:rsid w:val="00953DC5"/>
    <w:rsid w:val="00953E34"/>
    <w:rsid w:val="00953ED6"/>
    <w:rsid w:val="0095414F"/>
    <w:rsid w:val="00954861"/>
    <w:rsid w:val="00954C48"/>
    <w:rsid w:val="00954E5F"/>
    <w:rsid w:val="0095599F"/>
    <w:rsid w:val="0095605D"/>
    <w:rsid w:val="0095656A"/>
    <w:rsid w:val="00956810"/>
    <w:rsid w:val="00956C6C"/>
    <w:rsid w:val="00956C94"/>
    <w:rsid w:val="0095738D"/>
    <w:rsid w:val="00957585"/>
    <w:rsid w:val="00957596"/>
    <w:rsid w:val="009576D4"/>
    <w:rsid w:val="009579FF"/>
    <w:rsid w:val="00957DE8"/>
    <w:rsid w:val="0096082D"/>
    <w:rsid w:val="00960CFA"/>
    <w:rsid w:val="00960ECB"/>
    <w:rsid w:val="0096130B"/>
    <w:rsid w:val="009615D6"/>
    <w:rsid w:val="00962551"/>
    <w:rsid w:val="00962649"/>
    <w:rsid w:val="00962674"/>
    <w:rsid w:val="009627FE"/>
    <w:rsid w:val="00962CB0"/>
    <w:rsid w:val="00962E0C"/>
    <w:rsid w:val="0096366C"/>
    <w:rsid w:val="00963918"/>
    <w:rsid w:val="00963AB3"/>
    <w:rsid w:val="009641E2"/>
    <w:rsid w:val="00964275"/>
    <w:rsid w:val="009646B4"/>
    <w:rsid w:val="00965655"/>
    <w:rsid w:val="009657C6"/>
    <w:rsid w:val="00965A40"/>
    <w:rsid w:val="00965B62"/>
    <w:rsid w:val="00965C08"/>
    <w:rsid w:val="00965F99"/>
    <w:rsid w:val="009660F1"/>
    <w:rsid w:val="009662A7"/>
    <w:rsid w:val="00966346"/>
    <w:rsid w:val="009664A2"/>
    <w:rsid w:val="009664C2"/>
    <w:rsid w:val="0096673A"/>
    <w:rsid w:val="00966A67"/>
    <w:rsid w:val="00966A78"/>
    <w:rsid w:val="00966F32"/>
    <w:rsid w:val="0096717F"/>
    <w:rsid w:val="00967435"/>
    <w:rsid w:val="0096777B"/>
    <w:rsid w:val="00967855"/>
    <w:rsid w:val="00967921"/>
    <w:rsid w:val="00967CCC"/>
    <w:rsid w:val="00967F3F"/>
    <w:rsid w:val="00967F7C"/>
    <w:rsid w:val="0097061E"/>
    <w:rsid w:val="009709BE"/>
    <w:rsid w:val="00971108"/>
    <w:rsid w:val="009714C9"/>
    <w:rsid w:val="00971568"/>
    <w:rsid w:val="00971774"/>
    <w:rsid w:val="00971CD1"/>
    <w:rsid w:val="00972185"/>
    <w:rsid w:val="009724AE"/>
    <w:rsid w:val="00972E4E"/>
    <w:rsid w:val="0097326B"/>
    <w:rsid w:val="00973279"/>
    <w:rsid w:val="009739D3"/>
    <w:rsid w:val="00973E4E"/>
    <w:rsid w:val="00974709"/>
    <w:rsid w:val="009747FE"/>
    <w:rsid w:val="00974ED6"/>
    <w:rsid w:val="0097509F"/>
    <w:rsid w:val="0097547B"/>
    <w:rsid w:val="0097557B"/>
    <w:rsid w:val="00975752"/>
    <w:rsid w:val="009757CF"/>
    <w:rsid w:val="00975938"/>
    <w:rsid w:val="00975EC0"/>
    <w:rsid w:val="009767F9"/>
    <w:rsid w:val="0097693C"/>
    <w:rsid w:val="00976B07"/>
    <w:rsid w:val="0097737C"/>
    <w:rsid w:val="00977382"/>
    <w:rsid w:val="009774D6"/>
    <w:rsid w:val="009776BE"/>
    <w:rsid w:val="0097781A"/>
    <w:rsid w:val="00977972"/>
    <w:rsid w:val="009779B0"/>
    <w:rsid w:val="00977C11"/>
    <w:rsid w:val="00980007"/>
    <w:rsid w:val="009801AE"/>
    <w:rsid w:val="00980608"/>
    <w:rsid w:val="00980736"/>
    <w:rsid w:val="00980B9C"/>
    <w:rsid w:val="00980EE5"/>
    <w:rsid w:val="009812A6"/>
    <w:rsid w:val="0098156C"/>
    <w:rsid w:val="00981586"/>
    <w:rsid w:val="00981A39"/>
    <w:rsid w:val="00982369"/>
    <w:rsid w:val="009829B0"/>
    <w:rsid w:val="00982D56"/>
    <w:rsid w:val="009831D9"/>
    <w:rsid w:val="009834D1"/>
    <w:rsid w:val="00983613"/>
    <w:rsid w:val="00983DBF"/>
    <w:rsid w:val="00985084"/>
    <w:rsid w:val="009852F4"/>
    <w:rsid w:val="009857D4"/>
    <w:rsid w:val="00985B68"/>
    <w:rsid w:val="00985B6B"/>
    <w:rsid w:val="00985E7C"/>
    <w:rsid w:val="00986723"/>
    <w:rsid w:val="00986A36"/>
    <w:rsid w:val="00986BCE"/>
    <w:rsid w:val="00987097"/>
    <w:rsid w:val="0098712B"/>
    <w:rsid w:val="009871E1"/>
    <w:rsid w:val="0098742D"/>
    <w:rsid w:val="009874BA"/>
    <w:rsid w:val="00987798"/>
    <w:rsid w:val="009879D9"/>
    <w:rsid w:val="009879F5"/>
    <w:rsid w:val="00987E35"/>
    <w:rsid w:val="00987E4E"/>
    <w:rsid w:val="00990D30"/>
    <w:rsid w:val="00991123"/>
    <w:rsid w:val="00991CAB"/>
    <w:rsid w:val="00991DA9"/>
    <w:rsid w:val="00992561"/>
    <w:rsid w:val="00993672"/>
    <w:rsid w:val="00993773"/>
    <w:rsid w:val="00994587"/>
    <w:rsid w:val="00994BAF"/>
    <w:rsid w:val="00994DA3"/>
    <w:rsid w:val="00994DA4"/>
    <w:rsid w:val="00994EE1"/>
    <w:rsid w:val="00995697"/>
    <w:rsid w:val="00995743"/>
    <w:rsid w:val="00995F17"/>
    <w:rsid w:val="009961A7"/>
    <w:rsid w:val="00996234"/>
    <w:rsid w:val="00996446"/>
    <w:rsid w:val="00996573"/>
    <w:rsid w:val="009969A8"/>
    <w:rsid w:val="00997279"/>
    <w:rsid w:val="00997A80"/>
    <w:rsid w:val="00997AFE"/>
    <w:rsid w:val="00997E0F"/>
    <w:rsid w:val="00997E70"/>
    <w:rsid w:val="009A0049"/>
    <w:rsid w:val="009A0085"/>
    <w:rsid w:val="009A00C8"/>
    <w:rsid w:val="009A019A"/>
    <w:rsid w:val="009A0316"/>
    <w:rsid w:val="009A0FDC"/>
    <w:rsid w:val="009A134E"/>
    <w:rsid w:val="009A1B8E"/>
    <w:rsid w:val="009A1BE4"/>
    <w:rsid w:val="009A1E1D"/>
    <w:rsid w:val="009A27C6"/>
    <w:rsid w:val="009A2962"/>
    <w:rsid w:val="009A2B19"/>
    <w:rsid w:val="009A3394"/>
    <w:rsid w:val="009A3A9C"/>
    <w:rsid w:val="009A43E2"/>
    <w:rsid w:val="009A4730"/>
    <w:rsid w:val="009A4789"/>
    <w:rsid w:val="009A479E"/>
    <w:rsid w:val="009A49DD"/>
    <w:rsid w:val="009A4AEC"/>
    <w:rsid w:val="009A4DF9"/>
    <w:rsid w:val="009A543D"/>
    <w:rsid w:val="009A5645"/>
    <w:rsid w:val="009A5981"/>
    <w:rsid w:val="009A5B72"/>
    <w:rsid w:val="009A5E84"/>
    <w:rsid w:val="009A60DC"/>
    <w:rsid w:val="009A61D2"/>
    <w:rsid w:val="009A696F"/>
    <w:rsid w:val="009A6EB3"/>
    <w:rsid w:val="009A73FA"/>
    <w:rsid w:val="009A767A"/>
    <w:rsid w:val="009A7CC6"/>
    <w:rsid w:val="009A7D4C"/>
    <w:rsid w:val="009A7D9A"/>
    <w:rsid w:val="009B0270"/>
    <w:rsid w:val="009B046C"/>
    <w:rsid w:val="009B10A4"/>
    <w:rsid w:val="009B13FA"/>
    <w:rsid w:val="009B17A4"/>
    <w:rsid w:val="009B18B0"/>
    <w:rsid w:val="009B1E2D"/>
    <w:rsid w:val="009B20AC"/>
    <w:rsid w:val="009B2859"/>
    <w:rsid w:val="009B3015"/>
    <w:rsid w:val="009B3107"/>
    <w:rsid w:val="009B40AF"/>
    <w:rsid w:val="009B4256"/>
    <w:rsid w:val="009B4653"/>
    <w:rsid w:val="009B568A"/>
    <w:rsid w:val="009B6202"/>
    <w:rsid w:val="009B62A4"/>
    <w:rsid w:val="009B6727"/>
    <w:rsid w:val="009B68B8"/>
    <w:rsid w:val="009B69F9"/>
    <w:rsid w:val="009B6B98"/>
    <w:rsid w:val="009B6D5B"/>
    <w:rsid w:val="009B752C"/>
    <w:rsid w:val="009B7727"/>
    <w:rsid w:val="009B7E8F"/>
    <w:rsid w:val="009C006A"/>
    <w:rsid w:val="009C060E"/>
    <w:rsid w:val="009C06E6"/>
    <w:rsid w:val="009C07DC"/>
    <w:rsid w:val="009C1557"/>
    <w:rsid w:val="009C175D"/>
    <w:rsid w:val="009C1DD7"/>
    <w:rsid w:val="009C2062"/>
    <w:rsid w:val="009C2101"/>
    <w:rsid w:val="009C2E59"/>
    <w:rsid w:val="009C3888"/>
    <w:rsid w:val="009C3A85"/>
    <w:rsid w:val="009C3E21"/>
    <w:rsid w:val="009C420C"/>
    <w:rsid w:val="009C43DB"/>
    <w:rsid w:val="009C43DC"/>
    <w:rsid w:val="009C4F69"/>
    <w:rsid w:val="009C50F6"/>
    <w:rsid w:val="009C53CB"/>
    <w:rsid w:val="009C5893"/>
    <w:rsid w:val="009C59FB"/>
    <w:rsid w:val="009C68C6"/>
    <w:rsid w:val="009C6A18"/>
    <w:rsid w:val="009C6AA5"/>
    <w:rsid w:val="009C6B33"/>
    <w:rsid w:val="009C6F3B"/>
    <w:rsid w:val="009C730F"/>
    <w:rsid w:val="009C7394"/>
    <w:rsid w:val="009C7D58"/>
    <w:rsid w:val="009D0149"/>
    <w:rsid w:val="009D04AE"/>
    <w:rsid w:val="009D04DD"/>
    <w:rsid w:val="009D05B0"/>
    <w:rsid w:val="009D07FD"/>
    <w:rsid w:val="009D08F9"/>
    <w:rsid w:val="009D0AC7"/>
    <w:rsid w:val="009D0C0A"/>
    <w:rsid w:val="009D0DD0"/>
    <w:rsid w:val="009D130F"/>
    <w:rsid w:val="009D1467"/>
    <w:rsid w:val="009D1F52"/>
    <w:rsid w:val="009D2818"/>
    <w:rsid w:val="009D2A33"/>
    <w:rsid w:val="009D2B9D"/>
    <w:rsid w:val="009D2CDB"/>
    <w:rsid w:val="009D328D"/>
    <w:rsid w:val="009D3370"/>
    <w:rsid w:val="009D34A0"/>
    <w:rsid w:val="009D3AD5"/>
    <w:rsid w:val="009D3DA6"/>
    <w:rsid w:val="009D3F8C"/>
    <w:rsid w:val="009D480A"/>
    <w:rsid w:val="009D4844"/>
    <w:rsid w:val="009D4B0A"/>
    <w:rsid w:val="009D52A8"/>
    <w:rsid w:val="009D5AF9"/>
    <w:rsid w:val="009D65CA"/>
    <w:rsid w:val="009D6627"/>
    <w:rsid w:val="009D695E"/>
    <w:rsid w:val="009D6D65"/>
    <w:rsid w:val="009D74CA"/>
    <w:rsid w:val="009D7683"/>
    <w:rsid w:val="009D7E7F"/>
    <w:rsid w:val="009D7EE5"/>
    <w:rsid w:val="009D7F17"/>
    <w:rsid w:val="009D7FF2"/>
    <w:rsid w:val="009E005D"/>
    <w:rsid w:val="009E00C0"/>
    <w:rsid w:val="009E0224"/>
    <w:rsid w:val="009E100B"/>
    <w:rsid w:val="009E1455"/>
    <w:rsid w:val="009E1CCD"/>
    <w:rsid w:val="009E2550"/>
    <w:rsid w:val="009E266F"/>
    <w:rsid w:val="009E26D9"/>
    <w:rsid w:val="009E270A"/>
    <w:rsid w:val="009E2A02"/>
    <w:rsid w:val="009E4001"/>
    <w:rsid w:val="009E4202"/>
    <w:rsid w:val="009E44B6"/>
    <w:rsid w:val="009E4A56"/>
    <w:rsid w:val="009E4E96"/>
    <w:rsid w:val="009E4FA6"/>
    <w:rsid w:val="009E5294"/>
    <w:rsid w:val="009E5A5A"/>
    <w:rsid w:val="009E6486"/>
    <w:rsid w:val="009E6A5B"/>
    <w:rsid w:val="009E6FFC"/>
    <w:rsid w:val="009E70DF"/>
    <w:rsid w:val="009E7419"/>
    <w:rsid w:val="009E76B4"/>
    <w:rsid w:val="009E78C2"/>
    <w:rsid w:val="009E7D93"/>
    <w:rsid w:val="009E7DFA"/>
    <w:rsid w:val="009F058E"/>
    <w:rsid w:val="009F088B"/>
    <w:rsid w:val="009F0901"/>
    <w:rsid w:val="009F0B84"/>
    <w:rsid w:val="009F1333"/>
    <w:rsid w:val="009F16B5"/>
    <w:rsid w:val="009F1AC5"/>
    <w:rsid w:val="009F2234"/>
    <w:rsid w:val="009F26D2"/>
    <w:rsid w:val="009F2F10"/>
    <w:rsid w:val="009F346C"/>
    <w:rsid w:val="009F36CA"/>
    <w:rsid w:val="009F3AC2"/>
    <w:rsid w:val="009F3AC3"/>
    <w:rsid w:val="009F3C34"/>
    <w:rsid w:val="009F3DC2"/>
    <w:rsid w:val="009F3F73"/>
    <w:rsid w:val="009F3FB8"/>
    <w:rsid w:val="009F41A1"/>
    <w:rsid w:val="009F427A"/>
    <w:rsid w:val="009F44D0"/>
    <w:rsid w:val="009F462C"/>
    <w:rsid w:val="009F46BD"/>
    <w:rsid w:val="009F5496"/>
    <w:rsid w:val="009F5A8C"/>
    <w:rsid w:val="009F5C33"/>
    <w:rsid w:val="009F5DC8"/>
    <w:rsid w:val="009F5FA9"/>
    <w:rsid w:val="009F6DFA"/>
    <w:rsid w:val="009F6FBD"/>
    <w:rsid w:val="009F713A"/>
    <w:rsid w:val="009F71CF"/>
    <w:rsid w:val="009F7A46"/>
    <w:rsid w:val="00A00030"/>
    <w:rsid w:val="00A002DE"/>
    <w:rsid w:val="00A007B5"/>
    <w:rsid w:val="00A00A94"/>
    <w:rsid w:val="00A00F58"/>
    <w:rsid w:val="00A00FC8"/>
    <w:rsid w:val="00A01E51"/>
    <w:rsid w:val="00A02238"/>
    <w:rsid w:val="00A026F0"/>
    <w:rsid w:val="00A02956"/>
    <w:rsid w:val="00A02A99"/>
    <w:rsid w:val="00A02B47"/>
    <w:rsid w:val="00A02C38"/>
    <w:rsid w:val="00A03303"/>
    <w:rsid w:val="00A033C5"/>
    <w:rsid w:val="00A033E4"/>
    <w:rsid w:val="00A036E7"/>
    <w:rsid w:val="00A03744"/>
    <w:rsid w:val="00A038B7"/>
    <w:rsid w:val="00A03BD8"/>
    <w:rsid w:val="00A03EAC"/>
    <w:rsid w:val="00A04DBB"/>
    <w:rsid w:val="00A04E78"/>
    <w:rsid w:val="00A04F7B"/>
    <w:rsid w:val="00A05395"/>
    <w:rsid w:val="00A05763"/>
    <w:rsid w:val="00A058A3"/>
    <w:rsid w:val="00A05994"/>
    <w:rsid w:val="00A05E66"/>
    <w:rsid w:val="00A05F3B"/>
    <w:rsid w:val="00A06111"/>
    <w:rsid w:val="00A061D7"/>
    <w:rsid w:val="00A06AF4"/>
    <w:rsid w:val="00A07065"/>
    <w:rsid w:val="00A075AF"/>
    <w:rsid w:val="00A07620"/>
    <w:rsid w:val="00A07E62"/>
    <w:rsid w:val="00A07EA0"/>
    <w:rsid w:val="00A07F51"/>
    <w:rsid w:val="00A07F8B"/>
    <w:rsid w:val="00A1001D"/>
    <w:rsid w:val="00A105BF"/>
    <w:rsid w:val="00A10774"/>
    <w:rsid w:val="00A10E18"/>
    <w:rsid w:val="00A113C9"/>
    <w:rsid w:val="00A11A69"/>
    <w:rsid w:val="00A11CA6"/>
    <w:rsid w:val="00A11CCF"/>
    <w:rsid w:val="00A12134"/>
    <w:rsid w:val="00A12136"/>
    <w:rsid w:val="00A12196"/>
    <w:rsid w:val="00A12477"/>
    <w:rsid w:val="00A1251E"/>
    <w:rsid w:val="00A12B4D"/>
    <w:rsid w:val="00A12BCB"/>
    <w:rsid w:val="00A12E42"/>
    <w:rsid w:val="00A13217"/>
    <w:rsid w:val="00A13DC8"/>
    <w:rsid w:val="00A13F80"/>
    <w:rsid w:val="00A1475A"/>
    <w:rsid w:val="00A14A7D"/>
    <w:rsid w:val="00A1508B"/>
    <w:rsid w:val="00A1519A"/>
    <w:rsid w:val="00A151D4"/>
    <w:rsid w:val="00A15504"/>
    <w:rsid w:val="00A156A3"/>
    <w:rsid w:val="00A15922"/>
    <w:rsid w:val="00A159FD"/>
    <w:rsid w:val="00A1662E"/>
    <w:rsid w:val="00A1693C"/>
    <w:rsid w:val="00A16A17"/>
    <w:rsid w:val="00A17225"/>
    <w:rsid w:val="00A2013C"/>
    <w:rsid w:val="00A20850"/>
    <w:rsid w:val="00A208EB"/>
    <w:rsid w:val="00A20C49"/>
    <w:rsid w:val="00A210EB"/>
    <w:rsid w:val="00A211F5"/>
    <w:rsid w:val="00A21414"/>
    <w:rsid w:val="00A21629"/>
    <w:rsid w:val="00A21A27"/>
    <w:rsid w:val="00A21BCF"/>
    <w:rsid w:val="00A22185"/>
    <w:rsid w:val="00A2258D"/>
    <w:rsid w:val="00A22932"/>
    <w:rsid w:val="00A22A49"/>
    <w:rsid w:val="00A23089"/>
    <w:rsid w:val="00A23332"/>
    <w:rsid w:val="00A24C2D"/>
    <w:rsid w:val="00A24E88"/>
    <w:rsid w:val="00A253A9"/>
    <w:rsid w:val="00A25557"/>
    <w:rsid w:val="00A25826"/>
    <w:rsid w:val="00A25B71"/>
    <w:rsid w:val="00A25C4D"/>
    <w:rsid w:val="00A25DA1"/>
    <w:rsid w:val="00A263F1"/>
    <w:rsid w:val="00A2673E"/>
    <w:rsid w:val="00A269CA"/>
    <w:rsid w:val="00A26B47"/>
    <w:rsid w:val="00A272D1"/>
    <w:rsid w:val="00A27419"/>
    <w:rsid w:val="00A2750E"/>
    <w:rsid w:val="00A27774"/>
    <w:rsid w:val="00A2792A"/>
    <w:rsid w:val="00A2794E"/>
    <w:rsid w:val="00A27F50"/>
    <w:rsid w:val="00A27FE6"/>
    <w:rsid w:val="00A30273"/>
    <w:rsid w:val="00A307C5"/>
    <w:rsid w:val="00A311DE"/>
    <w:rsid w:val="00A31263"/>
    <w:rsid w:val="00A31B43"/>
    <w:rsid w:val="00A31CE2"/>
    <w:rsid w:val="00A31DBE"/>
    <w:rsid w:val="00A32C85"/>
    <w:rsid w:val="00A336EE"/>
    <w:rsid w:val="00A33CFA"/>
    <w:rsid w:val="00A33D3E"/>
    <w:rsid w:val="00A33E94"/>
    <w:rsid w:val="00A33F46"/>
    <w:rsid w:val="00A3427E"/>
    <w:rsid w:val="00A343DE"/>
    <w:rsid w:val="00A34582"/>
    <w:rsid w:val="00A349DF"/>
    <w:rsid w:val="00A351B3"/>
    <w:rsid w:val="00A35533"/>
    <w:rsid w:val="00A359AC"/>
    <w:rsid w:val="00A36018"/>
    <w:rsid w:val="00A36479"/>
    <w:rsid w:val="00A3672E"/>
    <w:rsid w:val="00A367C9"/>
    <w:rsid w:val="00A36D1E"/>
    <w:rsid w:val="00A37164"/>
    <w:rsid w:val="00A3759D"/>
    <w:rsid w:val="00A37971"/>
    <w:rsid w:val="00A37F35"/>
    <w:rsid w:val="00A4018B"/>
    <w:rsid w:val="00A404E5"/>
    <w:rsid w:val="00A40BB9"/>
    <w:rsid w:val="00A40F83"/>
    <w:rsid w:val="00A410FB"/>
    <w:rsid w:val="00A411AC"/>
    <w:rsid w:val="00A41413"/>
    <w:rsid w:val="00A414A9"/>
    <w:rsid w:val="00A41D17"/>
    <w:rsid w:val="00A41E87"/>
    <w:rsid w:val="00A4216B"/>
    <w:rsid w:val="00A427B1"/>
    <w:rsid w:val="00A42A13"/>
    <w:rsid w:val="00A431E6"/>
    <w:rsid w:val="00A4342D"/>
    <w:rsid w:val="00A436CF"/>
    <w:rsid w:val="00A436E8"/>
    <w:rsid w:val="00A43BC7"/>
    <w:rsid w:val="00A441B2"/>
    <w:rsid w:val="00A4457A"/>
    <w:rsid w:val="00A445F4"/>
    <w:rsid w:val="00A45FB1"/>
    <w:rsid w:val="00A46125"/>
    <w:rsid w:val="00A4616A"/>
    <w:rsid w:val="00A46A0F"/>
    <w:rsid w:val="00A46CCC"/>
    <w:rsid w:val="00A46D1F"/>
    <w:rsid w:val="00A47685"/>
    <w:rsid w:val="00A47835"/>
    <w:rsid w:val="00A47996"/>
    <w:rsid w:val="00A47CDF"/>
    <w:rsid w:val="00A47F47"/>
    <w:rsid w:val="00A500B2"/>
    <w:rsid w:val="00A50B12"/>
    <w:rsid w:val="00A50FA9"/>
    <w:rsid w:val="00A514C0"/>
    <w:rsid w:val="00A51671"/>
    <w:rsid w:val="00A518B8"/>
    <w:rsid w:val="00A51CFE"/>
    <w:rsid w:val="00A51D8A"/>
    <w:rsid w:val="00A5204D"/>
    <w:rsid w:val="00A52356"/>
    <w:rsid w:val="00A5379F"/>
    <w:rsid w:val="00A53972"/>
    <w:rsid w:val="00A53ADB"/>
    <w:rsid w:val="00A54299"/>
    <w:rsid w:val="00A54323"/>
    <w:rsid w:val="00A54BAF"/>
    <w:rsid w:val="00A54F59"/>
    <w:rsid w:val="00A5502F"/>
    <w:rsid w:val="00A550B9"/>
    <w:rsid w:val="00A558C1"/>
    <w:rsid w:val="00A55B1D"/>
    <w:rsid w:val="00A55B71"/>
    <w:rsid w:val="00A569F2"/>
    <w:rsid w:val="00A56E77"/>
    <w:rsid w:val="00A57543"/>
    <w:rsid w:val="00A576CD"/>
    <w:rsid w:val="00A57920"/>
    <w:rsid w:val="00A602EA"/>
    <w:rsid w:val="00A6033C"/>
    <w:rsid w:val="00A60365"/>
    <w:rsid w:val="00A60560"/>
    <w:rsid w:val="00A60AF5"/>
    <w:rsid w:val="00A60DDD"/>
    <w:rsid w:val="00A60ECA"/>
    <w:rsid w:val="00A60EE6"/>
    <w:rsid w:val="00A60EF5"/>
    <w:rsid w:val="00A61605"/>
    <w:rsid w:val="00A6184F"/>
    <w:rsid w:val="00A61968"/>
    <w:rsid w:val="00A61D89"/>
    <w:rsid w:val="00A61F08"/>
    <w:rsid w:val="00A62017"/>
    <w:rsid w:val="00A62066"/>
    <w:rsid w:val="00A62792"/>
    <w:rsid w:val="00A62F21"/>
    <w:rsid w:val="00A62FD7"/>
    <w:rsid w:val="00A63163"/>
    <w:rsid w:val="00A6326F"/>
    <w:rsid w:val="00A632A5"/>
    <w:rsid w:val="00A637E1"/>
    <w:rsid w:val="00A63C57"/>
    <w:rsid w:val="00A6411E"/>
    <w:rsid w:val="00A6414E"/>
    <w:rsid w:val="00A648BF"/>
    <w:rsid w:val="00A64F2B"/>
    <w:rsid w:val="00A64FF1"/>
    <w:rsid w:val="00A654C2"/>
    <w:rsid w:val="00A65C30"/>
    <w:rsid w:val="00A65F97"/>
    <w:rsid w:val="00A67243"/>
    <w:rsid w:val="00A675E2"/>
    <w:rsid w:val="00A67CBD"/>
    <w:rsid w:val="00A67CDC"/>
    <w:rsid w:val="00A67F84"/>
    <w:rsid w:val="00A7039D"/>
    <w:rsid w:val="00A70534"/>
    <w:rsid w:val="00A70F24"/>
    <w:rsid w:val="00A70F55"/>
    <w:rsid w:val="00A7131C"/>
    <w:rsid w:val="00A71AAC"/>
    <w:rsid w:val="00A71F52"/>
    <w:rsid w:val="00A71F6A"/>
    <w:rsid w:val="00A72064"/>
    <w:rsid w:val="00A7294C"/>
    <w:rsid w:val="00A7308E"/>
    <w:rsid w:val="00A73335"/>
    <w:rsid w:val="00A73578"/>
    <w:rsid w:val="00A73A52"/>
    <w:rsid w:val="00A73B04"/>
    <w:rsid w:val="00A73EC2"/>
    <w:rsid w:val="00A73F41"/>
    <w:rsid w:val="00A74177"/>
    <w:rsid w:val="00A745E9"/>
    <w:rsid w:val="00A74A72"/>
    <w:rsid w:val="00A74BC6"/>
    <w:rsid w:val="00A74FE4"/>
    <w:rsid w:val="00A750D2"/>
    <w:rsid w:val="00A7560E"/>
    <w:rsid w:val="00A756F3"/>
    <w:rsid w:val="00A758B3"/>
    <w:rsid w:val="00A76022"/>
    <w:rsid w:val="00A7615E"/>
    <w:rsid w:val="00A76222"/>
    <w:rsid w:val="00A7631A"/>
    <w:rsid w:val="00A76398"/>
    <w:rsid w:val="00A76460"/>
    <w:rsid w:val="00A7652C"/>
    <w:rsid w:val="00A76A8C"/>
    <w:rsid w:val="00A76C13"/>
    <w:rsid w:val="00A7715C"/>
    <w:rsid w:val="00A77588"/>
    <w:rsid w:val="00A7782B"/>
    <w:rsid w:val="00A77D6B"/>
    <w:rsid w:val="00A77F25"/>
    <w:rsid w:val="00A81438"/>
    <w:rsid w:val="00A8146A"/>
    <w:rsid w:val="00A822C5"/>
    <w:rsid w:val="00A826AD"/>
    <w:rsid w:val="00A82838"/>
    <w:rsid w:val="00A8332F"/>
    <w:rsid w:val="00A8391E"/>
    <w:rsid w:val="00A83CA5"/>
    <w:rsid w:val="00A8420B"/>
    <w:rsid w:val="00A84B29"/>
    <w:rsid w:val="00A84D19"/>
    <w:rsid w:val="00A84EA5"/>
    <w:rsid w:val="00A84FD0"/>
    <w:rsid w:val="00A850C3"/>
    <w:rsid w:val="00A85683"/>
    <w:rsid w:val="00A859B9"/>
    <w:rsid w:val="00A85A63"/>
    <w:rsid w:val="00A85AE1"/>
    <w:rsid w:val="00A85D71"/>
    <w:rsid w:val="00A8625A"/>
    <w:rsid w:val="00A8698F"/>
    <w:rsid w:val="00A86AFC"/>
    <w:rsid w:val="00A86F12"/>
    <w:rsid w:val="00A86FE8"/>
    <w:rsid w:val="00A873D4"/>
    <w:rsid w:val="00A87998"/>
    <w:rsid w:val="00A879A5"/>
    <w:rsid w:val="00A87E3D"/>
    <w:rsid w:val="00A9079E"/>
    <w:rsid w:val="00A9099C"/>
    <w:rsid w:val="00A90A8D"/>
    <w:rsid w:val="00A90D25"/>
    <w:rsid w:val="00A90DEB"/>
    <w:rsid w:val="00A9151F"/>
    <w:rsid w:val="00A919A8"/>
    <w:rsid w:val="00A91F33"/>
    <w:rsid w:val="00A924BA"/>
    <w:rsid w:val="00A925D8"/>
    <w:rsid w:val="00A92670"/>
    <w:rsid w:val="00A92E79"/>
    <w:rsid w:val="00A9313F"/>
    <w:rsid w:val="00A9380F"/>
    <w:rsid w:val="00A93A36"/>
    <w:rsid w:val="00A93ACA"/>
    <w:rsid w:val="00A93C26"/>
    <w:rsid w:val="00A94003"/>
    <w:rsid w:val="00A941B2"/>
    <w:rsid w:val="00A94263"/>
    <w:rsid w:val="00A94A8D"/>
    <w:rsid w:val="00A94B18"/>
    <w:rsid w:val="00A94B93"/>
    <w:rsid w:val="00A94F86"/>
    <w:rsid w:val="00A950B6"/>
    <w:rsid w:val="00A95185"/>
    <w:rsid w:val="00A95233"/>
    <w:rsid w:val="00A95ACF"/>
    <w:rsid w:val="00A95D45"/>
    <w:rsid w:val="00A96061"/>
    <w:rsid w:val="00A9636D"/>
    <w:rsid w:val="00A96536"/>
    <w:rsid w:val="00A9670F"/>
    <w:rsid w:val="00A96EFA"/>
    <w:rsid w:val="00A97EAF"/>
    <w:rsid w:val="00AA0359"/>
    <w:rsid w:val="00AA0663"/>
    <w:rsid w:val="00AA09EB"/>
    <w:rsid w:val="00AA0B01"/>
    <w:rsid w:val="00AA0B12"/>
    <w:rsid w:val="00AA0DFE"/>
    <w:rsid w:val="00AA0EC1"/>
    <w:rsid w:val="00AA13A7"/>
    <w:rsid w:val="00AA1580"/>
    <w:rsid w:val="00AA1C4C"/>
    <w:rsid w:val="00AA2963"/>
    <w:rsid w:val="00AA29C1"/>
    <w:rsid w:val="00AA2C86"/>
    <w:rsid w:val="00AA2DD5"/>
    <w:rsid w:val="00AA2E37"/>
    <w:rsid w:val="00AA3E68"/>
    <w:rsid w:val="00AA3EA8"/>
    <w:rsid w:val="00AA43EC"/>
    <w:rsid w:val="00AA445C"/>
    <w:rsid w:val="00AA4AF2"/>
    <w:rsid w:val="00AA5869"/>
    <w:rsid w:val="00AA5A49"/>
    <w:rsid w:val="00AA5A6B"/>
    <w:rsid w:val="00AA6085"/>
    <w:rsid w:val="00AA6256"/>
    <w:rsid w:val="00AA62C5"/>
    <w:rsid w:val="00AA6400"/>
    <w:rsid w:val="00AA6565"/>
    <w:rsid w:val="00AA6714"/>
    <w:rsid w:val="00AA67B9"/>
    <w:rsid w:val="00AA74C3"/>
    <w:rsid w:val="00AA7508"/>
    <w:rsid w:val="00AA7881"/>
    <w:rsid w:val="00AB023E"/>
    <w:rsid w:val="00AB07E9"/>
    <w:rsid w:val="00AB090F"/>
    <w:rsid w:val="00AB0BCD"/>
    <w:rsid w:val="00AB101F"/>
    <w:rsid w:val="00AB115B"/>
    <w:rsid w:val="00AB13E7"/>
    <w:rsid w:val="00AB163C"/>
    <w:rsid w:val="00AB1E48"/>
    <w:rsid w:val="00AB1F9B"/>
    <w:rsid w:val="00AB2850"/>
    <w:rsid w:val="00AB2D16"/>
    <w:rsid w:val="00AB349A"/>
    <w:rsid w:val="00AB39A5"/>
    <w:rsid w:val="00AB3E28"/>
    <w:rsid w:val="00AB41C1"/>
    <w:rsid w:val="00AB44DD"/>
    <w:rsid w:val="00AB4532"/>
    <w:rsid w:val="00AB4549"/>
    <w:rsid w:val="00AB488E"/>
    <w:rsid w:val="00AB4CF2"/>
    <w:rsid w:val="00AB5361"/>
    <w:rsid w:val="00AB5CC9"/>
    <w:rsid w:val="00AB5CCC"/>
    <w:rsid w:val="00AB5E18"/>
    <w:rsid w:val="00AB6065"/>
    <w:rsid w:val="00AB61C9"/>
    <w:rsid w:val="00AB6CCA"/>
    <w:rsid w:val="00AB7224"/>
    <w:rsid w:val="00AB76B5"/>
    <w:rsid w:val="00AB7D63"/>
    <w:rsid w:val="00AB7EAC"/>
    <w:rsid w:val="00AC0078"/>
    <w:rsid w:val="00AC05A7"/>
    <w:rsid w:val="00AC05B6"/>
    <w:rsid w:val="00AC0640"/>
    <w:rsid w:val="00AC069E"/>
    <w:rsid w:val="00AC0842"/>
    <w:rsid w:val="00AC09D9"/>
    <w:rsid w:val="00AC1426"/>
    <w:rsid w:val="00AC1851"/>
    <w:rsid w:val="00AC18D8"/>
    <w:rsid w:val="00AC1BD8"/>
    <w:rsid w:val="00AC1D5F"/>
    <w:rsid w:val="00AC21AF"/>
    <w:rsid w:val="00AC223F"/>
    <w:rsid w:val="00AC23E3"/>
    <w:rsid w:val="00AC2623"/>
    <w:rsid w:val="00AC2691"/>
    <w:rsid w:val="00AC2BA5"/>
    <w:rsid w:val="00AC2CFD"/>
    <w:rsid w:val="00AC3385"/>
    <w:rsid w:val="00AC33B1"/>
    <w:rsid w:val="00AC370D"/>
    <w:rsid w:val="00AC3F44"/>
    <w:rsid w:val="00AC4131"/>
    <w:rsid w:val="00AC4532"/>
    <w:rsid w:val="00AC4A5C"/>
    <w:rsid w:val="00AC4B47"/>
    <w:rsid w:val="00AC4D23"/>
    <w:rsid w:val="00AC544C"/>
    <w:rsid w:val="00AC575B"/>
    <w:rsid w:val="00AC5E1E"/>
    <w:rsid w:val="00AC6510"/>
    <w:rsid w:val="00AC6811"/>
    <w:rsid w:val="00AC6D89"/>
    <w:rsid w:val="00AC6D99"/>
    <w:rsid w:val="00AC7558"/>
    <w:rsid w:val="00AC7D37"/>
    <w:rsid w:val="00AC7D44"/>
    <w:rsid w:val="00AD02E2"/>
    <w:rsid w:val="00AD08A0"/>
    <w:rsid w:val="00AD0959"/>
    <w:rsid w:val="00AD09FF"/>
    <w:rsid w:val="00AD0A92"/>
    <w:rsid w:val="00AD0B57"/>
    <w:rsid w:val="00AD0EA7"/>
    <w:rsid w:val="00AD104B"/>
    <w:rsid w:val="00AD1138"/>
    <w:rsid w:val="00AD12A8"/>
    <w:rsid w:val="00AD1411"/>
    <w:rsid w:val="00AD1625"/>
    <w:rsid w:val="00AD1970"/>
    <w:rsid w:val="00AD252B"/>
    <w:rsid w:val="00AD2907"/>
    <w:rsid w:val="00AD2E60"/>
    <w:rsid w:val="00AD394D"/>
    <w:rsid w:val="00AD3A40"/>
    <w:rsid w:val="00AD4072"/>
    <w:rsid w:val="00AD4386"/>
    <w:rsid w:val="00AD47AC"/>
    <w:rsid w:val="00AD5115"/>
    <w:rsid w:val="00AD5F30"/>
    <w:rsid w:val="00AD63A8"/>
    <w:rsid w:val="00AD63AF"/>
    <w:rsid w:val="00AD6519"/>
    <w:rsid w:val="00AD6F05"/>
    <w:rsid w:val="00AD7093"/>
    <w:rsid w:val="00AD711F"/>
    <w:rsid w:val="00AD76EF"/>
    <w:rsid w:val="00AD7A36"/>
    <w:rsid w:val="00AE023F"/>
    <w:rsid w:val="00AE04EB"/>
    <w:rsid w:val="00AE0886"/>
    <w:rsid w:val="00AE0DAB"/>
    <w:rsid w:val="00AE1204"/>
    <w:rsid w:val="00AE1611"/>
    <w:rsid w:val="00AE1EF5"/>
    <w:rsid w:val="00AE2374"/>
    <w:rsid w:val="00AE2B0C"/>
    <w:rsid w:val="00AE3081"/>
    <w:rsid w:val="00AE30BC"/>
    <w:rsid w:val="00AE351F"/>
    <w:rsid w:val="00AE35D2"/>
    <w:rsid w:val="00AE36FD"/>
    <w:rsid w:val="00AE41C8"/>
    <w:rsid w:val="00AE452C"/>
    <w:rsid w:val="00AE455F"/>
    <w:rsid w:val="00AE4A62"/>
    <w:rsid w:val="00AE4A74"/>
    <w:rsid w:val="00AE4A80"/>
    <w:rsid w:val="00AE5198"/>
    <w:rsid w:val="00AE52EE"/>
    <w:rsid w:val="00AE55D1"/>
    <w:rsid w:val="00AE676B"/>
    <w:rsid w:val="00AE6B46"/>
    <w:rsid w:val="00AE757E"/>
    <w:rsid w:val="00AE78F6"/>
    <w:rsid w:val="00AF005A"/>
    <w:rsid w:val="00AF01EC"/>
    <w:rsid w:val="00AF085A"/>
    <w:rsid w:val="00AF0CDB"/>
    <w:rsid w:val="00AF0D6B"/>
    <w:rsid w:val="00AF0E3C"/>
    <w:rsid w:val="00AF1214"/>
    <w:rsid w:val="00AF196C"/>
    <w:rsid w:val="00AF1CD3"/>
    <w:rsid w:val="00AF2A3E"/>
    <w:rsid w:val="00AF2C41"/>
    <w:rsid w:val="00AF2D07"/>
    <w:rsid w:val="00AF31F7"/>
    <w:rsid w:val="00AF32D9"/>
    <w:rsid w:val="00AF3461"/>
    <w:rsid w:val="00AF3577"/>
    <w:rsid w:val="00AF35F9"/>
    <w:rsid w:val="00AF3D0C"/>
    <w:rsid w:val="00AF42E5"/>
    <w:rsid w:val="00AF4477"/>
    <w:rsid w:val="00AF46D1"/>
    <w:rsid w:val="00AF49BB"/>
    <w:rsid w:val="00AF5526"/>
    <w:rsid w:val="00AF628B"/>
    <w:rsid w:val="00AF66E0"/>
    <w:rsid w:val="00AF677E"/>
    <w:rsid w:val="00AF69A3"/>
    <w:rsid w:val="00AF7053"/>
    <w:rsid w:val="00AF7070"/>
    <w:rsid w:val="00AF7FAD"/>
    <w:rsid w:val="00B00032"/>
    <w:rsid w:val="00B00893"/>
    <w:rsid w:val="00B00CEA"/>
    <w:rsid w:val="00B010A2"/>
    <w:rsid w:val="00B01231"/>
    <w:rsid w:val="00B017C8"/>
    <w:rsid w:val="00B01898"/>
    <w:rsid w:val="00B0191F"/>
    <w:rsid w:val="00B01D58"/>
    <w:rsid w:val="00B01FD7"/>
    <w:rsid w:val="00B02093"/>
    <w:rsid w:val="00B02119"/>
    <w:rsid w:val="00B02178"/>
    <w:rsid w:val="00B02CC7"/>
    <w:rsid w:val="00B030D1"/>
    <w:rsid w:val="00B0323A"/>
    <w:rsid w:val="00B0341C"/>
    <w:rsid w:val="00B036D2"/>
    <w:rsid w:val="00B03A9F"/>
    <w:rsid w:val="00B04068"/>
    <w:rsid w:val="00B0424C"/>
    <w:rsid w:val="00B04480"/>
    <w:rsid w:val="00B04B8F"/>
    <w:rsid w:val="00B051D9"/>
    <w:rsid w:val="00B05375"/>
    <w:rsid w:val="00B05381"/>
    <w:rsid w:val="00B054BC"/>
    <w:rsid w:val="00B05791"/>
    <w:rsid w:val="00B057B2"/>
    <w:rsid w:val="00B059F7"/>
    <w:rsid w:val="00B05A98"/>
    <w:rsid w:val="00B05C7D"/>
    <w:rsid w:val="00B05E82"/>
    <w:rsid w:val="00B063FC"/>
    <w:rsid w:val="00B0681D"/>
    <w:rsid w:val="00B06CB9"/>
    <w:rsid w:val="00B06CD0"/>
    <w:rsid w:val="00B079DB"/>
    <w:rsid w:val="00B109DD"/>
    <w:rsid w:val="00B10B80"/>
    <w:rsid w:val="00B10DF4"/>
    <w:rsid w:val="00B11800"/>
    <w:rsid w:val="00B119A4"/>
    <w:rsid w:val="00B12298"/>
    <w:rsid w:val="00B126C5"/>
    <w:rsid w:val="00B12AEA"/>
    <w:rsid w:val="00B133FB"/>
    <w:rsid w:val="00B134DD"/>
    <w:rsid w:val="00B137E9"/>
    <w:rsid w:val="00B137FC"/>
    <w:rsid w:val="00B13A5A"/>
    <w:rsid w:val="00B13AA8"/>
    <w:rsid w:val="00B141A3"/>
    <w:rsid w:val="00B148D8"/>
    <w:rsid w:val="00B14BBB"/>
    <w:rsid w:val="00B14FD0"/>
    <w:rsid w:val="00B15D57"/>
    <w:rsid w:val="00B16269"/>
    <w:rsid w:val="00B16347"/>
    <w:rsid w:val="00B16B01"/>
    <w:rsid w:val="00B16DEC"/>
    <w:rsid w:val="00B170F2"/>
    <w:rsid w:val="00B177D8"/>
    <w:rsid w:val="00B17819"/>
    <w:rsid w:val="00B17AA7"/>
    <w:rsid w:val="00B17D6E"/>
    <w:rsid w:val="00B20AE3"/>
    <w:rsid w:val="00B20DFD"/>
    <w:rsid w:val="00B21088"/>
    <w:rsid w:val="00B21259"/>
    <w:rsid w:val="00B21268"/>
    <w:rsid w:val="00B219ED"/>
    <w:rsid w:val="00B21A71"/>
    <w:rsid w:val="00B21EBC"/>
    <w:rsid w:val="00B22B55"/>
    <w:rsid w:val="00B23025"/>
    <w:rsid w:val="00B2331E"/>
    <w:rsid w:val="00B23714"/>
    <w:rsid w:val="00B238FA"/>
    <w:rsid w:val="00B23A3B"/>
    <w:rsid w:val="00B23C66"/>
    <w:rsid w:val="00B23CB7"/>
    <w:rsid w:val="00B2435E"/>
    <w:rsid w:val="00B24AFB"/>
    <w:rsid w:val="00B24C10"/>
    <w:rsid w:val="00B252DA"/>
    <w:rsid w:val="00B2540A"/>
    <w:rsid w:val="00B25812"/>
    <w:rsid w:val="00B259FD"/>
    <w:rsid w:val="00B25F68"/>
    <w:rsid w:val="00B26193"/>
    <w:rsid w:val="00B261C3"/>
    <w:rsid w:val="00B26253"/>
    <w:rsid w:val="00B265B2"/>
    <w:rsid w:val="00B2714A"/>
    <w:rsid w:val="00B27DB9"/>
    <w:rsid w:val="00B27DC4"/>
    <w:rsid w:val="00B27E34"/>
    <w:rsid w:val="00B30714"/>
    <w:rsid w:val="00B307D2"/>
    <w:rsid w:val="00B30B27"/>
    <w:rsid w:val="00B30F88"/>
    <w:rsid w:val="00B318F3"/>
    <w:rsid w:val="00B31C74"/>
    <w:rsid w:val="00B32380"/>
    <w:rsid w:val="00B3242C"/>
    <w:rsid w:val="00B325BC"/>
    <w:rsid w:val="00B32B15"/>
    <w:rsid w:val="00B33033"/>
    <w:rsid w:val="00B33084"/>
    <w:rsid w:val="00B33178"/>
    <w:rsid w:val="00B3396A"/>
    <w:rsid w:val="00B339F4"/>
    <w:rsid w:val="00B346C3"/>
    <w:rsid w:val="00B34A18"/>
    <w:rsid w:val="00B34DE9"/>
    <w:rsid w:val="00B3533E"/>
    <w:rsid w:val="00B35780"/>
    <w:rsid w:val="00B35841"/>
    <w:rsid w:val="00B3591E"/>
    <w:rsid w:val="00B35AC6"/>
    <w:rsid w:val="00B35BD4"/>
    <w:rsid w:val="00B36187"/>
    <w:rsid w:val="00B36472"/>
    <w:rsid w:val="00B36606"/>
    <w:rsid w:val="00B368CD"/>
    <w:rsid w:val="00B36AB0"/>
    <w:rsid w:val="00B37323"/>
    <w:rsid w:val="00B377FA"/>
    <w:rsid w:val="00B37A00"/>
    <w:rsid w:val="00B4005C"/>
    <w:rsid w:val="00B4034E"/>
    <w:rsid w:val="00B40943"/>
    <w:rsid w:val="00B40E65"/>
    <w:rsid w:val="00B410D2"/>
    <w:rsid w:val="00B4137C"/>
    <w:rsid w:val="00B41561"/>
    <w:rsid w:val="00B4196D"/>
    <w:rsid w:val="00B42027"/>
    <w:rsid w:val="00B4227E"/>
    <w:rsid w:val="00B42328"/>
    <w:rsid w:val="00B42759"/>
    <w:rsid w:val="00B43D6B"/>
    <w:rsid w:val="00B43EF2"/>
    <w:rsid w:val="00B446FE"/>
    <w:rsid w:val="00B4471C"/>
    <w:rsid w:val="00B450AA"/>
    <w:rsid w:val="00B451A6"/>
    <w:rsid w:val="00B45542"/>
    <w:rsid w:val="00B459DD"/>
    <w:rsid w:val="00B45BBE"/>
    <w:rsid w:val="00B46105"/>
    <w:rsid w:val="00B46561"/>
    <w:rsid w:val="00B46651"/>
    <w:rsid w:val="00B46F5D"/>
    <w:rsid w:val="00B4708A"/>
    <w:rsid w:val="00B47C9C"/>
    <w:rsid w:val="00B501E8"/>
    <w:rsid w:val="00B5093E"/>
    <w:rsid w:val="00B50D6C"/>
    <w:rsid w:val="00B50E35"/>
    <w:rsid w:val="00B50FD9"/>
    <w:rsid w:val="00B511B6"/>
    <w:rsid w:val="00B5133B"/>
    <w:rsid w:val="00B513C0"/>
    <w:rsid w:val="00B518F3"/>
    <w:rsid w:val="00B51F2E"/>
    <w:rsid w:val="00B52124"/>
    <w:rsid w:val="00B524EB"/>
    <w:rsid w:val="00B52EAB"/>
    <w:rsid w:val="00B52EB9"/>
    <w:rsid w:val="00B52EC4"/>
    <w:rsid w:val="00B53292"/>
    <w:rsid w:val="00B532E9"/>
    <w:rsid w:val="00B536D0"/>
    <w:rsid w:val="00B5376D"/>
    <w:rsid w:val="00B539CB"/>
    <w:rsid w:val="00B53A9D"/>
    <w:rsid w:val="00B53CA5"/>
    <w:rsid w:val="00B544D2"/>
    <w:rsid w:val="00B5460A"/>
    <w:rsid w:val="00B54913"/>
    <w:rsid w:val="00B549A0"/>
    <w:rsid w:val="00B54EA2"/>
    <w:rsid w:val="00B54FBC"/>
    <w:rsid w:val="00B5549B"/>
    <w:rsid w:val="00B555CB"/>
    <w:rsid w:val="00B55829"/>
    <w:rsid w:val="00B559A8"/>
    <w:rsid w:val="00B55B5B"/>
    <w:rsid w:val="00B55F7A"/>
    <w:rsid w:val="00B55FF2"/>
    <w:rsid w:val="00B561D3"/>
    <w:rsid w:val="00B5623C"/>
    <w:rsid w:val="00B56516"/>
    <w:rsid w:val="00B565E7"/>
    <w:rsid w:val="00B56645"/>
    <w:rsid w:val="00B56898"/>
    <w:rsid w:val="00B56D6E"/>
    <w:rsid w:val="00B56E2C"/>
    <w:rsid w:val="00B56E38"/>
    <w:rsid w:val="00B56EC9"/>
    <w:rsid w:val="00B5716B"/>
    <w:rsid w:val="00B600FC"/>
    <w:rsid w:val="00B60543"/>
    <w:rsid w:val="00B60C73"/>
    <w:rsid w:val="00B613DA"/>
    <w:rsid w:val="00B61635"/>
    <w:rsid w:val="00B61AE0"/>
    <w:rsid w:val="00B62343"/>
    <w:rsid w:val="00B62A60"/>
    <w:rsid w:val="00B630F9"/>
    <w:rsid w:val="00B6337E"/>
    <w:rsid w:val="00B63753"/>
    <w:rsid w:val="00B639B6"/>
    <w:rsid w:val="00B63B4E"/>
    <w:rsid w:val="00B6405A"/>
    <w:rsid w:val="00B64347"/>
    <w:rsid w:val="00B646D2"/>
    <w:rsid w:val="00B64759"/>
    <w:rsid w:val="00B647AC"/>
    <w:rsid w:val="00B64E59"/>
    <w:rsid w:val="00B6518B"/>
    <w:rsid w:val="00B651EC"/>
    <w:rsid w:val="00B6561E"/>
    <w:rsid w:val="00B65B0A"/>
    <w:rsid w:val="00B65DC6"/>
    <w:rsid w:val="00B65F47"/>
    <w:rsid w:val="00B66214"/>
    <w:rsid w:val="00B6625A"/>
    <w:rsid w:val="00B6643D"/>
    <w:rsid w:val="00B665B5"/>
    <w:rsid w:val="00B6661A"/>
    <w:rsid w:val="00B668E9"/>
    <w:rsid w:val="00B66C86"/>
    <w:rsid w:val="00B67498"/>
    <w:rsid w:val="00B67AC2"/>
    <w:rsid w:val="00B67AFF"/>
    <w:rsid w:val="00B7004E"/>
    <w:rsid w:val="00B702D0"/>
    <w:rsid w:val="00B70B19"/>
    <w:rsid w:val="00B70C5A"/>
    <w:rsid w:val="00B70E5B"/>
    <w:rsid w:val="00B70F09"/>
    <w:rsid w:val="00B71376"/>
    <w:rsid w:val="00B7175C"/>
    <w:rsid w:val="00B71796"/>
    <w:rsid w:val="00B717B3"/>
    <w:rsid w:val="00B71A16"/>
    <w:rsid w:val="00B72246"/>
    <w:rsid w:val="00B722DE"/>
    <w:rsid w:val="00B727FD"/>
    <w:rsid w:val="00B7324D"/>
    <w:rsid w:val="00B73BBA"/>
    <w:rsid w:val="00B7430B"/>
    <w:rsid w:val="00B74AEC"/>
    <w:rsid w:val="00B74BE1"/>
    <w:rsid w:val="00B74C18"/>
    <w:rsid w:val="00B74FA4"/>
    <w:rsid w:val="00B75057"/>
    <w:rsid w:val="00B7506A"/>
    <w:rsid w:val="00B751E3"/>
    <w:rsid w:val="00B7524F"/>
    <w:rsid w:val="00B75332"/>
    <w:rsid w:val="00B753A6"/>
    <w:rsid w:val="00B7593E"/>
    <w:rsid w:val="00B75BA6"/>
    <w:rsid w:val="00B76658"/>
    <w:rsid w:val="00B7666B"/>
    <w:rsid w:val="00B7688E"/>
    <w:rsid w:val="00B76C44"/>
    <w:rsid w:val="00B7708A"/>
    <w:rsid w:val="00B7717B"/>
    <w:rsid w:val="00B77478"/>
    <w:rsid w:val="00B77787"/>
    <w:rsid w:val="00B77A28"/>
    <w:rsid w:val="00B80102"/>
    <w:rsid w:val="00B80516"/>
    <w:rsid w:val="00B8067C"/>
    <w:rsid w:val="00B80753"/>
    <w:rsid w:val="00B80F94"/>
    <w:rsid w:val="00B81037"/>
    <w:rsid w:val="00B8132E"/>
    <w:rsid w:val="00B8184A"/>
    <w:rsid w:val="00B819CF"/>
    <w:rsid w:val="00B81A1D"/>
    <w:rsid w:val="00B82283"/>
    <w:rsid w:val="00B823BB"/>
    <w:rsid w:val="00B8254C"/>
    <w:rsid w:val="00B827E0"/>
    <w:rsid w:val="00B828D8"/>
    <w:rsid w:val="00B82C00"/>
    <w:rsid w:val="00B82D4C"/>
    <w:rsid w:val="00B83624"/>
    <w:rsid w:val="00B8363B"/>
    <w:rsid w:val="00B83F87"/>
    <w:rsid w:val="00B8427C"/>
    <w:rsid w:val="00B84334"/>
    <w:rsid w:val="00B846E3"/>
    <w:rsid w:val="00B848DC"/>
    <w:rsid w:val="00B84CCA"/>
    <w:rsid w:val="00B84D1E"/>
    <w:rsid w:val="00B84F84"/>
    <w:rsid w:val="00B85091"/>
    <w:rsid w:val="00B853A0"/>
    <w:rsid w:val="00B8549E"/>
    <w:rsid w:val="00B85857"/>
    <w:rsid w:val="00B8597C"/>
    <w:rsid w:val="00B85B0C"/>
    <w:rsid w:val="00B85BDD"/>
    <w:rsid w:val="00B86639"/>
    <w:rsid w:val="00B86AC9"/>
    <w:rsid w:val="00B86DF4"/>
    <w:rsid w:val="00B871ED"/>
    <w:rsid w:val="00B871F1"/>
    <w:rsid w:val="00B87405"/>
    <w:rsid w:val="00B8775D"/>
    <w:rsid w:val="00B8787B"/>
    <w:rsid w:val="00B878E1"/>
    <w:rsid w:val="00B8795F"/>
    <w:rsid w:val="00B87CDC"/>
    <w:rsid w:val="00B90293"/>
    <w:rsid w:val="00B903B8"/>
    <w:rsid w:val="00B90D60"/>
    <w:rsid w:val="00B90E3E"/>
    <w:rsid w:val="00B910C1"/>
    <w:rsid w:val="00B91CD7"/>
    <w:rsid w:val="00B91DF0"/>
    <w:rsid w:val="00B92016"/>
    <w:rsid w:val="00B93159"/>
    <w:rsid w:val="00B93161"/>
    <w:rsid w:val="00B9373D"/>
    <w:rsid w:val="00B93774"/>
    <w:rsid w:val="00B93D93"/>
    <w:rsid w:val="00B94054"/>
    <w:rsid w:val="00B9444B"/>
    <w:rsid w:val="00B94ABA"/>
    <w:rsid w:val="00B9501C"/>
    <w:rsid w:val="00B95620"/>
    <w:rsid w:val="00B95635"/>
    <w:rsid w:val="00B95C6E"/>
    <w:rsid w:val="00B95D96"/>
    <w:rsid w:val="00B95F99"/>
    <w:rsid w:val="00B96139"/>
    <w:rsid w:val="00B961E5"/>
    <w:rsid w:val="00B9623E"/>
    <w:rsid w:val="00B96352"/>
    <w:rsid w:val="00B96695"/>
    <w:rsid w:val="00B968FC"/>
    <w:rsid w:val="00B96F4F"/>
    <w:rsid w:val="00B96FB8"/>
    <w:rsid w:val="00B97527"/>
    <w:rsid w:val="00B97813"/>
    <w:rsid w:val="00B97FD9"/>
    <w:rsid w:val="00BA001D"/>
    <w:rsid w:val="00BA04F6"/>
    <w:rsid w:val="00BA0F9C"/>
    <w:rsid w:val="00BA1250"/>
    <w:rsid w:val="00BA170C"/>
    <w:rsid w:val="00BA1A00"/>
    <w:rsid w:val="00BA29D1"/>
    <w:rsid w:val="00BA2CA4"/>
    <w:rsid w:val="00BA2EFA"/>
    <w:rsid w:val="00BA327A"/>
    <w:rsid w:val="00BA38DA"/>
    <w:rsid w:val="00BA3921"/>
    <w:rsid w:val="00BA3DBC"/>
    <w:rsid w:val="00BA47C9"/>
    <w:rsid w:val="00BA4A1B"/>
    <w:rsid w:val="00BA4FE1"/>
    <w:rsid w:val="00BA5426"/>
    <w:rsid w:val="00BA55FF"/>
    <w:rsid w:val="00BA58C3"/>
    <w:rsid w:val="00BA596B"/>
    <w:rsid w:val="00BA609F"/>
    <w:rsid w:val="00BA6589"/>
    <w:rsid w:val="00BA686F"/>
    <w:rsid w:val="00BA6964"/>
    <w:rsid w:val="00BA6AFB"/>
    <w:rsid w:val="00BA6B2D"/>
    <w:rsid w:val="00BA6D9C"/>
    <w:rsid w:val="00BA6F0D"/>
    <w:rsid w:val="00BA6F32"/>
    <w:rsid w:val="00BA707A"/>
    <w:rsid w:val="00BA74D9"/>
    <w:rsid w:val="00BA7CB5"/>
    <w:rsid w:val="00BB07D3"/>
    <w:rsid w:val="00BB0B2E"/>
    <w:rsid w:val="00BB0D3F"/>
    <w:rsid w:val="00BB0F5F"/>
    <w:rsid w:val="00BB172D"/>
    <w:rsid w:val="00BB18F3"/>
    <w:rsid w:val="00BB1AF2"/>
    <w:rsid w:val="00BB1AFB"/>
    <w:rsid w:val="00BB1DE1"/>
    <w:rsid w:val="00BB1E3B"/>
    <w:rsid w:val="00BB1F10"/>
    <w:rsid w:val="00BB23B5"/>
    <w:rsid w:val="00BB24AA"/>
    <w:rsid w:val="00BB27AE"/>
    <w:rsid w:val="00BB27ED"/>
    <w:rsid w:val="00BB2C75"/>
    <w:rsid w:val="00BB2D23"/>
    <w:rsid w:val="00BB2DA2"/>
    <w:rsid w:val="00BB391B"/>
    <w:rsid w:val="00BB3B24"/>
    <w:rsid w:val="00BB43E7"/>
    <w:rsid w:val="00BB46F6"/>
    <w:rsid w:val="00BB47A6"/>
    <w:rsid w:val="00BB50E3"/>
    <w:rsid w:val="00BB5345"/>
    <w:rsid w:val="00BB56DC"/>
    <w:rsid w:val="00BB571B"/>
    <w:rsid w:val="00BB5BC6"/>
    <w:rsid w:val="00BB63A6"/>
    <w:rsid w:val="00BB66B3"/>
    <w:rsid w:val="00BB6C90"/>
    <w:rsid w:val="00BB6D58"/>
    <w:rsid w:val="00BB781D"/>
    <w:rsid w:val="00BB7843"/>
    <w:rsid w:val="00BB7CEA"/>
    <w:rsid w:val="00BB7EC6"/>
    <w:rsid w:val="00BC051F"/>
    <w:rsid w:val="00BC0D03"/>
    <w:rsid w:val="00BC1181"/>
    <w:rsid w:val="00BC1C2F"/>
    <w:rsid w:val="00BC2056"/>
    <w:rsid w:val="00BC2141"/>
    <w:rsid w:val="00BC29AD"/>
    <w:rsid w:val="00BC2A4A"/>
    <w:rsid w:val="00BC3234"/>
    <w:rsid w:val="00BC37C6"/>
    <w:rsid w:val="00BC3A3A"/>
    <w:rsid w:val="00BC3F8C"/>
    <w:rsid w:val="00BC41EE"/>
    <w:rsid w:val="00BC4420"/>
    <w:rsid w:val="00BC4637"/>
    <w:rsid w:val="00BC4753"/>
    <w:rsid w:val="00BC4B14"/>
    <w:rsid w:val="00BC4BD1"/>
    <w:rsid w:val="00BC533D"/>
    <w:rsid w:val="00BC6158"/>
    <w:rsid w:val="00BC654A"/>
    <w:rsid w:val="00BC68D1"/>
    <w:rsid w:val="00BC6A34"/>
    <w:rsid w:val="00BC703D"/>
    <w:rsid w:val="00BC7337"/>
    <w:rsid w:val="00BC77FF"/>
    <w:rsid w:val="00BC7A72"/>
    <w:rsid w:val="00BC7F37"/>
    <w:rsid w:val="00BD06A3"/>
    <w:rsid w:val="00BD102F"/>
    <w:rsid w:val="00BD13D3"/>
    <w:rsid w:val="00BD1879"/>
    <w:rsid w:val="00BD1D94"/>
    <w:rsid w:val="00BD1F6B"/>
    <w:rsid w:val="00BD21A4"/>
    <w:rsid w:val="00BD25EC"/>
    <w:rsid w:val="00BD26E0"/>
    <w:rsid w:val="00BD27E6"/>
    <w:rsid w:val="00BD28D2"/>
    <w:rsid w:val="00BD2B72"/>
    <w:rsid w:val="00BD3286"/>
    <w:rsid w:val="00BD3A39"/>
    <w:rsid w:val="00BD47DE"/>
    <w:rsid w:val="00BD4FB8"/>
    <w:rsid w:val="00BD512D"/>
    <w:rsid w:val="00BD5152"/>
    <w:rsid w:val="00BD5347"/>
    <w:rsid w:val="00BD5649"/>
    <w:rsid w:val="00BD5E77"/>
    <w:rsid w:val="00BD649E"/>
    <w:rsid w:val="00BD68F2"/>
    <w:rsid w:val="00BD6937"/>
    <w:rsid w:val="00BD6D77"/>
    <w:rsid w:val="00BD72AA"/>
    <w:rsid w:val="00BD7906"/>
    <w:rsid w:val="00BD7BBD"/>
    <w:rsid w:val="00BD7C37"/>
    <w:rsid w:val="00BD7DE0"/>
    <w:rsid w:val="00BD7FDD"/>
    <w:rsid w:val="00BE01E7"/>
    <w:rsid w:val="00BE0E63"/>
    <w:rsid w:val="00BE146C"/>
    <w:rsid w:val="00BE16A5"/>
    <w:rsid w:val="00BE183D"/>
    <w:rsid w:val="00BE1C8E"/>
    <w:rsid w:val="00BE1E98"/>
    <w:rsid w:val="00BE1EB7"/>
    <w:rsid w:val="00BE230D"/>
    <w:rsid w:val="00BE28FB"/>
    <w:rsid w:val="00BE29F1"/>
    <w:rsid w:val="00BE2CB1"/>
    <w:rsid w:val="00BE302F"/>
    <w:rsid w:val="00BE30D0"/>
    <w:rsid w:val="00BE3157"/>
    <w:rsid w:val="00BE3D8B"/>
    <w:rsid w:val="00BE4030"/>
    <w:rsid w:val="00BE4D23"/>
    <w:rsid w:val="00BE4DF5"/>
    <w:rsid w:val="00BE5102"/>
    <w:rsid w:val="00BE596B"/>
    <w:rsid w:val="00BE5BA1"/>
    <w:rsid w:val="00BE5FC9"/>
    <w:rsid w:val="00BE63E9"/>
    <w:rsid w:val="00BE64EA"/>
    <w:rsid w:val="00BE66D9"/>
    <w:rsid w:val="00BE69C8"/>
    <w:rsid w:val="00BE6F62"/>
    <w:rsid w:val="00BE6F8E"/>
    <w:rsid w:val="00BE706D"/>
    <w:rsid w:val="00BE7167"/>
    <w:rsid w:val="00BE72E9"/>
    <w:rsid w:val="00BE76EF"/>
    <w:rsid w:val="00BE780B"/>
    <w:rsid w:val="00BF0062"/>
    <w:rsid w:val="00BF0190"/>
    <w:rsid w:val="00BF087C"/>
    <w:rsid w:val="00BF089A"/>
    <w:rsid w:val="00BF08E1"/>
    <w:rsid w:val="00BF092F"/>
    <w:rsid w:val="00BF098E"/>
    <w:rsid w:val="00BF0F17"/>
    <w:rsid w:val="00BF1097"/>
    <w:rsid w:val="00BF1102"/>
    <w:rsid w:val="00BF236C"/>
    <w:rsid w:val="00BF24C2"/>
    <w:rsid w:val="00BF28C3"/>
    <w:rsid w:val="00BF2922"/>
    <w:rsid w:val="00BF2BB0"/>
    <w:rsid w:val="00BF31FD"/>
    <w:rsid w:val="00BF3666"/>
    <w:rsid w:val="00BF39CC"/>
    <w:rsid w:val="00BF3C8F"/>
    <w:rsid w:val="00BF3E38"/>
    <w:rsid w:val="00BF4468"/>
    <w:rsid w:val="00BF4AAF"/>
    <w:rsid w:val="00BF4B56"/>
    <w:rsid w:val="00BF4C3B"/>
    <w:rsid w:val="00BF4C64"/>
    <w:rsid w:val="00BF4CF9"/>
    <w:rsid w:val="00BF574C"/>
    <w:rsid w:val="00BF5A37"/>
    <w:rsid w:val="00BF5D7A"/>
    <w:rsid w:val="00BF605F"/>
    <w:rsid w:val="00BF61AF"/>
    <w:rsid w:val="00BF65F7"/>
    <w:rsid w:val="00BF679D"/>
    <w:rsid w:val="00BF6D13"/>
    <w:rsid w:val="00BF77EA"/>
    <w:rsid w:val="00BF7ADC"/>
    <w:rsid w:val="00BF7E77"/>
    <w:rsid w:val="00C000AE"/>
    <w:rsid w:val="00C001E8"/>
    <w:rsid w:val="00C005F4"/>
    <w:rsid w:val="00C009B7"/>
    <w:rsid w:val="00C00E6B"/>
    <w:rsid w:val="00C01308"/>
    <w:rsid w:val="00C01C2E"/>
    <w:rsid w:val="00C020F3"/>
    <w:rsid w:val="00C02453"/>
    <w:rsid w:val="00C0260F"/>
    <w:rsid w:val="00C0274B"/>
    <w:rsid w:val="00C02897"/>
    <w:rsid w:val="00C0294B"/>
    <w:rsid w:val="00C02CAD"/>
    <w:rsid w:val="00C02D33"/>
    <w:rsid w:val="00C03472"/>
    <w:rsid w:val="00C037A6"/>
    <w:rsid w:val="00C03EF3"/>
    <w:rsid w:val="00C0419F"/>
    <w:rsid w:val="00C04271"/>
    <w:rsid w:val="00C04B53"/>
    <w:rsid w:val="00C05838"/>
    <w:rsid w:val="00C0593B"/>
    <w:rsid w:val="00C05CE2"/>
    <w:rsid w:val="00C06062"/>
    <w:rsid w:val="00C065C7"/>
    <w:rsid w:val="00C065F7"/>
    <w:rsid w:val="00C0690D"/>
    <w:rsid w:val="00C06B6E"/>
    <w:rsid w:val="00C07313"/>
    <w:rsid w:val="00C07665"/>
    <w:rsid w:val="00C0774E"/>
    <w:rsid w:val="00C100A3"/>
    <w:rsid w:val="00C1056B"/>
    <w:rsid w:val="00C105F0"/>
    <w:rsid w:val="00C1188B"/>
    <w:rsid w:val="00C121D5"/>
    <w:rsid w:val="00C1232C"/>
    <w:rsid w:val="00C12467"/>
    <w:rsid w:val="00C12489"/>
    <w:rsid w:val="00C13215"/>
    <w:rsid w:val="00C13377"/>
    <w:rsid w:val="00C135F0"/>
    <w:rsid w:val="00C1389B"/>
    <w:rsid w:val="00C138FC"/>
    <w:rsid w:val="00C13FBF"/>
    <w:rsid w:val="00C14657"/>
    <w:rsid w:val="00C14810"/>
    <w:rsid w:val="00C148B5"/>
    <w:rsid w:val="00C14A0C"/>
    <w:rsid w:val="00C14EE0"/>
    <w:rsid w:val="00C15823"/>
    <w:rsid w:val="00C166F4"/>
    <w:rsid w:val="00C16831"/>
    <w:rsid w:val="00C16CD6"/>
    <w:rsid w:val="00C17D6F"/>
    <w:rsid w:val="00C17F6F"/>
    <w:rsid w:val="00C203AB"/>
    <w:rsid w:val="00C204BB"/>
    <w:rsid w:val="00C20721"/>
    <w:rsid w:val="00C20AB7"/>
    <w:rsid w:val="00C20B55"/>
    <w:rsid w:val="00C20B9E"/>
    <w:rsid w:val="00C20D5A"/>
    <w:rsid w:val="00C21DAE"/>
    <w:rsid w:val="00C22369"/>
    <w:rsid w:val="00C22872"/>
    <w:rsid w:val="00C22BE5"/>
    <w:rsid w:val="00C22C94"/>
    <w:rsid w:val="00C22EAD"/>
    <w:rsid w:val="00C22F29"/>
    <w:rsid w:val="00C237AF"/>
    <w:rsid w:val="00C23854"/>
    <w:rsid w:val="00C23943"/>
    <w:rsid w:val="00C23ABD"/>
    <w:rsid w:val="00C241B6"/>
    <w:rsid w:val="00C24236"/>
    <w:rsid w:val="00C243AD"/>
    <w:rsid w:val="00C24922"/>
    <w:rsid w:val="00C24B7A"/>
    <w:rsid w:val="00C24E3D"/>
    <w:rsid w:val="00C24E44"/>
    <w:rsid w:val="00C24E90"/>
    <w:rsid w:val="00C25AAE"/>
    <w:rsid w:val="00C261B6"/>
    <w:rsid w:val="00C262FA"/>
    <w:rsid w:val="00C266BF"/>
    <w:rsid w:val="00C269CB"/>
    <w:rsid w:val="00C26A8D"/>
    <w:rsid w:val="00C26F1E"/>
    <w:rsid w:val="00C2749D"/>
    <w:rsid w:val="00C2774E"/>
    <w:rsid w:val="00C27C6B"/>
    <w:rsid w:val="00C304F8"/>
    <w:rsid w:val="00C30678"/>
    <w:rsid w:val="00C30934"/>
    <w:rsid w:val="00C30D08"/>
    <w:rsid w:val="00C31223"/>
    <w:rsid w:val="00C3129F"/>
    <w:rsid w:val="00C31424"/>
    <w:rsid w:val="00C31760"/>
    <w:rsid w:val="00C319AA"/>
    <w:rsid w:val="00C31C6F"/>
    <w:rsid w:val="00C31D24"/>
    <w:rsid w:val="00C31E46"/>
    <w:rsid w:val="00C31F8D"/>
    <w:rsid w:val="00C331CA"/>
    <w:rsid w:val="00C3320F"/>
    <w:rsid w:val="00C337AA"/>
    <w:rsid w:val="00C33D92"/>
    <w:rsid w:val="00C33EEB"/>
    <w:rsid w:val="00C33FB7"/>
    <w:rsid w:val="00C34233"/>
    <w:rsid w:val="00C3452C"/>
    <w:rsid w:val="00C3490A"/>
    <w:rsid w:val="00C34C7F"/>
    <w:rsid w:val="00C34E6F"/>
    <w:rsid w:val="00C353FF"/>
    <w:rsid w:val="00C354FE"/>
    <w:rsid w:val="00C35575"/>
    <w:rsid w:val="00C3594D"/>
    <w:rsid w:val="00C35CE6"/>
    <w:rsid w:val="00C35FEE"/>
    <w:rsid w:val="00C36442"/>
    <w:rsid w:val="00C364DA"/>
    <w:rsid w:val="00C36608"/>
    <w:rsid w:val="00C368AD"/>
    <w:rsid w:val="00C36F93"/>
    <w:rsid w:val="00C3747E"/>
    <w:rsid w:val="00C37499"/>
    <w:rsid w:val="00C37CD4"/>
    <w:rsid w:val="00C400CE"/>
    <w:rsid w:val="00C400DA"/>
    <w:rsid w:val="00C410FD"/>
    <w:rsid w:val="00C41348"/>
    <w:rsid w:val="00C41763"/>
    <w:rsid w:val="00C417B9"/>
    <w:rsid w:val="00C419A0"/>
    <w:rsid w:val="00C41C72"/>
    <w:rsid w:val="00C41FF7"/>
    <w:rsid w:val="00C424D9"/>
    <w:rsid w:val="00C42845"/>
    <w:rsid w:val="00C42922"/>
    <w:rsid w:val="00C42B97"/>
    <w:rsid w:val="00C43018"/>
    <w:rsid w:val="00C43512"/>
    <w:rsid w:val="00C437DA"/>
    <w:rsid w:val="00C4382C"/>
    <w:rsid w:val="00C4400B"/>
    <w:rsid w:val="00C44B96"/>
    <w:rsid w:val="00C44E0D"/>
    <w:rsid w:val="00C4538A"/>
    <w:rsid w:val="00C45529"/>
    <w:rsid w:val="00C457DE"/>
    <w:rsid w:val="00C4590E"/>
    <w:rsid w:val="00C45DDF"/>
    <w:rsid w:val="00C45EA9"/>
    <w:rsid w:val="00C467FE"/>
    <w:rsid w:val="00C46816"/>
    <w:rsid w:val="00C46DDB"/>
    <w:rsid w:val="00C46EE4"/>
    <w:rsid w:val="00C47060"/>
    <w:rsid w:val="00C4752F"/>
    <w:rsid w:val="00C475CC"/>
    <w:rsid w:val="00C4783B"/>
    <w:rsid w:val="00C478D2"/>
    <w:rsid w:val="00C4798E"/>
    <w:rsid w:val="00C47DA3"/>
    <w:rsid w:val="00C47DD3"/>
    <w:rsid w:val="00C47E08"/>
    <w:rsid w:val="00C50104"/>
    <w:rsid w:val="00C5014E"/>
    <w:rsid w:val="00C5018B"/>
    <w:rsid w:val="00C50242"/>
    <w:rsid w:val="00C503D5"/>
    <w:rsid w:val="00C50514"/>
    <w:rsid w:val="00C50677"/>
    <w:rsid w:val="00C50826"/>
    <w:rsid w:val="00C50B61"/>
    <w:rsid w:val="00C50EA1"/>
    <w:rsid w:val="00C50EAF"/>
    <w:rsid w:val="00C5115E"/>
    <w:rsid w:val="00C51268"/>
    <w:rsid w:val="00C51C56"/>
    <w:rsid w:val="00C5216D"/>
    <w:rsid w:val="00C52B8A"/>
    <w:rsid w:val="00C5316F"/>
    <w:rsid w:val="00C532A9"/>
    <w:rsid w:val="00C533A9"/>
    <w:rsid w:val="00C53562"/>
    <w:rsid w:val="00C53663"/>
    <w:rsid w:val="00C539FB"/>
    <w:rsid w:val="00C53EE1"/>
    <w:rsid w:val="00C54256"/>
    <w:rsid w:val="00C54560"/>
    <w:rsid w:val="00C54635"/>
    <w:rsid w:val="00C55566"/>
    <w:rsid w:val="00C5583A"/>
    <w:rsid w:val="00C559DA"/>
    <w:rsid w:val="00C55A71"/>
    <w:rsid w:val="00C55BE7"/>
    <w:rsid w:val="00C55D7F"/>
    <w:rsid w:val="00C55D88"/>
    <w:rsid w:val="00C55F5A"/>
    <w:rsid w:val="00C56225"/>
    <w:rsid w:val="00C5622E"/>
    <w:rsid w:val="00C567DE"/>
    <w:rsid w:val="00C56FCD"/>
    <w:rsid w:val="00C57337"/>
    <w:rsid w:val="00C574CF"/>
    <w:rsid w:val="00C576B7"/>
    <w:rsid w:val="00C579E0"/>
    <w:rsid w:val="00C602C7"/>
    <w:rsid w:val="00C604F5"/>
    <w:rsid w:val="00C60707"/>
    <w:rsid w:val="00C6100F"/>
    <w:rsid w:val="00C61E9E"/>
    <w:rsid w:val="00C62714"/>
    <w:rsid w:val="00C62B65"/>
    <w:rsid w:val="00C62B7F"/>
    <w:rsid w:val="00C638D2"/>
    <w:rsid w:val="00C638F1"/>
    <w:rsid w:val="00C639BA"/>
    <w:rsid w:val="00C63BCB"/>
    <w:rsid w:val="00C63C05"/>
    <w:rsid w:val="00C63C09"/>
    <w:rsid w:val="00C6531F"/>
    <w:rsid w:val="00C65627"/>
    <w:rsid w:val="00C661FA"/>
    <w:rsid w:val="00C66AA3"/>
    <w:rsid w:val="00C66CB2"/>
    <w:rsid w:val="00C66E57"/>
    <w:rsid w:val="00C66EDC"/>
    <w:rsid w:val="00C66F56"/>
    <w:rsid w:val="00C673EC"/>
    <w:rsid w:val="00C70776"/>
    <w:rsid w:val="00C711D8"/>
    <w:rsid w:val="00C715B3"/>
    <w:rsid w:val="00C71725"/>
    <w:rsid w:val="00C72158"/>
    <w:rsid w:val="00C7215F"/>
    <w:rsid w:val="00C724C6"/>
    <w:rsid w:val="00C724D7"/>
    <w:rsid w:val="00C726EF"/>
    <w:rsid w:val="00C728E2"/>
    <w:rsid w:val="00C72BC5"/>
    <w:rsid w:val="00C72D0C"/>
    <w:rsid w:val="00C72F6E"/>
    <w:rsid w:val="00C7316E"/>
    <w:rsid w:val="00C73230"/>
    <w:rsid w:val="00C733AC"/>
    <w:rsid w:val="00C737EC"/>
    <w:rsid w:val="00C73AAE"/>
    <w:rsid w:val="00C74150"/>
    <w:rsid w:val="00C74151"/>
    <w:rsid w:val="00C745CF"/>
    <w:rsid w:val="00C746C9"/>
    <w:rsid w:val="00C7471C"/>
    <w:rsid w:val="00C74B2B"/>
    <w:rsid w:val="00C74F6A"/>
    <w:rsid w:val="00C74F9C"/>
    <w:rsid w:val="00C751C8"/>
    <w:rsid w:val="00C75255"/>
    <w:rsid w:val="00C752AC"/>
    <w:rsid w:val="00C75594"/>
    <w:rsid w:val="00C758D5"/>
    <w:rsid w:val="00C75C0D"/>
    <w:rsid w:val="00C75D34"/>
    <w:rsid w:val="00C76823"/>
    <w:rsid w:val="00C770F2"/>
    <w:rsid w:val="00C7750F"/>
    <w:rsid w:val="00C775CC"/>
    <w:rsid w:val="00C7788C"/>
    <w:rsid w:val="00C77E00"/>
    <w:rsid w:val="00C802D2"/>
    <w:rsid w:val="00C802D8"/>
    <w:rsid w:val="00C80B7F"/>
    <w:rsid w:val="00C80E0B"/>
    <w:rsid w:val="00C81722"/>
    <w:rsid w:val="00C817F0"/>
    <w:rsid w:val="00C81864"/>
    <w:rsid w:val="00C818E5"/>
    <w:rsid w:val="00C81AAD"/>
    <w:rsid w:val="00C81E5F"/>
    <w:rsid w:val="00C81EDB"/>
    <w:rsid w:val="00C820CC"/>
    <w:rsid w:val="00C82BD5"/>
    <w:rsid w:val="00C8318D"/>
    <w:rsid w:val="00C8322F"/>
    <w:rsid w:val="00C832B9"/>
    <w:rsid w:val="00C835E0"/>
    <w:rsid w:val="00C83769"/>
    <w:rsid w:val="00C85076"/>
    <w:rsid w:val="00C85281"/>
    <w:rsid w:val="00C8532D"/>
    <w:rsid w:val="00C85801"/>
    <w:rsid w:val="00C85982"/>
    <w:rsid w:val="00C8634A"/>
    <w:rsid w:val="00C8676C"/>
    <w:rsid w:val="00C86D65"/>
    <w:rsid w:val="00C870DB"/>
    <w:rsid w:val="00C87333"/>
    <w:rsid w:val="00C873A1"/>
    <w:rsid w:val="00C87637"/>
    <w:rsid w:val="00C87F00"/>
    <w:rsid w:val="00C9017C"/>
    <w:rsid w:val="00C90490"/>
    <w:rsid w:val="00C904D5"/>
    <w:rsid w:val="00C90786"/>
    <w:rsid w:val="00C91035"/>
    <w:rsid w:val="00C9139A"/>
    <w:rsid w:val="00C91957"/>
    <w:rsid w:val="00C91D0C"/>
    <w:rsid w:val="00C921CA"/>
    <w:rsid w:val="00C92724"/>
    <w:rsid w:val="00C92B5C"/>
    <w:rsid w:val="00C92D54"/>
    <w:rsid w:val="00C92E0A"/>
    <w:rsid w:val="00C92E0E"/>
    <w:rsid w:val="00C9336C"/>
    <w:rsid w:val="00C93471"/>
    <w:rsid w:val="00C93473"/>
    <w:rsid w:val="00C93485"/>
    <w:rsid w:val="00C93555"/>
    <w:rsid w:val="00C93B6A"/>
    <w:rsid w:val="00C93D12"/>
    <w:rsid w:val="00C94267"/>
    <w:rsid w:val="00C94632"/>
    <w:rsid w:val="00C94A28"/>
    <w:rsid w:val="00C94C75"/>
    <w:rsid w:val="00C95BAF"/>
    <w:rsid w:val="00C960CA"/>
    <w:rsid w:val="00C961E8"/>
    <w:rsid w:val="00C964AB"/>
    <w:rsid w:val="00C9673A"/>
    <w:rsid w:val="00C97175"/>
    <w:rsid w:val="00C972BE"/>
    <w:rsid w:val="00C973D1"/>
    <w:rsid w:val="00C97F79"/>
    <w:rsid w:val="00CA031E"/>
    <w:rsid w:val="00CA0466"/>
    <w:rsid w:val="00CA059D"/>
    <w:rsid w:val="00CA059F"/>
    <w:rsid w:val="00CA0646"/>
    <w:rsid w:val="00CA071B"/>
    <w:rsid w:val="00CA0F44"/>
    <w:rsid w:val="00CA0FA6"/>
    <w:rsid w:val="00CA1711"/>
    <w:rsid w:val="00CA1803"/>
    <w:rsid w:val="00CA2114"/>
    <w:rsid w:val="00CA227B"/>
    <w:rsid w:val="00CA246D"/>
    <w:rsid w:val="00CA29B0"/>
    <w:rsid w:val="00CA3440"/>
    <w:rsid w:val="00CA3777"/>
    <w:rsid w:val="00CA3798"/>
    <w:rsid w:val="00CA37F1"/>
    <w:rsid w:val="00CA39EE"/>
    <w:rsid w:val="00CA41C7"/>
    <w:rsid w:val="00CA4B73"/>
    <w:rsid w:val="00CA4D6A"/>
    <w:rsid w:val="00CA4EBB"/>
    <w:rsid w:val="00CA4F69"/>
    <w:rsid w:val="00CA50D9"/>
    <w:rsid w:val="00CA55C9"/>
    <w:rsid w:val="00CA5BF9"/>
    <w:rsid w:val="00CA5CD2"/>
    <w:rsid w:val="00CA6307"/>
    <w:rsid w:val="00CA650A"/>
    <w:rsid w:val="00CA6C6C"/>
    <w:rsid w:val="00CA6CD9"/>
    <w:rsid w:val="00CA6E1C"/>
    <w:rsid w:val="00CA72B1"/>
    <w:rsid w:val="00CA73AA"/>
    <w:rsid w:val="00CA79B4"/>
    <w:rsid w:val="00CA79EE"/>
    <w:rsid w:val="00CA7BE5"/>
    <w:rsid w:val="00CA7C4C"/>
    <w:rsid w:val="00CA7D74"/>
    <w:rsid w:val="00CA7F4F"/>
    <w:rsid w:val="00CB01C4"/>
    <w:rsid w:val="00CB1169"/>
    <w:rsid w:val="00CB1557"/>
    <w:rsid w:val="00CB2429"/>
    <w:rsid w:val="00CB271D"/>
    <w:rsid w:val="00CB287A"/>
    <w:rsid w:val="00CB28E4"/>
    <w:rsid w:val="00CB2B1F"/>
    <w:rsid w:val="00CB2C49"/>
    <w:rsid w:val="00CB2D84"/>
    <w:rsid w:val="00CB2DD5"/>
    <w:rsid w:val="00CB2F3D"/>
    <w:rsid w:val="00CB2F87"/>
    <w:rsid w:val="00CB3054"/>
    <w:rsid w:val="00CB39B7"/>
    <w:rsid w:val="00CB3F65"/>
    <w:rsid w:val="00CB458F"/>
    <w:rsid w:val="00CB46F0"/>
    <w:rsid w:val="00CB48CB"/>
    <w:rsid w:val="00CB4B1C"/>
    <w:rsid w:val="00CB508B"/>
    <w:rsid w:val="00CB5636"/>
    <w:rsid w:val="00CB5F30"/>
    <w:rsid w:val="00CB60A1"/>
    <w:rsid w:val="00CB61F9"/>
    <w:rsid w:val="00CB6352"/>
    <w:rsid w:val="00CB64A9"/>
    <w:rsid w:val="00CB678D"/>
    <w:rsid w:val="00CB6A36"/>
    <w:rsid w:val="00CB6A75"/>
    <w:rsid w:val="00CB6A85"/>
    <w:rsid w:val="00CB6BB1"/>
    <w:rsid w:val="00CB6D8B"/>
    <w:rsid w:val="00CB7B06"/>
    <w:rsid w:val="00CB7B42"/>
    <w:rsid w:val="00CB7CA6"/>
    <w:rsid w:val="00CB7DA7"/>
    <w:rsid w:val="00CC0042"/>
    <w:rsid w:val="00CC0150"/>
    <w:rsid w:val="00CC0D18"/>
    <w:rsid w:val="00CC0DAD"/>
    <w:rsid w:val="00CC11FA"/>
    <w:rsid w:val="00CC1438"/>
    <w:rsid w:val="00CC2169"/>
    <w:rsid w:val="00CC2253"/>
    <w:rsid w:val="00CC2B1C"/>
    <w:rsid w:val="00CC30DF"/>
    <w:rsid w:val="00CC3170"/>
    <w:rsid w:val="00CC3558"/>
    <w:rsid w:val="00CC3B1C"/>
    <w:rsid w:val="00CC3C31"/>
    <w:rsid w:val="00CC3EE5"/>
    <w:rsid w:val="00CC45A7"/>
    <w:rsid w:val="00CC466A"/>
    <w:rsid w:val="00CC47CC"/>
    <w:rsid w:val="00CC4D4B"/>
    <w:rsid w:val="00CC5AAC"/>
    <w:rsid w:val="00CC5DBE"/>
    <w:rsid w:val="00CC5F6D"/>
    <w:rsid w:val="00CC6415"/>
    <w:rsid w:val="00CC67B5"/>
    <w:rsid w:val="00CC6AE5"/>
    <w:rsid w:val="00CC6E47"/>
    <w:rsid w:val="00CC7408"/>
    <w:rsid w:val="00CC767B"/>
    <w:rsid w:val="00CC79B9"/>
    <w:rsid w:val="00CC7C07"/>
    <w:rsid w:val="00CD0238"/>
    <w:rsid w:val="00CD051D"/>
    <w:rsid w:val="00CD0A18"/>
    <w:rsid w:val="00CD0CB4"/>
    <w:rsid w:val="00CD0D6B"/>
    <w:rsid w:val="00CD1346"/>
    <w:rsid w:val="00CD155A"/>
    <w:rsid w:val="00CD176F"/>
    <w:rsid w:val="00CD1BAF"/>
    <w:rsid w:val="00CD1BC6"/>
    <w:rsid w:val="00CD1DB4"/>
    <w:rsid w:val="00CD1F21"/>
    <w:rsid w:val="00CD20FE"/>
    <w:rsid w:val="00CD23F8"/>
    <w:rsid w:val="00CD2563"/>
    <w:rsid w:val="00CD270B"/>
    <w:rsid w:val="00CD2F35"/>
    <w:rsid w:val="00CD387F"/>
    <w:rsid w:val="00CD39A8"/>
    <w:rsid w:val="00CD3AB6"/>
    <w:rsid w:val="00CD3B3D"/>
    <w:rsid w:val="00CD3D5B"/>
    <w:rsid w:val="00CD4652"/>
    <w:rsid w:val="00CD467C"/>
    <w:rsid w:val="00CD470F"/>
    <w:rsid w:val="00CD4ADA"/>
    <w:rsid w:val="00CD4DE6"/>
    <w:rsid w:val="00CD4DEB"/>
    <w:rsid w:val="00CD5395"/>
    <w:rsid w:val="00CD5431"/>
    <w:rsid w:val="00CD5543"/>
    <w:rsid w:val="00CD5D19"/>
    <w:rsid w:val="00CD66C4"/>
    <w:rsid w:val="00CD6702"/>
    <w:rsid w:val="00CD67B1"/>
    <w:rsid w:val="00CD6D77"/>
    <w:rsid w:val="00CD7816"/>
    <w:rsid w:val="00CD79E5"/>
    <w:rsid w:val="00CD7F93"/>
    <w:rsid w:val="00CE0129"/>
    <w:rsid w:val="00CE0914"/>
    <w:rsid w:val="00CE0A84"/>
    <w:rsid w:val="00CE0DED"/>
    <w:rsid w:val="00CE1028"/>
    <w:rsid w:val="00CE10BE"/>
    <w:rsid w:val="00CE15DF"/>
    <w:rsid w:val="00CE1979"/>
    <w:rsid w:val="00CE1AD0"/>
    <w:rsid w:val="00CE1E04"/>
    <w:rsid w:val="00CE1F35"/>
    <w:rsid w:val="00CE2376"/>
    <w:rsid w:val="00CE2E4F"/>
    <w:rsid w:val="00CE2E94"/>
    <w:rsid w:val="00CE2EEE"/>
    <w:rsid w:val="00CE3371"/>
    <w:rsid w:val="00CE367B"/>
    <w:rsid w:val="00CE3B6F"/>
    <w:rsid w:val="00CE425C"/>
    <w:rsid w:val="00CE47F2"/>
    <w:rsid w:val="00CE4814"/>
    <w:rsid w:val="00CE49A0"/>
    <w:rsid w:val="00CE49C2"/>
    <w:rsid w:val="00CE4E79"/>
    <w:rsid w:val="00CE58AC"/>
    <w:rsid w:val="00CE595D"/>
    <w:rsid w:val="00CE5A3A"/>
    <w:rsid w:val="00CE5DAD"/>
    <w:rsid w:val="00CE5FBC"/>
    <w:rsid w:val="00CE623A"/>
    <w:rsid w:val="00CE64EA"/>
    <w:rsid w:val="00CE6B8A"/>
    <w:rsid w:val="00CE6E6F"/>
    <w:rsid w:val="00CE7176"/>
    <w:rsid w:val="00CE7314"/>
    <w:rsid w:val="00CE74B6"/>
    <w:rsid w:val="00CE76F6"/>
    <w:rsid w:val="00CF087C"/>
    <w:rsid w:val="00CF08F6"/>
    <w:rsid w:val="00CF0C03"/>
    <w:rsid w:val="00CF1006"/>
    <w:rsid w:val="00CF1140"/>
    <w:rsid w:val="00CF1450"/>
    <w:rsid w:val="00CF1453"/>
    <w:rsid w:val="00CF14E8"/>
    <w:rsid w:val="00CF1F17"/>
    <w:rsid w:val="00CF2293"/>
    <w:rsid w:val="00CF2379"/>
    <w:rsid w:val="00CF280A"/>
    <w:rsid w:val="00CF2969"/>
    <w:rsid w:val="00CF2A6A"/>
    <w:rsid w:val="00CF3AE0"/>
    <w:rsid w:val="00CF3CAC"/>
    <w:rsid w:val="00CF4283"/>
    <w:rsid w:val="00CF4732"/>
    <w:rsid w:val="00CF53E2"/>
    <w:rsid w:val="00CF5A80"/>
    <w:rsid w:val="00CF643A"/>
    <w:rsid w:val="00CF6792"/>
    <w:rsid w:val="00CF68F9"/>
    <w:rsid w:val="00CF6B1B"/>
    <w:rsid w:val="00CF6D52"/>
    <w:rsid w:val="00CF6EE6"/>
    <w:rsid w:val="00CF72AD"/>
    <w:rsid w:val="00CF7370"/>
    <w:rsid w:val="00CF7566"/>
    <w:rsid w:val="00CF75D0"/>
    <w:rsid w:val="00CF7FBD"/>
    <w:rsid w:val="00D006E7"/>
    <w:rsid w:val="00D00889"/>
    <w:rsid w:val="00D00948"/>
    <w:rsid w:val="00D00B2A"/>
    <w:rsid w:val="00D00EFF"/>
    <w:rsid w:val="00D017AE"/>
    <w:rsid w:val="00D01A36"/>
    <w:rsid w:val="00D01B49"/>
    <w:rsid w:val="00D01BD8"/>
    <w:rsid w:val="00D0262C"/>
    <w:rsid w:val="00D027E1"/>
    <w:rsid w:val="00D028BE"/>
    <w:rsid w:val="00D02D28"/>
    <w:rsid w:val="00D032E6"/>
    <w:rsid w:val="00D03593"/>
    <w:rsid w:val="00D0448C"/>
    <w:rsid w:val="00D045EE"/>
    <w:rsid w:val="00D0497C"/>
    <w:rsid w:val="00D04AAF"/>
    <w:rsid w:val="00D04F5C"/>
    <w:rsid w:val="00D05091"/>
    <w:rsid w:val="00D056BB"/>
    <w:rsid w:val="00D056BF"/>
    <w:rsid w:val="00D067B1"/>
    <w:rsid w:val="00D067CD"/>
    <w:rsid w:val="00D07032"/>
    <w:rsid w:val="00D076AF"/>
    <w:rsid w:val="00D078CD"/>
    <w:rsid w:val="00D07AA3"/>
    <w:rsid w:val="00D07AD9"/>
    <w:rsid w:val="00D07BE7"/>
    <w:rsid w:val="00D07D0D"/>
    <w:rsid w:val="00D10707"/>
    <w:rsid w:val="00D108AB"/>
    <w:rsid w:val="00D10CA6"/>
    <w:rsid w:val="00D10F21"/>
    <w:rsid w:val="00D11A20"/>
    <w:rsid w:val="00D11DD7"/>
    <w:rsid w:val="00D11FE5"/>
    <w:rsid w:val="00D122EB"/>
    <w:rsid w:val="00D1261A"/>
    <w:rsid w:val="00D12640"/>
    <w:rsid w:val="00D12CCD"/>
    <w:rsid w:val="00D13195"/>
    <w:rsid w:val="00D13254"/>
    <w:rsid w:val="00D134CF"/>
    <w:rsid w:val="00D137EB"/>
    <w:rsid w:val="00D1393A"/>
    <w:rsid w:val="00D13C16"/>
    <w:rsid w:val="00D13ECC"/>
    <w:rsid w:val="00D142D2"/>
    <w:rsid w:val="00D1460E"/>
    <w:rsid w:val="00D14B5B"/>
    <w:rsid w:val="00D14FCC"/>
    <w:rsid w:val="00D15340"/>
    <w:rsid w:val="00D1573B"/>
    <w:rsid w:val="00D1587F"/>
    <w:rsid w:val="00D158B8"/>
    <w:rsid w:val="00D15B14"/>
    <w:rsid w:val="00D15E4D"/>
    <w:rsid w:val="00D164CA"/>
    <w:rsid w:val="00D168B6"/>
    <w:rsid w:val="00D1706C"/>
    <w:rsid w:val="00D175B1"/>
    <w:rsid w:val="00D17E12"/>
    <w:rsid w:val="00D20253"/>
    <w:rsid w:val="00D207D5"/>
    <w:rsid w:val="00D20916"/>
    <w:rsid w:val="00D2124A"/>
    <w:rsid w:val="00D21BDB"/>
    <w:rsid w:val="00D21C07"/>
    <w:rsid w:val="00D21F65"/>
    <w:rsid w:val="00D2228D"/>
    <w:rsid w:val="00D23348"/>
    <w:rsid w:val="00D235A6"/>
    <w:rsid w:val="00D237CA"/>
    <w:rsid w:val="00D237D1"/>
    <w:rsid w:val="00D23927"/>
    <w:rsid w:val="00D23E6F"/>
    <w:rsid w:val="00D24174"/>
    <w:rsid w:val="00D2446C"/>
    <w:rsid w:val="00D24806"/>
    <w:rsid w:val="00D259A2"/>
    <w:rsid w:val="00D25D36"/>
    <w:rsid w:val="00D261D7"/>
    <w:rsid w:val="00D263CB"/>
    <w:rsid w:val="00D2653F"/>
    <w:rsid w:val="00D266CF"/>
    <w:rsid w:val="00D26F0A"/>
    <w:rsid w:val="00D27BAE"/>
    <w:rsid w:val="00D308C0"/>
    <w:rsid w:val="00D30A5D"/>
    <w:rsid w:val="00D30D38"/>
    <w:rsid w:val="00D30D79"/>
    <w:rsid w:val="00D3152C"/>
    <w:rsid w:val="00D316AC"/>
    <w:rsid w:val="00D3197C"/>
    <w:rsid w:val="00D31C72"/>
    <w:rsid w:val="00D31E84"/>
    <w:rsid w:val="00D31F3D"/>
    <w:rsid w:val="00D32139"/>
    <w:rsid w:val="00D321F9"/>
    <w:rsid w:val="00D323CA"/>
    <w:rsid w:val="00D32621"/>
    <w:rsid w:val="00D327D0"/>
    <w:rsid w:val="00D32B3F"/>
    <w:rsid w:val="00D3302D"/>
    <w:rsid w:val="00D3326C"/>
    <w:rsid w:val="00D33488"/>
    <w:rsid w:val="00D33512"/>
    <w:rsid w:val="00D3387C"/>
    <w:rsid w:val="00D33B23"/>
    <w:rsid w:val="00D33E33"/>
    <w:rsid w:val="00D33F23"/>
    <w:rsid w:val="00D34040"/>
    <w:rsid w:val="00D340AE"/>
    <w:rsid w:val="00D34E69"/>
    <w:rsid w:val="00D354D5"/>
    <w:rsid w:val="00D35A4F"/>
    <w:rsid w:val="00D35C7D"/>
    <w:rsid w:val="00D35D25"/>
    <w:rsid w:val="00D36020"/>
    <w:rsid w:val="00D36197"/>
    <w:rsid w:val="00D365C7"/>
    <w:rsid w:val="00D368A9"/>
    <w:rsid w:val="00D36A94"/>
    <w:rsid w:val="00D36C78"/>
    <w:rsid w:val="00D36FC2"/>
    <w:rsid w:val="00D375EE"/>
    <w:rsid w:val="00D37669"/>
    <w:rsid w:val="00D37898"/>
    <w:rsid w:val="00D37F9A"/>
    <w:rsid w:val="00D4008E"/>
    <w:rsid w:val="00D40120"/>
    <w:rsid w:val="00D4189B"/>
    <w:rsid w:val="00D41A43"/>
    <w:rsid w:val="00D42137"/>
    <w:rsid w:val="00D42757"/>
    <w:rsid w:val="00D42B9E"/>
    <w:rsid w:val="00D42D35"/>
    <w:rsid w:val="00D42DC3"/>
    <w:rsid w:val="00D42E01"/>
    <w:rsid w:val="00D43665"/>
    <w:rsid w:val="00D43B40"/>
    <w:rsid w:val="00D43EC7"/>
    <w:rsid w:val="00D43FD3"/>
    <w:rsid w:val="00D44451"/>
    <w:rsid w:val="00D446BA"/>
    <w:rsid w:val="00D44851"/>
    <w:rsid w:val="00D44AB7"/>
    <w:rsid w:val="00D44AC7"/>
    <w:rsid w:val="00D44D5B"/>
    <w:rsid w:val="00D44DB3"/>
    <w:rsid w:val="00D44FBD"/>
    <w:rsid w:val="00D45074"/>
    <w:rsid w:val="00D45187"/>
    <w:rsid w:val="00D45EA0"/>
    <w:rsid w:val="00D46110"/>
    <w:rsid w:val="00D46D7C"/>
    <w:rsid w:val="00D472D3"/>
    <w:rsid w:val="00D47726"/>
    <w:rsid w:val="00D477D8"/>
    <w:rsid w:val="00D47A5A"/>
    <w:rsid w:val="00D47AFC"/>
    <w:rsid w:val="00D47DD9"/>
    <w:rsid w:val="00D47DF9"/>
    <w:rsid w:val="00D47E18"/>
    <w:rsid w:val="00D47EA5"/>
    <w:rsid w:val="00D5006C"/>
    <w:rsid w:val="00D502F7"/>
    <w:rsid w:val="00D50350"/>
    <w:rsid w:val="00D5067B"/>
    <w:rsid w:val="00D50830"/>
    <w:rsid w:val="00D50A49"/>
    <w:rsid w:val="00D50AA6"/>
    <w:rsid w:val="00D5103D"/>
    <w:rsid w:val="00D5148D"/>
    <w:rsid w:val="00D517BA"/>
    <w:rsid w:val="00D51807"/>
    <w:rsid w:val="00D51D65"/>
    <w:rsid w:val="00D52238"/>
    <w:rsid w:val="00D5238D"/>
    <w:rsid w:val="00D5257F"/>
    <w:rsid w:val="00D525CD"/>
    <w:rsid w:val="00D52956"/>
    <w:rsid w:val="00D52E88"/>
    <w:rsid w:val="00D534AA"/>
    <w:rsid w:val="00D5351F"/>
    <w:rsid w:val="00D5383A"/>
    <w:rsid w:val="00D53A2A"/>
    <w:rsid w:val="00D5485D"/>
    <w:rsid w:val="00D5486E"/>
    <w:rsid w:val="00D54ED1"/>
    <w:rsid w:val="00D55084"/>
    <w:rsid w:val="00D5509A"/>
    <w:rsid w:val="00D55AE8"/>
    <w:rsid w:val="00D55C23"/>
    <w:rsid w:val="00D55C27"/>
    <w:rsid w:val="00D56056"/>
    <w:rsid w:val="00D560A6"/>
    <w:rsid w:val="00D563F8"/>
    <w:rsid w:val="00D56429"/>
    <w:rsid w:val="00D56BF6"/>
    <w:rsid w:val="00D57C69"/>
    <w:rsid w:val="00D57D4A"/>
    <w:rsid w:val="00D6082A"/>
    <w:rsid w:val="00D6085F"/>
    <w:rsid w:val="00D60D4B"/>
    <w:rsid w:val="00D61009"/>
    <w:rsid w:val="00D61080"/>
    <w:rsid w:val="00D61D83"/>
    <w:rsid w:val="00D62215"/>
    <w:rsid w:val="00D6223F"/>
    <w:rsid w:val="00D62699"/>
    <w:rsid w:val="00D62862"/>
    <w:rsid w:val="00D62F4E"/>
    <w:rsid w:val="00D63075"/>
    <w:rsid w:val="00D63594"/>
    <w:rsid w:val="00D636EA"/>
    <w:rsid w:val="00D6382D"/>
    <w:rsid w:val="00D63E89"/>
    <w:rsid w:val="00D643D7"/>
    <w:rsid w:val="00D651AC"/>
    <w:rsid w:val="00D651F9"/>
    <w:rsid w:val="00D65E61"/>
    <w:rsid w:val="00D6602A"/>
    <w:rsid w:val="00D66298"/>
    <w:rsid w:val="00D664B0"/>
    <w:rsid w:val="00D669A4"/>
    <w:rsid w:val="00D66E06"/>
    <w:rsid w:val="00D670FC"/>
    <w:rsid w:val="00D67750"/>
    <w:rsid w:val="00D678B4"/>
    <w:rsid w:val="00D702F8"/>
    <w:rsid w:val="00D703FB"/>
    <w:rsid w:val="00D70C32"/>
    <w:rsid w:val="00D71582"/>
    <w:rsid w:val="00D71FA5"/>
    <w:rsid w:val="00D72402"/>
    <w:rsid w:val="00D7291A"/>
    <w:rsid w:val="00D729FB"/>
    <w:rsid w:val="00D72B42"/>
    <w:rsid w:val="00D72D6C"/>
    <w:rsid w:val="00D72DEB"/>
    <w:rsid w:val="00D73315"/>
    <w:rsid w:val="00D738DF"/>
    <w:rsid w:val="00D744A8"/>
    <w:rsid w:val="00D753CC"/>
    <w:rsid w:val="00D7566D"/>
    <w:rsid w:val="00D756FE"/>
    <w:rsid w:val="00D75B5D"/>
    <w:rsid w:val="00D760BE"/>
    <w:rsid w:val="00D764B3"/>
    <w:rsid w:val="00D76AAF"/>
    <w:rsid w:val="00D76B8B"/>
    <w:rsid w:val="00D778E9"/>
    <w:rsid w:val="00D77F7D"/>
    <w:rsid w:val="00D8038B"/>
    <w:rsid w:val="00D8062E"/>
    <w:rsid w:val="00D80AF3"/>
    <w:rsid w:val="00D812BF"/>
    <w:rsid w:val="00D81791"/>
    <w:rsid w:val="00D81831"/>
    <w:rsid w:val="00D8231D"/>
    <w:rsid w:val="00D82620"/>
    <w:rsid w:val="00D827FD"/>
    <w:rsid w:val="00D82958"/>
    <w:rsid w:val="00D829F4"/>
    <w:rsid w:val="00D82CE0"/>
    <w:rsid w:val="00D82FE1"/>
    <w:rsid w:val="00D83586"/>
    <w:rsid w:val="00D8359D"/>
    <w:rsid w:val="00D8382D"/>
    <w:rsid w:val="00D84097"/>
    <w:rsid w:val="00D843CD"/>
    <w:rsid w:val="00D843DE"/>
    <w:rsid w:val="00D84B2C"/>
    <w:rsid w:val="00D85087"/>
    <w:rsid w:val="00D850CF"/>
    <w:rsid w:val="00D853A3"/>
    <w:rsid w:val="00D85484"/>
    <w:rsid w:val="00D85707"/>
    <w:rsid w:val="00D85CBA"/>
    <w:rsid w:val="00D85F9D"/>
    <w:rsid w:val="00D86690"/>
    <w:rsid w:val="00D86879"/>
    <w:rsid w:val="00D869A9"/>
    <w:rsid w:val="00D869BE"/>
    <w:rsid w:val="00D86A47"/>
    <w:rsid w:val="00D870B0"/>
    <w:rsid w:val="00D871AC"/>
    <w:rsid w:val="00D876A1"/>
    <w:rsid w:val="00D87B26"/>
    <w:rsid w:val="00D9030E"/>
    <w:rsid w:val="00D909E6"/>
    <w:rsid w:val="00D90AA6"/>
    <w:rsid w:val="00D912B7"/>
    <w:rsid w:val="00D91389"/>
    <w:rsid w:val="00D9155A"/>
    <w:rsid w:val="00D91ACC"/>
    <w:rsid w:val="00D92B84"/>
    <w:rsid w:val="00D93027"/>
    <w:rsid w:val="00D93441"/>
    <w:rsid w:val="00D93D3C"/>
    <w:rsid w:val="00D944A3"/>
    <w:rsid w:val="00D951E5"/>
    <w:rsid w:val="00D95645"/>
    <w:rsid w:val="00D9582D"/>
    <w:rsid w:val="00D95843"/>
    <w:rsid w:val="00D95AAA"/>
    <w:rsid w:val="00D95B1F"/>
    <w:rsid w:val="00D95DA9"/>
    <w:rsid w:val="00D96016"/>
    <w:rsid w:val="00D9725F"/>
    <w:rsid w:val="00D972A2"/>
    <w:rsid w:val="00D973F6"/>
    <w:rsid w:val="00D97CB8"/>
    <w:rsid w:val="00DA01A4"/>
    <w:rsid w:val="00DA01B1"/>
    <w:rsid w:val="00DA039E"/>
    <w:rsid w:val="00DA0730"/>
    <w:rsid w:val="00DA0904"/>
    <w:rsid w:val="00DA1039"/>
    <w:rsid w:val="00DA113B"/>
    <w:rsid w:val="00DA119B"/>
    <w:rsid w:val="00DA11A2"/>
    <w:rsid w:val="00DA11C7"/>
    <w:rsid w:val="00DA14ED"/>
    <w:rsid w:val="00DA1FB2"/>
    <w:rsid w:val="00DA23C4"/>
    <w:rsid w:val="00DA2417"/>
    <w:rsid w:val="00DA2423"/>
    <w:rsid w:val="00DA26D6"/>
    <w:rsid w:val="00DA2700"/>
    <w:rsid w:val="00DA2D13"/>
    <w:rsid w:val="00DA3386"/>
    <w:rsid w:val="00DA3B7D"/>
    <w:rsid w:val="00DA3C20"/>
    <w:rsid w:val="00DA429A"/>
    <w:rsid w:val="00DA439C"/>
    <w:rsid w:val="00DA47A3"/>
    <w:rsid w:val="00DA5403"/>
    <w:rsid w:val="00DA5414"/>
    <w:rsid w:val="00DA5473"/>
    <w:rsid w:val="00DA5528"/>
    <w:rsid w:val="00DA5A98"/>
    <w:rsid w:val="00DA5AF4"/>
    <w:rsid w:val="00DA5FCD"/>
    <w:rsid w:val="00DA6483"/>
    <w:rsid w:val="00DA64C0"/>
    <w:rsid w:val="00DA6645"/>
    <w:rsid w:val="00DA695B"/>
    <w:rsid w:val="00DA6E38"/>
    <w:rsid w:val="00DA71FA"/>
    <w:rsid w:val="00DA7AE9"/>
    <w:rsid w:val="00DA7BCA"/>
    <w:rsid w:val="00DA7F7A"/>
    <w:rsid w:val="00DA7FE4"/>
    <w:rsid w:val="00DB01CA"/>
    <w:rsid w:val="00DB0238"/>
    <w:rsid w:val="00DB078E"/>
    <w:rsid w:val="00DB083E"/>
    <w:rsid w:val="00DB0885"/>
    <w:rsid w:val="00DB0C87"/>
    <w:rsid w:val="00DB0FAB"/>
    <w:rsid w:val="00DB1871"/>
    <w:rsid w:val="00DB1A28"/>
    <w:rsid w:val="00DB1A8B"/>
    <w:rsid w:val="00DB1AEA"/>
    <w:rsid w:val="00DB1BEF"/>
    <w:rsid w:val="00DB1D95"/>
    <w:rsid w:val="00DB2136"/>
    <w:rsid w:val="00DB2246"/>
    <w:rsid w:val="00DB2389"/>
    <w:rsid w:val="00DB262B"/>
    <w:rsid w:val="00DB29F6"/>
    <w:rsid w:val="00DB2EF1"/>
    <w:rsid w:val="00DB3039"/>
    <w:rsid w:val="00DB30E1"/>
    <w:rsid w:val="00DB3B74"/>
    <w:rsid w:val="00DB3C83"/>
    <w:rsid w:val="00DB3D46"/>
    <w:rsid w:val="00DB3DE1"/>
    <w:rsid w:val="00DB406C"/>
    <w:rsid w:val="00DB4582"/>
    <w:rsid w:val="00DB4D43"/>
    <w:rsid w:val="00DB4EB2"/>
    <w:rsid w:val="00DB50D9"/>
    <w:rsid w:val="00DB5110"/>
    <w:rsid w:val="00DB57E8"/>
    <w:rsid w:val="00DB593F"/>
    <w:rsid w:val="00DB5B53"/>
    <w:rsid w:val="00DB5CC9"/>
    <w:rsid w:val="00DB5DA0"/>
    <w:rsid w:val="00DB5EF0"/>
    <w:rsid w:val="00DB60F9"/>
    <w:rsid w:val="00DB624D"/>
    <w:rsid w:val="00DB64B4"/>
    <w:rsid w:val="00DB66EB"/>
    <w:rsid w:val="00DB6BC3"/>
    <w:rsid w:val="00DB6F69"/>
    <w:rsid w:val="00DB716C"/>
    <w:rsid w:val="00DB72C5"/>
    <w:rsid w:val="00DB75C7"/>
    <w:rsid w:val="00DB78BC"/>
    <w:rsid w:val="00DB7B62"/>
    <w:rsid w:val="00DB7F6A"/>
    <w:rsid w:val="00DB7F9E"/>
    <w:rsid w:val="00DC00C7"/>
    <w:rsid w:val="00DC00D8"/>
    <w:rsid w:val="00DC0ADE"/>
    <w:rsid w:val="00DC1025"/>
    <w:rsid w:val="00DC1605"/>
    <w:rsid w:val="00DC1864"/>
    <w:rsid w:val="00DC18F3"/>
    <w:rsid w:val="00DC1B9C"/>
    <w:rsid w:val="00DC1E3D"/>
    <w:rsid w:val="00DC1E9F"/>
    <w:rsid w:val="00DC21A0"/>
    <w:rsid w:val="00DC22C2"/>
    <w:rsid w:val="00DC2745"/>
    <w:rsid w:val="00DC27B6"/>
    <w:rsid w:val="00DC2A96"/>
    <w:rsid w:val="00DC2E26"/>
    <w:rsid w:val="00DC323B"/>
    <w:rsid w:val="00DC3582"/>
    <w:rsid w:val="00DC40BF"/>
    <w:rsid w:val="00DC46D4"/>
    <w:rsid w:val="00DC4790"/>
    <w:rsid w:val="00DC47CE"/>
    <w:rsid w:val="00DC49C2"/>
    <w:rsid w:val="00DC59EA"/>
    <w:rsid w:val="00DC5C85"/>
    <w:rsid w:val="00DC7C5D"/>
    <w:rsid w:val="00DC7F85"/>
    <w:rsid w:val="00DD0658"/>
    <w:rsid w:val="00DD0880"/>
    <w:rsid w:val="00DD08ED"/>
    <w:rsid w:val="00DD0D24"/>
    <w:rsid w:val="00DD136E"/>
    <w:rsid w:val="00DD1B47"/>
    <w:rsid w:val="00DD212A"/>
    <w:rsid w:val="00DD2A8A"/>
    <w:rsid w:val="00DD347C"/>
    <w:rsid w:val="00DD3556"/>
    <w:rsid w:val="00DD3D41"/>
    <w:rsid w:val="00DD4236"/>
    <w:rsid w:val="00DD43F9"/>
    <w:rsid w:val="00DD44A2"/>
    <w:rsid w:val="00DD44F1"/>
    <w:rsid w:val="00DD50A7"/>
    <w:rsid w:val="00DD50B0"/>
    <w:rsid w:val="00DD51CC"/>
    <w:rsid w:val="00DD5C9C"/>
    <w:rsid w:val="00DD63E1"/>
    <w:rsid w:val="00DD6957"/>
    <w:rsid w:val="00DD6B99"/>
    <w:rsid w:val="00DD6E7A"/>
    <w:rsid w:val="00DD6F11"/>
    <w:rsid w:val="00DD75B4"/>
    <w:rsid w:val="00DE000C"/>
    <w:rsid w:val="00DE080B"/>
    <w:rsid w:val="00DE0DEE"/>
    <w:rsid w:val="00DE1212"/>
    <w:rsid w:val="00DE140A"/>
    <w:rsid w:val="00DE1727"/>
    <w:rsid w:val="00DE17DA"/>
    <w:rsid w:val="00DE1B3F"/>
    <w:rsid w:val="00DE20D0"/>
    <w:rsid w:val="00DE23C9"/>
    <w:rsid w:val="00DE2A80"/>
    <w:rsid w:val="00DE2C8D"/>
    <w:rsid w:val="00DE2DC9"/>
    <w:rsid w:val="00DE300A"/>
    <w:rsid w:val="00DE3067"/>
    <w:rsid w:val="00DE34B9"/>
    <w:rsid w:val="00DE3671"/>
    <w:rsid w:val="00DE3DB0"/>
    <w:rsid w:val="00DE4064"/>
    <w:rsid w:val="00DE4253"/>
    <w:rsid w:val="00DE4705"/>
    <w:rsid w:val="00DE49DB"/>
    <w:rsid w:val="00DE4B0C"/>
    <w:rsid w:val="00DE5260"/>
    <w:rsid w:val="00DE52E1"/>
    <w:rsid w:val="00DE55E1"/>
    <w:rsid w:val="00DE584E"/>
    <w:rsid w:val="00DE5CA9"/>
    <w:rsid w:val="00DE61EE"/>
    <w:rsid w:val="00DE6528"/>
    <w:rsid w:val="00DE652B"/>
    <w:rsid w:val="00DE6539"/>
    <w:rsid w:val="00DE6630"/>
    <w:rsid w:val="00DE6AE1"/>
    <w:rsid w:val="00DE6B74"/>
    <w:rsid w:val="00DE70E7"/>
    <w:rsid w:val="00DE7607"/>
    <w:rsid w:val="00DE78F4"/>
    <w:rsid w:val="00DE7AE6"/>
    <w:rsid w:val="00DE7B31"/>
    <w:rsid w:val="00DF0439"/>
    <w:rsid w:val="00DF0943"/>
    <w:rsid w:val="00DF0975"/>
    <w:rsid w:val="00DF0FB7"/>
    <w:rsid w:val="00DF1463"/>
    <w:rsid w:val="00DF163A"/>
    <w:rsid w:val="00DF1AF3"/>
    <w:rsid w:val="00DF1AF6"/>
    <w:rsid w:val="00DF1B60"/>
    <w:rsid w:val="00DF1C28"/>
    <w:rsid w:val="00DF3064"/>
    <w:rsid w:val="00DF3127"/>
    <w:rsid w:val="00DF349A"/>
    <w:rsid w:val="00DF3960"/>
    <w:rsid w:val="00DF3EEE"/>
    <w:rsid w:val="00DF3F03"/>
    <w:rsid w:val="00DF426A"/>
    <w:rsid w:val="00DF44E4"/>
    <w:rsid w:val="00DF5576"/>
    <w:rsid w:val="00DF56B4"/>
    <w:rsid w:val="00DF5778"/>
    <w:rsid w:val="00DF6200"/>
    <w:rsid w:val="00DF676B"/>
    <w:rsid w:val="00DF6964"/>
    <w:rsid w:val="00DF69AC"/>
    <w:rsid w:val="00DF6D88"/>
    <w:rsid w:val="00DF70F6"/>
    <w:rsid w:val="00DF729B"/>
    <w:rsid w:val="00DF74E2"/>
    <w:rsid w:val="00DF75E1"/>
    <w:rsid w:val="00DF79C5"/>
    <w:rsid w:val="00DF7C16"/>
    <w:rsid w:val="00DF7D28"/>
    <w:rsid w:val="00E009B0"/>
    <w:rsid w:val="00E009B9"/>
    <w:rsid w:val="00E00D69"/>
    <w:rsid w:val="00E00F6D"/>
    <w:rsid w:val="00E019DC"/>
    <w:rsid w:val="00E020F2"/>
    <w:rsid w:val="00E02479"/>
    <w:rsid w:val="00E027BC"/>
    <w:rsid w:val="00E028CB"/>
    <w:rsid w:val="00E02DBD"/>
    <w:rsid w:val="00E02F9A"/>
    <w:rsid w:val="00E03087"/>
    <w:rsid w:val="00E0429F"/>
    <w:rsid w:val="00E043C8"/>
    <w:rsid w:val="00E045BE"/>
    <w:rsid w:val="00E04C34"/>
    <w:rsid w:val="00E056CB"/>
    <w:rsid w:val="00E05AA3"/>
    <w:rsid w:val="00E05B3F"/>
    <w:rsid w:val="00E05C5D"/>
    <w:rsid w:val="00E05E6E"/>
    <w:rsid w:val="00E05EAE"/>
    <w:rsid w:val="00E064F4"/>
    <w:rsid w:val="00E06AEE"/>
    <w:rsid w:val="00E0705B"/>
    <w:rsid w:val="00E0706A"/>
    <w:rsid w:val="00E0721C"/>
    <w:rsid w:val="00E07237"/>
    <w:rsid w:val="00E072F9"/>
    <w:rsid w:val="00E07DC2"/>
    <w:rsid w:val="00E07EBB"/>
    <w:rsid w:val="00E10090"/>
    <w:rsid w:val="00E101C8"/>
    <w:rsid w:val="00E10755"/>
    <w:rsid w:val="00E10F0D"/>
    <w:rsid w:val="00E11278"/>
    <w:rsid w:val="00E113D9"/>
    <w:rsid w:val="00E11545"/>
    <w:rsid w:val="00E11775"/>
    <w:rsid w:val="00E11C4C"/>
    <w:rsid w:val="00E120D1"/>
    <w:rsid w:val="00E120FD"/>
    <w:rsid w:val="00E12234"/>
    <w:rsid w:val="00E1259C"/>
    <w:rsid w:val="00E129D1"/>
    <w:rsid w:val="00E12B9D"/>
    <w:rsid w:val="00E1355A"/>
    <w:rsid w:val="00E1374C"/>
    <w:rsid w:val="00E13B4C"/>
    <w:rsid w:val="00E13B73"/>
    <w:rsid w:val="00E13CE6"/>
    <w:rsid w:val="00E13E3F"/>
    <w:rsid w:val="00E13F3B"/>
    <w:rsid w:val="00E13FFC"/>
    <w:rsid w:val="00E14231"/>
    <w:rsid w:val="00E14775"/>
    <w:rsid w:val="00E1497B"/>
    <w:rsid w:val="00E14EA5"/>
    <w:rsid w:val="00E1540A"/>
    <w:rsid w:val="00E15DFA"/>
    <w:rsid w:val="00E160C9"/>
    <w:rsid w:val="00E1627C"/>
    <w:rsid w:val="00E16316"/>
    <w:rsid w:val="00E164D8"/>
    <w:rsid w:val="00E16B38"/>
    <w:rsid w:val="00E1769B"/>
    <w:rsid w:val="00E178D6"/>
    <w:rsid w:val="00E17B16"/>
    <w:rsid w:val="00E17B57"/>
    <w:rsid w:val="00E17D93"/>
    <w:rsid w:val="00E17E15"/>
    <w:rsid w:val="00E17E8B"/>
    <w:rsid w:val="00E20139"/>
    <w:rsid w:val="00E201CC"/>
    <w:rsid w:val="00E2070E"/>
    <w:rsid w:val="00E207F0"/>
    <w:rsid w:val="00E20EC7"/>
    <w:rsid w:val="00E21133"/>
    <w:rsid w:val="00E2137E"/>
    <w:rsid w:val="00E21655"/>
    <w:rsid w:val="00E220ED"/>
    <w:rsid w:val="00E22229"/>
    <w:rsid w:val="00E2253A"/>
    <w:rsid w:val="00E227B8"/>
    <w:rsid w:val="00E22897"/>
    <w:rsid w:val="00E22C24"/>
    <w:rsid w:val="00E230F7"/>
    <w:rsid w:val="00E2327E"/>
    <w:rsid w:val="00E23577"/>
    <w:rsid w:val="00E23D56"/>
    <w:rsid w:val="00E2487E"/>
    <w:rsid w:val="00E254AF"/>
    <w:rsid w:val="00E25702"/>
    <w:rsid w:val="00E25CD4"/>
    <w:rsid w:val="00E25E63"/>
    <w:rsid w:val="00E25F11"/>
    <w:rsid w:val="00E261C7"/>
    <w:rsid w:val="00E2653D"/>
    <w:rsid w:val="00E266EF"/>
    <w:rsid w:val="00E26D26"/>
    <w:rsid w:val="00E27174"/>
    <w:rsid w:val="00E2785B"/>
    <w:rsid w:val="00E27948"/>
    <w:rsid w:val="00E27A3E"/>
    <w:rsid w:val="00E27EEC"/>
    <w:rsid w:val="00E3005B"/>
    <w:rsid w:val="00E3005F"/>
    <w:rsid w:val="00E30B6F"/>
    <w:rsid w:val="00E30ED8"/>
    <w:rsid w:val="00E30EF3"/>
    <w:rsid w:val="00E310C0"/>
    <w:rsid w:val="00E3199B"/>
    <w:rsid w:val="00E31AC2"/>
    <w:rsid w:val="00E31B6C"/>
    <w:rsid w:val="00E31D25"/>
    <w:rsid w:val="00E31DC1"/>
    <w:rsid w:val="00E326A8"/>
    <w:rsid w:val="00E3289C"/>
    <w:rsid w:val="00E33000"/>
    <w:rsid w:val="00E3327F"/>
    <w:rsid w:val="00E33579"/>
    <w:rsid w:val="00E336C8"/>
    <w:rsid w:val="00E336EF"/>
    <w:rsid w:val="00E33BD4"/>
    <w:rsid w:val="00E33E86"/>
    <w:rsid w:val="00E3407B"/>
    <w:rsid w:val="00E3412E"/>
    <w:rsid w:val="00E344CD"/>
    <w:rsid w:val="00E34812"/>
    <w:rsid w:val="00E34983"/>
    <w:rsid w:val="00E34CC4"/>
    <w:rsid w:val="00E34F02"/>
    <w:rsid w:val="00E359F7"/>
    <w:rsid w:val="00E35CDE"/>
    <w:rsid w:val="00E35DF5"/>
    <w:rsid w:val="00E36998"/>
    <w:rsid w:val="00E36D93"/>
    <w:rsid w:val="00E36FAF"/>
    <w:rsid w:val="00E37F7A"/>
    <w:rsid w:val="00E409E7"/>
    <w:rsid w:val="00E4102E"/>
    <w:rsid w:val="00E411C6"/>
    <w:rsid w:val="00E41438"/>
    <w:rsid w:val="00E415B7"/>
    <w:rsid w:val="00E41FC0"/>
    <w:rsid w:val="00E422BD"/>
    <w:rsid w:val="00E4259C"/>
    <w:rsid w:val="00E42876"/>
    <w:rsid w:val="00E42D39"/>
    <w:rsid w:val="00E42E1D"/>
    <w:rsid w:val="00E434DA"/>
    <w:rsid w:val="00E4422D"/>
    <w:rsid w:val="00E444A6"/>
    <w:rsid w:val="00E4455E"/>
    <w:rsid w:val="00E447AA"/>
    <w:rsid w:val="00E44BAB"/>
    <w:rsid w:val="00E44DCB"/>
    <w:rsid w:val="00E44ED9"/>
    <w:rsid w:val="00E45261"/>
    <w:rsid w:val="00E4566C"/>
    <w:rsid w:val="00E45722"/>
    <w:rsid w:val="00E45D45"/>
    <w:rsid w:val="00E464AE"/>
    <w:rsid w:val="00E46618"/>
    <w:rsid w:val="00E46BF9"/>
    <w:rsid w:val="00E46F68"/>
    <w:rsid w:val="00E47120"/>
    <w:rsid w:val="00E47428"/>
    <w:rsid w:val="00E476C7"/>
    <w:rsid w:val="00E47A2E"/>
    <w:rsid w:val="00E47D2C"/>
    <w:rsid w:val="00E47E8F"/>
    <w:rsid w:val="00E47F2C"/>
    <w:rsid w:val="00E5044A"/>
    <w:rsid w:val="00E5070D"/>
    <w:rsid w:val="00E50C59"/>
    <w:rsid w:val="00E50DC4"/>
    <w:rsid w:val="00E50DE6"/>
    <w:rsid w:val="00E50F43"/>
    <w:rsid w:val="00E51425"/>
    <w:rsid w:val="00E51603"/>
    <w:rsid w:val="00E51AD4"/>
    <w:rsid w:val="00E5252B"/>
    <w:rsid w:val="00E531FC"/>
    <w:rsid w:val="00E533AD"/>
    <w:rsid w:val="00E5345F"/>
    <w:rsid w:val="00E535AB"/>
    <w:rsid w:val="00E53BEB"/>
    <w:rsid w:val="00E53EF3"/>
    <w:rsid w:val="00E540D2"/>
    <w:rsid w:val="00E5437B"/>
    <w:rsid w:val="00E54D81"/>
    <w:rsid w:val="00E5524C"/>
    <w:rsid w:val="00E552E1"/>
    <w:rsid w:val="00E5538D"/>
    <w:rsid w:val="00E553FB"/>
    <w:rsid w:val="00E556F9"/>
    <w:rsid w:val="00E5592B"/>
    <w:rsid w:val="00E559A1"/>
    <w:rsid w:val="00E55CED"/>
    <w:rsid w:val="00E560E8"/>
    <w:rsid w:val="00E567F8"/>
    <w:rsid w:val="00E56C8E"/>
    <w:rsid w:val="00E5716B"/>
    <w:rsid w:val="00E57179"/>
    <w:rsid w:val="00E57B03"/>
    <w:rsid w:val="00E57BF2"/>
    <w:rsid w:val="00E57DC9"/>
    <w:rsid w:val="00E57F1F"/>
    <w:rsid w:val="00E6001B"/>
    <w:rsid w:val="00E604CE"/>
    <w:rsid w:val="00E60BE3"/>
    <w:rsid w:val="00E61DE0"/>
    <w:rsid w:val="00E62F97"/>
    <w:rsid w:val="00E63024"/>
    <w:rsid w:val="00E6392A"/>
    <w:rsid w:val="00E63BCC"/>
    <w:rsid w:val="00E63BDE"/>
    <w:rsid w:val="00E64DBE"/>
    <w:rsid w:val="00E64F95"/>
    <w:rsid w:val="00E655B1"/>
    <w:rsid w:val="00E65CAA"/>
    <w:rsid w:val="00E65F66"/>
    <w:rsid w:val="00E661C7"/>
    <w:rsid w:val="00E66401"/>
    <w:rsid w:val="00E66407"/>
    <w:rsid w:val="00E664DF"/>
    <w:rsid w:val="00E66670"/>
    <w:rsid w:val="00E66B9F"/>
    <w:rsid w:val="00E66D47"/>
    <w:rsid w:val="00E66F9A"/>
    <w:rsid w:val="00E676CC"/>
    <w:rsid w:val="00E6784C"/>
    <w:rsid w:val="00E67FF4"/>
    <w:rsid w:val="00E70172"/>
    <w:rsid w:val="00E70A4D"/>
    <w:rsid w:val="00E70A6A"/>
    <w:rsid w:val="00E70B9E"/>
    <w:rsid w:val="00E70D8A"/>
    <w:rsid w:val="00E70F85"/>
    <w:rsid w:val="00E710D6"/>
    <w:rsid w:val="00E71933"/>
    <w:rsid w:val="00E71ABE"/>
    <w:rsid w:val="00E71AEA"/>
    <w:rsid w:val="00E71BC5"/>
    <w:rsid w:val="00E721D6"/>
    <w:rsid w:val="00E722D7"/>
    <w:rsid w:val="00E72377"/>
    <w:rsid w:val="00E72817"/>
    <w:rsid w:val="00E72F1A"/>
    <w:rsid w:val="00E7341E"/>
    <w:rsid w:val="00E7351B"/>
    <w:rsid w:val="00E737DE"/>
    <w:rsid w:val="00E73DA4"/>
    <w:rsid w:val="00E73DB1"/>
    <w:rsid w:val="00E73FAA"/>
    <w:rsid w:val="00E74000"/>
    <w:rsid w:val="00E743F8"/>
    <w:rsid w:val="00E746FD"/>
    <w:rsid w:val="00E74A94"/>
    <w:rsid w:val="00E74AB0"/>
    <w:rsid w:val="00E74B10"/>
    <w:rsid w:val="00E74E71"/>
    <w:rsid w:val="00E7502A"/>
    <w:rsid w:val="00E75CA0"/>
    <w:rsid w:val="00E76471"/>
    <w:rsid w:val="00E765B7"/>
    <w:rsid w:val="00E767ED"/>
    <w:rsid w:val="00E76C2C"/>
    <w:rsid w:val="00E76E45"/>
    <w:rsid w:val="00E77280"/>
    <w:rsid w:val="00E777C9"/>
    <w:rsid w:val="00E77ECD"/>
    <w:rsid w:val="00E801E2"/>
    <w:rsid w:val="00E80415"/>
    <w:rsid w:val="00E805E1"/>
    <w:rsid w:val="00E80A10"/>
    <w:rsid w:val="00E811FC"/>
    <w:rsid w:val="00E814E5"/>
    <w:rsid w:val="00E8183C"/>
    <w:rsid w:val="00E81DA6"/>
    <w:rsid w:val="00E81EF2"/>
    <w:rsid w:val="00E82032"/>
    <w:rsid w:val="00E823B6"/>
    <w:rsid w:val="00E82C60"/>
    <w:rsid w:val="00E83054"/>
    <w:rsid w:val="00E83093"/>
    <w:rsid w:val="00E83397"/>
    <w:rsid w:val="00E8348D"/>
    <w:rsid w:val="00E834AF"/>
    <w:rsid w:val="00E83AA7"/>
    <w:rsid w:val="00E83B8A"/>
    <w:rsid w:val="00E84212"/>
    <w:rsid w:val="00E842E1"/>
    <w:rsid w:val="00E84E09"/>
    <w:rsid w:val="00E85135"/>
    <w:rsid w:val="00E85336"/>
    <w:rsid w:val="00E8622C"/>
    <w:rsid w:val="00E86898"/>
    <w:rsid w:val="00E86952"/>
    <w:rsid w:val="00E86AB3"/>
    <w:rsid w:val="00E86AF9"/>
    <w:rsid w:val="00E86BC9"/>
    <w:rsid w:val="00E87D6E"/>
    <w:rsid w:val="00E9028D"/>
    <w:rsid w:val="00E90662"/>
    <w:rsid w:val="00E9086C"/>
    <w:rsid w:val="00E90AAA"/>
    <w:rsid w:val="00E9124D"/>
    <w:rsid w:val="00E9180B"/>
    <w:rsid w:val="00E91A0F"/>
    <w:rsid w:val="00E92210"/>
    <w:rsid w:val="00E9294E"/>
    <w:rsid w:val="00E92988"/>
    <w:rsid w:val="00E929B2"/>
    <w:rsid w:val="00E93098"/>
    <w:rsid w:val="00E93258"/>
    <w:rsid w:val="00E93334"/>
    <w:rsid w:val="00E93338"/>
    <w:rsid w:val="00E935E0"/>
    <w:rsid w:val="00E948E9"/>
    <w:rsid w:val="00E94A71"/>
    <w:rsid w:val="00E94B23"/>
    <w:rsid w:val="00E94CBF"/>
    <w:rsid w:val="00E94EA1"/>
    <w:rsid w:val="00E951C0"/>
    <w:rsid w:val="00E9596A"/>
    <w:rsid w:val="00E959D2"/>
    <w:rsid w:val="00E95D3E"/>
    <w:rsid w:val="00E96227"/>
    <w:rsid w:val="00E9650C"/>
    <w:rsid w:val="00E965BA"/>
    <w:rsid w:val="00E9686D"/>
    <w:rsid w:val="00E96F8C"/>
    <w:rsid w:val="00E96FF0"/>
    <w:rsid w:val="00E97391"/>
    <w:rsid w:val="00E975A6"/>
    <w:rsid w:val="00E97D88"/>
    <w:rsid w:val="00E97F77"/>
    <w:rsid w:val="00EA0265"/>
    <w:rsid w:val="00EA03CE"/>
    <w:rsid w:val="00EA04AE"/>
    <w:rsid w:val="00EA0693"/>
    <w:rsid w:val="00EA0952"/>
    <w:rsid w:val="00EA09AB"/>
    <w:rsid w:val="00EA11C0"/>
    <w:rsid w:val="00EA11C5"/>
    <w:rsid w:val="00EA14E2"/>
    <w:rsid w:val="00EA1697"/>
    <w:rsid w:val="00EA17A4"/>
    <w:rsid w:val="00EA1CBD"/>
    <w:rsid w:val="00EA231F"/>
    <w:rsid w:val="00EA23E5"/>
    <w:rsid w:val="00EA3BF9"/>
    <w:rsid w:val="00EA3CF3"/>
    <w:rsid w:val="00EA46D1"/>
    <w:rsid w:val="00EA488C"/>
    <w:rsid w:val="00EA4D2A"/>
    <w:rsid w:val="00EA4E2E"/>
    <w:rsid w:val="00EA58AA"/>
    <w:rsid w:val="00EA5FF3"/>
    <w:rsid w:val="00EA5FFA"/>
    <w:rsid w:val="00EA60F2"/>
    <w:rsid w:val="00EA61CE"/>
    <w:rsid w:val="00EA6429"/>
    <w:rsid w:val="00EA6B92"/>
    <w:rsid w:val="00EA6D32"/>
    <w:rsid w:val="00EA6FB3"/>
    <w:rsid w:val="00EA7062"/>
    <w:rsid w:val="00EA7085"/>
    <w:rsid w:val="00EA70DF"/>
    <w:rsid w:val="00EA73C5"/>
    <w:rsid w:val="00EA75EF"/>
    <w:rsid w:val="00EA7614"/>
    <w:rsid w:val="00EA76D4"/>
    <w:rsid w:val="00EA7ABD"/>
    <w:rsid w:val="00EA7B3D"/>
    <w:rsid w:val="00EA7D57"/>
    <w:rsid w:val="00EB0282"/>
    <w:rsid w:val="00EB0B66"/>
    <w:rsid w:val="00EB0D51"/>
    <w:rsid w:val="00EB0D83"/>
    <w:rsid w:val="00EB0E9B"/>
    <w:rsid w:val="00EB12CC"/>
    <w:rsid w:val="00EB155B"/>
    <w:rsid w:val="00EB1AEC"/>
    <w:rsid w:val="00EB1B80"/>
    <w:rsid w:val="00EB1D56"/>
    <w:rsid w:val="00EB1F32"/>
    <w:rsid w:val="00EB234C"/>
    <w:rsid w:val="00EB2417"/>
    <w:rsid w:val="00EB2476"/>
    <w:rsid w:val="00EB2498"/>
    <w:rsid w:val="00EB25C0"/>
    <w:rsid w:val="00EB266E"/>
    <w:rsid w:val="00EB2CCB"/>
    <w:rsid w:val="00EB2D4B"/>
    <w:rsid w:val="00EB2FA2"/>
    <w:rsid w:val="00EB3240"/>
    <w:rsid w:val="00EB3920"/>
    <w:rsid w:val="00EB3F05"/>
    <w:rsid w:val="00EB401B"/>
    <w:rsid w:val="00EB433C"/>
    <w:rsid w:val="00EB4487"/>
    <w:rsid w:val="00EB474F"/>
    <w:rsid w:val="00EB4AC1"/>
    <w:rsid w:val="00EB4BFB"/>
    <w:rsid w:val="00EB55A6"/>
    <w:rsid w:val="00EB55F9"/>
    <w:rsid w:val="00EB565E"/>
    <w:rsid w:val="00EB5B28"/>
    <w:rsid w:val="00EB5B3D"/>
    <w:rsid w:val="00EB61D4"/>
    <w:rsid w:val="00EB627C"/>
    <w:rsid w:val="00EB6562"/>
    <w:rsid w:val="00EB65CE"/>
    <w:rsid w:val="00EB6B52"/>
    <w:rsid w:val="00EB6C96"/>
    <w:rsid w:val="00EB6D4C"/>
    <w:rsid w:val="00EB79CA"/>
    <w:rsid w:val="00EB7A25"/>
    <w:rsid w:val="00EB7B26"/>
    <w:rsid w:val="00EB7D06"/>
    <w:rsid w:val="00EB7D54"/>
    <w:rsid w:val="00EC0202"/>
    <w:rsid w:val="00EC08A8"/>
    <w:rsid w:val="00EC0A3E"/>
    <w:rsid w:val="00EC0F3E"/>
    <w:rsid w:val="00EC0FB8"/>
    <w:rsid w:val="00EC10EC"/>
    <w:rsid w:val="00EC140C"/>
    <w:rsid w:val="00EC1A42"/>
    <w:rsid w:val="00EC1EB9"/>
    <w:rsid w:val="00EC217C"/>
    <w:rsid w:val="00EC286E"/>
    <w:rsid w:val="00EC2B97"/>
    <w:rsid w:val="00EC2C9C"/>
    <w:rsid w:val="00EC34BB"/>
    <w:rsid w:val="00EC3CE7"/>
    <w:rsid w:val="00EC4101"/>
    <w:rsid w:val="00EC4164"/>
    <w:rsid w:val="00EC4579"/>
    <w:rsid w:val="00EC45CB"/>
    <w:rsid w:val="00EC461E"/>
    <w:rsid w:val="00EC46A8"/>
    <w:rsid w:val="00EC4C48"/>
    <w:rsid w:val="00EC53B5"/>
    <w:rsid w:val="00EC53BF"/>
    <w:rsid w:val="00EC5411"/>
    <w:rsid w:val="00EC57A7"/>
    <w:rsid w:val="00EC57F9"/>
    <w:rsid w:val="00EC5EE6"/>
    <w:rsid w:val="00EC6D98"/>
    <w:rsid w:val="00EC6E7F"/>
    <w:rsid w:val="00EC7161"/>
    <w:rsid w:val="00EC778C"/>
    <w:rsid w:val="00EC795B"/>
    <w:rsid w:val="00EC79A6"/>
    <w:rsid w:val="00EC7DB2"/>
    <w:rsid w:val="00ED01B7"/>
    <w:rsid w:val="00ED023C"/>
    <w:rsid w:val="00ED0817"/>
    <w:rsid w:val="00ED08F9"/>
    <w:rsid w:val="00ED0FEB"/>
    <w:rsid w:val="00ED1768"/>
    <w:rsid w:val="00ED18F9"/>
    <w:rsid w:val="00ED1D5C"/>
    <w:rsid w:val="00ED24D7"/>
    <w:rsid w:val="00ED33C0"/>
    <w:rsid w:val="00ED3BA2"/>
    <w:rsid w:val="00ED3F8B"/>
    <w:rsid w:val="00ED4759"/>
    <w:rsid w:val="00ED48BB"/>
    <w:rsid w:val="00ED4A79"/>
    <w:rsid w:val="00ED52D1"/>
    <w:rsid w:val="00ED5327"/>
    <w:rsid w:val="00ED56B8"/>
    <w:rsid w:val="00ED5798"/>
    <w:rsid w:val="00ED5D64"/>
    <w:rsid w:val="00ED636A"/>
    <w:rsid w:val="00ED669B"/>
    <w:rsid w:val="00ED6CF2"/>
    <w:rsid w:val="00ED6D7A"/>
    <w:rsid w:val="00ED7A09"/>
    <w:rsid w:val="00ED7B78"/>
    <w:rsid w:val="00ED7DD9"/>
    <w:rsid w:val="00ED7E74"/>
    <w:rsid w:val="00ED7FC0"/>
    <w:rsid w:val="00ED7FFD"/>
    <w:rsid w:val="00EE000C"/>
    <w:rsid w:val="00EE008E"/>
    <w:rsid w:val="00EE0095"/>
    <w:rsid w:val="00EE0384"/>
    <w:rsid w:val="00EE0D32"/>
    <w:rsid w:val="00EE0D60"/>
    <w:rsid w:val="00EE0EDD"/>
    <w:rsid w:val="00EE1198"/>
    <w:rsid w:val="00EE2075"/>
    <w:rsid w:val="00EE24EA"/>
    <w:rsid w:val="00EE2762"/>
    <w:rsid w:val="00EE27AC"/>
    <w:rsid w:val="00EE27D2"/>
    <w:rsid w:val="00EE2858"/>
    <w:rsid w:val="00EE2A94"/>
    <w:rsid w:val="00EE2AE1"/>
    <w:rsid w:val="00EE2FD2"/>
    <w:rsid w:val="00EE318A"/>
    <w:rsid w:val="00EE3608"/>
    <w:rsid w:val="00EE3788"/>
    <w:rsid w:val="00EE3BB4"/>
    <w:rsid w:val="00EE3E8C"/>
    <w:rsid w:val="00EE4165"/>
    <w:rsid w:val="00EE445B"/>
    <w:rsid w:val="00EE4560"/>
    <w:rsid w:val="00EE4C0B"/>
    <w:rsid w:val="00EE52C2"/>
    <w:rsid w:val="00EE5370"/>
    <w:rsid w:val="00EE606B"/>
    <w:rsid w:val="00EE6136"/>
    <w:rsid w:val="00EE66B4"/>
    <w:rsid w:val="00EE69C4"/>
    <w:rsid w:val="00EE6BC4"/>
    <w:rsid w:val="00EE6EE7"/>
    <w:rsid w:val="00EE753A"/>
    <w:rsid w:val="00EE76DE"/>
    <w:rsid w:val="00EE7E69"/>
    <w:rsid w:val="00EF00CA"/>
    <w:rsid w:val="00EF03C2"/>
    <w:rsid w:val="00EF15DB"/>
    <w:rsid w:val="00EF1BD8"/>
    <w:rsid w:val="00EF1DBB"/>
    <w:rsid w:val="00EF2081"/>
    <w:rsid w:val="00EF2546"/>
    <w:rsid w:val="00EF288F"/>
    <w:rsid w:val="00EF2D67"/>
    <w:rsid w:val="00EF2E17"/>
    <w:rsid w:val="00EF3113"/>
    <w:rsid w:val="00EF3452"/>
    <w:rsid w:val="00EF3632"/>
    <w:rsid w:val="00EF37FB"/>
    <w:rsid w:val="00EF3E2F"/>
    <w:rsid w:val="00EF3F84"/>
    <w:rsid w:val="00EF4260"/>
    <w:rsid w:val="00EF4352"/>
    <w:rsid w:val="00EF4414"/>
    <w:rsid w:val="00EF444C"/>
    <w:rsid w:val="00EF49FE"/>
    <w:rsid w:val="00EF4A90"/>
    <w:rsid w:val="00EF4B2B"/>
    <w:rsid w:val="00EF520C"/>
    <w:rsid w:val="00EF5288"/>
    <w:rsid w:val="00EF528E"/>
    <w:rsid w:val="00EF5551"/>
    <w:rsid w:val="00EF57C3"/>
    <w:rsid w:val="00EF5C5E"/>
    <w:rsid w:val="00EF5EE0"/>
    <w:rsid w:val="00EF62ED"/>
    <w:rsid w:val="00EF66EB"/>
    <w:rsid w:val="00EF6E18"/>
    <w:rsid w:val="00EF6EBF"/>
    <w:rsid w:val="00EF7156"/>
    <w:rsid w:val="00EF74A6"/>
    <w:rsid w:val="00EF767E"/>
    <w:rsid w:val="00EF7ABE"/>
    <w:rsid w:val="00F01F11"/>
    <w:rsid w:val="00F02E09"/>
    <w:rsid w:val="00F02F2D"/>
    <w:rsid w:val="00F035F2"/>
    <w:rsid w:val="00F037C9"/>
    <w:rsid w:val="00F04046"/>
    <w:rsid w:val="00F04779"/>
    <w:rsid w:val="00F0480F"/>
    <w:rsid w:val="00F04AD6"/>
    <w:rsid w:val="00F054EF"/>
    <w:rsid w:val="00F0550E"/>
    <w:rsid w:val="00F0594C"/>
    <w:rsid w:val="00F05A7E"/>
    <w:rsid w:val="00F05AD6"/>
    <w:rsid w:val="00F05BEA"/>
    <w:rsid w:val="00F062A1"/>
    <w:rsid w:val="00F06343"/>
    <w:rsid w:val="00F066AF"/>
    <w:rsid w:val="00F06E2E"/>
    <w:rsid w:val="00F06EC2"/>
    <w:rsid w:val="00F073B4"/>
    <w:rsid w:val="00F07AB5"/>
    <w:rsid w:val="00F07C33"/>
    <w:rsid w:val="00F07D04"/>
    <w:rsid w:val="00F07F02"/>
    <w:rsid w:val="00F109B6"/>
    <w:rsid w:val="00F10FEF"/>
    <w:rsid w:val="00F113DC"/>
    <w:rsid w:val="00F1142F"/>
    <w:rsid w:val="00F11B45"/>
    <w:rsid w:val="00F11B56"/>
    <w:rsid w:val="00F126F8"/>
    <w:rsid w:val="00F12A06"/>
    <w:rsid w:val="00F12DF7"/>
    <w:rsid w:val="00F132AF"/>
    <w:rsid w:val="00F13B34"/>
    <w:rsid w:val="00F13CE6"/>
    <w:rsid w:val="00F141EB"/>
    <w:rsid w:val="00F14481"/>
    <w:rsid w:val="00F1482C"/>
    <w:rsid w:val="00F151B1"/>
    <w:rsid w:val="00F15718"/>
    <w:rsid w:val="00F158EB"/>
    <w:rsid w:val="00F15E63"/>
    <w:rsid w:val="00F1613C"/>
    <w:rsid w:val="00F1636B"/>
    <w:rsid w:val="00F1641E"/>
    <w:rsid w:val="00F165A2"/>
    <w:rsid w:val="00F1671A"/>
    <w:rsid w:val="00F1675E"/>
    <w:rsid w:val="00F1677D"/>
    <w:rsid w:val="00F167EF"/>
    <w:rsid w:val="00F168E8"/>
    <w:rsid w:val="00F16BC7"/>
    <w:rsid w:val="00F16C6B"/>
    <w:rsid w:val="00F171CD"/>
    <w:rsid w:val="00F1725E"/>
    <w:rsid w:val="00F176AC"/>
    <w:rsid w:val="00F17B47"/>
    <w:rsid w:val="00F17DC5"/>
    <w:rsid w:val="00F17E26"/>
    <w:rsid w:val="00F17F54"/>
    <w:rsid w:val="00F17FB4"/>
    <w:rsid w:val="00F17FBE"/>
    <w:rsid w:val="00F20596"/>
    <w:rsid w:val="00F206C7"/>
    <w:rsid w:val="00F2151D"/>
    <w:rsid w:val="00F21D7F"/>
    <w:rsid w:val="00F21E6D"/>
    <w:rsid w:val="00F22209"/>
    <w:rsid w:val="00F2227F"/>
    <w:rsid w:val="00F2263E"/>
    <w:rsid w:val="00F22A1C"/>
    <w:rsid w:val="00F22DB6"/>
    <w:rsid w:val="00F22F44"/>
    <w:rsid w:val="00F2392B"/>
    <w:rsid w:val="00F23BBA"/>
    <w:rsid w:val="00F23E2C"/>
    <w:rsid w:val="00F23E4F"/>
    <w:rsid w:val="00F23ED5"/>
    <w:rsid w:val="00F24830"/>
    <w:rsid w:val="00F24A32"/>
    <w:rsid w:val="00F24D08"/>
    <w:rsid w:val="00F250AB"/>
    <w:rsid w:val="00F25138"/>
    <w:rsid w:val="00F251DD"/>
    <w:rsid w:val="00F25800"/>
    <w:rsid w:val="00F25BF5"/>
    <w:rsid w:val="00F25D9C"/>
    <w:rsid w:val="00F25EF3"/>
    <w:rsid w:val="00F26250"/>
    <w:rsid w:val="00F264A4"/>
    <w:rsid w:val="00F26D8E"/>
    <w:rsid w:val="00F26E52"/>
    <w:rsid w:val="00F26ECB"/>
    <w:rsid w:val="00F26F28"/>
    <w:rsid w:val="00F27143"/>
    <w:rsid w:val="00F272F8"/>
    <w:rsid w:val="00F275C0"/>
    <w:rsid w:val="00F276C8"/>
    <w:rsid w:val="00F27714"/>
    <w:rsid w:val="00F27887"/>
    <w:rsid w:val="00F305F4"/>
    <w:rsid w:val="00F316DD"/>
    <w:rsid w:val="00F3198B"/>
    <w:rsid w:val="00F31D3B"/>
    <w:rsid w:val="00F320C3"/>
    <w:rsid w:val="00F32129"/>
    <w:rsid w:val="00F32222"/>
    <w:rsid w:val="00F3276E"/>
    <w:rsid w:val="00F32781"/>
    <w:rsid w:val="00F3310D"/>
    <w:rsid w:val="00F33209"/>
    <w:rsid w:val="00F33442"/>
    <w:rsid w:val="00F33AD4"/>
    <w:rsid w:val="00F33D3C"/>
    <w:rsid w:val="00F341B9"/>
    <w:rsid w:val="00F342A4"/>
    <w:rsid w:val="00F346E5"/>
    <w:rsid w:val="00F3483F"/>
    <w:rsid w:val="00F348F6"/>
    <w:rsid w:val="00F34E03"/>
    <w:rsid w:val="00F35099"/>
    <w:rsid w:val="00F35219"/>
    <w:rsid w:val="00F354B1"/>
    <w:rsid w:val="00F35BB7"/>
    <w:rsid w:val="00F35CA3"/>
    <w:rsid w:val="00F36301"/>
    <w:rsid w:val="00F363F5"/>
    <w:rsid w:val="00F36883"/>
    <w:rsid w:val="00F36FDC"/>
    <w:rsid w:val="00F3707B"/>
    <w:rsid w:val="00F3742E"/>
    <w:rsid w:val="00F37A91"/>
    <w:rsid w:val="00F37E1D"/>
    <w:rsid w:val="00F37F9F"/>
    <w:rsid w:val="00F408A0"/>
    <w:rsid w:val="00F40930"/>
    <w:rsid w:val="00F41126"/>
    <w:rsid w:val="00F41A79"/>
    <w:rsid w:val="00F41E45"/>
    <w:rsid w:val="00F420F3"/>
    <w:rsid w:val="00F4254D"/>
    <w:rsid w:val="00F42576"/>
    <w:rsid w:val="00F427A9"/>
    <w:rsid w:val="00F4297B"/>
    <w:rsid w:val="00F42D76"/>
    <w:rsid w:val="00F43E6E"/>
    <w:rsid w:val="00F441AE"/>
    <w:rsid w:val="00F445A3"/>
    <w:rsid w:val="00F44F9D"/>
    <w:rsid w:val="00F44FFE"/>
    <w:rsid w:val="00F451AE"/>
    <w:rsid w:val="00F453A7"/>
    <w:rsid w:val="00F4549A"/>
    <w:rsid w:val="00F455F9"/>
    <w:rsid w:val="00F4566A"/>
    <w:rsid w:val="00F4569F"/>
    <w:rsid w:val="00F458C3"/>
    <w:rsid w:val="00F45B88"/>
    <w:rsid w:val="00F45CF5"/>
    <w:rsid w:val="00F45D70"/>
    <w:rsid w:val="00F45EB6"/>
    <w:rsid w:val="00F465C7"/>
    <w:rsid w:val="00F47021"/>
    <w:rsid w:val="00F47540"/>
    <w:rsid w:val="00F47B15"/>
    <w:rsid w:val="00F47DB0"/>
    <w:rsid w:val="00F47E84"/>
    <w:rsid w:val="00F5004C"/>
    <w:rsid w:val="00F50774"/>
    <w:rsid w:val="00F509B5"/>
    <w:rsid w:val="00F509F6"/>
    <w:rsid w:val="00F50C3F"/>
    <w:rsid w:val="00F50E34"/>
    <w:rsid w:val="00F50F9E"/>
    <w:rsid w:val="00F5120C"/>
    <w:rsid w:val="00F512DC"/>
    <w:rsid w:val="00F5158A"/>
    <w:rsid w:val="00F517D1"/>
    <w:rsid w:val="00F5197F"/>
    <w:rsid w:val="00F51AFB"/>
    <w:rsid w:val="00F51D1E"/>
    <w:rsid w:val="00F52049"/>
    <w:rsid w:val="00F5232F"/>
    <w:rsid w:val="00F52551"/>
    <w:rsid w:val="00F52B4F"/>
    <w:rsid w:val="00F52C29"/>
    <w:rsid w:val="00F5318A"/>
    <w:rsid w:val="00F5322B"/>
    <w:rsid w:val="00F534A9"/>
    <w:rsid w:val="00F5383C"/>
    <w:rsid w:val="00F53991"/>
    <w:rsid w:val="00F53EF7"/>
    <w:rsid w:val="00F540C6"/>
    <w:rsid w:val="00F541C9"/>
    <w:rsid w:val="00F54249"/>
    <w:rsid w:val="00F54482"/>
    <w:rsid w:val="00F54BB5"/>
    <w:rsid w:val="00F54BDD"/>
    <w:rsid w:val="00F54BF2"/>
    <w:rsid w:val="00F54F07"/>
    <w:rsid w:val="00F54F49"/>
    <w:rsid w:val="00F55216"/>
    <w:rsid w:val="00F55F8C"/>
    <w:rsid w:val="00F56645"/>
    <w:rsid w:val="00F56C9B"/>
    <w:rsid w:val="00F56E2B"/>
    <w:rsid w:val="00F56F81"/>
    <w:rsid w:val="00F5790F"/>
    <w:rsid w:val="00F57917"/>
    <w:rsid w:val="00F57DAD"/>
    <w:rsid w:val="00F60479"/>
    <w:rsid w:val="00F60630"/>
    <w:rsid w:val="00F60FF4"/>
    <w:rsid w:val="00F61735"/>
    <w:rsid w:val="00F622BF"/>
    <w:rsid w:val="00F6239E"/>
    <w:rsid w:val="00F62B8B"/>
    <w:rsid w:val="00F62D3F"/>
    <w:rsid w:val="00F6301C"/>
    <w:rsid w:val="00F637AA"/>
    <w:rsid w:val="00F6380A"/>
    <w:rsid w:val="00F63A7A"/>
    <w:rsid w:val="00F6474D"/>
    <w:rsid w:val="00F64CBD"/>
    <w:rsid w:val="00F64D75"/>
    <w:rsid w:val="00F65E09"/>
    <w:rsid w:val="00F66DA4"/>
    <w:rsid w:val="00F67040"/>
    <w:rsid w:val="00F67587"/>
    <w:rsid w:val="00F6765C"/>
    <w:rsid w:val="00F6766E"/>
    <w:rsid w:val="00F67C39"/>
    <w:rsid w:val="00F67C9A"/>
    <w:rsid w:val="00F7011D"/>
    <w:rsid w:val="00F70290"/>
    <w:rsid w:val="00F70561"/>
    <w:rsid w:val="00F7087F"/>
    <w:rsid w:val="00F709EB"/>
    <w:rsid w:val="00F7100B"/>
    <w:rsid w:val="00F71A2D"/>
    <w:rsid w:val="00F71D01"/>
    <w:rsid w:val="00F720E7"/>
    <w:rsid w:val="00F7243A"/>
    <w:rsid w:val="00F724B7"/>
    <w:rsid w:val="00F72B51"/>
    <w:rsid w:val="00F73309"/>
    <w:rsid w:val="00F73AAD"/>
    <w:rsid w:val="00F73CA7"/>
    <w:rsid w:val="00F7406C"/>
    <w:rsid w:val="00F741C4"/>
    <w:rsid w:val="00F7442C"/>
    <w:rsid w:val="00F7469D"/>
    <w:rsid w:val="00F746C5"/>
    <w:rsid w:val="00F74940"/>
    <w:rsid w:val="00F74AAA"/>
    <w:rsid w:val="00F75196"/>
    <w:rsid w:val="00F751E3"/>
    <w:rsid w:val="00F75300"/>
    <w:rsid w:val="00F75490"/>
    <w:rsid w:val="00F754B2"/>
    <w:rsid w:val="00F75AC5"/>
    <w:rsid w:val="00F75E06"/>
    <w:rsid w:val="00F765C5"/>
    <w:rsid w:val="00F77553"/>
    <w:rsid w:val="00F775AC"/>
    <w:rsid w:val="00F7784E"/>
    <w:rsid w:val="00F77A51"/>
    <w:rsid w:val="00F77DA1"/>
    <w:rsid w:val="00F801B7"/>
    <w:rsid w:val="00F803CC"/>
    <w:rsid w:val="00F803DA"/>
    <w:rsid w:val="00F80EB6"/>
    <w:rsid w:val="00F80F8F"/>
    <w:rsid w:val="00F80FDE"/>
    <w:rsid w:val="00F81526"/>
    <w:rsid w:val="00F81630"/>
    <w:rsid w:val="00F81C70"/>
    <w:rsid w:val="00F81D91"/>
    <w:rsid w:val="00F821CE"/>
    <w:rsid w:val="00F82403"/>
    <w:rsid w:val="00F82534"/>
    <w:rsid w:val="00F82604"/>
    <w:rsid w:val="00F828EA"/>
    <w:rsid w:val="00F83211"/>
    <w:rsid w:val="00F836F1"/>
    <w:rsid w:val="00F84540"/>
    <w:rsid w:val="00F84626"/>
    <w:rsid w:val="00F849ED"/>
    <w:rsid w:val="00F8555A"/>
    <w:rsid w:val="00F858D3"/>
    <w:rsid w:val="00F85912"/>
    <w:rsid w:val="00F86029"/>
    <w:rsid w:val="00F86E08"/>
    <w:rsid w:val="00F86F40"/>
    <w:rsid w:val="00F8734E"/>
    <w:rsid w:val="00F8792F"/>
    <w:rsid w:val="00F87CB2"/>
    <w:rsid w:val="00F9011B"/>
    <w:rsid w:val="00F9067D"/>
    <w:rsid w:val="00F9069D"/>
    <w:rsid w:val="00F9105A"/>
    <w:rsid w:val="00F9122D"/>
    <w:rsid w:val="00F912DA"/>
    <w:rsid w:val="00F9167F"/>
    <w:rsid w:val="00F919B3"/>
    <w:rsid w:val="00F91AA4"/>
    <w:rsid w:val="00F91B4D"/>
    <w:rsid w:val="00F91D72"/>
    <w:rsid w:val="00F91E6D"/>
    <w:rsid w:val="00F92008"/>
    <w:rsid w:val="00F9214D"/>
    <w:rsid w:val="00F921C4"/>
    <w:rsid w:val="00F92270"/>
    <w:rsid w:val="00F92355"/>
    <w:rsid w:val="00F923B1"/>
    <w:rsid w:val="00F92651"/>
    <w:rsid w:val="00F938BD"/>
    <w:rsid w:val="00F93963"/>
    <w:rsid w:val="00F93CE7"/>
    <w:rsid w:val="00F93DDC"/>
    <w:rsid w:val="00F93F91"/>
    <w:rsid w:val="00F94291"/>
    <w:rsid w:val="00F945D8"/>
    <w:rsid w:val="00F94A20"/>
    <w:rsid w:val="00F95031"/>
    <w:rsid w:val="00F95250"/>
    <w:rsid w:val="00F9533A"/>
    <w:rsid w:val="00F956BB"/>
    <w:rsid w:val="00F95958"/>
    <w:rsid w:val="00F95DB7"/>
    <w:rsid w:val="00F967C2"/>
    <w:rsid w:val="00F96C7B"/>
    <w:rsid w:val="00F96DE2"/>
    <w:rsid w:val="00F96FA2"/>
    <w:rsid w:val="00F971C6"/>
    <w:rsid w:val="00F9798A"/>
    <w:rsid w:val="00F97F78"/>
    <w:rsid w:val="00FA01ED"/>
    <w:rsid w:val="00FA043F"/>
    <w:rsid w:val="00FA0A8B"/>
    <w:rsid w:val="00FA1869"/>
    <w:rsid w:val="00FA1F07"/>
    <w:rsid w:val="00FA2427"/>
    <w:rsid w:val="00FA2592"/>
    <w:rsid w:val="00FA27AB"/>
    <w:rsid w:val="00FA298A"/>
    <w:rsid w:val="00FA2E60"/>
    <w:rsid w:val="00FA2EB0"/>
    <w:rsid w:val="00FA2F2B"/>
    <w:rsid w:val="00FA2FF1"/>
    <w:rsid w:val="00FA3352"/>
    <w:rsid w:val="00FA34C9"/>
    <w:rsid w:val="00FA40A4"/>
    <w:rsid w:val="00FA42CD"/>
    <w:rsid w:val="00FA4B3C"/>
    <w:rsid w:val="00FA4E4D"/>
    <w:rsid w:val="00FA4ED2"/>
    <w:rsid w:val="00FA5263"/>
    <w:rsid w:val="00FA558D"/>
    <w:rsid w:val="00FA5B66"/>
    <w:rsid w:val="00FA60A9"/>
    <w:rsid w:val="00FA6983"/>
    <w:rsid w:val="00FA6CCB"/>
    <w:rsid w:val="00FA7D9F"/>
    <w:rsid w:val="00FA7DCE"/>
    <w:rsid w:val="00FA7FEE"/>
    <w:rsid w:val="00FB0095"/>
    <w:rsid w:val="00FB0447"/>
    <w:rsid w:val="00FB0594"/>
    <w:rsid w:val="00FB0668"/>
    <w:rsid w:val="00FB080B"/>
    <w:rsid w:val="00FB0B9C"/>
    <w:rsid w:val="00FB12D9"/>
    <w:rsid w:val="00FB1ACE"/>
    <w:rsid w:val="00FB2865"/>
    <w:rsid w:val="00FB2922"/>
    <w:rsid w:val="00FB2931"/>
    <w:rsid w:val="00FB2CD9"/>
    <w:rsid w:val="00FB2D28"/>
    <w:rsid w:val="00FB2E92"/>
    <w:rsid w:val="00FB30EB"/>
    <w:rsid w:val="00FB34FB"/>
    <w:rsid w:val="00FB38CF"/>
    <w:rsid w:val="00FB3B77"/>
    <w:rsid w:val="00FB3C27"/>
    <w:rsid w:val="00FB4032"/>
    <w:rsid w:val="00FB486F"/>
    <w:rsid w:val="00FB4881"/>
    <w:rsid w:val="00FB579C"/>
    <w:rsid w:val="00FB579D"/>
    <w:rsid w:val="00FB5839"/>
    <w:rsid w:val="00FB59D7"/>
    <w:rsid w:val="00FB604B"/>
    <w:rsid w:val="00FB6427"/>
    <w:rsid w:val="00FB6652"/>
    <w:rsid w:val="00FB672C"/>
    <w:rsid w:val="00FB6A78"/>
    <w:rsid w:val="00FB6C97"/>
    <w:rsid w:val="00FB6D85"/>
    <w:rsid w:val="00FB6DFA"/>
    <w:rsid w:val="00FB77A3"/>
    <w:rsid w:val="00FB7859"/>
    <w:rsid w:val="00FB7982"/>
    <w:rsid w:val="00FB7EEB"/>
    <w:rsid w:val="00FB7F3B"/>
    <w:rsid w:val="00FC026A"/>
    <w:rsid w:val="00FC0515"/>
    <w:rsid w:val="00FC071B"/>
    <w:rsid w:val="00FC0734"/>
    <w:rsid w:val="00FC077A"/>
    <w:rsid w:val="00FC09E1"/>
    <w:rsid w:val="00FC0BA3"/>
    <w:rsid w:val="00FC0FC5"/>
    <w:rsid w:val="00FC1422"/>
    <w:rsid w:val="00FC1683"/>
    <w:rsid w:val="00FC1A3C"/>
    <w:rsid w:val="00FC1AA5"/>
    <w:rsid w:val="00FC1AFE"/>
    <w:rsid w:val="00FC1F2B"/>
    <w:rsid w:val="00FC2209"/>
    <w:rsid w:val="00FC2A98"/>
    <w:rsid w:val="00FC3353"/>
    <w:rsid w:val="00FC33FF"/>
    <w:rsid w:val="00FC3404"/>
    <w:rsid w:val="00FC3E89"/>
    <w:rsid w:val="00FC4302"/>
    <w:rsid w:val="00FC4583"/>
    <w:rsid w:val="00FC4614"/>
    <w:rsid w:val="00FC4962"/>
    <w:rsid w:val="00FC4A0E"/>
    <w:rsid w:val="00FC4B35"/>
    <w:rsid w:val="00FC4DF8"/>
    <w:rsid w:val="00FC565E"/>
    <w:rsid w:val="00FC572B"/>
    <w:rsid w:val="00FC573F"/>
    <w:rsid w:val="00FC588F"/>
    <w:rsid w:val="00FC5A7D"/>
    <w:rsid w:val="00FC5D41"/>
    <w:rsid w:val="00FC6482"/>
    <w:rsid w:val="00FC6879"/>
    <w:rsid w:val="00FC6BF1"/>
    <w:rsid w:val="00FC6E43"/>
    <w:rsid w:val="00FC6EDE"/>
    <w:rsid w:val="00FC76E0"/>
    <w:rsid w:val="00FC795D"/>
    <w:rsid w:val="00FC7E42"/>
    <w:rsid w:val="00FC7EA3"/>
    <w:rsid w:val="00FC7EE7"/>
    <w:rsid w:val="00FC7F8D"/>
    <w:rsid w:val="00FD00E5"/>
    <w:rsid w:val="00FD0F69"/>
    <w:rsid w:val="00FD1389"/>
    <w:rsid w:val="00FD1A0E"/>
    <w:rsid w:val="00FD1FBB"/>
    <w:rsid w:val="00FD218B"/>
    <w:rsid w:val="00FD21D7"/>
    <w:rsid w:val="00FD2518"/>
    <w:rsid w:val="00FD279E"/>
    <w:rsid w:val="00FD2808"/>
    <w:rsid w:val="00FD2CA2"/>
    <w:rsid w:val="00FD3233"/>
    <w:rsid w:val="00FD3B32"/>
    <w:rsid w:val="00FD3C21"/>
    <w:rsid w:val="00FD407B"/>
    <w:rsid w:val="00FD41C0"/>
    <w:rsid w:val="00FD41D7"/>
    <w:rsid w:val="00FD43C2"/>
    <w:rsid w:val="00FD471E"/>
    <w:rsid w:val="00FD4777"/>
    <w:rsid w:val="00FD490E"/>
    <w:rsid w:val="00FD5088"/>
    <w:rsid w:val="00FD535E"/>
    <w:rsid w:val="00FD5468"/>
    <w:rsid w:val="00FD57CC"/>
    <w:rsid w:val="00FD59BE"/>
    <w:rsid w:val="00FD6142"/>
    <w:rsid w:val="00FD68BF"/>
    <w:rsid w:val="00FD6D9D"/>
    <w:rsid w:val="00FD6F42"/>
    <w:rsid w:val="00FD7A38"/>
    <w:rsid w:val="00FE0030"/>
    <w:rsid w:val="00FE0492"/>
    <w:rsid w:val="00FE05DC"/>
    <w:rsid w:val="00FE07DA"/>
    <w:rsid w:val="00FE07FA"/>
    <w:rsid w:val="00FE0AEA"/>
    <w:rsid w:val="00FE0F40"/>
    <w:rsid w:val="00FE0FCE"/>
    <w:rsid w:val="00FE1771"/>
    <w:rsid w:val="00FE1B30"/>
    <w:rsid w:val="00FE229A"/>
    <w:rsid w:val="00FE2A20"/>
    <w:rsid w:val="00FE2B60"/>
    <w:rsid w:val="00FE2E22"/>
    <w:rsid w:val="00FE3347"/>
    <w:rsid w:val="00FE3AB4"/>
    <w:rsid w:val="00FE3CEC"/>
    <w:rsid w:val="00FE3EE6"/>
    <w:rsid w:val="00FE4BE6"/>
    <w:rsid w:val="00FE4D0E"/>
    <w:rsid w:val="00FE546C"/>
    <w:rsid w:val="00FE5535"/>
    <w:rsid w:val="00FE5746"/>
    <w:rsid w:val="00FE5FAB"/>
    <w:rsid w:val="00FE65A7"/>
    <w:rsid w:val="00FE6B14"/>
    <w:rsid w:val="00FE719B"/>
    <w:rsid w:val="00FE756B"/>
    <w:rsid w:val="00FE7B44"/>
    <w:rsid w:val="00FE7CF5"/>
    <w:rsid w:val="00FF0360"/>
    <w:rsid w:val="00FF0620"/>
    <w:rsid w:val="00FF06CA"/>
    <w:rsid w:val="00FF0A3D"/>
    <w:rsid w:val="00FF0D3D"/>
    <w:rsid w:val="00FF0D6F"/>
    <w:rsid w:val="00FF0F21"/>
    <w:rsid w:val="00FF108A"/>
    <w:rsid w:val="00FF1125"/>
    <w:rsid w:val="00FF15CC"/>
    <w:rsid w:val="00FF1D53"/>
    <w:rsid w:val="00FF1F42"/>
    <w:rsid w:val="00FF255E"/>
    <w:rsid w:val="00FF2F41"/>
    <w:rsid w:val="00FF30E0"/>
    <w:rsid w:val="00FF329D"/>
    <w:rsid w:val="00FF37F3"/>
    <w:rsid w:val="00FF44DE"/>
    <w:rsid w:val="00FF47EC"/>
    <w:rsid w:val="00FF47F7"/>
    <w:rsid w:val="00FF48AC"/>
    <w:rsid w:val="00FF48F6"/>
    <w:rsid w:val="00FF4998"/>
    <w:rsid w:val="00FF4B21"/>
    <w:rsid w:val="00FF4B22"/>
    <w:rsid w:val="00FF5001"/>
    <w:rsid w:val="00FF517F"/>
    <w:rsid w:val="00FF5753"/>
    <w:rsid w:val="00FF5895"/>
    <w:rsid w:val="00FF5C4B"/>
    <w:rsid w:val="00FF5DC0"/>
    <w:rsid w:val="00FF63E3"/>
    <w:rsid w:val="00FF68B9"/>
    <w:rsid w:val="00FF6B32"/>
    <w:rsid w:val="00FF6C99"/>
    <w:rsid w:val="00FF6FE5"/>
    <w:rsid w:val="00FF7632"/>
    <w:rsid w:val="00FF79AB"/>
    <w:rsid w:val="00FF7EC0"/>
    <w:rsid w:val="01B8C029"/>
    <w:rsid w:val="026F307E"/>
    <w:rsid w:val="045EFA3E"/>
    <w:rsid w:val="0471E197"/>
    <w:rsid w:val="058A2F1C"/>
    <w:rsid w:val="05FCB06D"/>
    <w:rsid w:val="070E80E2"/>
    <w:rsid w:val="07E36C0A"/>
    <w:rsid w:val="08E39D01"/>
    <w:rsid w:val="0DE69423"/>
    <w:rsid w:val="1081CF49"/>
    <w:rsid w:val="14469A47"/>
    <w:rsid w:val="16E48528"/>
    <w:rsid w:val="1960E567"/>
    <w:rsid w:val="1A91E494"/>
    <w:rsid w:val="1E85E2BB"/>
    <w:rsid w:val="1EBD6F87"/>
    <w:rsid w:val="21875455"/>
    <w:rsid w:val="24A7888A"/>
    <w:rsid w:val="24CD5527"/>
    <w:rsid w:val="260D172C"/>
    <w:rsid w:val="29398DC4"/>
    <w:rsid w:val="2B6348E1"/>
    <w:rsid w:val="2CF74D7A"/>
    <w:rsid w:val="2CFE81CA"/>
    <w:rsid w:val="2DEFFD08"/>
    <w:rsid w:val="31B1757D"/>
    <w:rsid w:val="32CA2D20"/>
    <w:rsid w:val="32F9ECCA"/>
    <w:rsid w:val="35FCBF2A"/>
    <w:rsid w:val="37DD9112"/>
    <w:rsid w:val="39CB121F"/>
    <w:rsid w:val="3E60BFF7"/>
    <w:rsid w:val="3E894616"/>
    <w:rsid w:val="3EEF6784"/>
    <w:rsid w:val="3FD2A2C3"/>
    <w:rsid w:val="42505835"/>
    <w:rsid w:val="425B2905"/>
    <w:rsid w:val="4300FAE9"/>
    <w:rsid w:val="44CB8984"/>
    <w:rsid w:val="48838C6F"/>
    <w:rsid w:val="489333AF"/>
    <w:rsid w:val="4C550A50"/>
    <w:rsid w:val="4D529661"/>
    <w:rsid w:val="4E4722A2"/>
    <w:rsid w:val="50D5CC4A"/>
    <w:rsid w:val="54399FE0"/>
    <w:rsid w:val="5577138C"/>
    <w:rsid w:val="583A1381"/>
    <w:rsid w:val="5A47B115"/>
    <w:rsid w:val="5BC1A9BB"/>
    <w:rsid w:val="5C6C5D0A"/>
    <w:rsid w:val="6012503D"/>
    <w:rsid w:val="6076E940"/>
    <w:rsid w:val="6394A96A"/>
    <w:rsid w:val="659641BE"/>
    <w:rsid w:val="67D25A40"/>
    <w:rsid w:val="68686E21"/>
    <w:rsid w:val="69170754"/>
    <w:rsid w:val="6AADADB1"/>
    <w:rsid w:val="6B13E9FF"/>
    <w:rsid w:val="6C0BF64F"/>
    <w:rsid w:val="6C326001"/>
    <w:rsid w:val="6D07270D"/>
    <w:rsid w:val="6D35658D"/>
    <w:rsid w:val="7483C5CC"/>
    <w:rsid w:val="74B5653C"/>
    <w:rsid w:val="769525D5"/>
    <w:rsid w:val="785EA15B"/>
    <w:rsid w:val="7DE4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E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56"/>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757FE8"/>
    <w:rPr>
      <w:sz w:val="24"/>
      <w:lang w:eastAsia="en-US"/>
    </w:rPr>
  </w:style>
  <w:style w:type="table" w:styleId="TableGridLight">
    <w:name w:val="Grid Table Light"/>
    <w:basedOn w:val="TableNormal"/>
    <w:uiPriority w:val="40"/>
    <w:rsid w:val="00EE6B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E6BC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E34B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692E0A"/>
    <w:rPr>
      <w:b/>
      <w:caps/>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2082">
      <w:bodyDiv w:val="1"/>
      <w:marLeft w:val="0"/>
      <w:marRight w:val="0"/>
      <w:marTop w:val="0"/>
      <w:marBottom w:val="0"/>
      <w:divBdr>
        <w:top w:val="none" w:sz="0" w:space="0" w:color="auto"/>
        <w:left w:val="none" w:sz="0" w:space="0" w:color="auto"/>
        <w:bottom w:val="none" w:sz="0" w:space="0" w:color="auto"/>
        <w:right w:val="none" w:sz="0" w:space="0" w:color="auto"/>
      </w:divBdr>
    </w:div>
    <w:div w:id="951864852">
      <w:bodyDiv w:val="1"/>
      <w:marLeft w:val="0"/>
      <w:marRight w:val="0"/>
      <w:marTop w:val="0"/>
      <w:marBottom w:val="0"/>
      <w:divBdr>
        <w:top w:val="none" w:sz="0" w:space="0" w:color="auto"/>
        <w:left w:val="none" w:sz="0" w:space="0" w:color="auto"/>
        <w:bottom w:val="none" w:sz="0" w:space="0" w:color="auto"/>
        <w:right w:val="none" w:sz="0" w:space="0" w:color="auto"/>
      </w:divBdr>
    </w:div>
    <w:div w:id="1072850326">
      <w:bodyDiv w:val="1"/>
      <w:marLeft w:val="0"/>
      <w:marRight w:val="0"/>
      <w:marTop w:val="0"/>
      <w:marBottom w:val="0"/>
      <w:divBdr>
        <w:top w:val="none" w:sz="0" w:space="0" w:color="auto"/>
        <w:left w:val="none" w:sz="0" w:space="0" w:color="auto"/>
        <w:bottom w:val="none" w:sz="0" w:space="0" w:color="auto"/>
        <w:right w:val="none" w:sz="0" w:space="0" w:color="auto"/>
      </w:divBdr>
    </w:div>
    <w:div w:id="1124499150">
      <w:bodyDiv w:val="1"/>
      <w:marLeft w:val="0"/>
      <w:marRight w:val="0"/>
      <w:marTop w:val="0"/>
      <w:marBottom w:val="0"/>
      <w:divBdr>
        <w:top w:val="none" w:sz="0" w:space="0" w:color="auto"/>
        <w:left w:val="none" w:sz="0" w:space="0" w:color="auto"/>
        <w:bottom w:val="none" w:sz="0" w:space="0" w:color="auto"/>
        <w:right w:val="none" w:sz="0" w:space="0" w:color="auto"/>
      </w:divBdr>
    </w:div>
    <w:div w:id="1128863642">
      <w:bodyDiv w:val="1"/>
      <w:marLeft w:val="0"/>
      <w:marRight w:val="0"/>
      <w:marTop w:val="0"/>
      <w:marBottom w:val="0"/>
      <w:divBdr>
        <w:top w:val="none" w:sz="0" w:space="0" w:color="auto"/>
        <w:left w:val="none" w:sz="0" w:space="0" w:color="auto"/>
        <w:bottom w:val="none" w:sz="0" w:space="0" w:color="auto"/>
        <w:right w:val="none" w:sz="0" w:space="0" w:color="auto"/>
      </w:divBdr>
    </w:div>
    <w:div w:id="1572614766">
      <w:bodyDiv w:val="1"/>
      <w:marLeft w:val="0"/>
      <w:marRight w:val="0"/>
      <w:marTop w:val="0"/>
      <w:marBottom w:val="0"/>
      <w:divBdr>
        <w:top w:val="none" w:sz="0" w:space="0" w:color="auto"/>
        <w:left w:val="none" w:sz="0" w:space="0" w:color="auto"/>
        <w:bottom w:val="none" w:sz="0" w:space="0" w:color="auto"/>
        <w:right w:val="none" w:sz="0" w:space="0" w:color="auto"/>
      </w:divBdr>
    </w:div>
    <w:div w:id="18826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4E49764B34F4AB7A76E6853D19793"/>
        <w:category>
          <w:name w:val="General"/>
          <w:gallery w:val="placeholder"/>
        </w:category>
        <w:types>
          <w:type w:val="bbPlcHdr"/>
        </w:types>
        <w:behaviors>
          <w:behavior w:val="content"/>
        </w:behaviors>
        <w:guid w:val="{50C3E535-3BF5-44A1-A997-3F19CFDBE6D0}"/>
      </w:docPartPr>
      <w:docPartBody>
        <w:p w:rsidR="007D0FEA" w:rsidRDefault="007D0FEA">
          <w:pPr>
            <w:pStyle w:val="2CA4E49764B34F4AB7A76E6853D19793"/>
          </w:pPr>
          <w:r>
            <w:rPr>
              <w:rStyle w:val="PlaceholderText"/>
            </w:rPr>
            <w:t>MNC Text</w:t>
          </w:r>
        </w:p>
      </w:docPartBody>
    </w:docPart>
    <w:docPart>
      <w:docPartPr>
        <w:name w:val="CC53D0AF86B744ACB531CA9FAA019206"/>
        <w:category>
          <w:name w:val="General"/>
          <w:gallery w:val="placeholder"/>
        </w:category>
        <w:types>
          <w:type w:val="bbPlcHdr"/>
        </w:types>
        <w:behaviors>
          <w:behavior w:val="content"/>
        </w:behaviors>
        <w:guid w:val="{2DE22338-94FB-4FE3-B839-4146AE964BC2}"/>
      </w:docPartPr>
      <w:docPartBody>
        <w:p w:rsidR="007D0FEA" w:rsidRDefault="007D0FEA">
          <w:pPr>
            <w:pStyle w:val="CC53D0AF86B744ACB531CA9FAA019206"/>
          </w:pPr>
          <w:r w:rsidRPr="005C44BE">
            <w:rPr>
              <w:rStyle w:val="PlaceholderText"/>
            </w:rPr>
            <w:t>Click or tap here to enter text.</w:t>
          </w:r>
        </w:p>
      </w:docPartBody>
    </w:docPart>
    <w:docPart>
      <w:docPartPr>
        <w:name w:val="7FAA0914A990436C807FA4BFA18E264D"/>
        <w:category>
          <w:name w:val="General"/>
          <w:gallery w:val="placeholder"/>
        </w:category>
        <w:types>
          <w:type w:val="bbPlcHdr"/>
        </w:types>
        <w:behaviors>
          <w:behavior w:val="content"/>
        </w:behaviors>
        <w:guid w:val="{5DA86506-B74A-4250-9E7D-21E891819611}"/>
      </w:docPartPr>
      <w:docPartBody>
        <w:p w:rsidR="007D0FEA" w:rsidRDefault="007D0FEA">
          <w:pPr>
            <w:pStyle w:val="7FAA0914A990436C807FA4BFA18E264D"/>
          </w:pPr>
          <w:r w:rsidRPr="005C44BE">
            <w:rPr>
              <w:rStyle w:val="PlaceholderText"/>
            </w:rPr>
            <w:t>Click or tap here to enter text.</w:t>
          </w:r>
        </w:p>
      </w:docPartBody>
    </w:docPart>
    <w:docPart>
      <w:docPartPr>
        <w:name w:val="EA1B0A5048DB49F8879A1A7921EFE104"/>
        <w:category>
          <w:name w:val="General"/>
          <w:gallery w:val="placeholder"/>
        </w:category>
        <w:types>
          <w:type w:val="bbPlcHdr"/>
        </w:types>
        <w:behaviors>
          <w:behavior w:val="content"/>
        </w:behaviors>
        <w:guid w:val="{FD307377-9320-402D-BDFF-1D4499590A21}"/>
      </w:docPartPr>
      <w:docPartBody>
        <w:p w:rsidR="007D0FEA" w:rsidRDefault="007D0FEA">
          <w:pPr>
            <w:pStyle w:val="EA1B0A5048DB49F8879A1A7921EFE104"/>
          </w:pPr>
          <w:r w:rsidRPr="005C44BE">
            <w:rPr>
              <w:rStyle w:val="PlaceholderText"/>
            </w:rPr>
            <w:t>Click or tap here to enter text.</w:t>
          </w:r>
        </w:p>
      </w:docPartBody>
    </w:docPart>
    <w:docPart>
      <w:docPartPr>
        <w:name w:val="11B4ECA6C67A430CA7F170DAE8B990F7"/>
        <w:category>
          <w:name w:val="General"/>
          <w:gallery w:val="placeholder"/>
        </w:category>
        <w:types>
          <w:type w:val="bbPlcHdr"/>
        </w:types>
        <w:behaviors>
          <w:behavior w:val="content"/>
        </w:behaviors>
        <w:guid w:val="{44705352-CD0B-406F-962B-EFC84E137A8A}"/>
      </w:docPartPr>
      <w:docPartBody>
        <w:p w:rsidR="007D0FEA" w:rsidRDefault="007D0FEA">
          <w:pPr>
            <w:pStyle w:val="11B4ECA6C67A430CA7F170DAE8B990F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EA"/>
    <w:rsid w:val="00054121"/>
    <w:rsid w:val="000A101A"/>
    <w:rsid w:val="00131D34"/>
    <w:rsid w:val="00134752"/>
    <w:rsid w:val="0014352D"/>
    <w:rsid w:val="00314FE6"/>
    <w:rsid w:val="005F7DAE"/>
    <w:rsid w:val="006C50BD"/>
    <w:rsid w:val="007C4512"/>
    <w:rsid w:val="007D0FEA"/>
    <w:rsid w:val="009110CD"/>
    <w:rsid w:val="00AE4FFB"/>
    <w:rsid w:val="00C719A0"/>
    <w:rsid w:val="00CD5756"/>
    <w:rsid w:val="00D21708"/>
    <w:rsid w:val="00DE5DD3"/>
    <w:rsid w:val="00E4755F"/>
    <w:rsid w:val="00E54403"/>
    <w:rsid w:val="00E63CD2"/>
    <w:rsid w:val="00F453FC"/>
    <w:rsid w:val="00F96C15"/>
    <w:rsid w:val="00FF64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A4E49764B34F4AB7A76E6853D19793">
    <w:name w:val="2CA4E49764B34F4AB7A76E6853D19793"/>
  </w:style>
  <w:style w:type="paragraph" w:customStyle="1" w:styleId="CC53D0AF86B744ACB531CA9FAA019206">
    <w:name w:val="CC53D0AF86B744ACB531CA9FAA019206"/>
  </w:style>
  <w:style w:type="paragraph" w:customStyle="1" w:styleId="7FAA0914A990436C807FA4BFA18E264D">
    <w:name w:val="7FAA0914A990436C807FA4BFA18E264D"/>
  </w:style>
  <w:style w:type="paragraph" w:customStyle="1" w:styleId="EA1B0A5048DB49F8879A1A7921EFE104">
    <w:name w:val="EA1B0A5048DB49F8879A1A7921EFE104"/>
  </w:style>
  <w:style w:type="paragraph" w:customStyle="1" w:styleId="11B4ECA6C67A430CA7F170DAE8B990F7">
    <w:name w:val="11B4ECA6C67A430CA7F170DAE8B99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984BED6CBBE4C98F17CB541C78FD1" ma:contentTypeVersion="16" ma:contentTypeDescription="Create a new document." ma:contentTypeScope="" ma:versionID="3d0371262b696e161417585e128c4488">
  <xsd:schema xmlns:xsd="http://www.w3.org/2001/XMLSchema" xmlns:xs="http://www.w3.org/2001/XMLSchema" xmlns:p="http://schemas.microsoft.com/office/2006/metadata/properties" xmlns:ns3="c1d82da8-d376-485e-a87d-76c171aded4d" xmlns:ns4="0fb24e56-4e25-433e-b047-ca510f60b7b2" targetNamespace="http://schemas.microsoft.com/office/2006/metadata/properties" ma:root="true" ma:fieldsID="10dc29bd1aed4959607cbd005e710ba2" ns3:_="" ns4:_="">
    <xsd:import namespace="c1d82da8-d376-485e-a87d-76c171aded4d"/>
    <xsd:import namespace="0fb24e56-4e25-433e-b047-ca510f60b7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82da8-d376-485e-a87d-76c171ade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24e56-4e25-433e-b047-ca510f60b7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d82da8-d376-485e-a87d-76c171aded4d" xsi:nil="true"/>
  </documentManagement>
</p:properties>
</file>

<file path=customXml/item4.xml><?xml version="1.0" encoding="utf-8"?>
<root xmlns="http://schemas.globalmacros.com/FCA">
  <Name>Hurst, in the matter of Lloyds Curry Shop Pty Ltd (in liq) v Prasad (No 3) [2023] FCA 1174 </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2553-43E8-4185-A031-B660A4D2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82da8-d376-485e-a87d-76c171aded4d"/>
    <ds:schemaRef ds:uri="0fb24e56-4e25-433e-b047-ca510f60b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86B0F-F51C-48C0-A04D-F4C07C81EFC4}">
  <ds:schemaRefs>
    <ds:schemaRef ds:uri="http://schemas.microsoft.com/sharepoint/v3/contenttype/forms"/>
  </ds:schemaRefs>
</ds:datastoreItem>
</file>

<file path=customXml/itemProps3.xml><?xml version="1.0" encoding="utf-8"?>
<ds:datastoreItem xmlns:ds="http://schemas.openxmlformats.org/officeDocument/2006/customXml" ds:itemID="{0CEC737B-6ADF-4DDA-B34F-F0125601F1CF}">
  <ds:schemaRefs>
    <ds:schemaRef ds:uri="http://schemas.microsoft.com/office/2006/documentManagement/types"/>
    <ds:schemaRef ds:uri="http://purl.org/dc/elements/1.1/"/>
    <ds:schemaRef ds:uri="http://purl.org/dc/dcmitype/"/>
    <ds:schemaRef ds:uri="http://purl.org/dc/terms/"/>
    <ds:schemaRef ds:uri="0fb24e56-4e25-433e-b047-ca510f60b7b2"/>
    <ds:schemaRef ds:uri="http://schemas.microsoft.com/office/infopath/2007/PartnerControls"/>
    <ds:schemaRef ds:uri="http://schemas.openxmlformats.org/package/2006/metadata/core-properties"/>
    <ds:schemaRef ds:uri="c1d82da8-d376-485e-a87d-76c171aded4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E0C9179F-9F15-4BE3-8E89-335A24E5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43</Pages>
  <Words>14539</Words>
  <Characters>82875</Characters>
  <Application>Microsoft Office Word</Application>
  <DocSecurity>0</DocSecurity>
  <PresentationFormat/>
  <Lines>690</Lines>
  <Paragraphs>194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Hurst, in the matter of Lloyds Curry Shop Pty Ltd (in liq) v Prasad (No 3) [2023] FCA 1174  </vt:lpstr>
    </vt:vector>
  </TitlesOfParts>
  <Manager/>
  <Company/>
  <LinksUpToDate>false</LinksUpToDate>
  <CharactersWithSpaces>97220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2023-10-04T19:19:00Z</cp:lastPrinted>
  <dcterms:created xsi:type="dcterms:W3CDTF">2023-10-04T02:38:00Z</dcterms:created>
  <dcterms:modified xsi:type="dcterms:W3CDTF">2023-10-06T02:39:00Z</dcterms:modified>
  <cp:category/>
  <cp:contentStatus/>
  <dc:language/>
  <cp:version/>
</cp:coreProperties>
</file>