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7BE1" w14:textId="1DF24A25" w:rsidR="00395B24" w:rsidRDefault="00D313AC" w:rsidP="00A22932">
      <w:pPr>
        <w:pStyle w:val="CourtTitle"/>
      </w:pPr>
      <w:r>
        <w:rPr>
          <w:caps w:val="0"/>
        </w:rPr>
        <w:t>FEDERAL COURT OF AUSTRALIA</w:t>
      </w:r>
    </w:p>
    <w:p w14:paraId="11622276" w14:textId="77777777" w:rsidR="004D7950" w:rsidRDefault="004D7950">
      <w:pPr>
        <w:pStyle w:val="NormalHeadings"/>
        <w:jc w:val="center"/>
        <w:rPr>
          <w:sz w:val="32"/>
        </w:rPr>
      </w:pPr>
    </w:p>
    <w:bookmarkStart w:id="0" w:name="MNC"/>
    <w:p w14:paraId="7CD0B36C" w14:textId="21BD3167" w:rsidR="00374CC4" w:rsidRDefault="002D18BD" w:rsidP="001A2B40">
      <w:pPr>
        <w:pStyle w:val="MNC"/>
      </w:pPr>
      <w:sdt>
        <w:sdtPr>
          <w:alias w:val="MNC"/>
          <w:tag w:val="MNC"/>
          <w:id w:val="343289786"/>
          <w:lock w:val="sdtLocked"/>
          <w:placeholder>
            <w:docPart w:val="EA5BB263274F4334A4EB8CCE92A25C5B"/>
          </w:placeholder>
          <w:dataBinding w:prefixMappings="xmlns:ns0='http://schemas.globalmacros.com/FCA'" w:xpath="/ns0:root[1]/ns0:Name[1]" w:storeItemID="{687E7CCB-4AA5-44E7-B148-17BA2B6F57C0}"/>
          <w:text w:multiLine="1"/>
        </w:sdtPr>
        <w:sdtEndPr/>
        <w:sdtContent>
          <w:r w:rsidR="0026360C" w:rsidRPr="0026360C">
            <w:t>Commissioner of Taxation v Iannuzzi</w:t>
          </w:r>
          <w:r w:rsidR="0026360C">
            <w:t xml:space="preserve"> </w:t>
          </w:r>
          <w:r w:rsidR="009F3F1A">
            <w:t xml:space="preserve">(No 3) </w:t>
          </w:r>
          <w:r w:rsidR="0026360C">
            <w:t>[202</w:t>
          </w:r>
          <w:r w:rsidR="002468C7">
            <w:t>4</w:t>
          </w:r>
          <w:r w:rsidR="0026360C">
            <w:t xml:space="preserve">] FCA </w:t>
          </w:r>
          <w:r w:rsidR="00BB1E5F">
            <w:t>45</w:t>
          </w:r>
          <w:r w:rsidR="0026360C" w:rsidRPr="0026360C">
            <w:t xml:space="preserve"> </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2D774123" w14:textId="77777777" w:rsidTr="00B35061">
        <w:tc>
          <w:tcPr>
            <w:tcW w:w="3083" w:type="dxa"/>
            <w:shd w:val="clear" w:color="auto" w:fill="auto"/>
          </w:tcPr>
          <w:p w14:paraId="6D803D07" w14:textId="77777777" w:rsidR="00395B24" w:rsidRDefault="002C7385" w:rsidP="0026360C">
            <w:pPr>
              <w:pStyle w:val="Normal1linespace"/>
              <w:widowControl w:val="0"/>
              <w:jc w:val="left"/>
            </w:pPr>
            <w:r>
              <w:t>File number:</w:t>
            </w:r>
          </w:p>
        </w:tc>
        <w:tc>
          <w:tcPr>
            <w:tcW w:w="5989" w:type="dxa"/>
            <w:shd w:val="clear" w:color="auto" w:fill="auto"/>
          </w:tcPr>
          <w:p w14:paraId="6BB22D0D" w14:textId="77777777" w:rsidR="00395B24" w:rsidRPr="0026360C" w:rsidRDefault="002D18BD" w:rsidP="0026360C">
            <w:pPr>
              <w:pStyle w:val="Normal1linespace"/>
              <w:jc w:val="left"/>
            </w:pPr>
            <w:r>
              <w:fldChar w:fldCharType="begin" w:fldLock="1"/>
            </w:r>
            <w:r>
              <w:instrText xml:space="preserve"> REF  FileNo  \* MERGEFORMAT </w:instrText>
            </w:r>
            <w:r>
              <w:fldChar w:fldCharType="separate"/>
            </w:r>
            <w:r w:rsidR="0026360C" w:rsidRPr="0026360C">
              <w:t>NSD 1510 of 2017</w:t>
            </w:r>
            <w:r>
              <w:fldChar w:fldCharType="end"/>
            </w:r>
          </w:p>
        </w:tc>
      </w:tr>
      <w:tr w:rsidR="00395B24" w14:paraId="30832BEC" w14:textId="77777777" w:rsidTr="00B35061">
        <w:tc>
          <w:tcPr>
            <w:tcW w:w="3083" w:type="dxa"/>
            <w:shd w:val="clear" w:color="auto" w:fill="auto"/>
          </w:tcPr>
          <w:p w14:paraId="530AA777" w14:textId="77777777" w:rsidR="00395B24" w:rsidRDefault="00395B24" w:rsidP="00663878">
            <w:pPr>
              <w:pStyle w:val="Normal1linespace"/>
              <w:widowControl w:val="0"/>
              <w:jc w:val="left"/>
            </w:pPr>
          </w:p>
        </w:tc>
        <w:tc>
          <w:tcPr>
            <w:tcW w:w="5989" w:type="dxa"/>
            <w:shd w:val="clear" w:color="auto" w:fill="auto"/>
          </w:tcPr>
          <w:p w14:paraId="5AC77292" w14:textId="77777777" w:rsidR="00395B24" w:rsidRDefault="00395B24" w:rsidP="00663878">
            <w:pPr>
              <w:pStyle w:val="Normal1linespace"/>
              <w:widowControl w:val="0"/>
              <w:jc w:val="left"/>
            </w:pPr>
          </w:p>
        </w:tc>
      </w:tr>
      <w:tr w:rsidR="00395B24" w14:paraId="65052F0E" w14:textId="77777777" w:rsidTr="00B35061">
        <w:tc>
          <w:tcPr>
            <w:tcW w:w="3083" w:type="dxa"/>
            <w:shd w:val="clear" w:color="auto" w:fill="auto"/>
          </w:tcPr>
          <w:p w14:paraId="3338D141"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5C08042" w14:textId="77777777" w:rsidR="00395B24" w:rsidRDefault="002C7385" w:rsidP="00663878">
            <w:pPr>
              <w:pStyle w:val="Normal1linespace"/>
              <w:widowControl w:val="0"/>
              <w:jc w:val="left"/>
              <w:rPr>
                <w:b/>
              </w:rPr>
            </w:pPr>
            <w:r w:rsidRPr="0026360C">
              <w:rPr>
                <w:b/>
              </w:rPr>
              <w:fldChar w:fldCharType="begin" w:fldLock="1"/>
            </w:r>
            <w:r w:rsidRPr="0026360C">
              <w:rPr>
                <w:b/>
              </w:rPr>
              <w:instrText xml:space="preserve"> REF  Judge  \* MERGEFORMAT </w:instrText>
            </w:r>
            <w:r w:rsidRPr="0026360C">
              <w:rPr>
                <w:b/>
              </w:rPr>
              <w:fldChar w:fldCharType="separate"/>
            </w:r>
            <w:r w:rsidR="0026360C" w:rsidRPr="0026360C">
              <w:rPr>
                <w:b/>
                <w:caps/>
                <w:szCs w:val="24"/>
              </w:rPr>
              <w:t>MARKOVIC J</w:t>
            </w:r>
            <w:r w:rsidRPr="0026360C">
              <w:rPr>
                <w:b/>
              </w:rPr>
              <w:fldChar w:fldCharType="end"/>
            </w:r>
          </w:p>
        </w:tc>
      </w:tr>
      <w:tr w:rsidR="00395B24" w14:paraId="1D1C00BD" w14:textId="77777777" w:rsidTr="00B35061">
        <w:tc>
          <w:tcPr>
            <w:tcW w:w="3083" w:type="dxa"/>
            <w:shd w:val="clear" w:color="auto" w:fill="auto"/>
          </w:tcPr>
          <w:p w14:paraId="12EB0614" w14:textId="77777777" w:rsidR="00395B24" w:rsidRDefault="00395B24" w:rsidP="00663878">
            <w:pPr>
              <w:pStyle w:val="Normal1linespace"/>
              <w:widowControl w:val="0"/>
              <w:jc w:val="left"/>
            </w:pPr>
          </w:p>
        </w:tc>
        <w:tc>
          <w:tcPr>
            <w:tcW w:w="5989" w:type="dxa"/>
            <w:shd w:val="clear" w:color="auto" w:fill="auto"/>
          </w:tcPr>
          <w:p w14:paraId="5D54E682" w14:textId="77777777" w:rsidR="00395B24" w:rsidRDefault="00395B24" w:rsidP="00663878">
            <w:pPr>
              <w:pStyle w:val="Normal1linespace"/>
              <w:widowControl w:val="0"/>
              <w:jc w:val="left"/>
            </w:pPr>
          </w:p>
        </w:tc>
      </w:tr>
      <w:tr w:rsidR="00395B24" w14:paraId="3E2D033A" w14:textId="77777777" w:rsidTr="00B35061">
        <w:tc>
          <w:tcPr>
            <w:tcW w:w="3083" w:type="dxa"/>
            <w:shd w:val="clear" w:color="auto" w:fill="auto"/>
          </w:tcPr>
          <w:p w14:paraId="565521A2" w14:textId="77777777" w:rsidR="00395B24" w:rsidRDefault="002C7385" w:rsidP="00663878">
            <w:pPr>
              <w:pStyle w:val="Normal1linespace"/>
              <w:widowControl w:val="0"/>
              <w:jc w:val="left"/>
            </w:pPr>
            <w:r>
              <w:t>Date of judgment:</w:t>
            </w:r>
          </w:p>
        </w:tc>
        <w:tc>
          <w:tcPr>
            <w:tcW w:w="5989" w:type="dxa"/>
            <w:shd w:val="clear" w:color="auto" w:fill="auto"/>
          </w:tcPr>
          <w:p w14:paraId="1AF82EED" w14:textId="5FE075C2" w:rsidR="00395B24" w:rsidRDefault="00282C78" w:rsidP="00663878">
            <w:pPr>
              <w:pStyle w:val="Normal1linespace"/>
              <w:widowControl w:val="0"/>
              <w:jc w:val="left"/>
            </w:pPr>
            <w:bookmarkStart w:id="1" w:name="JudgmentDate"/>
            <w:r>
              <w:t>2 February 2024</w:t>
            </w:r>
            <w:bookmarkEnd w:id="1"/>
          </w:p>
        </w:tc>
      </w:tr>
      <w:tr w:rsidR="00395B24" w14:paraId="13F84213" w14:textId="77777777" w:rsidTr="00B35061">
        <w:tc>
          <w:tcPr>
            <w:tcW w:w="3083" w:type="dxa"/>
            <w:shd w:val="clear" w:color="auto" w:fill="auto"/>
          </w:tcPr>
          <w:p w14:paraId="5FE1ACB3" w14:textId="77777777" w:rsidR="00395B24" w:rsidRDefault="00395B24" w:rsidP="00663878">
            <w:pPr>
              <w:pStyle w:val="Normal1linespace"/>
              <w:widowControl w:val="0"/>
              <w:jc w:val="left"/>
            </w:pPr>
          </w:p>
        </w:tc>
        <w:tc>
          <w:tcPr>
            <w:tcW w:w="5989" w:type="dxa"/>
            <w:shd w:val="clear" w:color="auto" w:fill="auto"/>
          </w:tcPr>
          <w:p w14:paraId="6FAB26B1" w14:textId="77777777" w:rsidR="00395B24" w:rsidRDefault="00395B24" w:rsidP="00663878">
            <w:pPr>
              <w:pStyle w:val="Normal1linespace"/>
              <w:widowControl w:val="0"/>
              <w:jc w:val="left"/>
            </w:pPr>
          </w:p>
        </w:tc>
      </w:tr>
      <w:tr w:rsidR="00395B24" w14:paraId="31500222" w14:textId="77777777" w:rsidTr="00B35061">
        <w:tc>
          <w:tcPr>
            <w:tcW w:w="3083" w:type="dxa"/>
            <w:shd w:val="clear" w:color="auto" w:fill="auto"/>
          </w:tcPr>
          <w:p w14:paraId="360B8A6D" w14:textId="77777777" w:rsidR="00395B24" w:rsidRDefault="002C7385" w:rsidP="00663878">
            <w:pPr>
              <w:pStyle w:val="Normal1linespace"/>
              <w:widowControl w:val="0"/>
              <w:jc w:val="left"/>
            </w:pPr>
            <w:r>
              <w:t>Catchwords:</w:t>
            </w:r>
          </w:p>
        </w:tc>
        <w:tc>
          <w:tcPr>
            <w:tcW w:w="5989" w:type="dxa"/>
            <w:shd w:val="clear" w:color="auto" w:fill="auto"/>
          </w:tcPr>
          <w:p w14:paraId="73CA41EC" w14:textId="7FA66D94" w:rsidR="00395B24" w:rsidRDefault="00190844" w:rsidP="00663878">
            <w:pPr>
              <w:pStyle w:val="Normal1linespace"/>
              <w:widowControl w:val="0"/>
              <w:jc w:val="left"/>
            </w:pPr>
            <w:bookmarkStart w:id="2" w:name="Catchwords"/>
            <w:r>
              <w:rPr>
                <w:b/>
                <w:bCs/>
              </w:rPr>
              <w:t xml:space="preserve">CORPORATIONS </w:t>
            </w:r>
            <w:r>
              <w:t>–</w:t>
            </w:r>
            <w:r w:rsidR="006E2B8F">
              <w:t xml:space="preserve"> </w:t>
            </w:r>
            <w:r w:rsidR="00EB45A8">
              <w:t xml:space="preserve">applications to </w:t>
            </w:r>
            <w:r w:rsidR="0085580B">
              <w:t>discharge</w:t>
            </w:r>
            <w:r w:rsidR="00EB45A8">
              <w:t xml:space="preserve"> or vary </w:t>
            </w:r>
            <w:r w:rsidR="00674D8F">
              <w:t>orders which reinstate</w:t>
            </w:r>
            <w:r w:rsidR="003F7218">
              <w:t xml:space="preserve">d the registration of </w:t>
            </w:r>
            <w:r w:rsidR="00674D8F">
              <w:t>deregistered companies</w:t>
            </w:r>
            <w:r w:rsidR="008C0D79">
              <w:t xml:space="preserve"> pursuant to s 601AH(2) of the </w:t>
            </w:r>
            <w:r w:rsidR="008C0D79" w:rsidRPr="008C0D79">
              <w:rPr>
                <w:b/>
                <w:bCs/>
                <w:i/>
                <w:iCs/>
              </w:rPr>
              <w:t>Corporations Act</w:t>
            </w:r>
            <w:r w:rsidR="008C0D79">
              <w:rPr>
                <w:i/>
                <w:iCs/>
              </w:rPr>
              <w:t xml:space="preserve"> 2001 </w:t>
            </w:r>
            <w:r w:rsidR="008C0D79">
              <w:t>(</w:t>
            </w:r>
            <w:proofErr w:type="spellStart"/>
            <w:r w:rsidR="008C0D79">
              <w:t>Cth</w:t>
            </w:r>
            <w:proofErr w:type="spellEnd"/>
            <w:r w:rsidR="008C0D79">
              <w:t>)</w:t>
            </w:r>
            <w:r w:rsidR="00674D8F">
              <w:t xml:space="preserve"> –</w:t>
            </w:r>
            <w:r w:rsidR="00F22DA4">
              <w:t xml:space="preserve"> </w:t>
            </w:r>
            <w:r w:rsidR="00BE4BBD">
              <w:t>where order</w:t>
            </w:r>
            <w:r w:rsidR="00C5681B">
              <w:t xml:space="preserve"> was </w:t>
            </w:r>
            <w:r w:rsidR="00BE4BBD">
              <w:t xml:space="preserve">made pursuant to s 601AH(3)(d) of the </w:t>
            </w:r>
            <w:r w:rsidR="009C614D">
              <w:t>Corporations Act to disregard the period between the date of the</w:t>
            </w:r>
            <w:r w:rsidR="008D2537">
              <w:t xml:space="preserve"> relevant companies’</w:t>
            </w:r>
            <w:r w:rsidR="009C614D">
              <w:t xml:space="preserve"> deregistration </w:t>
            </w:r>
            <w:r w:rsidR="008D2537">
              <w:t xml:space="preserve">and </w:t>
            </w:r>
            <w:r w:rsidR="00C5681B">
              <w:t xml:space="preserve">the date of the order for the purpose of calculating the period ending three years after the relation-back day </w:t>
            </w:r>
            <w:r w:rsidR="00536F13">
              <w:t>(</w:t>
            </w:r>
            <w:r w:rsidR="00536F13">
              <w:rPr>
                <w:b/>
                <w:bCs/>
              </w:rPr>
              <w:t>Order 3</w:t>
            </w:r>
            <w:r w:rsidR="00536F13">
              <w:t xml:space="preserve">) </w:t>
            </w:r>
            <w:r w:rsidR="00C5681B">
              <w:t xml:space="preserve">– where order was </w:t>
            </w:r>
            <w:r w:rsidR="00485FBA">
              <w:t xml:space="preserve">made </w:t>
            </w:r>
            <w:r w:rsidR="00536F13">
              <w:t xml:space="preserve">granting </w:t>
            </w:r>
            <w:r w:rsidR="00BA6D6B">
              <w:t xml:space="preserve">the companies </w:t>
            </w:r>
            <w:r w:rsidR="00536F13">
              <w:t xml:space="preserve">liberty to apply to vary or discharge Order 3 </w:t>
            </w:r>
            <w:r w:rsidR="006E2B8F">
              <w:t xml:space="preserve">– </w:t>
            </w:r>
            <w:r w:rsidR="003F7218">
              <w:t xml:space="preserve">where </w:t>
            </w:r>
            <w:r w:rsidR="00F36F97">
              <w:t>Order 3</w:t>
            </w:r>
            <w:r w:rsidR="003F7218">
              <w:t xml:space="preserve"> w</w:t>
            </w:r>
            <w:r w:rsidR="00F36F97">
              <w:t>as</w:t>
            </w:r>
            <w:r w:rsidR="003F7218">
              <w:t xml:space="preserve"> made by consent</w:t>
            </w:r>
            <w:r w:rsidR="005A234B">
              <w:t xml:space="preserve"> without notice –</w:t>
            </w:r>
            <w:r w:rsidR="003F7218">
              <w:t xml:space="preserve"> </w:t>
            </w:r>
            <w:r w:rsidR="00674D8F">
              <w:t xml:space="preserve">where the </w:t>
            </w:r>
            <w:r w:rsidR="00011153">
              <w:t xml:space="preserve">three </w:t>
            </w:r>
            <w:r w:rsidR="005B685A">
              <w:t>year limitation period under s 588FF</w:t>
            </w:r>
            <w:r w:rsidR="005A234B">
              <w:t>(3)</w:t>
            </w:r>
            <w:r w:rsidR="005B685A">
              <w:t xml:space="preserve"> </w:t>
            </w:r>
            <w:r w:rsidR="00BE176F">
              <w:t xml:space="preserve">of the Corporations Act had expired at the time Order 3 was made – whether the Court has power </w:t>
            </w:r>
            <w:r w:rsidR="00947838">
              <w:t>to make Order 3 other than by s 588FF</w:t>
            </w:r>
            <w:r w:rsidR="002E3F92">
              <w:t>(</w:t>
            </w:r>
            <w:r w:rsidR="0054106C">
              <w:t>3</w:t>
            </w:r>
            <w:r w:rsidR="002E3F92">
              <w:t>)</w:t>
            </w:r>
            <w:r w:rsidR="00947838">
              <w:t xml:space="preserve"> of the Corporations Act – whether </w:t>
            </w:r>
            <w:r w:rsidR="006F27B5">
              <w:t>Order</w:t>
            </w:r>
            <w:r w:rsidR="00213FD7">
              <w:t> </w:t>
            </w:r>
            <w:r w:rsidR="006F27B5">
              <w:t xml:space="preserve">3 should be set aside as of right – whether s 601AH(3)(d) of the Corporations Act may be used to augment the reckoning of time for limitation purposes – whether </w:t>
            </w:r>
            <w:r w:rsidR="00A4245A">
              <w:t xml:space="preserve">s 601AH(3)(d) or alternatively s 536 (now repealed) of the Corporations Act </w:t>
            </w:r>
            <w:r w:rsidR="00CC21F5">
              <w:t xml:space="preserve">empower the Court to make an order extending time (or suspending time) for the purposes of s 588FF(1) of the Corporations Act </w:t>
            </w:r>
            <w:r w:rsidR="00AC27A5">
              <w:t xml:space="preserve">– applications granted </w:t>
            </w:r>
            <w:r w:rsidR="00947838">
              <w:t xml:space="preserve"> </w:t>
            </w:r>
            <w:r w:rsidR="00BE176F">
              <w:t xml:space="preserve"> </w:t>
            </w:r>
            <w:bookmarkEnd w:id="2"/>
            <w:r w:rsidR="00BE176F">
              <w:t xml:space="preserve"> </w:t>
            </w:r>
          </w:p>
        </w:tc>
      </w:tr>
      <w:tr w:rsidR="00395B24" w14:paraId="077D1FA6" w14:textId="77777777" w:rsidTr="00B35061">
        <w:tc>
          <w:tcPr>
            <w:tcW w:w="3083" w:type="dxa"/>
            <w:shd w:val="clear" w:color="auto" w:fill="auto"/>
          </w:tcPr>
          <w:p w14:paraId="656E8E84" w14:textId="77777777" w:rsidR="00395B24" w:rsidRDefault="00395B24" w:rsidP="00663878">
            <w:pPr>
              <w:pStyle w:val="Normal1linespace"/>
              <w:widowControl w:val="0"/>
              <w:jc w:val="left"/>
            </w:pPr>
          </w:p>
        </w:tc>
        <w:tc>
          <w:tcPr>
            <w:tcW w:w="5989" w:type="dxa"/>
            <w:shd w:val="clear" w:color="auto" w:fill="auto"/>
          </w:tcPr>
          <w:p w14:paraId="5D5E58AF" w14:textId="77777777" w:rsidR="00395B24" w:rsidRDefault="00395B24" w:rsidP="00663878">
            <w:pPr>
              <w:pStyle w:val="Normal1linespace"/>
              <w:widowControl w:val="0"/>
              <w:jc w:val="left"/>
            </w:pPr>
          </w:p>
        </w:tc>
      </w:tr>
      <w:tr w:rsidR="00395B24" w14:paraId="0763DB6C" w14:textId="77777777" w:rsidTr="00B35061">
        <w:tc>
          <w:tcPr>
            <w:tcW w:w="3083" w:type="dxa"/>
            <w:shd w:val="clear" w:color="auto" w:fill="auto"/>
          </w:tcPr>
          <w:p w14:paraId="6633D042" w14:textId="77777777" w:rsidR="00395B24" w:rsidRDefault="002C7385" w:rsidP="00663878">
            <w:pPr>
              <w:pStyle w:val="Normal1linespace"/>
              <w:widowControl w:val="0"/>
              <w:jc w:val="left"/>
            </w:pPr>
            <w:r>
              <w:t>Legislation:</w:t>
            </w:r>
          </w:p>
        </w:tc>
        <w:tc>
          <w:tcPr>
            <w:tcW w:w="5989" w:type="dxa"/>
            <w:shd w:val="clear" w:color="auto" w:fill="auto"/>
          </w:tcPr>
          <w:p w14:paraId="6A7AA551" w14:textId="00C01961" w:rsidR="00F330F3" w:rsidRPr="00F330F3" w:rsidRDefault="007C143E" w:rsidP="007C143E">
            <w:pPr>
              <w:pStyle w:val="CasesLegislationAppealFrom"/>
              <w:spacing w:after="60"/>
            </w:pPr>
            <w:bookmarkStart w:id="3" w:name="Legislation"/>
            <w:r w:rsidRPr="007F5A75">
              <w:rPr>
                <w:bCs/>
                <w:i/>
              </w:rPr>
              <w:t>Corporations Act</w:t>
            </w:r>
            <w:r w:rsidRPr="007C143E">
              <w:rPr>
                <w:bCs/>
                <w:i/>
              </w:rPr>
              <w:t xml:space="preserve"> </w:t>
            </w:r>
            <w:r w:rsidRPr="00605BBE">
              <w:rPr>
                <w:i/>
              </w:rPr>
              <w:t>2001</w:t>
            </w:r>
            <w:r w:rsidRPr="00605BBE">
              <w:t xml:space="preserve"> (</w:t>
            </w:r>
            <w:proofErr w:type="spellStart"/>
            <w:r w:rsidRPr="00605BBE">
              <w:t>Cth</w:t>
            </w:r>
            <w:proofErr w:type="spellEnd"/>
            <w:r w:rsidRPr="00605BBE">
              <w:t>)</w:t>
            </w:r>
            <w:r w:rsidR="00A715D6">
              <w:t xml:space="preserve"> ss </w:t>
            </w:r>
            <w:r w:rsidR="008E055B">
              <w:t xml:space="preserve">494, </w:t>
            </w:r>
            <w:r w:rsidR="00D51E12">
              <w:t xml:space="preserve">536 (now repealed), </w:t>
            </w:r>
            <w:r w:rsidR="003F1FB9">
              <w:t xml:space="preserve">588FC, 588FDA, </w:t>
            </w:r>
            <w:r w:rsidR="00D51E12">
              <w:t>588FF</w:t>
            </w:r>
            <w:r w:rsidR="008660AA">
              <w:t xml:space="preserve"> subs (1) and subs (3)</w:t>
            </w:r>
            <w:r w:rsidR="00D51E12">
              <w:t xml:space="preserve">, </w:t>
            </w:r>
            <w:r w:rsidR="00877215">
              <w:t>601AH</w:t>
            </w:r>
            <w:r w:rsidR="003F7F57">
              <w:t xml:space="preserve"> </w:t>
            </w:r>
            <w:proofErr w:type="spellStart"/>
            <w:r w:rsidR="003F7F57">
              <w:t>subss</w:t>
            </w:r>
            <w:proofErr w:type="spellEnd"/>
            <w:r w:rsidR="003F7F57">
              <w:t xml:space="preserve"> (2), (3) and (5)</w:t>
            </w:r>
            <w:r w:rsidR="00877215">
              <w:t xml:space="preserve">, 601AG, 1322, </w:t>
            </w:r>
            <w:r w:rsidR="004E162B">
              <w:t xml:space="preserve">1551, </w:t>
            </w:r>
            <w:r w:rsidR="00D53A68">
              <w:t>1615</w:t>
            </w:r>
            <w:r w:rsidR="004F53F4">
              <w:t xml:space="preserve"> and</w:t>
            </w:r>
            <w:r w:rsidR="00D53A68">
              <w:t xml:space="preserve"> </w:t>
            </w:r>
            <w:r w:rsidR="00A715D6">
              <w:t>1617</w:t>
            </w:r>
          </w:p>
          <w:p w14:paraId="61FBA1FA" w14:textId="6EAD6472" w:rsidR="00926B7C" w:rsidRPr="00926B7C" w:rsidRDefault="00926B7C" w:rsidP="007C143E">
            <w:pPr>
              <w:pStyle w:val="CasesLegislationAppealFrom"/>
              <w:spacing w:after="60"/>
            </w:pPr>
            <w:r>
              <w:rPr>
                <w:i/>
                <w:iCs/>
              </w:rPr>
              <w:t xml:space="preserve">Corporations Law </w:t>
            </w:r>
            <w:r>
              <w:t>(now repealed) s 459G and s 1322</w:t>
            </w:r>
          </w:p>
          <w:p w14:paraId="63633D15" w14:textId="1921C6F5" w:rsidR="003E1476" w:rsidRDefault="003E1476" w:rsidP="003E1476">
            <w:pPr>
              <w:pStyle w:val="CasesLegislationAppealFrom"/>
              <w:spacing w:after="60"/>
            </w:pPr>
            <w:r w:rsidRPr="00605BBE">
              <w:rPr>
                <w:i/>
              </w:rPr>
              <w:t>Insolvency Practice Schedule (Corporations)</w:t>
            </w:r>
            <w:r>
              <w:rPr>
                <w:iCs/>
              </w:rPr>
              <w:t xml:space="preserve">, being Sch 2 to the </w:t>
            </w:r>
            <w:r w:rsidRPr="007F5A75">
              <w:rPr>
                <w:i/>
              </w:rPr>
              <w:t>Corporations Act 2001</w:t>
            </w:r>
            <w:r>
              <w:rPr>
                <w:iCs/>
              </w:rPr>
              <w:t xml:space="preserve"> (</w:t>
            </w:r>
            <w:proofErr w:type="spellStart"/>
            <w:r>
              <w:rPr>
                <w:iCs/>
              </w:rPr>
              <w:t>Cth</w:t>
            </w:r>
            <w:proofErr w:type="spellEnd"/>
            <w:r>
              <w:rPr>
                <w:iCs/>
              </w:rPr>
              <w:t xml:space="preserve">), s 90-10 and </w:t>
            </w:r>
            <w:r w:rsidR="000470D7">
              <w:rPr>
                <w:iCs/>
              </w:rPr>
              <w:t>s </w:t>
            </w:r>
            <w:r>
              <w:rPr>
                <w:iCs/>
              </w:rPr>
              <w:t>90-15</w:t>
            </w:r>
            <w:r>
              <w:t xml:space="preserve"> </w:t>
            </w:r>
          </w:p>
          <w:p w14:paraId="5F7FC709" w14:textId="440384B4" w:rsidR="00AC3E74" w:rsidRDefault="00AC3E74" w:rsidP="003E1476">
            <w:pPr>
              <w:pStyle w:val="CasesLegislationAppealFrom"/>
              <w:spacing w:after="60"/>
            </w:pPr>
            <w:r>
              <w:rPr>
                <w:i/>
                <w:iCs/>
              </w:rPr>
              <w:t xml:space="preserve">Corporations Regulations 2001 </w:t>
            </w:r>
            <w:r>
              <w:t>(</w:t>
            </w:r>
            <w:proofErr w:type="spellStart"/>
            <w:r>
              <w:t>Cth</w:t>
            </w:r>
            <w:proofErr w:type="spellEnd"/>
            <w:r>
              <w:t>) r 10.25.01(1) and (2)</w:t>
            </w:r>
          </w:p>
          <w:p w14:paraId="6ADAB817" w14:textId="6CC654F2" w:rsidR="00626551" w:rsidRDefault="00626551" w:rsidP="007C143E">
            <w:pPr>
              <w:pStyle w:val="CasesLegislationAppealFrom"/>
              <w:spacing w:after="60"/>
            </w:pPr>
            <w:r>
              <w:rPr>
                <w:i/>
                <w:iCs/>
              </w:rPr>
              <w:t xml:space="preserve">Limitation Act 1963 </w:t>
            </w:r>
            <w:r>
              <w:t>(NSW) s 63</w:t>
            </w:r>
          </w:p>
          <w:p w14:paraId="6B9FD3DD" w14:textId="7807A345" w:rsidR="00626551" w:rsidRPr="00626551" w:rsidRDefault="00626551" w:rsidP="007C143E">
            <w:pPr>
              <w:pStyle w:val="CasesLegislationAppealFrom"/>
              <w:spacing w:after="60"/>
            </w:pPr>
            <w:r>
              <w:rPr>
                <w:i/>
                <w:iCs/>
              </w:rPr>
              <w:t xml:space="preserve">Limitation of Actions Act 1974 </w:t>
            </w:r>
            <w:r>
              <w:t xml:space="preserve">(Qld) s 11 </w:t>
            </w:r>
          </w:p>
          <w:p w14:paraId="641038AB" w14:textId="4D0F2FDD" w:rsidR="009B2A26" w:rsidRDefault="003F1FB9" w:rsidP="007C143E">
            <w:pPr>
              <w:pStyle w:val="CasesLegislationAppealFrom"/>
              <w:spacing w:after="60"/>
            </w:pPr>
            <w:r w:rsidRPr="003F1FB9">
              <w:rPr>
                <w:i/>
                <w:iCs/>
              </w:rPr>
              <w:t xml:space="preserve">Workers’ Compensation Act 1990 </w:t>
            </w:r>
            <w:r w:rsidRPr="003F1FB9">
              <w:t>(Qld) (now repealed</w:t>
            </w:r>
            <w:r w:rsidR="00C36F26">
              <w:t>)</w:t>
            </w:r>
            <w:r>
              <w:t xml:space="preserve"> s</w:t>
            </w:r>
            <w:r w:rsidR="00626551">
              <w:t> </w:t>
            </w:r>
            <w:r>
              <w:t xml:space="preserve">186 </w:t>
            </w:r>
          </w:p>
          <w:p w14:paraId="6CC97394" w14:textId="4AFEB8CC" w:rsidR="00395B24" w:rsidRPr="00626551" w:rsidRDefault="00626551" w:rsidP="007C143E">
            <w:pPr>
              <w:pStyle w:val="CasesLegislationAppealFrom"/>
              <w:spacing w:after="60"/>
            </w:pPr>
            <w:r w:rsidRPr="00605BBE">
              <w:rPr>
                <w:i/>
                <w:iCs/>
              </w:rPr>
              <w:t>Uniform Civil Procedure Rules 2005</w:t>
            </w:r>
            <w:r w:rsidRPr="00605BBE">
              <w:t xml:space="preserve"> (NSW)</w:t>
            </w:r>
            <w:r>
              <w:t xml:space="preserve"> r 36.16</w:t>
            </w:r>
            <w:r w:rsidR="002C7385">
              <w:t xml:space="preserve"> </w:t>
            </w:r>
            <w:bookmarkEnd w:id="3"/>
          </w:p>
        </w:tc>
      </w:tr>
      <w:tr w:rsidR="00395B24" w14:paraId="12D0C316" w14:textId="77777777" w:rsidTr="00B35061">
        <w:tc>
          <w:tcPr>
            <w:tcW w:w="3083" w:type="dxa"/>
            <w:shd w:val="clear" w:color="auto" w:fill="auto"/>
          </w:tcPr>
          <w:p w14:paraId="1CE56C05" w14:textId="77777777" w:rsidR="00395B24" w:rsidRDefault="00395B24" w:rsidP="00663878">
            <w:pPr>
              <w:pStyle w:val="Normal1linespace"/>
              <w:widowControl w:val="0"/>
              <w:jc w:val="left"/>
            </w:pPr>
          </w:p>
        </w:tc>
        <w:tc>
          <w:tcPr>
            <w:tcW w:w="5989" w:type="dxa"/>
            <w:shd w:val="clear" w:color="auto" w:fill="auto"/>
          </w:tcPr>
          <w:p w14:paraId="286DAE9F" w14:textId="77777777" w:rsidR="00395B24" w:rsidRDefault="00395B24" w:rsidP="00663878">
            <w:pPr>
              <w:pStyle w:val="Normal1linespace"/>
              <w:widowControl w:val="0"/>
              <w:jc w:val="left"/>
            </w:pPr>
          </w:p>
        </w:tc>
      </w:tr>
      <w:tr w:rsidR="004B1BCC" w14:paraId="1EA005AF" w14:textId="77777777" w:rsidTr="00B35061">
        <w:tc>
          <w:tcPr>
            <w:tcW w:w="3083" w:type="dxa"/>
            <w:shd w:val="clear" w:color="auto" w:fill="auto"/>
          </w:tcPr>
          <w:p w14:paraId="6DD8D4BE" w14:textId="77777777" w:rsidR="004B1BCC" w:rsidRDefault="004B1BCC" w:rsidP="004B1BCC">
            <w:pPr>
              <w:pStyle w:val="Normal1linespace"/>
              <w:widowControl w:val="0"/>
              <w:jc w:val="left"/>
            </w:pPr>
            <w:r>
              <w:t>Cases cited:</w:t>
            </w:r>
          </w:p>
        </w:tc>
        <w:tc>
          <w:tcPr>
            <w:tcW w:w="5989" w:type="dxa"/>
            <w:shd w:val="clear" w:color="auto" w:fill="auto"/>
          </w:tcPr>
          <w:p w14:paraId="4C424343" w14:textId="77777777" w:rsidR="0050072A" w:rsidRPr="00E32EAC" w:rsidRDefault="0050072A" w:rsidP="004B1BCC">
            <w:pPr>
              <w:pStyle w:val="CasesLegislationAppealFrom"/>
              <w:spacing w:after="60"/>
            </w:pPr>
            <w:bookmarkStart w:id="4" w:name="Cases_Cited"/>
            <w:r w:rsidRPr="00E32EAC">
              <w:rPr>
                <w:i/>
                <w:iCs/>
              </w:rPr>
              <w:t xml:space="preserve">Allianz Australia Insurance Ltd v </w:t>
            </w:r>
            <w:proofErr w:type="spellStart"/>
            <w:r w:rsidRPr="00E32EAC">
              <w:rPr>
                <w:i/>
                <w:iCs/>
              </w:rPr>
              <w:t>Viksne</w:t>
            </w:r>
            <w:proofErr w:type="spellEnd"/>
            <w:r w:rsidRPr="00E32EAC">
              <w:rPr>
                <w:i/>
                <w:iCs/>
              </w:rPr>
              <w:t xml:space="preserve"> </w:t>
            </w:r>
            <w:r w:rsidRPr="00E32EAC">
              <w:t xml:space="preserve">(2021) 106 </w:t>
            </w:r>
            <w:r w:rsidRPr="00E32EAC">
              <w:lastRenderedPageBreak/>
              <w:t xml:space="preserve">NSWLR 306 </w:t>
            </w:r>
          </w:p>
          <w:p w14:paraId="251B454C" w14:textId="77777777" w:rsidR="0050072A" w:rsidRPr="00E32EAC" w:rsidRDefault="0050072A" w:rsidP="004B1BCC">
            <w:pPr>
              <w:pStyle w:val="CasesLegislationAppealFrom"/>
              <w:spacing w:after="60"/>
            </w:pPr>
            <w:r w:rsidRPr="00E32EAC">
              <w:rPr>
                <w:i/>
                <w:iCs/>
              </w:rPr>
              <w:t xml:space="preserve">Anthony Hordern &amp; Sons Ltd v Amalgamated Clothing and Allied Trades Union of Australia </w:t>
            </w:r>
            <w:r w:rsidRPr="00E32EAC">
              <w:t xml:space="preserve">(1932) 47 CLR 1 </w:t>
            </w:r>
          </w:p>
          <w:p w14:paraId="223E33ED" w14:textId="77777777" w:rsidR="0050072A" w:rsidRPr="00E32EAC" w:rsidRDefault="0050072A" w:rsidP="004B1BCC">
            <w:pPr>
              <w:pStyle w:val="CasesLegislationAppealFrom"/>
              <w:spacing w:after="60"/>
            </w:pPr>
            <w:r w:rsidRPr="00E32EAC">
              <w:rPr>
                <w:i/>
                <w:iCs/>
              </w:rPr>
              <w:t xml:space="preserve">Bell Group Ltd (in </w:t>
            </w:r>
            <w:proofErr w:type="spellStart"/>
            <w:r w:rsidRPr="00E32EAC">
              <w:rPr>
                <w:i/>
                <w:iCs/>
              </w:rPr>
              <w:t>liq</w:t>
            </w:r>
            <w:proofErr w:type="spellEnd"/>
            <w:r w:rsidRPr="00E32EAC">
              <w:rPr>
                <w:i/>
                <w:iCs/>
              </w:rPr>
              <w:t xml:space="preserve">) v Australian Securities and Investments Commission </w:t>
            </w:r>
            <w:r w:rsidRPr="00E32EAC">
              <w:t>(2018) 358 ALR 624; [2018] FCA 884</w:t>
            </w:r>
          </w:p>
          <w:p w14:paraId="2BC3EAF1" w14:textId="7A7C2987" w:rsidR="00300684" w:rsidRPr="00E32EAC" w:rsidRDefault="00300684" w:rsidP="004B1BCC">
            <w:pPr>
              <w:pStyle w:val="CasesLegislationAppealFrom"/>
              <w:spacing w:after="60"/>
            </w:pPr>
            <w:r w:rsidRPr="00E32EAC">
              <w:rPr>
                <w:i/>
                <w:iCs/>
              </w:rPr>
              <w:t xml:space="preserve">BL &amp; GY International Co Ltd v </w:t>
            </w:r>
            <w:proofErr w:type="spellStart"/>
            <w:r w:rsidRPr="00E32EAC">
              <w:rPr>
                <w:i/>
                <w:iCs/>
              </w:rPr>
              <w:t>Hypec</w:t>
            </w:r>
            <w:proofErr w:type="spellEnd"/>
            <w:r w:rsidRPr="00E32EAC">
              <w:rPr>
                <w:i/>
                <w:iCs/>
              </w:rPr>
              <w:t xml:space="preserve"> Electronics Pty Ltd </w:t>
            </w:r>
            <w:r w:rsidRPr="00E32EAC">
              <w:t>(2010) 79 ACSR 558; [2010] NSWSC 959</w:t>
            </w:r>
          </w:p>
          <w:p w14:paraId="475AD13B" w14:textId="77777777" w:rsidR="0050072A" w:rsidRPr="00E32EAC" w:rsidRDefault="0050072A" w:rsidP="004B1BCC">
            <w:pPr>
              <w:pStyle w:val="CasesLegislationAppealFrom"/>
              <w:spacing w:after="60"/>
            </w:pPr>
            <w:r w:rsidRPr="00E32EAC">
              <w:rPr>
                <w:i/>
                <w:iCs/>
              </w:rPr>
              <w:t xml:space="preserve">BP Australia Ltd v Brown </w:t>
            </w:r>
            <w:r w:rsidRPr="00E32EAC">
              <w:t>(2003) 58 NSWLR 322</w:t>
            </w:r>
          </w:p>
          <w:p w14:paraId="02199EE0" w14:textId="77777777" w:rsidR="0050072A" w:rsidRPr="00E32EAC" w:rsidRDefault="0050072A" w:rsidP="004B1BCC">
            <w:pPr>
              <w:pStyle w:val="CasesLegislationAppealFrom"/>
              <w:spacing w:after="60"/>
            </w:pPr>
            <w:proofErr w:type="spellStart"/>
            <w:r w:rsidRPr="00E32EAC">
              <w:rPr>
                <w:i/>
                <w:iCs/>
              </w:rPr>
              <w:t>Brimaud</w:t>
            </w:r>
            <w:proofErr w:type="spellEnd"/>
            <w:r w:rsidRPr="00E32EAC">
              <w:rPr>
                <w:i/>
                <w:iCs/>
              </w:rPr>
              <w:t xml:space="preserve"> v Honeysett Instant Print Pty Ltd </w:t>
            </w:r>
            <w:r w:rsidRPr="00E32EAC">
              <w:t xml:space="preserve">(1988) 217 ALR 44 </w:t>
            </w:r>
          </w:p>
          <w:p w14:paraId="6531A8C4" w14:textId="346B000A" w:rsidR="00461B82" w:rsidRPr="00E32EAC" w:rsidRDefault="00461B82" w:rsidP="004B1BCC">
            <w:pPr>
              <w:pStyle w:val="CasesLegislationAppealFrom"/>
              <w:spacing w:after="60"/>
            </w:pPr>
            <w:r w:rsidRPr="00E32EAC">
              <w:rPr>
                <w:i/>
                <w:iCs/>
              </w:rPr>
              <w:t xml:space="preserve">Chalker v Clark </w:t>
            </w:r>
            <w:r w:rsidRPr="00E32EAC">
              <w:t>[2008]</w:t>
            </w:r>
            <w:r w:rsidRPr="00E32EAC">
              <w:rPr>
                <w:i/>
                <w:iCs/>
              </w:rPr>
              <w:t xml:space="preserve"> </w:t>
            </w:r>
            <w:r w:rsidRPr="00E32EAC">
              <w:t>VSCA 92</w:t>
            </w:r>
          </w:p>
          <w:p w14:paraId="2BF0B412" w14:textId="77777777" w:rsidR="0050072A" w:rsidRPr="00E32EAC" w:rsidRDefault="0050072A" w:rsidP="004B1BCC">
            <w:pPr>
              <w:pStyle w:val="CasesLegislationAppealFrom"/>
              <w:spacing w:after="60"/>
            </w:pPr>
            <w:r w:rsidRPr="00E32EAC">
              <w:rPr>
                <w:i/>
                <w:iCs/>
              </w:rPr>
              <w:t xml:space="preserve">CGU Workers Compensation (NSW) Ltd v Rockwall Interiors Pty Ltd </w:t>
            </w:r>
            <w:r w:rsidRPr="00E32EAC">
              <w:t xml:space="preserve">(2006) 201 FLR 296; [2006] NSWSC 690 </w:t>
            </w:r>
          </w:p>
          <w:p w14:paraId="4C38CEF6" w14:textId="77777777" w:rsidR="0050072A" w:rsidRPr="00E32EAC" w:rsidRDefault="0050072A" w:rsidP="004B1BCC">
            <w:pPr>
              <w:pStyle w:val="CasesLegislationAppealFrom"/>
              <w:spacing w:after="60"/>
            </w:pPr>
            <w:r w:rsidRPr="00E32EAC">
              <w:rPr>
                <w:i/>
                <w:iCs/>
              </w:rPr>
              <w:t>Commissioner of Taxation v Iannuzzi (No 2)</w:t>
            </w:r>
            <w:r w:rsidRPr="00E32EAC">
              <w:t xml:space="preserve"> [2019] FCA 1818</w:t>
            </w:r>
          </w:p>
          <w:p w14:paraId="3A689B98" w14:textId="77777777" w:rsidR="0050072A" w:rsidRPr="00E32EAC" w:rsidRDefault="0050072A" w:rsidP="004B1BCC">
            <w:pPr>
              <w:pStyle w:val="CasesLegislationAppealFrom"/>
              <w:spacing w:after="60"/>
            </w:pPr>
            <w:r w:rsidRPr="00E32EAC">
              <w:rPr>
                <w:i/>
              </w:rPr>
              <w:t xml:space="preserve">Commissioner of Taxation v Iannuzzi </w:t>
            </w:r>
            <w:r w:rsidRPr="00E32EAC">
              <w:t>[2018] FCA 1053</w:t>
            </w:r>
          </w:p>
          <w:p w14:paraId="5A25E318" w14:textId="77777777" w:rsidR="0050072A" w:rsidRPr="00E32EAC" w:rsidRDefault="0050072A" w:rsidP="004B1BCC">
            <w:pPr>
              <w:pStyle w:val="CasesLegislationAppealFrom"/>
              <w:spacing w:after="60"/>
            </w:pPr>
            <w:r w:rsidRPr="00E32EAC">
              <w:rPr>
                <w:i/>
                <w:iCs/>
              </w:rPr>
              <w:t xml:space="preserve">David Grant &amp; Co Pty Ltd v Westpac Banking Corporation </w:t>
            </w:r>
            <w:r w:rsidRPr="00E32EAC">
              <w:t xml:space="preserve">(1995) 184 CLR 265 </w:t>
            </w:r>
          </w:p>
          <w:p w14:paraId="750A7ED0" w14:textId="742E31CB" w:rsidR="008C04F7" w:rsidRPr="00E32EAC" w:rsidRDefault="008C04F7" w:rsidP="004B1BCC">
            <w:pPr>
              <w:pStyle w:val="CasesLegislationAppealFrom"/>
              <w:spacing w:after="60"/>
            </w:pPr>
            <w:r w:rsidRPr="00E32EAC">
              <w:rPr>
                <w:i/>
                <w:iCs/>
              </w:rPr>
              <w:t>Del Borrello v Australian Securities and Investments Commission</w:t>
            </w:r>
            <w:r w:rsidRPr="00E32EAC">
              <w:t xml:space="preserve"> [2008] WASC 48</w:t>
            </w:r>
          </w:p>
          <w:p w14:paraId="12A017D7" w14:textId="67786CD5" w:rsidR="008C04F7" w:rsidRPr="00E32EAC" w:rsidRDefault="008C04F7" w:rsidP="004B1BCC">
            <w:pPr>
              <w:pStyle w:val="CasesLegislationAppealFrom"/>
              <w:spacing w:after="60"/>
            </w:pPr>
            <w:r w:rsidRPr="00E32EAC">
              <w:rPr>
                <w:i/>
                <w:iCs/>
              </w:rPr>
              <w:t>Farah Constructions Pty Ltd v Say-Dee Pty Ltd</w:t>
            </w:r>
            <w:r w:rsidRPr="00E32EAC">
              <w:t xml:space="preserve"> (2007) 230 CLR 89</w:t>
            </w:r>
          </w:p>
          <w:p w14:paraId="7A85F77E" w14:textId="77777777" w:rsidR="0050072A" w:rsidRPr="00E32EAC" w:rsidRDefault="0050072A" w:rsidP="004B1BCC">
            <w:pPr>
              <w:pStyle w:val="CasesLegislationAppealFrom"/>
              <w:spacing w:after="60"/>
            </w:pPr>
            <w:r w:rsidRPr="00E32EAC">
              <w:rPr>
                <w:i/>
                <w:iCs/>
              </w:rPr>
              <w:t xml:space="preserve">Gordon v </w:t>
            </w:r>
            <w:proofErr w:type="spellStart"/>
            <w:r w:rsidRPr="00E32EAC">
              <w:rPr>
                <w:i/>
                <w:iCs/>
              </w:rPr>
              <w:t>Tolcher</w:t>
            </w:r>
            <w:proofErr w:type="spellEnd"/>
            <w:r w:rsidRPr="00E32EAC">
              <w:t xml:space="preserve"> (2006) 231 CLR 334</w:t>
            </w:r>
          </w:p>
          <w:p w14:paraId="00748C92" w14:textId="77777777" w:rsidR="0050072A" w:rsidRPr="00E32EAC" w:rsidRDefault="0050072A" w:rsidP="004B1BCC">
            <w:pPr>
              <w:pStyle w:val="CasesLegislationAppealFrom"/>
              <w:spacing w:after="60"/>
            </w:pPr>
            <w:r w:rsidRPr="00E32EAC">
              <w:rPr>
                <w:i/>
                <w:iCs/>
              </w:rPr>
              <w:t xml:space="preserve">Grant Samuel Corporate Finance Pty Ltd v Fletcher </w:t>
            </w:r>
            <w:r w:rsidRPr="00E32EAC">
              <w:t>(2015) 254 CLR 477</w:t>
            </w:r>
            <w:r w:rsidRPr="00E32EAC">
              <w:rPr>
                <w:i/>
                <w:iCs/>
              </w:rPr>
              <w:t xml:space="preserve"> </w:t>
            </w:r>
          </w:p>
          <w:p w14:paraId="124170D1" w14:textId="77777777" w:rsidR="0050072A" w:rsidRPr="00E32EAC" w:rsidRDefault="0050072A" w:rsidP="004B1BCC">
            <w:pPr>
              <w:pStyle w:val="CasesLegislationAppealFrom"/>
              <w:spacing w:after="60"/>
              <w:rPr>
                <w:i/>
                <w:iCs/>
              </w:rPr>
            </w:pPr>
            <w:r w:rsidRPr="00E32EAC">
              <w:rPr>
                <w:i/>
                <w:iCs/>
              </w:rPr>
              <w:t xml:space="preserve">Hall v Poolman </w:t>
            </w:r>
            <w:r w:rsidRPr="00E32EAC">
              <w:t>(2009) 75 NSWLR 99</w:t>
            </w:r>
          </w:p>
          <w:p w14:paraId="7391C91B" w14:textId="77777777" w:rsidR="0050072A" w:rsidRPr="00E32EAC" w:rsidRDefault="0050072A" w:rsidP="004B1BCC">
            <w:pPr>
              <w:pStyle w:val="CasesLegislationAppealFrom"/>
              <w:spacing w:after="60"/>
            </w:pPr>
            <w:r w:rsidRPr="00E32EAC">
              <w:rPr>
                <w:i/>
                <w:iCs/>
              </w:rPr>
              <w:t>JPMorgan Chase Bank, National Association v Fletcher</w:t>
            </w:r>
            <w:r w:rsidRPr="00E32EAC">
              <w:t xml:space="preserve"> (2014) 85 NSWLR 644</w:t>
            </w:r>
          </w:p>
          <w:p w14:paraId="3ADD0B94" w14:textId="77777777" w:rsidR="0050072A" w:rsidRPr="00E32EAC" w:rsidRDefault="0050072A" w:rsidP="004B1BCC">
            <w:pPr>
              <w:pStyle w:val="CasesLegislationAppealFrom"/>
              <w:spacing w:after="60"/>
              <w:rPr>
                <w:i/>
                <w:iCs/>
              </w:rPr>
            </w:pPr>
            <w:r w:rsidRPr="00E32EAC">
              <w:rPr>
                <w:i/>
                <w:iCs/>
              </w:rPr>
              <w:t>McMillan Investment Holdings Pty Ltd v Morgan</w:t>
            </w:r>
            <w:r w:rsidRPr="00E32EAC">
              <w:t xml:space="preserve"> (2023) 295 FCR 543</w:t>
            </w:r>
          </w:p>
          <w:p w14:paraId="4D120B40" w14:textId="2B8E340A" w:rsidR="0050072A" w:rsidRPr="00E32EAC" w:rsidRDefault="0050072A" w:rsidP="004B1BCC">
            <w:pPr>
              <w:pStyle w:val="CasesLegislationAppealFrom"/>
              <w:spacing w:after="60"/>
            </w:pPr>
            <w:proofErr w:type="spellStart"/>
            <w:r w:rsidRPr="00E32EAC">
              <w:rPr>
                <w:i/>
                <w:iCs/>
              </w:rPr>
              <w:t>Miltonbrook</w:t>
            </w:r>
            <w:proofErr w:type="spellEnd"/>
            <w:r w:rsidRPr="00E32EAC">
              <w:rPr>
                <w:i/>
                <w:iCs/>
              </w:rPr>
              <w:t xml:space="preserve"> Pty Ltd v Westbury Holdings Kiama Pty Ltd </w:t>
            </w:r>
            <w:r w:rsidRPr="00E32EAC">
              <w:t xml:space="preserve">(2008) 71 NSWLR 262 </w:t>
            </w:r>
          </w:p>
          <w:p w14:paraId="291581E7" w14:textId="77777777" w:rsidR="0050072A" w:rsidRPr="00E32EAC" w:rsidRDefault="0050072A" w:rsidP="004B1BCC">
            <w:pPr>
              <w:pStyle w:val="CasesLegislationAppealFrom"/>
              <w:spacing w:after="60"/>
            </w:pPr>
            <w:r w:rsidRPr="00E32EAC">
              <w:rPr>
                <w:i/>
                <w:iCs/>
              </w:rPr>
              <w:t>Minister for Immigration and Multicultural and Indigenous Affairs v Nystrom</w:t>
            </w:r>
            <w:r w:rsidRPr="00E32EAC">
              <w:t xml:space="preserve"> (2006) 228 CLR 566</w:t>
            </w:r>
          </w:p>
          <w:p w14:paraId="518ED0CB" w14:textId="36EC7A1D" w:rsidR="0050072A" w:rsidRPr="00E32EAC" w:rsidRDefault="0050072A" w:rsidP="004B1BCC">
            <w:pPr>
              <w:pStyle w:val="CasesLegislationAppealFrom"/>
              <w:spacing w:after="60"/>
            </w:pPr>
            <w:r w:rsidRPr="00E32EAC">
              <w:rPr>
                <w:i/>
                <w:iCs/>
              </w:rPr>
              <w:t xml:space="preserve">Morgan v Sydney Allen Manufacturing Pty Limited (in Liquidation) </w:t>
            </w:r>
            <w:r w:rsidRPr="00E32EAC">
              <w:t>[2021] FCA 169</w:t>
            </w:r>
          </w:p>
          <w:p w14:paraId="6EECE132" w14:textId="77777777" w:rsidR="0050072A" w:rsidRPr="00E32EAC" w:rsidRDefault="0050072A" w:rsidP="004B1BCC">
            <w:pPr>
              <w:pStyle w:val="CasesLegislationAppealFrom"/>
              <w:spacing w:after="60"/>
            </w:pPr>
            <w:proofErr w:type="spellStart"/>
            <w:r w:rsidRPr="00E32EAC">
              <w:rPr>
                <w:i/>
                <w:iCs/>
              </w:rPr>
              <w:t>Pagnon</w:t>
            </w:r>
            <w:proofErr w:type="spellEnd"/>
            <w:r w:rsidRPr="00E32EAC">
              <w:rPr>
                <w:i/>
                <w:iCs/>
              </w:rPr>
              <w:t xml:space="preserve"> v Workcover Queensland </w:t>
            </w:r>
            <w:r w:rsidRPr="00E32EAC">
              <w:t xml:space="preserve">[2001] 2 </w:t>
            </w:r>
            <w:proofErr w:type="spellStart"/>
            <w:r w:rsidRPr="00E32EAC">
              <w:t>Qd</w:t>
            </w:r>
            <w:proofErr w:type="spellEnd"/>
            <w:r w:rsidRPr="00E32EAC">
              <w:t xml:space="preserve"> R 492</w:t>
            </w:r>
          </w:p>
          <w:p w14:paraId="1088391F" w14:textId="77777777" w:rsidR="0050072A" w:rsidRPr="00E32EAC" w:rsidRDefault="0050072A" w:rsidP="004B1BCC">
            <w:pPr>
              <w:pStyle w:val="CasesLegislationAppealFrom"/>
              <w:spacing w:after="60"/>
            </w:pPr>
            <w:r w:rsidRPr="00E32EAC">
              <w:rPr>
                <w:i/>
                <w:iCs/>
              </w:rPr>
              <w:t xml:space="preserve">Plaintiff M70/2011 v Minister for Immigration and Citizenship </w:t>
            </w:r>
            <w:r w:rsidRPr="00E32EAC">
              <w:t>(2011)</w:t>
            </w:r>
            <w:r w:rsidRPr="00E32EAC">
              <w:rPr>
                <w:i/>
                <w:iCs/>
              </w:rPr>
              <w:t xml:space="preserve"> </w:t>
            </w:r>
            <w:r w:rsidRPr="00E32EAC">
              <w:t>244 CLR 144</w:t>
            </w:r>
          </w:p>
          <w:p w14:paraId="55041AC6" w14:textId="77777777" w:rsidR="0050072A" w:rsidRPr="00E32EAC" w:rsidRDefault="0050072A" w:rsidP="004B1BCC">
            <w:pPr>
              <w:pStyle w:val="CasesLegislationAppealFrom"/>
              <w:spacing w:after="60"/>
            </w:pPr>
            <w:r w:rsidRPr="00E32EAC">
              <w:rPr>
                <w:i/>
                <w:iCs/>
              </w:rPr>
              <w:t xml:space="preserve">Project Blue Sky Inc and Australian Broadcasting Authority </w:t>
            </w:r>
            <w:r w:rsidRPr="00E32EAC">
              <w:t>(1998) 194 CLR 355</w:t>
            </w:r>
          </w:p>
          <w:p w14:paraId="50FF7384" w14:textId="77777777" w:rsidR="0050072A" w:rsidRPr="00E32EAC" w:rsidRDefault="0050072A" w:rsidP="004B1BCC">
            <w:pPr>
              <w:pStyle w:val="CasesLegislationAppealFrom"/>
              <w:spacing w:after="60"/>
            </w:pPr>
            <w:r w:rsidRPr="00E32EAC">
              <w:rPr>
                <w:i/>
                <w:iCs/>
              </w:rPr>
              <w:t xml:space="preserve">Re Austral Bronze Co Pty Ltd (No 2) </w:t>
            </w:r>
            <w:r w:rsidRPr="00E32EAC">
              <w:t xml:space="preserve">(2020) 149 ACSR 221; [2020] NSWSC 1633 </w:t>
            </w:r>
          </w:p>
          <w:p w14:paraId="3AC9AE78" w14:textId="48E09AFA" w:rsidR="00461B82" w:rsidRPr="00E32EAC" w:rsidRDefault="00461B82" w:rsidP="004B1BCC">
            <w:pPr>
              <w:pStyle w:val="CasesLegislationAppealFrom"/>
              <w:spacing w:after="60"/>
            </w:pPr>
            <w:r w:rsidRPr="00E32EAC">
              <w:rPr>
                <w:i/>
                <w:iCs/>
              </w:rPr>
              <w:t xml:space="preserve">Re </w:t>
            </w:r>
            <w:proofErr w:type="spellStart"/>
            <w:r w:rsidRPr="00E32EAC">
              <w:rPr>
                <w:i/>
                <w:iCs/>
              </w:rPr>
              <w:t>Auzhair</w:t>
            </w:r>
            <w:proofErr w:type="spellEnd"/>
            <w:r w:rsidRPr="00E32EAC">
              <w:rPr>
                <w:i/>
                <w:iCs/>
              </w:rPr>
              <w:t xml:space="preserve"> Supplies Pty Ltd (in </w:t>
            </w:r>
            <w:proofErr w:type="spellStart"/>
            <w:r w:rsidRPr="00E32EAC">
              <w:rPr>
                <w:i/>
                <w:iCs/>
              </w:rPr>
              <w:t>liq</w:t>
            </w:r>
            <w:proofErr w:type="spellEnd"/>
            <w:r w:rsidRPr="00E32EAC">
              <w:rPr>
                <w:i/>
                <w:iCs/>
              </w:rPr>
              <w:t>)</w:t>
            </w:r>
            <w:r w:rsidRPr="00E32EAC">
              <w:t xml:space="preserve"> (2013) 92 ACSR 554; </w:t>
            </w:r>
            <w:r w:rsidRPr="00E32EAC">
              <w:lastRenderedPageBreak/>
              <w:t>[2013] NSWSC 1</w:t>
            </w:r>
          </w:p>
          <w:p w14:paraId="58E13C25" w14:textId="5C7EB9CA" w:rsidR="00EF1417" w:rsidRPr="00E32EAC" w:rsidRDefault="00EF1417" w:rsidP="004B1BCC">
            <w:pPr>
              <w:pStyle w:val="CasesLegislationAppealFrom"/>
              <w:spacing w:after="60"/>
              <w:rPr>
                <w:i/>
                <w:iCs/>
              </w:rPr>
            </w:pPr>
            <w:r w:rsidRPr="00E32EAC">
              <w:rPr>
                <w:i/>
                <w:iCs/>
              </w:rPr>
              <w:t xml:space="preserve">Re Bele &amp; Co Pty Ltd </w:t>
            </w:r>
            <w:r w:rsidRPr="00E32EAC">
              <w:t>[2017] NSWSC 1824</w:t>
            </w:r>
          </w:p>
          <w:p w14:paraId="7906D83E" w14:textId="214AE352" w:rsidR="0050072A" w:rsidRPr="00E32EAC" w:rsidRDefault="0050072A" w:rsidP="004B1BCC">
            <w:pPr>
              <w:pStyle w:val="CasesLegislationAppealFrom"/>
              <w:spacing w:after="60"/>
            </w:pPr>
            <w:r w:rsidRPr="00E32EAC">
              <w:rPr>
                <w:i/>
                <w:iCs/>
              </w:rPr>
              <w:t xml:space="preserve">Re European Metal Recyclers Pty Ltd (in </w:t>
            </w:r>
            <w:proofErr w:type="spellStart"/>
            <w:r w:rsidRPr="00E32EAC">
              <w:rPr>
                <w:i/>
                <w:iCs/>
              </w:rPr>
              <w:t>liq</w:t>
            </w:r>
            <w:proofErr w:type="spellEnd"/>
            <w:r w:rsidRPr="00E32EAC">
              <w:rPr>
                <w:i/>
                <w:iCs/>
              </w:rPr>
              <w:t xml:space="preserve">) (deregistered) </w:t>
            </w:r>
            <w:r w:rsidRPr="00E32EAC">
              <w:t>[2018] NSWSC 946</w:t>
            </w:r>
          </w:p>
          <w:p w14:paraId="106BCE6F" w14:textId="26DC3D81" w:rsidR="008C04F7" w:rsidRPr="00E32EAC" w:rsidRDefault="008C04F7" w:rsidP="004B1BCC">
            <w:pPr>
              <w:pStyle w:val="CasesLegislationAppealFrom"/>
              <w:spacing w:after="60"/>
            </w:pPr>
            <w:r w:rsidRPr="00E32EAC">
              <w:rPr>
                <w:i/>
                <w:iCs/>
              </w:rPr>
              <w:t xml:space="preserve">Re </w:t>
            </w:r>
            <w:proofErr w:type="spellStart"/>
            <w:r w:rsidRPr="00E32EAC">
              <w:rPr>
                <w:i/>
                <w:iCs/>
              </w:rPr>
              <w:t>Harule</w:t>
            </w:r>
            <w:proofErr w:type="spellEnd"/>
            <w:r w:rsidRPr="00E32EAC">
              <w:rPr>
                <w:i/>
                <w:iCs/>
              </w:rPr>
              <w:t xml:space="preserve"> Pty Ltd; Ex </w:t>
            </w:r>
            <w:proofErr w:type="spellStart"/>
            <w:r w:rsidRPr="00E32EAC">
              <w:rPr>
                <w:i/>
                <w:iCs/>
              </w:rPr>
              <w:t>parte</w:t>
            </w:r>
            <w:proofErr w:type="spellEnd"/>
            <w:r w:rsidRPr="00E32EAC">
              <w:rPr>
                <w:i/>
                <w:iCs/>
              </w:rPr>
              <w:t xml:space="preserve"> Olita Super </w:t>
            </w:r>
            <w:proofErr w:type="spellStart"/>
            <w:r w:rsidRPr="00E32EAC">
              <w:rPr>
                <w:i/>
                <w:iCs/>
              </w:rPr>
              <w:t>Readymixed</w:t>
            </w:r>
            <w:proofErr w:type="spellEnd"/>
            <w:r w:rsidRPr="00E32EAC">
              <w:rPr>
                <w:i/>
                <w:iCs/>
              </w:rPr>
              <w:t xml:space="preserve"> Concrete Pty Ltd (in </w:t>
            </w:r>
            <w:proofErr w:type="spellStart"/>
            <w:r w:rsidRPr="00E32EAC">
              <w:rPr>
                <w:i/>
                <w:iCs/>
              </w:rPr>
              <w:t>liq</w:t>
            </w:r>
            <w:proofErr w:type="spellEnd"/>
            <w:r w:rsidRPr="00E32EAC">
              <w:rPr>
                <w:i/>
                <w:iCs/>
              </w:rPr>
              <w:t>)</w:t>
            </w:r>
            <w:r w:rsidRPr="00E32EAC">
              <w:t xml:space="preserve"> (1994) 13 ACSR 500</w:t>
            </w:r>
          </w:p>
          <w:p w14:paraId="78E0BA93" w14:textId="77777777" w:rsidR="008C04F7" w:rsidRPr="00E32EAC" w:rsidRDefault="008C04F7" w:rsidP="004B1BCC">
            <w:pPr>
              <w:pStyle w:val="CasesLegislationAppealFrom"/>
              <w:spacing w:after="60"/>
            </w:pPr>
            <w:r w:rsidRPr="00E32EAC">
              <w:rPr>
                <w:i/>
                <w:iCs/>
              </w:rPr>
              <w:t>Re Regional Planners</w:t>
            </w:r>
            <w:r w:rsidRPr="00E32EAC">
              <w:t xml:space="preserve"> </w:t>
            </w:r>
            <w:r w:rsidRPr="00E32EAC">
              <w:rPr>
                <w:i/>
                <w:iCs/>
              </w:rPr>
              <w:t xml:space="preserve">Developments Co Pty Ltd </w:t>
            </w:r>
            <w:r w:rsidRPr="00E32EAC">
              <w:t>(2015) 110 ACSR 457; [2015] NSWSC 1996</w:t>
            </w:r>
          </w:p>
          <w:p w14:paraId="799CF35A" w14:textId="5682F43D" w:rsidR="0050072A" w:rsidRPr="00E32EAC" w:rsidRDefault="0050072A" w:rsidP="004B1BCC">
            <w:pPr>
              <w:pStyle w:val="CasesLegislationAppealFrom"/>
              <w:spacing w:after="60"/>
            </w:pPr>
            <w:r w:rsidRPr="00E32EAC">
              <w:rPr>
                <w:i/>
                <w:iCs/>
              </w:rPr>
              <w:t>Saba Bros</w:t>
            </w:r>
            <w:r w:rsidRPr="00E32EAC">
              <w:t xml:space="preserve"> </w:t>
            </w:r>
            <w:r w:rsidRPr="00E32EAC">
              <w:rPr>
                <w:i/>
                <w:iCs/>
              </w:rPr>
              <w:t xml:space="preserve">Tiling (ACT) Pty Ltd v Australian Securities and Investments Commission </w:t>
            </w:r>
            <w:r w:rsidRPr="00E32EAC">
              <w:t>[2021] ACTSC 47</w:t>
            </w:r>
          </w:p>
          <w:p w14:paraId="524796A3" w14:textId="2E0ECD8A" w:rsidR="00E32EAC" w:rsidRPr="00E32EAC" w:rsidRDefault="00E32EAC" w:rsidP="004B1BCC">
            <w:pPr>
              <w:pStyle w:val="CasesLegislationAppealFrom"/>
              <w:spacing w:after="60"/>
            </w:pPr>
            <w:r w:rsidRPr="00E32EAC">
              <w:rPr>
                <w:i/>
                <w:iCs/>
              </w:rPr>
              <w:t>Smith v Australian Securities and Investments</w:t>
            </w:r>
            <w:r w:rsidRPr="00E32EAC">
              <w:t xml:space="preserve"> [2018] NSWSC 1695</w:t>
            </w:r>
          </w:p>
          <w:p w14:paraId="6C03C8CE" w14:textId="683B8730" w:rsidR="00461B82" w:rsidRPr="00E32EAC" w:rsidRDefault="00461B82" w:rsidP="004B1BCC">
            <w:pPr>
              <w:pStyle w:val="CasesLegislationAppealFrom"/>
              <w:spacing w:after="60"/>
            </w:pPr>
            <w:r w:rsidRPr="00E32EAC">
              <w:rPr>
                <w:i/>
                <w:iCs/>
              </w:rPr>
              <w:t>Stork ICM Australia Pty Ltd v SFS 007.298.633 Pty Ltd (formerly Stork Food Systems Australasia Pty Ltd)</w:t>
            </w:r>
            <w:r w:rsidRPr="00E32EAC">
              <w:t xml:space="preserve"> (2010) 77 ACSR 517; [2010] FCA 53</w:t>
            </w:r>
          </w:p>
          <w:p w14:paraId="1530B271" w14:textId="77777777" w:rsidR="0050072A" w:rsidRPr="00E32EAC" w:rsidRDefault="0050072A" w:rsidP="004B1BCC">
            <w:pPr>
              <w:pStyle w:val="CasesLegislationAppealFrom"/>
              <w:spacing w:after="60"/>
            </w:pPr>
            <w:r w:rsidRPr="00E32EAC">
              <w:rPr>
                <w:i/>
                <w:iCs/>
              </w:rPr>
              <w:t xml:space="preserve">SZTAL v Minister for Immigration and Border Protection </w:t>
            </w:r>
            <w:r w:rsidRPr="00E32EAC">
              <w:t>(2017) 262 CLR 362</w:t>
            </w:r>
          </w:p>
          <w:p w14:paraId="4E7F3D15" w14:textId="31AD5E59" w:rsidR="0050072A" w:rsidRPr="00E32EAC" w:rsidRDefault="0050072A" w:rsidP="004B1BCC">
            <w:pPr>
              <w:pStyle w:val="CasesLegislationAppealFrom"/>
              <w:spacing w:after="60"/>
            </w:pPr>
            <w:r w:rsidRPr="00E32EAC">
              <w:rPr>
                <w:i/>
                <w:iCs/>
              </w:rPr>
              <w:t xml:space="preserve">The Owners of the Ship “Shin Kobe Maru” v Empire Shipping Co Inc </w:t>
            </w:r>
            <w:r w:rsidRPr="00E32EAC">
              <w:t>(1994) 181 CLR 404</w:t>
            </w:r>
          </w:p>
          <w:p w14:paraId="083A5E83" w14:textId="77777777" w:rsidR="0050072A" w:rsidRPr="00E32EAC" w:rsidRDefault="0050072A" w:rsidP="004B1BCC">
            <w:pPr>
              <w:pStyle w:val="CasesLegislationAppealFrom"/>
              <w:spacing w:after="60"/>
            </w:pPr>
            <w:r w:rsidRPr="00E32EAC">
              <w:rPr>
                <w:i/>
                <w:iCs/>
              </w:rPr>
              <w:t xml:space="preserve">Wallman v Milestone Enterprises Pty Ltd </w:t>
            </w:r>
            <w:r w:rsidRPr="00E32EAC">
              <w:t>(2006) 205 FLR 68; [2006] WASC 260</w:t>
            </w:r>
          </w:p>
          <w:p w14:paraId="32666E3E" w14:textId="424889AD" w:rsidR="004B1BCC" w:rsidRPr="00E32EAC" w:rsidRDefault="0050072A" w:rsidP="004B1BCC">
            <w:pPr>
              <w:pStyle w:val="CasesLegislationAppealFrom"/>
              <w:spacing w:after="60"/>
            </w:pPr>
            <w:r w:rsidRPr="00E32EAC">
              <w:rPr>
                <w:i/>
                <w:iCs/>
              </w:rPr>
              <w:t xml:space="preserve">White v </w:t>
            </w:r>
            <w:proofErr w:type="spellStart"/>
            <w:r w:rsidRPr="00E32EAC">
              <w:rPr>
                <w:i/>
                <w:iCs/>
              </w:rPr>
              <w:t>Baycorp</w:t>
            </w:r>
            <w:proofErr w:type="spellEnd"/>
            <w:r w:rsidRPr="00E32EAC">
              <w:rPr>
                <w:i/>
                <w:iCs/>
              </w:rPr>
              <w:t xml:space="preserve"> Advantage Business Information Services Ltd </w:t>
            </w:r>
            <w:r w:rsidRPr="00E32EAC">
              <w:t>(2006) 200 FLR 125; [2006] NSWSC 441</w:t>
            </w:r>
            <w:bookmarkEnd w:id="4"/>
          </w:p>
        </w:tc>
      </w:tr>
      <w:tr w:rsidR="004B1BCC" w14:paraId="0C46EF88" w14:textId="77777777" w:rsidTr="00B35061">
        <w:tc>
          <w:tcPr>
            <w:tcW w:w="3083" w:type="dxa"/>
            <w:shd w:val="clear" w:color="auto" w:fill="auto"/>
          </w:tcPr>
          <w:p w14:paraId="7C06D726" w14:textId="77777777" w:rsidR="004B1BCC" w:rsidRDefault="004B1BCC" w:rsidP="004B1BCC">
            <w:pPr>
              <w:pStyle w:val="Normal1linespace"/>
              <w:widowControl w:val="0"/>
            </w:pPr>
          </w:p>
        </w:tc>
        <w:tc>
          <w:tcPr>
            <w:tcW w:w="5989" w:type="dxa"/>
            <w:shd w:val="clear" w:color="auto" w:fill="auto"/>
          </w:tcPr>
          <w:p w14:paraId="2D78BF12" w14:textId="77777777" w:rsidR="004B1BCC" w:rsidRDefault="004B1BCC" w:rsidP="004B1BCC">
            <w:pPr>
              <w:pStyle w:val="Normal1linespace"/>
              <w:widowControl w:val="0"/>
              <w:jc w:val="left"/>
            </w:pPr>
          </w:p>
        </w:tc>
      </w:tr>
      <w:tr w:rsidR="004B1BCC" w14:paraId="5E1F50E6" w14:textId="77777777" w:rsidTr="00B35061">
        <w:tc>
          <w:tcPr>
            <w:tcW w:w="3083" w:type="dxa"/>
            <w:shd w:val="clear" w:color="auto" w:fill="auto"/>
          </w:tcPr>
          <w:p w14:paraId="185FEDA7" w14:textId="77777777" w:rsidR="004B1BCC" w:rsidRDefault="004B1BCC" w:rsidP="004B1BCC">
            <w:pPr>
              <w:pStyle w:val="Normal1linespace"/>
              <w:widowControl w:val="0"/>
            </w:pPr>
            <w:r>
              <w:t>Division:</w:t>
            </w:r>
          </w:p>
        </w:tc>
        <w:tc>
          <w:tcPr>
            <w:tcW w:w="5989" w:type="dxa"/>
            <w:shd w:val="clear" w:color="auto" w:fill="auto"/>
          </w:tcPr>
          <w:p w14:paraId="332CF0D1" w14:textId="09A0AF4A" w:rsidR="004B1BCC" w:rsidRPr="00F17599" w:rsidRDefault="004B1BCC" w:rsidP="004B1BCC">
            <w:pPr>
              <w:pStyle w:val="Normal1linespace"/>
              <w:widowControl w:val="0"/>
              <w:jc w:val="left"/>
            </w:pPr>
            <w:r>
              <w:t>General Division</w:t>
            </w:r>
          </w:p>
        </w:tc>
      </w:tr>
      <w:tr w:rsidR="004B1BCC" w14:paraId="20CDB908" w14:textId="77777777" w:rsidTr="00B35061">
        <w:tc>
          <w:tcPr>
            <w:tcW w:w="3083" w:type="dxa"/>
            <w:shd w:val="clear" w:color="auto" w:fill="auto"/>
          </w:tcPr>
          <w:p w14:paraId="726F72A0" w14:textId="77777777" w:rsidR="004B1BCC" w:rsidRDefault="004B1BCC" w:rsidP="004B1BCC">
            <w:pPr>
              <w:pStyle w:val="Normal1linespace"/>
              <w:widowControl w:val="0"/>
            </w:pPr>
            <w:bookmarkStart w:id="5" w:name="Registry_rows" w:colFirst="0" w:colLast="1"/>
          </w:p>
        </w:tc>
        <w:tc>
          <w:tcPr>
            <w:tcW w:w="5989" w:type="dxa"/>
            <w:shd w:val="clear" w:color="auto" w:fill="auto"/>
          </w:tcPr>
          <w:p w14:paraId="388D539E" w14:textId="77777777" w:rsidR="004B1BCC" w:rsidRDefault="004B1BCC" w:rsidP="004B1BCC">
            <w:pPr>
              <w:pStyle w:val="Normal1linespace"/>
              <w:widowControl w:val="0"/>
              <w:jc w:val="left"/>
            </w:pPr>
          </w:p>
        </w:tc>
      </w:tr>
      <w:tr w:rsidR="004B1BCC" w14:paraId="7D8567FD" w14:textId="77777777" w:rsidTr="00B35061">
        <w:tc>
          <w:tcPr>
            <w:tcW w:w="3083" w:type="dxa"/>
            <w:shd w:val="clear" w:color="auto" w:fill="auto"/>
          </w:tcPr>
          <w:p w14:paraId="0F401936" w14:textId="77777777" w:rsidR="004B1BCC" w:rsidRDefault="004B1BCC" w:rsidP="004B1BCC">
            <w:pPr>
              <w:pStyle w:val="Normal1linespace"/>
              <w:widowControl w:val="0"/>
            </w:pPr>
            <w:r>
              <w:t>Registry:</w:t>
            </w:r>
          </w:p>
        </w:tc>
        <w:tc>
          <w:tcPr>
            <w:tcW w:w="5989" w:type="dxa"/>
            <w:shd w:val="clear" w:color="auto" w:fill="auto"/>
          </w:tcPr>
          <w:p w14:paraId="2913F407" w14:textId="3EC38551" w:rsidR="004B1BCC" w:rsidRPr="00F17599" w:rsidRDefault="004B1BCC" w:rsidP="004B1BCC">
            <w:pPr>
              <w:pStyle w:val="Normal1linespace"/>
              <w:widowControl w:val="0"/>
              <w:jc w:val="left"/>
            </w:pPr>
            <w:r>
              <w:t>New South Wales</w:t>
            </w:r>
          </w:p>
        </w:tc>
      </w:tr>
      <w:tr w:rsidR="004B1BCC" w14:paraId="5ADA9251" w14:textId="77777777" w:rsidTr="00B35061">
        <w:tc>
          <w:tcPr>
            <w:tcW w:w="3083" w:type="dxa"/>
            <w:shd w:val="clear" w:color="auto" w:fill="auto"/>
          </w:tcPr>
          <w:p w14:paraId="01F33EA3" w14:textId="77777777" w:rsidR="004B1BCC" w:rsidRDefault="004B1BCC" w:rsidP="004B1BCC">
            <w:pPr>
              <w:pStyle w:val="Normal1linespace"/>
              <w:widowControl w:val="0"/>
            </w:pPr>
            <w:bookmarkStart w:id="6" w:name="NPARow" w:colFirst="0" w:colLast="1"/>
            <w:bookmarkEnd w:id="5"/>
          </w:p>
        </w:tc>
        <w:tc>
          <w:tcPr>
            <w:tcW w:w="5989" w:type="dxa"/>
            <w:shd w:val="clear" w:color="auto" w:fill="auto"/>
          </w:tcPr>
          <w:p w14:paraId="6BB6B214" w14:textId="77777777" w:rsidR="004B1BCC" w:rsidRPr="00F17599" w:rsidRDefault="004B1BCC" w:rsidP="004B1BCC">
            <w:pPr>
              <w:pStyle w:val="Normal1linespace"/>
              <w:widowControl w:val="0"/>
              <w:jc w:val="left"/>
              <w:rPr>
                <w:b/>
              </w:rPr>
            </w:pPr>
          </w:p>
        </w:tc>
      </w:tr>
      <w:tr w:rsidR="004B1BCC" w14:paraId="705AE29C" w14:textId="77777777" w:rsidTr="00B35061">
        <w:tc>
          <w:tcPr>
            <w:tcW w:w="3083" w:type="dxa"/>
            <w:shd w:val="clear" w:color="auto" w:fill="auto"/>
          </w:tcPr>
          <w:p w14:paraId="0E2C114F" w14:textId="77777777" w:rsidR="004B1BCC" w:rsidRDefault="004B1BCC" w:rsidP="004B1BCC">
            <w:pPr>
              <w:pStyle w:val="Normal1linespace"/>
              <w:widowControl w:val="0"/>
            </w:pPr>
            <w:r>
              <w:t>National Practice Area:</w:t>
            </w:r>
          </w:p>
        </w:tc>
        <w:tc>
          <w:tcPr>
            <w:tcW w:w="5989" w:type="dxa"/>
            <w:shd w:val="clear" w:color="auto" w:fill="auto"/>
          </w:tcPr>
          <w:p w14:paraId="4BA0BC0B" w14:textId="011A7EA9" w:rsidR="004B1BCC" w:rsidRPr="00F17599" w:rsidRDefault="004B1BCC" w:rsidP="004B1BCC">
            <w:pPr>
              <w:pStyle w:val="Normal1linespace"/>
              <w:widowControl w:val="0"/>
              <w:jc w:val="left"/>
              <w:rPr>
                <w:b/>
              </w:rPr>
            </w:pPr>
            <w:r>
              <w:t>Commercial and Corporations</w:t>
            </w:r>
          </w:p>
        </w:tc>
      </w:tr>
      <w:tr w:rsidR="004B1BCC" w14:paraId="6B396429" w14:textId="77777777" w:rsidTr="00B35061">
        <w:tc>
          <w:tcPr>
            <w:tcW w:w="3083" w:type="dxa"/>
            <w:shd w:val="clear" w:color="auto" w:fill="auto"/>
          </w:tcPr>
          <w:p w14:paraId="69B47B19" w14:textId="77777777" w:rsidR="004B1BCC" w:rsidRDefault="004B1BCC" w:rsidP="004B1BCC">
            <w:pPr>
              <w:pStyle w:val="Normal1linespace"/>
              <w:widowControl w:val="0"/>
            </w:pPr>
            <w:bookmarkStart w:id="7" w:name="SubAreaRow" w:colFirst="0" w:colLast="1"/>
            <w:bookmarkEnd w:id="6"/>
          </w:p>
        </w:tc>
        <w:tc>
          <w:tcPr>
            <w:tcW w:w="5989" w:type="dxa"/>
            <w:shd w:val="clear" w:color="auto" w:fill="auto"/>
          </w:tcPr>
          <w:p w14:paraId="4BE354CF" w14:textId="77777777" w:rsidR="004B1BCC" w:rsidRDefault="004B1BCC" w:rsidP="004B1BCC">
            <w:pPr>
              <w:pStyle w:val="Normal1linespace"/>
              <w:widowControl w:val="0"/>
              <w:jc w:val="left"/>
            </w:pPr>
          </w:p>
        </w:tc>
      </w:tr>
      <w:tr w:rsidR="004B1BCC" w14:paraId="0E658DB6" w14:textId="77777777" w:rsidTr="00B35061">
        <w:tc>
          <w:tcPr>
            <w:tcW w:w="3083" w:type="dxa"/>
            <w:shd w:val="clear" w:color="auto" w:fill="auto"/>
          </w:tcPr>
          <w:p w14:paraId="13C4665E" w14:textId="77777777" w:rsidR="004B1BCC" w:rsidRDefault="004B1BCC" w:rsidP="004B1BCC">
            <w:pPr>
              <w:pStyle w:val="Normal1linespace"/>
              <w:widowControl w:val="0"/>
            </w:pPr>
            <w:r>
              <w:t>Sub-area:</w:t>
            </w:r>
          </w:p>
        </w:tc>
        <w:tc>
          <w:tcPr>
            <w:tcW w:w="5989" w:type="dxa"/>
            <w:shd w:val="clear" w:color="auto" w:fill="auto"/>
          </w:tcPr>
          <w:p w14:paraId="7097E628" w14:textId="0A7EE6A8" w:rsidR="004B1BCC" w:rsidRPr="00837288" w:rsidRDefault="004B1BCC" w:rsidP="004B1BCC">
            <w:pPr>
              <w:pStyle w:val="Normal1linespace"/>
              <w:widowControl w:val="0"/>
              <w:jc w:val="left"/>
            </w:pPr>
            <w:r w:rsidRPr="0026360C">
              <w:rPr>
                <w:lang w:val="en-US"/>
              </w:rPr>
              <w:t>Corporations and Corporate</w:t>
            </w:r>
            <w:r>
              <w:t xml:space="preserve"> Insolvency</w:t>
            </w:r>
          </w:p>
        </w:tc>
      </w:tr>
      <w:bookmarkEnd w:id="7"/>
      <w:tr w:rsidR="004B1BCC" w14:paraId="6DEFEDE8" w14:textId="77777777" w:rsidTr="00B35061">
        <w:tc>
          <w:tcPr>
            <w:tcW w:w="3083" w:type="dxa"/>
            <w:shd w:val="clear" w:color="auto" w:fill="auto"/>
          </w:tcPr>
          <w:p w14:paraId="68FA3849" w14:textId="77777777" w:rsidR="004B1BCC" w:rsidRDefault="004B1BCC" w:rsidP="004B1BCC">
            <w:pPr>
              <w:pStyle w:val="Normal1linespace"/>
              <w:widowControl w:val="0"/>
            </w:pPr>
          </w:p>
        </w:tc>
        <w:tc>
          <w:tcPr>
            <w:tcW w:w="5989" w:type="dxa"/>
            <w:shd w:val="clear" w:color="auto" w:fill="auto"/>
          </w:tcPr>
          <w:p w14:paraId="624E390F" w14:textId="77777777" w:rsidR="004B1BCC" w:rsidRDefault="004B1BCC" w:rsidP="004B1BCC">
            <w:pPr>
              <w:pStyle w:val="Normal1linespace"/>
              <w:widowControl w:val="0"/>
              <w:jc w:val="left"/>
            </w:pPr>
          </w:p>
        </w:tc>
      </w:tr>
      <w:tr w:rsidR="004B1BCC" w14:paraId="43D0489D" w14:textId="77777777" w:rsidTr="00B35061">
        <w:tc>
          <w:tcPr>
            <w:tcW w:w="3083" w:type="dxa"/>
            <w:shd w:val="clear" w:color="auto" w:fill="auto"/>
          </w:tcPr>
          <w:p w14:paraId="2886C7FB" w14:textId="77777777" w:rsidR="004B1BCC" w:rsidRDefault="004B1BCC" w:rsidP="004B1BCC">
            <w:pPr>
              <w:pStyle w:val="Normal1linespace"/>
              <w:widowControl w:val="0"/>
            </w:pPr>
            <w:r>
              <w:t>Number of paragraphs:</w:t>
            </w:r>
          </w:p>
        </w:tc>
        <w:tc>
          <w:tcPr>
            <w:tcW w:w="5989" w:type="dxa"/>
            <w:shd w:val="clear" w:color="auto" w:fill="auto"/>
          </w:tcPr>
          <w:p w14:paraId="55B2B4D6" w14:textId="41DFAD5E" w:rsidR="004B1BCC" w:rsidRDefault="00B35061" w:rsidP="004B1BCC">
            <w:pPr>
              <w:pStyle w:val="Normal1linespace"/>
              <w:widowControl w:val="0"/>
              <w:jc w:val="left"/>
            </w:pPr>
            <w:bookmarkStart w:id="8" w:name="PlaceCategoryParagraphs"/>
            <w:r>
              <w:t>31</w:t>
            </w:r>
            <w:bookmarkEnd w:id="8"/>
            <w:r w:rsidR="00E63C65">
              <w:t>9</w:t>
            </w:r>
          </w:p>
        </w:tc>
      </w:tr>
      <w:tr w:rsidR="004B1BCC" w14:paraId="48810EA7" w14:textId="77777777" w:rsidTr="00B35061">
        <w:tc>
          <w:tcPr>
            <w:tcW w:w="3083" w:type="dxa"/>
            <w:shd w:val="clear" w:color="auto" w:fill="auto"/>
          </w:tcPr>
          <w:p w14:paraId="287E84D4" w14:textId="77777777" w:rsidR="004B1BCC" w:rsidRDefault="004B1BCC" w:rsidP="004B1BCC">
            <w:pPr>
              <w:pStyle w:val="Normal1linespace"/>
              <w:widowControl w:val="0"/>
              <w:jc w:val="left"/>
            </w:pPr>
          </w:p>
        </w:tc>
        <w:tc>
          <w:tcPr>
            <w:tcW w:w="5989" w:type="dxa"/>
            <w:shd w:val="clear" w:color="auto" w:fill="auto"/>
          </w:tcPr>
          <w:p w14:paraId="18BA9208" w14:textId="77777777" w:rsidR="004B1BCC" w:rsidRDefault="004B1BCC" w:rsidP="004B1BCC">
            <w:pPr>
              <w:pStyle w:val="Normal1linespace"/>
              <w:widowControl w:val="0"/>
              <w:jc w:val="left"/>
            </w:pPr>
          </w:p>
        </w:tc>
      </w:tr>
      <w:tr w:rsidR="004B1BCC" w14:paraId="2A6294AB" w14:textId="77777777" w:rsidTr="00B35061">
        <w:tc>
          <w:tcPr>
            <w:tcW w:w="3083" w:type="dxa"/>
            <w:shd w:val="clear" w:color="auto" w:fill="auto"/>
          </w:tcPr>
          <w:p w14:paraId="6E6F0860" w14:textId="77777777" w:rsidR="004B1BCC" w:rsidRDefault="004B1BCC" w:rsidP="004B1BCC">
            <w:pPr>
              <w:pStyle w:val="Normal1linespace"/>
              <w:widowControl w:val="0"/>
              <w:jc w:val="left"/>
            </w:pPr>
            <w:bookmarkStart w:id="9" w:name="CounselDate" w:colFirst="0" w:colLast="2"/>
            <w:r w:rsidRPr="006A24E3">
              <w:t>Date of hearing:</w:t>
            </w:r>
          </w:p>
        </w:tc>
        <w:tc>
          <w:tcPr>
            <w:tcW w:w="5989" w:type="dxa"/>
            <w:shd w:val="clear" w:color="auto" w:fill="auto"/>
          </w:tcPr>
          <w:p w14:paraId="34A14862" w14:textId="37F71905" w:rsidR="004B1BCC" w:rsidRDefault="00825E49" w:rsidP="004B1BCC">
            <w:pPr>
              <w:pStyle w:val="Normal1linespace"/>
              <w:widowControl w:val="0"/>
              <w:jc w:val="left"/>
            </w:pPr>
            <w:r>
              <w:t xml:space="preserve">4-6 April 2023 </w:t>
            </w:r>
          </w:p>
        </w:tc>
      </w:tr>
      <w:tr w:rsidR="004B1BCC" w14:paraId="5E65ACF1" w14:textId="77777777" w:rsidTr="00B35061">
        <w:tc>
          <w:tcPr>
            <w:tcW w:w="3083" w:type="dxa"/>
            <w:shd w:val="clear" w:color="auto" w:fill="auto"/>
          </w:tcPr>
          <w:p w14:paraId="22EE3F63" w14:textId="77777777" w:rsidR="004B1BCC" w:rsidRDefault="004B1BCC" w:rsidP="004B1BCC">
            <w:pPr>
              <w:pStyle w:val="Normal1linespace"/>
              <w:widowControl w:val="0"/>
              <w:jc w:val="left"/>
            </w:pPr>
          </w:p>
        </w:tc>
        <w:tc>
          <w:tcPr>
            <w:tcW w:w="5989" w:type="dxa"/>
            <w:shd w:val="clear" w:color="auto" w:fill="auto"/>
          </w:tcPr>
          <w:p w14:paraId="29027595" w14:textId="77777777" w:rsidR="004B1BCC" w:rsidRDefault="004B1BCC" w:rsidP="004B1BCC">
            <w:pPr>
              <w:pStyle w:val="Normal1linespace"/>
              <w:widowControl w:val="0"/>
              <w:jc w:val="left"/>
            </w:pPr>
          </w:p>
        </w:tc>
      </w:tr>
      <w:tr w:rsidR="004B1BCC" w14:paraId="1C36F11F" w14:textId="77777777" w:rsidTr="00B35061">
        <w:tc>
          <w:tcPr>
            <w:tcW w:w="3083" w:type="dxa"/>
            <w:shd w:val="clear" w:color="auto" w:fill="auto"/>
          </w:tcPr>
          <w:p w14:paraId="7DA89541" w14:textId="6F631FEB" w:rsidR="004B1BCC" w:rsidRDefault="004B1BCC" w:rsidP="004B1BCC">
            <w:pPr>
              <w:pStyle w:val="Normal1linespace"/>
              <w:widowControl w:val="0"/>
              <w:jc w:val="left"/>
            </w:pPr>
            <w:bookmarkStart w:id="10" w:name="Counsel" w:colFirst="0" w:colLast="2"/>
            <w:bookmarkEnd w:id="9"/>
            <w:r>
              <w:t>Counsel for the Plaintiff</w:t>
            </w:r>
            <w:r w:rsidR="00B02104">
              <w:t>/</w:t>
            </w:r>
            <w:r w:rsidR="0092213D">
              <w:t>First</w:t>
            </w:r>
            <w:r w:rsidR="00B02104">
              <w:t xml:space="preserve"> Respondent</w:t>
            </w:r>
            <w:r>
              <w:t>:</w:t>
            </w:r>
          </w:p>
        </w:tc>
        <w:tc>
          <w:tcPr>
            <w:tcW w:w="5989" w:type="dxa"/>
            <w:shd w:val="clear" w:color="auto" w:fill="auto"/>
          </w:tcPr>
          <w:p w14:paraId="4772DA8B" w14:textId="607BB4A1" w:rsidR="004B1BCC" w:rsidRDefault="00E26379" w:rsidP="004B1BCC">
            <w:pPr>
              <w:pStyle w:val="Normal1linespace"/>
              <w:widowControl w:val="0"/>
              <w:jc w:val="left"/>
            </w:pPr>
            <w:bookmarkStart w:id="11" w:name="AppCounsel"/>
            <w:bookmarkEnd w:id="11"/>
            <w:r>
              <w:t>Mr L</w:t>
            </w:r>
            <w:r w:rsidR="008D49BD">
              <w:t>T</w:t>
            </w:r>
            <w:r>
              <w:t xml:space="preserve"> Livingstone SC with Ms C</w:t>
            </w:r>
            <w:r w:rsidR="008D49BD">
              <w:t>T</w:t>
            </w:r>
            <w:r>
              <w:t xml:space="preserve"> Ensor </w:t>
            </w:r>
          </w:p>
        </w:tc>
      </w:tr>
      <w:tr w:rsidR="004B1BCC" w14:paraId="142AFAB4" w14:textId="77777777" w:rsidTr="00B35061">
        <w:tc>
          <w:tcPr>
            <w:tcW w:w="3083" w:type="dxa"/>
            <w:shd w:val="clear" w:color="auto" w:fill="auto"/>
          </w:tcPr>
          <w:p w14:paraId="02CCF7F3" w14:textId="77777777" w:rsidR="004B1BCC" w:rsidRDefault="004B1BCC" w:rsidP="004B1BCC">
            <w:pPr>
              <w:pStyle w:val="Normal1linespace"/>
              <w:widowControl w:val="0"/>
              <w:jc w:val="left"/>
            </w:pPr>
          </w:p>
        </w:tc>
        <w:tc>
          <w:tcPr>
            <w:tcW w:w="5989" w:type="dxa"/>
            <w:shd w:val="clear" w:color="auto" w:fill="auto"/>
          </w:tcPr>
          <w:p w14:paraId="0C50D5E9" w14:textId="77777777" w:rsidR="004B1BCC" w:rsidRDefault="004B1BCC" w:rsidP="004B1BCC">
            <w:pPr>
              <w:pStyle w:val="Normal1linespace"/>
              <w:widowControl w:val="0"/>
              <w:jc w:val="left"/>
            </w:pPr>
          </w:p>
        </w:tc>
      </w:tr>
      <w:tr w:rsidR="004B1BCC" w14:paraId="7AF37E62" w14:textId="77777777" w:rsidTr="00B35061">
        <w:tc>
          <w:tcPr>
            <w:tcW w:w="3083" w:type="dxa"/>
            <w:shd w:val="clear" w:color="auto" w:fill="auto"/>
          </w:tcPr>
          <w:p w14:paraId="4FE0988F" w14:textId="6D7291C9" w:rsidR="004B1BCC" w:rsidRDefault="004B1BCC" w:rsidP="004B1BCC">
            <w:pPr>
              <w:pStyle w:val="Normal1linespace"/>
              <w:widowControl w:val="0"/>
              <w:jc w:val="left"/>
            </w:pPr>
            <w:r>
              <w:t>Solicitor for the Plaintiff</w:t>
            </w:r>
            <w:r w:rsidR="00B02104">
              <w:t>/</w:t>
            </w:r>
            <w:r w:rsidR="0092213D">
              <w:t xml:space="preserve">First </w:t>
            </w:r>
            <w:r w:rsidR="00B02104">
              <w:t>Respondent</w:t>
            </w:r>
            <w:r>
              <w:t>:</w:t>
            </w:r>
          </w:p>
        </w:tc>
        <w:tc>
          <w:tcPr>
            <w:tcW w:w="5989" w:type="dxa"/>
            <w:shd w:val="clear" w:color="auto" w:fill="auto"/>
          </w:tcPr>
          <w:p w14:paraId="764973FC" w14:textId="598F955B" w:rsidR="004B1BCC" w:rsidRDefault="00A80AA9" w:rsidP="004B1BCC">
            <w:pPr>
              <w:pStyle w:val="Normal1linespace"/>
              <w:widowControl w:val="0"/>
              <w:jc w:val="left"/>
            </w:pPr>
            <w:proofErr w:type="spellStart"/>
            <w:r>
              <w:t>MinterEllison</w:t>
            </w:r>
            <w:proofErr w:type="spellEnd"/>
            <w:r w:rsidR="00BC6E94">
              <w:t xml:space="preserve"> </w:t>
            </w:r>
          </w:p>
        </w:tc>
      </w:tr>
      <w:tr w:rsidR="006E3858" w14:paraId="32DFC38C" w14:textId="77777777" w:rsidTr="00B35061">
        <w:tc>
          <w:tcPr>
            <w:tcW w:w="3083" w:type="dxa"/>
            <w:shd w:val="clear" w:color="auto" w:fill="auto"/>
          </w:tcPr>
          <w:p w14:paraId="4E0F5B68" w14:textId="77777777" w:rsidR="006E3858" w:rsidRDefault="006E3858" w:rsidP="004B1BCC">
            <w:pPr>
              <w:pStyle w:val="Normal1linespace"/>
              <w:widowControl w:val="0"/>
              <w:jc w:val="left"/>
            </w:pPr>
          </w:p>
        </w:tc>
        <w:tc>
          <w:tcPr>
            <w:tcW w:w="5989" w:type="dxa"/>
            <w:shd w:val="clear" w:color="auto" w:fill="auto"/>
          </w:tcPr>
          <w:p w14:paraId="3E328331" w14:textId="77777777" w:rsidR="006E3858" w:rsidRDefault="006E3858" w:rsidP="004B1BCC">
            <w:pPr>
              <w:pStyle w:val="Normal1linespace"/>
              <w:widowControl w:val="0"/>
              <w:jc w:val="left"/>
            </w:pPr>
          </w:p>
        </w:tc>
      </w:tr>
      <w:tr w:rsidR="009F3654" w14:paraId="6B1E2EED" w14:textId="77777777" w:rsidTr="00B35061">
        <w:tc>
          <w:tcPr>
            <w:tcW w:w="3083" w:type="dxa"/>
            <w:shd w:val="clear" w:color="auto" w:fill="auto"/>
          </w:tcPr>
          <w:p w14:paraId="7782FAF5" w14:textId="79900D76" w:rsidR="009F3654" w:rsidRDefault="009F3654" w:rsidP="004B1BCC">
            <w:pPr>
              <w:pStyle w:val="Normal1linespace"/>
              <w:widowControl w:val="0"/>
              <w:jc w:val="left"/>
            </w:pPr>
            <w:r>
              <w:t>Counsel for the 20</w:t>
            </w:r>
            <w:r w:rsidRPr="001C7E5A">
              <w:rPr>
                <w:vertAlign w:val="superscript"/>
              </w:rPr>
              <w:t>th</w:t>
            </w:r>
            <w:r>
              <w:t xml:space="preserve"> – 22</w:t>
            </w:r>
            <w:r w:rsidRPr="001C7E5A">
              <w:rPr>
                <w:vertAlign w:val="superscript"/>
              </w:rPr>
              <w:t>nd</w:t>
            </w:r>
            <w:r>
              <w:t>, 29</w:t>
            </w:r>
            <w:r w:rsidRPr="001C7E5A">
              <w:rPr>
                <w:vertAlign w:val="superscript"/>
              </w:rPr>
              <w:t>th</w:t>
            </w:r>
            <w:r>
              <w:t xml:space="preserve"> and 46</w:t>
            </w:r>
            <w:r w:rsidRPr="001C7E5A">
              <w:rPr>
                <w:vertAlign w:val="superscript"/>
              </w:rPr>
              <w:t>th</w:t>
            </w:r>
            <w:r>
              <w:t xml:space="preserve"> Respondents:</w:t>
            </w:r>
          </w:p>
        </w:tc>
        <w:tc>
          <w:tcPr>
            <w:tcW w:w="5989" w:type="dxa"/>
            <w:shd w:val="clear" w:color="auto" w:fill="auto"/>
          </w:tcPr>
          <w:p w14:paraId="76E2853B" w14:textId="7418C967" w:rsidR="009F3654" w:rsidRDefault="0010270C" w:rsidP="004B1BCC">
            <w:pPr>
              <w:pStyle w:val="Normal1linespace"/>
              <w:widowControl w:val="0"/>
              <w:jc w:val="left"/>
            </w:pPr>
            <w:r w:rsidRPr="0010270C">
              <w:t>Mr D</w:t>
            </w:r>
            <w:r w:rsidR="00530F62">
              <w:t>R</w:t>
            </w:r>
            <w:r w:rsidRPr="0010270C">
              <w:t xml:space="preserve"> Pritchard SC with Mr AJ Macauley</w:t>
            </w:r>
          </w:p>
        </w:tc>
      </w:tr>
      <w:tr w:rsidR="009F3654" w14:paraId="002422A4" w14:textId="77777777" w:rsidTr="00B35061">
        <w:tc>
          <w:tcPr>
            <w:tcW w:w="3083" w:type="dxa"/>
            <w:shd w:val="clear" w:color="auto" w:fill="auto"/>
          </w:tcPr>
          <w:p w14:paraId="400A1522" w14:textId="77777777" w:rsidR="009F3654" w:rsidRDefault="009F3654" w:rsidP="004B1BCC">
            <w:pPr>
              <w:pStyle w:val="Normal1linespace"/>
              <w:widowControl w:val="0"/>
              <w:jc w:val="left"/>
            </w:pPr>
          </w:p>
        </w:tc>
        <w:tc>
          <w:tcPr>
            <w:tcW w:w="5989" w:type="dxa"/>
            <w:shd w:val="clear" w:color="auto" w:fill="auto"/>
          </w:tcPr>
          <w:p w14:paraId="5DD99B35" w14:textId="77777777" w:rsidR="009F3654" w:rsidRDefault="009F3654" w:rsidP="004B1BCC">
            <w:pPr>
              <w:pStyle w:val="Normal1linespace"/>
              <w:widowControl w:val="0"/>
              <w:jc w:val="left"/>
            </w:pPr>
          </w:p>
        </w:tc>
      </w:tr>
      <w:tr w:rsidR="00AD245D" w14:paraId="7750717F" w14:textId="77777777" w:rsidTr="00B35061">
        <w:tc>
          <w:tcPr>
            <w:tcW w:w="3083" w:type="dxa"/>
            <w:shd w:val="clear" w:color="auto" w:fill="auto"/>
          </w:tcPr>
          <w:p w14:paraId="054B005E" w14:textId="58D98398" w:rsidR="00AD245D" w:rsidRDefault="00AD245D" w:rsidP="004B1BCC">
            <w:pPr>
              <w:pStyle w:val="Normal1linespace"/>
              <w:widowControl w:val="0"/>
              <w:jc w:val="left"/>
            </w:pPr>
            <w:r>
              <w:t xml:space="preserve">Solicitor for </w:t>
            </w:r>
            <w:r w:rsidRPr="00AD245D">
              <w:t>the 20</w:t>
            </w:r>
            <w:r w:rsidR="005C1B48" w:rsidRPr="005C1B48">
              <w:rPr>
                <w:vertAlign w:val="superscript"/>
              </w:rPr>
              <w:t>th</w:t>
            </w:r>
            <w:r w:rsidRPr="00AD245D">
              <w:t xml:space="preserve"> – 22</w:t>
            </w:r>
            <w:r w:rsidR="005C1B48" w:rsidRPr="005C1B48">
              <w:rPr>
                <w:vertAlign w:val="superscript"/>
              </w:rPr>
              <w:t>nd</w:t>
            </w:r>
            <w:r w:rsidRPr="00AD245D">
              <w:t>, 29</w:t>
            </w:r>
            <w:r w:rsidR="005C1B48" w:rsidRPr="005C1B48">
              <w:rPr>
                <w:vertAlign w:val="superscript"/>
              </w:rPr>
              <w:t>th</w:t>
            </w:r>
            <w:r w:rsidRPr="00AD245D">
              <w:t xml:space="preserve"> and 46</w:t>
            </w:r>
            <w:r w:rsidR="005C1B48" w:rsidRPr="005C1B48">
              <w:rPr>
                <w:vertAlign w:val="superscript"/>
              </w:rPr>
              <w:t>th</w:t>
            </w:r>
            <w:r w:rsidRPr="00AD245D">
              <w:t xml:space="preserve"> Respondents:</w:t>
            </w:r>
          </w:p>
        </w:tc>
        <w:tc>
          <w:tcPr>
            <w:tcW w:w="5989" w:type="dxa"/>
            <w:shd w:val="clear" w:color="auto" w:fill="auto"/>
          </w:tcPr>
          <w:p w14:paraId="2959DBC2" w14:textId="7C8FD402" w:rsidR="00AD245D" w:rsidRDefault="003232BD" w:rsidP="004B1BCC">
            <w:pPr>
              <w:pStyle w:val="Normal1linespace"/>
              <w:widowControl w:val="0"/>
              <w:jc w:val="left"/>
            </w:pPr>
            <w:proofErr w:type="spellStart"/>
            <w:r>
              <w:t>Kekatos</w:t>
            </w:r>
            <w:proofErr w:type="spellEnd"/>
            <w:r>
              <w:t xml:space="preserve"> Lawyers </w:t>
            </w:r>
          </w:p>
        </w:tc>
      </w:tr>
      <w:tr w:rsidR="00AD245D" w14:paraId="77EA2D19" w14:textId="77777777" w:rsidTr="00B35061">
        <w:tc>
          <w:tcPr>
            <w:tcW w:w="3083" w:type="dxa"/>
            <w:shd w:val="clear" w:color="auto" w:fill="auto"/>
          </w:tcPr>
          <w:p w14:paraId="4860C911" w14:textId="77777777" w:rsidR="00AD245D" w:rsidRDefault="00AD245D" w:rsidP="004B1BCC">
            <w:pPr>
              <w:pStyle w:val="Normal1linespace"/>
              <w:widowControl w:val="0"/>
              <w:jc w:val="left"/>
            </w:pPr>
          </w:p>
        </w:tc>
        <w:tc>
          <w:tcPr>
            <w:tcW w:w="5989" w:type="dxa"/>
            <w:shd w:val="clear" w:color="auto" w:fill="auto"/>
          </w:tcPr>
          <w:p w14:paraId="440E694B" w14:textId="77777777" w:rsidR="00AD245D" w:rsidRDefault="00AD245D" w:rsidP="004B1BCC">
            <w:pPr>
              <w:pStyle w:val="Normal1linespace"/>
              <w:widowControl w:val="0"/>
              <w:jc w:val="left"/>
            </w:pPr>
          </w:p>
        </w:tc>
      </w:tr>
      <w:tr w:rsidR="009F3654" w14:paraId="0FE2EA76" w14:textId="77777777" w:rsidTr="00B35061">
        <w:tc>
          <w:tcPr>
            <w:tcW w:w="3083" w:type="dxa"/>
            <w:shd w:val="clear" w:color="auto" w:fill="auto"/>
          </w:tcPr>
          <w:p w14:paraId="3AB159D6" w14:textId="391288E4" w:rsidR="009F3654" w:rsidRDefault="003F7EDE" w:rsidP="004B1BCC">
            <w:pPr>
              <w:pStyle w:val="Normal1linespace"/>
              <w:widowControl w:val="0"/>
              <w:jc w:val="left"/>
            </w:pPr>
            <w:r>
              <w:t xml:space="preserve">Counsel for the </w:t>
            </w:r>
            <w:r w:rsidR="000F4B12">
              <w:t>First</w:t>
            </w:r>
            <w:r>
              <w:t xml:space="preserve"> </w:t>
            </w:r>
            <w:r w:rsidRPr="003F7EDE">
              <w:t>and</w:t>
            </w:r>
            <w:r w:rsidR="000F4B12">
              <w:t xml:space="preserve"> Third</w:t>
            </w:r>
            <w:r w:rsidRPr="003F7EDE">
              <w:t xml:space="preserve"> </w:t>
            </w:r>
            <w:r>
              <w:t>–</w:t>
            </w:r>
            <w:r w:rsidRPr="003F7EDE">
              <w:t xml:space="preserve"> </w:t>
            </w:r>
            <w:r w:rsidR="000F4B12">
              <w:t>Seventh</w:t>
            </w:r>
            <w:r>
              <w:t xml:space="preserve"> Applicants:</w:t>
            </w:r>
          </w:p>
        </w:tc>
        <w:tc>
          <w:tcPr>
            <w:tcW w:w="5989" w:type="dxa"/>
            <w:shd w:val="clear" w:color="auto" w:fill="auto"/>
          </w:tcPr>
          <w:p w14:paraId="40D03DE2" w14:textId="6DB4951B" w:rsidR="009F3654" w:rsidRDefault="003F7EDE" w:rsidP="004B1BCC">
            <w:pPr>
              <w:pStyle w:val="Normal1linespace"/>
              <w:widowControl w:val="0"/>
              <w:jc w:val="left"/>
            </w:pPr>
            <w:r>
              <w:t xml:space="preserve">Mr S </w:t>
            </w:r>
            <w:proofErr w:type="spellStart"/>
            <w:r>
              <w:t>Golledge</w:t>
            </w:r>
            <w:proofErr w:type="spellEnd"/>
            <w:r>
              <w:t xml:space="preserve"> SC with Mr R Johnson</w:t>
            </w:r>
          </w:p>
        </w:tc>
      </w:tr>
      <w:tr w:rsidR="009F3654" w14:paraId="1827A06E" w14:textId="77777777" w:rsidTr="00B35061">
        <w:tc>
          <w:tcPr>
            <w:tcW w:w="3083" w:type="dxa"/>
            <w:shd w:val="clear" w:color="auto" w:fill="auto"/>
          </w:tcPr>
          <w:p w14:paraId="13631DD3" w14:textId="77777777" w:rsidR="009F3654" w:rsidRDefault="009F3654" w:rsidP="004B1BCC">
            <w:pPr>
              <w:pStyle w:val="Normal1linespace"/>
              <w:widowControl w:val="0"/>
              <w:jc w:val="left"/>
            </w:pPr>
          </w:p>
        </w:tc>
        <w:tc>
          <w:tcPr>
            <w:tcW w:w="5989" w:type="dxa"/>
            <w:shd w:val="clear" w:color="auto" w:fill="auto"/>
          </w:tcPr>
          <w:p w14:paraId="5C7BE5B1" w14:textId="77777777" w:rsidR="009F3654" w:rsidRDefault="009F3654" w:rsidP="004B1BCC">
            <w:pPr>
              <w:pStyle w:val="Normal1linespace"/>
              <w:widowControl w:val="0"/>
              <w:jc w:val="left"/>
            </w:pPr>
          </w:p>
        </w:tc>
      </w:tr>
      <w:tr w:rsidR="00AD245D" w14:paraId="5F958786" w14:textId="77777777" w:rsidTr="00B35061">
        <w:tc>
          <w:tcPr>
            <w:tcW w:w="3083" w:type="dxa"/>
            <w:shd w:val="clear" w:color="auto" w:fill="auto"/>
          </w:tcPr>
          <w:p w14:paraId="09315D59" w14:textId="3C35638B" w:rsidR="00AD245D" w:rsidRDefault="000F4B12" w:rsidP="004B1BCC">
            <w:pPr>
              <w:pStyle w:val="Normal1linespace"/>
              <w:widowControl w:val="0"/>
              <w:jc w:val="left"/>
            </w:pPr>
            <w:r>
              <w:t xml:space="preserve">Solicitor for the First </w:t>
            </w:r>
            <w:r w:rsidRPr="003F7EDE">
              <w:t>and</w:t>
            </w:r>
            <w:r>
              <w:t xml:space="preserve"> Third</w:t>
            </w:r>
            <w:r w:rsidRPr="003F7EDE">
              <w:t xml:space="preserve"> </w:t>
            </w:r>
            <w:r>
              <w:t>–</w:t>
            </w:r>
            <w:r w:rsidRPr="003F7EDE">
              <w:t xml:space="preserve"> </w:t>
            </w:r>
            <w:r>
              <w:t>Seventh Applicants:</w:t>
            </w:r>
          </w:p>
        </w:tc>
        <w:tc>
          <w:tcPr>
            <w:tcW w:w="5989" w:type="dxa"/>
            <w:shd w:val="clear" w:color="auto" w:fill="auto"/>
          </w:tcPr>
          <w:p w14:paraId="45D6E17E" w14:textId="33F77F89" w:rsidR="00AD245D" w:rsidRDefault="003B6A40" w:rsidP="004B1BCC">
            <w:pPr>
              <w:pStyle w:val="Normal1linespace"/>
              <w:widowControl w:val="0"/>
              <w:jc w:val="left"/>
            </w:pPr>
            <w:r w:rsidRPr="003B6A40">
              <w:t>Shaba &amp; Thomas Lawyers</w:t>
            </w:r>
          </w:p>
        </w:tc>
      </w:tr>
      <w:tr w:rsidR="00AD245D" w14:paraId="515A8A09" w14:textId="77777777" w:rsidTr="00B35061">
        <w:tc>
          <w:tcPr>
            <w:tcW w:w="3083" w:type="dxa"/>
            <w:shd w:val="clear" w:color="auto" w:fill="auto"/>
          </w:tcPr>
          <w:p w14:paraId="48B4C7F3" w14:textId="77777777" w:rsidR="00AD245D" w:rsidRDefault="00AD245D" w:rsidP="004B1BCC">
            <w:pPr>
              <w:pStyle w:val="Normal1linespace"/>
              <w:widowControl w:val="0"/>
              <w:jc w:val="left"/>
            </w:pPr>
          </w:p>
        </w:tc>
        <w:tc>
          <w:tcPr>
            <w:tcW w:w="5989" w:type="dxa"/>
            <w:shd w:val="clear" w:color="auto" w:fill="auto"/>
          </w:tcPr>
          <w:p w14:paraId="5A678B5E" w14:textId="77777777" w:rsidR="00AD245D" w:rsidRDefault="00AD245D" w:rsidP="004B1BCC">
            <w:pPr>
              <w:pStyle w:val="Normal1linespace"/>
              <w:widowControl w:val="0"/>
              <w:jc w:val="left"/>
            </w:pPr>
          </w:p>
        </w:tc>
      </w:tr>
      <w:tr w:rsidR="009F3654" w14:paraId="5741B42B" w14:textId="77777777" w:rsidTr="00B35061">
        <w:tc>
          <w:tcPr>
            <w:tcW w:w="3083" w:type="dxa"/>
            <w:shd w:val="clear" w:color="auto" w:fill="auto"/>
          </w:tcPr>
          <w:p w14:paraId="0F7B588C" w14:textId="28EEE001" w:rsidR="009F3654" w:rsidRDefault="003F7EDE" w:rsidP="004B1BCC">
            <w:pPr>
              <w:pStyle w:val="Normal1linespace"/>
              <w:widowControl w:val="0"/>
              <w:jc w:val="left"/>
            </w:pPr>
            <w:r>
              <w:t xml:space="preserve">Counsel for the </w:t>
            </w:r>
            <w:r w:rsidR="000F4B12">
              <w:t xml:space="preserve">Second </w:t>
            </w:r>
            <w:r>
              <w:t xml:space="preserve">– </w:t>
            </w:r>
            <w:r w:rsidR="000F4B12">
              <w:t>15</w:t>
            </w:r>
            <w:r w:rsidR="000F4B12" w:rsidRPr="000F4B12">
              <w:rPr>
                <w:vertAlign w:val="superscript"/>
              </w:rPr>
              <w:t>th</w:t>
            </w:r>
            <w:r>
              <w:t xml:space="preserve"> Respondents:</w:t>
            </w:r>
          </w:p>
        </w:tc>
        <w:tc>
          <w:tcPr>
            <w:tcW w:w="5989" w:type="dxa"/>
            <w:shd w:val="clear" w:color="auto" w:fill="auto"/>
          </w:tcPr>
          <w:p w14:paraId="0A00AEE1" w14:textId="523B612D" w:rsidR="009F3654" w:rsidRDefault="003F7EDE" w:rsidP="004B1BCC">
            <w:pPr>
              <w:pStyle w:val="Normal1linespace"/>
              <w:widowControl w:val="0"/>
              <w:jc w:val="left"/>
            </w:pPr>
            <w:r>
              <w:t>Mr AJ McInerney</w:t>
            </w:r>
            <w:r w:rsidR="001C7E5A">
              <w:t xml:space="preserve"> SC with </w:t>
            </w:r>
            <w:r w:rsidR="00D33EB8">
              <w:t xml:space="preserve">Mr F Tao </w:t>
            </w:r>
          </w:p>
        </w:tc>
      </w:tr>
      <w:tr w:rsidR="003F7EDE" w14:paraId="0E066DCA" w14:textId="77777777" w:rsidTr="00B35061">
        <w:tc>
          <w:tcPr>
            <w:tcW w:w="3083" w:type="dxa"/>
            <w:shd w:val="clear" w:color="auto" w:fill="auto"/>
          </w:tcPr>
          <w:p w14:paraId="4A9427D0" w14:textId="77777777" w:rsidR="003F7EDE" w:rsidRDefault="003F7EDE" w:rsidP="004B1BCC">
            <w:pPr>
              <w:pStyle w:val="Normal1linespace"/>
              <w:widowControl w:val="0"/>
              <w:jc w:val="left"/>
            </w:pPr>
          </w:p>
        </w:tc>
        <w:tc>
          <w:tcPr>
            <w:tcW w:w="5989" w:type="dxa"/>
            <w:shd w:val="clear" w:color="auto" w:fill="auto"/>
          </w:tcPr>
          <w:p w14:paraId="30C844DC" w14:textId="77777777" w:rsidR="003F7EDE" w:rsidRDefault="003F7EDE" w:rsidP="004B1BCC">
            <w:pPr>
              <w:pStyle w:val="Normal1linespace"/>
              <w:widowControl w:val="0"/>
              <w:jc w:val="left"/>
            </w:pPr>
          </w:p>
        </w:tc>
      </w:tr>
      <w:tr w:rsidR="00AD245D" w14:paraId="11FEACC1" w14:textId="77777777" w:rsidTr="00B35061">
        <w:tc>
          <w:tcPr>
            <w:tcW w:w="3083" w:type="dxa"/>
            <w:shd w:val="clear" w:color="auto" w:fill="auto"/>
          </w:tcPr>
          <w:p w14:paraId="009617D7" w14:textId="5B67E3A3" w:rsidR="00AD245D" w:rsidRDefault="00AD245D" w:rsidP="004B1BCC">
            <w:pPr>
              <w:pStyle w:val="Normal1linespace"/>
              <w:widowControl w:val="0"/>
              <w:jc w:val="left"/>
            </w:pPr>
            <w:r>
              <w:t xml:space="preserve">Solicitor </w:t>
            </w:r>
            <w:r w:rsidR="000F4B12">
              <w:t>for the Second – 15</w:t>
            </w:r>
            <w:r w:rsidR="000F4B12" w:rsidRPr="000F4B12">
              <w:rPr>
                <w:vertAlign w:val="superscript"/>
              </w:rPr>
              <w:t>th</w:t>
            </w:r>
            <w:r w:rsidR="000F4B12">
              <w:t xml:space="preserve"> Respondents:</w:t>
            </w:r>
          </w:p>
        </w:tc>
        <w:tc>
          <w:tcPr>
            <w:tcW w:w="5989" w:type="dxa"/>
            <w:shd w:val="clear" w:color="auto" w:fill="auto"/>
          </w:tcPr>
          <w:p w14:paraId="191D3ECB" w14:textId="0F949596" w:rsidR="00AD245D" w:rsidRDefault="003F7CD3" w:rsidP="004B1BCC">
            <w:pPr>
              <w:pStyle w:val="Normal1linespace"/>
              <w:widowControl w:val="0"/>
              <w:jc w:val="left"/>
            </w:pPr>
            <w:r>
              <w:t>Norton Rose Fulbright Australia</w:t>
            </w:r>
            <w:r w:rsidR="00F40B45">
              <w:t xml:space="preserve"> </w:t>
            </w:r>
          </w:p>
        </w:tc>
      </w:tr>
      <w:tr w:rsidR="00AD245D" w14:paraId="4B249187" w14:textId="77777777" w:rsidTr="00B35061">
        <w:tc>
          <w:tcPr>
            <w:tcW w:w="3083" w:type="dxa"/>
            <w:shd w:val="clear" w:color="auto" w:fill="auto"/>
          </w:tcPr>
          <w:p w14:paraId="40F49BD2" w14:textId="77777777" w:rsidR="00AD245D" w:rsidRDefault="00AD245D" w:rsidP="004B1BCC">
            <w:pPr>
              <w:pStyle w:val="Normal1linespace"/>
              <w:widowControl w:val="0"/>
              <w:jc w:val="left"/>
            </w:pPr>
          </w:p>
        </w:tc>
        <w:tc>
          <w:tcPr>
            <w:tcW w:w="5989" w:type="dxa"/>
            <w:shd w:val="clear" w:color="auto" w:fill="auto"/>
          </w:tcPr>
          <w:p w14:paraId="030AA9E6" w14:textId="77777777" w:rsidR="00AD245D" w:rsidRDefault="00AD245D" w:rsidP="004B1BCC">
            <w:pPr>
              <w:pStyle w:val="Normal1linespace"/>
              <w:widowControl w:val="0"/>
              <w:jc w:val="left"/>
            </w:pPr>
          </w:p>
        </w:tc>
      </w:tr>
      <w:tr w:rsidR="003F7EDE" w14:paraId="653B7A2E" w14:textId="77777777" w:rsidTr="00B35061">
        <w:tc>
          <w:tcPr>
            <w:tcW w:w="3083" w:type="dxa"/>
            <w:shd w:val="clear" w:color="auto" w:fill="auto"/>
          </w:tcPr>
          <w:p w14:paraId="7E2A9405" w14:textId="12D54C02" w:rsidR="003F7EDE" w:rsidRDefault="005C020F" w:rsidP="004B1BCC">
            <w:pPr>
              <w:pStyle w:val="Normal1linespace"/>
              <w:widowControl w:val="0"/>
              <w:jc w:val="left"/>
            </w:pPr>
            <w:r>
              <w:t xml:space="preserve">Counsel for the </w:t>
            </w:r>
            <w:r w:rsidR="00A70CA8">
              <w:t>Defendant/49</w:t>
            </w:r>
            <w:r w:rsidR="00A70CA8" w:rsidRPr="00A70CA8">
              <w:rPr>
                <w:vertAlign w:val="superscript"/>
              </w:rPr>
              <w:t>th</w:t>
            </w:r>
            <w:r w:rsidR="00A70CA8">
              <w:t xml:space="preserve"> Respondent and </w:t>
            </w:r>
            <w:r>
              <w:t>48</w:t>
            </w:r>
            <w:r w:rsidRPr="001C7E5A">
              <w:rPr>
                <w:vertAlign w:val="superscript"/>
              </w:rPr>
              <w:t>th</w:t>
            </w:r>
            <w:r>
              <w:t xml:space="preserve"> </w:t>
            </w:r>
            <w:r w:rsidR="000C4C5E">
              <w:t>Respondent</w:t>
            </w:r>
            <w:r>
              <w:t>:</w:t>
            </w:r>
          </w:p>
        </w:tc>
        <w:tc>
          <w:tcPr>
            <w:tcW w:w="5989" w:type="dxa"/>
            <w:shd w:val="clear" w:color="auto" w:fill="auto"/>
          </w:tcPr>
          <w:p w14:paraId="427D8A9D" w14:textId="11A36753" w:rsidR="003F7EDE" w:rsidRDefault="00B950DD" w:rsidP="004B1BCC">
            <w:pPr>
              <w:pStyle w:val="Normal1linespace"/>
              <w:widowControl w:val="0"/>
              <w:jc w:val="left"/>
            </w:pPr>
            <w:r>
              <w:t>Ms N Bailey</w:t>
            </w:r>
          </w:p>
        </w:tc>
      </w:tr>
      <w:tr w:rsidR="003F7EDE" w14:paraId="77F4F3CA" w14:textId="77777777" w:rsidTr="00B35061">
        <w:tc>
          <w:tcPr>
            <w:tcW w:w="3083" w:type="dxa"/>
            <w:shd w:val="clear" w:color="auto" w:fill="auto"/>
          </w:tcPr>
          <w:p w14:paraId="13C894CD" w14:textId="77777777" w:rsidR="003F7EDE" w:rsidRDefault="003F7EDE" w:rsidP="004B1BCC">
            <w:pPr>
              <w:pStyle w:val="Normal1linespace"/>
              <w:widowControl w:val="0"/>
              <w:jc w:val="left"/>
            </w:pPr>
          </w:p>
        </w:tc>
        <w:tc>
          <w:tcPr>
            <w:tcW w:w="5989" w:type="dxa"/>
            <w:shd w:val="clear" w:color="auto" w:fill="auto"/>
          </w:tcPr>
          <w:p w14:paraId="11013FB0" w14:textId="77777777" w:rsidR="003F7EDE" w:rsidRDefault="003F7EDE" w:rsidP="004B1BCC">
            <w:pPr>
              <w:pStyle w:val="Normal1linespace"/>
              <w:widowControl w:val="0"/>
              <w:jc w:val="left"/>
            </w:pPr>
          </w:p>
        </w:tc>
      </w:tr>
      <w:tr w:rsidR="00AD245D" w14:paraId="7FB86308" w14:textId="77777777" w:rsidTr="00B35061">
        <w:tc>
          <w:tcPr>
            <w:tcW w:w="3083" w:type="dxa"/>
            <w:shd w:val="clear" w:color="auto" w:fill="auto"/>
          </w:tcPr>
          <w:p w14:paraId="2000E39D" w14:textId="0D1F67C0" w:rsidR="00AD245D" w:rsidRDefault="00A72C43" w:rsidP="004B1BCC">
            <w:pPr>
              <w:pStyle w:val="Normal1linespace"/>
              <w:widowControl w:val="0"/>
              <w:jc w:val="left"/>
            </w:pPr>
            <w:r>
              <w:t>Solicitor</w:t>
            </w:r>
            <w:r w:rsidR="00A70CA8">
              <w:t xml:space="preserve"> for the Defendant/49</w:t>
            </w:r>
            <w:r w:rsidR="00A70CA8" w:rsidRPr="00A70CA8">
              <w:rPr>
                <w:vertAlign w:val="superscript"/>
              </w:rPr>
              <w:t>th</w:t>
            </w:r>
            <w:r w:rsidR="00A70CA8">
              <w:t xml:space="preserve"> Respondent and 48</w:t>
            </w:r>
            <w:r w:rsidR="00A70CA8" w:rsidRPr="001C7E5A">
              <w:rPr>
                <w:vertAlign w:val="superscript"/>
              </w:rPr>
              <w:t>th</w:t>
            </w:r>
            <w:r w:rsidR="00A70CA8">
              <w:t xml:space="preserve"> Respondent:</w:t>
            </w:r>
          </w:p>
        </w:tc>
        <w:tc>
          <w:tcPr>
            <w:tcW w:w="5989" w:type="dxa"/>
            <w:shd w:val="clear" w:color="auto" w:fill="auto"/>
          </w:tcPr>
          <w:p w14:paraId="5D28C271" w14:textId="7C049EA6" w:rsidR="00AD245D" w:rsidRDefault="000F7272" w:rsidP="004B1BCC">
            <w:pPr>
              <w:pStyle w:val="Normal1linespace"/>
              <w:widowControl w:val="0"/>
              <w:jc w:val="left"/>
            </w:pPr>
            <w:r>
              <w:t>Johnson Winter &amp; Slattery</w:t>
            </w:r>
          </w:p>
        </w:tc>
      </w:tr>
      <w:tr w:rsidR="00AD245D" w14:paraId="67CE01D9" w14:textId="77777777" w:rsidTr="00B35061">
        <w:tc>
          <w:tcPr>
            <w:tcW w:w="3083" w:type="dxa"/>
            <w:shd w:val="clear" w:color="auto" w:fill="auto"/>
          </w:tcPr>
          <w:p w14:paraId="220648C9" w14:textId="77777777" w:rsidR="00AD245D" w:rsidRDefault="00AD245D" w:rsidP="004B1BCC">
            <w:pPr>
              <w:pStyle w:val="Normal1linespace"/>
              <w:widowControl w:val="0"/>
              <w:jc w:val="left"/>
            </w:pPr>
          </w:p>
        </w:tc>
        <w:tc>
          <w:tcPr>
            <w:tcW w:w="5989" w:type="dxa"/>
            <w:shd w:val="clear" w:color="auto" w:fill="auto"/>
          </w:tcPr>
          <w:p w14:paraId="66230043" w14:textId="77777777" w:rsidR="00AD245D" w:rsidRDefault="00AD245D" w:rsidP="004B1BCC">
            <w:pPr>
              <w:pStyle w:val="Normal1linespace"/>
              <w:widowControl w:val="0"/>
              <w:jc w:val="left"/>
            </w:pPr>
          </w:p>
        </w:tc>
      </w:tr>
      <w:tr w:rsidR="003F7EDE" w14:paraId="18C42486" w14:textId="77777777" w:rsidTr="00B35061">
        <w:tc>
          <w:tcPr>
            <w:tcW w:w="3083" w:type="dxa"/>
            <w:shd w:val="clear" w:color="auto" w:fill="auto"/>
          </w:tcPr>
          <w:p w14:paraId="5520B5E9" w14:textId="07B89B3B" w:rsidR="003F7EDE" w:rsidRDefault="005C020F" w:rsidP="004B1BCC">
            <w:pPr>
              <w:pStyle w:val="Normal1linespace"/>
              <w:widowControl w:val="0"/>
              <w:jc w:val="left"/>
            </w:pPr>
            <w:r>
              <w:t>Counsel for the 18</w:t>
            </w:r>
            <w:r w:rsidRPr="001C7E5A">
              <w:rPr>
                <w:vertAlign w:val="superscript"/>
              </w:rPr>
              <w:t>th</w:t>
            </w:r>
            <w:r>
              <w:t xml:space="preserve"> and 19</w:t>
            </w:r>
            <w:r w:rsidRPr="001C7E5A">
              <w:rPr>
                <w:vertAlign w:val="superscript"/>
              </w:rPr>
              <w:t>th</w:t>
            </w:r>
            <w:r>
              <w:t xml:space="preserve"> </w:t>
            </w:r>
            <w:r w:rsidR="00E5485D">
              <w:t>R</w:t>
            </w:r>
            <w:r>
              <w:t>espondents:</w:t>
            </w:r>
          </w:p>
        </w:tc>
        <w:tc>
          <w:tcPr>
            <w:tcW w:w="5989" w:type="dxa"/>
            <w:shd w:val="clear" w:color="auto" w:fill="auto"/>
          </w:tcPr>
          <w:p w14:paraId="62EF7E10" w14:textId="57E40631" w:rsidR="003F7EDE" w:rsidRDefault="00B950DD" w:rsidP="004B1BCC">
            <w:pPr>
              <w:pStyle w:val="Normal1linespace"/>
              <w:widowControl w:val="0"/>
              <w:jc w:val="left"/>
            </w:pPr>
            <w:r>
              <w:t>Mr S</w:t>
            </w:r>
            <w:r w:rsidR="00282CA1">
              <w:t>A</w:t>
            </w:r>
            <w:r>
              <w:t xml:space="preserve"> Lees</w:t>
            </w:r>
          </w:p>
        </w:tc>
      </w:tr>
      <w:tr w:rsidR="00B950DD" w14:paraId="6D56DA43" w14:textId="77777777" w:rsidTr="00B35061">
        <w:tc>
          <w:tcPr>
            <w:tcW w:w="3083" w:type="dxa"/>
            <w:shd w:val="clear" w:color="auto" w:fill="auto"/>
          </w:tcPr>
          <w:p w14:paraId="1279C8DD" w14:textId="77777777" w:rsidR="00B950DD" w:rsidRDefault="00B950DD" w:rsidP="004B1BCC">
            <w:pPr>
              <w:pStyle w:val="Normal1linespace"/>
              <w:widowControl w:val="0"/>
              <w:jc w:val="left"/>
            </w:pPr>
          </w:p>
        </w:tc>
        <w:tc>
          <w:tcPr>
            <w:tcW w:w="5989" w:type="dxa"/>
            <w:shd w:val="clear" w:color="auto" w:fill="auto"/>
          </w:tcPr>
          <w:p w14:paraId="651B8F57" w14:textId="77777777" w:rsidR="00B950DD" w:rsidRDefault="00B950DD" w:rsidP="004B1BCC">
            <w:pPr>
              <w:pStyle w:val="Normal1linespace"/>
              <w:widowControl w:val="0"/>
              <w:jc w:val="left"/>
            </w:pPr>
          </w:p>
        </w:tc>
      </w:tr>
      <w:tr w:rsidR="004B1BCC" w14:paraId="19F4F38C" w14:textId="77777777" w:rsidTr="00B35061">
        <w:tc>
          <w:tcPr>
            <w:tcW w:w="3083" w:type="dxa"/>
            <w:shd w:val="clear" w:color="auto" w:fill="auto"/>
          </w:tcPr>
          <w:p w14:paraId="6A446EE9" w14:textId="7C9EDC98" w:rsidR="004B1BCC" w:rsidRDefault="00B950DD" w:rsidP="004B1BCC">
            <w:pPr>
              <w:pStyle w:val="Normal1linespace"/>
              <w:widowControl w:val="0"/>
              <w:jc w:val="left"/>
            </w:pPr>
            <w:r>
              <w:t>Solicitor for the 18</w:t>
            </w:r>
            <w:r w:rsidRPr="00892B9B">
              <w:rPr>
                <w:vertAlign w:val="superscript"/>
              </w:rPr>
              <w:t>th</w:t>
            </w:r>
            <w:r>
              <w:t xml:space="preserve"> and 19</w:t>
            </w:r>
            <w:r w:rsidRPr="00892B9B">
              <w:rPr>
                <w:vertAlign w:val="superscript"/>
              </w:rPr>
              <w:t>th</w:t>
            </w:r>
            <w:r>
              <w:t xml:space="preserve"> </w:t>
            </w:r>
            <w:r w:rsidR="00E5485D">
              <w:t>Re</w:t>
            </w:r>
            <w:r>
              <w:t>spondents:</w:t>
            </w:r>
          </w:p>
        </w:tc>
        <w:tc>
          <w:tcPr>
            <w:tcW w:w="5989" w:type="dxa"/>
            <w:shd w:val="clear" w:color="auto" w:fill="auto"/>
          </w:tcPr>
          <w:p w14:paraId="5E5FBD7B" w14:textId="434E2C27" w:rsidR="004B1BCC" w:rsidRDefault="003350F2" w:rsidP="004B1BCC">
            <w:pPr>
              <w:pStyle w:val="Normal1linespace"/>
              <w:widowControl w:val="0"/>
              <w:jc w:val="left"/>
            </w:pPr>
            <w:r>
              <w:t>Brown Wright Stein</w:t>
            </w:r>
          </w:p>
        </w:tc>
      </w:tr>
      <w:bookmarkEnd w:id="10"/>
    </w:tbl>
    <w:p w14:paraId="526BB01E" w14:textId="77777777" w:rsidR="007470BD" w:rsidRDefault="007470BD">
      <w:pPr>
        <w:pStyle w:val="Normal1linespace"/>
      </w:pPr>
    </w:p>
    <w:p w14:paraId="08504E36" w14:textId="77777777" w:rsidR="00E94CBF" w:rsidRDefault="00E94CBF">
      <w:pPr>
        <w:pStyle w:val="Normal1linespace"/>
      </w:pPr>
    </w:p>
    <w:p w14:paraId="0BD522E5"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0AA8644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17B92C26" w14:textId="77777777" w:rsidTr="00494B40">
        <w:tc>
          <w:tcPr>
            <w:tcW w:w="6912" w:type="dxa"/>
            <w:gridSpan w:val="2"/>
          </w:tcPr>
          <w:p w14:paraId="791C2E17" w14:textId="77777777" w:rsidR="00A46CCC" w:rsidRPr="001765E0" w:rsidRDefault="00A46CCC" w:rsidP="00525A49">
            <w:pPr>
              <w:pStyle w:val="NormalHeadings"/>
            </w:pPr>
          </w:p>
        </w:tc>
        <w:tc>
          <w:tcPr>
            <w:tcW w:w="2330" w:type="dxa"/>
          </w:tcPr>
          <w:p w14:paraId="492125EF" w14:textId="77777777" w:rsidR="00A46CCC" w:rsidRDefault="0026360C" w:rsidP="00F92355">
            <w:pPr>
              <w:pStyle w:val="NormalHeadings"/>
              <w:jc w:val="right"/>
            </w:pPr>
            <w:bookmarkStart w:id="12" w:name="FileNo"/>
            <w:r>
              <w:t>NSD 1510 of 2017</w:t>
            </w:r>
            <w:bookmarkEnd w:id="12"/>
          </w:p>
        </w:tc>
      </w:tr>
      <w:tr w:rsidR="00A76C13" w14:paraId="59F0C74C" w14:textId="77777777" w:rsidTr="00494B40">
        <w:tc>
          <w:tcPr>
            <w:tcW w:w="9242" w:type="dxa"/>
            <w:gridSpan w:val="3"/>
          </w:tcPr>
          <w:p w14:paraId="35DF7DFB" w14:textId="77777777" w:rsidR="00A76C13" w:rsidRPr="00A76C13" w:rsidRDefault="0026360C" w:rsidP="0026360C">
            <w:pPr>
              <w:pStyle w:val="NormalHeadings"/>
              <w:jc w:val="left"/>
            </w:pPr>
            <w:bookmarkStart w:id="13" w:name="InTheMatterOf"/>
            <w:r>
              <w:t xml:space="preserve"> </w:t>
            </w:r>
            <w:bookmarkEnd w:id="13"/>
          </w:p>
        </w:tc>
      </w:tr>
      <w:tr w:rsidR="00A46CCC" w14:paraId="7C218381" w14:textId="77777777" w:rsidTr="00494B40">
        <w:trPr>
          <w:trHeight w:val="386"/>
        </w:trPr>
        <w:tc>
          <w:tcPr>
            <w:tcW w:w="2376" w:type="dxa"/>
          </w:tcPr>
          <w:p w14:paraId="051A8288" w14:textId="77777777" w:rsidR="00A46CCC" w:rsidRDefault="00A46CCC" w:rsidP="00C32D32">
            <w:pPr>
              <w:pStyle w:val="NormalHeadings"/>
              <w:jc w:val="left"/>
              <w:rPr>
                <w:caps/>
                <w:szCs w:val="24"/>
              </w:rPr>
            </w:pPr>
            <w:bookmarkStart w:id="14" w:name="Parties"/>
            <w:r>
              <w:rPr>
                <w:caps/>
                <w:szCs w:val="24"/>
              </w:rPr>
              <w:t>BETWEEN:</w:t>
            </w:r>
          </w:p>
        </w:tc>
        <w:tc>
          <w:tcPr>
            <w:tcW w:w="6866" w:type="dxa"/>
            <w:gridSpan w:val="2"/>
          </w:tcPr>
          <w:p w14:paraId="650E5FAA" w14:textId="77777777" w:rsidR="0026360C" w:rsidRDefault="0026360C" w:rsidP="0026360C">
            <w:pPr>
              <w:pStyle w:val="NormalHeadings"/>
              <w:jc w:val="left"/>
            </w:pPr>
            <w:bookmarkStart w:id="15" w:name="Applicant"/>
            <w:r>
              <w:t>COMMISSIONER OF TAXATION</w:t>
            </w:r>
          </w:p>
          <w:p w14:paraId="7378E8CD" w14:textId="72CEF43D" w:rsidR="0026360C" w:rsidRDefault="0026360C" w:rsidP="0026360C">
            <w:pPr>
              <w:pStyle w:val="PartyType"/>
            </w:pPr>
            <w:r>
              <w:t>Plaintiff</w:t>
            </w:r>
            <w:r w:rsidR="00494B40">
              <w:t xml:space="preserve"> </w:t>
            </w:r>
          </w:p>
          <w:bookmarkEnd w:id="15"/>
          <w:p w14:paraId="0087FDD5" w14:textId="77777777" w:rsidR="00A46CCC" w:rsidRPr="006555B4" w:rsidRDefault="00A46CCC" w:rsidP="00C32D32">
            <w:pPr>
              <w:pStyle w:val="NormalHeadings"/>
              <w:jc w:val="left"/>
            </w:pPr>
          </w:p>
        </w:tc>
      </w:tr>
      <w:tr w:rsidR="00A46CCC" w14:paraId="6EC2A57A" w14:textId="77777777" w:rsidTr="00494B40">
        <w:trPr>
          <w:trHeight w:val="386"/>
        </w:trPr>
        <w:tc>
          <w:tcPr>
            <w:tcW w:w="2376" w:type="dxa"/>
          </w:tcPr>
          <w:p w14:paraId="2CBEF5BC" w14:textId="77777777" w:rsidR="00A46CCC" w:rsidRDefault="00A46CCC" w:rsidP="00C32D32">
            <w:pPr>
              <w:pStyle w:val="NormalHeadings"/>
              <w:jc w:val="left"/>
              <w:rPr>
                <w:caps/>
                <w:szCs w:val="24"/>
              </w:rPr>
            </w:pPr>
            <w:r>
              <w:rPr>
                <w:caps/>
                <w:szCs w:val="24"/>
              </w:rPr>
              <w:t>AND:</w:t>
            </w:r>
          </w:p>
        </w:tc>
        <w:tc>
          <w:tcPr>
            <w:tcW w:w="6866" w:type="dxa"/>
            <w:gridSpan w:val="2"/>
          </w:tcPr>
          <w:p w14:paraId="34E5F4B4" w14:textId="77777777" w:rsidR="0026360C" w:rsidRDefault="0026360C" w:rsidP="0026360C">
            <w:pPr>
              <w:pStyle w:val="NormalHeadings"/>
              <w:jc w:val="left"/>
            </w:pPr>
            <w:bookmarkStart w:id="16" w:name="Respondent"/>
            <w:r>
              <w:t>MR DAVID NICHOLAS IANNUZZI</w:t>
            </w:r>
          </w:p>
          <w:p w14:paraId="74E97B33" w14:textId="25564BDA" w:rsidR="0026360C" w:rsidRDefault="0026360C" w:rsidP="0026360C">
            <w:pPr>
              <w:pStyle w:val="PartyType"/>
            </w:pPr>
            <w:r>
              <w:t>Defendant</w:t>
            </w:r>
            <w:r w:rsidR="00E665C7">
              <w:t xml:space="preserve"> </w:t>
            </w:r>
          </w:p>
          <w:bookmarkEnd w:id="16"/>
          <w:p w14:paraId="3C283D40" w14:textId="77777777" w:rsidR="00A46CCC" w:rsidRPr="006555B4" w:rsidRDefault="00A46CCC" w:rsidP="00C32D32">
            <w:pPr>
              <w:pStyle w:val="NormalHeadings"/>
              <w:jc w:val="left"/>
            </w:pPr>
          </w:p>
        </w:tc>
      </w:tr>
      <w:tr w:rsidR="00494B40" w14:paraId="570BEB0A" w14:textId="77777777" w:rsidTr="00494B40">
        <w:trPr>
          <w:trHeight w:val="386"/>
        </w:trPr>
        <w:tc>
          <w:tcPr>
            <w:tcW w:w="2376" w:type="dxa"/>
          </w:tcPr>
          <w:p w14:paraId="1A598622" w14:textId="77777777" w:rsidR="00494B40" w:rsidRDefault="00494B40" w:rsidP="00C32D32">
            <w:pPr>
              <w:pStyle w:val="NormalHeadings"/>
              <w:jc w:val="left"/>
              <w:rPr>
                <w:caps/>
                <w:szCs w:val="24"/>
              </w:rPr>
            </w:pPr>
          </w:p>
        </w:tc>
        <w:tc>
          <w:tcPr>
            <w:tcW w:w="6866" w:type="dxa"/>
            <w:gridSpan w:val="2"/>
          </w:tcPr>
          <w:p w14:paraId="777B7A33" w14:textId="77777777" w:rsidR="00494B40" w:rsidRDefault="00494B40" w:rsidP="0026360C">
            <w:pPr>
              <w:pStyle w:val="NormalHeadings"/>
              <w:jc w:val="left"/>
            </w:pPr>
          </w:p>
        </w:tc>
      </w:tr>
      <w:tr w:rsidR="00494B40" w14:paraId="40AEE0E8" w14:textId="77777777" w:rsidTr="00494B40">
        <w:trPr>
          <w:trHeight w:val="386"/>
        </w:trPr>
        <w:tc>
          <w:tcPr>
            <w:tcW w:w="9242" w:type="dxa"/>
            <w:gridSpan w:val="3"/>
          </w:tcPr>
          <w:p w14:paraId="33578C51" w14:textId="797BB1AC" w:rsidR="00494B40" w:rsidRDefault="00494B40" w:rsidP="0026360C">
            <w:pPr>
              <w:pStyle w:val="NormalHeadings"/>
              <w:jc w:val="left"/>
            </w:pPr>
            <w:r>
              <w:t xml:space="preserve">IN THE INTERLOCUTORY APPLICATION: </w:t>
            </w:r>
          </w:p>
        </w:tc>
      </w:tr>
      <w:tr w:rsidR="00494B40" w14:paraId="090AE668" w14:textId="77777777" w:rsidTr="00494B40">
        <w:trPr>
          <w:trHeight w:val="386"/>
        </w:trPr>
        <w:tc>
          <w:tcPr>
            <w:tcW w:w="2376" w:type="dxa"/>
          </w:tcPr>
          <w:p w14:paraId="157CC3E9" w14:textId="2B10E2E6" w:rsidR="00494B40" w:rsidRDefault="00494B40" w:rsidP="00C32D32">
            <w:pPr>
              <w:pStyle w:val="NormalHeadings"/>
              <w:jc w:val="left"/>
              <w:rPr>
                <w:caps/>
                <w:szCs w:val="24"/>
              </w:rPr>
            </w:pPr>
            <w:r>
              <w:rPr>
                <w:caps/>
                <w:szCs w:val="24"/>
              </w:rPr>
              <w:t>BETWEEN:</w:t>
            </w:r>
          </w:p>
        </w:tc>
        <w:tc>
          <w:tcPr>
            <w:tcW w:w="6866" w:type="dxa"/>
            <w:gridSpan w:val="2"/>
          </w:tcPr>
          <w:p w14:paraId="2F351B0E" w14:textId="1AAA8C99" w:rsidR="00494B40" w:rsidRDefault="003D0DE2" w:rsidP="0026360C">
            <w:pPr>
              <w:pStyle w:val="NormalHeadings"/>
              <w:jc w:val="left"/>
            </w:pPr>
            <w:r w:rsidRPr="003D0DE2">
              <w:t>RUNCITY PTY LTD ACN 164 920 432</w:t>
            </w:r>
          </w:p>
          <w:p w14:paraId="5CA2A331" w14:textId="59803BF8" w:rsidR="003D0DE2" w:rsidRPr="003D0DE2" w:rsidRDefault="003D0DE2" w:rsidP="00B57175">
            <w:pPr>
              <w:pStyle w:val="PartyType"/>
              <w:rPr>
                <w:b/>
              </w:rPr>
            </w:pPr>
            <w:r w:rsidRPr="003D0DE2">
              <w:t xml:space="preserve">First Applicant </w:t>
            </w:r>
          </w:p>
          <w:p w14:paraId="6E7491D1" w14:textId="57974070" w:rsidR="003D0DE2" w:rsidRDefault="003D0DE2" w:rsidP="0026360C">
            <w:pPr>
              <w:pStyle w:val="NormalHeadings"/>
              <w:jc w:val="left"/>
            </w:pPr>
          </w:p>
        </w:tc>
      </w:tr>
      <w:tr w:rsidR="00494B40" w14:paraId="28D34757" w14:textId="77777777" w:rsidTr="00494B40">
        <w:trPr>
          <w:trHeight w:val="386"/>
        </w:trPr>
        <w:tc>
          <w:tcPr>
            <w:tcW w:w="2376" w:type="dxa"/>
          </w:tcPr>
          <w:p w14:paraId="6F637BE5" w14:textId="77777777" w:rsidR="00494B40" w:rsidRDefault="00494B40" w:rsidP="00C32D32">
            <w:pPr>
              <w:pStyle w:val="NormalHeadings"/>
              <w:jc w:val="left"/>
              <w:rPr>
                <w:caps/>
                <w:szCs w:val="24"/>
              </w:rPr>
            </w:pPr>
          </w:p>
        </w:tc>
        <w:tc>
          <w:tcPr>
            <w:tcW w:w="6866" w:type="dxa"/>
            <w:gridSpan w:val="2"/>
          </w:tcPr>
          <w:p w14:paraId="16A6DA0E" w14:textId="7A75EEA0" w:rsidR="00494B40" w:rsidRDefault="003D0DE2" w:rsidP="0026360C">
            <w:pPr>
              <w:pStyle w:val="NormalHeadings"/>
              <w:jc w:val="left"/>
            </w:pPr>
            <w:r w:rsidRPr="003D0DE2">
              <w:t>CALABRO REAL ESTATE PTY LTD (IN LIQUIDATION) ACN 07 440 140</w:t>
            </w:r>
          </w:p>
          <w:p w14:paraId="62B33935" w14:textId="3FCB545C" w:rsidR="003D0DE2" w:rsidRPr="003D0DE2" w:rsidRDefault="003D0DE2" w:rsidP="00B57175">
            <w:pPr>
              <w:pStyle w:val="PartyType"/>
              <w:rPr>
                <w:b/>
              </w:rPr>
            </w:pPr>
            <w:r>
              <w:t>Second Applicant</w:t>
            </w:r>
          </w:p>
          <w:p w14:paraId="5694E2F2" w14:textId="0B36780B" w:rsidR="003D0DE2" w:rsidRDefault="003D0DE2" w:rsidP="0026360C">
            <w:pPr>
              <w:pStyle w:val="NormalHeadings"/>
              <w:jc w:val="left"/>
            </w:pPr>
          </w:p>
        </w:tc>
      </w:tr>
      <w:tr w:rsidR="001547F0" w14:paraId="5B6ED898" w14:textId="77777777" w:rsidTr="00494B40">
        <w:trPr>
          <w:trHeight w:val="386"/>
        </w:trPr>
        <w:tc>
          <w:tcPr>
            <w:tcW w:w="2376" w:type="dxa"/>
          </w:tcPr>
          <w:p w14:paraId="686A583C" w14:textId="77777777" w:rsidR="001547F0" w:rsidRDefault="001547F0" w:rsidP="00C32D32">
            <w:pPr>
              <w:pStyle w:val="NormalHeadings"/>
              <w:jc w:val="left"/>
              <w:rPr>
                <w:caps/>
                <w:szCs w:val="24"/>
              </w:rPr>
            </w:pPr>
          </w:p>
        </w:tc>
        <w:tc>
          <w:tcPr>
            <w:tcW w:w="6866" w:type="dxa"/>
            <w:gridSpan w:val="2"/>
          </w:tcPr>
          <w:p w14:paraId="4015FD0F" w14:textId="7A4821F5" w:rsidR="001547F0" w:rsidRDefault="003D0DE2" w:rsidP="0026360C">
            <w:pPr>
              <w:pStyle w:val="NormalHeadings"/>
              <w:jc w:val="left"/>
            </w:pPr>
            <w:r w:rsidRPr="003D0DE2">
              <w:t>INTERFREIGHT TRANSPORT PTY LTD ACN 165 673 085</w:t>
            </w:r>
            <w:r w:rsidR="0025254F">
              <w:t xml:space="preserve"> </w:t>
            </w:r>
            <w:r w:rsidR="0025254F" w:rsidRPr="0025254F">
              <w:rPr>
                <w:b w:val="0"/>
                <w:bCs/>
              </w:rPr>
              <w:t>(and others named in the Schedule)</w:t>
            </w:r>
          </w:p>
          <w:p w14:paraId="037C99CA" w14:textId="2D16F304" w:rsidR="003D0DE2" w:rsidRPr="003D0DE2" w:rsidRDefault="003D0DE2" w:rsidP="00B57175">
            <w:pPr>
              <w:pStyle w:val="PartyType"/>
              <w:rPr>
                <w:b/>
              </w:rPr>
            </w:pPr>
            <w:r w:rsidRPr="003D0DE2">
              <w:t xml:space="preserve">Third Applicant </w:t>
            </w:r>
          </w:p>
          <w:p w14:paraId="52C7F0D4" w14:textId="055D884F" w:rsidR="003D0DE2" w:rsidRDefault="003D0DE2" w:rsidP="0026360C">
            <w:pPr>
              <w:pStyle w:val="NormalHeadings"/>
              <w:jc w:val="left"/>
            </w:pPr>
          </w:p>
        </w:tc>
      </w:tr>
      <w:tr w:rsidR="001547F0" w14:paraId="3B9355E0" w14:textId="77777777" w:rsidTr="00494B40">
        <w:trPr>
          <w:trHeight w:val="386"/>
        </w:trPr>
        <w:tc>
          <w:tcPr>
            <w:tcW w:w="2376" w:type="dxa"/>
          </w:tcPr>
          <w:p w14:paraId="1E07BFB7" w14:textId="5DD074CB" w:rsidR="001547F0" w:rsidRDefault="001547F0" w:rsidP="00C32D32">
            <w:pPr>
              <w:pStyle w:val="NormalHeadings"/>
              <w:jc w:val="left"/>
              <w:rPr>
                <w:caps/>
                <w:szCs w:val="24"/>
              </w:rPr>
            </w:pPr>
            <w:r>
              <w:rPr>
                <w:caps/>
                <w:szCs w:val="24"/>
              </w:rPr>
              <w:t xml:space="preserve">and: </w:t>
            </w:r>
          </w:p>
        </w:tc>
        <w:tc>
          <w:tcPr>
            <w:tcW w:w="6866" w:type="dxa"/>
            <w:gridSpan w:val="2"/>
          </w:tcPr>
          <w:p w14:paraId="24699C5F" w14:textId="77777777" w:rsidR="001547F0" w:rsidRDefault="009B762C" w:rsidP="0026360C">
            <w:pPr>
              <w:pStyle w:val="NormalHeadings"/>
              <w:jc w:val="left"/>
            </w:pPr>
            <w:r w:rsidRPr="009B762C">
              <w:t>COMMISSIONER OF TAXATION</w:t>
            </w:r>
          </w:p>
          <w:p w14:paraId="0BE1B2F0" w14:textId="77777777" w:rsidR="009B762C" w:rsidRDefault="009B762C" w:rsidP="00B57175">
            <w:pPr>
              <w:pStyle w:val="PartyType"/>
              <w:rPr>
                <w:b/>
              </w:rPr>
            </w:pPr>
            <w:r>
              <w:t xml:space="preserve">First Respondent </w:t>
            </w:r>
          </w:p>
          <w:p w14:paraId="2A528A60" w14:textId="50E0408A" w:rsidR="009B762C" w:rsidRPr="009B762C" w:rsidRDefault="009B762C" w:rsidP="0026360C">
            <w:pPr>
              <w:pStyle w:val="NormalHeadings"/>
              <w:jc w:val="left"/>
              <w:rPr>
                <w:b w:val="0"/>
                <w:bCs/>
              </w:rPr>
            </w:pPr>
          </w:p>
        </w:tc>
      </w:tr>
      <w:tr w:rsidR="001547F0" w14:paraId="4F11470B" w14:textId="77777777" w:rsidTr="00494B40">
        <w:trPr>
          <w:trHeight w:val="386"/>
        </w:trPr>
        <w:tc>
          <w:tcPr>
            <w:tcW w:w="2376" w:type="dxa"/>
          </w:tcPr>
          <w:p w14:paraId="6AB09097" w14:textId="77777777" w:rsidR="001547F0" w:rsidRDefault="001547F0" w:rsidP="00C32D32">
            <w:pPr>
              <w:pStyle w:val="NormalHeadings"/>
              <w:jc w:val="left"/>
              <w:rPr>
                <w:caps/>
                <w:szCs w:val="24"/>
              </w:rPr>
            </w:pPr>
          </w:p>
        </w:tc>
        <w:tc>
          <w:tcPr>
            <w:tcW w:w="6866" w:type="dxa"/>
            <w:gridSpan w:val="2"/>
          </w:tcPr>
          <w:p w14:paraId="19AE2A70" w14:textId="362EB635" w:rsidR="001547F0" w:rsidRDefault="009B762C" w:rsidP="0026360C">
            <w:pPr>
              <w:pStyle w:val="NormalHeadings"/>
              <w:jc w:val="left"/>
            </w:pPr>
            <w:r w:rsidRPr="009B762C">
              <w:t>RC GROUP AUSTRALIA PTY LTD (IN LIQUIDATION) ACN</w:t>
            </w:r>
            <w:r w:rsidR="002C6EAE">
              <w:t> </w:t>
            </w:r>
            <w:r w:rsidRPr="009B762C">
              <w:t>164 000 462</w:t>
            </w:r>
            <w:r w:rsidR="0025254F">
              <w:t xml:space="preserve"> </w:t>
            </w:r>
            <w:r w:rsidR="0025254F" w:rsidRPr="0025254F">
              <w:rPr>
                <w:b w:val="0"/>
                <w:bCs/>
              </w:rPr>
              <w:t>(and others named in the Schedule)</w:t>
            </w:r>
          </w:p>
          <w:p w14:paraId="2ABB8616" w14:textId="5FEEF097" w:rsidR="009B762C" w:rsidRDefault="009B762C" w:rsidP="00B57175">
            <w:pPr>
              <w:pStyle w:val="PartyType"/>
              <w:rPr>
                <w:b/>
              </w:rPr>
            </w:pPr>
            <w:r w:rsidRPr="009B762C">
              <w:t xml:space="preserve">Second Respondent </w:t>
            </w:r>
          </w:p>
          <w:p w14:paraId="12A7EBE4" w14:textId="24331F9E" w:rsidR="009B762C" w:rsidRPr="009B762C" w:rsidRDefault="009B762C" w:rsidP="0026360C">
            <w:pPr>
              <w:pStyle w:val="NormalHeadings"/>
              <w:jc w:val="left"/>
              <w:rPr>
                <w:b w:val="0"/>
                <w:bCs/>
              </w:rPr>
            </w:pPr>
          </w:p>
        </w:tc>
      </w:tr>
    </w:tbl>
    <w:p w14:paraId="3C53225F"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1BA01059" w14:textId="77777777">
        <w:tc>
          <w:tcPr>
            <w:tcW w:w="2376" w:type="dxa"/>
          </w:tcPr>
          <w:p w14:paraId="5C5A6376"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12A6949D" w14:textId="77777777" w:rsidR="00395B24" w:rsidRDefault="0026360C">
            <w:pPr>
              <w:pStyle w:val="NormalHeadings"/>
              <w:jc w:val="left"/>
              <w:rPr>
                <w:caps/>
                <w:szCs w:val="24"/>
              </w:rPr>
            </w:pPr>
            <w:bookmarkStart w:id="19" w:name="Judge"/>
            <w:r>
              <w:rPr>
                <w:caps/>
                <w:szCs w:val="24"/>
              </w:rPr>
              <w:t>MARKOVIC J</w:t>
            </w:r>
            <w:bookmarkEnd w:id="19"/>
          </w:p>
        </w:tc>
      </w:tr>
      <w:tr w:rsidR="00395B24" w14:paraId="5A0F1C6A" w14:textId="77777777">
        <w:tc>
          <w:tcPr>
            <w:tcW w:w="2376" w:type="dxa"/>
          </w:tcPr>
          <w:p w14:paraId="669FDA7B" w14:textId="77777777" w:rsidR="00395B24" w:rsidRDefault="002C7385">
            <w:pPr>
              <w:pStyle w:val="NormalHeadings"/>
              <w:spacing w:after="120"/>
              <w:jc w:val="left"/>
              <w:rPr>
                <w:caps/>
                <w:szCs w:val="24"/>
              </w:rPr>
            </w:pPr>
            <w:r>
              <w:rPr>
                <w:caps/>
                <w:szCs w:val="24"/>
              </w:rPr>
              <w:t>DATE OF ORDER:</w:t>
            </w:r>
          </w:p>
        </w:tc>
        <w:tc>
          <w:tcPr>
            <w:tcW w:w="6866" w:type="dxa"/>
          </w:tcPr>
          <w:p w14:paraId="1D8D8AB6" w14:textId="1E2117A0" w:rsidR="00395B24" w:rsidRDefault="00282C78">
            <w:pPr>
              <w:pStyle w:val="NormalHeadings"/>
              <w:jc w:val="left"/>
              <w:rPr>
                <w:caps/>
                <w:szCs w:val="24"/>
              </w:rPr>
            </w:pPr>
            <w:bookmarkStart w:id="20" w:name="Judgment_Dated"/>
            <w:r>
              <w:rPr>
                <w:caps/>
                <w:szCs w:val="24"/>
              </w:rPr>
              <w:t>2 february 2024</w:t>
            </w:r>
            <w:bookmarkEnd w:id="20"/>
          </w:p>
        </w:tc>
      </w:tr>
    </w:tbl>
    <w:p w14:paraId="10C20679" w14:textId="77777777" w:rsidR="00395B24" w:rsidRDefault="00395B24">
      <w:pPr>
        <w:pStyle w:val="NormalHeadings"/>
        <w:rPr>
          <w:b w:val="0"/>
        </w:rPr>
      </w:pPr>
    </w:p>
    <w:p w14:paraId="7E7EFC03" w14:textId="77777777" w:rsidR="008D1617" w:rsidRDefault="008D1617">
      <w:pPr>
        <w:pStyle w:val="NormalHeadings"/>
        <w:rPr>
          <w:b w:val="0"/>
        </w:rPr>
      </w:pPr>
    </w:p>
    <w:p w14:paraId="6896F7CC" w14:textId="77777777" w:rsidR="00395B24" w:rsidRDefault="002C7385">
      <w:pPr>
        <w:pStyle w:val="NormalHeadings"/>
      </w:pPr>
      <w:r>
        <w:t>THE COURT ORDERS THAT:</w:t>
      </w:r>
    </w:p>
    <w:p w14:paraId="02AD3EEE" w14:textId="77777777" w:rsidR="007F60DF" w:rsidRDefault="007F60DF" w:rsidP="00243E5E">
      <w:pPr>
        <w:pStyle w:val="NormalHeadings"/>
      </w:pPr>
    </w:p>
    <w:p w14:paraId="76133D79" w14:textId="5246304A" w:rsidR="00766A81" w:rsidRDefault="00D313AC" w:rsidP="00D313AC">
      <w:pPr>
        <w:pStyle w:val="Order1"/>
        <w:numPr>
          <w:ilvl w:val="0"/>
          <w:numId w:val="0"/>
        </w:numPr>
        <w:tabs>
          <w:tab w:val="left" w:pos="720"/>
        </w:tabs>
        <w:ind w:left="720" w:hanging="720"/>
      </w:pPr>
      <w:r>
        <w:t>1.</w:t>
      </w:r>
      <w:r>
        <w:tab/>
      </w:r>
      <w:r w:rsidR="008F0B8B">
        <w:t>T</w:t>
      </w:r>
      <w:r w:rsidR="00CE6E6E">
        <w:t xml:space="preserve">he parties are to confer </w:t>
      </w:r>
      <w:r w:rsidR="00650053">
        <w:t xml:space="preserve">on the form of orders to be made to give effect </w:t>
      </w:r>
      <w:r w:rsidR="00766A81">
        <w:t>to</w:t>
      </w:r>
      <w:r w:rsidR="00650053">
        <w:t xml:space="preserve"> these reasons</w:t>
      </w:r>
      <w:r w:rsidR="00766A81">
        <w:t>.</w:t>
      </w:r>
    </w:p>
    <w:p w14:paraId="24A761E0" w14:textId="611A8AA8" w:rsidR="00913B8C" w:rsidRDefault="00D313AC" w:rsidP="00D313AC">
      <w:pPr>
        <w:pStyle w:val="Order1"/>
        <w:numPr>
          <w:ilvl w:val="0"/>
          <w:numId w:val="0"/>
        </w:numPr>
        <w:tabs>
          <w:tab w:val="left" w:pos="720"/>
        </w:tabs>
        <w:ind w:left="720" w:hanging="720"/>
      </w:pPr>
      <w:r>
        <w:t>2.</w:t>
      </w:r>
      <w:r>
        <w:tab/>
      </w:r>
      <w:r w:rsidR="00913B8C">
        <w:t>Within 14 days of the date of publication of these reasons:</w:t>
      </w:r>
    </w:p>
    <w:p w14:paraId="75D25602" w14:textId="19836731" w:rsidR="009B5420" w:rsidRDefault="00D313AC" w:rsidP="00D313AC">
      <w:pPr>
        <w:pStyle w:val="Order2"/>
        <w:numPr>
          <w:ilvl w:val="0"/>
          <w:numId w:val="0"/>
        </w:numPr>
        <w:ind w:left="1440" w:hanging="720"/>
      </w:pPr>
      <w:r>
        <w:t>(a)</w:t>
      </w:r>
      <w:r>
        <w:tab/>
      </w:r>
      <w:r w:rsidR="00913B8C">
        <w:t>i</w:t>
      </w:r>
      <w:r w:rsidR="00766A81">
        <w:t xml:space="preserve">f the parties can agree on the form of orders to be </w:t>
      </w:r>
      <w:r w:rsidR="00913B8C">
        <w:t>made,</w:t>
      </w:r>
      <w:r w:rsidR="00766A81">
        <w:t xml:space="preserve"> </w:t>
      </w:r>
      <w:r w:rsidR="00913B8C">
        <w:t>including, if agreement can be reached, on the question of costs</w:t>
      </w:r>
      <w:r w:rsidR="008D52E5">
        <w:t xml:space="preserve"> or the manner in which any dispute as to costs is to be resolved</w:t>
      </w:r>
      <w:r w:rsidR="00913B8C">
        <w:t xml:space="preserve">, </w:t>
      </w:r>
      <w:r w:rsidR="00CE6E6E">
        <w:t xml:space="preserve">they are to </w:t>
      </w:r>
      <w:r w:rsidR="009E7550">
        <w:t xml:space="preserve">provide </w:t>
      </w:r>
      <w:r w:rsidR="005A06FA">
        <w:t xml:space="preserve">to </w:t>
      </w:r>
      <w:r w:rsidR="009E7550">
        <w:t>the Associate to Markovic J</w:t>
      </w:r>
      <w:r w:rsidR="00913B8C">
        <w:t xml:space="preserve"> </w:t>
      </w:r>
      <w:r w:rsidR="005A06FA">
        <w:t>draft</w:t>
      </w:r>
      <w:r w:rsidR="009B5420">
        <w:t xml:space="preserve"> orders</w:t>
      </w:r>
      <w:r w:rsidR="00D6652E">
        <w:t xml:space="preserve"> to be made in Chambers</w:t>
      </w:r>
      <w:r w:rsidR="009B5420">
        <w:t xml:space="preserve">; </w:t>
      </w:r>
      <w:r w:rsidR="00913B8C">
        <w:t>or</w:t>
      </w:r>
    </w:p>
    <w:p w14:paraId="606C5FB0" w14:textId="4B1FAED8" w:rsidR="00AC7E84" w:rsidRDefault="00D313AC" w:rsidP="00D313AC">
      <w:pPr>
        <w:pStyle w:val="Order2"/>
        <w:numPr>
          <w:ilvl w:val="0"/>
          <w:numId w:val="0"/>
        </w:numPr>
        <w:ind w:left="1440" w:hanging="720"/>
      </w:pPr>
      <w:r>
        <w:t>(b)</w:t>
      </w:r>
      <w:r>
        <w:tab/>
      </w:r>
      <w:r w:rsidR="00913B8C">
        <w:t>if the parties cannot agree on the form of orders to be made</w:t>
      </w:r>
      <w:r w:rsidR="008F0B8B">
        <w:t>:</w:t>
      </w:r>
    </w:p>
    <w:p w14:paraId="5F01B1FF" w14:textId="3913E407" w:rsidR="002106B3" w:rsidRDefault="00D313AC" w:rsidP="00D313AC">
      <w:pPr>
        <w:pStyle w:val="Order3"/>
        <w:numPr>
          <w:ilvl w:val="0"/>
          <w:numId w:val="0"/>
        </w:numPr>
        <w:tabs>
          <w:tab w:val="left" w:pos="2268"/>
        </w:tabs>
        <w:ind w:left="2988" w:hanging="720"/>
      </w:pPr>
      <w:r>
        <w:lastRenderedPageBreak/>
        <w:t>(</w:t>
      </w:r>
      <w:proofErr w:type="spellStart"/>
      <w:r>
        <w:t>i</w:t>
      </w:r>
      <w:proofErr w:type="spellEnd"/>
      <w:r>
        <w:t>)</w:t>
      </w:r>
      <w:r>
        <w:tab/>
      </w:r>
      <w:r w:rsidR="00913B8C">
        <w:t>each party is to provide to the Associate to Markovic J their proposed draft orders including on the question of costs</w:t>
      </w:r>
      <w:r w:rsidR="00C638D9">
        <w:t xml:space="preserve">, </w:t>
      </w:r>
      <w:r w:rsidR="00913B8C">
        <w:t>the manner in which any extant applications for costs are to be dealt with by the Court</w:t>
      </w:r>
      <w:r w:rsidR="00C612E2">
        <w:t xml:space="preserve"> and </w:t>
      </w:r>
      <w:r w:rsidR="00F745B4">
        <w:t>for</w:t>
      </w:r>
      <w:r w:rsidR="002106B3">
        <w:t xml:space="preserve"> </w:t>
      </w:r>
      <w:r w:rsidR="009B5420">
        <w:t xml:space="preserve">a timetable for the filing and service of affidavits and submissions, </w:t>
      </w:r>
      <w:r w:rsidR="00CC7CDA">
        <w:t>not exceeding</w:t>
      </w:r>
      <w:r w:rsidR="009B5420">
        <w:t xml:space="preserve"> eight pages in length, in support of and in response to any application for indemnity costs by any of the Applicants</w:t>
      </w:r>
      <w:r w:rsidR="00DA043D">
        <w:t xml:space="preserve"> (as defined in these reasons)</w:t>
      </w:r>
      <w:r w:rsidR="008F0B8B">
        <w:t>; and</w:t>
      </w:r>
    </w:p>
    <w:p w14:paraId="4B53E091" w14:textId="2658D5EE" w:rsidR="001A6C52" w:rsidRDefault="00D313AC" w:rsidP="00D313AC">
      <w:pPr>
        <w:pStyle w:val="Order3"/>
        <w:numPr>
          <w:ilvl w:val="0"/>
          <w:numId w:val="0"/>
        </w:numPr>
        <w:tabs>
          <w:tab w:val="left" w:pos="2268"/>
        </w:tabs>
        <w:ind w:left="2988" w:hanging="720"/>
      </w:pPr>
      <w:r>
        <w:t>(ii)</w:t>
      </w:r>
      <w:r>
        <w:tab/>
      </w:r>
      <w:r w:rsidR="009B5420">
        <w:t>the proceeding will be listed for case management hearing on 23</w:t>
      </w:r>
      <w:r w:rsidR="00972CDB">
        <w:t> </w:t>
      </w:r>
      <w:r w:rsidR="009B5420">
        <w:t xml:space="preserve">February 2024 at 9.30 am </w:t>
      </w:r>
      <w:r w:rsidR="00BB66F5">
        <w:t xml:space="preserve">AEDT </w:t>
      </w:r>
      <w:r w:rsidR="009B5420">
        <w:t xml:space="preserve">to resolve the form of orders to be made. </w:t>
      </w:r>
      <w:r w:rsidR="00FD5600">
        <w:t xml:space="preserve"> </w:t>
      </w:r>
    </w:p>
    <w:p w14:paraId="6BDAE5AE" w14:textId="77777777" w:rsidR="001A6C52" w:rsidRDefault="001A6C52" w:rsidP="001A6C52">
      <w:pPr>
        <w:pStyle w:val="BodyText"/>
      </w:pPr>
    </w:p>
    <w:p w14:paraId="47AA2E3C" w14:textId="77777777" w:rsidR="00A431E6" w:rsidRDefault="00A431E6" w:rsidP="001A6C52">
      <w:pPr>
        <w:pStyle w:val="BodyText"/>
      </w:pPr>
    </w:p>
    <w:p w14:paraId="66BC8E88" w14:textId="77777777" w:rsidR="0050309C" w:rsidRDefault="0026360C"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6AB4F655" w14:textId="77777777" w:rsidR="00E23577" w:rsidRDefault="00E23577" w:rsidP="002B0E91">
      <w:pPr>
        <w:pStyle w:val="BodyText"/>
      </w:pPr>
    </w:p>
    <w:p w14:paraId="3B5B0F8B"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2F701A38"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7AAA9E32" w14:textId="77777777" w:rsidR="00694BEB" w:rsidRDefault="0026360C" w:rsidP="005E0510">
      <w:pPr>
        <w:pStyle w:val="NormalHeadings"/>
        <w:spacing w:line="360" w:lineRule="auto"/>
        <w:jc w:val="left"/>
        <w:rPr>
          <w:sz w:val="26"/>
          <w:szCs w:val="26"/>
        </w:rPr>
      </w:pPr>
      <w:r>
        <w:rPr>
          <w:sz w:val="26"/>
          <w:szCs w:val="26"/>
        </w:rPr>
        <w:t>MARKOVIC J:</w:t>
      </w:r>
    </w:p>
    <w:p w14:paraId="5995D538" w14:textId="74F5B15A" w:rsidR="007A5098" w:rsidRDefault="00D313AC" w:rsidP="00D313AC">
      <w:pPr>
        <w:pStyle w:val="ParaNumbering"/>
        <w:numPr>
          <w:ilvl w:val="0"/>
          <w:numId w:val="0"/>
        </w:numPr>
        <w:ind w:hanging="720"/>
      </w:pPr>
      <w:r>
        <w:rPr>
          <w:sz w:val="20"/>
        </w:rPr>
        <w:t>1</w:t>
      </w:r>
      <w:r>
        <w:rPr>
          <w:sz w:val="20"/>
        </w:rPr>
        <w:tab/>
      </w:r>
      <w:r w:rsidR="00784BF2">
        <w:t>On 25 August</w:t>
      </w:r>
      <w:r w:rsidR="00BB09C7">
        <w:t xml:space="preserve"> 2017 the </w:t>
      </w:r>
      <w:r w:rsidR="002D2EFE">
        <w:t>plaintiff, the</w:t>
      </w:r>
      <w:r w:rsidR="002D2EFE" w:rsidRPr="007A5098">
        <w:rPr>
          <w:b/>
        </w:rPr>
        <w:t xml:space="preserve"> </w:t>
      </w:r>
      <w:r w:rsidR="00BB09C7" w:rsidRPr="007A5098">
        <w:rPr>
          <w:b/>
        </w:rPr>
        <w:t>Commissione</w:t>
      </w:r>
      <w:r w:rsidR="00BB09C7" w:rsidRPr="002D2EFE">
        <w:rPr>
          <w:b/>
        </w:rPr>
        <w:t>r</w:t>
      </w:r>
      <w:r w:rsidR="00BB09C7">
        <w:t xml:space="preserve"> of Taxation</w:t>
      </w:r>
      <w:r w:rsidR="002D2EFE">
        <w:t>,</w:t>
      </w:r>
      <w:r w:rsidR="00BB09C7">
        <w:t xml:space="preserve"> commenced this proceeding seeking, among other things, an </w:t>
      </w:r>
      <w:r w:rsidR="002D2EFE">
        <w:t>i</w:t>
      </w:r>
      <w:r w:rsidR="00BB09C7">
        <w:t>nquiry pursuant to s 536 of the</w:t>
      </w:r>
      <w:r w:rsidR="00BB09C7" w:rsidRPr="007A5098">
        <w:rPr>
          <w:b/>
          <w:i/>
        </w:rPr>
        <w:t xml:space="preserve"> Corporations Act</w:t>
      </w:r>
      <w:r w:rsidR="00BB09C7" w:rsidRPr="007A5098">
        <w:rPr>
          <w:i/>
        </w:rPr>
        <w:t xml:space="preserve"> 200</w:t>
      </w:r>
      <w:r w:rsidR="00BB09C7" w:rsidRPr="002D2EFE">
        <w:rPr>
          <w:i/>
        </w:rPr>
        <w:t>1</w:t>
      </w:r>
      <w:r w:rsidR="00BB09C7">
        <w:t xml:space="preserve"> (</w:t>
      </w:r>
      <w:proofErr w:type="spellStart"/>
      <w:r w:rsidR="00BB09C7">
        <w:t>Cth</w:t>
      </w:r>
      <w:proofErr w:type="spellEnd"/>
      <w:r w:rsidR="00BB09C7">
        <w:t xml:space="preserve">) </w:t>
      </w:r>
      <w:r w:rsidR="00B50D36">
        <w:t xml:space="preserve">into </w:t>
      </w:r>
      <w:r w:rsidR="00BB09C7">
        <w:t xml:space="preserve">the conduct of the </w:t>
      </w:r>
      <w:r w:rsidR="002D2EFE">
        <w:t>defendant</w:t>
      </w:r>
      <w:r w:rsidR="00BB09C7">
        <w:t xml:space="preserve">, David Nicholas </w:t>
      </w:r>
      <w:r w:rsidR="00BB09C7" w:rsidRPr="00BB09C7">
        <w:t>Iannuzzi</w:t>
      </w:r>
      <w:r w:rsidR="00BB09C7">
        <w:t xml:space="preserve">.  </w:t>
      </w:r>
      <w:r w:rsidR="002D2EFE">
        <w:t xml:space="preserve">At that time and leading up to the making of </w:t>
      </w:r>
      <w:r w:rsidR="001C1F5B">
        <w:t xml:space="preserve">final </w:t>
      </w:r>
      <w:r w:rsidR="002D2EFE">
        <w:t>orders in November 2019, t</w:t>
      </w:r>
      <w:r w:rsidR="00BB09C7">
        <w:t xml:space="preserve">he Commissioner and Mr Iannuzzi were the only parties to the proceeding.  The conduct of the proceeding </w:t>
      </w:r>
      <w:r w:rsidR="002D2EFE">
        <w:t xml:space="preserve">as between the Commissioner and Mr Iannuzzi </w:t>
      </w:r>
      <w:r w:rsidR="00BB09C7">
        <w:t xml:space="preserve">is described below.  </w:t>
      </w:r>
    </w:p>
    <w:p w14:paraId="30EB6306" w14:textId="1276DC7F" w:rsidR="007A5098" w:rsidRDefault="00D313AC" w:rsidP="00D313AC">
      <w:pPr>
        <w:pStyle w:val="ParaNumbering"/>
        <w:numPr>
          <w:ilvl w:val="0"/>
          <w:numId w:val="0"/>
        </w:numPr>
        <w:ind w:hanging="720"/>
      </w:pPr>
      <w:r>
        <w:rPr>
          <w:sz w:val="20"/>
        </w:rPr>
        <w:t>2</w:t>
      </w:r>
      <w:r>
        <w:rPr>
          <w:sz w:val="20"/>
        </w:rPr>
        <w:tab/>
      </w:r>
      <w:r w:rsidR="001C1F5B">
        <w:t>On 2 September 2019,</w:t>
      </w:r>
      <w:r w:rsidR="00BB09C7">
        <w:t xml:space="preserve"> after the trial judge, Stewart J, had reserved his judgment</w:t>
      </w:r>
      <w:r w:rsidR="002D2EFE">
        <w:t xml:space="preserve"> in relation to the relief sought by the Commissioner</w:t>
      </w:r>
      <w:r w:rsidR="00BB09C7">
        <w:t xml:space="preserve">, </w:t>
      </w:r>
      <w:r w:rsidR="002D2EFE">
        <w:t xml:space="preserve">the Court made </w:t>
      </w:r>
      <w:r w:rsidR="007A5098">
        <w:t>orders by consent</w:t>
      </w:r>
      <w:r w:rsidR="00947433">
        <w:t xml:space="preserve"> including relevantly that</w:t>
      </w:r>
      <w:r w:rsidR="007A5098">
        <w:t>:</w:t>
      </w:r>
    </w:p>
    <w:p w14:paraId="39D855CC" w14:textId="0B21159E" w:rsidR="00BB09C7" w:rsidRDefault="0062177A" w:rsidP="0062177A">
      <w:pPr>
        <w:pStyle w:val="Quote1"/>
        <w:ind w:left="1440" w:hanging="703"/>
      </w:pPr>
      <w:r>
        <w:t>1.</w:t>
      </w:r>
      <w:r>
        <w:tab/>
      </w:r>
      <w:r w:rsidR="007A5098">
        <w:t>Pursuant to s</w:t>
      </w:r>
      <w:r w:rsidR="002D2EFE">
        <w:t> 601AH</w:t>
      </w:r>
      <w:r w:rsidR="007A5098">
        <w:t>(2)</w:t>
      </w:r>
      <w:r w:rsidR="002D2EFE">
        <w:t xml:space="preserve"> of the </w:t>
      </w:r>
      <w:r w:rsidR="007A5098">
        <w:t>[</w:t>
      </w:r>
      <w:r w:rsidR="002D2EFE">
        <w:t>Corporations Act</w:t>
      </w:r>
      <w:r w:rsidR="007A5098">
        <w:t>] the Australian Securities and Investments Commission (</w:t>
      </w:r>
      <w:r w:rsidR="007A5098" w:rsidRPr="007A5098">
        <w:rPr>
          <w:b/>
        </w:rPr>
        <w:t>ASIC</w:t>
      </w:r>
      <w:r w:rsidR="007A5098">
        <w:t xml:space="preserve">) forthwith reinstate </w:t>
      </w:r>
      <w:r w:rsidR="00BA5BFF">
        <w:t xml:space="preserve">the registration of </w:t>
      </w:r>
      <w:r w:rsidR="007A5098">
        <w:t xml:space="preserve">each of </w:t>
      </w:r>
      <w:r w:rsidR="00BA5BFF">
        <w:t xml:space="preserve">the following companies: </w:t>
      </w:r>
    </w:p>
    <w:p w14:paraId="590664F9" w14:textId="53B647FE" w:rsidR="00BA5BFF" w:rsidRDefault="0062177A" w:rsidP="0062177A">
      <w:pPr>
        <w:pStyle w:val="Quote2"/>
        <w:ind w:left="2160" w:hanging="720"/>
      </w:pPr>
      <w:r>
        <w:t>a)</w:t>
      </w:r>
      <w:r>
        <w:tab/>
      </w:r>
      <w:r w:rsidR="00BA5BFF">
        <w:t>RC Group Aust Pty Limited (Deregistered) ACN 164 000 462;</w:t>
      </w:r>
    </w:p>
    <w:p w14:paraId="655C98BF" w14:textId="5BC6D50E" w:rsidR="00BA5BFF" w:rsidRDefault="0062177A" w:rsidP="0062177A">
      <w:pPr>
        <w:pStyle w:val="Quote2"/>
        <w:ind w:left="2160" w:hanging="720"/>
      </w:pPr>
      <w:r>
        <w:t>b)</w:t>
      </w:r>
      <w:r>
        <w:tab/>
      </w:r>
      <w:r w:rsidR="00BA5BFF">
        <w:t>Inter Management Group Pty Limited (Deregistered) ACN 105 115 759;</w:t>
      </w:r>
    </w:p>
    <w:p w14:paraId="2C5CB918" w14:textId="7BD9E779" w:rsidR="00BA5BFF" w:rsidRDefault="0062177A" w:rsidP="0062177A">
      <w:pPr>
        <w:pStyle w:val="Quote2"/>
        <w:ind w:left="2160" w:hanging="720"/>
      </w:pPr>
      <w:r>
        <w:t>c)</w:t>
      </w:r>
      <w:r>
        <w:tab/>
      </w:r>
      <w:r w:rsidR="00BA5BFF">
        <w:t>Co-ordinated Transport Solutions Pty Limited (Deregistered) ACN 110 905 774;</w:t>
      </w:r>
    </w:p>
    <w:p w14:paraId="7C35A229" w14:textId="4E5BB97E" w:rsidR="00BA5BFF" w:rsidRDefault="0062177A" w:rsidP="0062177A">
      <w:pPr>
        <w:pStyle w:val="Quote2"/>
        <w:ind w:left="2160" w:hanging="720"/>
      </w:pPr>
      <w:r>
        <w:t>d)</w:t>
      </w:r>
      <w:r>
        <w:tab/>
      </w:r>
      <w:r w:rsidR="00BA5BFF">
        <w:t>Diesel Dan Pty Limited (Deregistered) ACN 127 303 682;</w:t>
      </w:r>
    </w:p>
    <w:p w14:paraId="309AF3EF" w14:textId="730A5900" w:rsidR="00BA5BFF" w:rsidRDefault="0062177A" w:rsidP="0062177A">
      <w:pPr>
        <w:pStyle w:val="Quote2"/>
        <w:ind w:left="2160" w:hanging="720"/>
      </w:pPr>
      <w:r>
        <w:t>e)</w:t>
      </w:r>
      <w:r>
        <w:tab/>
      </w:r>
      <w:proofErr w:type="spellStart"/>
      <w:r w:rsidR="00BA5BFF">
        <w:t>Silverhills</w:t>
      </w:r>
      <w:proofErr w:type="spellEnd"/>
      <w:r w:rsidR="00BA5BFF">
        <w:t xml:space="preserve"> Haulage Australia Pty Limited (Deregistered) ACN 128 613 016;</w:t>
      </w:r>
    </w:p>
    <w:p w14:paraId="438CE72C" w14:textId="24B770E4" w:rsidR="00BA5BFF" w:rsidRDefault="0062177A" w:rsidP="0062177A">
      <w:pPr>
        <w:pStyle w:val="Quote2"/>
        <w:ind w:left="2160" w:hanging="720"/>
      </w:pPr>
      <w:r>
        <w:t>f)</w:t>
      </w:r>
      <w:r>
        <w:tab/>
      </w:r>
      <w:r w:rsidR="00BA5BFF">
        <w:t>ACN 133 636 414 Pty Limited (Deregistered) ACN 133 636 414;</w:t>
      </w:r>
    </w:p>
    <w:p w14:paraId="0F8D6A8A" w14:textId="5744742C" w:rsidR="00BA5BFF" w:rsidRDefault="0062177A" w:rsidP="0062177A">
      <w:pPr>
        <w:pStyle w:val="Quote2"/>
        <w:ind w:left="2160" w:hanging="720"/>
      </w:pPr>
      <w:r>
        <w:t>g)</w:t>
      </w:r>
      <w:r>
        <w:tab/>
      </w:r>
      <w:r w:rsidR="00BA5BFF">
        <w:t>Fara Logistics (Aust) Pty Limited (Deregistered) ACN 146 285 029;</w:t>
      </w:r>
    </w:p>
    <w:p w14:paraId="630A422D" w14:textId="1A6A37E1" w:rsidR="00BA5BFF" w:rsidRDefault="0062177A" w:rsidP="0062177A">
      <w:pPr>
        <w:pStyle w:val="Quote2"/>
        <w:ind w:left="2160" w:hanging="720"/>
      </w:pPr>
      <w:r>
        <w:t>h)</w:t>
      </w:r>
      <w:r>
        <w:tab/>
      </w:r>
      <w:r w:rsidR="00BA5BFF">
        <w:t xml:space="preserve">Machinery Moves Australia Pty Limited (Deregistered) ACN 159 498 254; and </w:t>
      </w:r>
    </w:p>
    <w:p w14:paraId="40F2FDD3" w14:textId="419DB3A6" w:rsidR="002D2EFE" w:rsidRDefault="0062177A" w:rsidP="0062177A">
      <w:pPr>
        <w:pStyle w:val="Quote2"/>
        <w:ind w:left="2160" w:hanging="720"/>
      </w:pPr>
      <w:proofErr w:type="spellStart"/>
      <w:r>
        <w:t>i</w:t>
      </w:r>
      <w:proofErr w:type="spellEnd"/>
      <w:r>
        <w:t>)</w:t>
      </w:r>
      <w:r>
        <w:tab/>
      </w:r>
      <w:r w:rsidR="00BA5BFF">
        <w:t>Brisbane Inner City Tilt Tray Services Pty Limited (Deregistered) ACN 159 968 840</w:t>
      </w:r>
      <w:r w:rsidR="002D2EFE">
        <w:t>,</w:t>
      </w:r>
    </w:p>
    <w:p w14:paraId="05AFA077" w14:textId="3C0BD927" w:rsidR="00BA5BFF" w:rsidRDefault="002D2EFE" w:rsidP="0062177A">
      <w:pPr>
        <w:pStyle w:val="Quote1"/>
        <w:ind w:left="1457"/>
      </w:pPr>
      <w:r>
        <w:t>(</w:t>
      </w:r>
      <w:r w:rsidR="007A5098">
        <w:t>jointly</w:t>
      </w:r>
      <w:r>
        <w:t xml:space="preserve">, the </w:t>
      </w:r>
      <w:r w:rsidRPr="002D2EFE">
        <w:rPr>
          <w:b/>
        </w:rPr>
        <w:t>Companies</w:t>
      </w:r>
      <w:r>
        <w:t>).</w:t>
      </w:r>
      <w:r w:rsidR="00BA5BFF">
        <w:t xml:space="preserve"> </w:t>
      </w:r>
    </w:p>
    <w:p w14:paraId="6B6DD2A7" w14:textId="6776AB0C" w:rsidR="00BA5BFF" w:rsidRDefault="00C53245" w:rsidP="00C53245">
      <w:pPr>
        <w:pStyle w:val="Quote1"/>
        <w:ind w:left="1440" w:hanging="720"/>
      </w:pPr>
      <w:r>
        <w:t>2.</w:t>
      </w:r>
      <w:r>
        <w:tab/>
      </w:r>
      <w:r w:rsidR="00FA60A2" w:rsidRPr="00FA60A2">
        <w:t xml:space="preserve">Pursuant to s 601AH(3)(d) of the </w:t>
      </w:r>
      <w:r w:rsidR="00FA60A2">
        <w:t xml:space="preserve">[Corporations </w:t>
      </w:r>
      <w:r w:rsidR="00FA60A2" w:rsidRPr="00FA60A2">
        <w:t>Act</w:t>
      </w:r>
      <w:r w:rsidR="00FA60A2">
        <w:t>]</w:t>
      </w:r>
      <w:r w:rsidR="00FA60A2" w:rsidRPr="00FA60A2">
        <w:t>, upon the reinstatement of the registration of the Companies, Ms Gayle Dickerson and Mr Stephen Vaughan be appointed as the joint and several liquidators of each of the Companies.</w:t>
      </w:r>
      <w:r w:rsidR="00FA60A2">
        <w:t xml:space="preserve"> </w:t>
      </w:r>
    </w:p>
    <w:p w14:paraId="0DDEA255" w14:textId="357A1DA6" w:rsidR="00BA5BFF" w:rsidRDefault="00C53245" w:rsidP="00C53245">
      <w:pPr>
        <w:pStyle w:val="Quote1"/>
        <w:ind w:left="1440" w:hanging="720"/>
      </w:pPr>
      <w:r>
        <w:t>3.</w:t>
      </w:r>
      <w:r>
        <w:tab/>
      </w:r>
      <w:r w:rsidR="00465E45" w:rsidRPr="00465E45">
        <w:t xml:space="preserve">Pursuant to section 601AH(3)(d) of the </w:t>
      </w:r>
      <w:r w:rsidR="00465E45">
        <w:t xml:space="preserve">[Corporations </w:t>
      </w:r>
      <w:r w:rsidR="00465E45" w:rsidRPr="00465E45">
        <w:t>Act</w:t>
      </w:r>
      <w:r w:rsidR="00465E45">
        <w:t>]</w:t>
      </w:r>
      <w:r w:rsidR="00465E45" w:rsidRPr="00465E45">
        <w:t xml:space="preserve">, when calculating the period ending three years after the relation-back day for any of the Companies, the period between the date of the deregistration of the relevant </w:t>
      </w:r>
      <w:r w:rsidR="00465E45" w:rsidRPr="00465E45">
        <w:lastRenderedPageBreak/>
        <w:t>company and the date of these orders shall be disregarded.</w:t>
      </w:r>
      <w:r w:rsidR="00465E45">
        <w:t xml:space="preserve">  </w:t>
      </w:r>
    </w:p>
    <w:p w14:paraId="0294C931" w14:textId="48AF1389" w:rsidR="005A5A78" w:rsidRDefault="00C53245" w:rsidP="00C53245">
      <w:pPr>
        <w:pStyle w:val="Quote1"/>
        <w:ind w:left="1440" w:hanging="720"/>
      </w:pPr>
      <w:r>
        <w:t>4.</w:t>
      </w:r>
      <w:r>
        <w:tab/>
      </w:r>
      <w:r w:rsidR="00C73E1E" w:rsidRPr="00C73E1E">
        <w:t xml:space="preserve">Pursuant to section 601AH(3)(d) of the </w:t>
      </w:r>
      <w:r w:rsidR="00C73E1E">
        <w:t xml:space="preserve">[Corporations </w:t>
      </w:r>
      <w:r w:rsidR="00C73E1E" w:rsidRPr="00C73E1E">
        <w:t>Act</w:t>
      </w:r>
      <w:r w:rsidR="00C73E1E">
        <w:t>]</w:t>
      </w:r>
      <w:r w:rsidR="00C73E1E" w:rsidRPr="00C73E1E">
        <w:t xml:space="preserve">, if proceedings are commenced by Ms Dickerson and Mr Vaughan as the joint and several liquidators of any of the Companies in reliance upon Order 3, Ms Dickerson and Mr Vaughan must cause a copy of these Orders to be served upon the defendant with the initiating process by which the proceedings are commenced and the defendant shall thereafter be at liberty to apply to this Court to vary or discharge Order 3 in relation to </w:t>
      </w:r>
      <w:r w:rsidR="00C73E1E">
        <w:t>itself</w:t>
      </w:r>
      <w:r w:rsidR="005A5A78">
        <w:t>.</w:t>
      </w:r>
    </w:p>
    <w:p w14:paraId="2226B410" w14:textId="5B39FF91" w:rsidR="00947433" w:rsidRDefault="00947433" w:rsidP="00947433">
      <w:pPr>
        <w:pStyle w:val="BodyText"/>
        <w:ind w:firstLine="720"/>
      </w:pPr>
      <w:r>
        <w:t>(</w:t>
      </w:r>
      <w:r w:rsidRPr="00947433">
        <w:rPr>
          <w:b/>
        </w:rPr>
        <w:t>Reinstatement Orders</w:t>
      </w:r>
      <w:r>
        <w:t>).</w:t>
      </w:r>
    </w:p>
    <w:p w14:paraId="758BF7E1" w14:textId="1AADA3F0" w:rsidR="001B4C3C" w:rsidRDefault="00D313AC" w:rsidP="00D313AC">
      <w:pPr>
        <w:pStyle w:val="ParaNumbering"/>
        <w:numPr>
          <w:ilvl w:val="0"/>
          <w:numId w:val="0"/>
        </w:numPr>
        <w:ind w:hanging="720"/>
      </w:pPr>
      <w:r>
        <w:rPr>
          <w:sz w:val="20"/>
        </w:rPr>
        <w:t>3</w:t>
      </w:r>
      <w:r>
        <w:rPr>
          <w:sz w:val="20"/>
        </w:rPr>
        <w:tab/>
      </w:r>
      <w:r w:rsidR="00E05033">
        <w:t xml:space="preserve">Since the Reinstatement Orders were made, </w:t>
      </w:r>
      <w:r w:rsidR="00E74C36">
        <w:t>Gayle</w:t>
      </w:r>
      <w:r w:rsidR="00B673E8">
        <w:t xml:space="preserve"> </w:t>
      </w:r>
      <w:r w:rsidR="00947433">
        <w:t xml:space="preserve">Dickerson and </w:t>
      </w:r>
      <w:r w:rsidR="00B673E8">
        <w:t xml:space="preserve">Stephen Ernest </w:t>
      </w:r>
      <w:r w:rsidR="00947433">
        <w:t>Vaughan (</w:t>
      </w:r>
      <w:r w:rsidR="00947433" w:rsidRPr="00947433">
        <w:rPr>
          <w:b/>
        </w:rPr>
        <w:t>Liquidators</w:t>
      </w:r>
      <w:r w:rsidR="00947433">
        <w:t xml:space="preserve">) in their capacity as joint and several liquidators of the Companies </w:t>
      </w:r>
      <w:r w:rsidR="00E05033">
        <w:t>(</w:t>
      </w:r>
      <w:r w:rsidR="00F830D3">
        <w:t xml:space="preserve">as defined in the </w:t>
      </w:r>
      <w:r w:rsidR="00D32685">
        <w:t>Reinstatement</w:t>
      </w:r>
      <w:r w:rsidR="00F830D3">
        <w:t xml:space="preserve"> Orders</w:t>
      </w:r>
      <w:r w:rsidR="00E05033">
        <w:t>)</w:t>
      </w:r>
      <w:r w:rsidR="00D32685">
        <w:t xml:space="preserve"> </w:t>
      </w:r>
      <w:r w:rsidR="005A5A78">
        <w:t>have</w:t>
      </w:r>
      <w:r w:rsidR="008545D6">
        <w:t>, in reliance upon Order 3 of the Reinstatement Orders,</w:t>
      </w:r>
      <w:r w:rsidR="00E05033">
        <w:t xml:space="preserve"> </w:t>
      </w:r>
      <w:r w:rsidR="005A5A78">
        <w:t xml:space="preserve">commenced a number of proceedings in the </w:t>
      </w:r>
      <w:r w:rsidR="005A5A78" w:rsidRPr="008B420C">
        <w:rPr>
          <w:b/>
          <w:bCs/>
        </w:rPr>
        <w:t>Supreme Court</w:t>
      </w:r>
      <w:r w:rsidR="005A5A78">
        <w:t xml:space="preserve"> of New South Wales.  Upon doing so, in compliance with </w:t>
      </w:r>
      <w:r w:rsidR="00E20A57">
        <w:t xml:space="preserve">Order 4 of </w:t>
      </w:r>
      <w:r w:rsidR="005A5A78">
        <w:t xml:space="preserve">the </w:t>
      </w:r>
      <w:r w:rsidR="00947433">
        <w:t>Reinstatement</w:t>
      </w:r>
      <w:r w:rsidR="005A5A78">
        <w:t xml:space="preserve"> Orders, they served a copy of those orders on the defendants</w:t>
      </w:r>
      <w:r w:rsidR="00947433">
        <w:t xml:space="preserve"> to the proceedings</w:t>
      </w:r>
      <w:r w:rsidR="005A5A78">
        <w:t xml:space="preserve">.  </w:t>
      </w:r>
    </w:p>
    <w:p w14:paraId="4FE8DD20" w14:textId="58FDC64F" w:rsidR="005A5A78" w:rsidRDefault="00D313AC" w:rsidP="00D313AC">
      <w:pPr>
        <w:pStyle w:val="ParaNumbering"/>
        <w:numPr>
          <w:ilvl w:val="0"/>
          <w:numId w:val="0"/>
        </w:numPr>
        <w:ind w:hanging="720"/>
      </w:pPr>
      <w:r>
        <w:rPr>
          <w:sz w:val="20"/>
        </w:rPr>
        <w:t>4</w:t>
      </w:r>
      <w:r>
        <w:rPr>
          <w:sz w:val="20"/>
        </w:rPr>
        <w:tab/>
      </w:r>
      <w:r w:rsidR="005A5A78">
        <w:t xml:space="preserve">Having done </w:t>
      </w:r>
      <w:r w:rsidR="00947433">
        <w:t xml:space="preserve">so, </w:t>
      </w:r>
      <w:r w:rsidR="001B4C3C">
        <w:t xml:space="preserve">pursuant to the liberty granted by Order 4 of the Reinstatement Orders, four groups of </w:t>
      </w:r>
      <w:r w:rsidR="005A5A78">
        <w:t xml:space="preserve">defendants </w:t>
      </w:r>
      <w:r w:rsidR="001B4C3C">
        <w:t>to the various proceedings commenced by the Liquidators</w:t>
      </w:r>
      <w:r w:rsidR="00914129">
        <w:t xml:space="preserve"> in the Supreme</w:t>
      </w:r>
      <w:r w:rsidR="00EC2B90">
        <w:t> </w:t>
      </w:r>
      <w:r w:rsidR="00914129">
        <w:t xml:space="preserve">Court </w:t>
      </w:r>
      <w:r w:rsidR="00F94B41">
        <w:t xml:space="preserve">have </w:t>
      </w:r>
      <w:r w:rsidR="005A5A78">
        <w:t xml:space="preserve">filed interlocutory applications </w:t>
      </w:r>
      <w:r w:rsidR="00947433">
        <w:t xml:space="preserve">in which they seek, in effect, </w:t>
      </w:r>
      <w:r w:rsidR="005A5A78">
        <w:t>that Order 3 of the</w:t>
      </w:r>
      <w:r w:rsidR="00947433">
        <w:t xml:space="preserve"> Reinsta</w:t>
      </w:r>
      <w:r w:rsidR="00F9438E">
        <w:t>te</w:t>
      </w:r>
      <w:r w:rsidR="00947433">
        <w:t xml:space="preserve">ment Orders </w:t>
      </w:r>
      <w:r w:rsidR="005A5A78">
        <w:t>be discharged or</w:t>
      </w:r>
      <w:r w:rsidR="00947433">
        <w:t>, in the alternative,</w:t>
      </w:r>
      <w:r w:rsidR="005A5A78">
        <w:t xml:space="preserve"> that it be varied so it does not </w:t>
      </w:r>
      <w:r w:rsidR="001B4C3C">
        <w:t>operate in respect</w:t>
      </w:r>
      <w:r w:rsidR="005A5A78">
        <w:t xml:space="preserve"> of claims ma</w:t>
      </w:r>
      <w:r w:rsidR="001B4C3C">
        <w:t xml:space="preserve">de against the relevant defendants </w:t>
      </w:r>
      <w:r w:rsidR="005A5A78">
        <w:t>or, in the further alternative</w:t>
      </w:r>
      <w:r w:rsidR="001B4C3C">
        <w:t>,</w:t>
      </w:r>
      <w:r w:rsidR="005A5A78">
        <w:t xml:space="preserve"> that Order 3 be varied so </w:t>
      </w:r>
      <w:r w:rsidR="001B4C3C">
        <w:t xml:space="preserve">that it does not operate as </w:t>
      </w:r>
      <w:r w:rsidR="005A5A78">
        <w:t xml:space="preserve">against the relevant </w:t>
      </w:r>
      <w:r w:rsidR="001B4C3C">
        <w:t>defendants in relation to claims by any of the C</w:t>
      </w:r>
      <w:r w:rsidR="005A5A78">
        <w:t>ompanies</w:t>
      </w:r>
      <w:r w:rsidR="00914129">
        <w:t xml:space="preserve"> as defined in Order 3 of the Reinstatement Orders</w:t>
      </w:r>
      <w:r w:rsidR="005A5A78">
        <w:t xml:space="preserve"> or the</w:t>
      </w:r>
      <w:r w:rsidR="001B4C3C">
        <w:t xml:space="preserve"> L</w:t>
      </w:r>
      <w:r w:rsidR="005A5A78">
        <w:t xml:space="preserve">iquidators </w:t>
      </w:r>
      <w:r w:rsidR="001B4C3C">
        <w:t>under Div 2 of Pt 5.7 of the Corporations Act</w:t>
      </w:r>
      <w:r w:rsidR="005A5A78">
        <w:t xml:space="preserve">. </w:t>
      </w:r>
    </w:p>
    <w:p w14:paraId="76BCB266" w14:textId="5DD53FCF" w:rsidR="00C32D32" w:rsidRDefault="00D313AC" w:rsidP="00D313AC">
      <w:pPr>
        <w:pStyle w:val="ParaNumbering"/>
        <w:numPr>
          <w:ilvl w:val="0"/>
          <w:numId w:val="0"/>
        </w:numPr>
        <w:ind w:hanging="720"/>
      </w:pPr>
      <w:r>
        <w:rPr>
          <w:sz w:val="20"/>
        </w:rPr>
        <w:t>5</w:t>
      </w:r>
      <w:r>
        <w:rPr>
          <w:sz w:val="20"/>
        </w:rPr>
        <w:tab/>
      </w:r>
      <w:r w:rsidR="00C32D32">
        <w:t xml:space="preserve">Interlocutory applications seeking orders to </w:t>
      </w:r>
      <w:r w:rsidR="001D5AB8">
        <w:t xml:space="preserve">that </w:t>
      </w:r>
      <w:r w:rsidR="00C32D32">
        <w:t>effect have b</w:t>
      </w:r>
      <w:r w:rsidR="004A599E">
        <w:t>e</w:t>
      </w:r>
      <w:r w:rsidR="00C32D32">
        <w:t>en</w:t>
      </w:r>
      <w:r w:rsidR="004A599E">
        <w:t xml:space="preserve"> filed by:</w:t>
      </w:r>
      <w:r w:rsidR="00C32D32">
        <w:t xml:space="preserve">  </w:t>
      </w:r>
    </w:p>
    <w:p w14:paraId="667FE47A" w14:textId="39E9EA7B" w:rsidR="004A599E" w:rsidRDefault="00D313AC" w:rsidP="00D313AC">
      <w:pPr>
        <w:pStyle w:val="ListNo1"/>
        <w:numPr>
          <w:ilvl w:val="0"/>
          <w:numId w:val="0"/>
        </w:numPr>
        <w:tabs>
          <w:tab w:val="left" w:pos="720"/>
        </w:tabs>
        <w:ind w:left="720" w:hanging="720"/>
      </w:pPr>
      <w:r>
        <w:t>(1)</w:t>
      </w:r>
      <w:r>
        <w:tab/>
      </w:r>
      <w:proofErr w:type="spellStart"/>
      <w:r w:rsidR="00C32D32" w:rsidRPr="00303340">
        <w:rPr>
          <w:b/>
          <w:bCs/>
        </w:rPr>
        <w:t>Runcity</w:t>
      </w:r>
      <w:proofErr w:type="spellEnd"/>
      <w:r w:rsidR="00C32D32">
        <w:t xml:space="preserve"> Pty Ltd, </w:t>
      </w:r>
      <w:r w:rsidR="00C32D32" w:rsidRPr="00490A16">
        <w:rPr>
          <w:b/>
        </w:rPr>
        <w:t>Calabro Real Estate</w:t>
      </w:r>
      <w:r w:rsidR="00C32D32" w:rsidRPr="00C32D32">
        <w:t xml:space="preserve"> Pty Ltd</w:t>
      </w:r>
      <w:r w:rsidR="00C32D32">
        <w:t xml:space="preserve">, </w:t>
      </w:r>
      <w:proofErr w:type="spellStart"/>
      <w:r w:rsidR="00C32D32" w:rsidRPr="00C32D32">
        <w:t>Interfreight</w:t>
      </w:r>
      <w:proofErr w:type="spellEnd"/>
      <w:r w:rsidR="00C32D32" w:rsidRPr="00C32D32">
        <w:t xml:space="preserve"> Transport Pty Ltd</w:t>
      </w:r>
      <w:r w:rsidR="009D5545">
        <w:t xml:space="preserve"> (</w:t>
      </w:r>
      <w:proofErr w:type="spellStart"/>
      <w:r w:rsidR="009D5545" w:rsidRPr="009D5545">
        <w:rPr>
          <w:b/>
          <w:bCs/>
        </w:rPr>
        <w:t>Interfreight</w:t>
      </w:r>
      <w:proofErr w:type="spellEnd"/>
      <w:r w:rsidR="009D5545" w:rsidRPr="009D5545">
        <w:rPr>
          <w:b/>
          <w:bCs/>
        </w:rPr>
        <w:t xml:space="preserve"> 2</w:t>
      </w:r>
      <w:r w:rsidR="009D5545">
        <w:t>)</w:t>
      </w:r>
      <w:r w:rsidR="00C32D32">
        <w:t xml:space="preserve">, </w:t>
      </w:r>
      <w:r w:rsidR="00C32D32" w:rsidRPr="00C32D32">
        <w:t>Diesel Dan (</w:t>
      </w:r>
      <w:r w:rsidR="00C32D32">
        <w:t>NSW</w:t>
      </w:r>
      <w:r w:rsidR="00C32D32" w:rsidRPr="00C32D32">
        <w:t>) Pty Ltd</w:t>
      </w:r>
      <w:r w:rsidR="009D5545">
        <w:t xml:space="preserve"> (</w:t>
      </w:r>
      <w:r w:rsidR="009D5545" w:rsidRPr="009D5545">
        <w:rPr>
          <w:b/>
          <w:bCs/>
        </w:rPr>
        <w:t>Diesel Dan 2</w:t>
      </w:r>
      <w:r w:rsidR="009D5545">
        <w:t>)</w:t>
      </w:r>
      <w:r w:rsidR="00C32D32">
        <w:t xml:space="preserve">, John </w:t>
      </w:r>
      <w:proofErr w:type="spellStart"/>
      <w:r w:rsidR="00C32D32">
        <w:t>Tabuso</w:t>
      </w:r>
      <w:proofErr w:type="spellEnd"/>
      <w:r w:rsidR="00C32D32">
        <w:t xml:space="preserve">, Mirjana </w:t>
      </w:r>
      <w:proofErr w:type="spellStart"/>
      <w:r w:rsidR="00C32D32">
        <w:t>Tabuso</w:t>
      </w:r>
      <w:proofErr w:type="spellEnd"/>
      <w:r w:rsidR="000F1CCA">
        <w:t xml:space="preserve"> and</w:t>
      </w:r>
      <w:r w:rsidR="00C32D32">
        <w:t xml:space="preserve"> Maurizio Ligori</w:t>
      </w:r>
      <w:r w:rsidR="000F1CCA">
        <w:t xml:space="preserve"> </w:t>
      </w:r>
      <w:r w:rsidR="000F1CCA">
        <w:rPr>
          <w:bCs/>
        </w:rPr>
        <w:t>(</w:t>
      </w:r>
      <w:proofErr w:type="spellStart"/>
      <w:r w:rsidR="000F1CCA">
        <w:rPr>
          <w:b/>
        </w:rPr>
        <w:t>Tabuso</w:t>
      </w:r>
      <w:proofErr w:type="spellEnd"/>
      <w:r w:rsidR="000F1CCA">
        <w:rPr>
          <w:b/>
        </w:rPr>
        <w:t xml:space="preserve"> Application</w:t>
      </w:r>
      <w:r w:rsidR="000F1CCA">
        <w:rPr>
          <w:bCs/>
        </w:rPr>
        <w:t>)</w:t>
      </w:r>
      <w:r w:rsidR="00490A16">
        <w:t xml:space="preserve">.  Since the filing of the interlocutory application, a liquidator has been appointed to Calabro Real Estate.  </w:t>
      </w:r>
      <w:r w:rsidR="00F9444D">
        <w:t>Accordingly, t</w:t>
      </w:r>
      <w:r w:rsidR="00490A16">
        <w:t>he orders sought are pressed</w:t>
      </w:r>
      <w:r w:rsidR="000F1819">
        <w:t xml:space="preserve"> </w:t>
      </w:r>
      <w:r w:rsidR="00490A16">
        <w:t xml:space="preserve">only by the balance of the applicants to the interlocutory application who </w:t>
      </w:r>
      <w:r w:rsidR="00C32D32">
        <w:t xml:space="preserve">I will refer to collectively as the </w:t>
      </w:r>
      <w:proofErr w:type="spellStart"/>
      <w:r w:rsidR="00C32D32" w:rsidRPr="004A599E">
        <w:rPr>
          <w:b/>
        </w:rPr>
        <w:t>Tabuso</w:t>
      </w:r>
      <w:proofErr w:type="spellEnd"/>
      <w:r w:rsidR="00C32D32" w:rsidRPr="004A599E">
        <w:rPr>
          <w:b/>
        </w:rPr>
        <w:t xml:space="preserve"> </w:t>
      </w:r>
      <w:r w:rsidR="004A599E">
        <w:rPr>
          <w:b/>
        </w:rPr>
        <w:t>Applicants</w:t>
      </w:r>
      <w:r w:rsidR="004A599E">
        <w:t>;</w:t>
      </w:r>
    </w:p>
    <w:p w14:paraId="619D7686" w14:textId="01808138" w:rsidR="004A599E" w:rsidRDefault="00D313AC" w:rsidP="00D313AC">
      <w:pPr>
        <w:pStyle w:val="ListNo1"/>
        <w:numPr>
          <w:ilvl w:val="0"/>
          <w:numId w:val="0"/>
        </w:numPr>
        <w:tabs>
          <w:tab w:val="left" w:pos="720"/>
        </w:tabs>
        <w:ind w:left="720" w:hanging="720"/>
      </w:pPr>
      <w:r>
        <w:t>(2)</w:t>
      </w:r>
      <w:r>
        <w:tab/>
      </w:r>
      <w:r w:rsidR="00C32D32" w:rsidRPr="00C32D32">
        <w:t>Katherine Khalil</w:t>
      </w:r>
      <w:r w:rsidR="00C32D32">
        <w:t xml:space="preserve"> and </w:t>
      </w:r>
      <w:r w:rsidR="00C32D32" w:rsidRPr="008A7A6C">
        <w:rPr>
          <w:b/>
          <w:bCs/>
        </w:rPr>
        <w:t>Kito Investments</w:t>
      </w:r>
      <w:r w:rsidR="00C32D32" w:rsidRPr="00C32D32">
        <w:t xml:space="preserve"> Pty Ltd</w:t>
      </w:r>
      <w:r w:rsidR="00490A16">
        <w:t xml:space="preserve"> </w:t>
      </w:r>
      <w:r w:rsidR="00C32D32">
        <w:t xml:space="preserve">who I will refer to collectively as the </w:t>
      </w:r>
      <w:r w:rsidR="00C32D32" w:rsidRPr="004A599E">
        <w:rPr>
          <w:b/>
        </w:rPr>
        <w:t>Kito Applicants</w:t>
      </w:r>
      <w:r w:rsidR="00693EC2">
        <w:rPr>
          <w:b/>
        </w:rPr>
        <w:t xml:space="preserve"> </w:t>
      </w:r>
      <w:r w:rsidR="00693EC2">
        <w:rPr>
          <w:bCs/>
        </w:rPr>
        <w:t>(</w:t>
      </w:r>
      <w:r w:rsidR="00693EC2">
        <w:rPr>
          <w:b/>
        </w:rPr>
        <w:t>Kito Application</w:t>
      </w:r>
      <w:r w:rsidR="00693EC2">
        <w:rPr>
          <w:bCs/>
        </w:rPr>
        <w:t>)</w:t>
      </w:r>
      <w:r w:rsidR="004A599E">
        <w:t>;</w:t>
      </w:r>
    </w:p>
    <w:p w14:paraId="461AAC5E" w14:textId="23CCC3CE" w:rsidR="004A599E" w:rsidRDefault="00D313AC" w:rsidP="00D313AC">
      <w:pPr>
        <w:pStyle w:val="ListNo1"/>
        <w:numPr>
          <w:ilvl w:val="0"/>
          <w:numId w:val="0"/>
        </w:numPr>
        <w:tabs>
          <w:tab w:val="left" w:pos="720"/>
        </w:tabs>
        <w:ind w:left="720" w:hanging="720"/>
      </w:pPr>
      <w:r>
        <w:t>(3)</w:t>
      </w:r>
      <w:r>
        <w:tab/>
      </w:r>
      <w:r w:rsidR="00C32D32">
        <w:t>Michael Borg</w:t>
      </w:r>
      <w:r w:rsidR="00133FC3">
        <w:t>,</w:t>
      </w:r>
      <w:r w:rsidR="00C32D32">
        <w:t xml:space="preserve"> </w:t>
      </w:r>
      <w:r w:rsidR="00C32D32" w:rsidRPr="00303340">
        <w:rPr>
          <w:b/>
          <w:bCs/>
        </w:rPr>
        <w:t>Borg Family</w:t>
      </w:r>
      <w:r w:rsidR="00C32D32">
        <w:t xml:space="preserve"> Pty </w:t>
      </w:r>
      <w:r w:rsidR="00490A16">
        <w:t xml:space="preserve">Ltd </w:t>
      </w:r>
      <w:r w:rsidR="00133FC3">
        <w:t xml:space="preserve">and </w:t>
      </w:r>
      <w:r w:rsidR="00133FC3" w:rsidRPr="00303340">
        <w:rPr>
          <w:b/>
          <w:bCs/>
        </w:rPr>
        <w:t>746 Greendale Road</w:t>
      </w:r>
      <w:r w:rsidR="00133FC3">
        <w:t xml:space="preserve"> Greendale Pty Ltd </w:t>
      </w:r>
      <w:r w:rsidR="00790A0C">
        <w:t xml:space="preserve">who I will refer to collectively as the </w:t>
      </w:r>
      <w:r w:rsidR="00790A0C" w:rsidRPr="004A599E">
        <w:rPr>
          <w:b/>
        </w:rPr>
        <w:t xml:space="preserve">Borg </w:t>
      </w:r>
      <w:r w:rsidR="004A599E">
        <w:rPr>
          <w:b/>
        </w:rPr>
        <w:t>Applicants</w:t>
      </w:r>
      <w:r w:rsidR="00DF3B6D">
        <w:rPr>
          <w:b/>
        </w:rPr>
        <w:t xml:space="preserve"> </w:t>
      </w:r>
      <w:r w:rsidR="00DF3B6D">
        <w:rPr>
          <w:bCs/>
        </w:rPr>
        <w:t>(</w:t>
      </w:r>
      <w:r w:rsidR="00DF3B6D">
        <w:rPr>
          <w:b/>
        </w:rPr>
        <w:t>Borg Application</w:t>
      </w:r>
      <w:r w:rsidR="00DF3B6D" w:rsidRPr="00DF3B6D">
        <w:rPr>
          <w:bCs/>
        </w:rPr>
        <w:t>)</w:t>
      </w:r>
      <w:r w:rsidR="004A599E">
        <w:t>;</w:t>
      </w:r>
      <w:r w:rsidR="00790A0C">
        <w:t xml:space="preserve"> and </w:t>
      </w:r>
    </w:p>
    <w:p w14:paraId="23633B0A" w14:textId="39F915F9" w:rsidR="004A599E" w:rsidRDefault="00D313AC" w:rsidP="00D313AC">
      <w:pPr>
        <w:pStyle w:val="ListNo1"/>
        <w:numPr>
          <w:ilvl w:val="0"/>
          <w:numId w:val="0"/>
        </w:numPr>
        <w:tabs>
          <w:tab w:val="left" w:pos="720"/>
        </w:tabs>
        <w:ind w:left="720" w:hanging="720"/>
      </w:pPr>
      <w:r>
        <w:lastRenderedPageBreak/>
        <w:t>(4)</w:t>
      </w:r>
      <w:r>
        <w:tab/>
      </w:r>
      <w:proofErr w:type="spellStart"/>
      <w:r w:rsidR="00790A0C" w:rsidRPr="00C33619">
        <w:rPr>
          <w:b/>
          <w:bCs/>
        </w:rPr>
        <w:t>Givana</w:t>
      </w:r>
      <w:proofErr w:type="spellEnd"/>
      <w:r w:rsidR="00790A0C" w:rsidRPr="00C33619">
        <w:rPr>
          <w:b/>
          <w:bCs/>
        </w:rPr>
        <w:t xml:space="preserve"> (Holdin</w:t>
      </w:r>
      <w:r w:rsidR="00490A16" w:rsidRPr="00C33619">
        <w:rPr>
          <w:b/>
          <w:bCs/>
        </w:rPr>
        <w:t>gs)</w:t>
      </w:r>
      <w:r w:rsidR="00490A16">
        <w:t xml:space="preserve"> Pty Ltd and </w:t>
      </w:r>
      <w:proofErr w:type="spellStart"/>
      <w:r w:rsidR="00490A16" w:rsidRPr="00C33619">
        <w:rPr>
          <w:b/>
          <w:bCs/>
        </w:rPr>
        <w:t>Givana</w:t>
      </w:r>
      <w:proofErr w:type="spellEnd"/>
      <w:r w:rsidR="00490A16">
        <w:t xml:space="preserve"> Pty Ltd </w:t>
      </w:r>
      <w:r w:rsidR="00790A0C">
        <w:t xml:space="preserve">who I will refer to collectively as the </w:t>
      </w:r>
      <w:proofErr w:type="spellStart"/>
      <w:r w:rsidR="00790A0C" w:rsidRPr="004A599E">
        <w:rPr>
          <w:b/>
        </w:rPr>
        <w:t>Givana</w:t>
      </w:r>
      <w:proofErr w:type="spellEnd"/>
      <w:r w:rsidR="00790A0C" w:rsidRPr="004A599E">
        <w:rPr>
          <w:b/>
        </w:rPr>
        <w:t xml:space="preserve"> </w:t>
      </w:r>
      <w:r w:rsidR="004A599E">
        <w:rPr>
          <w:b/>
        </w:rPr>
        <w:t>Applicants</w:t>
      </w:r>
      <w:r w:rsidR="00DF3B6D">
        <w:rPr>
          <w:b/>
        </w:rPr>
        <w:t xml:space="preserve"> </w:t>
      </w:r>
      <w:r w:rsidR="00DF3B6D">
        <w:rPr>
          <w:bCs/>
        </w:rPr>
        <w:t>(</w:t>
      </w:r>
      <w:proofErr w:type="spellStart"/>
      <w:r w:rsidR="00DF3B6D" w:rsidRPr="00303340">
        <w:rPr>
          <w:b/>
        </w:rPr>
        <w:t>Givana</w:t>
      </w:r>
      <w:proofErr w:type="spellEnd"/>
      <w:r w:rsidR="00DF3B6D" w:rsidRPr="00303340">
        <w:rPr>
          <w:b/>
        </w:rPr>
        <w:t xml:space="preserve"> Application</w:t>
      </w:r>
      <w:r w:rsidR="00DF3B6D">
        <w:rPr>
          <w:bCs/>
        </w:rPr>
        <w:t>)</w:t>
      </w:r>
      <w:r w:rsidR="00790A0C">
        <w:t xml:space="preserve">.  </w:t>
      </w:r>
    </w:p>
    <w:p w14:paraId="3FBC2674" w14:textId="06443F78" w:rsidR="00C32D32" w:rsidRDefault="00490A16" w:rsidP="004A599E">
      <w:pPr>
        <w:pStyle w:val="BodyText"/>
      </w:pPr>
      <w:r>
        <w:t>A</w:t>
      </w:r>
      <w:r w:rsidR="00790A0C">
        <w:t xml:space="preserve">lthough the Borg </w:t>
      </w:r>
      <w:r w:rsidR="004A599E">
        <w:t>Applicants</w:t>
      </w:r>
      <w:r w:rsidR="00790A0C">
        <w:t xml:space="preserve"> and t</w:t>
      </w:r>
      <w:r w:rsidR="004A599E">
        <w:t xml:space="preserve">he </w:t>
      </w:r>
      <w:proofErr w:type="spellStart"/>
      <w:r w:rsidR="004A599E">
        <w:t>Givana</w:t>
      </w:r>
      <w:proofErr w:type="spellEnd"/>
      <w:r w:rsidR="004A599E">
        <w:t xml:space="preserve"> Applicants</w:t>
      </w:r>
      <w:r w:rsidR="00790A0C">
        <w:t xml:space="preserve"> have each filed an interlocutory application they </w:t>
      </w:r>
      <w:r w:rsidR="004A599E">
        <w:t>are</w:t>
      </w:r>
      <w:r w:rsidR="00790A0C">
        <w:t xml:space="preserve"> represented by the same solicitors and counsel and ma</w:t>
      </w:r>
      <w:r w:rsidR="004A599E">
        <w:t>k</w:t>
      </w:r>
      <w:r w:rsidR="00790A0C">
        <w:t xml:space="preserve">e the same submissions.  </w:t>
      </w:r>
      <w:r w:rsidR="004C6B97">
        <w:t xml:space="preserve">I will refer to those </w:t>
      </w:r>
      <w:r w:rsidR="00AA698E">
        <w:t>applicants</w:t>
      </w:r>
      <w:r w:rsidR="004C6B97">
        <w:t xml:space="preserve"> collectively as the </w:t>
      </w:r>
      <w:r w:rsidR="004C6B97" w:rsidRPr="00AA698E">
        <w:rPr>
          <w:b/>
          <w:bCs/>
        </w:rPr>
        <w:t xml:space="preserve">Borg &amp; </w:t>
      </w:r>
      <w:proofErr w:type="spellStart"/>
      <w:r w:rsidR="004C6B97" w:rsidRPr="00AA698E">
        <w:rPr>
          <w:b/>
          <w:bCs/>
        </w:rPr>
        <w:t>Givana</w:t>
      </w:r>
      <w:proofErr w:type="spellEnd"/>
      <w:r w:rsidR="004C6B97" w:rsidRPr="00AA698E">
        <w:rPr>
          <w:b/>
          <w:bCs/>
        </w:rPr>
        <w:t xml:space="preserve"> Applicants</w:t>
      </w:r>
      <w:r w:rsidR="004C6B97">
        <w:t xml:space="preserve"> and to </w:t>
      </w:r>
      <w:r w:rsidR="005B67B7">
        <w:t xml:space="preserve">the four </w:t>
      </w:r>
      <w:r w:rsidR="004C6B97">
        <w:t>applicant</w:t>
      </w:r>
      <w:r w:rsidR="00AA698E">
        <w:t xml:space="preserve"> groups collectively as the </w:t>
      </w:r>
      <w:r w:rsidR="00AA698E" w:rsidRPr="00AA698E">
        <w:rPr>
          <w:b/>
          <w:bCs/>
        </w:rPr>
        <w:t>Applicants</w:t>
      </w:r>
      <w:r w:rsidR="00AA698E">
        <w:t xml:space="preserve">.  </w:t>
      </w:r>
    </w:p>
    <w:p w14:paraId="4844FFFB" w14:textId="2E145761" w:rsidR="00B9453D" w:rsidRDefault="00D313AC" w:rsidP="00D313AC">
      <w:pPr>
        <w:pStyle w:val="ParaNumbering"/>
        <w:numPr>
          <w:ilvl w:val="0"/>
          <w:numId w:val="0"/>
        </w:numPr>
        <w:ind w:hanging="720"/>
      </w:pPr>
      <w:bookmarkStart w:id="23" w:name="_Ref156295656"/>
      <w:r>
        <w:rPr>
          <w:sz w:val="20"/>
        </w:rPr>
        <w:t>6</w:t>
      </w:r>
      <w:r>
        <w:rPr>
          <w:sz w:val="20"/>
        </w:rPr>
        <w:tab/>
      </w:r>
      <w:r w:rsidR="00A648A2">
        <w:t>O</w:t>
      </w:r>
      <w:r w:rsidR="004A599E">
        <w:t xml:space="preserve">n 9 December 2022 the Commissioner filed an interlocutory application </w:t>
      </w:r>
      <w:r w:rsidR="00AA698E">
        <w:t>(</w:t>
      </w:r>
      <w:r w:rsidR="00AA698E">
        <w:rPr>
          <w:b/>
          <w:bCs/>
        </w:rPr>
        <w:t>Commissioner’s</w:t>
      </w:r>
      <w:r w:rsidR="003C19B6">
        <w:rPr>
          <w:b/>
          <w:bCs/>
        </w:rPr>
        <w:t> </w:t>
      </w:r>
      <w:r w:rsidR="00AA698E">
        <w:rPr>
          <w:b/>
          <w:bCs/>
        </w:rPr>
        <w:t>Application</w:t>
      </w:r>
      <w:r w:rsidR="00AA698E">
        <w:t xml:space="preserve">).  That application </w:t>
      </w:r>
      <w:r w:rsidR="004A599E">
        <w:t xml:space="preserve">only arises for consideration in the event that any of the </w:t>
      </w:r>
      <w:r w:rsidR="00AA698E">
        <w:t>A</w:t>
      </w:r>
      <w:r w:rsidR="004A599E">
        <w:t>pplicants are successful in having Order 3 of the Reinstatement Orders discharged</w:t>
      </w:r>
      <w:r w:rsidR="007A7921">
        <w:t xml:space="preserve"> or varied</w:t>
      </w:r>
      <w:r w:rsidR="006952D9">
        <w:t>.  In that event, the Commissioner seeks</w:t>
      </w:r>
      <w:r w:rsidR="00B9453D">
        <w:t>:</w:t>
      </w:r>
      <w:bookmarkEnd w:id="23"/>
    </w:p>
    <w:p w14:paraId="0FB96719" w14:textId="3451FD8B" w:rsidR="00C14227" w:rsidRDefault="00D313AC" w:rsidP="00D313AC">
      <w:pPr>
        <w:pStyle w:val="ListNo1"/>
        <w:numPr>
          <w:ilvl w:val="0"/>
          <w:numId w:val="0"/>
        </w:numPr>
        <w:tabs>
          <w:tab w:val="left" w:pos="720"/>
        </w:tabs>
        <w:ind w:left="720" w:hanging="720"/>
      </w:pPr>
      <w:bookmarkStart w:id="24" w:name="_Ref156295641"/>
      <w:r>
        <w:t>(1)</w:t>
      </w:r>
      <w:r>
        <w:tab/>
      </w:r>
      <w:r w:rsidR="009A656B">
        <w:t xml:space="preserve">an </w:t>
      </w:r>
      <w:r w:rsidR="006952D9">
        <w:t xml:space="preserve">order </w:t>
      </w:r>
      <w:r w:rsidR="0085401C">
        <w:t xml:space="preserve">pursuant to </w:t>
      </w:r>
      <w:r w:rsidR="00761E4F">
        <w:t>s 601AH(3)</w:t>
      </w:r>
      <w:r w:rsidR="00317B68">
        <w:t>(d)</w:t>
      </w:r>
      <w:r w:rsidR="00761E4F">
        <w:t xml:space="preserve"> of the </w:t>
      </w:r>
      <w:r w:rsidR="005E3E4C">
        <w:t>Corporations</w:t>
      </w:r>
      <w:r w:rsidR="00761E4F">
        <w:t xml:space="preserve"> Act </w:t>
      </w:r>
      <w:r w:rsidR="005E3E4C">
        <w:t xml:space="preserve">to the effect that, when calculating the period ending three years after the relation-back day for any of the </w:t>
      </w:r>
      <w:r w:rsidR="00B861FF">
        <w:t>reinstated c</w:t>
      </w:r>
      <w:r w:rsidR="005E3E4C">
        <w:t>ompanies, the period between the date of the deregistration of the relevant company and 2 September 2019 be disregarded</w:t>
      </w:r>
      <w:r w:rsidR="00C14227">
        <w:t>;</w:t>
      </w:r>
      <w:bookmarkEnd w:id="24"/>
      <w:r w:rsidR="005E3E4C">
        <w:t xml:space="preserve"> </w:t>
      </w:r>
    </w:p>
    <w:p w14:paraId="5B31EDC5" w14:textId="78A81897" w:rsidR="004A599E" w:rsidRDefault="00D313AC" w:rsidP="00D313AC">
      <w:pPr>
        <w:pStyle w:val="ListNo1"/>
        <w:numPr>
          <w:ilvl w:val="0"/>
          <w:numId w:val="0"/>
        </w:numPr>
        <w:tabs>
          <w:tab w:val="left" w:pos="720"/>
        </w:tabs>
        <w:ind w:left="720" w:hanging="720"/>
      </w:pPr>
      <w:bookmarkStart w:id="25" w:name="_Ref156295644"/>
      <w:r>
        <w:t>(2)</w:t>
      </w:r>
      <w:r>
        <w:tab/>
      </w:r>
      <w:r w:rsidR="00C14227">
        <w:t xml:space="preserve">in the </w:t>
      </w:r>
      <w:r w:rsidR="00C36C6A">
        <w:t xml:space="preserve">alternative an order pursuant to </w:t>
      </w:r>
      <w:r w:rsidR="0085401C">
        <w:t xml:space="preserve">s 536(1) of the Corporations Act (now repealed) </w:t>
      </w:r>
      <w:r w:rsidR="004A599E">
        <w:t xml:space="preserve">to the effect that, when calculating the period ending three years after the relation-back day for any of the </w:t>
      </w:r>
      <w:r w:rsidR="00B861FF">
        <w:t>reinstated c</w:t>
      </w:r>
      <w:r w:rsidR="004A599E">
        <w:t xml:space="preserve">ompanies, the period between the date of the deregistration of the relevant company and 2 September 2019 </w:t>
      </w:r>
      <w:r w:rsidR="006952D9">
        <w:t xml:space="preserve">be disregarded or, alternatively, </w:t>
      </w:r>
      <w:r w:rsidR="004A599E">
        <w:t xml:space="preserve">an order </w:t>
      </w:r>
      <w:r w:rsidR="00303340">
        <w:t>to the same effect</w:t>
      </w:r>
      <w:r w:rsidR="00C14227">
        <w:t>; and</w:t>
      </w:r>
      <w:bookmarkEnd w:id="25"/>
    </w:p>
    <w:p w14:paraId="2F30A9BF" w14:textId="3647B99A" w:rsidR="00C14227" w:rsidRDefault="00D313AC" w:rsidP="00D313AC">
      <w:pPr>
        <w:pStyle w:val="ListNo1"/>
        <w:numPr>
          <w:ilvl w:val="0"/>
          <w:numId w:val="0"/>
        </w:numPr>
        <w:tabs>
          <w:tab w:val="left" w:pos="720"/>
        </w:tabs>
        <w:ind w:left="720" w:hanging="720"/>
      </w:pPr>
      <w:r>
        <w:t>(3)</w:t>
      </w:r>
      <w:r>
        <w:tab/>
      </w:r>
      <w:r w:rsidR="00C14227">
        <w:t>an order that</w:t>
      </w:r>
      <w:r w:rsidR="00523F3A">
        <w:t xml:space="preserve"> if</w:t>
      </w:r>
      <w:r w:rsidR="00C14227">
        <w:t xml:space="preserve"> </w:t>
      </w:r>
      <w:r w:rsidR="00564AEB">
        <w:t xml:space="preserve">an </w:t>
      </w:r>
      <w:r w:rsidR="00C14227">
        <w:t xml:space="preserve">order </w:t>
      </w:r>
      <w:r w:rsidR="00564AEB">
        <w:t xml:space="preserve">in the terms of </w:t>
      </w:r>
      <w:r w:rsidR="00803C45">
        <w:t>[</w:t>
      </w:r>
      <w:r w:rsidR="005D7250">
        <w:fldChar w:fldCharType="begin"/>
      </w:r>
      <w:r w:rsidR="005D7250">
        <w:instrText xml:space="preserve"> REF _Ref156295656 \w \h </w:instrText>
      </w:r>
      <w:r w:rsidR="005D7250">
        <w:fldChar w:fldCharType="separate"/>
      </w:r>
      <w:r w:rsidR="002B21FE">
        <w:t>6</w:t>
      </w:r>
      <w:r w:rsidR="005D7250">
        <w:fldChar w:fldCharType="end"/>
      </w:r>
      <w:r w:rsidR="005D7250">
        <w:fldChar w:fldCharType="begin"/>
      </w:r>
      <w:r w:rsidR="005D7250">
        <w:instrText xml:space="preserve"> REF _Ref156295641 \w \h </w:instrText>
      </w:r>
      <w:r w:rsidR="005D7250">
        <w:fldChar w:fldCharType="separate"/>
      </w:r>
      <w:r w:rsidR="002B21FE">
        <w:t>(1)</w:t>
      </w:r>
      <w:r w:rsidR="005D7250">
        <w:fldChar w:fldCharType="end"/>
      </w:r>
      <w:r w:rsidR="00803C45">
        <w:t>]</w:t>
      </w:r>
      <w:r w:rsidR="00564AEB">
        <w:t xml:space="preserve"> and/or </w:t>
      </w:r>
      <w:r w:rsidR="00803C45">
        <w:t>[</w:t>
      </w:r>
      <w:r w:rsidR="005D7250">
        <w:fldChar w:fldCharType="begin"/>
      </w:r>
      <w:r w:rsidR="005D7250">
        <w:instrText xml:space="preserve"> REF _Ref156295656 \w \h </w:instrText>
      </w:r>
      <w:r w:rsidR="005D7250">
        <w:fldChar w:fldCharType="separate"/>
      </w:r>
      <w:r w:rsidR="002B21FE">
        <w:t>6</w:t>
      </w:r>
      <w:r w:rsidR="005D7250">
        <w:fldChar w:fldCharType="end"/>
      </w:r>
      <w:r w:rsidR="005D7250">
        <w:fldChar w:fldCharType="begin"/>
      </w:r>
      <w:r w:rsidR="005D7250">
        <w:instrText xml:space="preserve"> REF _Ref156295644 \w \h </w:instrText>
      </w:r>
      <w:r w:rsidR="005D7250">
        <w:fldChar w:fldCharType="separate"/>
      </w:r>
      <w:r w:rsidR="002B21FE">
        <w:t>(2)</w:t>
      </w:r>
      <w:r w:rsidR="005D7250">
        <w:fldChar w:fldCharType="end"/>
      </w:r>
      <w:r w:rsidR="00803C45">
        <w:t>]</w:t>
      </w:r>
      <w:r w:rsidR="00564AEB">
        <w:t xml:space="preserve"> </w:t>
      </w:r>
      <w:r w:rsidR="00523F3A">
        <w:t xml:space="preserve">above </w:t>
      </w:r>
      <w:r w:rsidR="00564AEB">
        <w:t xml:space="preserve">is made, that </w:t>
      </w:r>
      <w:r w:rsidR="009A481C">
        <w:t>order</w:t>
      </w:r>
      <w:r w:rsidR="00564AEB">
        <w:t xml:space="preserve"> operate </w:t>
      </w:r>
      <w:proofErr w:type="spellStart"/>
      <w:r w:rsidR="00564AEB" w:rsidRPr="00564AEB">
        <w:rPr>
          <w:i/>
          <w:iCs/>
        </w:rPr>
        <w:t>nunc</w:t>
      </w:r>
      <w:proofErr w:type="spellEnd"/>
      <w:r w:rsidR="00564AEB" w:rsidRPr="00564AEB">
        <w:rPr>
          <w:i/>
          <w:iCs/>
        </w:rPr>
        <w:t xml:space="preserve"> pro </w:t>
      </w:r>
      <w:proofErr w:type="spellStart"/>
      <w:r w:rsidR="00564AEB" w:rsidRPr="00564AEB">
        <w:rPr>
          <w:i/>
          <w:iCs/>
        </w:rPr>
        <w:t>tunc</w:t>
      </w:r>
      <w:proofErr w:type="spellEnd"/>
      <w:r w:rsidR="00564AEB">
        <w:t xml:space="preserve"> with effect from 2 September 2019.</w:t>
      </w:r>
    </w:p>
    <w:p w14:paraId="23A30311" w14:textId="338E1899" w:rsidR="008D1FB0" w:rsidRDefault="00D313AC" w:rsidP="007F4FF3">
      <w:pPr>
        <w:pStyle w:val="Heading1"/>
      </w:pPr>
      <w:r>
        <w:rPr>
          <w:caps w:val="0"/>
        </w:rPr>
        <w:t xml:space="preserve">BACKGROUND </w:t>
      </w:r>
    </w:p>
    <w:p w14:paraId="70EF6DEC" w14:textId="76203C46" w:rsidR="00347444" w:rsidRDefault="00347444" w:rsidP="0038306C">
      <w:pPr>
        <w:pStyle w:val="Heading2"/>
      </w:pPr>
      <w:r>
        <w:t xml:space="preserve">Phoenix taskforce established </w:t>
      </w:r>
    </w:p>
    <w:p w14:paraId="26F9BB71" w14:textId="107A136B" w:rsidR="008D6EBD" w:rsidRDefault="00D313AC" w:rsidP="00D313AC">
      <w:pPr>
        <w:pStyle w:val="ParaNumbering"/>
        <w:numPr>
          <w:ilvl w:val="0"/>
          <w:numId w:val="0"/>
        </w:numPr>
        <w:ind w:hanging="720"/>
      </w:pPr>
      <w:r>
        <w:rPr>
          <w:sz w:val="20"/>
        </w:rPr>
        <w:t>7</w:t>
      </w:r>
      <w:r>
        <w:rPr>
          <w:sz w:val="20"/>
        </w:rPr>
        <w:tab/>
      </w:r>
      <w:r w:rsidR="008D6EBD">
        <w:t xml:space="preserve">In 2014 a Phoenix Taskforce was established.  The agencies involved in the taskforce included the Australian Taxation Office </w:t>
      </w:r>
      <w:r w:rsidR="00EA4EC6">
        <w:t>(</w:t>
      </w:r>
      <w:r w:rsidR="008D6EBD" w:rsidRPr="005F7D58">
        <w:rPr>
          <w:b/>
        </w:rPr>
        <w:t>ATO</w:t>
      </w:r>
      <w:r w:rsidR="008D6EBD">
        <w:t>) and the Australian Securities and Investments Commission (</w:t>
      </w:r>
      <w:r w:rsidR="008D6EBD" w:rsidRPr="005F7D58">
        <w:rPr>
          <w:b/>
        </w:rPr>
        <w:t>ASIC</w:t>
      </w:r>
      <w:r w:rsidR="008D6EBD">
        <w:t>) as well as other government agencies.</w:t>
      </w:r>
      <w:r w:rsidR="005F7D58">
        <w:t xml:space="preserve">  As described by Michael Hughes, </w:t>
      </w:r>
      <w:r w:rsidR="00EB575B">
        <w:t xml:space="preserve">a </w:t>
      </w:r>
      <w:r w:rsidR="00E92074">
        <w:t xml:space="preserve">partner of </w:t>
      </w:r>
      <w:proofErr w:type="spellStart"/>
      <w:r w:rsidR="00E92074">
        <w:t>MinterEllison</w:t>
      </w:r>
      <w:proofErr w:type="spellEnd"/>
      <w:r w:rsidR="00E92074">
        <w:t xml:space="preserve">, </w:t>
      </w:r>
      <w:r w:rsidR="005F7D58">
        <w:t>the solicit</w:t>
      </w:r>
      <w:r w:rsidR="00CA3DFC">
        <w:t>or</w:t>
      </w:r>
      <w:r w:rsidR="00E92074">
        <w:t>s</w:t>
      </w:r>
      <w:r w:rsidR="005F7D58">
        <w:t xml:space="preserve"> for the Commissioner, the aim of the inter-agency operation was to detect, deter and disrupt certain behaviours including </w:t>
      </w:r>
      <w:proofErr w:type="spellStart"/>
      <w:r w:rsidR="005F7D58">
        <w:t>phoen</w:t>
      </w:r>
      <w:r w:rsidR="009607D0">
        <w:t>i</w:t>
      </w:r>
      <w:r w:rsidR="005F7D58">
        <w:t>xing</w:t>
      </w:r>
      <w:proofErr w:type="spellEnd"/>
      <w:r w:rsidR="005F7D58">
        <w:t xml:space="preserve"> activity</w:t>
      </w:r>
      <w:r w:rsidR="00CA3DFC">
        <w:t>,</w:t>
      </w:r>
      <w:r w:rsidR="005F7D58">
        <w:t xml:space="preserve"> incorrect tax refund claims, taxation irregularities and money laundering, by investigating</w:t>
      </w:r>
      <w:r w:rsidR="00CA3DFC">
        <w:t>, among other things</w:t>
      </w:r>
      <w:r w:rsidR="005F7D58">
        <w:t>:</w:t>
      </w:r>
      <w:r w:rsidR="0038306C">
        <w:t xml:space="preserve"> </w:t>
      </w:r>
      <w:r w:rsidR="005F7D58">
        <w:t>tax agents promoting and facilitating this behaviour;</w:t>
      </w:r>
      <w:r w:rsidR="0038306C">
        <w:t xml:space="preserve"> </w:t>
      </w:r>
      <w:r w:rsidR="005F7D58">
        <w:t xml:space="preserve">insolvency </w:t>
      </w:r>
      <w:r w:rsidR="005F7D58">
        <w:lastRenderedPageBreak/>
        <w:t xml:space="preserve">practitioners facilitating this behaviour; and companies and individuals profiting from this behaviour.  </w:t>
      </w:r>
    </w:p>
    <w:p w14:paraId="74C19253" w14:textId="6C7F0252" w:rsidR="00A44C39" w:rsidRDefault="001A01A6" w:rsidP="00A44C39">
      <w:pPr>
        <w:pStyle w:val="Heading2"/>
      </w:pPr>
      <w:r>
        <w:t>The</w:t>
      </w:r>
      <w:r w:rsidR="00787795">
        <w:t xml:space="preserve"> ATO commences an investigation into Mr Iannuzzi</w:t>
      </w:r>
    </w:p>
    <w:p w14:paraId="7B707CE5" w14:textId="33F31BB1" w:rsidR="0038306C" w:rsidRDefault="00D313AC" w:rsidP="00D313AC">
      <w:pPr>
        <w:pStyle w:val="ParaNumbering"/>
        <w:numPr>
          <w:ilvl w:val="0"/>
          <w:numId w:val="0"/>
        </w:numPr>
        <w:ind w:hanging="720"/>
      </w:pPr>
      <w:r>
        <w:rPr>
          <w:sz w:val="20"/>
        </w:rPr>
        <w:t>8</w:t>
      </w:r>
      <w:r>
        <w:rPr>
          <w:sz w:val="20"/>
        </w:rPr>
        <w:tab/>
      </w:r>
      <w:r w:rsidR="00CA3DFC">
        <w:t xml:space="preserve">A focus of the Commissioner’s investigation was on potential </w:t>
      </w:r>
      <w:proofErr w:type="spellStart"/>
      <w:r w:rsidR="00CA3DFC">
        <w:t>phoenixing</w:t>
      </w:r>
      <w:proofErr w:type="spellEnd"/>
      <w:r w:rsidR="00CA3DFC">
        <w:t xml:space="preserve"> activity in which Mr </w:t>
      </w:r>
      <w:r w:rsidR="001F7737">
        <w:t>Iannuzzi</w:t>
      </w:r>
      <w:r w:rsidR="00CA3DFC">
        <w:t xml:space="preserve"> was involved ari</w:t>
      </w:r>
      <w:r w:rsidR="001F7737">
        <w:t>s</w:t>
      </w:r>
      <w:r w:rsidR="00CA3DFC">
        <w:t xml:space="preserve">ing from </w:t>
      </w:r>
      <w:r w:rsidR="001F7737">
        <w:t>his relationship with</w:t>
      </w:r>
      <w:r w:rsidR="001F7737" w:rsidRPr="00784BF2">
        <w:rPr>
          <w:b/>
        </w:rPr>
        <w:t xml:space="preserve"> </w:t>
      </w:r>
      <w:proofErr w:type="spellStart"/>
      <w:r w:rsidR="000E5329" w:rsidRPr="00C86407">
        <w:rPr>
          <w:bCs/>
        </w:rPr>
        <w:t>Banq</w:t>
      </w:r>
      <w:proofErr w:type="spellEnd"/>
      <w:r w:rsidR="00CA3DFC">
        <w:t xml:space="preserve"> Accountants and Adviso</w:t>
      </w:r>
      <w:r w:rsidR="001F7737">
        <w:t xml:space="preserve">rs Pty Limited (in liquidation) trading as </w:t>
      </w:r>
      <w:proofErr w:type="spellStart"/>
      <w:r w:rsidR="000E5329" w:rsidRPr="00C86407">
        <w:rPr>
          <w:b/>
          <w:bCs/>
        </w:rPr>
        <w:t>Banq</w:t>
      </w:r>
      <w:proofErr w:type="spellEnd"/>
      <w:r w:rsidR="001F7737" w:rsidRPr="00C86407">
        <w:rPr>
          <w:b/>
          <w:bCs/>
        </w:rPr>
        <w:t xml:space="preserve"> Accountants</w:t>
      </w:r>
      <w:r w:rsidR="001F7737">
        <w:t xml:space="preserve">.  </w:t>
      </w:r>
    </w:p>
    <w:p w14:paraId="50E1251A" w14:textId="500D93FC" w:rsidR="00CA3DFC" w:rsidRDefault="00D313AC" w:rsidP="00D313AC">
      <w:pPr>
        <w:pStyle w:val="ParaNumbering"/>
        <w:numPr>
          <w:ilvl w:val="0"/>
          <w:numId w:val="0"/>
        </w:numPr>
        <w:ind w:hanging="720"/>
      </w:pPr>
      <w:r>
        <w:rPr>
          <w:sz w:val="20"/>
        </w:rPr>
        <w:t>9</w:t>
      </w:r>
      <w:r>
        <w:rPr>
          <w:sz w:val="20"/>
        </w:rPr>
        <w:tab/>
      </w:r>
      <w:r w:rsidR="00CA3DFC">
        <w:t>In 2015 the ATO commenced an investigation into Mr Iannu</w:t>
      </w:r>
      <w:r w:rsidR="00FB48F8">
        <w:t>z</w:t>
      </w:r>
      <w:r w:rsidR="00CA3DFC">
        <w:t xml:space="preserve">zi’s conduct in his capacity as external administrator of various entities of which the </w:t>
      </w:r>
      <w:r w:rsidR="00CA3DFC" w:rsidRPr="00320DDA">
        <w:rPr>
          <w:b/>
          <w:bCs/>
        </w:rPr>
        <w:t>Deputy Commissioner</w:t>
      </w:r>
      <w:r w:rsidR="00CA3DFC">
        <w:t xml:space="preserve"> of Taxation was, or may be, a creditor.</w:t>
      </w:r>
    </w:p>
    <w:p w14:paraId="460EBC0C" w14:textId="24B85E7C" w:rsidR="001C6C1C" w:rsidRPr="00B35061" w:rsidRDefault="00D313AC" w:rsidP="00D313AC">
      <w:pPr>
        <w:pStyle w:val="ParaNumbering"/>
        <w:numPr>
          <w:ilvl w:val="0"/>
          <w:numId w:val="0"/>
        </w:numPr>
        <w:ind w:hanging="720"/>
      </w:pPr>
      <w:r w:rsidRPr="00B35061">
        <w:rPr>
          <w:sz w:val="20"/>
        </w:rPr>
        <w:t>10</w:t>
      </w:r>
      <w:r w:rsidRPr="00B35061">
        <w:rPr>
          <w:sz w:val="20"/>
        </w:rPr>
        <w:tab/>
      </w:r>
      <w:r w:rsidR="001C6C1C" w:rsidRPr="00B35061">
        <w:t>According to a</w:t>
      </w:r>
      <w:r w:rsidR="00830077" w:rsidRPr="00B35061">
        <w:t xml:space="preserve"> document titled “Agreed Statement of F</w:t>
      </w:r>
      <w:r w:rsidR="001C6C1C" w:rsidRPr="00B35061">
        <w:t>acts</w:t>
      </w:r>
      <w:r w:rsidR="00830077" w:rsidRPr="00B35061">
        <w:t xml:space="preserve">” which was </w:t>
      </w:r>
      <w:r w:rsidR="001C6C1C" w:rsidRPr="00B35061">
        <w:t xml:space="preserve">tendered </w:t>
      </w:r>
      <w:r w:rsidR="00830077" w:rsidRPr="00B35061">
        <w:t xml:space="preserve">by Mr Iannuzzi </w:t>
      </w:r>
      <w:r w:rsidR="001C6C1C" w:rsidRPr="00B35061">
        <w:t>in this proceeding in the circumstances described at [</w:t>
      </w:r>
      <w:r w:rsidR="00FB0FF3" w:rsidRPr="00B35061">
        <w:fldChar w:fldCharType="begin"/>
      </w:r>
      <w:r w:rsidR="00FB0FF3" w:rsidRPr="00B35061">
        <w:instrText xml:space="preserve"> REF _Ref146814158 \r \h </w:instrText>
      </w:r>
      <w:r w:rsidR="00FF406B" w:rsidRPr="00B35061">
        <w:instrText xml:space="preserve"> \* MERGEFORMAT </w:instrText>
      </w:r>
      <w:r w:rsidR="00FB0FF3" w:rsidRPr="00B35061">
        <w:fldChar w:fldCharType="separate"/>
      </w:r>
      <w:r w:rsidR="002B21FE">
        <w:t>24</w:t>
      </w:r>
      <w:r w:rsidR="00FB0FF3" w:rsidRPr="00B35061">
        <w:fldChar w:fldCharType="end"/>
      </w:r>
      <w:r w:rsidR="001C6C1C" w:rsidRPr="00B35061">
        <w:t>]</w:t>
      </w:r>
      <w:r w:rsidR="009A3186" w:rsidRPr="00B35061">
        <w:t xml:space="preserve"> and [</w:t>
      </w:r>
      <w:r w:rsidR="009A3186" w:rsidRPr="00B35061">
        <w:fldChar w:fldCharType="begin"/>
      </w:r>
      <w:r w:rsidR="009A3186" w:rsidRPr="00B35061">
        <w:instrText xml:space="preserve"> REF _Ref146814450 \r \h </w:instrText>
      </w:r>
      <w:r w:rsidR="00FF406B" w:rsidRPr="00B35061">
        <w:instrText xml:space="preserve"> \* MERGEFORMAT </w:instrText>
      </w:r>
      <w:r w:rsidR="009A3186" w:rsidRPr="00B35061">
        <w:fldChar w:fldCharType="separate"/>
      </w:r>
      <w:r w:rsidR="002B21FE">
        <w:t>26</w:t>
      </w:r>
      <w:r w:rsidR="009A3186" w:rsidRPr="00B35061">
        <w:fldChar w:fldCharType="end"/>
      </w:r>
      <w:r w:rsidR="009A3186" w:rsidRPr="00B35061">
        <w:t>]</w:t>
      </w:r>
      <w:r w:rsidR="001C6C1C" w:rsidRPr="00B35061">
        <w:t xml:space="preserve"> below </w:t>
      </w:r>
      <w:r w:rsidR="00830077" w:rsidRPr="00B35061">
        <w:t>and treated as a statement of concessions</w:t>
      </w:r>
      <w:r w:rsidR="001C6C1C" w:rsidRPr="00B35061">
        <w:t>:</w:t>
      </w:r>
    </w:p>
    <w:p w14:paraId="472E2B30" w14:textId="733DCB97" w:rsidR="001C6C1C" w:rsidRDefault="00D313AC" w:rsidP="00D313AC">
      <w:pPr>
        <w:pStyle w:val="ListNo1"/>
        <w:numPr>
          <w:ilvl w:val="0"/>
          <w:numId w:val="0"/>
        </w:numPr>
        <w:tabs>
          <w:tab w:val="left" w:pos="720"/>
        </w:tabs>
        <w:ind w:left="720" w:hanging="720"/>
      </w:pPr>
      <w:r>
        <w:t>(1)</w:t>
      </w:r>
      <w:r>
        <w:tab/>
      </w:r>
      <w:r w:rsidR="001C6C1C">
        <w:t>a</w:t>
      </w:r>
      <w:r w:rsidR="00784BF2">
        <w:t xml:space="preserve">t </w:t>
      </w:r>
      <w:r w:rsidR="001C6C1C">
        <w:t>all relevant times</w:t>
      </w:r>
      <w:r w:rsidR="00784BF2">
        <w:t xml:space="preserve"> </w:t>
      </w:r>
      <w:r w:rsidR="001F7737">
        <w:t xml:space="preserve">Mr Iannuzzi was the sole director of </w:t>
      </w:r>
      <w:r w:rsidR="001F7737" w:rsidRPr="004A0078">
        <w:rPr>
          <w:b/>
        </w:rPr>
        <w:t>Veritas</w:t>
      </w:r>
      <w:r w:rsidR="001F7737" w:rsidRPr="00233AA7">
        <w:rPr>
          <w:bCs/>
        </w:rPr>
        <w:t xml:space="preserve"> </w:t>
      </w:r>
      <w:r w:rsidR="00CA1830" w:rsidRPr="0037033F">
        <w:rPr>
          <w:b/>
        </w:rPr>
        <w:t>Adv</w:t>
      </w:r>
      <w:r w:rsidR="00EF69CB" w:rsidRPr="0037033F">
        <w:rPr>
          <w:b/>
        </w:rPr>
        <w:t>i</w:t>
      </w:r>
      <w:r w:rsidR="00CA1830" w:rsidRPr="0037033F">
        <w:rPr>
          <w:b/>
        </w:rPr>
        <w:t>sory</w:t>
      </w:r>
      <w:r w:rsidR="00CA1830">
        <w:rPr>
          <w:bCs/>
        </w:rPr>
        <w:t xml:space="preserve"> Services Pty Ltd </w:t>
      </w:r>
      <w:r w:rsidR="001F7737">
        <w:t>which, among other things, carried on a business o</w:t>
      </w:r>
      <w:r w:rsidR="006B0B22">
        <w:t>f</w:t>
      </w:r>
      <w:r w:rsidR="001F7737">
        <w:t xml:space="preserve"> providing insolvency related serv</w:t>
      </w:r>
      <w:r w:rsidR="00784BF2">
        <w:t>ices</w:t>
      </w:r>
      <w:r w:rsidR="001C6C1C">
        <w:t>;</w:t>
      </w:r>
    </w:p>
    <w:p w14:paraId="6C99213A" w14:textId="4B96CCDB" w:rsidR="001C6C1C" w:rsidRDefault="00D313AC" w:rsidP="00D313AC">
      <w:pPr>
        <w:pStyle w:val="ListNo1"/>
        <w:numPr>
          <w:ilvl w:val="0"/>
          <w:numId w:val="0"/>
        </w:numPr>
        <w:tabs>
          <w:tab w:val="left" w:pos="720"/>
        </w:tabs>
        <w:ind w:left="720" w:hanging="720"/>
      </w:pPr>
      <w:r>
        <w:t>(2)</w:t>
      </w:r>
      <w:r>
        <w:tab/>
      </w:r>
      <w:r w:rsidR="001C6C1C">
        <w:t>p</w:t>
      </w:r>
      <w:r w:rsidR="00784BF2">
        <w:t>rior to his death on 16 </w:t>
      </w:r>
      <w:r w:rsidR="001F7737">
        <w:t xml:space="preserve">June 2015 </w:t>
      </w:r>
      <w:r w:rsidR="00233AA7">
        <w:t>M</w:t>
      </w:r>
      <w:r w:rsidR="0095294E">
        <w:t>u</w:t>
      </w:r>
      <w:r w:rsidR="00233AA7">
        <w:t>r</w:t>
      </w:r>
      <w:r w:rsidR="003F1824">
        <w:t>ray</w:t>
      </w:r>
      <w:r w:rsidR="001F7737">
        <w:t xml:space="preserve"> Godfrey was also a director of Veritas</w:t>
      </w:r>
      <w:r w:rsidR="0037033F">
        <w:t xml:space="preserve"> Advisory</w:t>
      </w:r>
      <w:r w:rsidR="001C6C1C">
        <w:t>;</w:t>
      </w:r>
    </w:p>
    <w:p w14:paraId="7F80CE37" w14:textId="74325FEC" w:rsidR="001F7737" w:rsidRDefault="00D313AC" w:rsidP="00D313AC">
      <w:pPr>
        <w:pStyle w:val="ListNo1"/>
        <w:numPr>
          <w:ilvl w:val="0"/>
          <w:numId w:val="0"/>
        </w:numPr>
        <w:tabs>
          <w:tab w:val="left" w:pos="720"/>
        </w:tabs>
        <w:ind w:left="720" w:hanging="720"/>
      </w:pPr>
      <w:r>
        <w:t>(3)</w:t>
      </w:r>
      <w:r>
        <w:tab/>
      </w:r>
      <w:r w:rsidR="001C6C1C">
        <w:t xml:space="preserve">Mr Iannuzzi inherited the relationship with </w:t>
      </w:r>
      <w:proofErr w:type="spellStart"/>
      <w:r w:rsidR="001C6C1C">
        <w:t>Banq</w:t>
      </w:r>
      <w:proofErr w:type="spellEnd"/>
      <w:r w:rsidR="001C6C1C">
        <w:t xml:space="preserve"> </w:t>
      </w:r>
      <w:r w:rsidR="00E81ECF">
        <w:t xml:space="preserve">Accountants </w:t>
      </w:r>
      <w:r w:rsidR="001C6C1C">
        <w:t>from RMG Partners, Mr Godfrey’s former business;</w:t>
      </w:r>
    </w:p>
    <w:p w14:paraId="3F11EC8B" w14:textId="59F3ACA0" w:rsidR="001C6C1C" w:rsidRDefault="00D313AC" w:rsidP="00D313AC">
      <w:pPr>
        <w:pStyle w:val="ListNo1"/>
        <w:numPr>
          <w:ilvl w:val="0"/>
          <w:numId w:val="0"/>
        </w:numPr>
        <w:tabs>
          <w:tab w:val="left" w:pos="720"/>
        </w:tabs>
        <w:ind w:left="720" w:hanging="720"/>
      </w:pPr>
      <w:r>
        <w:t>(4)</w:t>
      </w:r>
      <w:r>
        <w:tab/>
      </w:r>
      <w:proofErr w:type="spellStart"/>
      <w:r w:rsidR="001F7737">
        <w:t>Banq</w:t>
      </w:r>
      <w:proofErr w:type="spellEnd"/>
      <w:r w:rsidR="001F7737">
        <w:t xml:space="preserve"> </w:t>
      </w:r>
      <w:r w:rsidR="00E81ECF">
        <w:t xml:space="preserve">Accountants </w:t>
      </w:r>
      <w:r w:rsidR="001F7737">
        <w:t>was a referring entity to Mr Iannuzzi</w:t>
      </w:r>
      <w:r w:rsidR="001C6C1C">
        <w:t>.  I</w:t>
      </w:r>
      <w:r w:rsidR="001F7737">
        <w:t>t provided Mr Iannuzzi’s contact details to a director, debtor or creditor for the purpose of seekin</w:t>
      </w:r>
      <w:r w:rsidR="00784BF2">
        <w:t xml:space="preserve">g specialist insolvency advice which </w:t>
      </w:r>
      <w:r w:rsidR="001F7737">
        <w:t>may result in an appointment</w:t>
      </w:r>
      <w:r w:rsidR="00784BF2">
        <w:t xml:space="preserve"> for Mr Iannuzzi</w:t>
      </w:r>
      <w:r w:rsidR="001C6C1C">
        <w:t>; and</w:t>
      </w:r>
    </w:p>
    <w:p w14:paraId="6D6182B1" w14:textId="1F494BF5" w:rsidR="001F7737" w:rsidRDefault="00D313AC" w:rsidP="00D313AC">
      <w:pPr>
        <w:pStyle w:val="ListNo1"/>
        <w:numPr>
          <w:ilvl w:val="0"/>
          <w:numId w:val="0"/>
        </w:numPr>
        <w:tabs>
          <w:tab w:val="left" w:pos="720"/>
        </w:tabs>
        <w:ind w:left="720" w:hanging="720"/>
      </w:pPr>
      <w:r>
        <w:t>(5)</w:t>
      </w:r>
      <w:r>
        <w:tab/>
      </w:r>
      <w:r w:rsidR="001F7737">
        <w:t xml:space="preserve">Mr Iannuzzi received referrals from </w:t>
      </w:r>
      <w:proofErr w:type="spellStart"/>
      <w:r w:rsidR="001F7737">
        <w:t>Banq</w:t>
      </w:r>
      <w:proofErr w:type="spellEnd"/>
      <w:r w:rsidR="001F7737">
        <w:t xml:space="preserve"> </w:t>
      </w:r>
      <w:r w:rsidR="00E81ECF">
        <w:t xml:space="preserve">Accountants </w:t>
      </w:r>
      <w:r w:rsidR="001F7737">
        <w:t>to act as liquidator in a creditor</w:t>
      </w:r>
      <w:r w:rsidR="00316882">
        <w:t>s</w:t>
      </w:r>
      <w:r w:rsidR="001F7737">
        <w:t xml:space="preserve">’ voluntary liquidation </w:t>
      </w:r>
      <w:r w:rsidR="001A16EF">
        <w:t xml:space="preserve">for </w:t>
      </w:r>
      <w:r w:rsidR="001F7737">
        <w:t>at least 28 companies.</w:t>
      </w:r>
    </w:p>
    <w:p w14:paraId="23B35852" w14:textId="6116C66A" w:rsidR="00787795" w:rsidRDefault="00516D25" w:rsidP="00787795">
      <w:pPr>
        <w:pStyle w:val="Heading2"/>
      </w:pPr>
      <w:r>
        <w:t>The Liquidation and d</w:t>
      </w:r>
      <w:r w:rsidR="00787795">
        <w:t xml:space="preserve">eregistration of RC Group and the </w:t>
      </w:r>
      <w:proofErr w:type="spellStart"/>
      <w:r w:rsidR="00787795">
        <w:t>Tabuso</w:t>
      </w:r>
      <w:proofErr w:type="spellEnd"/>
      <w:r w:rsidR="00787795">
        <w:t xml:space="preserve"> Group</w:t>
      </w:r>
      <w:r>
        <w:t xml:space="preserve"> </w:t>
      </w:r>
      <w:r w:rsidR="00CE0D48">
        <w:t xml:space="preserve">of </w:t>
      </w:r>
      <w:r>
        <w:t>companies</w:t>
      </w:r>
    </w:p>
    <w:p w14:paraId="0FC23C11" w14:textId="2C965BB7" w:rsidR="00110EBB" w:rsidRDefault="00D313AC" w:rsidP="00D313AC">
      <w:pPr>
        <w:pStyle w:val="ParaNumbering"/>
        <w:numPr>
          <w:ilvl w:val="0"/>
          <w:numId w:val="0"/>
        </w:numPr>
        <w:ind w:hanging="720"/>
      </w:pPr>
      <w:r>
        <w:rPr>
          <w:sz w:val="20"/>
        </w:rPr>
        <w:t>11</w:t>
      </w:r>
      <w:r>
        <w:rPr>
          <w:sz w:val="20"/>
        </w:rPr>
        <w:tab/>
      </w:r>
      <w:r w:rsidR="00110EBB">
        <w:t xml:space="preserve">On 18 August 2014 </w:t>
      </w:r>
      <w:r w:rsidR="00110EBB" w:rsidRPr="006B6CB1">
        <w:rPr>
          <w:b/>
          <w:bCs/>
        </w:rPr>
        <w:t>RC Group</w:t>
      </w:r>
      <w:r w:rsidR="00110EBB">
        <w:t xml:space="preserve"> Aust Pty Ltd was placed into liquidation and M</w:t>
      </w:r>
      <w:r w:rsidR="003F1824">
        <w:t>ess</w:t>
      </w:r>
      <w:r w:rsidR="00110EBB">
        <w:t>r</w:t>
      </w:r>
      <w:r w:rsidR="003F1824">
        <w:t>s</w:t>
      </w:r>
      <w:r w:rsidR="00110EBB">
        <w:t xml:space="preserve"> Iannuzzi and Godfrey were appointed as liquidators. </w:t>
      </w:r>
    </w:p>
    <w:p w14:paraId="29871AF0" w14:textId="10F89C71" w:rsidR="00110EBB" w:rsidRDefault="00D313AC" w:rsidP="00D313AC">
      <w:pPr>
        <w:pStyle w:val="ParaNumbering"/>
        <w:numPr>
          <w:ilvl w:val="0"/>
          <w:numId w:val="0"/>
        </w:numPr>
        <w:ind w:hanging="720"/>
      </w:pPr>
      <w:r>
        <w:rPr>
          <w:sz w:val="20"/>
        </w:rPr>
        <w:t>12</w:t>
      </w:r>
      <w:r>
        <w:rPr>
          <w:sz w:val="20"/>
        </w:rPr>
        <w:tab/>
      </w:r>
      <w:r w:rsidR="00110EBB">
        <w:t>On 8 December 2014 the following companies were placed into liquidation:</w:t>
      </w:r>
    </w:p>
    <w:p w14:paraId="3F213CF5" w14:textId="2AC98B7A" w:rsidR="00110EBB" w:rsidRPr="00396E12" w:rsidRDefault="00D313AC" w:rsidP="00D313AC">
      <w:pPr>
        <w:pStyle w:val="ListNo1"/>
        <w:numPr>
          <w:ilvl w:val="0"/>
          <w:numId w:val="0"/>
        </w:numPr>
        <w:tabs>
          <w:tab w:val="left" w:pos="720"/>
        </w:tabs>
        <w:ind w:left="720" w:hanging="720"/>
        <w:rPr>
          <w:rStyle w:val="CommentReference"/>
          <w:sz w:val="24"/>
          <w:szCs w:val="20"/>
        </w:rPr>
      </w:pPr>
      <w:r w:rsidRPr="00396E12">
        <w:rPr>
          <w:rStyle w:val="CommentReference"/>
          <w:sz w:val="24"/>
          <w:szCs w:val="20"/>
        </w:rPr>
        <w:t>(1)</w:t>
      </w:r>
      <w:r w:rsidRPr="00396E12">
        <w:rPr>
          <w:rStyle w:val="CommentReference"/>
          <w:sz w:val="24"/>
          <w:szCs w:val="20"/>
        </w:rPr>
        <w:tab/>
      </w:r>
      <w:r w:rsidR="00110EBB" w:rsidRPr="00396E12">
        <w:rPr>
          <w:b/>
          <w:bCs/>
        </w:rPr>
        <w:t>Inter Management</w:t>
      </w:r>
      <w:r w:rsidR="00110EBB">
        <w:t xml:space="preserve"> </w:t>
      </w:r>
      <w:r w:rsidR="00110EBB" w:rsidRPr="00892B9B">
        <w:rPr>
          <w:b/>
          <w:bCs/>
        </w:rPr>
        <w:t>Group</w:t>
      </w:r>
      <w:r w:rsidR="00110EBB">
        <w:t xml:space="preserve"> Pty Ltd</w:t>
      </w:r>
      <w:r w:rsidR="00110EBB">
        <w:rPr>
          <w:rStyle w:val="CommentReference"/>
        </w:rPr>
        <w:t>;</w:t>
      </w:r>
    </w:p>
    <w:p w14:paraId="792C5FB0" w14:textId="3FBC02F0" w:rsidR="00110EBB" w:rsidRDefault="00D313AC" w:rsidP="00D313AC">
      <w:pPr>
        <w:pStyle w:val="ListNo1"/>
        <w:numPr>
          <w:ilvl w:val="0"/>
          <w:numId w:val="0"/>
        </w:numPr>
        <w:tabs>
          <w:tab w:val="left" w:pos="720"/>
        </w:tabs>
        <w:ind w:left="720" w:hanging="720"/>
      </w:pPr>
      <w:r>
        <w:lastRenderedPageBreak/>
        <w:t>(2)</w:t>
      </w:r>
      <w:r>
        <w:tab/>
      </w:r>
      <w:r w:rsidR="00110EBB" w:rsidRPr="002B5437">
        <w:rPr>
          <w:b/>
          <w:bCs/>
        </w:rPr>
        <w:t>Co-ordinated Transport</w:t>
      </w:r>
      <w:r w:rsidR="00110EBB" w:rsidRPr="00807669">
        <w:t xml:space="preserve"> Solutions</w:t>
      </w:r>
      <w:r w:rsidR="00110EBB">
        <w:t xml:space="preserve"> Pty Ltd; </w:t>
      </w:r>
    </w:p>
    <w:p w14:paraId="365FD73A" w14:textId="57ED2547" w:rsidR="00110EBB" w:rsidRDefault="00D313AC" w:rsidP="00D313AC">
      <w:pPr>
        <w:pStyle w:val="ListNo1"/>
        <w:numPr>
          <w:ilvl w:val="0"/>
          <w:numId w:val="0"/>
        </w:numPr>
        <w:tabs>
          <w:tab w:val="left" w:pos="720"/>
        </w:tabs>
        <w:ind w:left="720" w:hanging="720"/>
      </w:pPr>
      <w:r>
        <w:t>(3)</w:t>
      </w:r>
      <w:r>
        <w:tab/>
      </w:r>
      <w:r w:rsidR="00110EBB" w:rsidRPr="00C4436A">
        <w:t>Diesel Dan</w:t>
      </w:r>
      <w:r w:rsidR="00110EBB">
        <w:t xml:space="preserve"> Pty Ltd (</w:t>
      </w:r>
      <w:r w:rsidR="00110EBB">
        <w:rPr>
          <w:b/>
          <w:bCs/>
        </w:rPr>
        <w:t>Diesel Dan 1</w:t>
      </w:r>
      <w:r w:rsidR="00110EBB">
        <w:t xml:space="preserve">); </w:t>
      </w:r>
    </w:p>
    <w:p w14:paraId="15D0A251" w14:textId="337984EC" w:rsidR="00110EBB" w:rsidRDefault="00D313AC" w:rsidP="00D313AC">
      <w:pPr>
        <w:pStyle w:val="ListNo1"/>
        <w:numPr>
          <w:ilvl w:val="0"/>
          <w:numId w:val="0"/>
        </w:numPr>
        <w:tabs>
          <w:tab w:val="left" w:pos="720"/>
        </w:tabs>
        <w:ind w:left="720" w:hanging="720"/>
      </w:pPr>
      <w:r>
        <w:t>(4)</w:t>
      </w:r>
      <w:r>
        <w:tab/>
      </w:r>
      <w:proofErr w:type="spellStart"/>
      <w:r w:rsidR="00110EBB" w:rsidRPr="00807669">
        <w:rPr>
          <w:b/>
          <w:bCs/>
        </w:rPr>
        <w:t>Silverhills</w:t>
      </w:r>
      <w:proofErr w:type="spellEnd"/>
      <w:r w:rsidR="00110EBB" w:rsidRPr="00807669">
        <w:rPr>
          <w:b/>
          <w:bCs/>
        </w:rPr>
        <w:t xml:space="preserve"> Haulage</w:t>
      </w:r>
      <w:r w:rsidR="00110EBB">
        <w:t xml:space="preserve"> Australia Pty Ltd; </w:t>
      </w:r>
    </w:p>
    <w:p w14:paraId="7FEFB385" w14:textId="4B3E636F" w:rsidR="00110EBB" w:rsidRDefault="00D313AC" w:rsidP="00D313AC">
      <w:pPr>
        <w:pStyle w:val="ListNo1"/>
        <w:numPr>
          <w:ilvl w:val="0"/>
          <w:numId w:val="0"/>
        </w:numPr>
        <w:tabs>
          <w:tab w:val="left" w:pos="720"/>
        </w:tabs>
        <w:ind w:left="720" w:hanging="720"/>
      </w:pPr>
      <w:r>
        <w:t>(5)</w:t>
      </w:r>
      <w:r>
        <w:tab/>
      </w:r>
      <w:r w:rsidR="00110EBB">
        <w:t xml:space="preserve">ACN 133 636 414 Pty Ltd (formerly known as </w:t>
      </w:r>
      <w:proofErr w:type="spellStart"/>
      <w:r w:rsidR="00110EBB">
        <w:t>Interfreight</w:t>
      </w:r>
      <w:proofErr w:type="spellEnd"/>
      <w:r w:rsidR="00110EBB">
        <w:t xml:space="preserve"> Transport Solutions Pty Ltd) (</w:t>
      </w:r>
      <w:proofErr w:type="spellStart"/>
      <w:r w:rsidR="00110EBB">
        <w:rPr>
          <w:b/>
          <w:bCs/>
        </w:rPr>
        <w:t>Interfreight</w:t>
      </w:r>
      <w:proofErr w:type="spellEnd"/>
      <w:r w:rsidR="00110EBB">
        <w:rPr>
          <w:b/>
          <w:bCs/>
        </w:rPr>
        <w:t xml:space="preserve"> 1</w:t>
      </w:r>
      <w:r w:rsidR="00110EBB">
        <w:t xml:space="preserve">); </w:t>
      </w:r>
    </w:p>
    <w:p w14:paraId="29C6FB11" w14:textId="20788977" w:rsidR="00110EBB" w:rsidRDefault="00D313AC" w:rsidP="00D313AC">
      <w:pPr>
        <w:pStyle w:val="ListNo1"/>
        <w:numPr>
          <w:ilvl w:val="0"/>
          <w:numId w:val="0"/>
        </w:numPr>
        <w:tabs>
          <w:tab w:val="left" w:pos="720"/>
        </w:tabs>
        <w:ind w:left="720" w:hanging="720"/>
      </w:pPr>
      <w:r>
        <w:t>(6)</w:t>
      </w:r>
      <w:r>
        <w:tab/>
      </w:r>
      <w:r w:rsidR="00110EBB" w:rsidRPr="00807669">
        <w:rPr>
          <w:b/>
          <w:bCs/>
        </w:rPr>
        <w:t>Fara Logistics</w:t>
      </w:r>
      <w:r w:rsidR="00110EBB">
        <w:t xml:space="preserve"> (Aust) Pty Ltd; </w:t>
      </w:r>
    </w:p>
    <w:p w14:paraId="519A777E" w14:textId="5CC8DAA3" w:rsidR="00110EBB" w:rsidRDefault="00D313AC" w:rsidP="00D313AC">
      <w:pPr>
        <w:pStyle w:val="ListNo1"/>
        <w:numPr>
          <w:ilvl w:val="0"/>
          <w:numId w:val="0"/>
        </w:numPr>
        <w:tabs>
          <w:tab w:val="left" w:pos="720"/>
        </w:tabs>
        <w:ind w:left="720" w:hanging="720"/>
      </w:pPr>
      <w:r>
        <w:t>(7)</w:t>
      </w:r>
      <w:r>
        <w:tab/>
      </w:r>
      <w:r w:rsidR="00110EBB" w:rsidRPr="002F33B7">
        <w:rPr>
          <w:b/>
          <w:bCs/>
        </w:rPr>
        <w:t>Machinery Moves</w:t>
      </w:r>
      <w:r w:rsidR="00110EBB" w:rsidRPr="008C2CD7">
        <w:t xml:space="preserve"> Australia Pty L</w:t>
      </w:r>
      <w:r w:rsidR="00110EBB">
        <w:t xml:space="preserve">td; and </w:t>
      </w:r>
    </w:p>
    <w:p w14:paraId="2DE6FF15" w14:textId="1AA5916E" w:rsidR="00110EBB" w:rsidRDefault="00D313AC" w:rsidP="00D313AC">
      <w:pPr>
        <w:pStyle w:val="ListNo1"/>
        <w:numPr>
          <w:ilvl w:val="0"/>
          <w:numId w:val="0"/>
        </w:numPr>
        <w:tabs>
          <w:tab w:val="left" w:pos="720"/>
        </w:tabs>
        <w:ind w:left="720" w:hanging="720"/>
      </w:pPr>
      <w:r>
        <w:t>(8)</w:t>
      </w:r>
      <w:r>
        <w:tab/>
      </w:r>
      <w:r w:rsidR="00110EBB" w:rsidRPr="002F33B7">
        <w:rPr>
          <w:b/>
          <w:bCs/>
        </w:rPr>
        <w:t>Brisbane Inner City Tilt Tray</w:t>
      </w:r>
      <w:r w:rsidR="00110EBB" w:rsidRPr="008C2CD7">
        <w:t xml:space="preserve"> Services Pty </w:t>
      </w:r>
      <w:r w:rsidR="00110EBB">
        <w:t>Lt</w:t>
      </w:r>
      <w:r w:rsidR="00110EBB" w:rsidRPr="008C2CD7">
        <w:t>d</w:t>
      </w:r>
      <w:r w:rsidR="00110EBB">
        <w:t>,</w:t>
      </w:r>
    </w:p>
    <w:p w14:paraId="11D48819" w14:textId="77777777" w:rsidR="00110EBB" w:rsidRDefault="00110EBB" w:rsidP="00110EBB">
      <w:pPr>
        <w:pStyle w:val="BodyText"/>
      </w:pPr>
      <w:r>
        <w:t xml:space="preserve">collectively </w:t>
      </w:r>
      <w:proofErr w:type="spellStart"/>
      <w:r w:rsidRPr="00BA7D2E">
        <w:rPr>
          <w:b/>
          <w:bCs/>
        </w:rPr>
        <w:t>Tabuso</w:t>
      </w:r>
      <w:proofErr w:type="spellEnd"/>
      <w:r w:rsidRPr="00BA7D2E">
        <w:rPr>
          <w:b/>
          <w:bCs/>
        </w:rPr>
        <w:t xml:space="preserve"> Group</w:t>
      </w:r>
      <w:r>
        <w:t>.</w:t>
      </w:r>
    </w:p>
    <w:p w14:paraId="7B1C4548" w14:textId="1D672FE8" w:rsidR="006366A4" w:rsidRDefault="00D313AC" w:rsidP="00D313AC">
      <w:pPr>
        <w:pStyle w:val="ParaNumbering"/>
        <w:numPr>
          <w:ilvl w:val="0"/>
          <w:numId w:val="0"/>
        </w:numPr>
        <w:ind w:hanging="720"/>
      </w:pPr>
      <w:r>
        <w:rPr>
          <w:sz w:val="20"/>
        </w:rPr>
        <w:t>13</w:t>
      </w:r>
      <w:r>
        <w:rPr>
          <w:sz w:val="20"/>
        </w:rPr>
        <w:tab/>
      </w:r>
      <w:r w:rsidR="006366A4">
        <w:t xml:space="preserve">Messrs Iannuzzi and Godfrey were appointed as liquidators of each of the </w:t>
      </w:r>
      <w:proofErr w:type="spellStart"/>
      <w:r w:rsidR="006366A4">
        <w:t>Tabuso</w:t>
      </w:r>
      <w:proofErr w:type="spellEnd"/>
      <w:r w:rsidR="006366A4">
        <w:t xml:space="preserve"> Group companies.  </w:t>
      </w:r>
    </w:p>
    <w:p w14:paraId="442E870A" w14:textId="17F49790" w:rsidR="00614247" w:rsidRDefault="00D313AC" w:rsidP="00D313AC">
      <w:pPr>
        <w:pStyle w:val="ParaNumbering"/>
        <w:numPr>
          <w:ilvl w:val="0"/>
          <w:numId w:val="0"/>
        </w:numPr>
        <w:ind w:hanging="720"/>
      </w:pPr>
      <w:r>
        <w:rPr>
          <w:sz w:val="20"/>
        </w:rPr>
        <w:t>14</w:t>
      </w:r>
      <w:r>
        <w:rPr>
          <w:sz w:val="20"/>
        </w:rPr>
        <w:tab/>
      </w:r>
      <w:r w:rsidR="00614247">
        <w:t xml:space="preserve">RC Group and each of the </w:t>
      </w:r>
      <w:proofErr w:type="spellStart"/>
      <w:r w:rsidR="00614247">
        <w:t>Tabuso</w:t>
      </w:r>
      <w:proofErr w:type="spellEnd"/>
      <w:r w:rsidR="00614247">
        <w:t xml:space="preserve"> Group companies were deregistered on the dates set out below:</w:t>
      </w:r>
    </w:p>
    <w:p w14:paraId="47FF599B" w14:textId="01CFB237" w:rsidR="00614247" w:rsidRDefault="00D313AC" w:rsidP="00D313AC">
      <w:pPr>
        <w:pStyle w:val="ListNo1"/>
        <w:numPr>
          <w:ilvl w:val="0"/>
          <w:numId w:val="0"/>
        </w:numPr>
        <w:tabs>
          <w:tab w:val="left" w:pos="720"/>
        </w:tabs>
        <w:ind w:left="720" w:hanging="720"/>
      </w:pPr>
      <w:r>
        <w:t>(1)</w:t>
      </w:r>
      <w:r>
        <w:tab/>
      </w:r>
      <w:r w:rsidR="00614247">
        <w:t>RC Group on 27 December 2015;</w:t>
      </w:r>
    </w:p>
    <w:p w14:paraId="2A1D7A62" w14:textId="5A18BB20" w:rsidR="00614247" w:rsidRDefault="00D313AC" w:rsidP="00D313AC">
      <w:pPr>
        <w:pStyle w:val="ListNo1"/>
        <w:numPr>
          <w:ilvl w:val="0"/>
          <w:numId w:val="0"/>
        </w:numPr>
        <w:tabs>
          <w:tab w:val="left" w:pos="720"/>
        </w:tabs>
        <w:ind w:left="720" w:hanging="720"/>
      </w:pPr>
      <w:r>
        <w:t>(2)</w:t>
      </w:r>
      <w:r>
        <w:tab/>
      </w:r>
      <w:r w:rsidR="00614247">
        <w:t xml:space="preserve">Machinery Moves on 29 May 2015; </w:t>
      </w:r>
    </w:p>
    <w:p w14:paraId="47ECCABB" w14:textId="44E9D838" w:rsidR="00614247" w:rsidRDefault="00D313AC" w:rsidP="00D313AC">
      <w:pPr>
        <w:pStyle w:val="ListNo1"/>
        <w:numPr>
          <w:ilvl w:val="0"/>
          <w:numId w:val="0"/>
        </w:numPr>
        <w:tabs>
          <w:tab w:val="left" w:pos="720"/>
        </w:tabs>
        <w:ind w:left="720" w:hanging="720"/>
      </w:pPr>
      <w:r>
        <w:t>(3)</w:t>
      </w:r>
      <w:r>
        <w:tab/>
      </w:r>
      <w:proofErr w:type="spellStart"/>
      <w:r w:rsidR="00614247">
        <w:t>Silverhills</w:t>
      </w:r>
      <w:proofErr w:type="spellEnd"/>
      <w:r w:rsidR="00614247">
        <w:t xml:space="preserve"> Haulage and Inter Management on 29 December 2015;</w:t>
      </w:r>
    </w:p>
    <w:p w14:paraId="622A4C8F" w14:textId="6805E332" w:rsidR="00614247" w:rsidRDefault="00D313AC" w:rsidP="00D313AC">
      <w:pPr>
        <w:pStyle w:val="ListNo1"/>
        <w:numPr>
          <w:ilvl w:val="0"/>
          <w:numId w:val="0"/>
        </w:numPr>
        <w:tabs>
          <w:tab w:val="left" w:pos="720"/>
        </w:tabs>
        <w:ind w:left="720" w:hanging="720"/>
      </w:pPr>
      <w:r>
        <w:t>(4)</w:t>
      </w:r>
      <w:r>
        <w:tab/>
      </w:r>
      <w:r w:rsidR="00614247">
        <w:t xml:space="preserve">Co-Ordinated Transport, Diesel Dan 1, Fara Logistics and </w:t>
      </w:r>
      <w:r w:rsidR="00614247" w:rsidRPr="00DC24ED">
        <w:t>Brisbane Inner City Tilt Tray</w:t>
      </w:r>
      <w:r w:rsidR="00614247">
        <w:t xml:space="preserve"> on 30 December 2015; and </w:t>
      </w:r>
    </w:p>
    <w:p w14:paraId="40ACE734" w14:textId="3F66DBAA" w:rsidR="00614247" w:rsidRDefault="00D313AC" w:rsidP="00D313AC">
      <w:pPr>
        <w:pStyle w:val="ListNo1"/>
        <w:numPr>
          <w:ilvl w:val="0"/>
          <w:numId w:val="0"/>
        </w:numPr>
        <w:tabs>
          <w:tab w:val="left" w:pos="720"/>
        </w:tabs>
        <w:ind w:left="720" w:hanging="720"/>
      </w:pPr>
      <w:r>
        <w:t>(5)</w:t>
      </w:r>
      <w:r>
        <w:tab/>
      </w:r>
      <w:proofErr w:type="spellStart"/>
      <w:r w:rsidR="00614247">
        <w:t>Interfreight</w:t>
      </w:r>
      <w:proofErr w:type="spellEnd"/>
      <w:r w:rsidR="00614247">
        <w:t xml:space="preserve"> 1 on 8 May 2016. </w:t>
      </w:r>
    </w:p>
    <w:p w14:paraId="34EA83A5" w14:textId="0F89B153" w:rsidR="00E637A8" w:rsidRDefault="001668BC" w:rsidP="00E637A8">
      <w:pPr>
        <w:pStyle w:val="Heading2"/>
      </w:pPr>
      <w:r>
        <w:t>The Commissioner commences this proceeding against Mr Iannuzzi</w:t>
      </w:r>
    </w:p>
    <w:p w14:paraId="05343CD0" w14:textId="702B1238" w:rsidR="00F474CD" w:rsidRPr="00F474CD" w:rsidRDefault="00D313AC" w:rsidP="00D313AC">
      <w:pPr>
        <w:pStyle w:val="ParaNumbering"/>
        <w:numPr>
          <w:ilvl w:val="0"/>
          <w:numId w:val="0"/>
        </w:numPr>
        <w:ind w:hanging="720"/>
      </w:pPr>
      <w:r w:rsidRPr="00F474CD">
        <w:rPr>
          <w:sz w:val="20"/>
        </w:rPr>
        <w:t>15</w:t>
      </w:r>
      <w:r w:rsidRPr="00F474CD">
        <w:rPr>
          <w:sz w:val="20"/>
        </w:rPr>
        <w:tab/>
      </w:r>
      <w:r w:rsidR="00F474CD">
        <w:t xml:space="preserve">It was agreed between the </w:t>
      </w:r>
      <w:r w:rsidR="00603DBB">
        <w:t>parties</w:t>
      </w:r>
      <w:r w:rsidR="00F474CD">
        <w:t xml:space="preserve"> </w:t>
      </w:r>
      <w:r w:rsidR="00603DBB">
        <w:t>that</w:t>
      </w:r>
      <w:r w:rsidR="00F474CD">
        <w:t xml:space="preserve"> the Commissioner first </w:t>
      </w:r>
      <w:r w:rsidR="00603DBB">
        <w:t>retained</w:t>
      </w:r>
      <w:r w:rsidR="00F474CD">
        <w:t xml:space="preserve"> </w:t>
      </w:r>
      <w:proofErr w:type="spellStart"/>
      <w:r w:rsidR="00F474CD">
        <w:t>MinterEllison</w:t>
      </w:r>
      <w:proofErr w:type="spellEnd"/>
      <w:r w:rsidR="00F474CD">
        <w:t xml:space="preserve"> to</w:t>
      </w:r>
      <w:r w:rsidR="00603DBB">
        <w:t xml:space="preserve"> </w:t>
      </w:r>
      <w:r w:rsidR="00F474CD">
        <w:t xml:space="preserve">act for </w:t>
      </w:r>
      <w:r w:rsidR="00603DBB">
        <w:t>him on 1 April 2016.</w:t>
      </w:r>
      <w:r w:rsidR="00DD1428">
        <w:t xml:space="preserve">  Mr </w:t>
      </w:r>
      <w:r w:rsidR="0031505F">
        <w:t>Hughes</w:t>
      </w:r>
      <w:r w:rsidR="00DD1428">
        <w:t xml:space="preserve"> explains that he was </w:t>
      </w:r>
      <w:r w:rsidR="0031505F">
        <w:t xml:space="preserve">retained to advise and act </w:t>
      </w:r>
      <w:r w:rsidR="001D1CED">
        <w:t>i</w:t>
      </w:r>
      <w:r w:rsidR="0031505F">
        <w:t>n connection with the Commissioner’s complaints and concerns about Mr Iannuzzi’s conduct.</w:t>
      </w:r>
    </w:p>
    <w:p w14:paraId="0DF5A2E3" w14:textId="3C4CFA4C" w:rsidR="001F7737" w:rsidRDefault="00D313AC" w:rsidP="00D313AC">
      <w:pPr>
        <w:pStyle w:val="ParaNumbering"/>
        <w:numPr>
          <w:ilvl w:val="0"/>
          <w:numId w:val="0"/>
        </w:numPr>
        <w:ind w:hanging="720"/>
      </w:pPr>
      <w:r>
        <w:rPr>
          <w:sz w:val="20"/>
        </w:rPr>
        <w:t>16</w:t>
      </w:r>
      <w:r>
        <w:rPr>
          <w:sz w:val="20"/>
        </w:rPr>
        <w:tab/>
      </w:r>
      <w:r w:rsidR="001F7737">
        <w:t>As set out above</w:t>
      </w:r>
      <w:r w:rsidR="001C6C1C">
        <w:t>,</w:t>
      </w:r>
      <w:r w:rsidR="001F7737">
        <w:t xml:space="preserve"> on 25 August 2017 the Commissioner commenced this proceeding </w:t>
      </w:r>
      <w:r w:rsidR="009B1051">
        <w:t xml:space="preserve">against Mr Iannuzzi as defendant </w:t>
      </w:r>
      <w:r w:rsidR="001F7737">
        <w:t xml:space="preserve">by filing an originating process.  On 3 May 2019 </w:t>
      </w:r>
      <w:r w:rsidR="00071091">
        <w:t>t</w:t>
      </w:r>
      <w:r w:rsidR="001F7737">
        <w:t xml:space="preserve">he </w:t>
      </w:r>
      <w:r w:rsidR="00071091">
        <w:t xml:space="preserve">Commissioner </w:t>
      </w:r>
      <w:r w:rsidR="001F7737">
        <w:t xml:space="preserve">filed an amended originating process, the amendments to which only affected </w:t>
      </w:r>
      <w:r w:rsidR="00B0344C">
        <w:t>S</w:t>
      </w:r>
      <w:r w:rsidR="001F7737">
        <w:t xml:space="preserve">ch B to the originating process.  In </w:t>
      </w:r>
      <w:r w:rsidR="00D84269">
        <w:t>his</w:t>
      </w:r>
      <w:r w:rsidR="001F7737">
        <w:t xml:space="preserve"> amended originating process the Commissioner sought:</w:t>
      </w:r>
    </w:p>
    <w:p w14:paraId="7081B669" w14:textId="32247944" w:rsidR="001C6C1C" w:rsidRDefault="00D313AC" w:rsidP="00D313AC">
      <w:pPr>
        <w:pStyle w:val="ListNo1"/>
        <w:numPr>
          <w:ilvl w:val="0"/>
          <w:numId w:val="0"/>
        </w:numPr>
        <w:tabs>
          <w:tab w:val="left" w:pos="720"/>
        </w:tabs>
        <w:ind w:left="720" w:hanging="720"/>
      </w:pPr>
      <w:r>
        <w:t>(1)</w:t>
      </w:r>
      <w:r>
        <w:tab/>
      </w:r>
      <w:r w:rsidR="00A9667C">
        <w:t>i</w:t>
      </w:r>
      <w:r w:rsidR="001F7737">
        <w:t>nterlocutory relief including, among other things</w:t>
      </w:r>
      <w:r w:rsidR="001C6C1C">
        <w:t>:</w:t>
      </w:r>
    </w:p>
    <w:p w14:paraId="730D4D19" w14:textId="4F6D60B9" w:rsidR="001C6C1C" w:rsidRDefault="00D313AC" w:rsidP="00D313AC">
      <w:pPr>
        <w:pStyle w:val="ListNo2"/>
        <w:numPr>
          <w:ilvl w:val="0"/>
          <w:numId w:val="0"/>
        </w:numPr>
        <w:tabs>
          <w:tab w:val="left" w:pos="1428"/>
        </w:tabs>
        <w:ind w:left="1428" w:hanging="720"/>
      </w:pPr>
      <w:r>
        <w:lastRenderedPageBreak/>
        <w:t>(a)</w:t>
      </w:r>
      <w:r>
        <w:tab/>
      </w:r>
      <w:r w:rsidR="001F7737">
        <w:t xml:space="preserve">an order for an inquiry pursuant to </w:t>
      </w:r>
      <w:proofErr w:type="spellStart"/>
      <w:r w:rsidR="001F7737">
        <w:t>s</w:t>
      </w:r>
      <w:proofErr w:type="spellEnd"/>
      <w:r w:rsidR="001F7737">
        <w:t xml:space="preserve"> 90-10 of the </w:t>
      </w:r>
      <w:r w:rsidR="001F7737" w:rsidRPr="0083595F">
        <w:rPr>
          <w:i/>
        </w:rPr>
        <w:t>Insolvency Practice Schedule (Corporations)</w:t>
      </w:r>
      <w:r w:rsidR="00902799" w:rsidRPr="0083595F">
        <w:rPr>
          <w:iCs/>
        </w:rPr>
        <w:t>, being Sch 2 to the Corporations Act</w:t>
      </w:r>
      <w:r w:rsidR="001F7737">
        <w:t xml:space="preserve"> (</w:t>
      </w:r>
      <w:r w:rsidR="001F7737" w:rsidRPr="0083595F">
        <w:rPr>
          <w:b/>
        </w:rPr>
        <w:t>IPS</w:t>
      </w:r>
      <w:r w:rsidR="000E5329">
        <w:t>)</w:t>
      </w:r>
      <w:r w:rsidR="001C6C1C">
        <w:t xml:space="preserve"> or</w:t>
      </w:r>
      <w:r w:rsidR="000E5329">
        <w:t xml:space="preserve"> alternatively s </w:t>
      </w:r>
      <w:r w:rsidR="001F7737">
        <w:t>536(1) of the Corporations Act (now repealed</w:t>
      </w:r>
      <w:r w:rsidR="00A9667C">
        <w:t>)</w:t>
      </w:r>
      <w:r w:rsidR="001F7737">
        <w:t xml:space="preserve"> (</w:t>
      </w:r>
      <w:r w:rsidR="001F7737" w:rsidRPr="0083595F">
        <w:rPr>
          <w:b/>
        </w:rPr>
        <w:t>Inquiry</w:t>
      </w:r>
      <w:r w:rsidR="00A9667C" w:rsidRPr="0083595F">
        <w:rPr>
          <w:b/>
        </w:rPr>
        <w:t xml:space="preserve"> Application</w:t>
      </w:r>
      <w:r w:rsidR="001F7737">
        <w:t xml:space="preserve">) into the external administration by Mr Ianuzzi of each of the companies listed in Sch A to the </w:t>
      </w:r>
      <w:r w:rsidR="00B9386D">
        <w:t xml:space="preserve">amended </w:t>
      </w:r>
      <w:r w:rsidR="001F7737">
        <w:t>originating process</w:t>
      </w:r>
      <w:r w:rsidR="001C6C1C">
        <w:t>;</w:t>
      </w:r>
      <w:r w:rsidR="001F7737">
        <w:t xml:space="preserve"> and </w:t>
      </w:r>
    </w:p>
    <w:p w14:paraId="2DE86E94" w14:textId="26E8E386" w:rsidR="001F7737" w:rsidRDefault="00D313AC" w:rsidP="00D313AC">
      <w:pPr>
        <w:pStyle w:val="ListNo2"/>
        <w:numPr>
          <w:ilvl w:val="0"/>
          <w:numId w:val="0"/>
        </w:numPr>
        <w:tabs>
          <w:tab w:val="left" w:pos="1428"/>
        </w:tabs>
        <w:ind w:left="1428" w:hanging="720"/>
      </w:pPr>
      <w:r>
        <w:t>(b)</w:t>
      </w:r>
      <w:r>
        <w:tab/>
      </w:r>
      <w:r w:rsidR="001F7737">
        <w:t>orders pursuant to s 601AH of the Corporations Act direct</w:t>
      </w:r>
      <w:r w:rsidR="000F4478">
        <w:t>ing</w:t>
      </w:r>
      <w:r w:rsidR="001F7737">
        <w:t xml:space="preserve"> </w:t>
      </w:r>
      <w:r w:rsidR="000F4478">
        <w:t>ASIC</w:t>
      </w:r>
      <w:r w:rsidR="001F7737">
        <w:t xml:space="preserve"> to reinstate the registration of </w:t>
      </w:r>
      <w:r w:rsidR="001F7737" w:rsidRPr="00F60FCC">
        <w:t>RC Group</w:t>
      </w:r>
      <w:r w:rsidR="001F7737">
        <w:t xml:space="preserve"> and to appoint Rob</w:t>
      </w:r>
      <w:r w:rsidR="00125A72">
        <w:t>y</w:t>
      </w:r>
      <w:r w:rsidR="001F7737">
        <w:t xml:space="preserve">n Erskine as its liquidator; and </w:t>
      </w:r>
    </w:p>
    <w:p w14:paraId="6324A7C6" w14:textId="75CBCF9E" w:rsidR="001F7737" w:rsidRDefault="00D313AC" w:rsidP="00D313AC">
      <w:pPr>
        <w:pStyle w:val="ListNo1"/>
        <w:numPr>
          <w:ilvl w:val="0"/>
          <w:numId w:val="0"/>
        </w:numPr>
        <w:tabs>
          <w:tab w:val="left" w:pos="720"/>
        </w:tabs>
        <w:ind w:left="720" w:hanging="720"/>
      </w:pPr>
      <w:r>
        <w:t>(2)</w:t>
      </w:r>
      <w:r>
        <w:tab/>
      </w:r>
      <w:r w:rsidR="000E5329">
        <w:t>f</w:t>
      </w:r>
      <w:r w:rsidR="001F7737">
        <w:t>inal relief including, among other things:</w:t>
      </w:r>
    </w:p>
    <w:p w14:paraId="3C1B6D82" w14:textId="63F62A90" w:rsidR="001F7737" w:rsidRDefault="00D313AC" w:rsidP="00D313AC">
      <w:pPr>
        <w:pStyle w:val="ListNo2"/>
        <w:numPr>
          <w:ilvl w:val="0"/>
          <w:numId w:val="0"/>
        </w:numPr>
        <w:tabs>
          <w:tab w:val="left" w:pos="1428"/>
        </w:tabs>
        <w:ind w:left="1428" w:hanging="720"/>
      </w:pPr>
      <w:r>
        <w:t>(a)</w:t>
      </w:r>
      <w:r>
        <w:tab/>
      </w:r>
      <w:r w:rsidR="000E5329">
        <w:t>o</w:t>
      </w:r>
      <w:r w:rsidR="001F7737">
        <w:t xml:space="preserve">rders pursuant to </w:t>
      </w:r>
      <w:proofErr w:type="spellStart"/>
      <w:r w:rsidR="001F7737">
        <w:t>s</w:t>
      </w:r>
      <w:proofErr w:type="spellEnd"/>
      <w:r w:rsidR="001F7737">
        <w:t> 90-50 of the IPS or alternatively s</w:t>
      </w:r>
      <w:r w:rsidR="00741B6A">
        <w:t> </w:t>
      </w:r>
      <w:r w:rsidR="001F7737">
        <w:t xml:space="preserve">536(1) of the Corporations Act </w:t>
      </w:r>
      <w:r w:rsidR="00ED6252">
        <w:t xml:space="preserve">(now repealed) </w:t>
      </w:r>
      <w:r w:rsidR="001F7737">
        <w:t xml:space="preserve">that Mr Iannuzzi cease to be the liquidator of the companies listed in Pt 1 of Sch A to the </w:t>
      </w:r>
      <w:r w:rsidR="00414235">
        <w:t xml:space="preserve">amended </w:t>
      </w:r>
      <w:r w:rsidR="001F7737">
        <w:t xml:space="preserve">originating process and that a person other than </w:t>
      </w:r>
      <w:r w:rsidR="001F7737" w:rsidRPr="00741B6A">
        <w:t>Mr</w:t>
      </w:r>
      <w:r w:rsidR="00C068DA">
        <w:t> </w:t>
      </w:r>
      <w:r w:rsidR="001F7737" w:rsidRPr="00741B6A">
        <w:t>Iann</w:t>
      </w:r>
      <w:r w:rsidR="000E2D9C" w:rsidRPr="00741B6A">
        <w:t>u</w:t>
      </w:r>
      <w:r w:rsidR="001F7737" w:rsidRPr="00741B6A">
        <w:t>zzi</w:t>
      </w:r>
      <w:r w:rsidR="001F7737">
        <w:t xml:space="preserve"> be appointed liquidator to each of those companies;</w:t>
      </w:r>
      <w:r w:rsidR="001C6C1C">
        <w:t xml:space="preserve"> and</w:t>
      </w:r>
    </w:p>
    <w:p w14:paraId="783AA221" w14:textId="493DD3E1" w:rsidR="001F7737" w:rsidRDefault="00D313AC" w:rsidP="00D313AC">
      <w:pPr>
        <w:pStyle w:val="ListNo2"/>
        <w:numPr>
          <w:ilvl w:val="0"/>
          <w:numId w:val="0"/>
        </w:numPr>
        <w:tabs>
          <w:tab w:val="left" w:pos="1428"/>
        </w:tabs>
        <w:ind w:left="1428" w:hanging="720"/>
      </w:pPr>
      <w:r>
        <w:t>(b)</w:t>
      </w:r>
      <w:r>
        <w:tab/>
      </w:r>
      <w:r w:rsidR="000E5329">
        <w:t>o</w:t>
      </w:r>
      <w:r w:rsidR="001F7737">
        <w:t xml:space="preserve">rders pursuant to </w:t>
      </w:r>
      <w:proofErr w:type="spellStart"/>
      <w:r w:rsidR="001F7737">
        <w:t>s</w:t>
      </w:r>
      <w:proofErr w:type="spellEnd"/>
      <w:r w:rsidR="001F7737">
        <w:t xml:space="preserve"> 90-15 of the IPS or alternatively s 536(1) of the Corporations Act </w:t>
      </w:r>
      <w:r w:rsidR="005D63A4">
        <w:t xml:space="preserve">(now repealed) </w:t>
      </w:r>
      <w:r w:rsidR="001F7737">
        <w:t xml:space="preserve">that: </w:t>
      </w:r>
    </w:p>
    <w:p w14:paraId="293AE89E" w14:textId="46BC84C2" w:rsidR="001F7737" w:rsidRDefault="00D313AC" w:rsidP="00D313AC">
      <w:pPr>
        <w:pStyle w:val="ListNo3"/>
        <w:numPr>
          <w:ilvl w:val="0"/>
          <w:numId w:val="0"/>
        </w:numPr>
        <w:tabs>
          <w:tab w:val="left" w:pos="2160"/>
        </w:tabs>
        <w:ind w:left="2160" w:hanging="720"/>
      </w:pPr>
      <w:r>
        <w:t>(</w:t>
      </w:r>
      <w:proofErr w:type="spellStart"/>
      <w:r>
        <w:t>i</w:t>
      </w:r>
      <w:proofErr w:type="spellEnd"/>
      <w:r>
        <w:t>)</w:t>
      </w:r>
      <w:r>
        <w:tab/>
      </w:r>
      <w:r w:rsidR="001F7737">
        <w:t>Mr Iannuzzi’s name be removed from the regis</w:t>
      </w:r>
      <w:r w:rsidR="001C6C1C">
        <w:t>ter</w:t>
      </w:r>
      <w:r w:rsidR="001F7737">
        <w:t xml:space="preserve"> of </w:t>
      </w:r>
      <w:r w:rsidR="000259C0">
        <w:t>liquidators</w:t>
      </w:r>
      <w:r w:rsidR="001F7737">
        <w:t xml:space="preserve"> maintained pursuant to the Corporations Act; </w:t>
      </w:r>
    </w:p>
    <w:p w14:paraId="610BB493" w14:textId="0ADFCCB2" w:rsidR="001F7737" w:rsidRDefault="00D313AC" w:rsidP="00D313AC">
      <w:pPr>
        <w:pStyle w:val="ListNo3"/>
        <w:numPr>
          <w:ilvl w:val="0"/>
          <w:numId w:val="0"/>
        </w:numPr>
        <w:tabs>
          <w:tab w:val="left" w:pos="2160"/>
        </w:tabs>
        <w:ind w:left="2160" w:hanging="720"/>
      </w:pPr>
      <w:r>
        <w:t>(ii)</w:t>
      </w:r>
      <w:r>
        <w:tab/>
      </w:r>
      <w:r w:rsidR="001F7737">
        <w:t xml:space="preserve">Mr Iannuzzi be restrained for a period of </w:t>
      </w:r>
      <w:r w:rsidR="00152E6B">
        <w:t>10</w:t>
      </w:r>
      <w:r w:rsidR="001F7737">
        <w:t xml:space="preserve"> years, or such other period as the Court thinks fit, from applying to be a registered liquidator under the Corporations Act; and </w:t>
      </w:r>
    </w:p>
    <w:p w14:paraId="12C528B1" w14:textId="04D56DBE" w:rsidR="001F7737" w:rsidRDefault="00D313AC" w:rsidP="00D313AC">
      <w:pPr>
        <w:pStyle w:val="ListNo3"/>
        <w:numPr>
          <w:ilvl w:val="0"/>
          <w:numId w:val="0"/>
        </w:numPr>
        <w:tabs>
          <w:tab w:val="left" w:pos="2160"/>
        </w:tabs>
        <w:ind w:left="2160" w:hanging="720"/>
      </w:pPr>
      <w:r>
        <w:t>(iii)</w:t>
      </w:r>
      <w:r>
        <w:tab/>
      </w:r>
      <w:r w:rsidR="001F7737">
        <w:t xml:space="preserve">Mr Iannuzzi be restrained for a period of </w:t>
      </w:r>
      <w:r w:rsidR="00152E6B">
        <w:t>10</w:t>
      </w:r>
      <w:r w:rsidR="001F7737">
        <w:t xml:space="preserve"> years, or such other period as the Court thinks fit, from holding the office of trustee in bankruptcy, liquidator, provisional liquidator, voluntary administrator, administrator of a deed of company arrangement, or as a receiver or other controller of property of any corporation, as that term is defined in s</w:t>
      </w:r>
      <w:r w:rsidR="002305EB">
        <w:t> </w:t>
      </w:r>
      <w:r w:rsidR="001F7737">
        <w:t xml:space="preserve">57A of the Corporations Act. </w:t>
      </w:r>
    </w:p>
    <w:p w14:paraId="13A97716" w14:textId="1C5F087D" w:rsidR="00A9667C" w:rsidRDefault="00D313AC" w:rsidP="00D313AC">
      <w:pPr>
        <w:pStyle w:val="ParaNumbering"/>
        <w:numPr>
          <w:ilvl w:val="0"/>
          <w:numId w:val="0"/>
        </w:numPr>
        <w:ind w:hanging="720"/>
      </w:pPr>
      <w:r>
        <w:rPr>
          <w:sz w:val="20"/>
        </w:rPr>
        <w:t>17</w:t>
      </w:r>
      <w:r>
        <w:rPr>
          <w:sz w:val="20"/>
        </w:rPr>
        <w:tab/>
      </w:r>
      <w:r w:rsidR="00A9667C">
        <w:t>On 23 April 2018 Perram J heard the Inquiry Application</w:t>
      </w:r>
      <w:r w:rsidR="00830077">
        <w:t>.  O</w:t>
      </w:r>
      <w:r w:rsidR="00A9667C">
        <w:t>n 16 July 2018 his Honour made an order, among others, tha</w:t>
      </w:r>
      <w:r w:rsidR="00830077">
        <w:t>t the Inquiry Application be heard</w:t>
      </w:r>
      <w:r w:rsidR="00A9667C">
        <w:t xml:space="preserve"> at the same time as the hearing of the Commissioner</w:t>
      </w:r>
      <w:r w:rsidR="00830077">
        <w:t>’</w:t>
      </w:r>
      <w:r w:rsidR="00A9667C">
        <w:t xml:space="preserve">s claims for final relief: see </w:t>
      </w:r>
      <w:r w:rsidR="00A9667C" w:rsidRPr="000E5329">
        <w:rPr>
          <w:i/>
        </w:rPr>
        <w:t xml:space="preserve">Commissioner of Taxation v Iannuzzi </w:t>
      </w:r>
      <w:r w:rsidR="00A9667C">
        <w:t>[2018] FCA 1053.</w:t>
      </w:r>
    </w:p>
    <w:p w14:paraId="61FC42D5" w14:textId="11C3B763" w:rsidR="00A9667C" w:rsidRDefault="00D313AC" w:rsidP="00D313AC">
      <w:pPr>
        <w:pStyle w:val="ParaNumbering"/>
        <w:numPr>
          <w:ilvl w:val="0"/>
          <w:numId w:val="0"/>
        </w:numPr>
        <w:ind w:hanging="720"/>
      </w:pPr>
      <w:r>
        <w:rPr>
          <w:sz w:val="20"/>
        </w:rPr>
        <w:t>18</w:t>
      </w:r>
      <w:r>
        <w:rPr>
          <w:sz w:val="20"/>
        </w:rPr>
        <w:tab/>
      </w:r>
      <w:r w:rsidR="00A9667C">
        <w:t>On 1 May 2019 Stewart J fixed the hearing of the Inquiry Application and any subsequent inquiry for three days commencing on 17 July 2019.</w:t>
      </w:r>
    </w:p>
    <w:p w14:paraId="51CFFFF1" w14:textId="26226D31" w:rsidR="00291318" w:rsidRDefault="00D313AC" w:rsidP="00D313AC">
      <w:pPr>
        <w:pStyle w:val="ParaNumbering"/>
        <w:numPr>
          <w:ilvl w:val="0"/>
          <w:numId w:val="0"/>
        </w:numPr>
        <w:ind w:hanging="720"/>
      </w:pPr>
      <w:r>
        <w:rPr>
          <w:sz w:val="20"/>
        </w:rPr>
        <w:lastRenderedPageBreak/>
        <w:t>19</w:t>
      </w:r>
      <w:r>
        <w:rPr>
          <w:sz w:val="20"/>
        </w:rPr>
        <w:tab/>
      </w:r>
      <w:r w:rsidR="00291318">
        <w:t>As part of their preparation for hearing the Commissioner and Mr Iannuzzi exchanged lists of affidavits and other documentary evidence on which they intended to rely as well as objections to each other’s evidence.</w:t>
      </w:r>
    </w:p>
    <w:p w14:paraId="4CB015BC" w14:textId="17B56CFA" w:rsidR="00291318" w:rsidRDefault="00D313AC" w:rsidP="00D313AC">
      <w:pPr>
        <w:pStyle w:val="ParaNumbering"/>
        <w:numPr>
          <w:ilvl w:val="0"/>
          <w:numId w:val="0"/>
        </w:numPr>
        <w:ind w:hanging="720"/>
      </w:pPr>
      <w:r>
        <w:rPr>
          <w:sz w:val="20"/>
        </w:rPr>
        <w:t>20</w:t>
      </w:r>
      <w:r>
        <w:rPr>
          <w:sz w:val="20"/>
        </w:rPr>
        <w:tab/>
      </w:r>
      <w:r w:rsidR="00291318">
        <w:t xml:space="preserve">On 5 July 2019 Johnson Winter </w:t>
      </w:r>
      <w:r w:rsidR="00B65A7F">
        <w:t xml:space="preserve">&amp; </w:t>
      </w:r>
      <w:r w:rsidR="00291318">
        <w:t>Sla</w:t>
      </w:r>
      <w:r w:rsidR="00076425">
        <w:t>t</w:t>
      </w:r>
      <w:r w:rsidR="00291318">
        <w:t>tery</w:t>
      </w:r>
      <w:r w:rsidR="00076425">
        <w:t xml:space="preserve"> (</w:t>
      </w:r>
      <w:r w:rsidR="00076425" w:rsidRPr="00076425">
        <w:rPr>
          <w:b/>
        </w:rPr>
        <w:t>JWS</w:t>
      </w:r>
      <w:r w:rsidR="00076425">
        <w:t>)</w:t>
      </w:r>
      <w:r w:rsidR="00291318">
        <w:t>, the solicitors for Mr Iannuzzi</w:t>
      </w:r>
      <w:r w:rsidR="004750D8">
        <w:t>,</w:t>
      </w:r>
      <w:r w:rsidR="00291318">
        <w:t xml:space="preserve"> sent an email to </w:t>
      </w:r>
      <w:proofErr w:type="spellStart"/>
      <w:r w:rsidR="00291318">
        <w:t>MinterEllison</w:t>
      </w:r>
      <w:proofErr w:type="spellEnd"/>
      <w:r w:rsidR="00291318">
        <w:t xml:space="preserve"> attaching a letter </w:t>
      </w:r>
      <w:r w:rsidR="004B0504">
        <w:t xml:space="preserve">of the same date </w:t>
      </w:r>
      <w:r w:rsidR="00291318">
        <w:t>(</w:t>
      </w:r>
      <w:r w:rsidR="00291318" w:rsidRPr="00291318">
        <w:rPr>
          <w:b/>
        </w:rPr>
        <w:t>5</w:t>
      </w:r>
      <w:r w:rsidR="00031F62">
        <w:rPr>
          <w:b/>
        </w:rPr>
        <w:t> </w:t>
      </w:r>
      <w:r w:rsidR="00291318" w:rsidRPr="00291318">
        <w:rPr>
          <w:b/>
        </w:rPr>
        <w:t>July 2019 Letter</w:t>
      </w:r>
      <w:r w:rsidR="00291318">
        <w:t>) and draft orders</w:t>
      </w:r>
      <w:r w:rsidR="005D14EF">
        <w:t>.  The 5 July 2019 Letter included</w:t>
      </w:r>
      <w:r w:rsidR="00D40ED5">
        <w:t xml:space="preserve"> (as written)</w:t>
      </w:r>
      <w:r w:rsidR="005D14EF">
        <w:t>:</w:t>
      </w:r>
    </w:p>
    <w:p w14:paraId="15E92BF1" w14:textId="3711D919" w:rsidR="005D14EF" w:rsidRDefault="005D14EF" w:rsidP="005D14EF">
      <w:pPr>
        <w:pStyle w:val="Quote1"/>
        <w:ind w:left="1440" w:hanging="703"/>
      </w:pPr>
      <w:r>
        <w:t>2</w:t>
      </w:r>
      <w:r>
        <w:tab/>
        <w:t>Our client’s health has deteriorated. In those circumstances, and given the ongoing toll that the Proceeding is taking on our client, he is prepared to consent, without admission, to the orders sought in the Amended Originating Processed filed on 3 May 2019 (</w:t>
      </w:r>
      <w:r w:rsidRPr="00C65DB0">
        <w:rPr>
          <w:b/>
          <w:bCs/>
        </w:rPr>
        <w:t>OP</w:t>
      </w:r>
      <w:r>
        <w:t xml:space="preserve">) as appropriately modified in the form enclosed with this letter. </w:t>
      </w:r>
    </w:p>
    <w:p w14:paraId="68732235" w14:textId="732F6526" w:rsidR="005D14EF" w:rsidRDefault="005D14EF" w:rsidP="005D14EF">
      <w:pPr>
        <w:pStyle w:val="Quote1"/>
        <w:ind w:left="1440" w:hanging="703"/>
      </w:pPr>
      <w:r>
        <w:t>3</w:t>
      </w:r>
      <w:r>
        <w:tab/>
        <w:t>As to the modifications, we note that prayer 5 of the OP seeks compensation for each of the companies the subject of the Proceeding (</w:t>
      </w:r>
      <w:r w:rsidRPr="00C65DB0">
        <w:rPr>
          <w:b/>
          <w:bCs/>
        </w:rPr>
        <w:t>Companies</w:t>
      </w:r>
      <w:r>
        <w:t>) for any loss sustained because of our client</w:t>
      </w:r>
      <w:r w:rsidR="009C4257">
        <w:t>’</w:t>
      </w:r>
      <w:r>
        <w:t>s alleged breach of duty as a liquidator. Our client does not consider that your client has put evidence before the Court which would support an order of compensation in respect of any of the Companies. Further, the Court will not be able to quantify the alleged loss suffered by the individual Companies on the basis of the evidence before the Court. As such, our client would be willing to consent to orders that the registration of any of the Companies of your client’s choosing be reinstated and that a liquidator of your client’s choice be appointed to any of the Companies, who may then pursue compensation.</w:t>
      </w:r>
    </w:p>
    <w:p w14:paraId="648C4FDF" w14:textId="3C4D98A7" w:rsidR="005D14EF" w:rsidRDefault="005D14EF" w:rsidP="007B129F">
      <w:pPr>
        <w:pStyle w:val="Quote1"/>
        <w:keepNext/>
        <w:ind w:left="1440" w:hanging="703"/>
      </w:pPr>
      <w:r>
        <w:t>4</w:t>
      </w:r>
      <w:r>
        <w:tab/>
        <w:t xml:space="preserve">While our client considers that the Court would be able to make the orders enclosed on the basis of the evidence currently before it, we understand that you may consider that an agreed statement of facts is required. Accordingly, we are in the process of preparing one and, to that end, we ask that you provide us with a word version of your client’s OP. </w:t>
      </w:r>
    </w:p>
    <w:p w14:paraId="5696E705" w14:textId="0F08AEC6" w:rsidR="007B129F" w:rsidRDefault="007B129F" w:rsidP="007B129F">
      <w:pPr>
        <w:pStyle w:val="BodyText"/>
        <w:ind w:firstLine="720"/>
      </w:pPr>
      <w:r>
        <w:t>(Emphasis in original.)</w:t>
      </w:r>
    </w:p>
    <w:p w14:paraId="07E61823" w14:textId="4729552D" w:rsidR="005D14EF" w:rsidRDefault="00D313AC" w:rsidP="00D313AC">
      <w:pPr>
        <w:pStyle w:val="ParaNumbering"/>
        <w:numPr>
          <w:ilvl w:val="0"/>
          <w:numId w:val="0"/>
        </w:numPr>
        <w:ind w:hanging="720"/>
      </w:pPr>
      <w:r>
        <w:rPr>
          <w:sz w:val="20"/>
        </w:rPr>
        <w:t>21</w:t>
      </w:r>
      <w:r>
        <w:rPr>
          <w:sz w:val="20"/>
        </w:rPr>
        <w:tab/>
      </w:r>
      <w:r w:rsidR="00280AE3">
        <w:t xml:space="preserve">On 9 July 2019 </w:t>
      </w:r>
      <w:proofErr w:type="spellStart"/>
      <w:r w:rsidR="00280AE3">
        <w:t>MinterEllison</w:t>
      </w:r>
      <w:proofErr w:type="spellEnd"/>
      <w:r w:rsidR="00280AE3">
        <w:t xml:space="preserve"> responded to the 5 July 2019 Letter</w:t>
      </w:r>
      <w:r w:rsidR="007C5AC8">
        <w:t xml:space="preserve">.  </w:t>
      </w:r>
      <w:r w:rsidR="00897DC6">
        <w:t xml:space="preserve">As to the </w:t>
      </w:r>
      <w:r w:rsidR="00F55D51">
        <w:t xml:space="preserve">suggestion made by Mr Iannuzzi that </w:t>
      </w:r>
      <w:r w:rsidR="003C3FAF">
        <w:t xml:space="preserve">certain </w:t>
      </w:r>
      <w:r w:rsidR="00F55D51">
        <w:t>companies the subject of the proceeding be reinstated, that letter</w:t>
      </w:r>
      <w:r w:rsidR="007C5AC8">
        <w:t xml:space="preserve"> included:</w:t>
      </w:r>
    </w:p>
    <w:p w14:paraId="4A17FC31" w14:textId="78D8D491" w:rsidR="007C5AC8" w:rsidRDefault="00897DC6" w:rsidP="00826FB2">
      <w:pPr>
        <w:pStyle w:val="Quote1"/>
        <w:spacing w:after="360"/>
      </w:pPr>
      <w:r>
        <w:t>Finally, our client welcomes your client</w:t>
      </w:r>
      <w:r w:rsidR="00764272">
        <w:t>’</w:t>
      </w:r>
      <w:r>
        <w:t>s offer to consent to orders reinstating Companies of our client</w:t>
      </w:r>
      <w:r w:rsidR="009C4257">
        <w:t>’</w:t>
      </w:r>
      <w:r>
        <w:t>s choosing and to appoint new liquidators to these entities. However, and for the avoidance of any doubt, our client does not consider that such orders would obviate the need for any compensation to be paid by your client. As you and your client would be aware, the ability of any replacement liquidator to pursue compensation would no doubt be contingent upon our client expending further time and expense in dealing with, funding and indemnifying any replacement liquidator to pursue that claim, with which the Court is currently seized within these proceedings, and as to which our client will invite the Court to take a view concerning your client</w:t>
      </w:r>
      <w:r w:rsidR="00825EBE">
        <w:t>’</w:t>
      </w:r>
      <w:r>
        <w:t>s conduct, as a whole, over all of the liquidations which are the subject of these proceedings</w:t>
      </w:r>
      <w:r w:rsidR="009334C7">
        <w:t>.</w:t>
      </w:r>
      <w:r>
        <w:t xml:space="preserve"> </w:t>
      </w:r>
    </w:p>
    <w:p w14:paraId="5BC6643C" w14:textId="2B7874E6" w:rsidR="00076425" w:rsidRDefault="00D313AC" w:rsidP="00D313AC">
      <w:pPr>
        <w:pStyle w:val="ParaNumbering"/>
        <w:numPr>
          <w:ilvl w:val="0"/>
          <w:numId w:val="0"/>
        </w:numPr>
        <w:ind w:hanging="720"/>
      </w:pPr>
      <w:r>
        <w:rPr>
          <w:sz w:val="20"/>
        </w:rPr>
        <w:lastRenderedPageBreak/>
        <w:t>22</w:t>
      </w:r>
      <w:r>
        <w:rPr>
          <w:sz w:val="20"/>
        </w:rPr>
        <w:tab/>
      </w:r>
      <w:r w:rsidR="00897DC6">
        <w:t xml:space="preserve">Thereafter the parties exchanged further correspondence including in relation to a preliminary hearing </w:t>
      </w:r>
      <w:r w:rsidR="00900B9E">
        <w:t xml:space="preserve">of the proceeding scheduled for </w:t>
      </w:r>
      <w:r w:rsidR="00897DC6">
        <w:t>15 July 2019</w:t>
      </w:r>
      <w:r w:rsidR="00900B9E">
        <w:t xml:space="preserve"> at 2.15 pm </w:t>
      </w:r>
      <w:r w:rsidR="005B1F42">
        <w:t>for the purpose of addressing and determining</w:t>
      </w:r>
      <w:r w:rsidR="00900B9E">
        <w:t xml:space="preserve"> objections to the tender of evidence.  </w:t>
      </w:r>
    </w:p>
    <w:p w14:paraId="2270AA9F" w14:textId="296F3CB3" w:rsidR="00387115" w:rsidRDefault="00D313AC" w:rsidP="00D313AC">
      <w:pPr>
        <w:pStyle w:val="ParaNumbering"/>
        <w:numPr>
          <w:ilvl w:val="0"/>
          <w:numId w:val="0"/>
        </w:numPr>
        <w:ind w:hanging="720"/>
      </w:pPr>
      <w:r>
        <w:rPr>
          <w:sz w:val="20"/>
        </w:rPr>
        <w:t>23</w:t>
      </w:r>
      <w:r>
        <w:rPr>
          <w:sz w:val="20"/>
        </w:rPr>
        <w:tab/>
      </w:r>
      <w:r w:rsidR="00900B9E">
        <w:t xml:space="preserve">On the morning of 15 July 2019 JWS communicated with the Court on behalf of the parties notifying it that </w:t>
      </w:r>
      <w:r w:rsidR="0018507E">
        <w:t>Mr Iannuzzi</w:t>
      </w:r>
      <w:r w:rsidR="00900B9E">
        <w:t xml:space="preserve"> had withdrawn his objections to the tender of the Commissioner’s evidence but requesting that the proceeding remain listed at 2.15 pm that afternoon to address other matters.</w:t>
      </w:r>
    </w:p>
    <w:p w14:paraId="45350A7B" w14:textId="03DC272B" w:rsidR="00835668" w:rsidRDefault="00D313AC" w:rsidP="00D313AC">
      <w:pPr>
        <w:pStyle w:val="ParaNumbering"/>
        <w:numPr>
          <w:ilvl w:val="0"/>
          <w:numId w:val="0"/>
        </w:numPr>
        <w:ind w:hanging="720"/>
      </w:pPr>
      <w:bookmarkStart w:id="26" w:name="_Ref146814158"/>
      <w:r>
        <w:rPr>
          <w:sz w:val="20"/>
        </w:rPr>
        <w:t>24</w:t>
      </w:r>
      <w:r>
        <w:rPr>
          <w:sz w:val="20"/>
        </w:rPr>
        <w:tab/>
      </w:r>
      <w:r w:rsidR="00387115">
        <w:t>At 2.15 pm o</w:t>
      </w:r>
      <w:r w:rsidR="00076425">
        <w:t>n 15 July 2019 the proceeding was listed before Stewart J</w:t>
      </w:r>
      <w:r w:rsidR="001E3318">
        <w:t xml:space="preserve">.  </w:t>
      </w:r>
      <w:r w:rsidR="00387115">
        <w:t xml:space="preserve">At that time </w:t>
      </w:r>
      <w:r w:rsidR="00835668">
        <w:t xml:space="preserve">the Commissioner handed up a document titled </w:t>
      </w:r>
      <w:r w:rsidR="000E5329">
        <w:t>“</w:t>
      </w:r>
      <w:r w:rsidR="00835668" w:rsidRPr="00F6599E">
        <w:rPr>
          <w:b/>
          <w:bCs/>
        </w:rPr>
        <w:t>Agreed Statement of Facts</w:t>
      </w:r>
      <w:r w:rsidR="000E5329">
        <w:t>”</w:t>
      </w:r>
      <w:r w:rsidR="00835668">
        <w:t xml:space="preserve"> which had been served by Mr Iannuzzi</w:t>
      </w:r>
      <w:r w:rsidR="0083461F" w:rsidRPr="0083461F">
        <w:t xml:space="preserve"> </w:t>
      </w:r>
      <w:r w:rsidR="0083461F">
        <w:t>on the Commissioner</w:t>
      </w:r>
      <w:r w:rsidR="00387115">
        <w:t xml:space="preserve"> but which was </w:t>
      </w:r>
      <w:r w:rsidR="00835668">
        <w:t xml:space="preserve">not agreed between the parties.  </w:t>
      </w:r>
      <w:r w:rsidR="00B95823">
        <w:t xml:space="preserve">As described by </w:t>
      </w:r>
      <w:r w:rsidR="00835668">
        <w:t>Mr Hughes</w:t>
      </w:r>
      <w:r w:rsidR="00B95823">
        <w:t>,</w:t>
      </w:r>
      <w:r w:rsidR="00835668">
        <w:t xml:space="preserve"> </w:t>
      </w:r>
      <w:r w:rsidR="007D6C49">
        <w:t>th</w:t>
      </w:r>
      <w:r w:rsidR="00653093">
        <w:t xml:space="preserve">is document </w:t>
      </w:r>
      <w:r w:rsidR="00B95823">
        <w:t>contained a</w:t>
      </w:r>
      <w:r w:rsidR="00835668">
        <w:t xml:space="preserve"> statement of admissions made by Mr</w:t>
      </w:r>
      <w:r w:rsidR="003C3FB2">
        <w:t> </w:t>
      </w:r>
      <w:r w:rsidR="00835668">
        <w:t>Iannuzzi for the purposes of the Court mak</w:t>
      </w:r>
      <w:r w:rsidR="00653093">
        <w:t>ing</w:t>
      </w:r>
      <w:r w:rsidR="00835668">
        <w:t xml:space="preserve"> certain orders sought </w:t>
      </w:r>
      <w:r w:rsidR="004F6B22">
        <w:t xml:space="preserve">by the Commissioner </w:t>
      </w:r>
      <w:r w:rsidR="00835668">
        <w:t xml:space="preserve">in the </w:t>
      </w:r>
      <w:r w:rsidR="00774A58">
        <w:t xml:space="preserve">amended </w:t>
      </w:r>
      <w:r w:rsidR="00835668">
        <w:t>originating process.</w:t>
      </w:r>
      <w:bookmarkEnd w:id="26"/>
    </w:p>
    <w:p w14:paraId="2F7085E8" w14:textId="5301B727" w:rsidR="000E5329" w:rsidRDefault="00D313AC" w:rsidP="00D313AC">
      <w:pPr>
        <w:pStyle w:val="ParaNumbering"/>
        <w:numPr>
          <w:ilvl w:val="0"/>
          <w:numId w:val="0"/>
        </w:numPr>
        <w:ind w:hanging="720"/>
      </w:pPr>
      <w:r>
        <w:rPr>
          <w:sz w:val="20"/>
        </w:rPr>
        <w:t>25</w:t>
      </w:r>
      <w:r>
        <w:rPr>
          <w:sz w:val="20"/>
        </w:rPr>
        <w:tab/>
      </w:r>
      <w:r w:rsidR="000E5329">
        <w:t>On 16 July 2019, at the request of the Court, the parties each provided their written submissions in relation to relief</w:t>
      </w:r>
      <w:r w:rsidR="00C74DB0">
        <w:t xml:space="preserve">.  </w:t>
      </w:r>
      <w:proofErr w:type="spellStart"/>
      <w:r w:rsidR="00740535">
        <w:t>MinterEllison</w:t>
      </w:r>
      <w:proofErr w:type="spellEnd"/>
      <w:r w:rsidR="00740535">
        <w:t xml:space="preserve"> </w:t>
      </w:r>
      <w:r w:rsidR="00C74DB0">
        <w:t xml:space="preserve">also </w:t>
      </w:r>
      <w:r w:rsidR="00B87320">
        <w:t xml:space="preserve">provided </w:t>
      </w:r>
      <w:r w:rsidR="00C74DB0">
        <w:t xml:space="preserve">the Court with </w:t>
      </w:r>
      <w:r w:rsidR="00B87320">
        <w:t>draft orders to be made by consent</w:t>
      </w:r>
      <w:r w:rsidR="000E5329">
        <w:t>.</w:t>
      </w:r>
    </w:p>
    <w:p w14:paraId="469B44DD" w14:textId="05FBF7D9" w:rsidR="008B32AC" w:rsidRDefault="008B32AC" w:rsidP="008B32AC">
      <w:pPr>
        <w:pStyle w:val="Heading2"/>
      </w:pPr>
      <w:r>
        <w:t>The hearing before Stewart J</w:t>
      </w:r>
    </w:p>
    <w:p w14:paraId="0C1CE4B2" w14:textId="184FE3AC" w:rsidR="000E5329" w:rsidRDefault="00D313AC" w:rsidP="00D313AC">
      <w:pPr>
        <w:pStyle w:val="ParaNumbering"/>
        <w:numPr>
          <w:ilvl w:val="0"/>
          <w:numId w:val="0"/>
        </w:numPr>
        <w:ind w:hanging="720"/>
      </w:pPr>
      <w:bookmarkStart w:id="27" w:name="_Ref146814450"/>
      <w:r>
        <w:rPr>
          <w:sz w:val="20"/>
        </w:rPr>
        <w:t>26</w:t>
      </w:r>
      <w:r>
        <w:rPr>
          <w:sz w:val="20"/>
        </w:rPr>
        <w:tab/>
      </w:r>
      <w:r w:rsidR="000E5329">
        <w:t>The Inquiry Application was listed for hearing commencing on 17 July 2019</w:t>
      </w:r>
      <w:r w:rsidR="00DB3EE4">
        <w:t xml:space="preserve">. </w:t>
      </w:r>
      <w:r w:rsidR="000E5329">
        <w:t xml:space="preserve"> </w:t>
      </w:r>
      <w:r w:rsidR="006548FB">
        <w:t>A</w:t>
      </w:r>
      <w:r w:rsidR="000E5329">
        <w:t>t that hearing:</w:t>
      </w:r>
      <w:bookmarkEnd w:id="27"/>
    </w:p>
    <w:p w14:paraId="52922A8C" w14:textId="2F101DB1" w:rsidR="000E5329" w:rsidRDefault="00D313AC" w:rsidP="00D313AC">
      <w:pPr>
        <w:pStyle w:val="ListNo1"/>
        <w:numPr>
          <w:ilvl w:val="0"/>
          <w:numId w:val="0"/>
        </w:numPr>
        <w:tabs>
          <w:tab w:val="left" w:pos="720"/>
        </w:tabs>
        <w:ind w:left="720" w:hanging="720"/>
      </w:pPr>
      <w:r>
        <w:t>(1)</w:t>
      </w:r>
      <w:r>
        <w:tab/>
      </w:r>
      <w:r w:rsidR="00E242C8">
        <w:t>the</w:t>
      </w:r>
      <w:r w:rsidR="000E5329" w:rsidRPr="000E5329">
        <w:t xml:space="preserve"> Agreed Statement of Facts was tendered</w:t>
      </w:r>
      <w:r w:rsidR="000E5329">
        <w:t xml:space="preserve"> and marked as an exhibit.  While it was titled “Agreed Statement of Facts” it was not agreed to by the Commissioner and was</w:t>
      </w:r>
      <w:r w:rsidR="00CF3577">
        <w:t>, as set out above,</w:t>
      </w:r>
      <w:r w:rsidR="000E5329">
        <w:t xml:space="preserve"> treated as a statement of </w:t>
      </w:r>
      <w:r w:rsidR="00CF3577">
        <w:t xml:space="preserve">concessions or </w:t>
      </w:r>
      <w:r w:rsidR="000E5329">
        <w:t>admissions made by Mr Iannuzzi for the purpose of the proposed orders;</w:t>
      </w:r>
    </w:p>
    <w:p w14:paraId="5420AB1E" w14:textId="3B33033D" w:rsidR="000E5329" w:rsidRDefault="00D313AC" w:rsidP="00D313AC">
      <w:pPr>
        <w:pStyle w:val="ListNo1"/>
        <w:numPr>
          <w:ilvl w:val="0"/>
          <w:numId w:val="0"/>
        </w:numPr>
        <w:tabs>
          <w:tab w:val="left" w:pos="720"/>
        </w:tabs>
        <w:ind w:left="720" w:hanging="720"/>
      </w:pPr>
      <w:r>
        <w:t>(2)</w:t>
      </w:r>
      <w:r>
        <w:tab/>
      </w:r>
      <w:r w:rsidR="000E5329">
        <w:t xml:space="preserve">all </w:t>
      </w:r>
      <w:r w:rsidR="00A31DFB">
        <w:t xml:space="preserve">of the </w:t>
      </w:r>
      <w:r w:rsidR="000E5329">
        <w:t>documents referred to in the Agreed Statement of Facts were tendered;</w:t>
      </w:r>
    </w:p>
    <w:p w14:paraId="3F984C78" w14:textId="6F9B7DB9" w:rsidR="000E5329" w:rsidRDefault="00D313AC" w:rsidP="00D313AC">
      <w:pPr>
        <w:pStyle w:val="ListNo1"/>
        <w:numPr>
          <w:ilvl w:val="0"/>
          <w:numId w:val="0"/>
        </w:numPr>
        <w:tabs>
          <w:tab w:val="left" w:pos="720"/>
        </w:tabs>
        <w:ind w:left="720" w:hanging="720"/>
      </w:pPr>
      <w:r>
        <w:t>(3)</w:t>
      </w:r>
      <w:r>
        <w:tab/>
      </w:r>
      <w:r w:rsidR="000E5329">
        <w:t xml:space="preserve">all </w:t>
      </w:r>
      <w:r w:rsidR="00A31DFB">
        <w:t xml:space="preserve">of the </w:t>
      </w:r>
      <w:r w:rsidR="000E5329">
        <w:t>documents referred to in the Commissioner</w:t>
      </w:r>
      <w:r w:rsidR="00BE4321">
        <w:t>’</w:t>
      </w:r>
      <w:r w:rsidR="000E5329">
        <w:t>s submissions on relief which were not referred to in the Agreed Statement of Facts were tendered, save for a psychologi</w:t>
      </w:r>
      <w:r w:rsidR="0044216E">
        <w:t>st’s</w:t>
      </w:r>
      <w:r w:rsidR="000E5329">
        <w:t xml:space="preserve"> report served by Mr Iannuzzi</w:t>
      </w:r>
      <w:r w:rsidR="00122447">
        <w:t xml:space="preserve"> on the Commissioner</w:t>
      </w:r>
      <w:r w:rsidR="000E5329">
        <w:t xml:space="preserve">; </w:t>
      </w:r>
    </w:p>
    <w:p w14:paraId="1C830301" w14:textId="0834E0AA" w:rsidR="00290833" w:rsidRDefault="00D313AC" w:rsidP="00D313AC">
      <w:pPr>
        <w:pStyle w:val="ListNo1"/>
        <w:numPr>
          <w:ilvl w:val="0"/>
          <w:numId w:val="0"/>
        </w:numPr>
        <w:tabs>
          <w:tab w:val="left" w:pos="720"/>
        </w:tabs>
        <w:ind w:left="720" w:hanging="720"/>
      </w:pPr>
      <w:r>
        <w:t>(4)</w:t>
      </w:r>
      <w:r>
        <w:tab/>
      </w:r>
      <w:r w:rsidR="000E5329">
        <w:t>a document titled “Admission made by the defendant relevant to paragraph 17 of the Commissioner</w:t>
      </w:r>
      <w:r w:rsidR="00814855">
        <w:t>’</w:t>
      </w:r>
      <w:r w:rsidR="000E5329">
        <w:t>s submissions” was tendered</w:t>
      </w:r>
      <w:r w:rsidR="00290833">
        <w:t>; and</w:t>
      </w:r>
    </w:p>
    <w:p w14:paraId="00417AD7" w14:textId="23B5957F" w:rsidR="000E5329" w:rsidRDefault="00D313AC" w:rsidP="00D313AC">
      <w:pPr>
        <w:pStyle w:val="ListNo1"/>
        <w:numPr>
          <w:ilvl w:val="0"/>
          <w:numId w:val="0"/>
        </w:numPr>
        <w:tabs>
          <w:tab w:val="left" w:pos="720"/>
        </w:tabs>
        <w:ind w:left="720" w:hanging="720"/>
      </w:pPr>
      <w:r>
        <w:t>(5)</w:t>
      </w:r>
      <w:r>
        <w:tab/>
      </w:r>
      <w:r w:rsidR="00290833">
        <w:t xml:space="preserve">at the </w:t>
      </w:r>
      <w:r w:rsidR="009A72E1">
        <w:t>commencement</w:t>
      </w:r>
      <w:r w:rsidR="00290833">
        <w:t xml:space="preserve"> of the hearing </w:t>
      </w:r>
      <w:r w:rsidR="009A72E1">
        <w:t xml:space="preserve">senior counsel appearing for the Commissioner, Mr McLure SC, </w:t>
      </w:r>
      <w:r w:rsidR="00CA1760">
        <w:t>provided the Court with a revised f</w:t>
      </w:r>
      <w:r w:rsidR="00455535">
        <w:t>or</w:t>
      </w:r>
      <w:r w:rsidR="00CA1760">
        <w:t xml:space="preserve">m of the proposed draft consent orders which </w:t>
      </w:r>
      <w:r w:rsidR="00136252">
        <w:t>had</w:t>
      </w:r>
      <w:r w:rsidR="00CA1760">
        <w:t xml:space="preserve"> been </w:t>
      </w:r>
      <w:r w:rsidR="00136252">
        <w:t xml:space="preserve">amended to include two additional proposed orders </w:t>
      </w:r>
      <w:r w:rsidR="00CD1812">
        <w:t xml:space="preserve">at </w:t>
      </w:r>
      <w:r w:rsidR="00CD1812">
        <w:lastRenderedPageBreak/>
        <w:t xml:space="preserve">paragraphs </w:t>
      </w:r>
      <w:r w:rsidR="00136252">
        <w:t>5 and 6</w:t>
      </w:r>
      <w:r w:rsidR="005C7519">
        <w:t>.  The additional orders</w:t>
      </w:r>
      <w:r w:rsidR="00136252">
        <w:t xml:space="preserve"> concerned reinstatement</w:t>
      </w:r>
      <w:r w:rsidR="00CD1812">
        <w:t xml:space="preserve"> </w:t>
      </w:r>
      <w:r w:rsidR="00331831">
        <w:t xml:space="preserve">of the registration of certain companies </w:t>
      </w:r>
      <w:r w:rsidR="00CD1812">
        <w:t>(</w:t>
      </w:r>
      <w:r w:rsidR="00CD1812" w:rsidRPr="00CD1812">
        <w:rPr>
          <w:b/>
          <w:bCs/>
        </w:rPr>
        <w:t>Draft Consent Orders</w:t>
      </w:r>
      <w:r w:rsidR="00CD1812">
        <w:t>)</w:t>
      </w:r>
      <w:r w:rsidR="00136252">
        <w:t xml:space="preserve">.  </w:t>
      </w:r>
      <w:r w:rsidR="009A72E1">
        <w:t xml:space="preserve"> </w:t>
      </w:r>
    </w:p>
    <w:p w14:paraId="2B4C8011" w14:textId="69F629FC" w:rsidR="007B16AB" w:rsidRDefault="00D313AC" w:rsidP="00D313AC">
      <w:pPr>
        <w:pStyle w:val="ParaNumbering"/>
        <w:numPr>
          <w:ilvl w:val="0"/>
          <w:numId w:val="0"/>
        </w:numPr>
        <w:ind w:hanging="720"/>
      </w:pPr>
      <w:r>
        <w:rPr>
          <w:sz w:val="20"/>
        </w:rPr>
        <w:t>27</w:t>
      </w:r>
      <w:r>
        <w:rPr>
          <w:sz w:val="20"/>
        </w:rPr>
        <w:tab/>
      </w:r>
      <w:r w:rsidR="007B16AB">
        <w:t>The Agreed Statement of Facts was a detailed document which included a concession by Mr</w:t>
      </w:r>
      <w:r w:rsidR="00BD3CC3">
        <w:t> </w:t>
      </w:r>
      <w:r w:rsidR="007B16AB">
        <w:t xml:space="preserve">Iannuzzi that he had “in relation to each of the companies subject of the proceeding failed to exercise reasonable care and diligence in his conduct of the relevant liquidation or administration”: at [14].  Relevantly the companies included RC Group and the </w:t>
      </w:r>
      <w:proofErr w:type="spellStart"/>
      <w:r w:rsidR="007B16AB">
        <w:t>Tabuso</w:t>
      </w:r>
      <w:proofErr w:type="spellEnd"/>
      <w:r w:rsidR="00762B99">
        <w:t> </w:t>
      </w:r>
      <w:r w:rsidR="007B16AB">
        <w:t>Group.</w:t>
      </w:r>
    </w:p>
    <w:p w14:paraId="30D9D2E9" w14:textId="5EA13835" w:rsidR="007B16AB" w:rsidRDefault="00D313AC" w:rsidP="00D313AC">
      <w:pPr>
        <w:pStyle w:val="ParaNumbering"/>
        <w:numPr>
          <w:ilvl w:val="0"/>
          <w:numId w:val="0"/>
        </w:numPr>
        <w:ind w:hanging="720"/>
      </w:pPr>
      <w:r>
        <w:rPr>
          <w:sz w:val="20"/>
        </w:rPr>
        <w:t>28</w:t>
      </w:r>
      <w:r>
        <w:rPr>
          <w:sz w:val="20"/>
        </w:rPr>
        <w:tab/>
      </w:r>
      <w:r w:rsidR="007B16AB">
        <w:t>In relation to RC Group the Agreed Statement of Facts included</w:t>
      </w:r>
      <w:r w:rsidR="00EA692E">
        <w:t xml:space="preserve"> (omitting </w:t>
      </w:r>
      <w:r w:rsidR="003041C7">
        <w:t>document identification numbers</w:t>
      </w:r>
      <w:r w:rsidR="00EA692E">
        <w:t>)</w:t>
      </w:r>
      <w:r w:rsidR="007B16AB">
        <w:t>:</w:t>
      </w:r>
    </w:p>
    <w:p w14:paraId="2F7CFA1B" w14:textId="4901A199" w:rsidR="007B16AB" w:rsidRDefault="00D313AC" w:rsidP="00D313AC">
      <w:pPr>
        <w:pStyle w:val="ListNo1"/>
        <w:numPr>
          <w:ilvl w:val="0"/>
          <w:numId w:val="0"/>
        </w:numPr>
        <w:tabs>
          <w:tab w:val="left" w:pos="720"/>
        </w:tabs>
        <w:ind w:left="720" w:hanging="720"/>
      </w:pPr>
      <w:r>
        <w:t>(1)</w:t>
      </w:r>
      <w:r>
        <w:tab/>
      </w:r>
      <w:r w:rsidR="007B16AB">
        <w:t>by way of introduction that:</w:t>
      </w:r>
    </w:p>
    <w:p w14:paraId="68939FE5" w14:textId="77777777" w:rsidR="007B16AB" w:rsidRDefault="007B16AB" w:rsidP="007B16AB">
      <w:pPr>
        <w:pStyle w:val="Quote1"/>
        <w:ind w:left="1440" w:hanging="703"/>
      </w:pPr>
      <w:r>
        <w:t>104.</w:t>
      </w:r>
      <w:r>
        <w:tab/>
        <w:t>At all material times, RC Group was owned and controlled by George Khalil, brother of Fred Khalil.</w:t>
      </w:r>
    </w:p>
    <w:p w14:paraId="0269F5FA" w14:textId="77777777" w:rsidR="007B16AB" w:rsidRDefault="007B16AB" w:rsidP="00023714">
      <w:pPr>
        <w:pStyle w:val="Quote1"/>
        <w:spacing w:after="360"/>
        <w:ind w:left="1440" w:hanging="703"/>
      </w:pPr>
      <w:r>
        <w:t>105.</w:t>
      </w:r>
      <w:r>
        <w:tab/>
        <w:t>On 18 August 2014, the members of RC Group resolved to wind up the company voluntarily and appoint Iannuzzi and Godfrey as joint and several liquidators.</w:t>
      </w:r>
    </w:p>
    <w:p w14:paraId="360E2CDF" w14:textId="585ED441" w:rsidR="007B16AB" w:rsidRDefault="00D313AC" w:rsidP="00D313AC">
      <w:pPr>
        <w:pStyle w:val="ListNo1"/>
        <w:numPr>
          <w:ilvl w:val="0"/>
          <w:numId w:val="0"/>
        </w:numPr>
        <w:tabs>
          <w:tab w:val="left" w:pos="720"/>
        </w:tabs>
        <w:ind w:left="720" w:hanging="720"/>
      </w:pPr>
      <w:r>
        <w:t>(2)</w:t>
      </w:r>
      <w:r>
        <w:tab/>
      </w:r>
      <w:r w:rsidR="007B16AB">
        <w:t xml:space="preserve">under the heading “Inadequate disclosure in </w:t>
      </w:r>
      <w:r w:rsidR="00F26F06">
        <w:t>[declaration of independence and relevant relationships and declaration of i</w:t>
      </w:r>
      <w:r w:rsidR="00FA5C9B">
        <w:t>ndemnities (</w:t>
      </w:r>
      <w:r w:rsidR="00FA5C9B" w:rsidRPr="003C3FB2">
        <w:rPr>
          <w:b/>
          <w:bCs/>
        </w:rPr>
        <w:t>DIRRI</w:t>
      </w:r>
      <w:r w:rsidR="00FA5C9B">
        <w:t>)]</w:t>
      </w:r>
      <w:r w:rsidR="007B16AB">
        <w:t>”:</w:t>
      </w:r>
    </w:p>
    <w:p w14:paraId="58DC3191" w14:textId="77777777" w:rsidR="007B16AB" w:rsidRDefault="007B16AB" w:rsidP="007B16AB">
      <w:pPr>
        <w:pStyle w:val="Quote1"/>
        <w:ind w:left="1440" w:hanging="703"/>
      </w:pPr>
      <w:r>
        <w:t>107.</w:t>
      </w:r>
      <w:r>
        <w:tab/>
        <w:t>On 25 August 2014, Iannuzzi circulated the First Report to Creditors in respect of RC Group, which amongst other things, annexed a DIRRI signed by Iannuzzi.</w:t>
      </w:r>
    </w:p>
    <w:p w14:paraId="12666E41" w14:textId="77777777" w:rsidR="007B16AB" w:rsidRDefault="007B16AB" w:rsidP="007B16AB">
      <w:pPr>
        <w:pStyle w:val="Quote1"/>
        <w:ind w:left="1440" w:hanging="703"/>
      </w:pPr>
      <w:r w:rsidRPr="006A165B">
        <w:t>108.</w:t>
      </w:r>
      <w:r>
        <w:tab/>
      </w:r>
      <w:r w:rsidRPr="006A165B">
        <w:t>The DIRRI:</w:t>
      </w:r>
    </w:p>
    <w:p w14:paraId="7EA080A3" w14:textId="77777777" w:rsidR="007B16AB" w:rsidRDefault="007B16AB" w:rsidP="007B16AB">
      <w:pPr>
        <w:pStyle w:val="Quote1"/>
        <w:ind w:left="1440" w:hanging="703"/>
      </w:pPr>
      <w:r>
        <w:tab/>
        <w:t>…</w:t>
      </w:r>
    </w:p>
    <w:p w14:paraId="6E73E2ED" w14:textId="7C08AC81" w:rsidR="007B16AB" w:rsidRDefault="007B16AB" w:rsidP="007B16AB">
      <w:pPr>
        <w:pStyle w:val="Quote2"/>
        <w:ind w:left="2160" w:hanging="720"/>
      </w:pPr>
      <w:r>
        <w:t>d)</w:t>
      </w:r>
      <w:r>
        <w:tab/>
        <w:t xml:space="preserve">failed to disclose the </w:t>
      </w:r>
      <w:proofErr w:type="spellStart"/>
      <w:r>
        <w:t>Banq</w:t>
      </w:r>
      <w:proofErr w:type="spellEnd"/>
      <w:r>
        <w:t xml:space="preserve"> Referral Relationship in circumstances where the Company</w:t>
      </w:r>
      <w:r w:rsidR="00254052">
        <w:t>’</w:t>
      </w:r>
      <w:r>
        <w:t xml:space="preserve">s director was the brother of Fred Khalil of </w:t>
      </w:r>
      <w:proofErr w:type="spellStart"/>
      <w:r>
        <w:t>Banq</w:t>
      </w:r>
      <w:proofErr w:type="spellEnd"/>
      <w:r>
        <w:t xml:space="preserve">; and </w:t>
      </w:r>
    </w:p>
    <w:p w14:paraId="6ED585B9" w14:textId="77777777" w:rsidR="007B16AB" w:rsidRDefault="007B16AB" w:rsidP="00023714">
      <w:pPr>
        <w:pStyle w:val="Quote2"/>
        <w:spacing w:after="360"/>
        <w:ind w:left="2160" w:hanging="720"/>
      </w:pPr>
      <w:r>
        <w:t>e)</w:t>
      </w:r>
      <w:r>
        <w:tab/>
        <w:t xml:space="preserve">failed to disclose that Iannuzzi and Godfrey had received a number of referrals from Gino </w:t>
      </w:r>
      <w:proofErr w:type="spellStart"/>
      <w:r>
        <w:t>Cassaniti</w:t>
      </w:r>
      <w:proofErr w:type="spellEnd"/>
      <w:r>
        <w:t xml:space="preserve">, an employee of RC Group, and director of Original </w:t>
      </w:r>
      <w:proofErr w:type="spellStart"/>
      <w:r>
        <w:t>Banq</w:t>
      </w:r>
      <w:proofErr w:type="spellEnd"/>
      <w:r>
        <w:t>.</w:t>
      </w:r>
    </w:p>
    <w:p w14:paraId="1077EC24" w14:textId="2616EBBF" w:rsidR="007B16AB" w:rsidRDefault="00D313AC" w:rsidP="00D313AC">
      <w:pPr>
        <w:pStyle w:val="ListNo1"/>
        <w:numPr>
          <w:ilvl w:val="0"/>
          <w:numId w:val="0"/>
        </w:numPr>
        <w:tabs>
          <w:tab w:val="left" w:pos="720"/>
        </w:tabs>
        <w:ind w:left="720" w:hanging="720"/>
      </w:pPr>
      <w:r>
        <w:t>(3)</w:t>
      </w:r>
      <w:r>
        <w:tab/>
      </w:r>
      <w:r w:rsidR="007B16AB">
        <w:t>under the heading “Investigations conducted by liquidators and inadequate disclosure to creditors” that:</w:t>
      </w:r>
    </w:p>
    <w:p w14:paraId="63AAE423" w14:textId="682D1F4E" w:rsidR="007B16AB" w:rsidRDefault="00D313AC" w:rsidP="00D313AC">
      <w:pPr>
        <w:pStyle w:val="ListNo2"/>
        <w:numPr>
          <w:ilvl w:val="0"/>
          <w:numId w:val="0"/>
        </w:numPr>
        <w:tabs>
          <w:tab w:val="left" w:pos="1428"/>
        </w:tabs>
        <w:ind w:left="1428" w:hanging="720"/>
      </w:pPr>
      <w:r>
        <w:t>(a)</w:t>
      </w:r>
      <w:r>
        <w:tab/>
      </w:r>
      <w:r w:rsidR="007B16AB">
        <w:t>in about August 2014 the Commonwealth Bank of Australia (</w:t>
      </w:r>
      <w:r w:rsidR="007B16AB" w:rsidRPr="006D3446">
        <w:rPr>
          <w:b/>
          <w:bCs/>
        </w:rPr>
        <w:t>CBA</w:t>
      </w:r>
      <w:r w:rsidR="007B16AB">
        <w:t>) informed Veritas</w:t>
      </w:r>
      <w:r w:rsidR="003B1E15">
        <w:t xml:space="preserve"> Advisory</w:t>
      </w:r>
      <w:r w:rsidR="007B16AB">
        <w:t xml:space="preserve"> that RC Group held two accounts with it, details of which were provide</w:t>
      </w:r>
      <w:r w:rsidR="001E03BF">
        <w:t>d</w:t>
      </w:r>
      <w:r w:rsidR="007B16AB">
        <w:t>, and that Messrs Iannuzzi and Godfrey:</w:t>
      </w:r>
    </w:p>
    <w:p w14:paraId="2DFF025C" w14:textId="77777777" w:rsidR="007B16AB" w:rsidRDefault="007B16AB" w:rsidP="00E47082">
      <w:pPr>
        <w:pStyle w:val="Quote3"/>
      </w:pPr>
      <w:r>
        <w:t xml:space="preserve">failed in August 2014, or at any time before August 2016 to obtain the bank statements referred to in the preceding paragraph from the CBA. In failing to do so, Iannuzzi and Godfrey failed to identify or </w:t>
      </w:r>
      <w:r>
        <w:lastRenderedPageBreak/>
        <w:t xml:space="preserve">investigate transactions totalling more than $6 million, including more than $888,885.00 in cash withdrawals, which were possibly unfair preferences within the meaning of s 588FA of the </w:t>
      </w:r>
      <w:r w:rsidRPr="006C1E80">
        <w:rPr>
          <w:i/>
          <w:iCs/>
        </w:rPr>
        <w:t>Corporations Act</w:t>
      </w:r>
      <w:r>
        <w:t xml:space="preserve"> and therefore possibly voidable transactions within the meaning of s 588FE of the </w:t>
      </w:r>
      <w:r w:rsidRPr="005E47E3">
        <w:rPr>
          <w:i/>
          <w:iCs/>
        </w:rPr>
        <w:t xml:space="preserve">Corporations Act </w:t>
      </w:r>
      <w:r>
        <w:t xml:space="preserve">made by RC Group to various entities within the period 6 months before the relation-back day …  </w:t>
      </w:r>
    </w:p>
    <w:p w14:paraId="2B0A4FA0" w14:textId="69B89454" w:rsidR="007B16AB" w:rsidRDefault="007B16AB" w:rsidP="003C793F">
      <w:pPr>
        <w:pStyle w:val="BodyText"/>
        <w:spacing w:after="180"/>
      </w:pPr>
      <w:r>
        <w:tab/>
      </w:r>
      <w:r>
        <w:tab/>
        <w:t>(at [110]-[111])</w:t>
      </w:r>
      <w:r w:rsidR="00D9616A">
        <w:t xml:space="preserve">; </w:t>
      </w:r>
    </w:p>
    <w:p w14:paraId="459D7C8D" w14:textId="5224C883" w:rsidR="007B16AB" w:rsidRDefault="00D313AC" w:rsidP="00D313AC">
      <w:pPr>
        <w:pStyle w:val="ListNo2"/>
        <w:numPr>
          <w:ilvl w:val="0"/>
          <w:numId w:val="0"/>
        </w:numPr>
        <w:tabs>
          <w:tab w:val="left" w:pos="1428"/>
        </w:tabs>
        <w:ind w:left="1428" w:hanging="720"/>
      </w:pPr>
      <w:r>
        <w:t>(b)</w:t>
      </w:r>
      <w:r>
        <w:tab/>
      </w:r>
      <w:r w:rsidR="007B16AB">
        <w:t>o</w:t>
      </w:r>
      <w:r w:rsidR="007B16AB" w:rsidRPr="00B51581">
        <w:t>n 1 September 2014 Mr</w:t>
      </w:r>
      <w:r w:rsidR="007B16AB">
        <w:t> </w:t>
      </w:r>
      <w:r w:rsidR="007B16AB" w:rsidRPr="00B51581">
        <w:t>Iannuzzi chaired the first meeting of creditors of RC</w:t>
      </w:r>
      <w:r w:rsidR="002F622F">
        <w:t> </w:t>
      </w:r>
      <w:r w:rsidR="007B16AB" w:rsidRPr="00B51581">
        <w:t>Group</w:t>
      </w:r>
      <w:r w:rsidR="007B16AB">
        <w:t xml:space="preserve"> during which two issues were raised, one concerning whether there were other companies of which the director had been a director which had been placed into liquidation and the other concerning why all business activity statements (</w:t>
      </w:r>
      <w:r w:rsidR="007B16AB" w:rsidRPr="009467A7">
        <w:rPr>
          <w:b/>
          <w:bCs/>
        </w:rPr>
        <w:t>BAS</w:t>
      </w:r>
      <w:r w:rsidR="007B16AB">
        <w:t>) for RC Group had been lodged at the same time, both of which Mr Iannuzzi said he would investigate: at [112];</w:t>
      </w:r>
    </w:p>
    <w:p w14:paraId="45BFF561" w14:textId="56F6B905" w:rsidR="007B16AB" w:rsidRDefault="00D313AC" w:rsidP="00D313AC">
      <w:pPr>
        <w:pStyle w:val="ListNo2"/>
        <w:numPr>
          <w:ilvl w:val="0"/>
          <w:numId w:val="0"/>
        </w:numPr>
        <w:tabs>
          <w:tab w:val="left" w:pos="1428"/>
        </w:tabs>
        <w:ind w:left="1428" w:hanging="720"/>
      </w:pPr>
      <w:r>
        <w:t>(c)</w:t>
      </w:r>
      <w:r>
        <w:tab/>
      </w:r>
      <w:r w:rsidR="007B16AB">
        <w:t>in his final report to creditors Mr Iannuzzi failed to disclose confirmation of the two bank accounts held by RC Group, failed to report to creditors in relation to companies of which the director had been a director and which had be</w:t>
      </w:r>
      <w:r w:rsidR="005D37ED">
        <w:t>e</w:t>
      </w:r>
      <w:r w:rsidR="007B16AB">
        <w:t>n placed into liquidation in the last seven years and failed to report on any investigations undertaken in relation to lodgement of the BAS at the same time: at [120]; and</w:t>
      </w:r>
    </w:p>
    <w:p w14:paraId="70356101" w14:textId="0357B63B" w:rsidR="007B16AB" w:rsidRDefault="00D313AC" w:rsidP="00D313AC">
      <w:pPr>
        <w:pStyle w:val="ListNo2"/>
        <w:numPr>
          <w:ilvl w:val="0"/>
          <w:numId w:val="0"/>
        </w:numPr>
        <w:tabs>
          <w:tab w:val="left" w:pos="1428"/>
        </w:tabs>
        <w:ind w:left="1428" w:hanging="720"/>
      </w:pPr>
      <w:r>
        <w:t>(d)</w:t>
      </w:r>
      <w:r>
        <w:tab/>
      </w:r>
      <w:r w:rsidR="007B16AB">
        <w:t>on 28 August 2015 the Deputy Commissioner sent a letter to Mr Iannuzzi advising him of his concerns with Mr Iannuzzi’s conduct of the liquidation of RC Group and on 10 September 2015 Mr Iannuzzi responded to that letter but</w:t>
      </w:r>
      <w:r w:rsidR="003C793F">
        <w:t>,</w:t>
      </w:r>
      <w:r w:rsidR="007B16AB">
        <w:t xml:space="preserve"> in doing so</w:t>
      </w:r>
      <w:r w:rsidR="003C793F">
        <w:t>,</w:t>
      </w:r>
      <w:r w:rsidR="007B16AB">
        <w:t xml:space="preserve"> failed to disclose correspondence which had passed between his office and the CBA: at [121]-[123]. </w:t>
      </w:r>
    </w:p>
    <w:p w14:paraId="4AD74A3D" w14:textId="3CFE5034" w:rsidR="007B16AB" w:rsidRDefault="00D313AC" w:rsidP="00D313AC">
      <w:pPr>
        <w:pStyle w:val="ParaNumbering"/>
        <w:numPr>
          <w:ilvl w:val="0"/>
          <w:numId w:val="0"/>
        </w:numPr>
        <w:ind w:hanging="720"/>
      </w:pPr>
      <w:r>
        <w:rPr>
          <w:sz w:val="20"/>
        </w:rPr>
        <w:t>29</w:t>
      </w:r>
      <w:r>
        <w:rPr>
          <w:sz w:val="20"/>
        </w:rPr>
        <w:tab/>
      </w:r>
      <w:r w:rsidR="007B16AB">
        <w:t xml:space="preserve">In relation to the </w:t>
      </w:r>
      <w:proofErr w:type="spellStart"/>
      <w:r w:rsidR="007B16AB">
        <w:t>Tabuso</w:t>
      </w:r>
      <w:proofErr w:type="spellEnd"/>
      <w:r w:rsidR="007B16AB">
        <w:t xml:space="preserve"> Group the </w:t>
      </w:r>
      <w:r w:rsidR="008E03C8">
        <w:t>A</w:t>
      </w:r>
      <w:r w:rsidR="007B16AB">
        <w:t>greed Statement of Facts included:</w:t>
      </w:r>
    </w:p>
    <w:p w14:paraId="4047EF23" w14:textId="5623F86D" w:rsidR="007B16AB" w:rsidRDefault="00D313AC" w:rsidP="00D313AC">
      <w:pPr>
        <w:pStyle w:val="ListNo1"/>
        <w:numPr>
          <w:ilvl w:val="0"/>
          <w:numId w:val="0"/>
        </w:numPr>
        <w:tabs>
          <w:tab w:val="left" w:pos="720"/>
        </w:tabs>
        <w:ind w:left="720" w:hanging="720"/>
      </w:pPr>
      <w:r>
        <w:t>(1)</w:t>
      </w:r>
      <w:r>
        <w:tab/>
      </w:r>
      <w:r w:rsidR="007B16AB">
        <w:t>that at all material times the compan</w:t>
      </w:r>
      <w:r w:rsidR="009B065E">
        <w:t>ies</w:t>
      </w:r>
      <w:r w:rsidR="007B16AB">
        <w:t xml:space="preserve"> in the </w:t>
      </w:r>
      <w:proofErr w:type="spellStart"/>
      <w:r w:rsidR="007B16AB">
        <w:t>Tabuso</w:t>
      </w:r>
      <w:proofErr w:type="spellEnd"/>
      <w:r w:rsidR="007B16AB">
        <w:t xml:space="preserve"> Group were owned by Mr and Mrs</w:t>
      </w:r>
      <w:r w:rsidR="00060A28">
        <w:t> </w:t>
      </w:r>
      <w:proofErr w:type="spellStart"/>
      <w:r w:rsidR="007B16AB">
        <w:t>Tabuso</w:t>
      </w:r>
      <w:proofErr w:type="spellEnd"/>
      <w:r w:rsidR="007B16AB">
        <w:t xml:space="preserve"> or entities associated with them: at [173];</w:t>
      </w:r>
    </w:p>
    <w:p w14:paraId="22ADD78D" w14:textId="11647688" w:rsidR="007B16AB" w:rsidRDefault="00D313AC" w:rsidP="00D313AC">
      <w:pPr>
        <w:pStyle w:val="ListNo1"/>
        <w:numPr>
          <w:ilvl w:val="0"/>
          <w:numId w:val="0"/>
        </w:numPr>
        <w:tabs>
          <w:tab w:val="left" w:pos="720"/>
        </w:tabs>
        <w:ind w:left="720" w:hanging="720"/>
      </w:pPr>
      <w:r>
        <w:t>(2)</w:t>
      </w:r>
      <w:r>
        <w:tab/>
      </w:r>
      <w:r w:rsidR="007B16AB">
        <w:t>under the heading “Conduct of liquidations” that:</w:t>
      </w:r>
    </w:p>
    <w:p w14:paraId="0232FACB" w14:textId="245FFC72" w:rsidR="007B16AB" w:rsidRDefault="00D313AC" w:rsidP="00D313AC">
      <w:pPr>
        <w:pStyle w:val="ListNo2"/>
        <w:numPr>
          <w:ilvl w:val="0"/>
          <w:numId w:val="0"/>
        </w:numPr>
        <w:tabs>
          <w:tab w:val="left" w:pos="1428"/>
        </w:tabs>
        <w:ind w:left="1428" w:hanging="720"/>
      </w:pPr>
      <w:r>
        <w:t>(a)</w:t>
      </w:r>
      <w:r>
        <w:tab/>
      </w:r>
      <w:r w:rsidR="007B16AB">
        <w:t xml:space="preserve">on 16 December 2014 Mr Iannuzzi approved the transfer of a phone line from Inter Management Group to </w:t>
      </w:r>
      <w:proofErr w:type="spellStart"/>
      <w:r w:rsidR="007B16AB">
        <w:t>Interfreight</w:t>
      </w:r>
      <w:proofErr w:type="spellEnd"/>
      <w:r w:rsidR="007B16AB">
        <w:t xml:space="preserve"> 2: at [177];</w:t>
      </w:r>
    </w:p>
    <w:p w14:paraId="78CBE48E" w14:textId="02E849B3" w:rsidR="007B16AB" w:rsidRDefault="00D313AC" w:rsidP="00D313AC">
      <w:pPr>
        <w:pStyle w:val="ListNo2"/>
        <w:numPr>
          <w:ilvl w:val="0"/>
          <w:numId w:val="0"/>
        </w:numPr>
        <w:tabs>
          <w:tab w:val="left" w:pos="1428"/>
        </w:tabs>
        <w:ind w:left="1428" w:hanging="720"/>
      </w:pPr>
      <w:r>
        <w:t>(b)</w:t>
      </w:r>
      <w:r>
        <w:tab/>
      </w:r>
      <w:r w:rsidR="007B16AB">
        <w:t xml:space="preserve">a reasonably competent liquidator in Mr Iannuzzi’s position would reasonably have suspected the possibility that the persons in control of the </w:t>
      </w:r>
      <w:proofErr w:type="spellStart"/>
      <w:r w:rsidR="007B16AB">
        <w:t>Tabuso</w:t>
      </w:r>
      <w:proofErr w:type="spellEnd"/>
      <w:r w:rsidR="007B16AB">
        <w:t xml:space="preserve"> Group companies were involved in activity to deliberately liquidate the companies in </w:t>
      </w:r>
      <w:r w:rsidR="007B16AB">
        <w:lastRenderedPageBreak/>
        <w:t>the group and transfer the assets of the group to a new entity, in the circumstances set out relating to the phone line transfer: at [178];</w:t>
      </w:r>
    </w:p>
    <w:p w14:paraId="410C1F3D" w14:textId="01FA85B6" w:rsidR="007B16AB" w:rsidRDefault="00D313AC" w:rsidP="00D313AC">
      <w:pPr>
        <w:pStyle w:val="ListNo2"/>
        <w:numPr>
          <w:ilvl w:val="0"/>
          <w:numId w:val="0"/>
        </w:numPr>
        <w:tabs>
          <w:tab w:val="left" w:pos="1428"/>
        </w:tabs>
        <w:ind w:left="1428" w:hanging="720"/>
      </w:pPr>
      <w:r>
        <w:t>(c)</w:t>
      </w:r>
      <w:r>
        <w:tab/>
      </w:r>
      <w:r w:rsidR="007B16AB">
        <w:t xml:space="preserve">a reasonably competent liquidator in Mr Iannuzzi’s position would have suspected that some or all of the proofs of debt provided by </w:t>
      </w:r>
      <w:proofErr w:type="spellStart"/>
      <w:r w:rsidR="007B16AB">
        <w:t>Banq</w:t>
      </w:r>
      <w:proofErr w:type="spellEnd"/>
      <w:r w:rsidR="007B16AB">
        <w:t xml:space="preserve"> Accountants on behalf of </w:t>
      </w:r>
      <w:proofErr w:type="spellStart"/>
      <w:r w:rsidR="007B16AB">
        <w:t>Interfreight</w:t>
      </w:r>
      <w:proofErr w:type="spellEnd"/>
      <w:r w:rsidR="007B16AB">
        <w:t xml:space="preserve"> 2 and Diesel Dan 2 in relation to each of the </w:t>
      </w:r>
      <w:proofErr w:type="spellStart"/>
      <w:r w:rsidR="007B16AB">
        <w:t>Tabuso</w:t>
      </w:r>
      <w:proofErr w:type="spellEnd"/>
      <w:r w:rsidR="00BC1465">
        <w:t> </w:t>
      </w:r>
      <w:r w:rsidR="007B16AB">
        <w:t xml:space="preserve">Group companies warranted further investigation in the circumstances there set out including that </w:t>
      </w:r>
      <w:proofErr w:type="spellStart"/>
      <w:r w:rsidR="007B16AB">
        <w:t>Interfreight</w:t>
      </w:r>
      <w:proofErr w:type="spellEnd"/>
      <w:r w:rsidR="007B16AB">
        <w:t xml:space="preserve"> 2 and Diesel Dan 2 had been registered on 5 September 2013, a date after the </w:t>
      </w:r>
      <w:proofErr w:type="spellStart"/>
      <w:r w:rsidR="007B16AB">
        <w:t>Tabuso</w:t>
      </w:r>
      <w:proofErr w:type="spellEnd"/>
      <w:r w:rsidR="007B16AB">
        <w:t xml:space="preserve"> Group companies had ceased trading: at [183];</w:t>
      </w:r>
    </w:p>
    <w:p w14:paraId="0917371D" w14:textId="09D66C04" w:rsidR="007B16AB" w:rsidRDefault="00D313AC" w:rsidP="00D313AC">
      <w:pPr>
        <w:pStyle w:val="ListNo2"/>
        <w:numPr>
          <w:ilvl w:val="0"/>
          <w:numId w:val="0"/>
        </w:numPr>
        <w:tabs>
          <w:tab w:val="left" w:pos="1428"/>
        </w:tabs>
        <w:ind w:left="1428" w:hanging="720"/>
      </w:pPr>
      <w:r>
        <w:t>(d)</w:t>
      </w:r>
      <w:r>
        <w:tab/>
      </w:r>
      <w:r w:rsidR="007B16AB">
        <w:t xml:space="preserve">the proofs of debt submitted by </w:t>
      </w:r>
      <w:proofErr w:type="spellStart"/>
      <w:r w:rsidR="007B16AB">
        <w:t>Banq</w:t>
      </w:r>
      <w:proofErr w:type="spellEnd"/>
      <w:r w:rsidR="007B16AB">
        <w:t xml:space="preserve"> Accountants were admitted to proof by Mr Iannuzzi for the amounts stated, except that those lodged by Diesel Dan 2 were admitted as debts owing to Diesel Dan</w:t>
      </w:r>
      <w:r w:rsidR="00E94617">
        <w:t> 1</w:t>
      </w:r>
      <w:r w:rsidR="007B16AB">
        <w:t xml:space="preserve"> and Mr Iannuzzi did not disclose to creditors any investigations which he undertook to establish the veracity of the proofs of debt: at [184];</w:t>
      </w:r>
    </w:p>
    <w:p w14:paraId="5AA9FFBE" w14:textId="5794FDB8" w:rsidR="007B16AB" w:rsidRDefault="00D313AC" w:rsidP="00D313AC">
      <w:pPr>
        <w:pStyle w:val="ListNo2"/>
        <w:numPr>
          <w:ilvl w:val="0"/>
          <w:numId w:val="0"/>
        </w:numPr>
        <w:tabs>
          <w:tab w:val="left" w:pos="1428"/>
        </w:tabs>
        <w:ind w:left="1428" w:hanging="720"/>
      </w:pPr>
      <w:r>
        <w:t>(e)</w:t>
      </w:r>
      <w:r>
        <w:tab/>
      </w:r>
      <w:r w:rsidR="007B16AB">
        <w:t xml:space="preserve">in his </w:t>
      </w:r>
      <w:r w:rsidR="007B16AB" w:rsidRPr="00E47082">
        <w:t>DIRRI</w:t>
      </w:r>
      <w:r w:rsidR="007B16AB">
        <w:t xml:space="preserve"> attached to the first report to creditors Mr Iannuzzi failed to disclose his professional relationship with </w:t>
      </w:r>
      <w:proofErr w:type="spellStart"/>
      <w:r w:rsidR="007B16AB">
        <w:t>Banq</w:t>
      </w:r>
      <w:proofErr w:type="spellEnd"/>
      <w:r w:rsidR="007B16AB">
        <w:t xml:space="preserve"> Accountants and failed to provide an updated DIRRI to disclose </w:t>
      </w:r>
      <w:r w:rsidR="00012D65">
        <w:t xml:space="preserve">that </w:t>
      </w:r>
      <w:r w:rsidR="007B16AB">
        <w:t>relationship: at [185]-[186], [190]; and</w:t>
      </w:r>
    </w:p>
    <w:p w14:paraId="63883A9E" w14:textId="58B29F45" w:rsidR="00D05846" w:rsidRDefault="00D313AC" w:rsidP="00D313AC">
      <w:pPr>
        <w:pStyle w:val="ListNo2"/>
        <w:numPr>
          <w:ilvl w:val="0"/>
          <w:numId w:val="0"/>
        </w:numPr>
        <w:tabs>
          <w:tab w:val="left" w:pos="1428"/>
        </w:tabs>
        <w:ind w:left="1428" w:hanging="720"/>
      </w:pPr>
      <w:r>
        <w:t>(f)</w:t>
      </w:r>
      <w:r>
        <w:tab/>
      </w:r>
      <w:r w:rsidR="007B16AB">
        <w:t>in his final report to creditors Mr Iannuzzi failed to provide explanations for a number of matters</w:t>
      </w:r>
      <w:r w:rsidR="00012D65">
        <w:t xml:space="preserve"> as</w:t>
      </w:r>
      <w:r w:rsidR="007B16AB">
        <w:t xml:space="preserve"> set out in the </w:t>
      </w:r>
      <w:r w:rsidR="00C23CDC">
        <w:t xml:space="preserve">Agreed </w:t>
      </w:r>
      <w:r w:rsidR="007B16AB">
        <w:t xml:space="preserve">Statement of </w:t>
      </w:r>
      <w:r w:rsidR="00C23CDC">
        <w:t>F</w:t>
      </w:r>
      <w:r w:rsidR="007B16AB">
        <w:t>acts</w:t>
      </w:r>
      <w:r w:rsidR="00D73C68">
        <w:t>:</w:t>
      </w:r>
      <w:r w:rsidR="007B16AB">
        <w:t xml:space="preserve"> at [191]-[195].</w:t>
      </w:r>
    </w:p>
    <w:p w14:paraId="5A16A2F1" w14:textId="13E1AA0F" w:rsidR="0063208F" w:rsidRDefault="00D313AC" w:rsidP="00D313AC">
      <w:pPr>
        <w:pStyle w:val="ParaNumbering"/>
        <w:numPr>
          <w:ilvl w:val="0"/>
          <w:numId w:val="0"/>
        </w:numPr>
        <w:ind w:hanging="720"/>
      </w:pPr>
      <w:bookmarkStart w:id="28" w:name="_Ref157088954"/>
      <w:r>
        <w:rPr>
          <w:sz w:val="20"/>
        </w:rPr>
        <w:t>30</w:t>
      </w:r>
      <w:r>
        <w:rPr>
          <w:sz w:val="20"/>
        </w:rPr>
        <w:tab/>
      </w:r>
      <w:r w:rsidR="00AA379E">
        <w:t xml:space="preserve">In the course of the hearing on 17 July 2019 </w:t>
      </w:r>
      <w:r w:rsidR="002D06F9">
        <w:t>in considering</w:t>
      </w:r>
      <w:r w:rsidR="00207E4C">
        <w:t xml:space="preserve"> paragraph 5 of the</w:t>
      </w:r>
      <w:r w:rsidR="002D06F9">
        <w:t xml:space="preserve"> </w:t>
      </w:r>
      <w:r w:rsidR="001642CB">
        <w:t>D</w:t>
      </w:r>
      <w:r w:rsidR="00D221B5">
        <w:t xml:space="preserve">raft </w:t>
      </w:r>
      <w:r w:rsidR="001642CB">
        <w:t>Consent O</w:t>
      </w:r>
      <w:r w:rsidR="00D221B5">
        <w:t>rders</w:t>
      </w:r>
      <w:r w:rsidR="00466987">
        <w:t>, which concerned reinstatement of particular companies,</w:t>
      </w:r>
      <w:r w:rsidR="00D221B5">
        <w:t xml:space="preserve"> </w:t>
      </w:r>
      <w:r w:rsidR="00AC1454">
        <w:t>the following exchange</w:t>
      </w:r>
      <w:r w:rsidR="003C48D5">
        <w:t xml:space="preserve"> </w:t>
      </w:r>
      <w:r w:rsidR="00466987">
        <w:t xml:space="preserve">took place </w:t>
      </w:r>
      <w:r w:rsidR="00AC1454">
        <w:t xml:space="preserve">between </w:t>
      </w:r>
      <w:r w:rsidR="00466987">
        <w:t>the Court</w:t>
      </w:r>
      <w:r w:rsidR="00926DAF">
        <w:t>,</w:t>
      </w:r>
      <w:r w:rsidR="00466987">
        <w:t xml:space="preserve"> </w:t>
      </w:r>
      <w:r w:rsidR="00AC1454">
        <w:t>Mr Mc</w:t>
      </w:r>
      <w:r w:rsidR="00CA0668">
        <w:t>L</w:t>
      </w:r>
      <w:r w:rsidR="00AC1454">
        <w:t>ure</w:t>
      </w:r>
      <w:r w:rsidR="009A35BB">
        <w:t xml:space="preserve"> SC</w:t>
      </w:r>
      <w:r w:rsidR="00CA0668">
        <w:t xml:space="preserve"> </w:t>
      </w:r>
      <w:r w:rsidR="00466987">
        <w:t xml:space="preserve">and </w:t>
      </w:r>
      <w:r w:rsidR="009A35BB">
        <w:t>senior</w:t>
      </w:r>
      <w:r w:rsidR="00CA0668">
        <w:t xml:space="preserve"> counsel for Mr Ianuzzi, Mr Pike SC</w:t>
      </w:r>
      <w:r w:rsidR="00E45058">
        <w:t xml:space="preserve"> (as his</w:t>
      </w:r>
      <w:r w:rsidR="0015637A">
        <w:t> </w:t>
      </w:r>
      <w:r w:rsidR="00E45058">
        <w:t>Honour then was)</w:t>
      </w:r>
      <w:r w:rsidR="009A35BB">
        <w:t>:</w:t>
      </w:r>
      <w:bookmarkEnd w:id="28"/>
    </w:p>
    <w:p w14:paraId="4D0C819F" w14:textId="01B41D50" w:rsidR="00980568" w:rsidRDefault="00980568" w:rsidP="00615DDC">
      <w:pPr>
        <w:pStyle w:val="Quote1"/>
        <w:ind w:left="2160" w:hanging="1423"/>
      </w:pPr>
      <w:r>
        <w:t>H</w:t>
      </w:r>
      <w:r w:rsidR="00615DDC">
        <w:t>is Honour:</w:t>
      </w:r>
      <w:r>
        <w:t xml:space="preserve"> </w:t>
      </w:r>
      <w:r w:rsidR="00615DDC">
        <w:tab/>
      </w:r>
      <w:r>
        <w:t>Yes. There was a point that I overlooked and that’s you were going to explain to me order 5.</w:t>
      </w:r>
    </w:p>
    <w:p w14:paraId="392186D1" w14:textId="31BA329D" w:rsidR="009A35BB" w:rsidRDefault="00980568" w:rsidP="00615DDC">
      <w:pPr>
        <w:pStyle w:val="Quote1"/>
        <w:ind w:left="2160" w:hanging="1423"/>
      </w:pPr>
      <w:r>
        <w:t>M</w:t>
      </w:r>
      <w:r w:rsidR="00615DDC">
        <w:t>r</w:t>
      </w:r>
      <w:r>
        <w:t xml:space="preserve"> McL</w:t>
      </w:r>
      <w:r w:rsidR="00615DDC">
        <w:t>ure</w:t>
      </w:r>
      <w:r>
        <w:t>:</w:t>
      </w:r>
      <w:r w:rsidR="00615DDC">
        <w:tab/>
      </w:r>
      <w:r>
        <w:t xml:space="preserve">Yes. So at paragraph 6 of the originating process, the Commissioner seeks orders for compensation – it’s paragraph 5? All right. Sorry. Thank you. Your Honour can see that there is no order agreed for the compensation </w:t>
      </w:r>
      <w:r w:rsidR="00615DDC">
        <w:t xml:space="preserve">as part of this process. The alternative avenue to seek compensation is to have liquidators appointed to these companies, some of them have to be reregistered, and then for such newly appointed liquidator to pursue Mr Iannuzzi for compensation, or, for that matter, pursue anyone else for compensation. </w:t>
      </w:r>
    </w:p>
    <w:p w14:paraId="0F359E82" w14:textId="16235FFE" w:rsidR="00615DDC" w:rsidRDefault="00653F67" w:rsidP="00653F67">
      <w:pPr>
        <w:pStyle w:val="Quote1"/>
        <w:ind w:left="2160"/>
      </w:pPr>
      <w:r>
        <w:t xml:space="preserve">What we are asking your Honour to do, by consent, is for that topic to be stood over until 30 August 2019 so that the Commissioner can give </w:t>
      </w:r>
      <w:r>
        <w:lastRenderedPageBreak/>
        <w:t xml:space="preserve">consideration to whether or not he would wish to fund that activity, bearing in mind there’s an issue about what would be the likely proceeds to be obtained from pursuing those actions, whether it be the ability of Mr Iannuzzi to satisfy a judgment or some other potential respondent, and we would also have to identify who an appropriate liquidator would be. And as to paragraph 6, we would urge your Honour to make that order to signify the court’s interest in ensuring that these kind of matters are brought to the attention of people who are involved, or agencies that are involved, in the regulation of insolvency practitioners. </w:t>
      </w:r>
    </w:p>
    <w:p w14:paraId="25CAE2FF" w14:textId="18BAE9BA" w:rsidR="00657423" w:rsidRDefault="00657423" w:rsidP="00657423">
      <w:pPr>
        <w:pStyle w:val="Quote1"/>
      </w:pPr>
      <w:r>
        <w:t>His Honour:</w:t>
      </w:r>
      <w:r>
        <w:tab/>
        <w:t xml:space="preserve">I’m not sure that I have schedule A to the amended originating process. </w:t>
      </w:r>
    </w:p>
    <w:p w14:paraId="3F162E03" w14:textId="47917FB5" w:rsidR="00657423" w:rsidRDefault="009F439A" w:rsidP="00657423">
      <w:pPr>
        <w:pStyle w:val="Quote1"/>
      </w:pPr>
      <w:r>
        <w:t>…</w:t>
      </w:r>
    </w:p>
    <w:p w14:paraId="06B79CD3" w14:textId="563BC2C9" w:rsidR="009F439A" w:rsidRDefault="009F439A" w:rsidP="009F439A">
      <w:pPr>
        <w:pStyle w:val="Quote1"/>
      </w:pPr>
      <w:r>
        <w:t>Mr McLure:</w:t>
      </w:r>
      <w:r>
        <w:tab/>
        <w:t xml:space="preserve">Well, schedule A is the list of the companies and schedule B is the </w:t>
      </w:r>
      <w:r w:rsidR="00E161C2">
        <w:t>–</w:t>
      </w:r>
    </w:p>
    <w:p w14:paraId="553CEFC5" w14:textId="02EABA71" w:rsidR="003825E3" w:rsidRDefault="0030633C" w:rsidP="009F439A">
      <w:pPr>
        <w:pStyle w:val="Quote1"/>
      </w:pPr>
      <w:r>
        <w:t>…</w:t>
      </w:r>
    </w:p>
    <w:p w14:paraId="44512862" w14:textId="1D90F6E1" w:rsidR="009F439A" w:rsidRDefault="009F439A" w:rsidP="002D7502">
      <w:pPr>
        <w:pStyle w:val="Quote1"/>
        <w:ind w:left="2160" w:hanging="1423"/>
      </w:pPr>
      <w:r>
        <w:t>H</w:t>
      </w:r>
      <w:r w:rsidR="002D7502">
        <w:t>is Honour</w:t>
      </w:r>
      <w:r>
        <w:t>:</w:t>
      </w:r>
      <w:r w:rsidR="002D7502">
        <w:tab/>
      </w:r>
      <w:r w:rsidRPr="009065E9">
        <w:rPr>
          <w:b/>
          <w:bCs/>
        </w:rPr>
        <w:t>But, now, is that relief – so the relief covered by paragraph 5 of the amended originating process is for compensation for the defendant – it’s that the defendant compensate each of the companies. Yes. In order for that to happen, the companies would have to be – those that have been deregistered would have to be reregistered</w:t>
      </w:r>
      <w:r>
        <w:t xml:space="preserve">. </w:t>
      </w:r>
    </w:p>
    <w:p w14:paraId="62651223" w14:textId="5AB6C51E" w:rsidR="00E61C8D" w:rsidRDefault="00E61C8D" w:rsidP="00E61C8D">
      <w:pPr>
        <w:pStyle w:val="Quote1"/>
        <w:ind w:left="2160" w:hanging="1423"/>
      </w:pPr>
      <w:r>
        <w:t>Mr McLure:</w:t>
      </w:r>
      <w:r>
        <w:tab/>
      </w:r>
      <w:r w:rsidRPr="009065E9">
        <w:rPr>
          <w:b/>
          <w:bCs/>
        </w:rPr>
        <w:t>Yes. Yes</w:t>
      </w:r>
      <w:r>
        <w:t>.</w:t>
      </w:r>
    </w:p>
    <w:p w14:paraId="2CC46B01" w14:textId="2B7541D3" w:rsidR="00E61C8D" w:rsidRDefault="00E61C8D" w:rsidP="00E61C8D">
      <w:pPr>
        <w:pStyle w:val="Quote1"/>
        <w:ind w:left="2160" w:hanging="1423"/>
      </w:pPr>
      <w:r>
        <w:t>His Honour:</w:t>
      </w:r>
      <w:r>
        <w:tab/>
      </w:r>
      <w:r w:rsidRPr="009065E9">
        <w:rPr>
          <w:b/>
          <w:bCs/>
        </w:rPr>
        <w:t>So, I mean, my question is really twofold, I suppose. One is: is the foreshadowed relief of your order 5, which is to say the reinstatement of the registration of the companies listed in schedule A, is that covered by the process in this case? And then, secondly, is it competent for me to make that order in this case or are there other parties that needed to have been notified or anything else to have occurred</w:t>
      </w:r>
      <w:r>
        <w:t>?</w:t>
      </w:r>
    </w:p>
    <w:p w14:paraId="2A27C078" w14:textId="79D07144" w:rsidR="00E61C8D" w:rsidRDefault="00E61C8D" w:rsidP="00E61C8D">
      <w:pPr>
        <w:pStyle w:val="Quote1"/>
        <w:ind w:left="2160" w:hanging="1423"/>
      </w:pPr>
      <w:r>
        <w:t>Mr McLure:</w:t>
      </w:r>
      <w:r>
        <w:tab/>
      </w:r>
      <w:r w:rsidRPr="009065E9">
        <w:rPr>
          <w:b/>
          <w:bCs/>
        </w:rPr>
        <w:t>There would certainly be some other procedural steps that would need to occur. For example, in terms of appointing new liquidators, we would need to obtain consents and so on. Would your Honour excuse me one moment. So there’s steps that we would need to take to make</w:t>
      </w:r>
      <w:r w:rsidR="00201ECF">
        <w:t>..</w:t>
      </w:r>
    </w:p>
    <w:p w14:paraId="488566F4" w14:textId="2BD20623" w:rsidR="00201ECF" w:rsidRDefault="00201ECF" w:rsidP="00201ECF">
      <w:pPr>
        <w:pStyle w:val="Quote1"/>
        <w:ind w:left="2160" w:hanging="1423"/>
      </w:pPr>
      <w:r>
        <w:t>His Honour:</w:t>
      </w:r>
      <w:r>
        <w:tab/>
        <w:t>But that would be revisited on – or visited on a future occasion.</w:t>
      </w:r>
    </w:p>
    <w:p w14:paraId="40CB7CFA" w14:textId="65E05A80" w:rsidR="00201ECF" w:rsidRDefault="00201ECF" w:rsidP="00201ECF">
      <w:pPr>
        <w:pStyle w:val="Quote1"/>
        <w:ind w:left="2160" w:hanging="1423"/>
      </w:pPr>
      <w:r>
        <w:t>Mr McLure:</w:t>
      </w:r>
      <w:r>
        <w:tab/>
        <w:t>Yes.</w:t>
      </w:r>
    </w:p>
    <w:p w14:paraId="59865098" w14:textId="0DF26770" w:rsidR="00201ECF" w:rsidRDefault="00201ECF" w:rsidP="00201ECF">
      <w:pPr>
        <w:pStyle w:val="Quote1"/>
        <w:ind w:left="2160" w:hanging="1423"/>
      </w:pPr>
      <w:r>
        <w:t>His Honour:</w:t>
      </w:r>
      <w:r>
        <w:tab/>
        <w:t>Yes.</w:t>
      </w:r>
    </w:p>
    <w:p w14:paraId="3956501A" w14:textId="76C2CD1D" w:rsidR="00201ECF" w:rsidRDefault="00201ECF" w:rsidP="00201ECF">
      <w:pPr>
        <w:pStyle w:val="Quote1"/>
        <w:ind w:left="2160" w:hanging="1423"/>
      </w:pPr>
      <w:r>
        <w:t>Mr McLure:</w:t>
      </w:r>
      <w:r>
        <w:tab/>
      </w:r>
      <w:r w:rsidRPr="009065E9">
        <w:rPr>
          <w:b/>
          <w:bCs/>
        </w:rPr>
        <w:t>But in terms of power, that’s, we submit, plainly within both section 536 of the Corporations Act, in terms of making any order necessary to give effect to the objects of that provision. But we need not trouble your Honour with that issue today</w:t>
      </w:r>
      <w:r>
        <w:t xml:space="preserve">. We’re just asking your Honour to defer that issue until 30 August 2019, by which time we will have made some decisions, that is the Commissioner will have made some decisions about what, if anything, he wants to do about that. </w:t>
      </w:r>
    </w:p>
    <w:p w14:paraId="6C04B2AF" w14:textId="7B0C59EE" w:rsidR="00BD1CF2" w:rsidRDefault="00BD1CF2" w:rsidP="00BD1CF2">
      <w:pPr>
        <w:pStyle w:val="Quote1"/>
        <w:ind w:left="2160" w:hanging="1423"/>
      </w:pPr>
      <w:r>
        <w:t>His Honour:</w:t>
      </w:r>
      <w:r>
        <w:tab/>
        <w:t xml:space="preserve">And does that – that deferral doesn’t depend on me having made a </w:t>
      </w:r>
      <w:r>
        <w:lastRenderedPageBreak/>
        <w:t>decision on paragraphs 1 to 4 and given reasons for it. So, in other words, I can make order 5 now.</w:t>
      </w:r>
    </w:p>
    <w:p w14:paraId="0B47DCA9" w14:textId="34F004F6" w:rsidR="00BD1CF2" w:rsidRDefault="00BD1CF2" w:rsidP="00BD1CF2">
      <w:pPr>
        <w:pStyle w:val="Quote1"/>
        <w:ind w:left="2160" w:hanging="1423"/>
      </w:pPr>
      <w:r>
        <w:t>Mr P</w:t>
      </w:r>
      <w:r w:rsidR="00AC25C2">
        <w:t>ike</w:t>
      </w:r>
      <w:r>
        <w:t>:</w:t>
      </w:r>
      <w:r>
        <w:tab/>
        <w:t>Yes.</w:t>
      </w:r>
    </w:p>
    <w:p w14:paraId="5EE90740" w14:textId="606B3485" w:rsidR="00BD1CF2" w:rsidRDefault="00BD1CF2" w:rsidP="00BD1CF2">
      <w:pPr>
        <w:pStyle w:val="Quote1"/>
        <w:ind w:left="2160" w:hanging="1423"/>
      </w:pPr>
      <w:r>
        <w:t>Mr McLure:</w:t>
      </w:r>
      <w:r>
        <w:tab/>
        <w:t xml:space="preserve">That’s right. And </w:t>
      </w:r>
      <w:r w:rsidR="00AC25C2">
        <w:t>…</w:t>
      </w:r>
    </w:p>
    <w:p w14:paraId="515A691B" w14:textId="10E15021" w:rsidR="00BD1CF2" w:rsidRDefault="00BD1CF2" w:rsidP="00BD1CF2">
      <w:pPr>
        <w:pStyle w:val="Quote1"/>
        <w:ind w:left="2160" w:hanging="1423"/>
      </w:pPr>
      <w:r>
        <w:t>H</w:t>
      </w:r>
      <w:r w:rsidR="00AC25C2">
        <w:t>is</w:t>
      </w:r>
      <w:r>
        <w:t xml:space="preserve"> H</w:t>
      </w:r>
      <w:r w:rsidR="00AC25C2">
        <w:t>onour</w:t>
      </w:r>
      <w:r>
        <w:t>:</w:t>
      </w:r>
      <w:r w:rsidR="00AC25C2">
        <w:tab/>
      </w:r>
      <w:r>
        <w:t>And I shouldn’t wait, because it may be that my reasons, or,</w:t>
      </w:r>
      <w:r w:rsidR="00AC25C2">
        <w:t xml:space="preserve"> </w:t>
      </w:r>
      <w:r>
        <w:t>indeed, my orders, don’t come until after 30 August or - - -</w:t>
      </w:r>
    </w:p>
    <w:p w14:paraId="5C6DFE00" w14:textId="222E4056" w:rsidR="00BD1CF2" w:rsidRDefault="00BD1CF2" w:rsidP="00BD1CF2">
      <w:pPr>
        <w:pStyle w:val="Quote1"/>
        <w:ind w:left="2160" w:hanging="1423"/>
      </w:pPr>
      <w:r>
        <w:t>M</w:t>
      </w:r>
      <w:r w:rsidR="00AC25C2">
        <w:t>r</w:t>
      </w:r>
      <w:r>
        <w:t xml:space="preserve"> McL</w:t>
      </w:r>
      <w:r w:rsidR="002B482A">
        <w:t>ure</w:t>
      </w:r>
      <w:r>
        <w:t>:</w:t>
      </w:r>
      <w:r w:rsidR="002B482A">
        <w:tab/>
      </w:r>
      <w:r>
        <w:t xml:space="preserve">That’s right. I think Mr Pike will correct me, but I think we both agree that that’s an order your Honour could make by consent, without having been satisfied about the underlying material. </w:t>
      </w:r>
    </w:p>
    <w:p w14:paraId="3651072A" w14:textId="744932F8" w:rsidR="00C6760C" w:rsidRDefault="00C6760C" w:rsidP="00C6760C">
      <w:pPr>
        <w:pStyle w:val="Quote1"/>
        <w:ind w:left="2160" w:hanging="1423"/>
      </w:pPr>
      <w:r>
        <w:t>His Honour:</w:t>
      </w:r>
      <w:r>
        <w:tab/>
        <w:t>It’s a case management order, really. Yes. Yes. Thank you,</w:t>
      </w:r>
      <w:r w:rsidR="0042352E">
        <w:t xml:space="preserve"> </w:t>
      </w:r>
      <w:r>
        <w:t>Mr McLure. Mr Pike.</w:t>
      </w:r>
    </w:p>
    <w:p w14:paraId="04DE8A17" w14:textId="1077735F" w:rsidR="00255E15" w:rsidRDefault="00C6760C" w:rsidP="00255E15">
      <w:pPr>
        <w:pStyle w:val="Quote1"/>
        <w:ind w:left="2160" w:hanging="1423"/>
      </w:pPr>
      <w:r>
        <w:t>M</w:t>
      </w:r>
      <w:r w:rsidR="0042352E">
        <w:t>r</w:t>
      </w:r>
      <w:r>
        <w:t xml:space="preserve"> P</w:t>
      </w:r>
      <w:r w:rsidR="0042352E">
        <w:t>ike</w:t>
      </w:r>
      <w:r>
        <w:t>:</w:t>
      </w:r>
      <w:r w:rsidR="0042352E">
        <w:tab/>
      </w:r>
      <w:r>
        <w:t>May it please the court, can I just then address, just briefly, before I</w:t>
      </w:r>
      <w:r w:rsidR="0042352E">
        <w:t xml:space="preserve"> </w:t>
      </w:r>
      <w:r>
        <w:t xml:space="preserve">come back to a few other matters, and hopefully I will be able to be brief, just the </w:t>
      </w:r>
      <w:r w:rsidR="00255E15">
        <w:t>orders that my learned friend was just addressing.</w:t>
      </w:r>
      <w:r w:rsidR="00CC066D">
        <w:t xml:space="preserve">  ..</w:t>
      </w:r>
      <w:r w:rsidR="00255E15">
        <w:t>.</w:t>
      </w:r>
    </w:p>
    <w:p w14:paraId="0389D47C" w14:textId="51BFF33B" w:rsidR="00C6760C" w:rsidRDefault="00255E15" w:rsidP="00255E15">
      <w:pPr>
        <w:pStyle w:val="Quote1"/>
        <w:ind w:left="2160"/>
      </w:pPr>
      <w:r>
        <w:t xml:space="preserve">In relation to order 5, as we understand what is contemplated by that is, </w:t>
      </w:r>
      <w:r w:rsidRPr="00FD17AD">
        <w:rPr>
          <w:b/>
          <w:bCs/>
        </w:rPr>
        <w:t>rather than the Commissioner seeking compensation in these proceedings, as was originally proposed, what will occur is that the Commissioner will consider which of the companies he wishes to have reinstated, in other words and new liquidators appointed, that will occur as part of these proceedings and then the new liquidator, once appointed, will determine issues such as whether claims should be proceeded, including against my client or otherwise</w:t>
      </w:r>
      <w:r>
        <w:t xml:space="preserve">. So your Honour won’t need – once order 5 is made, and we would say your Honour can do that now, then once orders for reinstatement, such as they are necessary, are made at a future time, that will be done with any issue of compensation in these proceedings. </w:t>
      </w:r>
    </w:p>
    <w:p w14:paraId="332302F4" w14:textId="03276D55" w:rsidR="00F24E14" w:rsidRDefault="00F24E14" w:rsidP="00F24E14">
      <w:pPr>
        <w:pStyle w:val="BodyText"/>
      </w:pPr>
      <w:r>
        <w:tab/>
        <w:t>(Emphasis added</w:t>
      </w:r>
      <w:r w:rsidR="00F47055">
        <w:t>.)</w:t>
      </w:r>
    </w:p>
    <w:p w14:paraId="4ECF4DC7" w14:textId="39127365" w:rsidR="000E5329" w:rsidRDefault="00D313AC" w:rsidP="00D313AC">
      <w:pPr>
        <w:pStyle w:val="ParaNumbering"/>
        <w:numPr>
          <w:ilvl w:val="0"/>
          <w:numId w:val="0"/>
        </w:numPr>
        <w:ind w:hanging="720"/>
      </w:pPr>
      <w:r>
        <w:rPr>
          <w:sz w:val="20"/>
        </w:rPr>
        <w:t>31</w:t>
      </w:r>
      <w:r>
        <w:rPr>
          <w:sz w:val="20"/>
        </w:rPr>
        <w:tab/>
      </w:r>
      <w:r w:rsidR="000E5329">
        <w:t xml:space="preserve">At the conclusion of the hearing Stewart J reserved judgment on the question of the relief sought in </w:t>
      </w:r>
      <w:r w:rsidR="001642CB">
        <w:t xml:space="preserve">paragraphs 1 to 4 of the </w:t>
      </w:r>
      <w:r w:rsidR="000725BE">
        <w:t>D</w:t>
      </w:r>
      <w:r w:rsidR="000E5329">
        <w:t xml:space="preserve">raft </w:t>
      </w:r>
      <w:r w:rsidR="000725BE">
        <w:t>C</w:t>
      </w:r>
      <w:r w:rsidR="000E5329">
        <w:t xml:space="preserve">onsent </w:t>
      </w:r>
      <w:r w:rsidR="00124636">
        <w:t>O</w:t>
      </w:r>
      <w:r w:rsidR="000E5329">
        <w:t>rders and stood over the proceeding to 3</w:t>
      </w:r>
      <w:r w:rsidR="000E5598">
        <w:t> </w:t>
      </w:r>
      <w:r w:rsidR="000E5329">
        <w:t xml:space="preserve">September 2019 for case management in relation to the making of orders for the reinstatement of registration of the </w:t>
      </w:r>
      <w:r w:rsidR="000E615C">
        <w:t>c</w:t>
      </w:r>
      <w:r w:rsidR="00CF3577">
        <w:t>ompanies</w:t>
      </w:r>
      <w:r w:rsidR="009B34A8">
        <w:t xml:space="preserve"> contemplated by paragraphs 5 and 6 of the Draft Consent Orders.</w:t>
      </w:r>
    </w:p>
    <w:p w14:paraId="253B3099" w14:textId="0DA62214" w:rsidR="00C34B11" w:rsidRDefault="00D04254" w:rsidP="00C34B11">
      <w:pPr>
        <w:pStyle w:val="Heading2"/>
      </w:pPr>
      <w:r>
        <w:t xml:space="preserve">Events leading up to </w:t>
      </w:r>
      <w:r w:rsidR="000E5598">
        <w:t xml:space="preserve">and </w:t>
      </w:r>
      <w:r>
        <w:t>the making of the Reinstatement Orders</w:t>
      </w:r>
    </w:p>
    <w:p w14:paraId="087316CD" w14:textId="5448D6FD" w:rsidR="00D55BEE" w:rsidRDefault="00D313AC" w:rsidP="00D313AC">
      <w:pPr>
        <w:pStyle w:val="ParaNumbering"/>
        <w:numPr>
          <w:ilvl w:val="0"/>
          <w:numId w:val="0"/>
        </w:numPr>
        <w:ind w:hanging="720"/>
      </w:pPr>
      <w:bookmarkStart w:id="29" w:name="_Ref156745870"/>
      <w:r>
        <w:rPr>
          <w:sz w:val="20"/>
        </w:rPr>
        <w:t>32</w:t>
      </w:r>
      <w:r>
        <w:rPr>
          <w:sz w:val="20"/>
        </w:rPr>
        <w:tab/>
      </w:r>
      <w:r w:rsidR="00D55BEE">
        <w:t xml:space="preserve">On 30 August 2019 </w:t>
      </w:r>
      <w:proofErr w:type="spellStart"/>
      <w:r w:rsidR="00953FF6">
        <w:t>MinterEllison</w:t>
      </w:r>
      <w:proofErr w:type="spellEnd"/>
      <w:r w:rsidR="00953FF6">
        <w:t xml:space="preserve"> sent a letter to JWS which included</w:t>
      </w:r>
      <w:r w:rsidR="002130F0">
        <w:t xml:space="preserve"> (as written)</w:t>
      </w:r>
      <w:r w:rsidR="00FB2DA8">
        <w:t>:</w:t>
      </w:r>
      <w:bookmarkEnd w:id="29"/>
    </w:p>
    <w:p w14:paraId="797A10BD" w14:textId="241925A2" w:rsidR="00FB2DA8" w:rsidRDefault="00FB2DA8" w:rsidP="00FB2DA8">
      <w:pPr>
        <w:pStyle w:val="Quote1"/>
      </w:pPr>
      <w:r>
        <w:t>As you will recall, on the last occasion his Honour noted that the listing on 3 September 2019 would be for case management in relation to the making of orders for the reinstatement of the registration of the companied listed in Schedule A of the Amended Originating Process unless the proposed orders were by consent and the parties were able to satisfy his Honour that the making of those orders was justified.</w:t>
      </w:r>
    </w:p>
    <w:p w14:paraId="03E754D8" w14:textId="579EF553" w:rsidR="00FB2DA8" w:rsidRDefault="00FB2DA8" w:rsidP="00FB2DA8">
      <w:pPr>
        <w:pStyle w:val="Quote1"/>
      </w:pPr>
      <w:r>
        <w:t>In light of his Honour</w:t>
      </w:r>
      <w:r w:rsidR="00CA1606">
        <w:t>’</w:t>
      </w:r>
      <w:r>
        <w:t xml:space="preserve">s comments, we are instructed to give notice to your client that our client intends to seek the reinstatement of RC Group and the </w:t>
      </w:r>
      <w:proofErr w:type="spellStart"/>
      <w:r>
        <w:t>Tabuso</w:t>
      </w:r>
      <w:proofErr w:type="spellEnd"/>
      <w:r>
        <w:t xml:space="preserve"> Group of </w:t>
      </w:r>
      <w:r>
        <w:lastRenderedPageBreak/>
        <w:t>Companies, and the appointment of Ms Gayle Dickerson of KPMG as liquidator of these entities upon reinstatement, in accordance with the enclosed draft short minutes of order.</w:t>
      </w:r>
    </w:p>
    <w:p w14:paraId="4D044E79" w14:textId="74200066" w:rsidR="004B4113" w:rsidRDefault="00FB2DA8" w:rsidP="00936632">
      <w:pPr>
        <w:pStyle w:val="Quote1"/>
        <w:spacing w:after="360"/>
      </w:pPr>
      <w:r>
        <w:t xml:space="preserve">Could you please confirm by 10 am on 2 September 2019 whether your client consents to these draft short minutes of order? </w:t>
      </w:r>
    </w:p>
    <w:p w14:paraId="69A82E1F" w14:textId="70E31FD3" w:rsidR="004B4113" w:rsidRDefault="00D313AC" w:rsidP="00D313AC">
      <w:pPr>
        <w:pStyle w:val="ParaNumbering"/>
        <w:numPr>
          <w:ilvl w:val="0"/>
          <w:numId w:val="0"/>
        </w:numPr>
        <w:ind w:hanging="720"/>
      </w:pPr>
      <w:r>
        <w:rPr>
          <w:sz w:val="20"/>
        </w:rPr>
        <w:t>33</w:t>
      </w:r>
      <w:r>
        <w:rPr>
          <w:sz w:val="20"/>
        </w:rPr>
        <w:tab/>
      </w:r>
      <w:r w:rsidR="004B4113">
        <w:t xml:space="preserve">The </w:t>
      </w:r>
      <w:r w:rsidR="00DE2656">
        <w:t xml:space="preserve">Commissioner’s </w:t>
      </w:r>
      <w:r w:rsidR="004B4113">
        <w:t xml:space="preserve">draft orders enclosed with </w:t>
      </w:r>
      <w:proofErr w:type="spellStart"/>
      <w:r w:rsidR="00B45C62">
        <w:t>Mi</w:t>
      </w:r>
      <w:r w:rsidR="004B4113">
        <w:t>nterEllison’s</w:t>
      </w:r>
      <w:proofErr w:type="spellEnd"/>
      <w:r w:rsidR="004B4113">
        <w:t xml:space="preserve"> letter sought </w:t>
      </w:r>
      <w:r w:rsidR="00B45C62">
        <w:t>reinstatement</w:t>
      </w:r>
      <w:r w:rsidR="004B4113">
        <w:t xml:space="preserve"> of the registration of the RC Group and the </w:t>
      </w:r>
      <w:r w:rsidR="00B45C62">
        <w:t xml:space="preserve">companies in the </w:t>
      </w:r>
      <w:proofErr w:type="spellStart"/>
      <w:r w:rsidR="004B4113">
        <w:t>Tabuso</w:t>
      </w:r>
      <w:proofErr w:type="spellEnd"/>
      <w:r w:rsidR="004B4113">
        <w:t xml:space="preserve"> </w:t>
      </w:r>
      <w:r w:rsidR="00B45C62">
        <w:t>G</w:t>
      </w:r>
      <w:r w:rsidR="004B4113">
        <w:t>roup, the appointment of Ms</w:t>
      </w:r>
      <w:r w:rsidR="008F7943">
        <w:t> </w:t>
      </w:r>
      <w:r w:rsidR="004B4113">
        <w:t>Dickerson as liquidator of the reinstated companies</w:t>
      </w:r>
      <w:r w:rsidR="00B45C62">
        <w:t xml:space="preserve">, that ASIC be provided with a copy of the orders and </w:t>
      </w:r>
      <w:r w:rsidR="00A07E4E">
        <w:t>that there be liberty t</w:t>
      </w:r>
      <w:r w:rsidR="00883C2A">
        <w:t>o</w:t>
      </w:r>
      <w:r w:rsidR="00A07E4E">
        <w:t xml:space="preserve"> apply on two days’ notice.  The proposed draft orders did not seek any order </w:t>
      </w:r>
      <w:r w:rsidR="004507D2">
        <w:t xml:space="preserve">to the effect of Order 3 of the Reinstatement Orders.  </w:t>
      </w:r>
    </w:p>
    <w:p w14:paraId="0B8B87DC" w14:textId="38F38286" w:rsidR="00003CF4" w:rsidRDefault="00D313AC" w:rsidP="00D313AC">
      <w:pPr>
        <w:pStyle w:val="ParaNumbering"/>
        <w:numPr>
          <w:ilvl w:val="0"/>
          <w:numId w:val="0"/>
        </w:numPr>
        <w:ind w:hanging="720"/>
      </w:pPr>
      <w:r>
        <w:rPr>
          <w:sz w:val="20"/>
        </w:rPr>
        <w:t>34</w:t>
      </w:r>
      <w:r>
        <w:rPr>
          <w:sz w:val="20"/>
        </w:rPr>
        <w:tab/>
      </w:r>
      <w:r w:rsidR="002851D1">
        <w:t xml:space="preserve">By email sent at 1.22 pm on </w:t>
      </w:r>
      <w:r w:rsidR="00003CF4">
        <w:t xml:space="preserve">2 September 2019 </w:t>
      </w:r>
      <w:proofErr w:type="spellStart"/>
      <w:r w:rsidR="00003CF4">
        <w:t>MinterEllison</w:t>
      </w:r>
      <w:proofErr w:type="spellEnd"/>
      <w:r w:rsidR="00003CF4">
        <w:t xml:space="preserve"> </w:t>
      </w:r>
      <w:r w:rsidR="002851D1">
        <w:t xml:space="preserve">sought an urgent response to </w:t>
      </w:r>
      <w:r w:rsidR="00C0171D">
        <w:t>its</w:t>
      </w:r>
      <w:r w:rsidR="002851D1">
        <w:t xml:space="preserve"> 30</w:t>
      </w:r>
      <w:r w:rsidR="00C0171D">
        <w:t> </w:t>
      </w:r>
      <w:r w:rsidR="002851D1">
        <w:t>August 2019 letter</w:t>
      </w:r>
      <w:r w:rsidR="0051461D">
        <w:t xml:space="preserve">.  </w:t>
      </w:r>
      <w:r w:rsidR="00462B11">
        <w:t xml:space="preserve">JWS responded later that afternoon noting that </w:t>
      </w:r>
      <w:r w:rsidR="00C0171D">
        <w:t>its</w:t>
      </w:r>
      <w:r w:rsidR="00462B11">
        <w:t xml:space="preserve"> client was prepared to consent to the Commissioner’s proposed orders</w:t>
      </w:r>
      <w:r w:rsidR="00CB7333">
        <w:t xml:space="preserve">, </w:t>
      </w:r>
      <w:r w:rsidR="00462B11">
        <w:t xml:space="preserve">that he was </w:t>
      </w:r>
      <w:r w:rsidR="00CB7333">
        <w:t>also</w:t>
      </w:r>
      <w:r w:rsidR="00462B11">
        <w:t xml:space="preserve"> prepared to consent to “the attached orders”</w:t>
      </w:r>
      <w:r w:rsidR="00CB7333">
        <w:t xml:space="preserve"> and querying whether the Commissioner was prepared to consent to orders in the form of the “attached orders”.  </w:t>
      </w:r>
      <w:r w:rsidR="00C0171D">
        <w:t xml:space="preserve">The “attached orders” </w:t>
      </w:r>
      <w:r w:rsidR="00436592">
        <w:t>amend</w:t>
      </w:r>
      <w:r w:rsidR="00C0171D">
        <w:t>ed</w:t>
      </w:r>
      <w:r w:rsidR="00436592">
        <w:t xml:space="preserve"> the form of the Commissioner’s proposed orders</w:t>
      </w:r>
      <w:r w:rsidR="00C0171D">
        <w:t xml:space="preserve"> and</w:t>
      </w:r>
      <w:r w:rsidR="00436592">
        <w:t xml:space="preserve"> introduced for the first time proposed orders in the form of Orders 3 and 4 of the Reinstatement Orders.</w:t>
      </w:r>
    </w:p>
    <w:p w14:paraId="2B8C6421" w14:textId="42FAA0D4" w:rsidR="00C9749A" w:rsidRDefault="00D313AC" w:rsidP="00D313AC">
      <w:pPr>
        <w:pStyle w:val="ParaNumbering"/>
        <w:numPr>
          <w:ilvl w:val="0"/>
          <w:numId w:val="0"/>
        </w:numPr>
        <w:ind w:hanging="720"/>
      </w:pPr>
      <w:bookmarkStart w:id="30" w:name="_Ref157089388"/>
      <w:r>
        <w:rPr>
          <w:sz w:val="20"/>
        </w:rPr>
        <w:t>35</w:t>
      </w:r>
      <w:r>
        <w:rPr>
          <w:sz w:val="20"/>
        </w:rPr>
        <w:tab/>
      </w:r>
      <w:r w:rsidR="00C9749A">
        <w:t>By email sent at 4.02 pm o</w:t>
      </w:r>
      <w:r w:rsidR="00C0171D">
        <w:t>n</w:t>
      </w:r>
      <w:r w:rsidR="00C9749A">
        <w:t xml:space="preserve"> 2 September 2019 the Commissioner agreed to the </w:t>
      </w:r>
      <w:r w:rsidR="009D31E4">
        <w:t xml:space="preserve">orders in the form proposed by Mr Iannuzzi </w:t>
      </w:r>
      <w:r w:rsidR="00FD4396">
        <w:t>referred to in the preceding paragraph</w:t>
      </w:r>
      <w:r w:rsidR="009D31E4">
        <w:t xml:space="preserve">.  In </w:t>
      </w:r>
      <w:r w:rsidR="00DF547E">
        <w:t>its</w:t>
      </w:r>
      <w:r w:rsidR="009D31E4">
        <w:t xml:space="preserve"> email </w:t>
      </w:r>
      <w:proofErr w:type="spellStart"/>
      <w:r w:rsidR="009D31E4">
        <w:t>MinterEllison</w:t>
      </w:r>
      <w:proofErr w:type="spellEnd"/>
      <w:r w:rsidR="009D31E4">
        <w:t xml:space="preserve"> noted that </w:t>
      </w:r>
      <w:r w:rsidR="00FD65CC">
        <w:t xml:space="preserve">there would be a joint appointment of Ms </w:t>
      </w:r>
      <w:r w:rsidR="00281A67">
        <w:t>Dickerson</w:t>
      </w:r>
      <w:r w:rsidR="00FD65CC">
        <w:t xml:space="preserve"> </w:t>
      </w:r>
      <w:r w:rsidR="00281A67">
        <w:t>and</w:t>
      </w:r>
      <w:r w:rsidR="00FD65CC">
        <w:t xml:space="preserve"> Mr Vaughan as </w:t>
      </w:r>
      <w:r w:rsidR="00281A67">
        <w:t>liquidators</w:t>
      </w:r>
      <w:r w:rsidR="00FD65CC">
        <w:t xml:space="preserve">, provided further amended orders reflecting </w:t>
      </w:r>
      <w:r w:rsidR="00281A67">
        <w:t>that</w:t>
      </w:r>
      <w:r w:rsidR="00FD65CC">
        <w:t xml:space="preserve"> change and </w:t>
      </w:r>
      <w:r w:rsidR="00E17968">
        <w:t>informed JWS</w:t>
      </w:r>
      <w:r w:rsidR="005E12CC">
        <w:t xml:space="preserve"> that </w:t>
      </w:r>
      <w:r w:rsidR="00127A81">
        <w:t xml:space="preserve">the Commissioner </w:t>
      </w:r>
      <w:r w:rsidR="005E12CC">
        <w:t xml:space="preserve">wished to provide the proposed orders to the </w:t>
      </w:r>
      <w:r w:rsidR="00123E87">
        <w:t>A</w:t>
      </w:r>
      <w:r w:rsidR="005E12CC">
        <w:t xml:space="preserve">ssociate to Stewart J with </w:t>
      </w:r>
      <w:r w:rsidR="00281A67">
        <w:t>submissions in the form attached.</w:t>
      </w:r>
      <w:r w:rsidR="002375F0">
        <w:t xml:space="preserve">  JW</w:t>
      </w:r>
      <w:r w:rsidR="00404CAE">
        <w:t>S</w:t>
      </w:r>
      <w:r w:rsidR="002375F0">
        <w:t xml:space="preserve"> consented to that course on </w:t>
      </w:r>
      <w:r w:rsidR="00AD3CDD">
        <w:t>Mr Iannuzzi’s</w:t>
      </w:r>
      <w:r w:rsidR="002375F0">
        <w:t xml:space="preserve"> behalf and provided a </w:t>
      </w:r>
      <w:r w:rsidR="00F9169E">
        <w:t xml:space="preserve">signed </w:t>
      </w:r>
      <w:r w:rsidR="002375F0">
        <w:t>copy of the proposed orders by return email.</w:t>
      </w:r>
      <w:bookmarkEnd w:id="30"/>
      <w:r w:rsidR="002375F0">
        <w:t xml:space="preserve">  </w:t>
      </w:r>
    </w:p>
    <w:p w14:paraId="39ECFE64" w14:textId="05F67F47" w:rsidR="004C5607" w:rsidRDefault="00D313AC" w:rsidP="00D313AC">
      <w:pPr>
        <w:pStyle w:val="ParaNumbering"/>
        <w:numPr>
          <w:ilvl w:val="0"/>
          <w:numId w:val="0"/>
        </w:numPr>
        <w:ind w:hanging="720"/>
      </w:pPr>
      <w:bookmarkStart w:id="31" w:name="_Ref156745875"/>
      <w:r>
        <w:rPr>
          <w:sz w:val="20"/>
        </w:rPr>
        <w:t>36</w:t>
      </w:r>
      <w:r>
        <w:rPr>
          <w:sz w:val="20"/>
        </w:rPr>
        <w:tab/>
      </w:r>
      <w:r w:rsidR="00EA0861">
        <w:t xml:space="preserve">Later on </w:t>
      </w:r>
      <w:r w:rsidR="00836FE2">
        <w:t>2 September 2019, p</w:t>
      </w:r>
      <w:r w:rsidR="00AD0E57">
        <w:t>rior to the making of the</w:t>
      </w:r>
      <w:r w:rsidR="005761DD">
        <w:t xml:space="preserve"> Reinstatement </w:t>
      </w:r>
      <w:r w:rsidR="00AD0E57">
        <w:t>Orders</w:t>
      </w:r>
      <w:r w:rsidR="00836FE2">
        <w:t>,</w:t>
      </w:r>
      <w:r w:rsidR="00AD0E57">
        <w:t xml:space="preserve"> </w:t>
      </w:r>
      <w:proofErr w:type="spellStart"/>
      <w:r w:rsidR="001F0A97">
        <w:t>MinterEllison</w:t>
      </w:r>
      <w:proofErr w:type="spellEnd"/>
      <w:r w:rsidR="001F0A97">
        <w:t xml:space="preserve"> </w:t>
      </w:r>
      <w:r w:rsidR="00673709">
        <w:t xml:space="preserve">sent an email to the Associate to Stewart J, copying in JWS, attaching the Commissioner’s </w:t>
      </w:r>
      <w:r w:rsidR="00337DEA">
        <w:t xml:space="preserve">three page </w:t>
      </w:r>
      <w:r w:rsidR="00673709">
        <w:t xml:space="preserve">submission </w:t>
      </w:r>
      <w:r w:rsidR="00CF4262">
        <w:t xml:space="preserve">in support of </w:t>
      </w:r>
      <w:r w:rsidR="00673709">
        <w:t>th</w:t>
      </w:r>
      <w:r w:rsidR="00DB6854">
        <w:t>e</w:t>
      </w:r>
      <w:r w:rsidR="005761DD">
        <w:t xml:space="preserve"> proposed orders</w:t>
      </w:r>
      <w:r w:rsidR="00A66BC4">
        <w:t xml:space="preserve">.  </w:t>
      </w:r>
      <w:r w:rsidR="00A25D96">
        <w:t>Those submissions</w:t>
      </w:r>
      <w:r w:rsidR="005414FD">
        <w:t xml:space="preserve"> address</w:t>
      </w:r>
      <w:r w:rsidR="00A25D96">
        <w:t>ed</w:t>
      </w:r>
      <w:r w:rsidR="005414FD">
        <w:t xml:space="preserve"> the requirements of s </w:t>
      </w:r>
      <w:r w:rsidR="002501DE">
        <w:t>601AH(2) of the Corporations Act</w:t>
      </w:r>
      <w:r w:rsidR="00BD0585">
        <w:t xml:space="preserve">, </w:t>
      </w:r>
      <w:r w:rsidR="00945D95">
        <w:t xml:space="preserve">namely the Commissioner’s standing as a “person aggrieved” and </w:t>
      </w:r>
      <w:r w:rsidR="002501DE">
        <w:t xml:space="preserve">the </w:t>
      </w:r>
      <w:r w:rsidR="00945D95">
        <w:t xml:space="preserve">factors </w:t>
      </w:r>
      <w:r w:rsidR="002501DE">
        <w:t xml:space="preserve">which the Court </w:t>
      </w:r>
      <w:r w:rsidR="002A649A">
        <w:t>may</w:t>
      </w:r>
      <w:r w:rsidR="002501DE">
        <w:t xml:space="preserve"> take into</w:t>
      </w:r>
      <w:r w:rsidR="002A649A">
        <w:t xml:space="preserve"> account in </w:t>
      </w:r>
      <w:r w:rsidR="00945D95">
        <w:t xml:space="preserve">considering whether </w:t>
      </w:r>
      <w:r w:rsidR="007606E2">
        <w:t>it</w:t>
      </w:r>
      <w:r w:rsidR="00945D95">
        <w:t xml:space="preserve"> </w:t>
      </w:r>
      <w:r w:rsidR="007606E2">
        <w:t xml:space="preserve">is just that the registration </w:t>
      </w:r>
      <w:r w:rsidR="00D40D5B">
        <w:t xml:space="preserve">of a company </w:t>
      </w:r>
      <w:r w:rsidR="007606E2">
        <w:t xml:space="preserve">be reinstated. </w:t>
      </w:r>
      <w:r w:rsidR="00673709">
        <w:t xml:space="preserve"> </w:t>
      </w:r>
      <w:r w:rsidR="00E9094D">
        <w:t>T</w:t>
      </w:r>
      <w:r w:rsidR="009715C6">
        <w:t xml:space="preserve">he submissions focussed </w:t>
      </w:r>
      <w:r w:rsidR="00CC2A67">
        <w:t xml:space="preserve">(at [5]) </w:t>
      </w:r>
      <w:r w:rsidR="009715C6">
        <w:t xml:space="preserve">on Mr Iannuzzi </w:t>
      </w:r>
      <w:r w:rsidR="004C5607">
        <w:t>stating that:</w:t>
      </w:r>
      <w:bookmarkEnd w:id="31"/>
    </w:p>
    <w:p w14:paraId="5C577116" w14:textId="49F7735E" w:rsidR="0067386C" w:rsidRDefault="0067386C" w:rsidP="0067386C">
      <w:pPr>
        <w:pStyle w:val="Quote1"/>
      </w:pPr>
      <w:r>
        <w:t xml:space="preserve">The Commissioner submits that the reinstatement of RC Group and each of the </w:t>
      </w:r>
      <w:proofErr w:type="spellStart"/>
      <w:r>
        <w:t>Tabuso</w:t>
      </w:r>
      <w:proofErr w:type="spellEnd"/>
      <w:r>
        <w:t xml:space="preserve"> Group companies is just in the following circumstances:</w:t>
      </w:r>
    </w:p>
    <w:p w14:paraId="38CDC133" w14:textId="29F83801" w:rsidR="0067386C" w:rsidRDefault="0067386C" w:rsidP="0067386C">
      <w:pPr>
        <w:pStyle w:val="Quote1"/>
        <w:ind w:left="1440" w:hanging="703"/>
      </w:pPr>
      <w:r>
        <w:lastRenderedPageBreak/>
        <w:t>(a)</w:t>
      </w:r>
      <w:r>
        <w:tab/>
        <w:t xml:space="preserve">Prior to RC Group and the </w:t>
      </w:r>
      <w:proofErr w:type="spellStart"/>
      <w:r>
        <w:t>Tabuso</w:t>
      </w:r>
      <w:proofErr w:type="spellEnd"/>
      <w:r>
        <w:t xml:space="preserve"> Group of companies being deregistered, the defendant was appointed as liquidator of each of these companies. In this regard, the Statement of admissions made by the defendant for the purposes of this proceeding and provided to the Court on 15 July 2019 (</w:t>
      </w:r>
      <w:r w:rsidRPr="00F73CF7">
        <w:rPr>
          <w:b/>
          <w:bCs/>
        </w:rPr>
        <w:t>Statement of Admissions</w:t>
      </w:r>
      <w:r>
        <w:t>), contains a number of admissions concerning the defendant’s negligence in carrying out his duties as external administrator of these companies prior to their deregistration, including, by way of example, failing to investigate in excess of $6 million in potential uncommercial transactions in relation to RC Group, including more than $1.3 million in cash transactions.</w:t>
      </w:r>
    </w:p>
    <w:p w14:paraId="08C78F3C" w14:textId="56945366" w:rsidR="0067386C" w:rsidRDefault="0067386C" w:rsidP="0067386C">
      <w:pPr>
        <w:pStyle w:val="Quote1"/>
        <w:ind w:left="1440" w:hanging="703"/>
      </w:pPr>
      <w:r>
        <w:t>(b)</w:t>
      </w:r>
      <w:r>
        <w:tab/>
        <w:t xml:space="preserve">The reinstatement of the companies identified is necessary in order for any claims for compensation against the defendant to be pursued for the benefit of the creditors of these companies. For this purpose, the draft consent orders include orders providing for Ms Gayle Dickerson of KPMG, a registered liquidator, to be appointed as the liquidator of RC Group and each of the </w:t>
      </w:r>
      <w:proofErr w:type="spellStart"/>
      <w:r>
        <w:t>Tabuso</w:t>
      </w:r>
      <w:proofErr w:type="spellEnd"/>
      <w:r>
        <w:t xml:space="preserve"> Group of companies upon reinstatement.</w:t>
      </w:r>
    </w:p>
    <w:p w14:paraId="761E3706" w14:textId="0941129A" w:rsidR="0067386C" w:rsidRDefault="0067386C" w:rsidP="0067386C">
      <w:pPr>
        <w:pStyle w:val="Quote1"/>
        <w:ind w:left="1440" w:hanging="703"/>
      </w:pPr>
      <w:r>
        <w:t>(c)</w:t>
      </w:r>
      <w:r>
        <w:tab/>
        <w:t>The defendant, as the person likely to be prejudiced by the reinstatement of the companies, has been notified of, and consents to, the orders for reinstatement of these companies.</w:t>
      </w:r>
    </w:p>
    <w:p w14:paraId="64C2FF77" w14:textId="7ED5CC20" w:rsidR="00F73CF7" w:rsidRDefault="0067386C" w:rsidP="00F73CF7">
      <w:pPr>
        <w:pStyle w:val="Quote1"/>
        <w:ind w:left="1440" w:hanging="703"/>
      </w:pPr>
      <w:r>
        <w:t>(d)</w:t>
      </w:r>
      <w:r>
        <w:tab/>
        <w:t xml:space="preserve">The public interest weighs in favour of reinstatement in circumstances where the new liquidator’s pursuit of any such claims against the defendant will not </w:t>
      </w:r>
      <w:r w:rsidR="00F73CF7">
        <w:t>only potentially assist the creditors of the companies, but also assist in generally deterring other registered liquidators from engaging in misconduct.</w:t>
      </w:r>
    </w:p>
    <w:p w14:paraId="30563894" w14:textId="092BBA70" w:rsidR="00F73CF7" w:rsidRDefault="00F73CF7" w:rsidP="003C4BBE">
      <w:pPr>
        <w:pStyle w:val="BodyText"/>
        <w:spacing w:after="300"/>
        <w:ind w:firstLine="720"/>
      </w:pPr>
      <w:r>
        <w:t>(Emphasis in original.)</w:t>
      </w:r>
    </w:p>
    <w:p w14:paraId="1E0C6CA7" w14:textId="1E494F3A" w:rsidR="004C5607" w:rsidRDefault="008874D3" w:rsidP="004C5607">
      <w:pPr>
        <w:pStyle w:val="BodyText"/>
      </w:pPr>
      <w:r>
        <w:t>Mr Iannuzzi did not file or serve any written submissions in support of the</w:t>
      </w:r>
      <w:r w:rsidR="00673709">
        <w:t xml:space="preserve"> </w:t>
      </w:r>
      <w:r w:rsidR="00F73CF7">
        <w:t>proposed</w:t>
      </w:r>
      <w:r w:rsidR="00673709">
        <w:t xml:space="preserve"> </w:t>
      </w:r>
      <w:r w:rsidR="00A84BC8">
        <w:t>orders</w:t>
      </w:r>
      <w:r w:rsidR="00673709">
        <w:t>.</w:t>
      </w:r>
      <w:r>
        <w:t xml:space="preserve"> </w:t>
      </w:r>
      <w:r w:rsidR="00673709">
        <w:t xml:space="preserve"> </w:t>
      </w:r>
    </w:p>
    <w:p w14:paraId="09423E28" w14:textId="24A14A2A" w:rsidR="00626452" w:rsidRDefault="00D313AC" w:rsidP="00D313AC">
      <w:pPr>
        <w:pStyle w:val="ParaNumbering"/>
        <w:numPr>
          <w:ilvl w:val="0"/>
          <w:numId w:val="0"/>
        </w:numPr>
        <w:ind w:hanging="720"/>
      </w:pPr>
      <w:bookmarkStart w:id="32" w:name="_Ref157087612"/>
      <w:r>
        <w:rPr>
          <w:sz w:val="20"/>
        </w:rPr>
        <w:t>37</w:t>
      </w:r>
      <w:r>
        <w:rPr>
          <w:sz w:val="20"/>
        </w:rPr>
        <w:tab/>
      </w:r>
      <w:r w:rsidR="00A84BC8">
        <w:t xml:space="preserve">On 2 September 2019 by consent between the Commissioner and Mr Iannuzzi the Court made the Reinstatement Orders.  </w:t>
      </w:r>
      <w:r w:rsidR="00100DE8">
        <w:t xml:space="preserve">On the </w:t>
      </w:r>
      <w:r w:rsidR="00A97EE1">
        <w:t xml:space="preserve">evening </w:t>
      </w:r>
      <w:r w:rsidR="00100DE8">
        <w:t>of 2 September 2019</w:t>
      </w:r>
      <w:r w:rsidR="008F5ABF">
        <w:t xml:space="preserve"> </w:t>
      </w:r>
      <w:r w:rsidR="00626452">
        <w:t>the Associate to Stewart J sent an email to the solicitors for the Commissioner and Mr Iannuzzi stating:</w:t>
      </w:r>
      <w:bookmarkEnd w:id="32"/>
    </w:p>
    <w:p w14:paraId="713600EC" w14:textId="3949185A" w:rsidR="00626452" w:rsidRDefault="00626452" w:rsidP="00001E0B">
      <w:pPr>
        <w:pStyle w:val="Quote1"/>
        <w:spacing w:after="120"/>
      </w:pPr>
      <w:r>
        <w:t xml:space="preserve">His Honour was satisfied that the Commissioner is a person aggrieved and that it is just that the Companies registration be reinstated and has accordingly made the </w:t>
      </w:r>
      <w:r w:rsidRPr="00626452">
        <w:rPr>
          <w:b/>
          <w:bCs/>
        </w:rPr>
        <w:t>attached</w:t>
      </w:r>
      <w:r>
        <w:t xml:space="preserve"> orders in Chambers this afternoon. They will be available on the Commonwealth Courts Portal shortly. The case management tomorrow has been vacated and no attendance is required.</w:t>
      </w:r>
    </w:p>
    <w:p w14:paraId="3EA8C85E" w14:textId="0C387B64" w:rsidR="0024408B" w:rsidRDefault="0024408B" w:rsidP="00851924">
      <w:pPr>
        <w:pStyle w:val="BodyText"/>
        <w:ind w:firstLine="720"/>
      </w:pPr>
      <w:r>
        <w:t>(Emphasis in original.)</w:t>
      </w:r>
    </w:p>
    <w:p w14:paraId="56BC16C7" w14:textId="73C9ED4B" w:rsidR="006A3BB0" w:rsidRDefault="00D313AC" w:rsidP="00D313AC">
      <w:pPr>
        <w:pStyle w:val="ParaNumbering"/>
        <w:numPr>
          <w:ilvl w:val="0"/>
          <w:numId w:val="0"/>
        </w:numPr>
        <w:ind w:hanging="720"/>
      </w:pPr>
      <w:r>
        <w:rPr>
          <w:sz w:val="20"/>
        </w:rPr>
        <w:t>38</w:t>
      </w:r>
      <w:r>
        <w:rPr>
          <w:sz w:val="20"/>
        </w:rPr>
        <w:tab/>
      </w:r>
      <w:r w:rsidR="006A3BB0">
        <w:t xml:space="preserve">Pursuant to the Reinstatement Orders, ASIC reinstated the registration of </w:t>
      </w:r>
      <w:r w:rsidR="00E01B6C">
        <w:t xml:space="preserve">the </w:t>
      </w:r>
      <w:r w:rsidR="006A3BB0" w:rsidRPr="006C16AE">
        <w:t>RC Grou</w:t>
      </w:r>
      <w:r w:rsidR="006A3BB0">
        <w:t xml:space="preserve">p and each of the companies in the </w:t>
      </w:r>
      <w:proofErr w:type="spellStart"/>
      <w:r w:rsidR="006A3BB0" w:rsidRPr="00B673E8">
        <w:t>Tabuso</w:t>
      </w:r>
      <w:proofErr w:type="spellEnd"/>
      <w:r w:rsidR="006A3BB0" w:rsidRPr="00B673E8">
        <w:t xml:space="preserve"> Group</w:t>
      </w:r>
      <w:r w:rsidR="006A3BB0" w:rsidRPr="005D2467">
        <w:rPr>
          <w:b/>
          <w:bCs/>
        </w:rPr>
        <w:t xml:space="preserve"> </w:t>
      </w:r>
      <w:r w:rsidR="006A3BB0">
        <w:t xml:space="preserve">and </w:t>
      </w:r>
      <w:r w:rsidR="00A810A2">
        <w:t>Ms </w:t>
      </w:r>
      <w:r w:rsidR="006A3BB0">
        <w:t xml:space="preserve">Dickerson and </w:t>
      </w:r>
      <w:r w:rsidR="00A810A2">
        <w:t>Mr</w:t>
      </w:r>
      <w:r w:rsidR="008F5ABF">
        <w:t> </w:t>
      </w:r>
      <w:r w:rsidR="006A3BB0">
        <w:t>Vaughan were appointed as</w:t>
      </w:r>
      <w:r w:rsidR="007071E9">
        <w:t xml:space="preserve"> the </w:t>
      </w:r>
      <w:r w:rsidR="006A3BB0">
        <w:t>joint and several liquidators of each of those companies.</w:t>
      </w:r>
      <w:r w:rsidR="00DA63D7">
        <w:t xml:space="preserve"> </w:t>
      </w:r>
    </w:p>
    <w:p w14:paraId="31033B03" w14:textId="0A7C8E11" w:rsidR="008B32AC" w:rsidRDefault="008B32AC" w:rsidP="008B32AC">
      <w:pPr>
        <w:pStyle w:val="Heading2"/>
      </w:pPr>
      <w:r>
        <w:t xml:space="preserve">Final orders and reasons for judgment </w:t>
      </w:r>
    </w:p>
    <w:p w14:paraId="72B4BC67" w14:textId="7E67EBB1" w:rsidR="00752B50" w:rsidRDefault="00D313AC" w:rsidP="00D313AC">
      <w:pPr>
        <w:pStyle w:val="ParaNumbering"/>
        <w:numPr>
          <w:ilvl w:val="0"/>
          <w:numId w:val="0"/>
        </w:numPr>
        <w:ind w:hanging="720"/>
      </w:pPr>
      <w:r>
        <w:rPr>
          <w:sz w:val="20"/>
        </w:rPr>
        <w:t>39</w:t>
      </w:r>
      <w:r>
        <w:rPr>
          <w:sz w:val="20"/>
        </w:rPr>
        <w:tab/>
      </w:r>
      <w:r w:rsidR="00764784">
        <w:t xml:space="preserve">On 7 November 2019 </w:t>
      </w:r>
      <w:r w:rsidR="00C72C0D">
        <w:t>the Court</w:t>
      </w:r>
      <w:r w:rsidR="00764784">
        <w:t xml:space="preserve"> </w:t>
      </w:r>
      <w:r w:rsidR="00F2789D">
        <w:t xml:space="preserve">made </w:t>
      </w:r>
      <w:r w:rsidR="00EB70EC">
        <w:t xml:space="preserve">the following </w:t>
      </w:r>
      <w:r w:rsidR="00F2789D">
        <w:t>orders by consent</w:t>
      </w:r>
      <w:r w:rsidR="005414FD">
        <w:t>:</w:t>
      </w:r>
    </w:p>
    <w:p w14:paraId="52784677" w14:textId="28F29C6E" w:rsidR="00752B50" w:rsidRDefault="00D313AC" w:rsidP="00D313AC">
      <w:pPr>
        <w:pStyle w:val="ListNo1"/>
        <w:numPr>
          <w:ilvl w:val="0"/>
          <w:numId w:val="0"/>
        </w:numPr>
        <w:tabs>
          <w:tab w:val="left" w:pos="720"/>
        </w:tabs>
        <w:ind w:left="720" w:hanging="720"/>
      </w:pPr>
      <w:r>
        <w:lastRenderedPageBreak/>
        <w:t>(1)</w:t>
      </w:r>
      <w:r>
        <w:tab/>
      </w:r>
      <w:r w:rsidR="00752B50">
        <w:t xml:space="preserve">Mr Iannuzzi’s name be removed from the register of liquidators maintained pursuant to the Corporations Act; </w:t>
      </w:r>
    </w:p>
    <w:p w14:paraId="33814D85" w14:textId="151D87E2" w:rsidR="00752B50" w:rsidRDefault="00D313AC" w:rsidP="00D313AC">
      <w:pPr>
        <w:pStyle w:val="ListNo1"/>
        <w:numPr>
          <w:ilvl w:val="0"/>
          <w:numId w:val="0"/>
        </w:numPr>
        <w:tabs>
          <w:tab w:val="left" w:pos="720"/>
        </w:tabs>
        <w:ind w:left="720" w:hanging="720"/>
      </w:pPr>
      <w:r>
        <w:t>(2)</w:t>
      </w:r>
      <w:r>
        <w:tab/>
      </w:r>
      <w:r w:rsidR="00752B50">
        <w:t xml:space="preserve">Mr Iannuzzi be restrained for a period of </w:t>
      </w:r>
      <w:r w:rsidR="00E548B1">
        <w:t>10</w:t>
      </w:r>
      <w:r w:rsidR="00752B50">
        <w:t xml:space="preserve"> years from applying to be a registered liquidator under the Corporations Act; </w:t>
      </w:r>
    </w:p>
    <w:p w14:paraId="6678F5F2" w14:textId="1F86E575" w:rsidR="00D8440B" w:rsidRDefault="00D313AC" w:rsidP="00D313AC">
      <w:pPr>
        <w:pStyle w:val="ListNo1"/>
        <w:numPr>
          <w:ilvl w:val="0"/>
          <w:numId w:val="0"/>
        </w:numPr>
        <w:tabs>
          <w:tab w:val="left" w:pos="720"/>
        </w:tabs>
        <w:ind w:left="720" w:hanging="720"/>
      </w:pPr>
      <w:r>
        <w:t>(3)</w:t>
      </w:r>
      <w:r>
        <w:tab/>
      </w:r>
      <w:r w:rsidR="00752B50">
        <w:t>Mr Iannuzzi</w:t>
      </w:r>
      <w:r w:rsidR="00D8440B">
        <w:t xml:space="preserve"> be restrained for a period of </w:t>
      </w:r>
      <w:r w:rsidR="00E548B1">
        <w:t>10</w:t>
      </w:r>
      <w:r w:rsidR="00D8440B">
        <w:t xml:space="preserve"> years from applying to be registered as a trustee in bankruptcy and from accepting appointment as liquidator, provisional liquidator, voluntary administrator, administrator of a deed of company arrangement, or as a receiver or other controller of property of any corporation, as that term is defined in s 57A of the Corporations Act</w:t>
      </w:r>
      <w:r w:rsidR="001A745A">
        <w:t xml:space="preserve">; and </w:t>
      </w:r>
    </w:p>
    <w:p w14:paraId="7090E631" w14:textId="097D1B24" w:rsidR="001A745A" w:rsidRDefault="00D313AC" w:rsidP="00D313AC">
      <w:pPr>
        <w:pStyle w:val="ListNo1"/>
        <w:numPr>
          <w:ilvl w:val="0"/>
          <w:numId w:val="0"/>
        </w:numPr>
        <w:tabs>
          <w:tab w:val="left" w:pos="720"/>
        </w:tabs>
        <w:ind w:left="720" w:hanging="720"/>
      </w:pPr>
      <w:r>
        <w:t>(4)</w:t>
      </w:r>
      <w:r>
        <w:tab/>
      </w:r>
      <w:r w:rsidR="001A745A">
        <w:t xml:space="preserve">Mr Iannuzzi pay the Commissioner’s costs of the proceeding as agreed or assessed. </w:t>
      </w:r>
    </w:p>
    <w:p w14:paraId="3384E548" w14:textId="77777777" w:rsidR="001A745A" w:rsidRDefault="00F2789D" w:rsidP="001A745A">
      <w:pPr>
        <w:pStyle w:val="BodyText"/>
      </w:pPr>
      <w:r>
        <w:t>S</w:t>
      </w:r>
      <w:r w:rsidR="00445BC7">
        <w:t xml:space="preserve">ee </w:t>
      </w:r>
      <w:r w:rsidR="00472525" w:rsidRPr="00851924">
        <w:rPr>
          <w:i/>
          <w:iCs/>
        </w:rPr>
        <w:t xml:space="preserve">Commissioner of Taxation v </w:t>
      </w:r>
      <w:r w:rsidR="00472525" w:rsidRPr="00851924">
        <w:rPr>
          <w:b/>
          <w:bCs/>
          <w:i/>
          <w:iCs/>
        </w:rPr>
        <w:t>Iannuzzi (No 2</w:t>
      </w:r>
      <w:r w:rsidR="00472525" w:rsidRPr="00851924">
        <w:rPr>
          <w:i/>
          <w:iCs/>
        </w:rPr>
        <w:t>)</w:t>
      </w:r>
      <w:r w:rsidR="00472525" w:rsidRPr="00472525">
        <w:t xml:space="preserve"> [2019] FCA 1818</w:t>
      </w:r>
      <w:r w:rsidR="00472525">
        <w:t>.</w:t>
      </w:r>
    </w:p>
    <w:p w14:paraId="3777BF74" w14:textId="7B8A737A" w:rsidR="00050726" w:rsidRDefault="00D313AC" w:rsidP="00D313AC">
      <w:pPr>
        <w:pStyle w:val="ParaNumbering"/>
        <w:numPr>
          <w:ilvl w:val="0"/>
          <w:numId w:val="0"/>
        </w:numPr>
        <w:ind w:hanging="720"/>
      </w:pPr>
      <w:r>
        <w:rPr>
          <w:sz w:val="20"/>
        </w:rPr>
        <w:t>40</w:t>
      </w:r>
      <w:r>
        <w:rPr>
          <w:sz w:val="20"/>
        </w:rPr>
        <w:tab/>
      </w:r>
      <w:r w:rsidR="00050726">
        <w:t xml:space="preserve">In </w:t>
      </w:r>
      <w:r w:rsidR="00050726">
        <w:rPr>
          <w:i/>
          <w:iCs/>
        </w:rPr>
        <w:t>Iannu</w:t>
      </w:r>
      <w:r w:rsidR="002B51F3">
        <w:rPr>
          <w:i/>
          <w:iCs/>
        </w:rPr>
        <w:t xml:space="preserve">zzi (No 2) </w:t>
      </w:r>
      <w:r w:rsidR="005E37FE">
        <w:t>Stewart</w:t>
      </w:r>
      <w:r w:rsidR="002B51F3">
        <w:t xml:space="preserve"> J made findings about Mr Iannuzzi’s </w:t>
      </w:r>
      <w:r w:rsidR="005E37FE">
        <w:t xml:space="preserve">conduct.  </w:t>
      </w:r>
      <w:r w:rsidR="00890086">
        <w:t xml:space="preserve">By way of example in relation </w:t>
      </w:r>
      <w:r w:rsidR="00010383">
        <w:t>to</w:t>
      </w:r>
      <w:r w:rsidR="00890086">
        <w:t xml:space="preserve"> RC Group </w:t>
      </w:r>
      <w:r w:rsidR="00010383">
        <w:t xml:space="preserve">and </w:t>
      </w:r>
      <w:r w:rsidR="00D91E5E">
        <w:t>Mr Iannuzzi’s final report to creditors at [7</w:t>
      </w:r>
      <w:r w:rsidR="0032529C">
        <w:t>5</w:t>
      </w:r>
      <w:r w:rsidR="00D91E5E">
        <w:t xml:space="preserve">]-[78] his Honour </w:t>
      </w:r>
      <w:r w:rsidR="0011140B">
        <w:t>said</w:t>
      </w:r>
      <w:r w:rsidR="00D91E5E">
        <w:t>:</w:t>
      </w:r>
    </w:p>
    <w:p w14:paraId="19F02E52" w14:textId="76E18735" w:rsidR="00D91E5E" w:rsidRDefault="00EE3F3C" w:rsidP="00EE3F3C">
      <w:pPr>
        <w:pStyle w:val="Quote1"/>
        <w:ind w:left="1440" w:hanging="703"/>
      </w:pPr>
      <w:r>
        <w:t>75</w:t>
      </w:r>
      <w:r>
        <w:tab/>
        <w:t xml:space="preserve">Mr Iannuzzi failed to report to creditors in relation to the names of the nine companies that had been placed into liquidation in the last seven years of which the director had also been a director. He also failed to report to creditors on any investigations and findings in relation to why all business activity statements for RC Group had been lodged at the same time and to set out what investigations he had made into the $100,000 proof of debt filed by George Khalil to ensure the claim was legitimate. </w:t>
      </w:r>
    </w:p>
    <w:p w14:paraId="61105699" w14:textId="27860CC8" w:rsidR="009D1A5D" w:rsidRDefault="009D1A5D" w:rsidP="009D1A5D">
      <w:pPr>
        <w:pStyle w:val="Quote1"/>
        <w:ind w:left="1440" w:hanging="703"/>
      </w:pPr>
      <w:r>
        <w:t>76</w:t>
      </w:r>
      <w:r>
        <w:tab/>
        <w:t>On 28 August 2015, the Deputy Commissioner of Taxation sent a letter to Mr Iannuzzi raising some of the above failures in the report. On 10 September 2015, Mr Iannuzzi sent a letter in response advising that, amongst other things, the CBA had failed to advise of the bank accounts held by RC Group, despite the earlier correspondence from CBA confirming the existence of two accounts (see above at [67]).</w:t>
      </w:r>
    </w:p>
    <w:p w14:paraId="4B854F38" w14:textId="2DC2DC31" w:rsidR="009D1A5D" w:rsidRDefault="009D1A5D" w:rsidP="009D1A5D">
      <w:pPr>
        <w:pStyle w:val="Quote1"/>
        <w:ind w:left="1440" w:hanging="703"/>
      </w:pPr>
      <w:r>
        <w:t>77</w:t>
      </w:r>
      <w:r>
        <w:tab/>
        <w:t xml:space="preserve">Although not admitted by Mr Iannuzzi, I find this to be a breach by him of his duties of diligence and candour. A liquidator acting with the requisite diligence and candour would have taken the necessary care to ensure that the correspondence to the Deputy Commissioner was accurate and would have advised of the bank accounts that he had been advised of by the CBA. </w:t>
      </w:r>
    </w:p>
    <w:p w14:paraId="4B07A7BF" w14:textId="5CA52B59" w:rsidR="009D1A5D" w:rsidRDefault="006306C3" w:rsidP="00344D72">
      <w:pPr>
        <w:pStyle w:val="Quote1"/>
        <w:spacing w:after="360"/>
        <w:ind w:left="1440" w:hanging="703"/>
      </w:pPr>
      <w:r>
        <w:t>78</w:t>
      </w:r>
      <w:r>
        <w:tab/>
        <w:t xml:space="preserve">Further, a candid liquidator presented with the information by the Deputy Commissioner would have made enquiries of his staff and CBA to investigate the matters raised and would have reported on these investigations to the Deputy Commissioner who was a major creditor. </w:t>
      </w:r>
    </w:p>
    <w:p w14:paraId="6C894CA5" w14:textId="3E3B1466" w:rsidR="00F77A7E" w:rsidRDefault="00D313AC" w:rsidP="00D313AC">
      <w:pPr>
        <w:pStyle w:val="ParaNumbering"/>
        <w:numPr>
          <w:ilvl w:val="0"/>
          <w:numId w:val="0"/>
        </w:numPr>
        <w:ind w:hanging="720"/>
      </w:pPr>
      <w:r>
        <w:rPr>
          <w:sz w:val="20"/>
        </w:rPr>
        <w:t>41</w:t>
      </w:r>
      <w:r>
        <w:rPr>
          <w:sz w:val="20"/>
        </w:rPr>
        <w:tab/>
      </w:r>
      <w:r w:rsidR="008146C4">
        <w:t xml:space="preserve">In relation to </w:t>
      </w:r>
      <w:r w:rsidR="00F77A7E">
        <w:t>Mr Iannuzzi</w:t>
      </w:r>
      <w:r w:rsidR="00CA4431">
        <w:t>’s conduct of the external adm</w:t>
      </w:r>
      <w:r w:rsidR="00BF4071">
        <w:t>inis</w:t>
      </w:r>
      <w:r w:rsidR="00CA4431">
        <w:t xml:space="preserve">tration of </w:t>
      </w:r>
      <w:r w:rsidR="00F77A7E">
        <w:t>companies in the</w:t>
      </w:r>
      <w:r w:rsidR="008146C4">
        <w:t xml:space="preserve"> </w:t>
      </w:r>
      <w:proofErr w:type="spellStart"/>
      <w:r w:rsidR="008146C4">
        <w:t>Tabuso</w:t>
      </w:r>
      <w:proofErr w:type="spellEnd"/>
      <w:r w:rsidR="00F01C15">
        <w:t> </w:t>
      </w:r>
      <w:r w:rsidR="008146C4">
        <w:t>Group at [125]</w:t>
      </w:r>
      <w:r w:rsidR="00F77A7E">
        <w:t xml:space="preserve"> his Honour</w:t>
      </w:r>
      <w:r w:rsidR="00BF4071">
        <w:t xml:space="preserve"> concluded </w:t>
      </w:r>
      <w:r w:rsidR="0047179F">
        <w:t>that</w:t>
      </w:r>
      <w:r w:rsidR="00F77A7E">
        <w:t>:</w:t>
      </w:r>
    </w:p>
    <w:p w14:paraId="178F8320" w14:textId="6D37E467" w:rsidR="008146C4" w:rsidRDefault="00CA4431" w:rsidP="00A11405">
      <w:pPr>
        <w:pStyle w:val="Quote1"/>
        <w:spacing w:after="360"/>
      </w:pPr>
      <w:r>
        <w:t xml:space="preserve">Mr Iannuzzi admits that the matters in paragraphs [104]-[124] above reasonably </w:t>
      </w:r>
      <w:r>
        <w:lastRenderedPageBreak/>
        <w:t xml:space="preserve">suggest that he has failed to exercise reasonable care and diligence in the exercise of his powers and the discharge of his duties as external administrator of each of the companies in the </w:t>
      </w:r>
      <w:proofErr w:type="spellStart"/>
      <w:r>
        <w:t>Tabuso</w:t>
      </w:r>
      <w:proofErr w:type="spellEnd"/>
      <w:r>
        <w:t xml:space="preserve"> Group. Once again, in my judgement Mr Iannuzzi’s conduct in relation to these companies fell very substantially below the level that the law expects of a liquidator.  </w:t>
      </w:r>
    </w:p>
    <w:p w14:paraId="01EC13DF" w14:textId="74DC306F" w:rsidR="00C72C0D" w:rsidRDefault="00D313AC" w:rsidP="00D313AC">
      <w:pPr>
        <w:pStyle w:val="ParaNumbering"/>
        <w:numPr>
          <w:ilvl w:val="0"/>
          <w:numId w:val="0"/>
        </w:numPr>
        <w:ind w:hanging="720"/>
      </w:pPr>
      <w:r>
        <w:rPr>
          <w:sz w:val="20"/>
        </w:rPr>
        <w:t>42</w:t>
      </w:r>
      <w:r>
        <w:rPr>
          <w:sz w:val="20"/>
        </w:rPr>
        <w:tab/>
      </w:r>
      <w:r w:rsidR="0047179F">
        <w:t>A</w:t>
      </w:r>
      <w:r w:rsidR="00EA1C19">
        <w:t xml:space="preserve">t [188]-[196] </w:t>
      </w:r>
      <w:r w:rsidR="0047179F">
        <w:t xml:space="preserve">of </w:t>
      </w:r>
      <w:r w:rsidR="0047179F">
        <w:rPr>
          <w:i/>
          <w:iCs/>
        </w:rPr>
        <w:t xml:space="preserve">Iannuzzi (No 2) </w:t>
      </w:r>
      <w:r w:rsidR="00DF0023">
        <w:t xml:space="preserve">under the </w:t>
      </w:r>
      <w:r w:rsidR="00EA1C19">
        <w:t>heading</w:t>
      </w:r>
      <w:r w:rsidR="00DF0023">
        <w:t xml:space="preserve"> “Mr Iannuzzi’s insight with regard to his conduct”</w:t>
      </w:r>
      <w:r w:rsidR="00EA1C19">
        <w:t xml:space="preserve"> Stewart J set out, in effect, a history of the proceeding</w:t>
      </w:r>
      <w:r w:rsidR="00770E69">
        <w:t>,</w:t>
      </w:r>
      <w:r w:rsidR="005D4874">
        <w:t xml:space="preserve"> albeit through the prism of Mr Iannuzzi</w:t>
      </w:r>
      <w:r w:rsidR="000E7B50">
        <w:t>’s conduct of his defence</w:t>
      </w:r>
      <w:r w:rsidR="00770E69">
        <w:t>, as follows</w:t>
      </w:r>
      <w:r w:rsidR="00EA1C19">
        <w:t>:</w:t>
      </w:r>
    </w:p>
    <w:p w14:paraId="0BECE976" w14:textId="6EF498C0" w:rsidR="006F25E1" w:rsidRDefault="006F25E1" w:rsidP="006F25E1">
      <w:pPr>
        <w:pStyle w:val="Quote1"/>
        <w:ind w:left="1440" w:hanging="703"/>
      </w:pPr>
      <w:r>
        <w:t>188</w:t>
      </w:r>
      <w:r>
        <w:tab/>
        <w:t>As indicated, this proceeding was commenced in August 2017. Annexed to the originating process was a schedule in the nature of a pleading setting out more than 90 pages of detailed factual averments on the basis of which it was said that the relief sought was justified. That schedule was subsequently amended, in May 2019, but for the most part the amendments merely added references to documents underpinning the averments and made very few substantive changes.</w:t>
      </w:r>
    </w:p>
    <w:p w14:paraId="3FAECC1E" w14:textId="44304A39" w:rsidR="006F25E1" w:rsidRDefault="006F25E1" w:rsidP="006F25E1">
      <w:pPr>
        <w:pStyle w:val="Quote1"/>
        <w:ind w:left="1440" w:hanging="703"/>
      </w:pPr>
      <w:r>
        <w:t>189</w:t>
      </w:r>
      <w:r>
        <w:tab/>
        <w:t>The Commissioner also served affidavits and 10 volumes of documents that had been produced under subpoenas to third parties. However, the attitude taken by Mr Iannuzzi right up to the week of the final hearing, which is to say over a period of nearly two years, was to deny what was put against him and to raise obstacles to the Commissioner’s case.</w:t>
      </w:r>
    </w:p>
    <w:p w14:paraId="29426134" w14:textId="0359F0E9" w:rsidR="006F25E1" w:rsidRDefault="006F25E1" w:rsidP="006F25E1">
      <w:pPr>
        <w:pStyle w:val="Quote1"/>
        <w:ind w:left="1440" w:hanging="703"/>
      </w:pPr>
      <w:r>
        <w:t>190</w:t>
      </w:r>
      <w:r>
        <w:tab/>
        <w:t>Mr Iannuzzi served a defence, in December 2017, in which certain averments that were subsequently admitted were denied, and which resisted even an inquiry into his conduct, never mind conclusions with regard to that conduct that might justify sanctions.</w:t>
      </w:r>
    </w:p>
    <w:p w14:paraId="68EBB168" w14:textId="2229C942" w:rsidR="006F25E1" w:rsidRDefault="006F25E1" w:rsidP="006F25E1">
      <w:pPr>
        <w:pStyle w:val="Quote1"/>
        <w:ind w:left="1440" w:hanging="703"/>
      </w:pPr>
      <w:r>
        <w:t>191</w:t>
      </w:r>
      <w:r>
        <w:tab/>
        <w:t>Mr Iannuzzi served an affidavit, in March 2018, in which he either denied averments which he has subsequently admitted, or he sought to place an exculpatory gloss on averments in respect of which he now accepts that findings critical of his conduct should be made.</w:t>
      </w:r>
    </w:p>
    <w:p w14:paraId="7235DFA8" w14:textId="720E497A" w:rsidR="006F25E1" w:rsidRDefault="006F25E1" w:rsidP="006F25E1">
      <w:pPr>
        <w:pStyle w:val="Quote1"/>
        <w:ind w:left="1440" w:hanging="703"/>
      </w:pPr>
      <w:r>
        <w:t>192</w:t>
      </w:r>
      <w:r>
        <w:tab/>
        <w:t>Mr Iannuzzi also objected to the admissibility of most of the documents sought to be relied on by the Commissioner, which objection was rejected by Perram J. As indicated, Mr Iannuzzi then sought leave to appeal against that decision but that application was dismissed. Even thereafter, albeit on marginally different terms, Mr Iannuzzi continued to press the objection to the Commissioner’s evidence. Whereas the original objection that was rejected by Perram J was that the documents were not admissible at the stage of deciding whether there should be an inquiry, it was now contended that the documents were not admissible at the stage of determining whether any disciplinary orders should be made against Mr Iannuzzi.</w:t>
      </w:r>
    </w:p>
    <w:p w14:paraId="41AD4127" w14:textId="6339FEC5" w:rsidR="006F25E1" w:rsidRDefault="006F25E1" w:rsidP="006F25E1">
      <w:pPr>
        <w:pStyle w:val="Quote1"/>
        <w:ind w:left="1440" w:hanging="703"/>
      </w:pPr>
      <w:r>
        <w:t>193</w:t>
      </w:r>
      <w:r>
        <w:tab/>
        <w:t>The hearing of the evidence objection was listed for 15 July 2019, two days before the hearing on the inquiry. Both sides of the case filed submissions, and I prepared for the hearing. Then, on the morning of the hearing on the objection, I was advised through my Associate that Mr Iannuzzi withdrew his objection but that the matter should still be called. When it was called, I was advised that Mr Iannuzzi was prepared to make the admissions contained in the so-called statement of agreed facts and that orders would likely be sought by consent.</w:t>
      </w:r>
    </w:p>
    <w:p w14:paraId="640FBDF2" w14:textId="196B1CD0" w:rsidR="00FF38A8" w:rsidRDefault="00FF38A8" w:rsidP="00FF38A8">
      <w:pPr>
        <w:pStyle w:val="Quote1"/>
        <w:ind w:left="1440" w:hanging="703"/>
      </w:pPr>
      <w:r>
        <w:lastRenderedPageBreak/>
        <w:t>194</w:t>
      </w:r>
      <w:r>
        <w:tab/>
        <w:t>It was an admitted fact in the proceeding that as recently as 23 May 2019, that is to say only about seven weeks before the hearing, Mr Iannuzzi in a counselling session with a psychologist expressed some disbelief, frustration and significant feelings of injustice surrounding the matter. He said that he perceived he had been unfairly targeted by the Commissioner. Thus, at that late stage Mr Iannuzzi lacked an appreciation of the delinquency of his conduct.</w:t>
      </w:r>
    </w:p>
    <w:p w14:paraId="7CD004B3" w14:textId="6B02831C" w:rsidR="00FF38A8" w:rsidRDefault="00FF38A8" w:rsidP="00FF38A8">
      <w:pPr>
        <w:pStyle w:val="Quote1"/>
        <w:ind w:left="1440" w:hanging="703"/>
      </w:pPr>
      <w:r>
        <w:t>195</w:t>
      </w:r>
      <w:r>
        <w:tab/>
        <w:t>Notwithstanding that history of dogged opposition and resistance, at what might quite appropriately and without exaggeration be described as the eleventh hour, Mr Iannuzzi accepted much of the wrongdoing alleged against him. Senior counsel on his behalf candidly and rightly accepted that his new-found insight, coming when it did, was “belated” and that that counts against him and points in favour of a strong sanction. In that regard, Mr Iannuzzi was prepared to consent to very serious, “life-changing” consequences. Senior counsel accepted, without prompting, that Mr Iannuzzi’s conduct constituted “a very significant departure” from the standard expected of him.</w:t>
      </w:r>
    </w:p>
    <w:p w14:paraId="236778AE" w14:textId="1AA4378E" w:rsidR="00EA1C19" w:rsidRDefault="00FF38A8" w:rsidP="00FF38A8">
      <w:pPr>
        <w:pStyle w:val="Quote1"/>
        <w:ind w:left="1440" w:hanging="703"/>
      </w:pPr>
      <w:r>
        <w:t>196</w:t>
      </w:r>
      <w:r>
        <w:tab/>
        <w:t xml:space="preserve">It goes without saying that Mr Iannuzzi’s conduct in defending the matter until very near the end has taken up a considerable amount of time and effort of the Court which is to the detriment of other litigants, and it has put the Commissioner to considerable effort and costs not all of which will be made good by the party/party costs order to which he has consented. These matters all count against him in so far as an appropriate penalty is concerned. </w:t>
      </w:r>
    </w:p>
    <w:p w14:paraId="14F0E7FB" w14:textId="145796E8" w:rsidR="003F0C70" w:rsidRDefault="00D36CC1" w:rsidP="006C50CA">
      <w:pPr>
        <w:pStyle w:val="Heading2"/>
      </w:pPr>
      <w:r>
        <w:t xml:space="preserve">Supreme Court Proceedings </w:t>
      </w:r>
    </w:p>
    <w:p w14:paraId="6DED0A3B" w14:textId="29863B89" w:rsidR="00474DF9" w:rsidRDefault="001A06F2" w:rsidP="006C50CA">
      <w:pPr>
        <w:pStyle w:val="Heading3"/>
      </w:pPr>
      <w:r>
        <w:t>Voidable transaction proceedings</w:t>
      </w:r>
    </w:p>
    <w:p w14:paraId="0BB3D1F3" w14:textId="109D1285" w:rsidR="00CF4807" w:rsidRDefault="00D313AC" w:rsidP="00D313AC">
      <w:pPr>
        <w:pStyle w:val="ParaNumbering"/>
        <w:numPr>
          <w:ilvl w:val="0"/>
          <w:numId w:val="0"/>
        </w:numPr>
        <w:ind w:hanging="720"/>
      </w:pPr>
      <w:r>
        <w:rPr>
          <w:sz w:val="20"/>
        </w:rPr>
        <w:t>43</w:t>
      </w:r>
      <w:r>
        <w:rPr>
          <w:sz w:val="20"/>
        </w:rPr>
        <w:tab/>
      </w:r>
      <w:r w:rsidR="008E1102">
        <w:t xml:space="preserve">On 23 April 2021 </w:t>
      </w:r>
      <w:r w:rsidR="00FE1F3E">
        <w:t xml:space="preserve">RC Group </w:t>
      </w:r>
      <w:r w:rsidR="001D6491">
        <w:t xml:space="preserve">and the Liquidators </w:t>
      </w:r>
      <w:r w:rsidR="004E4F0D">
        <w:t xml:space="preserve">in their capacity as liquidators of RC Group </w:t>
      </w:r>
      <w:r w:rsidR="001D6491">
        <w:t>commenced proceeding</w:t>
      </w:r>
      <w:r w:rsidR="009507FD">
        <w:t xml:space="preserve"> number 2021/115083 </w:t>
      </w:r>
      <w:r w:rsidR="001D6491">
        <w:t xml:space="preserve">in the </w:t>
      </w:r>
      <w:r w:rsidR="001D6491" w:rsidRPr="0078492B">
        <w:t>Supreme</w:t>
      </w:r>
      <w:r w:rsidR="009D304D" w:rsidRPr="0078492B">
        <w:t> </w:t>
      </w:r>
      <w:r w:rsidR="001D6491" w:rsidRPr="0078492B">
        <w:t>Court</w:t>
      </w:r>
      <w:r w:rsidR="001D6491">
        <w:t xml:space="preserve"> </w:t>
      </w:r>
      <w:r w:rsidR="00474DF9">
        <w:t>(</w:t>
      </w:r>
      <w:r w:rsidR="00474DF9">
        <w:rPr>
          <w:b/>
          <w:bCs/>
        </w:rPr>
        <w:t xml:space="preserve">RC Group </w:t>
      </w:r>
      <w:proofErr w:type="spellStart"/>
      <w:r w:rsidR="00474DF9">
        <w:rPr>
          <w:b/>
          <w:bCs/>
        </w:rPr>
        <w:t>Voidables</w:t>
      </w:r>
      <w:proofErr w:type="spellEnd"/>
      <w:r w:rsidR="00474DF9">
        <w:rPr>
          <w:b/>
          <w:bCs/>
        </w:rPr>
        <w:t xml:space="preserve"> Proceeding</w:t>
      </w:r>
      <w:r w:rsidR="00474DF9" w:rsidRPr="006C50CA">
        <w:t>)</w:t>
      </w:r>
      <w:r w:rsidR="00474DF9">
        <w:rPr>
          <w:b/>
          <w:bCs/>
        </w:rPr>
        <w:t xml:space="preserve"> </w:t>
      </w:r>
      <w:r w:rsidR="00AB3C16">
        <w:t>against a number of defendants including, among others</w:t>
      </w:r>
      <w:r w:rsidR="00CF4807">
        <w:t>:</w:t>
      </w:r>
      <w:r w:rsidR="0098481E" w:rsidRPr="0098481E">
        <w:rPr>
          <w:rStyle w:val="FootnoteReference"/>
        </w:rPr>
        <w:t xml:space="preserve"> </w:t>
      </w:r>
      <w:r w:rsidR="00CF4807">
        <w:t xml:space="preserve"> </w:t>
      </w:r>
    </w:p>
    <w:p w14:paraId="4D45B274" w14:textId="68048632" w:rsidR="00CF4807" w:rsidRDefault="00D313AC" w:rsidP="00D313AC">
      <w:pPr>
        <w:pStyle w:val="ListNo1"/>
        <w:numPr>
          <w:ilvl w:val="0"/>
          <w:numId w:val="0"/>
        </w:numPr>
        <w:tabs>
          <w:tab w:val="left" w:pos="720"/>
        </w:tabs>
        <w:ind w:left="720" w:hanging="720"/>
      </w:pPr>
      <w:r>
        <w:t>(1)</w:t>
      </w:r>
      <w:r>
        <w:tab/>
      </w:r>
      <w:proofErr w:type="spellStart"/>
      <w:r w:rsidR="00AB3C16">
        <w:t>Runcity</w:t>
      </w:r>
      <w:proofErr w:type="spellEnd"/>
      <w:r w:rsidR="00AB3C16">
        <w:t xml:space="preserve">, </w:t>
      </w:r>
      <w:r w:rsidR="0066512F">
        <w:t>the f</w:t>
      </w:r>
      <w:r w:rsidR="00AB3C16">
        <w:t xml:space="preserve">irst </w:t>
      </w:r>
      <w:r w:rsidR="0066512F">
        <w:t>a</w:t>
      </w:r>
      <w:r w:rsidR="00AB3C16">
        <w:t xml:space="preserve">pplicant </w:t>
      </w:r>
      <w:r w:rsidR="00305928">
        <w:t>in the</w:t>
      </w:r>
      <w:r w:rsidR="00AB3C16">
        <w:t xml:space="preserve"> </w:t>
      </w:r>
      <w:proofErr w:type="spellStart"/>
      <w:r w:rsidR="00DF3B6D">
        <w:t>Tabuso</w:t>
      </w:r>
      <w:proofErr w:type="spellEnd"/>
      <w:r w:rsidR="0066512F">
        <w:t xml:space="preserve"> </w:t>
      </w:r>
      <w:r w:rsidR="00AB3C16">
        <w:t>Application</w:t>
      </w:r>
      <w:r w:rsidR="00CF4807">
        <w:t>;</w:t>
      </w:r>
    </w:p>
    <w:p w14:paraId="54F74449" w14:textId="5F0543BD" w:rsidR="00AA1F95" w:rsidRDefault="00D313AC" w:rsidP="00D313AC">
      <w:pPr>
        <w:pStyle w:val="ListNo1"/>
        <w:numPr>
          <w:ilvl w:val="0"/>
          <w:numId w:val="0"/>
        </w:numPr>
        <w:tabs>
          <w:tab w:val="left" w:pos="720"/>
        </w:tabs>
        <w:ind w:left="720" w:hanging="720"/>
      </w:pPr>
      <w:r>
        <w:t>(2)</w:t>
      </w:r>
      <w:r>
        <w:tab/>
      </w:r>
      <w:r w:rsidR="00AA1F95">
        <w:t>M</w:t>
      </w:r>
      <w:r w:rsidR="00FF6DFB">
        <w:t>r</w:t>
      </w:r>
      <w:r w:rsidR="00AA1F95">
        <w:t>s Khalil</w:t>
      </w:r>
      <w:r w:rsidR="00C85D5D">
        <w:t xml:space="preserve">, </w:t>
      </w:r>
      <w:r w:rsidR="00F759CA">
        <w:t xml:space="preserve">the first applicant </w:t>
      </w:r>
      <w:r w:rsidR="00AF12D0">
        <w:t>i</w:t>
      </w:r>
      <w:r w:rsidR="00F759CA">
        <w:t xml:space="preserve">n the Kito Application; </w:t>
      </w:r>
    </w:p>
    <w:p w14:paraId="4664E635" w14:textId="6CE66D8A" w:rsidR="00AA1F95" w:rsidRDefault="00D313AC" w:rsidP="00D313AC">
      <w:pPr>
        <w:pStyle w:val="ListNo1"/>
        <w:numPr>
          <w:ilvl w:val="0"/>
          <w:numId w:val="0"/>
        </w:numPr>
        <w:tabs>
          <w:tab w:val="left" w:pos="720"/>
        </w:tabs>
        <w:ind w:left="720" w:hanging="720"/>
      </w:pPr>
      <w:r>
        <w:t>(3)</w:t>
      </w:r>
      <w:r>
        <w:tab/>
      </w:r>
      <w:r w:rsidR="00AA1F95">
        <w:t>Kito Investments</w:t>
      </w:r>
      <w:r w:rsidR="00C85D5D">
        <w:t xml:space="preserve">, </w:t>
      </w:r>
      <w:r w:rsidR="00F759CA">
        <w:t xml:space="preserve">the second applicant </w:t>
      </w:r>
      <w:r w:rsidR="00676535">
        <w:t>i</w:t>
      </w:r>
      <w:r w:rsidR="00F759CA">
        <w:t>n the Kito Application</w:t>
      </w:r>
      <w:r w:rsidR="00AA1F95">
        <w:t>;</w:t>
      </w:r>
    </w:p>
    <w:p w14:paraId="5B69DECA" w14:textId="37EF2836" w:rsidR="00570034" w:rsidRDefault="00D313AC" w:rsidP="00D313AC">
      <w:pPr>
        <w:pStyle w:val="ListNo1"/>
        <w:numPr>
          <w:ilvl w:val="0"/>
          <w:numId w:val="0"/>
        </w:numPr>
        <w:tabs>
          <w:tab w:val="left" w:pos="720"/>
        </w:tabs>
        <w:ind w:left="720" w:hanging="720"/>
      </w:pPr>
      <w:r>
        <w:t>(4)</w:t>
      </w:r>
      <w:r>
        <w:tab/>
      </w:r>
      <w:r w:rsidR="00570034">
        <w:t>Mr Borg</w:t>
      </w:r>
      <w:r w:rsidR="00C85D5D">
        <w:t xml:space="preserve">, </w:t>
      </w:r>
      <w:r w:rsidR="00062482">
        <w:t xml:space="preserve">the </w:t>
      </w:r>
      <w:r w:rsidR="00F14208">
        <w:t xml:space="preserve">first applicant </w:t>
      </w:r>
      <w:r w:rsidR="00AF12D0">
        <w:t>in</w:t>
      </w:r>
      <w:r w:rsidR="00F14208">
        <w:t xml:space="preserve"> the Borg Application; </w:t>
      </w:r>
    </w:p>
    <w:p w14:paraId="3B834BB8" w14:textId="528AF53E" w:rsidR="00570034" w:rsidRDefault="00D313AC" w:rsidP="00D313AC">
      <w:pPr>
        <w:pStyle w:val="ListNo1"/>
        <w:numPr>
          <w:ilvl w:val="0"/>
          <w:numId w:val="0"/>
        </w:numPr>
        <w:tabs>
          <w:tab w:val="left" w:pos="720"/>
        </w:tabs>
        <w:ind w:left="720" w:hanging="720"/>
      </w:pPr>
      <w:r>
        <w:t>(5)</w:t>
      </w:r>
      <w:r>
        <w:tab/>
      </w:r>
      <w:r w:rsidR="00570034">
        <w:t>Borg Family</w:t>
      </w:r>
      <w:r w:rsidR="00C85D5D">
        <w:t xml:space="preserve">, </w:t>
      </w:r>
      <w:r w:rsidR="00F14208">
        <w:t xml:space="preserve">the second applicant </w:t>
      </w:r>
      <w:r w:rsidR="00676535">
        <w:t>i</w:t>
      </w:r>
      <w:r w:rsidR="00161125">
        <w:t xml:space="preserve">n the Borg Application; </w:t>
      </w:r>
    </w:p>
    <w:p w14:paraId="24367FBE" w14:textId="24F47DCD" w:rsidR="00570034" w:rsidRDefault="00D313AC" w:rsidP="00D313AC">
      <w:pPr>
        <w:pStyle w:val="ListNo1"/>
        <w:numPr>
          <w:ilvl w:val="0"/>
          <w:numId w:val="0"/>
        </w:numPr>
        <w:tabs>
          <w:tab w:val="left" w:pos="720"/>
        </w:tabs>
        <w:ind w:left="720" w:hanging="720"/>
      </w:pPr>
      <w:r>
        <w:t>(6)</w:t>
      </w:r>
      <w:r>
        <w:tab/>
      </w:r>
      <w:r w:rsidR="00570034">
        <w:t>746 Greendale Road</w:t>
      </w:r>
      <w:r w:rsidR="00C85D5D">
        <w:t xml:space="preserve">, </w:t>
      </w:r>
      <w:r w:rsidR="00161125">
        <w:t xml:space="preserve">the third applicant </w:t>
      </w:r>
      <w:r w:rsidR="00ED4DDB">
        <w:t>i</w:t>
      </w:r>
      <w:r w:rsidR="00161125">
        <w:t xml:space="preserve">n the Borg Application; </w:t>
      </w:r>
    </w:p>
    <w:p w14:paraId="6F4A4872" w14:textId="2907A292" w:rsidR="005615EE" w:rsidRDefault="00D313AC" w:rsidP="00D313AC">
      <w:pPr>
        <w:pStyle w:val="ListNo1"/>
        <w:numPr>
          <w:ilvl w:val="0"/>
          <w:numId w:val="0"/>
        </w:numPr>
        <w:tabs>
          <w:tab w:val="left" w:pos="720"/>
        </w:tabs>
        <w:ind w:left="720" w:hanging="720"/>
      </w:pPr>
      <w:r>
        <w:t>(7)</w:t>
      </w:r>
      <w:r>
        <w:tab/>
      </w:r>
      <w:proofErr w:type="spellStart"/>
      <w:r w:rsidR="00382943">
        <w:t>Givana</w:t>
      </w:r>
      <w:proofErr w:type="spellEnd"/>
      <w:r w:rsidR="00382943">
        <w:t xml:space="preserve"> (Holdings)</w:t>
      </w:r>
      <w:r w:rsidR="00C85D5D">
        <w:t xml:space="preserve">, </w:t>
      </w:r>
      <w:r w:rsidR="00161125">
        <w:t>the first appli</w:t>
      </w:r>
      <w:r w:rsidR="008431D1">
        <w:t xml:space="preserve">cant </w:t>
      </w:r>
      <w:r w:rsidR="00ED4DDB">
        <w:t>i</w:t>
      </w:r>
      <w:r w:rsidR="008431D1">
        <w:t xml:space="preserve">n the </w:t>
      </w:r>
      <w:proofErr w:type="spellStart"/>
      <w:r w:rsidR="008431D1">
        <w:t>Givana</w:t>
      </w:r>
      <w:proofErr w:type="spellEnd"/>
      <w:r w:rsidR="008431D1">
        <w:t xml:space="preserve"> Application</w:t>
      </w:r>
      <w:r w:rsidR="001F6BB6">
        <w:t xml:space="preserve">; and </w:t>
      </w:r>
    </w:p>
    <w:p w14:paraId="4414C496" w14:textId="180C4033" w:rsidR="008B35F8" w:rsidRDefault="00D313AC" w:rsidP="00D313AC">
      <w:pPr>
        <w:pStyle w:val="ListNo1"/>
        <w:numPr>
          <w:ilvl w:val="0"/>
          <w:numId w:val="0"/>
        </w:numPr>
        <w:tabs>
          <w:tab w:val="left" w:pos="720"/>
        </w:tabs>
        <w:ind w:left="720" w:hanging="720"/>
      </w:pPr>
      <w:r>
        <w:t>(8)</w:t>
      </w:r>
      <w:r>
        <w:tab/>
      </w:r>
      <w:proofErr w:type="spellStart"/>
      <w:r w:rsidR="005615EE">
        <w:t>Givana</w:t>
      </w:r>
      <w:proofErr w:type="spellEnd"/>
      <w:r w:rsidR="00C85D5D">
        <w:t xml:space="preserve">, </w:t>
      </w:r>
      <w:r w:rsidR="008431D1">
        <w:t xml:space="preserve">the second applicant </w:t>
      </w:r>
      <w:r w:rsidR="00ED4DDB">
        <w:t>in</w:t>
      </w:r>
      <w:r w:rsidR="008431D1">
        <w:t xml:space="preserve"> the </w:t>
      </w:r>
      <w:proofErr w:type="spellStart"/>
      <w:r w:rsidR="008431D1">
        <w:t>Givana</w:t>
      </w:r>
      <w:proofErr w:type="spellEnd"/>
      <w:r w:rsidR="008431D1">
        <w:t xml:space="preserve"> Application</w:t>
      </w:r>
      <w:r w:rsidR="008144D1">
        <w:t>.</w:t>
      </w:r>
    </w:p>
    <w:p w14:paraId="65616C7A" w14:textId="79969411" w:rsidR="007E263F" w:rsidRDefault="00D313AC" w:rsidP="00D313AC">
      <w:pPr>
        <w:pStyle w:val="ParaNumbering"/>
        <w:numPr>
          <w:ilvl w:val="0"/>
          <w:numId w:val="0"/>
        </w:numPr>
        <w:ind w:hanging="720"/>
      </w:pPr>
      <w:bookmarkStart w:id="33" w:name="_Ref156471705"/>
      <w:r>
        <w:rPr>
          <w:sz w:val="20"/>
        </w:rPr>
        <w:t>44</w:t>
      </w:r>
      <w:r>
        <w:rPr>
          <w:sz w:val="20"/>
        </w:rPr>
        <w:tab/>
      </w:r>
      <w:r w:rsidR="00474DF9">
        <w:t xml:space="preserve">On </w:t>
      </w:r>
      <w:r w:rsidR="00307AA5">
        <w:t xml:space="preserve">1 April 2021 </w:t>
      </w:r>
      <w:proofErr w:type="spellStart"/>
      <w:r w:rsidR="009D304D">
        <w:t>Interfreight</w:t>
      </w:r>
      <w:proofErr w:type="spellEnd"/>
      <w:r w:rsidR="009D304D">
        <w:t xml:space="preserve"> 1 and the Liquidators </w:t>
      </w:r>
      <w:r w:rsidR="005A1E4A">
        <w:t xml:space="preserve">in their capacity as liquidators of </w:t>
      </w:r>
      <w:proofErr w:type="spellStart"/>
      <w:r w:rsidR="005A1E4A">
        <w:t>Interfreight</w:t>
      </w:r>
      <w:proofErr w:type="spellEnd"/>
      <w:r w:rsidR="00440EE7">
        <w:t> </w:t>
      </w:r>
      <w:r w:rsidR="005A1E4A">
        <w:t xml:space="preserve">1 </w:t>
      </w:r>
      <w:r w:rsidR="009D304D">
        <w:t xml:space="preserve">commenced </w:t>
      </w:r>
      <w:r w:rsidR="00A220DE">
        <w:t xml:space="preserve">proceeding number 2021/00091488 </w:t>
      </w:r>
      <w:r w:rsidR="009D304D">
        <w:t xml:space="preserve">in the Supreme Court </w:t>
      </w:r>
      <w:r w:rsidR="009752CE">
        <w:t>(</w:t>
      </w:r>
      <w:proofErr w:type="spellStart"/>
      <w:r w:rsidR="009752CE" w:rsidRPr="00307AA5">
        <w:rPr>
          <w:b/>
          <w:bCs/>
        </w:rPr>
        <w:t>Interfreight</w:t>
      </w:r>
      <w:proofErr w:type="spellEnd"/>
      <w:r w:rsidR="009752CE" w:rsidRPr="00307AA5">
        <w:rPr>
          <w:b/>
          <w:bCs/>
        </w:rPr>
        <w:t xml:space="preserve"> Proceeding</w:t>
      </w:r>
      <w:r w:rsidR="009752CE">
        <w:t xml:space="preserve">) against </w:t>
      </w:r>
      <w:r w:rsidR="00B823CC">
        <w:t xml:space="preserve">a number of </w:t>
      </w:r>
      <w:r w:rsidR="009752CE">
        <w:t>defendants</w:t>
      </w:r>
      <w:r w:rsidR="00B823CC">
        <w:t xml:space="preserve"> including</w:t>
      </w:r>
      <w:r w:rsidR="0001551F">
        <w:t>, among others</w:t>
      </w:r>
      <w:r w:rsidR="009752CE">
        <w:t>:</w:t>
      </w:r>
      <w:bookmarkEnd w:id="33"/>
    </w:p>
    <w:p w14:paraId="54A3C8D9" w14:textId="33F282F4" w:rsidR="000668A0" w:rsidRDefault="00D313AC" w:rsidP="00D313AC">
      <w:pPr>
        <w:pStyle w:val="ListNo1"/>
        <w:numPr>
          <w:ilvl w:val="0"/>
          <w:numId w:val="0"/>
        </w:numPr>
        <w:tabs>
          <w:tab w:val="left" w:pos="720"/>
        </w:tabs>
        <w:ind w:left="720" w:hanging="720"/>
      </w:pPr>
      <w:r>
        <w:lastRenderedPageBreak/>
        <w:t>(1)</w:t>
      </w:r>
      <w:r>
        <w:tab/>
      </w:r>
      <w:proofErr w:type="spellStart"/>
      <w:r w:rsidR="004F0F34">
        <w:t>Interfreight</w:t>
      </w:r>
      <w:proofErr w:type="spellEnd"/>
      <w:r w:rsidR="004F0F34">
        <w:t xml:space="preserve"> 2</w:t>
      </w:r>
      <w:r w:rsidR="00EA4E4F">
        <w:t xml:space="preserve">, the third applicant </w:t>
      </w:r>
      <w:r w:rsidR="00CC501C">
        <w:t>i</w:t>
      </w:r>
      <w:r w:rsidR="00EA4E4F">
        <w:t xml:space="preserve">n </w:t>
      </w:r>
      <w:r w:rsidR="009F3A2B">
        <w:t xml:space="preserve">the </w:t>
      </w:r>
      <w:proofErr w:type="spellStart"/>
      <w:r w:rsidR="00EA4E4F">
        <w:t>Tabuso</w:t>
      </w:r>
      <w:proofErr w:type="spellEnd"/>
      <w:r w:rsidR="00EA4E4F">
        <w:t xml:space="preserve"> </w:t>
      </w:r>
      <w:r w:rsidR="00FA667F">
        <w:t>Application</w:t>
      </w:r>
      <w:r w:rsidR="00BA25FF">
        <w:t>;</w:t>
      </w:r>
    </w:p>
    <w:p w14:paraId="477F4292" w14:textId="04405B12" w:rsidR="00BA14EA" w:rsidRDefault="00D313AC" w:rsidP="00D313AC">
      <w:pPr>
        <w:pStyle w:val="ListNo1"/>
        <w:numPr>
          <w:ilvl w:val="0"/>
          <w:numId w:val="0"/>
        </w:numPr>
        <w:tabs>
          <w:tab w:val="left" w:pos="720"/>
        </w:tabs>
        <w:ind w:left="720" w:hanging="720"/>
      </w:pPr>
      <w:r>
        <w:t>(2)</w:t>
      </w:r>
      <w:r>
        <w:tab/>
      </w:r>
      <w:r w:rsidR="00AA5C29">
        <w:t>Diesel Dan 2</w:t>
      </w:r>
      <w:r w:rsidR="00D45FCA">
        <w:t xml:space="preserve">, the </w:t>
      </w:r>
      <w:r w:rsidR="0085228E">
        <w:t xml:space="preserve">fourth applicant </w:t>
      </w:r>
      <w:r w:rsidR="00CC501C">
        <w:t>i</w:t>
      </w:r>
      <w:r w:rsidR="0085228E">
        <w:t xml:space="preserve">n </w:t>
      </w:r>
      <w:r w:rsidR="009F3A2B">
        <w:t xml:space="preserve">the </w:t>
      </w:r>
      <w:proofErr w:type="spellStart"/>
      <w:r w:rsidR="0085228E">
        <w:t>Tabuso</w:t>
      </w:r>
      <w:proofErr w:type="spellEnd"/>
      <w:r w:rsidR="0085228E">
        <w:t xml:space="preserve"> Application</w:t>
      </w:r>
      <w:r w:rsidR="00BA14EA">
        <w:t>;</w:t>
      </w:r>
      <w:r w:rsidR="00B54E95">
        <w:t xml:space="preserve"> and </w:t>
      </w:r>
    </w:p>
    <w:p w14:paraId="30A08A91" w14:textId="0C2861E6" w:rsidR="00B54E95" w:rsidRDefault="00D313AC" w:rsidP="00D313AC">
      <w:pPr>
        <w:pStyle w:val="ListNo1"/>
        <w:numPr>
          <w:ilvl w:val="0"/>
          <w:numId w:val="0"/>
        </w:numPr>
        <w:tabs>
          <w:tab w:val="left" w:pos="720"/>
        </w:tabs>
        <w:ind w:left="720" w:hanging="720"/>
      </w:pPr>
      <w:r>
        <w:t>(3)</w:t>
      </w:r>
      <w:r>
        <w:tab/>
      </w:r>
      <w:r w:rsidR="001747CB">
        <w:t>M</w:t>
      </w:r>
      <w:r w:rsidR="00F96DF3">
        <w:t>r</w:t>
      </w:r>
      <w:r w:rsidR="001747CB">
        <w:t xml:space="preserve">s </w:t>
      </w:r>
      <w:proofErr w:type="spellStart"/>
      <w:r w:rsidR="00B97EF9">
        <w:t>Tabuso</w:t>
      </w:r>
      <w:proofErr w:type="spellEnd"/>
      <w:r w:rsidR="00B97EF9">
        <w:t xml:space="preserve">, </w:t>
      </w:r>
      <w:r w:rsidR="00083F4A">
        <w:t xml:space="preserve">the </w:t>
      </w:r>
      <w:r w:rsidR="008104DC">
        <w:t xml:space="preserve">sixth applicant </w:t>
      </w:r>
      <w:r w:rsidR="00CC501C">
        <w:t>i</w:t>
      </w:r>
      <w:r w:rsidR="008104DC">
        <w:t xml:space="preserve">n </w:t>
      </w:r>
      <w:r w:rsidR="009F3A2B">
        <w:t xml:space="preserve">the </w:t>
      </w:r>
      <w:proofErr w:type="spellStart"/>
      <w:r w:rsidR="008104DC">
        <w:t>Tabuso</w:t>
      </w:r>
      <w:proofErr w:type="spellEnd"/>
      <w:r w:rsidR="008104DC">
        <w:t xml:space="preserve"> Application</w:t>
      </w:r>
      <w:r w:rsidR="00B54E95">
        <w:t>.</w:t>
      </w:r>
    </w:p>
    <w:p w14:paraId="47AF8679" w14:textId="3F469279" w:rsidR="00557991" w:rsidRDefault="00D313AC" w:rsidP="00D313AC">
      <w:pPr>
        <w:pStyle w:val="ParaNumbering"/>
        <w:numPr>
          <w:ilvl w:val="0"/>
          <w:numId w:val="0"/>
        </w:numPr>
        <w:ind w:hanging="720"/>
      </w:pPr>
      <w:bookmarkStart w:id="34" w:name="_Ref147759516"/>
      <w:r>
        <w:rPr>
          <w:sz w:val="20"/>
        </w:rPr>
        <w:t>45</w:t>
      </w:r>
      <w:r>
        <w:rPr>
          <w:sz w:val="20"/>
        </w:rPr>
        <w:tab/>
      </w:r>
      <w:r w:rsidR="00474DF9">
        <w:t>On 9 August 2021</w:t>
      </w:r>
      <w:r w:rsidR="00307AA5">
        <w:t xml:space="preserve"> </w:t>
      </w:r>
      <w:bookmarkStart w:id="35" w:name="_Ref147759521"/>
      <w:bookmarkEnd w:id="34"/>
      <w:proofErr w:type="spellStart"/>
      <w:r w:rsidR="009C0237">
        <w:t>Silverhills</w:t>
      </w:r>
      <w:proofErr w:type="spellEnd"/>
      <w:r w:rsidR="009C0237">
        <w:t xml:space="preserve"> Haulage</w:t>
      </w:r>
      <w:bookmarkEnd w:id="35"/>
      <w:r w:rsidR="004B0D55">
        <w:t xml:space="preserve">, </w:t>
      </w:r>
      <w:r w:rsidR="00143A5F">
        <w:t>Co-ordinated Transport</w:t>
      </w:r>
      <w:r w:rsidR="004B0D55">
        <w:t xml:space="preserve">, </w:t>
      </w:r>
      <w:r w:rsidR="00143A5F">
        <w:t>Diesel Dan 1</w:t>
      </w:r>
      <w:r w:rsidR="004B0D55">
        <w:t xml:space="preserve">, </w:t>
      </w:r>
      <w:r w:rsidR="00143A5F">
        <w:t>Fara Logistics</w:t>
      </w:r>
      <w:r w:rsidR="004B0D55">
        <w:t xml:space="preserve">, </w:t>
      </w:r>
      <w:bookmarkStart w:id="36" w:name="_Ref147759533"/>
      <w:r w:rsidR="00143A5F">
        <w:t>Inter Management Group</w:t>
      </w:r>
      <w:r w:rsidR="002A2728">
        <w:t xml:space="preserve"> </w:t>
      </w:r>
      <w:r w:rsidR="00143A5F">
        <w:t>and</w:t>
      </w:r>
      <w:bookmarkEnd w:id="36"/>
      <w:r w:rsidR="00143A5F">
        <w:t xml:space="preserve"> the Liquidators </w:t>
      </w:r>
      <w:r w:rsidR="005A31D9">
        <w:t xml:space="preserve">in their capacity as liquidators </w:t>
      </w:r>
      <w:r w:rsidR="00143A5F">
        <w:t xml:space="preserve">of each of </w:t>
      </w:r>
      <w:r w:rsidR="00422FD6">
        <w:t>those</w:t>
      </w:r>
      <w:r w:rsidR="00143A5F">
        <w:t xml:space="preserve"> companies</w:t>
      </w:r>
      <w:r w:rsidR="00FD1354">
        <w:t xml:space="preserve"> </w:t>
      </w:r>
      <w:r w:rsidR="00C250F8">
        <w:t xml:space="preserve">commenced </w:t>
      </w:r>
      <w:r w:rsidR="00B823CC">
        <w:t>proceeding number 2021/00227002 in the Supreme Court (</w:t>
      </w:r>
      <w:proofErr w:type="spellStart"/>
      <w:r w:rsidR="00B823CC" w:rsidRPr="00FD1354">
        <w:rPr>
          <w:b/>
          <w:bCs/>
        </w:rPr>
        <w:t>Silverhills</w:t>
      </w:r>
      <w:proofErr w:type="spellEnd"/>
      <w:r w:rsidR="00B823CC" w:rsidRPr="00FD1354">
        <w:rPr>
          <w:b/>
          <w:bCs/>
        </w:rPr>
        <w:t xml:space="preserve"> Haulage Proceeding</w:t>
      </w:r>
      <w:r w:rsidR="00B823CC">
        <w:t xml:space="preserve">) </w:t>
      </w:r>
      <w:r w:rsidR="00FD1354">
        <w:t>against</w:t>
      </w:r>
      <w:r w:rsidR="002E2254">
        <w:t xml:space="preserve"> </w:t>
      </w:r>
      <w:r w:rsidR="00B823CC">
        <w:t>a number of defendants including</w:t>
      </w:r>
      <w:r w:rsidR="004E09C0">
        <w:t>, among others</w:t>
      </w:r>
      <w:r w:rsidR="00557991">
        <w:t>:</w:t>
      </w:r>
    </w:p>
    <w:p w14:paraId="2D7D30EC" w14:textId="38661529" w:rsidR="00557991" w:rsidRDefault="00D313AC" w:rsidP="00D313AC">
      <w:pPr>
        <w:pStyle w:val="ListNo1"/>
        <w:numPr>
          <w:ilvl w:val="0"/>
          <w:numId w:val="0"/>
        </w:numPr>
        <w:tabs>
          <w:tab w:val="left" w:pos="720"/>
        </w:tabs>
        <w:ind w:left="720" w:hanging="720"/>
      </w:pPr>
      <w:r>
        <w:t>(1)</w:t>
      </w:r>
      <w:r>
        <w:tab/>
      </w:r>
      <w:proofErr w:type="spellStart"/>
      <w:r w:rsidR="00557991">
        <w:t>Interfreight</w:t>
      </w:r>
      <w:proofErr w:type="spellEnd"/>
      <w:r w:rsidR="00557991">
        <w:t xml:space="preserve"> 2; </w:t>
      </w:r>
    </w:p>
    <w:p w14:paraId="3C3E9C8B" w14:textId="00899001" w:rsidR="00557991" w:rsidRDefault="00D313AC" w:rsidP="00D313AC">
      <w:pPr>
        <w:pStyle w:val="ListNo1"/>
        <w:numPr>
          <w:ilvl w:val="0"/>
          <w:numId w:val="0"/>
        </w:numPr>
        <w:tabs>
          <w:tab w:val="left" w:pos="720"/>
        </w:tabs>
        <w:ind w:left="720" w:hanging="720"/>
      </w:pPr>
      <w:r>
        <w:t>(2)</w:t>
      </w:r>
      <w:r>
        <w:tab/>
      </w:r>
      <w:r w:rsidR="00557991">
        <w:t xml:space="preserve">Diesel Dan 2; </w:t>
      </w:r>
    </w:p>
    <w:p w14:paraId="223C5809" w14:textId="77F4AC79" w:rsidR="00557991" w:rsidRDefault="00D313AC" w:rsidP="00D313AC">
      <w:pPr>
        <w:pStyle w:val="ListNo1"/>
        <w:numPr>
          <w:ilvl w:val="0"/>
          <w:numId w:val="0"/>
        </w:numPr>
        <w:tabs>
          <w:tab w:val="left" w:pos="720"/>
        </w:tabs>
        <w:ind w:left="720" w:hanging="720"/>
      </w:pPr>
      <w:r>
        <w:t>(3)</w:t>
      </w:r>
      <w:r>
        <w:tab/>
      </w:r>
      <w:proofErr w:type="spellStart"/>
      <w:r w:rsidR="00557991">
        <w:t>Runcity</w:t>
      </w:r>
      <w:proofErr w:type="spellEnd"/>
      <w:r w:rsidR="00557991">
        <w:t xml:space="preserve">; </w:t>
      </w:r>
    </w:p>
    <w:p w14:paraId="571B1E92" w14:textId="07DB0252" w:rsidR="00E4371B" w:rsidRDefault="00D313AC" w:rsidP="00D313AC">
      <w:pPr>
        <w:pStyle w:val="ListNo1"/>
        <w:numPr>
          <w:ilvl w:val="0"/>
          <w:numId w:val="0"/>
        </w:numPr>
        <w:tabs>
          <w:tab w:val="left" w:pos="720"/>
        </w:tabs>
        <w:ind w:left="720" w:hanging="720"/>
      </w:pPr>
      <w:r>
        <w:t>(4)</w:t>
      </w:r>
      <w:r>
        <w:tab/>
      </w:r>
      <w:r w:rsidR="00E4371B">
        <w:t>Mr</w:t>
      </w:r>
      <w:r w:rsidR="00557991">
        <w:t xml:space="preserve"> </w:t>
      </w:r>
      <w:proofErr w:type="spellStart"/>
      <w:r w:rsidR="00557991">
        <w:t>Tabuso</w:t>
      </w:r>
      <w:proofErr w:type="spellEnd"/>
      <w:r w:rsidR="00557991">
        <w:t xml:space="preserve">, the </w:t>
      </w:r>
      <w:r w:rsidR="009F3A2B">
        <w:t xml:space="preserve">fifth applicant </w:t>
      </w:r>
      <w:r w:rsidR="00746F89">
        <w:t>i</w:t>
      </w:r>
      <w:r w:rsidR="009F3A2B">
        <w:t xml:space="preserve">n the </w:t>
      </w:r>
      <w:proofErr w:type="spellStart"/>
      <w:r w:rsidR="009F3A2B">
        <w:t>Tabuso</w:t>
      </w:r>
      <w:proofErr w:type="spellEnd"/>
      <w:r w:rsidR="009F3A2B">
        <w:t xml:space="preserve"> Application</w:t>
      </w:r>
      <w:r w:rsidR="00E4371B">
        <w:t>;</w:t>
      </w:r>
    </w:p>
    <w:p w14:paraId="08D7B0AF" w14:textId="6CBC1E15" w:rsidR="00E4371B" w:rsidRDefault="00D313AC" w:rsidP="00D313AC">
      <w:pPr>
        <w:pStyle w:val="ListNo1"/>
        <w:numPr>
          <w:ilvl w:val="0"/>
          <w:numId w:val="0"/>
        </w:numPr>
        <w:tabs>
          <w:tab w:val="left" w:pos="720"/>
        </w:tabs>
        <w:ind w:left="720" w:hanging="720"/>
      </w:pPr>
      <w:r>
        <w:t>(5)</w:t>
      </w:r>
      <w:r>
        <w:tab/>
      </w:r>
      <w:r w:rsidR="00E4371B">
        <w:t>M</w:t>
      </w:r>
      <w:r w:rsidR="005E7C0B">
        <w:t>r</w:t>
      </w:r>
      <w:r w:rsidR="00E4371B">
        <w:t xml:space="preserve">s </w:t>
      </w:r>
      <w:proofErr w:type="spellStart"/>
      <w:r w:rsidR="00E4371B">
        <w:t>Tabuso</w:t>
      </w:r>
      <w:proofErr w:type="spellEnd"/>
      <w:r w:rsidR="008D5CDF">
        <w:t xml:space="preserve">; </w:t>
      </w:r>
      <w:r w:rsidR="00BE6A38">
        <w:t xml:space="preserve">and </w:t>
      </w:r>
    </w:p>
    <w:p w14:paraId="3BB70EFD" w14:textId="6A12C27D" w:rsidR="004F6CB9" w:rsidRDefault="00D313AC" w:rsidP="00D313AC">
      <w:pPr>
        <w:pStyle w:val="ListNo1"/>
        <w:numPr>
          <w:ilvl w:val="0"/>
          <w:numId w:val="0"/>
        </w:numPr>
        <w:tabs>
          <w:tab w:val="left" w:pos="720"/>
        </w:tabs>
        <w:ind w:left="720" w:hanging="720"/>
      </w:pPr>
      <w:r>
        <w:t>(6)</w:t>
      </w:r>
      <w:r>
        <w:tab/>
      </w:r>
      <w:r w:rsidR="008D5CDF">
        <w:t>Mr</w:t>
      </w:r>
      <w:r w:rsidR="00E4371B">
        <w:t xml:space="preserve"> Ligori</w:t>
      </w:r>
      <w:r w:rsidR="00333583">
        <w:t xml:space="preserve">, the </w:t>
      </w:r>
      <w:r w:rsidR="00D20FF4">
        <w:t>seventh applicant</w:t>
      </w:r>
      <w:r w:rsidR="00333583">
        <w:t xml:space="preserve"> </w:t>
      </w:r>
      <w:r w:rsidR="00746F89">
        <w:t>i</w:t>
      </w:r>
      <w:r w:rsidR="00333583">
        <w:t xml:space="preserve">n the </w:t>
      </w:r>
      <w:proofErr w:type="spellStart"/>
      <w:r w:rsidR="00333583">
        <w:t>Tabuso</w:t>
      </w:r>
      <w:proofErr w:type="spellEnd"/>
      <w:r w:rsidR="00333583">
        <w:t xml:space="preserve"> Application.</w:t>
      </w:r>
    </w:p>
    <w:p w14:paraId="0B9270B3" w14:textId="31B0E375" w:rsidR="004449D3" w:rsidRDefault="00D313AC" w:rsidP="00D313AC">
      <w:pPr>
        <w:pStyle w:val="ParaNumbering"/>
        <w:numPr>
          <w:ilvl w:val="0"/>
          <w:numId w:val="0"/>
        </w:numPr>
        <w:ind w:hanging="720"/>
      </w:pPr>
      <w:r>
        <w:rPr>
          <w:sz w:val="20"/>
        </w:rPr>
        <w:t>46</w:t>
      </w:r>
      <w:r>
        <w:rPr>
          <w:sz w:val="20"/>
        </w:rPr>
        <w:tab/>
      </w:r>
      <w:r w:rsidR="00AD37CE">
        <w:t>As described by Mr Vaughan</w:t>
      </w:r>
      <w:r w:rsidR="004449D3">
        <w:t>:</w:t>
      </w:r>
      <w:r w:rsidR="00316DDE" w:rsidRPr="00316DDE">
        <w:rPr>
          <w:rStyle w:val="FootnoteReference"/>
        </w:rPr>
        <w:t xml:space="preserve"> </w:t>
      </w:r>
    </w:p>
    <w:p w14:paraId="3C1484C9" w14:textId="090C233F" w:rsidR="00F507F0" w:rsidRDefault="00D313AC" w:rsidP="00D313AC">
      <w:pPr>
        <w:pStyle w:val="ListNo1"/>
        <w:numPr>
          <w:ilvl w:val="0"/>
          <w:numId w:val="0"/>
        </w:numPr>
        <w:tabs>
          <w:tab w:val="left" w:pos="720"/>
        </w:tabs>
        <w:ind w:left="720" w:hanging="720"/>
      </w:pPr>
      <w:r>
        <w:t>(1)</w:t>
      </w:r>
      <w:r>
        <w:tab/>
      </w:r>
      <w:r w:rsidR="00AD37CE">
        <w:t>i</w:t>
      </w:r>
      <w:r w:rsidR="00B7495B">
        <w:t xml:space="preserve">n the RC Group </w:t>
      </w:r>
      <w:proofErr w:type="spellStart"/>
      <w:r w:rsidR="00B7495B">
        <w:t>Voidables</w:t>
      </w:r>
      <w:proofErr w:type="spellEnd"/>
      <w:r w:rsidR="00B7495B">
        <w:t xml:space="preserve"> Proce</w:t>
      </w:r>
      <w:r w:rsidR="00735FAF">
        <w:t>e</w:t>
      </w:r>
      <w:r w:rsidR="00B7495B">
        <w:t xml:space="preserve">ding, the </w:t>
      </w:r>
      <w:proofErr w:type="spellStart"/>
      <w:r w:rsidR="00B7495B">
        <w:t>Interfreight</w:t>
      </w:r>
      <w:proofErr w:type="spellEnd"/>
      <w:r w:rsidR="00B7495B">
        <w:t xml:space="preserve"> Proceeding and the </w:t>
      </w:r>
      <w:proofErr w:type="spellStart"/>
      <w:r w:rsidR="00B7495B">
        <w:t>Silverhills</w:t>
      </w:r>
      <w:proofErr w:type="spellEnd"/>
      <w:r w:rsidR="00B7495B">
        <w:t xml:space="preserve"> Haulage Proceeding </w:t>
      </w:r>
      <w:r w:rsidR="005F4A8B">
        <w:t>(collecti</w:t>
      </w:r>
      <w:r w:rsidR="007B2528">
        <w:t xml:space="preserve">vely </w:t>
      </w:r>
      <w:r w:rsidR="005F4A8B">
        <w:rPr>
          <w:b/>
          <w:bCs/>
        </w:rPr>
        <w:t xml:space="preserve">Supreme Court </w:t>
      </w:r>
      <w:r w:rsidR="005F4A8B" w:rsidRPr="005F4A8B">
        <w:rPr>
          <w:b/>
          <w:bCs/>
        </w:rPr>
        <w:t>Proceedings</w:t>
      </w:r>
      <w:r w:rsidR="005F4A8B">
        <w:t xml:space="preserve">) </w:t>
      </w:r>
      <w:r w:rsidR="00B7495B" w:rsidRPr="005F4A8B">
        <w:t>the</w:t>
      </w:r>
      <w:r w:rsidR="00B7495B">
        <w:t xml:space="preserve"> Liquidators seek relief under s 588FF(1) of the Corporations Act for uncommercial transactions pursuant to s 588FC </w:t>
      </w:r>
      <w:r w:rsidR="00AD37CE">
        <w:t xml:space="preserve">of that Act </w:t>
      </w:r>
      <w:r w:rsidR="00B7495B">
        <w:t>and unreasonable director-related transactions pursuant to s</w:t>
      </w:r>
      <w:r w:rsidR="00FA6B52">
        <w:t> </w:t>
      </w:r>
      <w:r w:rsidR="00B7495B">
        <w:t>588FDA of the Corporations Act</w:t>
      </w:r>
      <w:r w:rsidR="00214755">
        <w:t xml:space="preserve"> (</w:t>
      </w:r>
      <w:r w:rsidR="00214755" w:rsidRPr="00214755">
        <w:rPr>
          <w:b/>
          <w:bCs/>
        </w:rPr>
        <w:t>Statutory Claims</w:t>
      </w:r>
      <w:r w:rsidR="00214755">
        <w:t>)</w:t>
      </w:r>
      <w:r w:rsidR="00B7495B">
        <w:t>.  In each of the proceedings, the Liquidators rely upon the Reinstatement</w:t>
      </w:r>
      <w:r w:rsidR="00C05043">
        <w:t> </w:t>
      </w:r>
      <w:r w:rsidR="00B7495B">
        <w:t xml:space="preserve">Orders in </w:t>
      </w:r>
      <w:r w:rsidR="00AD37CE">
        <w:t>relation to th</w:t>
      </w:r>
      <w:r w:rsidR="00214755">
        <w:t>ose c</w:t>
      </w:r>
      <w:r w:rsidR="00B7495B">
        <w:t>laims</w:t>
      </w:r>
      <w:r w:rsidR="007C42FE">
        <w:t>;</w:t>
      </w:r>
      <w:r w:rsidR="006B4991">
        <w:t xml:space="preserve">  </w:t>
      </w:r>
    </w:p>
    <w:p w14:paraId="7A5DF5B1" w14:textId="5EC36525" w:rsidR="002722CB" w:rsidRDefault="00D313AC" w:rsidP="00D313AC">
      <w:pPr>
        <w:pStyle w:val="ListNo1"/>
        <w:numPr>
          <w:ilvl w:val="0"/>
          <w:numId w:val="0"/>
        </w:numPr>
        <w:tabs>
          <w:tab w:val="left" w:pos="720"/>
        </w:tabs>
        <w:ind w:left="720" w:hanging="720"/>
      </w:pPr>
      <w:r>
        <w:t>(2)</w:t>
      </w:r>
      <w:r>
        <w:tab/>
      </w:r>
      <w:r w:rsidR="00F507F0">
        <w:t>f</w:t>
      </w:r>
      <w:r w:rsidR="006B4991">
        <w:t>or example</w:t>
      </w:r>
      <w:r w:rsidR="00F2609F">
        <w:t>,</w:t>
      </w:r>
      <w:r w:rsidR="006B4991">
        <w:t xml:space="preserve"> in the RC Group </w:t>
      </w:r>
      <w:proofErr w:type="spellStart"/>
      <w:r w:rsidR="006B4991">
        <w:t>Voidables</w:t>
      </w:r>
      <w:proofErr w:type="spellEnd"/>
      <w:r w:rsidR="006B4991">
        <w:t xml:space="preserve"> Proceeding at </w:t>
      </w:r>
      <w:r w:rsidR="00055476">
        <w:t>[</w:t>
      </w:r>
      <w:r w:rsidR="00DA670A">
        <w:t>79] to [83]</w:t>
      </w:r>
      <w:r w:rsidR="00D9396E">
        <w:t xml:space="preserve"> of their statement of claim</w:t>
      </w:r>
      <w:r w:rsidR="00DA670A">
        <w:t xml:space="preserve"> the </w:t>
      </w:r>
      <w:r w:rsidR="002722CB">
        <w:t>plaintiffs</w:t>
      </w:r>
      <w:r w:rsidR="00DA670A">
        <w:t xml:space="preserve"> contend</w:t>
      </w:r>
      <w:r w:rsidR="00597352">
        <w:t xml:space="preserve"> that</w:t>
      </w:r>
      <w:r w:rsidR="00DA670A">
        <w:t>:</w:t>
      </w:r>
    </w:p>
    <w:p w14:paraId="41C8F492" w14:textId="1A756895" w:rsidR="000E748F" w:rsidRDefault="001561D8" w:rsidP="000E748F">
      <w:pPr>
        <w:pStyle w:val="Quote2"/>
      </w:pPr>
      <w:r>
        <w:t>79</w:t>
      </w:r>
      <w:r>
        <w:tab/>
        <w:t>On 27 December 2015, RC Group w</w:t>
      </w:r>
      <w:r w:rsidR="00C37CAD">
        <w:t>a</w:t>
      </w:r>
      <w:r>
        <w:t>s deregistered by ASIC.</w:t>
      </w:r>
    </w:p>
    <w:p w14:paraId="5B1A5CB6" w14:textId="694D2F7A" w:rsidR="008E2DFD" w:rsidRDefault="000E748F" w:rsidP="000E748F">
      <w:pPr>
        <w:pStyle w:val="Quote2"/>
        <w:ind w:left="2160" w:hanging="720"/>
      </w:pPr>
      <w:r>
        <w:t>80</w:t>
      </w:r>
      <w:r>
        <w:tab/>
        <w:t>On 2 September 2019, in Federal Court of Australia Proceedings Number NSD1510/2017, Stewart J ordered that</w:t>
      </w:r>
      <w:r w:rsidR="008E2DFD">
        <w:t>:</w:t>
      </w:r>
    </w:p>
    <w:p w14:paraId="665FC9C6" w14:textId="1B256FE0" w:rsidR="000E748F" w:rsidRDefault="000E748F" w:rsidP="008E2DFD">
      <w:pPr>
        <w:pStyle w:val="Quote3"/>
        <w:ind w:left="2880" w:hanging="720"/>
      </w:pPr>
      <w:r>
        <w:t>(a)</w:t>
      </w:r>
      <w:r w:rsidR="008E2DFD">
        <w:tab/>
      </w:r>
      <w:r>
        <w:t>ASIC reinstate RC Group as a company pursuant to section 601AH(2) of the Corporations Act;</w:t>
      </w:r>
    </w:p>
    <w:p w14:paraId="700AEBC2" w14:textId="77F458DD" w:rsidR="000E748F" w:rsidRDefault="000E748F" w:rsidP="008E2DFD">
      <w:pPr>
        <w:pStyle w:val="Quote3"/>
        <w:ind w:left="2880" w:hanging="720"/>
      </w:pPr>
      <w:r>
        <w:t>(b</w:t>
      </w:r>
      <w:r w:rsidR="008E2DFD">
        <w:t>)</w:t>
      </w:r>
      <w:r w:rsidR="008E2DFD">
        <w:tab/>
      </w:r>
      <w:r>
        <w:t>pursuant to section 601AH(3)(d) of the Corporations Act, when calculating the period ending three years after the relation-back day for RC Group, the period between the date of deregistration and the date of the order shall be disregarded;</w:t>
      </w:r>
    </w:p>
    <w:p w14:paraId="14FEF408" w14:textId="7C2B32FD" w:rsidR="000E748F" w:rsidRDefault="000E748F" w:rsidP="008E2DFD">
      <w:pPr>
        <w:pStyle w:val="Quote3"/>
        <w:ind w:left="2880" w:hanging="720"/>
      </w:pPr>
      <w:r>
        <w:t>(c)</w:t>
      </w:r>
      <w:r w:rsidR="008E2DFD">
        <w:tab/>
      </w:r>
      <w:r>
        <w:t>the Second Plaintiffs be appointed as the joint and several liquidators of RC Group.</w:t>
      </w:r>
    </w:p>
    <w:p w14:paraId="6F8432D9" w14:textId="0391E95B" w:rsidR="00BA25FF" w:rsidRDefault="000E748F" w:rsidP="008E2DFD">
      <w:pPr>
        <w:pStyle w:val="Quote2"/>
        <w:ind w:left="2160" w:hanging="720"/>
      </w:pPr>
      <w:r>
        <w:lastRenderedPageBreak/>
        <w:t>81</w:t>
      </w:r>
      <w:r w:rsidR="008E2DFD">
        <w:tab/>
      </w:r>
      <w:r>
        <w:t xml:space="preserve">On or about 3 September 2019, RC Group was reinstated as a company by ASIC. </w:t>
      </w:r>
    </w:p>
    <w:p w14:paraId="382C6071" w14:textId="4E9BFE3F" w:rsidR="0092779B" w:rsidRDefault="0092779B" w:rsidP="0092779B">
      <w:pPr>
        <w:pStyle w:val="Quote2"/>
        <w:ind w:left="2160" w:hanging="720"/>
      </w:pPr>
      <w:r>
        <w:t>82</w:t>
      </w:r>
      <w:r>
        <w:tab/>
        <w:t>By reason of the matters pleaded in paragraphs 74, 79, 80(b) and 81 above, for the purposes of calculating the period ending three year after the Relation-back Day, the period between 27 December 2015 and 2 September 2019, being a period of 1345 days, is to be disregarded.</w:t>
      </w:r>
    </w:p>
    <w:p w14:paraId="50D79F41" w14:textId="40E80B72" w:rsidR="008E2DFD" w:rsidRDefault="00953BF1" w:rsidP="0092779B">
      <w:pPr>
        <w:pStyle w:val="Quote2"/>
        <w:ind w:left="2160" w:hanging="720"/>
      </w:pPr>
      <w:r>
        <w:t>83</w:t>
      </w:r>
      <w:r>
        <w:tab/>
      </w:r>
      <w:r w:rsidR="00851C36">
        <w:t xml:space="preserve">By reason of the matter pleaded in paragraphs 74, 79, </w:t>
      </w:r>
      <w:r w:rsidR="001E3EDB">
        <w:t>80(b) and 81 above</w:t>
      </w:r>
      <w:r w:rsidR="001561D8">
        <w:t>, the period ending three years after the relation-back Day in respect of RC Group is 23 April 2021.</w:t>
      </w:r>
      <w:r w:rsidR="00851C36">
        <w:t xml:space="preserve"> </w:t>
      </w:r>
    </w:p>
    <w:p w14:paraId="0A3870FD" w14:textId="59B70EE6" w:rsidR="00AD37CE" w:rsidRDefault="00D313AC" w:rsidP="00D313AC">
      <w:pPr>
        <w:pStyle w:val="ListNo1"/>
        <w:numPr>
          <w:ilvl w:val="0"/>
          <w:numId w:val="0"/>
        </w:numPr>
        <w:tabs>
          <w:tab w:val="left" w:pos="720"/>
        </w:tabs>
        <w:ind w:left="720" w:hanging="720"/>
      </w:pPr>
      <w:r>
        <w:t>(3)</w:t>
      </w:r>
      <w:r>
        <w:tab/>
      </w:r>
      <w:r w:rsidR="00AD37CE">
        <w:t xml:space="preserve">in the RC Group </w:t>
      </w:r>
      <w:proofErr w:type="spellStart"/>
      <w:r w:rsidR="00AD37CE">
        <w:t>Voidables</w:t>
      </w:r>
      <w:proofErr w:type="spellEnd"/>
      <w:r w:rsidR="00AD37CE">
        <w:t xml:space="preserve"> Proceeding the </w:t>
      </w:r>
      <w:r w:rsidR="00AF1F57">
        <w:t>Liquidators</w:t>
      </w:r>
      <w:r w:rsidR="00AD37CE">
        <w:t xml:space="preserve"> </w:t>
      </w:r>
      <w:r w:rsidR="00AF1F57">
        <w:t xml:space="preserve">also </w:t>
      </w:r>
      <w:r w:rsidR="00AD37CE">
        <w:t>see</w:t>
      </w:r>
      <w:r w:rsidR="001B55C3">
        <w:t>k</w:t>
      </w:r>
      <w:r w:rsidR="00AD37CE">
        <w:t xml:space="preserve"> </w:t>
      </w:r>
      <w:r w:rsidR="004449D3">
        <w:t>accounts and equitable compensation for mon</w:t>
      </w:r>
      <w:r w:rsidR="00910929">
        <w:t>ey</w:t>
      </w:r>
      <w:r w:rsidR="004449D3">
        <w:t xml:space="preserve">s </w:t>
      </w:r>
      <w:r w:rsidR="00AF1F57">
        <w:t>had</w:t>
      </w:r>
      <w:r w:rsidR="004449D3">
        <w:t xml:space="preserve"> and received and money retained without lawful entitlement</w:t>
      </w:r>
      <w:r w:rsidR="00AF1F57">
        <w:t xml:space="preserve">; </w:t>
      </w:r>
      <w:r w:rsidR="00316DDE">
        <w:t>and</w:t>
      </w:r>
    </w:p>
    <w:p w14:paraId="21BD2179" w14:textId="41D3141A" w:rsidR="008B7247" w:rsidRDefault="00D313AC" w:rsidP="00D313AC">
      <w:pPr>
        <w:pStyle w:val="ListNo1"/>
        <w:numPr>
          <w:ilvl w:val="0"/>
          <w:numId w:val="0"/>
        </w:numPr>
        <w:tabs>
          <w:tab w:val="left" w:pos="720"/>
        </w:tabs>
        <w:ind w:left="720" w:hanging="720"/>
      </w:pPr>
      <w:r>
        <w:t>(4)</w:t>
      </w:r>
      <w:r>
        <w:tab/>
      </w:r>
      <w:r w:rsidR="008B7247">
        <w:t xml:space="preserve">there remain 28 defendants to the RC Group </w:t>
      </w:r>
      <w:proofErr w:type="spellStart"/>
      <w:r w:rsidR="008B7247">
        <w:t>Voidables</w:t>
      </w:r>
      <w:proofErr w:type="spellEnd"/>
      <w:r w:rsidR="008B7247">
        <w:t xml:space="preserve"> </w:t>
      </w:r>
      <w:r w:rsidR="00FC3AC7">
        <w:t>P</w:t>
      </w:r>
      <w:r w:rsidR="008B7247">
        <w:t xml:space="preserve">roceeding </w:t>
      </w:r>
      <w:r w:rsidR="002D44EC">
        <w:t xml:space="preserve">against whom the </w:t>
      </w:r>
      <w:r w:rsidR="00D2284E">
        <w:t xml:space="preserve">Liquidators claim </w:t>
      </w:r>
      <w:r w:rsidR="00837B91">
        <w:t>relief</w:t>
      </w:r>
      <w:r w:rsidR="00D2284E">
        <w:t xml:space="preserve"> totalling $11,577,157.  The </w:t>
      </w:r>
      <w:r w:rsidR="00837B91">
        <w:t>number</w:t>
      </w:r>
      <w:r w:rsidR="00D2284E">
        <w:t xml:space="preserve"> of </w:t>
      </w:r>
      <w:r w:rsidR="00837B91">
        <w:t>defendants</w:t>
      </w:r>
      <w:r w:rsidR="00D2284E">
        <w:t xml:space="preserve"> has reduced </w:t>
      </w:r>
      <w:r w:rsidR="008B7247">
        <w:t>because:</w:t>
      </w:r>
    </w:p>
    <w:p w14:paraId="3DFC7876" w14:textId="5B901719" w:rsidR="000B78B8" w:rsidRDefault="00D313AC" w:rsidP="00D313AC">
      <w:pPr>
        <w:pStyle w:val="ListNo2"/>
        <w:numPr>
          <w:ilvl w:val="0"/>
          <w:numId w:val="0"/>
        </w:numPr>
        <w:tabs>
          <w:tab w:val="left" w:pos="1428"/>
        </w:tabs>
        <w:ind w:left="1428" w:hanging="720"/>
      </w:pPr>
      <w:r>
        <w:t>(a)</w:t>
      </w:r>
      <w:r>
        <w:tab/>
      </w:r>
      <w:r w:rsidR="000B78B8">
        <w:t>si</w:t>
      </w:r>
      <w:r w:rsidR="005D462C">
        <w:t>n</w:t>
      </w:r>
      <w:r w:rsidR="000B78B8">
        <w:t xml:space="preserve">ce </w:t>
      </w:r>
      <w:r w:rsidR="000D46DA">
        <w:t>the</w:t>
      </w:r>
      <w:r w:rsidR="00FC3AC7">
        <w:t xml:space="preserve"> </w:t>
      </w:r>
      <w:r w:rsidR="000B78B8">
        <w:t>commenc</w:t>
      </w:r>
      <w:r w:rsidR="00FC3AC7">
        <w:t xml:space="preserve">ement </w:t>
      </w:r>
      <w:r w:rsidR="000D46DA">
        <w:t xml:space="preserve">of the proceeding </w:t>
      </w:r>
      <w:r w:rsidR="000B78B8">
        <w:t xml:space="preserve">the </w:t>
      </w:r>
      <w:r w:rsidR="005D462C">
        <w:t>L</w:t>
      </w:r>
      <w:r w:rsidR="000B78B8">
        <w:t>iquidators have settled their claims against n</w:t>
      </w:r>
      <w:r w:rsidR="005D462C">
        <w:t>in</w:t>
      </w:r>
      <w:r w:rsidR="000B78B8">
        <w:t xml:space="preserve">e </w:t>
      </w:r>
      <w:r w:rsidR="005D462C">
        <w:t>o</w:t>
      </w:r>
      <w:r w:rsidR="000B78B8">
        <w:t xml:space="preserve">f the 39 named </w:t>
      </w:r>
      <w:r w:rsidR="005D462C">
        <w:t>defendants on confidential terms</w:t>
      </w:r>
      <w:r w:rsidR="00670E6E">
        <w:t xml:space="preserve">; and </w:t>
      </w:r>
    </w:p>
    <w:p w14:paraId="11234DF2" w14:textId="2890F191" w:rsidR="005D462C" w:rsidRDefault="00D313AC" w:rsidP="00D313AC">
      <w:pPr>
        <w:pStyle w:val="ListNo2"/>
        <w:numPr>
          <w:ilvl w:val="0"/>
          <w:numId w:val="0"/>
        </w:numPr>
        <w:tabs>
          <w:tab w:val="left" w:pos="1428"/>
        </w:tabs>
        <w:ind w:left="1428" w:hanging="720"/>
      </w:pPr>
      <w:r>
        <w:t>(b)</w:t>
      </w:r>
      <w:r>
        <w:tab/>
      </w:r>
      <w:r w:rsidR="00670E6E">
        <w:t xml:space="preserve">on 2 </w:t>
      </w:r>
      <w:r w:rsidR="008B7247">
        <w:t>November</w:t>
      </w:r>
      <w:r w:rsidR="00670E6E">
        <w:t xml:space="preserve"> 2022 AKA Civil</w:t>
      </w:r>
      <w:r w:rsidR="00517A19">
        <w:t xml:space="preserve"> Australia Pty Ltd (in liquidation)</w:t>
      </w:r>
      <w:r w:rsidR="00670E6E">
        <w:t xml:space="preserve"> and AKA </w:t>
      </w:r>
      <w:r w:rsidR="00A6581A">
        <w:t>(</w:t>
      </w:r>
      <w:r w:rsidR="00670E6E">
        <w:t>NSW</w:t>
      </w:r>
      <w:r w:rsidR="00A6581A">
        <w:t>) Pty Ltd (in liquidation)</w:t>
      </w:r>
      <w:r w:rsidR="00670E6E">
        <w:t xml:space="preserve">, the </w:t>
      </w:r>
      <w:r w:rsidR="008B7247">
        <w:t>ninth</w:t>
      </w:r>
      <w:r w:rsidR="00670E6E">
        <w:t xml:space="preserve"> and tenth defendants</w:t>
      </w:r>
      <w:r w:rsidR="008B7247">
        <w:t xml:space="preserve"> to </w:t>
      </w:r>
      <w:r w:rsidR="00670E6E">
        <w:t xml:space="preserve">the </w:t>
      </w:r>
      <w:r w:rsidR="00A2332D">
        <w:t>p</w:t>
      </w:r>
      <w:r w:rsidR="00670E6E">
        <w:t>roceeding</w:t>
      </w:r>
      <w:r w:rsidR="008B7247">
        <w:t>,</w:t>
      </w:r>
      <w:r w:rsidR="00670E6E">
        <w:t xml:space="preserve"> were placed into liquidation</w:t>
      </w:r>
      <w:r w:rsidR="008B7247">
        <w:t>.</w:t>
      </w:r>
    </w:p>
    <w:p w14:paraId="232D10BB" w14:textId="01760B02" w:rsidR="00214755" w:rsidRDefault="00D313AC" w:rsidP="00D313AC">
      <w:pPr>
        <w:pStyle w:val="ParaNumbering"/>
        <w:numPr>
          <w:ilvl w:val="0"/>
          <w:numId w:val="0"/>
        </w:numPr>
        <w:ind w:hanging="720"/>
      </w:pPr>
      <w:r>
        <w:rPr>
          <w:sz w:val="20"/>
        </w:rPr>
        <w:t>47</w:t>
      </w:r>
      <w:r>
        <w:rPr>
          <w:sz w:val="20"/>
        </w:rPr>
        <w:tab/>
      </w:r>
      <w:r w:rsidR="007C6DF0">
        <w:t>Mr Vaughan also notes in relation to the transaction</w:t>
      </w:r>
      <w:r w:rsidR="000D2C7D">
        <w:t>s</w:t>
      </w:r>
      <w:r w:rsidR="007C6DF0">
        <w:t xml:space="preserve"> the subject of the </w:t>
      </w:r>
      <w:r w:rsidR="00A27704">
        <w:t>Statutory</w:t>
      </w:r>
      <w:r w:rsidR="007C6DF0">
        <w:t xml:space="preserve"> Claims that:</w:t>
      </w:r>
    </w:p>
    <w:p w14:paraId="50DAEE6A" w14:textId="7BE7AA1D" w:rsidR="00A27704" w:rsidRDefault="00D313AC" w:rsidP="00D313AC">
      <w:pPr>
        <w:pStyle w:val="ListNo1"/>
        <w:numPr>
          <w:ilvl w:val="0"/>
          <w:numId w:val="0"/>
        </w:numPr>
        <w:tabs>
          <w:tab w:val="left" w:pos="720"/>
        </w:tabs>
        <w:ind w:left="720" w:hanging="720"/>
      </w:pPr>
      <w:r>
        <w:t>(1)</w:t>
      </w:r>
      <w:r>
        <w:tab/>
      </w:r>
      <w:r w:rsidR="00A27704">
        <w:t>in the case of RC Group, they comprise electronic funds transfers or cash withdrawals, which, in turn, comprise a portion of the total of over $29 million which was withdrawn from the company</w:t>
      </w:r>
      <w:r w:rsidR="00C77E8F">
        <w:t>’</w:t>
      </w:r>
      <w:r w:rsidR="00A27704">
        <w:t>s accounts;</w:t>
      </w:r>
    </w:p>
    <w:p w14:paraId="0E968D3D" w14:textId="4B1190AA" w:rsidR="000D2C7D" w:rsidRDefault="00D313AC" w:rsidP="00D313AC">
      <w:pPr>
        <w:pStyle w:val="ListNo1"/>
        <w:numPr>
          <w:ilvl w:val="0"/>
          <w:numId w:val="0"/>
        </w:numPr>
        <w:tabs>
          <w:tab w:val="left" w:pos="720"/>
        </w:tabs>
        <w:ind w:left="720" w:hanging="720"/>
      </w:pPr>
      <w:r>
        <w:t>(2)</w:t>
      </w:r>
      <w:r>
        <w:tab/>
      </w:r>
      <w:r w:rsidR="000D2C7D">
        <w:t xml:space="preserve">in the case of the </w:t>
      </w:r>
      <w:proofErr w:type="spellStart"/>
      <w:r w:rsidR="00926212">
        <w:t>I</w:t>
      </w:r>
      <w:r w:rsidR="000D2C7D">
        <w:t>nterfreight</w:t>
      </w:r>
      <w:proofErr w:type="spellEnd"/>
      <w:r w:rsidR="000D2C7D">
        <w:t xml:space="preserve"> Proceeding and </w:t>
      </w:r>
      <w:proofErr w:type="spellStart"/>
      <w:r w:rsidR="000D2C7D">
        <w:t>Silverhills</w:t>
      </w:r>
      <w:proofErr w:type="spellEnd"/>
      <w:r w:rsidR="000D2C7D">
        <w:t xml:space="preserve"> </w:t>
      </w:r>
      <w:r w:rsidR="00926212">
        <w:t xml:space="preserve">Haulage </w:t>
      </w:r>
      <w:r w:rsidR="000D2C7D">
        <w:t>Proceeding, they comprise electronic funds transfers and the disposition of the assets of the plaintiff companies;</w:t>
      </w:r>
    </w:p>
    <w:p w14:paraId="0E20B280" w14:textId="0AE695E8" w:rsidR="000D2C7D" w:rsidRDefault="00D313AC" w:rsidP="00D313AC">
      <w:pPr>
        <w:pStyle w:val="ListNo1"/>
        <w:numPr>
          <w:ilvl w:val="0"/>
          <w:numId w:val="0"/>
        </w:numPr>
        <w:tabs>
          <w:tab w:val="left" w:pos="720"/>
        </w:tabs>
        <w:ind w:left="720" w:hanging="720"/>
      </w:pPr>
      <w:r>
        <w:t>(3)</w:t>
      </w:r>
      <w:r>
        <w:tab/>
      </w:r>
      <w:r w:rsidR="007A1B3D">
        <w:t xml:space="preserve">the Liquidators have not been able to identify any or any </w:t>
      </w:r>
      <w:r w:rsidR="000D2C7D">
        <w:t>material benefit to the plaintiff company that made the payment</w:t>
      </w:r>
      <w:r w:rsidR="00F507F0">
        <w:t xml:space="preserve"> in each case</w:t>
      </w:r>
      <w:r w:rsidR="000D2C7D">
        <w:t>;</w:t>
      </w:r>
    </w:p>
    <w:p w14:paraId="23784494" w14:textId="1FF4BC40" w:rsidR="00422C60" w:rsidRDefault="00D313AC" w:rsidP="00D313AC">
      <w:pPr>
        <w:pStyle w:val="ListNo1"/>
        <w:numPr>
          <w:ilvl w:val="0"/>
          <w:numId w:val="0"/>
        </w:numPr>
        <w:tabs>
          <w:tab w:val="left" w:pos="720"/>
        </w:tabs>
        <w:ind w:left="720" w:hanging="720"/>
      </w:pPr>
      <w:r>
        <w:t>(4)</w:t>
      </w:r>
      <w:r>
        <w:tab/>
      </w:r>
      <w:r w:rsidR="00422C60">
        <w:t xml:space="preserve">there was no or no adequate record that would explain the nature of the transaction or otherwise be expected to be retained in the books and records of RC Group or the </w:t>
      </w:r>
      <w:r w:rsidR="00EF2FB8">
        <w:t xml:space="preserve">companies in the </w:t>
      </w:r>
      <w:proofErr w:type="spellStart"/>
      <w:r w:rsidR="00422C60">
        <w:t>Tabuso</w:t>
      </w:r>
      <w:proofErr w:type="spellEnd"/>
      <w:r w:rsidR="00422C60">
        <w:t xml:space="preserve"> </w:t>
      </w:r>
      <w:r w:rsidR="00320B05">
        <w:t>Group</w:t>
      </w:r>
      <w:r w:rsidR="00422C60">
        <w:t>; and</w:t>
      </w:r>
    </w:p>
    <w:p w14:paraId="1257F3B8" w14:textId="0BD5B105" w:rsidR="001A06F2" w:rsidRDefault="00D313AC" w:rsidP="00D313AC">
      <w:pPr>
        <w:pStyle w:val="ListNo1"/>
        <w:numPr>
          <w:ilvl w:val="0"/>
          <w:numId w:val="0"/>
        </w:numPr>
        <w:tabs>
          <w:tab w:val="left" w:pos="720"/>
        </w:tabs>
        <w:ind w:left="720" w:hanging="720"/>
      </w:pPr>
      <w:r>
        <w:lastRenderedPageBreak/>
        <w:t>(5)</w:t>
      </w:r>
      <w:r>
        <w:tab/>
      </w:r>
      <w:r w:rsidR="00320B05">
        <w:t xml:space="preserve">the Liquidators have not been able to identify </w:t>
      </w:r>
      <w:r w:rsidR="007A1B3D">
        <w:t xml:space="preserve">any or any </w:t>
      </w:r>
      <w:r w:rsidR="0082064A">
        <w:t>adequate consideration provided by the recipient to the plaintiff compan</w:t>
      </w:r>
      <w:r w:rsidR="007C6B56">
        <w:t>ies</w:t>
      </w:r>
      <w:r w:rsidR="0082064A">
        <w:t xml:space="preserve">. </w:t>
      </w:r>
      <w:r w:rsidR="00422C60">
        <w:t xml:space="preserve"> </w:t>
      </w:r>
      <w:r w:rsidR="000D2C7D">
        <w:t xml:space="preserve"> </w:t>
      </w:r>
    </w:p>
    <w:p w14:paraId="1609BAAB" w14:textId="06EB3D2D" w:rsidR="001A06F2" w:rsidRDefault="001A06F2" w:rsidP="001A06F2">
      <w:pPr>
        <w:pStyle w:val="Heading3"/>
      </w:pPr>
      <w:r>
        <w:t xml:space="preserve">Negligence </w:t>
      </w:r>
      <w:r w:rsidR="00440DE3">
        <w:t>proceedings</w:t>
      </w:r>
    </w:p>
    <w:p w14:paraId="2AAD08D2" w14:textId="725D9979" w:rsidR="00B73E79" w:rsidRDefault="00D313AC" w:rsidP="00D313AC">
      <w:pPr>
        <w:pStyle w:val="ParaNumbering"/>
        <w:numPr>
          <w:ilvl w:val="0"/>
          <w:numId w:val="0"/>
        </w:numPr>
        <w:ind w:hanging="720"/>
      </w:pPr>
      <w:r>
        <w:rPr>
          <w:sz w:val="20"/>
        </w:rPr>
        <w:t>48</w:t>
      </w:r>
      <w:r>
        <w:rPr>
          <w:sz w:val="20"/>
        </w:rPr>
        <w:tab/>
      </w:r>
      <w:r w:rsidR="00B73E79">
        <w:t>Two further proceedings have been commenced:</w:t>
      </w:r>
    </w:p>
    <w:p w14:paraId="40546B99" w14:textId="42668733" w:rsidR="00E82661" w:rsidRDefault="00D313AC" w:rsidP="00D313AC">
      <w:pPr>
        <w:pStyle w:val="ListNo1"/>
        <w:numPr>
          <w:ilvl w:val="0"/>
          <w:numId w:val="0"/>
        </w:numPr>
        <w:tabs>
          <w:tab w:val="left" w:pos="720"/>
        </w:tabs>
        <w:ind w:left="720" w:hanging="720"/>
      </w:pPr>
      <w:r>
        <w:t>(1)</w:t>
      </w:r>
      <w:r>
        <w:tab/>
      </w:r>
      <w:r w:rsidR="00B73E79">
        <w:t>o</w:t>
      </w:r>
      <w:r w:rsidR="00440DE3">
        <w:t xml:space="preserve">n </w:t>
      </w:r>
      <w:r w:rsidR="0022567B">
        <w:t>17</w:t>
      </w:r>
      <w:r w:rsidR="00440DE3">
        <w:t xml:space="preserve"> August 2020 RC Group </w:t>
      </w:r>
      <w:r w:rsidR="008E0A67">
        <w:t xml:space="preserve">and the Liquidators </w:t>
      </w:r>
      <w:r w:rsidR="00440DE3">
        <w:t xml:space="preserve">commenced proceeding number </w:t>
      </w:r>
      <w:r w:rsidR="00CD6AB2">
        <w:t>2020/</w:t>
      </w:r>
      <w:r w:rsidR="00871643">
        <w:t>00239747 in the Supreme Court against Mr Iannuzzi</w:t>
      </w:r>
      <w:r w:rsidR="009D6970">
        <w:t>, Maggie Chan in her capacity as the executrix of the estate of the late M</w:t>
      </w:r>
      <w:r w:rsidR="008A3AC7">
        <w:t>r</w:t>
      </w:r>
      <w:r w:rsidR="009D6970">
        <w:t xml:space="preserve"> Godfrey and Veritas Advisory </w:t>
      </w:r>
      <w:r w:rsidR="00871643">
        <w:t>as defendant</w:t>
      </w:r>
      <w:r w:rsidR="009D6970">
        <w:t>s</w:t>
      </w:r>
      <w:r w:rsidR="00871643">
        <w:t xml:space="preserve"> (</w:t>
      </w:r>
      <w:r w:rsidR="00871643" w:rsidRPr="00B73E79">
        <w:rPr>
          <w:b/>
          <w:bCs/>
        </w:rPr>
        <w:t>RC Group Negligence Proceeding</w:t>
      </w:r>
      <w:r w:rsidR="00871643">
        <w:t>)</w:t>
      </w:r>
      <w:r w:rsidR="00B95037">
        <w:t>;</w:t>
      </w:r>
      <w:r w:rsidR="00871643">
        <w:t xml:space="preserve"> and </w:t>
      </w:r>
    </w:p>
    <w:p w14:paraId="2AC83444" w14:textId="425B44AD" w:rsidR="00A27704" w:rsidRDefault="00D313AC" w:rsidP="00D313AC">
      <w:pPr>
        <w:pStyle w:val="ListNo1"/>
        <w:numPr>
          <w:ilvl w:val="0"/>
          <w:numId w:val="0"/>
        </w:numPr>
        <w:tabs>
          <w:tab w:val="left" w:pos="720"/>
        </w:tabs>
        <w:ind w:left="720" w:hanging="720"/>
      </w:pPr>
      <w:r>
        <w:t>(2)</w:t>
      </w:r>
      <w:r>
        <w:tab/>
      </w:r>
      <w:r w:rsidR="00871643">
        <w:t xml:space="preserve">on </w:t>
      </w:r>
      <w:r w:rsidR="005D597B">
        <w:t>7</w:t>
      </w:r>
      <w:r w:rsidR="002815C3">
        <w:t> </w:t>
      </w:r>
      <w:r w:rsidR="005D597B">
        <w:t xml:space="preserve">December 2020 </w:t>
      </w:r>
      <w:r w:rsidR="002B3226">
        <w:t xml:space="preserve">the </w:t>
      </w:r>
      <w:proofErr w:type="spellStart"/>
      <w:r w:rsidR="002B3226">
        <w:t>Tabuso</w:t>
      </w:r>
      <w:proofErr w:type="spellEnd"/>
      <w:r w:rsidR="002B3226">
        <w:t xml:space="preserve"> Group </w:t>
      </w:r>
      <w:r w:rsidR="00E82661">
        <w:t xml:space="preserve">companies </w:t>
      </w:r>
      <w:r w:rsidR="002B3226">
        <w:t xml:space="preserve">and the Liquidators </w:t>
      </w:r>
      <w:r w:rsidR="005D597B">
        <w:t xml:space="preserve">commenced </w:t>
      </w:r>
      <w:r w:rsidR="002815C3">
        <w:t>proceeding</w:t>
      </w:r>
      <w:r w:rsidR="005D597B">
        <w:t xml:space="preserve"> number </w:t>
      </w:r>
      <w:r w:rsidR="003B4A65">
        <w:t>2020/</w:t>
      </w:r>
      <w:r w:rsidR="005D597B">
        <w:t xml:space="preserve">00347646 </w:t>
      </w:r>
      <w:r w:rsidR="002815C3">
        <w:t>in the Supreme Court against</w:t>
      </w:r>
      <w:r w:rsidR="005D597B">
        <w:t xml:space="preserve"> Mr</w:t>
      </w:r>
      <w:r w:rsidR="00E83A52">
        <w:t> </w:t>
      </w:r>
      <w:r w:rsidR="005D597B">
        <w:t>Iannuzzi</w:t>
      </w:r>
      <w:r w:rsidR="009D6970">
        <w:t>, Ms Chan in her capacity as the executrix of the estate of the late M</w:t>
      </w:r>
      <w:r w:rsidR="008A3AC7">
        <w:t>r</w:t>
      </w:r>
      <w:r w:rsidR="009D6970">
        <w:t xml:space="preserve"> Godfrey and Veritas</w:t>
      </w:r>
      <w:r w:rsidR="00D244BE">
        <w:t> </w:t>
      </w:r>
      <w:r w:rsidR="009D6970">
        <w:t>Advisory</w:t>
      </w:r>
      <w:r w:rsidR="005D597B">
        <w:t xml:space="preserve"> as defendant</w:t>
      </w:r>
      <w:r w:rsidR="009D6970">
        <w:t>s</w:t>
      </w:r>
      <w:r w:rsidR="005D597B">
        <w:t xml:space="preserve"> </w:t>
      </w:r>
      <w:r w:rsidR="002815C3">
        <w:t>(</w:t>
      </w:r>
      <w:proofErr w:type="spellStart"/>
      <w:r w:rsidR="002815C3" w:rsidRPr="00B73E79">
        <w:rPr>
          <w:b/>
          <w:bCs/>
        </w:rPr>
        <w:t>Tabuso</w:t>
      </w:r>
      <w:proofErr w:type="spellEnd"/>
      <w:r w:rsidR="002815C3" w:rsidRPr="00B73E79">
        <w:rPr>
          <w:b/>
          <w:bCs/>
        </w:rPr>
        <w:t xml:space="preserve"> Negligence Proceeding</w:t>
      </w:r>
      <w:r w:rsidR="002815C3">
        <w:t>).</w:t>
      </w:r>
    </w:p>
    <w:p w14:paraId="2E09E514" w14:textId="0194BE75" w:rsidR="00260C42" w:rsidRDefault="00D313AC" w:rsidP="00D313AC">
      <w:pPr>
        <w:pStyle w:val="ParaNumbering"/>
        <w:numPr>
          <w:ilvl w:val="0"/>
          <w:numId w:val="0"/>
        </w:numPr>
        <w:ind w:hanging="720"/>
      </w:pPr>
      <w:r>
        <w:rPr>
          <w:sz w:val="20"/>
        </w:rPr>
        <w:t>49</w:t>
      </w:r>
      <w:r>
        <w:rPr>
          <w:sz w:val="20"/>
        </w:rPr>
        <w:tab/>
      </w:r>
      <w:r w:rsidR="00260C42">
        <w:t xml:space="preserve">In the RC Group Negligence Proceeding and the </w:t>
      </w:r>
      <w:proofErr w:type="spellStart"/>
      <w:r w:rsidR="00260C42">
        <w:t>Tabuso</w:t>
      </w:r>
      <w:proofErr w:type="spellEnd"/>
      <w:r w:rsidR="00260C42">
        <w:t xml:space="preserve"> Negligence Proceeding</w:t>
      </w:r>
      <w:r w:rsidR="00E82661">
        <w:t xml:space="preserve"> (together </w:t>
      </w:r>
      <w:r w:rsidR="00E82661" w:rsidRPr="00F473E8">
        <w:rPr>
          <w:b/>
          <w:bCs/>
        </w:rPr>
        <w:t>Negligence Proceedings</w:t>
      </w:r>
      <w:r w:rsidR="00E82661">
        <w:t xml:space="preserve">) </w:t>
      </w:r>
      <w:r w:rsidR="00506426">
        <w:t xml:space="preserve">the </w:t>
      </w:r>
      <w:r w:rsidR="00543AAD">
        <w:t>plaintiffs</w:t>
      </w:r>
      <w:r w:rsidR="00506426">
        <w:t xml:space="preserve"> </w:t>
      </w:r>
      <w:r w:rsidR="00543AAD">
        <w:t>seek</w:t>
      </w:r>
      <w:r w:rsidR="00506426">
        <w:t xml:space="preserve"> damages for breach by the </w:t>
      </w:r>
      <w:r w:rsidR="00543AAD">
        <w:t xml:space="preserve">defendants </w:t>
      </w:r>
      <w:r w:rsidR="005405AE">
        <w:t xml:space="preserve">to those proceedings </w:t>
      </w:r>
      <w:r w:rsidR="00506426">
        <w:t xml:space="preserve">of ss 180, 181, 182 and 183 of </w:t>
      </w:r>
      <w:r w:rsidR="00543AAD">
        <w:t>the Corporations</w:t>
      </w:r>
      <w:r w:rsidR="00506426">
        <w:t xml:space="preserve"> Act and </w:t>
      </w:r>
      <w:r w:rsidR="00543AAD">
        <w:t xml:space="preserve">of their general law duties.  Mr Vaughan explains that those </w:t>
      </w:r>
      <w:r w:rsidR="00134478">
        <w:t>proceedings</w:t>
      </w:r>
      <w:r w:rsidR="00543AAD">
        <w:t xml:space="preserve"> were commenced in </w:t>
      </w:r>
      <w:r w:rsidR="00134478">
        <w:t>circumstances</w:t>
      </w:r>
      <w:r w:rsidR="00543AAD">
        <w:t xml:space="preserve"> where Mr</w:t>
      </w:r>
      <w:r w:rsidR="00854EE5">
        <w:t> </w:t>
      </w:r>
      <w:r w:rsidR="00543AAD">
        <w:t>Iannuzzi</w:t>
      </w:r>
      <w:r w:rsidR="00134478">
        <w:t xml:space="preserve">, by the Agreed Statement of Facts, admitted that he breached various duties owed to RC Group and to the </w:t>
      </w:r>
      <w:proofErr w:type="spellStart"/>
      <w:r w:rsidR="00134478">
        <w:t>Tabuso</w:t>
      </w:r>
      <w:proofErr w:type="spellEnd"/>
      <w:r w:rsidR="00134478">
        <w:t xml:space="preserve"> Group</w:t>
      </w:r>
      <w:r w:rsidR="00BB60E9">
        <w:t xml:space="preserve"> and</w:t>
      </w:r>
      <w:r w:rsidR="00134478">
        <w:t xml:space="preserve"> where in </w:t>
      </w:r>
      <w:r w:rsidR="00A14704">
        <w:rPr>
          <w:i/>
          <w:iCs/>
        </w:rPr>
        <w:t>Iannuzzi (No 2)</w:t>
      </w:r>
      <w:r w:rsidR="00A14704">
        <w:t xml:space="preserve"> </w:t>
      </w:r>
      <w:r w:rsidR="00BB60E9">
        <w:t>at [220] the Court acknowledged that there were possible losses to creditors.</w:t>
      </w:r>
    </w:p>
    <w:p w14:paraId="5A17FACC" w14:textId="3027CA9D" w:rsidR="007952DB" w:rsidRDefault="00D313AC" w:rsidP="00D313AC">
      <w:pPr>
        <w:pStyle w:val="ParaNumbering"/>
        <w:numPr>
          <w:ilvl w:val="0"/>
          <w:numId w:val="0"/>
        </w:numPr>
        <w:ind w:hanging="720"/>
      </w:pPr>
      <w:r>
        <w:rPr>
          <w:sz w:val="20"/>
        </w:rPr>
        <w:t>50</w:t>
      </w:r>
      <w:r>
        <w:rPr>
          <w:sz w:val="20"/>
        </w:rPr>
        <w:tab/>
      </w:r>
      <w:r w:rsidR="00854EE5">
        <w:t>According to Mr Vaughan, t</w:t>
      </w:r>
      <w:r w:rsidR="00147032">
        <w:t>he damages sought by the Liquidators in the Negligence Proceeding</w:t>
      </w:r>
      <w:r w:rsidR="005C2C51">
        <w:t>s</w:t>
      </w:r>
      <w:r w:rsidR="00147032">
        <w:t xml:space="preserve"> cannot be quantified </w:t>
      </w:r>
      <w:r w:rsidR="00956483">
        <w:t xml:space="preserve">until the </w:t>
      </w:r>
      <w:r w:rsidR="001C6884" w:rsidRPr="001C6884">
        <w:t>Supreme Court Proceedings</w:t>
      </w:r>
      <w:r w:rsidR="001C6884">
        <w:t xml:space="preserve"> </w:t>
      </w:r>
      <w:r w:rsidR="00956483">
        <w:t>have concluded.</w:t>
      </w:r>
    </w:p>
    <w:p w14:paraId="045908F9" w14:textId="7F852B01" w:rsidR="0020759F" w:rsidRDefault="0006572B" w:rsidP="00F473E8">
      <w:pPr>
        <w:pStyle w:val="Heading2"/>
      </w:pPr>
      <w:r>
        <w:t xml:space="preserve">Consequences </w:t>
      </w:r>
      <w:r w:rsidR="00A634AD">
        <w:t xml:space="preserve">if the Reinstatement Orders are </w:t>
      </w:r>
      <w:r w:rsidR="00D244BE">
        <w:t xml:space="preserve">discharged </w:t>
      </w:r>
      <w:r w:rsidR="00A634AD">
        <w:t>or varied</w:t>
      </w:r>
    </w:p>
    <w:p w14:paraId="2DDFB55E" w14:textId="22DA6A2B" w:rsidR="00A634AD" w:rsidRDefault="00D313AC" w:rsidP="00D313AC">
      <w:pPr>
        <w:pStyle w:val="ParaNumbering"/>
        <w:numPr>
          <w:ilvl w:val="0"/>
          <w:numId w:val="0"/>
        </w:numPr>
        <w:ind w:hanging="720"/>
      </w:pPr>
      <w:r>
        <w:rPr>
          <w:sz w:val="20"/>
        </w:rPr>
        <w:t>51</w:t>
      </w:r>
      <w:r>
        <w:rPr>
          <w:sz w:val="20"/>
        </w:rPr>
        <w:tab/>
      </w:r>
      <w:r w:rsidR="00A634AD">
        <w:t>Mr Vaughan understands that if the Reinstatement Orders are set aside or varied the Statutory</w:t>
      </w:r>
      <w:r w:rsidR="009053C5">
        <w:t> </w:t>
      </w:r>
      <w:r w:rsidR="00A634AD">
        <w:t xml:space="preserve">Claims would be time barred by reason of s 588FF(3) of the Corporation Act and those claims, which are assets available to RC Group and the </w:t>
      </w:r>
      <w:proofErr w:type="spellStart"/>
      <w:r w:rsidR="00A634AD">
        <w:t>Tabuso</w:t>
      </w:r>
      <w:proofErr w:type="spellEnd"/>
      <w:r w:rsidR="00A634AD">
        <w:t xml:space="preserve"> Group</w:t>
      </w:r>
      <w:r w:rsidR="00360A99">
        <w:t xml:space="preserve"> companies</w:t>
      </w:r>
      <w:r w:rsidR="00A634AD">
        <w:t xml:space="preserve">, would be extinguished.  </w:t>
      </w:r>
    </w:p>
    <w:p w14:paraId="21F5748B" w14:textId="43C976AC" w:rsidR="00A634AD" w:rsidRDefault="00D313AC" w:rsidP="00D313AC">
      <w:pPr>
        <w:pStyle w:val="ParaNumbering"/>
        <w:numPr>
          <w:ilvl w:val="0"/>
          <w:numId w:val="0"/>
        </w:numPr>
        <w:ind w:hanging="720"/>
      </w:pPr>
      <w:r>
        <w:rPr>
          <w:sz w:val="20"/>
        </w:rPr>
        <w:t>52</w:t>
      </w:r>
      <w:r>
        <w:rPr>
          <w:sz w:val="20"/>
        </w:rPr>
        <w:tab/>
      </w:r>
      <w:r w:rsidR="00A634AD">
        <w:t xml:space="preserve">Mr Vaughan notes that the </w:t>
      </w:r>
      <w:r w:rsidR="00761CD3">
        <w:t>Liquidators have</w:t>
      </w:r>
      <w:r w:rsidR="00A634AD">
        <w:t xml:space="preserve"> </w:t>
      </w:r>
      <w:r w:rsidR="00834165">
        <w:t>alternative causes of action</w:t>
      </w:r>
      <w:r w:rsidR="00761CD3">
        <w:t xml:space="preserve"> on foot </w:t>
      </w:r>
      <w:r w:rsidR="00834165">
        <w:t xml:space="preserve">by which they seek to recover the value of the Statutory Claims, including the </w:t>
      </w:r>
      <w:r w:rsidR="000A2D4C">
        <w:t>Negligence Proceeding</w:t>
      </w:r>
      <w:r w:rsidR="007B534B">
        <w:t>s</w:t>
      </w:r>
      <w:r w:rsidR="000A2D4C">
        <w:t xml:space="preserve"> and the alternative </w:t>
      </w:r>
      <w:r w:rsidR="00761CD3">
        <w:t xml:space="preserve">equitable </w:t>
      </w:r>
      <w:r w:rsidR="000A2D4C">
        <w:t xml:space="preserve">causes of action pleaded in the RC Group </w:t>
      </w:r>
      <w:proofErr w:type="spellStart"/>
      <w:r w:rsidR="000A2D4C">
        <w:t>Voidables</w:t>
      </w:r>
      <w:proofErr w:type="spellEnd"/>
      <w:r w:rsidR="000A2D4C">
        <w:t xml:space="preserve"> </w:t>
      </w:r>
      <w:r w:rsidR="00761CD3">
        <w:t>Proceeding</w:t>
      </w:r>
      <w:r w:rsidR="00B153DC">
        <w:t>.</w:t>
      </w:r>
      <w:r w:rsidR="00761CD3">
        <w:t xml:space="preserve"> </w:t>
      </w:r>
      <w:r w:rsidR="00834165">
        <w:t xml:space="preserve"> </w:t>
      </w:r>
      <w:r w:rsidR="005E355F">
        <w:lastRenderedPageBreak/>
        <w:t>H</w:t>
      </w:r>
      <w:r w:rsidR="00D63692">
        <w:t xml:space="preserve">owever, the Liquidators </w:t>
      </w:r>
      <w:r w:rsidR="003036F8">
        <w:t xml:space="preserve">consider that there </w:t>
      </w:r>
      <w:r w:rsidR="00D63692">
        <w:t xml:space="preserve">are risks to their ability to </w:t>
      </w:r>
      <w:r w:rsidR="005E355F">
        <w:t>recover</w:t>
      </w:r>
      <w:r w:rsidR="00D63692">
        <w:t xml:space="preserve"> the full value of the Statutory Claims by way of those alternative causes of action</w:t>
      </w:r>
      <w:r w:rsidR="00F716E3">
        <w:t>.  I</w:t>
      </w:r>
      <w:r w:rsidR="00F561E2">
        <w:t>n particular</w:t>
      </w:r>
      <w:r w:rsidR="005E355F">
        <w:t>:</w:t>
      </w:r>
    </w:p>
    <w:p w14:paraId="478B726E" w14:textId="3BE4637D" w:rsidR="007F709C" w:rsidRDefault="00D313AC" w:rsidP="00D313AC">
      <w:pPr>
        <w:pStyle w:val="ListNo1"/>
        <w:numPr>
          <w:ilvl w:val="0"/>
          <w:numId w:val="0"/>
        </w:numPr>
        <w:tabs>
          <w:tab w:val="left" w:pos="720"/>
        </w:tabs>
        <w:ind w:left="720" w:hanging="720"/>
      </w:pPr>
      <w:r>
        <w:t>(1)</w:t>
      </w:r>
      <w:r>
        <w:tab/>
      </w:r>
      <w:r w:rsidR="00B43611">
        <w:t xml:space="preserve">Mr Vaughan </w:t>
      </w:r>
      <w:r w:rsidR="003036F8">
        <w:t>believes</w:t>
      </w:r>
      <w:r w:rsidR="00B43611">
        <w:t xml:space="preserve"> that there is generally a better chance of recovery against a wide variety of defendants (many of whom, such as </w:t>
      </w:r>
      <w:r w:rsidR="00BA357E">
        <w:t xml:space="preserve">Mr and Mrs </w:t>
      </w:r>
      <w:proofErr w:type="spellStart"/>
      <w:r w:rsidR="00B43611">
        <w:t>Tabuso</w:t>
      </w:r>
      <w:proofErr w:type="spellEnd"/>
      <w:r w:rsidR="00B43611">
        <w:t xml:space="preserve">, own real estate) than there would be in pursuing a smaller number of defendants, particularly the defendants to the </w:t>
      </w:r>
      <w:r w:rsidR="007F709C">
        <w:t>Negligence Proceeding</w:t>
      </w:r>
      <w:r w:rsidR="00F662C6">
        <w:t>s</w:t>
      </w:r>
      <w:r w:rsidR="007F709C">
        <w:t>;</w:t>
      </w:r>
    </w:p>
    <w:p w14:paraId="172716AA" w14:textId="7059B0E6" w:rsidR="00CB1299" w:rsidRDefault="00D313AC" w:rsidP="00D313AC">
      <w:pPr>
        <w:pStyle w:val="ListNo1"/>
        <w:numPr>
          <w:ilvl w:val="0"/>
          <w:numId w:val="0"/>
        </w:numPr>
        <w:tabs>
          <w:tab w:val="left" w:pos="720"/>
        </w:tabs>
        <w:ind w:left="720" w:hanging="720"/>
      </w:pPr>
      <w:r>
        <w:t>(2)</w:t>
      </w:r>
      <w:r>
        <w:tab/>
      </w:r>
      <w:r w:rsidR="00CB1299">
        <w:t>the defendants to the Negligence Proceeding</w:t>
      </w:r>
      <w:r w:rsidR="003006D7">
        <w:t>s</w:t>
      </w:r>
      <w:r w:rsidR="00CB1299">
        <w:t xml:space="preserve"> have pleaded in their respective defences that their liability is limited pursuant to the CPA Australia Professional Standards (Accountants) Scheme with the effect that damages are limited to $2</w:t>
      </w:r>
      <w:r w:rsidR="002F56D0">
        <w:t xml:space="preserve"> million</w:t>
      </w:r>
      <w:r w:rsidR="00CB1299">
        <w:t>;</w:t>
      </w:r>
      <w:r w:rsidR="002F56D0">
        <w:t xml:space="preserve"> and</w:t>
      </w:r>
    </w:p>
    <w:p w14:paraId="51626EB4" w14:textId="51C792DB" w:rsidR="0039632E" w:rsidRPr="00A634AD" w:rsidRDefault="00D313AC" w:rsidP="00D313AC">
      <w:pPr>
        <w:pStyle w:val="ListNo1"/>
        <w:numPr>
          <w:ilvl w:val="0"/>
          <w:numId w:val="0"/>
        </w:numPr>
        <w:tabs>
          <w:tab w:val="left" w:pos="720"/>
        </w:tabs>
        <w:ind w:left="720" w:hanging="720"/>
      </w:pPr>
      <w:r w:rsidRPr="00A634AD">
        <w:t>(3)</w:t>
      </w:r>
      <w:r w:rsidRPr="00A634AD">
        <w:tab/>
      </w:r>
      <w:r w:rsidR="00474683">
        <w:t xml:space="preserve">Mr Vaughan </w:t>
      </w:r>
      <w:r w:rsidR="0039632E">
        <w:t xml:space="preserve">understands </w:t>
      </w:r>
      <w:r w:rsidR="00474683">
        <w:t>that Mr Iannuzzi and Veritas</w:t>
      </w:r>
      <w:r w:rsidR="00E4648C">
        <w:t xml:space="preserve"> Advisory</w:t>
      </w:r>
      <w:r w:rsidR="00474683">
        <w:t xml:space="preserve">, two of </w:t>
      </w:r>
      <w:r w:rsidR="006D2285">
        <w:t xml:space="preserve">the </w:t>
      </w:r>
      <w:r w:rsidR="00474683">
        <w:t>three defendants to the Negligence Proceeding</w:t>
      </w:r>
      <w:r w:rsidR="004E3812">
        <w:t>s</w:t>
      </w:r>
      <w:r w:rsidR="00DA6376">
        <w:t>,</w:t>
      </w:r>
      <w:r w:rsidR="00474683">
        <w:t xml:space="preserve"> have</w:t>
      </w:r>
      <w:r w:rsidR="004E3812">
        <w:t xml:space="preserve"> effectively</w:t>
      </w:r>
      <w:r w:rsidR="00474683">
        <w:t xml:space="preserve"> said in correspondence that they are impecunious, the insurer has denied coverage and the Liquidators ought to expect no meaningful recovery from those proceedings</w:t>
      </w:r>
      <w:r w:rsidR="002F56D0">
        <w:t>.</w:t>
      </w:r>
    </w:p>
    <w:p w14:paraId="02103A8B" w14:textId="61E9CBDC" w:rsidR="00E744AC" w:rsidRDefault="00CA05F2" w:rsidP="00CA05F2">
      <w:pPr>
        <w:pStyle w:val="Heading2"/>
      </w:pPr>
      <w:r>
        <w:t xml:space="preserve">The </w:t>
      </w:r>
      <w:r w:rsidR="00C010A4">
        <w:t>A</w:t>
      </w:r>
      <w:r>
        <w:t>pplicants</w:t>
      </w:r>
      <w:r w:rsidR="00CF6778">
        <w:t>’</w:t>
      </w:r>
      <w:r>
        <w:t xml:space="preserve"> evidence </w:t>
      </w:r>
    </w:p>
    <w:p w14:paraId="54F28AFA" w14:textId="35F6A292" w:rsidR="0002070F" w:rsidRDefault="00D313AC" w:rsidP="00D313AC">
      <w:pPr>
        <w:pStyle w:val="ParaNumbering"/>
        <w:numPr>
          <w:ilvl w:val="0"/>
          <w:numId w:val="0"/>
        </w:numPr>
        <w:ind w:hanging="720"/>
      </w:pPr>
      <w:r>
        <w:rPr>
          <w:sz w:val="20"/>
        </w:rPr>
        <w:t>53</w:t>
      </w:r>
      <w:r>
        <w:rPr>
          <w:sz w:val="20"/>
        </w:rPr>
        <w:tab/>
      </w:r>
      <w:r w:rsidR="0002070F">
        <w:t xml:space="preserve">The following </w:t>
      </w:r>
      <w:r w:rsidR="00EA35C5">
        <w:t>A</w:t>
      </w:r>
      <w:r w:rsidR="0002070F">
        <w:t>pplicants gave evidence</w:t>
      </w:r>
      <w:r w:rsidR="00F2585B">
        <w:t xml:space="preserve"> in support of their</w:t>
      </w:r>
      <w:r w:rsidR="009355ED">
        <w:t xml:space="preserve"> respective</w:t>
      </w:r>
      <w:r w:rsidR="00F2585B">
        <w:t xml:space="preserve"> applications:</w:t>
      </w:r>
    </w:p>
    <w:p w14:paraId="422CB23B" w14:textId="64D0B683" w:rsidR="00BE4E29" w:rsidRDefault="00D313AC" w:rsidP="00D313AC">
      <w:pPr>
        <w:pStyle w:val="ListNo1"/>
        <w:numPr>
          <w:ilvl w:val="0"/>
          <w:numId w:val="0"/>
        </w:numPr>
        <w:tabs>
          <w:tab w:val="left" w:pos="720"/>
        </w:tabs>
        <w:ind w:left="720" w:hanging="720"/>
      </w:pPr>
      <w:r>
        <w:t>(1)</w:t>
      </w:r>
      <w:r>
        <w:tab/>
      </w:r>
      <w:r w:rsidR="001747CB">
        <w:t>M</w:t>
      </w:r>
      <w:r w:rsidR="00FF6DFB">
        <w:t>r</w:t>
      </w:r>
      <w:r w:rsidR="001747CB">
        <w:t xml:space="preserve">s </w:t>
      </w:r>
      <w:r w:rsidR="00BE4E29">
        <w:t>Khali</w:t>
      </w:r>
      <w:r w:rsidR="007F498F">
        <w:t>l</w:t>
      </w:r>
      <w:r w:rsidR="00BE4E29">
        <w:t>;</w:t>
      </w:r>
    </w:p>
    <w:p w14:paraId="39FDDD0A" w14:textId="1FF71441" w:rsidR="00BE4E29" w:rsidRDefault="00D313AC" w:rsidP="00D313AC">
      <w:pPr>
        <w:pStyle w:val="ListNo1"/>
        <w:numPr>
          <w:ilvl w:val="0"/>
          <w:numId w:val="0"/>
        </w:numPr>
        <w:tabs>
          <w:tab w:val="left" w:pos="720"/>
        </w:tabs>
        <w:ind w:left="720" w:hanging="720"/>
      </w:pPr>
      <w:r>
        <w:t>(2)</w:t>
      </w:r>
      <w:r>
        <w:tab/>
      </w:r>
      <w:r w:rsidR="001747CB">
        <w:t>Mr</w:t>
      </w:r>
      <w:r w:rsidR="00D211A7">
        <w:t xml:space="preserve"> </w:t>
      </w:r>
      <w:r w:rsidR="00BE4E29">
        <w:t xml:space="preserve">Borg; </w:t>
      </w:r>
    </w:p>
    <w:p w14:paraId="1D09229B" w14:textId="5ED802FA" w:rsidR="007F498F" w:rsidRDefault="00D313AC" w:rsidP="00D313AC">
      <w:pPr>
        <w:pStyle w:val="ListNo1"/>
        <w:numPr>
          <w:ilvl w:val="0"/>
          <w:numId w:val="0"/>
        </w:numPr>
        <w:tabs>
          <w:tab w:val="left" w:pos="720"/>
        </w:tabs>
        <w:ind w:left="720" w:hanging="720"/>
      </w:pPr>
      <w:r>
        <w:t>(3)</w:t>
      </w:r>
      <w:r>
        <w:tab/>
      </w:r>
      <w:r w:rsidR="001747CB">
        <w:t>Mr</w:t>
      </w:r>
      <w:r w:rsidR="007F498F">
        <w:t xml:space="preserve"> </w:t>
      </w:r>
      <w:proofErr w:type="spellStart"/>
      <w:r w:rsidR="007F498F">
        <w:t>Tabuso</w:t>
      </w:r>
      <w:proofErr w:type="spellEnd"/>
      <w:r w:rsidR="007F498F">
        <w:t>;</w:t>
      </w:r>
    </w:p>
    <w:p w14:paraId="122FD5D8" w14:textId="5288A2BD" w:rsidR="007F498F" w:rsidRDefault="00D313AC" w:rsidP="00D313AC">
      <w:pPr>
        <w:pStyle w:val="ListNo1"/>
        <w:numPr>
          <w:ilvl w:val="0"/>
          <w:numId w:val="0"/>
        </w:numPr>
        <w:tabs>
          <w:tab w:val="left" w:pos="720"/>
        </w:tabs>
        <w:ind w:left="720" w:hanging="720"/>
      </w:pPr>
      <w:r>
        <w:t>(4)</w:t>
      </w:r>
      <w:r>
        <w:tab/>
      </w:r>
      <w:r w:rsidR="001747CB">
        <w:t>Ms</w:t>
      </w:r>
      <w:r w:rsidR="007F498F">
        <w:t xml:space="preserve"> </w:t>
      </w:r>
      <w:proofErr w:type="spellStart"/>
      <w:r w:rsidR="007F498F">
        <w:t>Tabuso</w:t>
      </w:r>
      <w:proofErr w:type="spellEnd"/>
      <w:r w:rsidR="007F498F">
        <w:t>;</w:t>
      </w:r>
      <w:r w:rsidR="00B01E5E">
        <w:t xml:space="preserve"> and</w:t>
      </w:r>
    </w:p>
    <w:p w14:paraId="33D1BFEA" w14:textId="1E342BFF" w:rsidR="00CA05F2" w:rsidRDefault="00D313AC" w:rsidP="00D313AC">
      <w:pPr>
        <w:pStyle w:val="ListNo1"/>
        <w:numPr>
          <w:ilvl w:val="0"/>
          <w:numId w:val="0"/>
        </w:numPr>
        <w:tabs>
          <w:tab w:val="left" w:pos="720"/>
        </w:tabs>
        <w:ind w:left="720" w:hanging="720"/>
      </w:pPr>
      <w:r>
        <w:t>(5)</w:t>
      </w:r>
      <w:r>
        <w:tab/>
      </w:r>
      <w:r w:rsidR="001747CB">
        <w:t xml:space="preserve">Mr </w:t>
      </w:r>
      <w:r w:rsidR="007F498F">
        <w:t>Ligori</w:t>
      </w:r>
      <w:r w:rsidR="00B01E5E">
        <w:t>.</w:t>
      </w:r>
      <w:r w:rsidR="0002070F">
        <w:t xml:space="preserve"> </w:t>
      </w:r>
    </w:p>
    <w:p w14:paraId="29CB11D7" w14:textId="42B7BF56" w:rsidR="00B01E5E" w:rsidRDefault="00D313AC" w:rsidP="00D313AC">
      <w:pPr>
        <w:pStyle w:val="ParaNumbering"/>
        <w:numPr>
          <w:ilvl w:val="0"/>
          <w:numId w:val="0"/>
        </w:numPr>
        <w:ind w:hanging="720"/>
      </w:pPr>
      <w:r>
        <w:rPr>
          <w:sz w:val="20"/>
        </w:rPr>
        <w:t>54</w:t>
      </w:r>
      <w:r>
        <w:rPr>
          <w:sz w:val="20"/>
        </w:rPr>
        <w:tab/>
      </w:r>
      <w:r w:rsidR="007F498F">
        <w:t>In addition</w:t>
      </w:r>
      <w:r w:rsidR="00B01E5E">
        <w:t>:</w:t>
      </w:r>
    </w:p>
    <w:p w14:paraId="091E76A7" w14:textId="30337FBA" w:rsidR="007F498F" w:rsidRDefault="00D313AC" w:rsidP="00D313AC">
      <w:pPr>
        <w:pStyle w:val="ListNo1"/>
        <w:numPr>
          <w:ilvl w:val="0"/>
          <w:numId w:val="0"/>
        </w:numPr>
        <w:tabs>
          <w:tab w:val="left" w:pos="720"/>
        </w:tabs>
        <w:ind w:left="720" w:hanging="720"/>
      </w:pPr>
      <w:r>
        <w:t>(1)</w:t>
      </w:r>
      <w:r>
        <w:tab/>
      </w:r>
      <w:r w:rsidR="007F498F">
        <w:t xml:space="preserve">Christine </w:t>
      </w:r>
      <w:r w:rsidR="00675600">
        <w:t xml:space="preserve">Louise </w:t>
      </w:r>
      <w:r w:rsidR="007F498F">
        <w:t xml:space="preserve">Perry, the solicitor for </w:t>
      </w:r>
      <w:r w:rsidR="00B01E5E">
        <w:t xml:space="preserve">the </w:t>
      </w:r>
      <w:proofErr w:type="spellStart"/>
      <w:r w:rsidR="00B01E5E">
        <w:t>Tab</w:t>
      </w:r>
      <w:r w:rsidR="00660962">
        <w:t>uso</w:t>
      </w:r>
      <w:proofErr w:type="spellEnd"/>
      <w:r w:rsidR="00660962">
        <w:t xml:space="preserve"> Applicants</w:t>
      </w:r>
      <w:r w:rsidR="00900230">
        <w:t>,</w:t>
      </w:r>
      <w:r w:rsidR="00660962">
        <w:t xml:space="preserve"> </w:t>
      </w:r>
      <w:r w:rsidR="00CF6778">
        <w:t>gave evidence</w:t>
      </w:r>
      <w:r w:rsidR="00660962">
        <w:t xml:space="preserve">; and </w:t>
      </w:r>
    </w:p>
    <w:p w14:paraId="17E08C2F" w14:textId="2DFF24CC" w:rsidR="00660962" w:rsidRDefault="00D313AC" w:rsidP="00D313AC">
      <w:pPr>
        <w:pStyle w:val="ListNo1"/>
        <w:numPr>
          <w:ilvl w:val="0"/>
          <w:numId w:val="0"/>
        </w:numPr>
        <w:tabs>
          <w:tab w:val="left" w:pos="720"/>
        </w:tabs>
        <w:ind w:left="720" w:hanging="720"/>
      </w:pPr>
      <w:r>
        <w:t>(2)</w:t>
      </w:r>
      <w:r>
        <w:tab/>
      </w:r>
      <w:r w:rsidR="00C357F8">
        <w:t>t</w:t>
      </w:r>
      <w:r w:rsidR="00660962">
        <w:t xml:space="preserve">he Borg </w:t>
      </w:r>
      <w:r w:rsidR="0022491F">
        <w:t>&amp;</w:t>
      </w:r>
      <w:r w:rsidR="00660962">
        <w:t xml:space="preserve"> </w:t>
      </w:r>
      <w:proofErr w:type="spellStart"/>
      <w:r w:rsidR="00660962">
        <w:t>Givana</w:t>
      </w:r>
      <w:proofErr w:type="spellEnd"/>
      <w:r w:rsidR="00660962">
        <w:t xml:space="preserve"> Applicants sought to rely on evidence given by Gino Robert </w:t>
      </w:r>
      <w:proofErr w:type="spellStart"/>
      <w:r w:rsidR="00660962">
        <w:t>Cassaniti</w:t>
      </w:r>
      <w:proofErr w:type="spellEnd"/>
      <w:r w:rsidR="00660962">
        <w:t xml:space="preserve">.  </w:t>
      </w:r>
    </w:p>
    <w:p w14:paraId="78F89F09" w14:textId="31BF8912" w:rsidR="00C07F3C" w:rsidRDefault="00C07F3C" w:rsidP="00C07F3C">
      <w:pPr>
        <w:pStyle w:val="Heading3"/>
      </w:pPr>
      <w:r>
        <w:t xml:space="preserve">Mr </w:t>
      </w:r>
      <w:proofErr w:type="spellStart"/>
      <w:r>
        <w:t>Cassaniti</w:t>
      </w:r>
      <w:proofErr w:type="spellEnd"/>
    </w:p>
    <w:p w14:paraId="30D14D26" w14:textId="3DDEF8E4" w:rsidR="007F498F" w:rsidRDefault="00D313AC" w:rsidP="00D313AC">
      <w:pPr>
        <w:pStyle w:val="ParaNumbering"/>
        <w:numPr>
          <w:ilvl w:val="0"/>
          <w:numId w:val="0"/>
        </w:numPr>
        <w:ind w:hanging="720"/>
      </w:pPr>
      <w:r>
        <w:rPr>
          <w:sz w:val="20"/>
        </w:rPr>
        <w:t>55</w:t>
      </w:r>
      <w:r>
        <w:rPr>
          <w:sz w:val="20"/>
        </w:rPr>
        <w:tab/>
      </w:r>
      <w:r w:rsidR="00AF4F8A">
        <w:t>Gino</w:t>
      </w:r>
      <w:r w:rsidR="003E3AFB">
        <w:t xml:space="preserve"> Robert</w:t>
      </w:r>
      <w:r w:rsidR="00485766">
        <w:t xml:space="preserve"> </w:t>
      </w:r>
      <w:proofErr w:type="spellStart"/>
      <w:r w:rsidR="00485766">
        <w:t>Cassaniti</w:t>
      </w:r>
      <w:proofErr w:type="spellEnd"/>
      <w:r w:rsidR="00485766">
        <w:t xml:space="preserve"> is the sole </w:t>
      </w:r>
      <w:r w:rsidR="00EF04C3">
        <w:t xml:space="preserve">director of </w:t>
      </w:r>
      <w:proofErr w:type="spellStart"/>
      <w:r w:rsidR="00EF04C3">
        <w:t>Givana</w:t>
      </w:r>
      <w:proofErr w:type="spellEnd"/>
      <w:r w:rsidR="00EF04C3">
        <w:t xml:space="preserve"> (Holdings) and </w:t>
      </w:r>
      <w:proofErr w:type="spellStart"/>
      <w:r w:rsidR="00EF04C3">
        <w:t>Givana</w:t>
      </w:r>
      <w:proofErr w:type="spellEnd"/>
      <w:r w:rsidR="000F30ED">
        <w:t xml:space="preserve">.  </w:t>
      </w:r>
      <w:proofErr w:type="spellStart"/>
      <w:r w:rsidR="000F30ED">
        <w:t>Givana</w:t>
      </w:r>
      <w:proofErr w:type="spellEnd"/>
      <w:r w:rsidR="000F30ED">
        <w:t xml:space="preserve"> (Holdings</w:t>
      </w:r>
      <w:r w:rsidR="00871618">
        <w:t xml:space="preserve">) and </w:t>
      </w:r>
      <w:proofErr w:type="spellStart"/>
      <w:r w:rsidR="00871618">
        <w:t>Givana</w:t>
      </w:r>
      <w:proofErr w:type="spellEnd"/>
      <w:r w:rsidR="00871618">
        <w:t xml:space="preserve"> are respectively </w:t>
      </w:r>
      <w:r w:rsidR="000F30ED">
        <w:t xml:space="preserve">the </w:t>
      </w:r>
      <w:r w:rsidR="00F944ED">
        <w:t>fifteenth</w:t>
      </w:r>
      <w:r w:rsidR="000F30ED">
        <w:t xml:space="preserve"> </w:t>
      </w:r>
      <w:r w:rsidR="00871618">
        <w:t xml:space="preserve">and </w:t>
      </w:r>
      <w:r w:rsidR="00F944ED">
        <w:t>thirty-eighth</w:t>
      </w:r>
      <w:r w:rsidR="00871618">
        <w:t xml:space="preserve"> </w:t>
      </w:r>
      <w:r w:rsidR="000F30ED">
        <w:t>defendant</w:t>
      </w:r>
      <w:r w:rsidR="00871618">
        <w:t>s</w:t>
      </w:r>
      <w:r w:rsidR="000F30ED">
        <w:t xml:space="preserve"> in the RC Group </w:t>
      </w:r>
      <w:proofErr w:type="spellStart"/>
      <w:r w:rsidR="000F30ED">
        <w:t>Voidable</w:t>
      </w:r>
      <w:r w:rsidR="00536518">
        <w:t>s</w:t>
      </w:r>
      <w:proofErr w:type="spellEnd"/>
      <w:r w:rsidR="000F30ED">
        <w:t xml:space="preserve"> Proceeding</w:t>
      </w:r>
      <w:r w:rsidR="00C62D6D">
        <w:t xml:space="preserve"> </w:t>
      </w:r>
      <w:r w:rsidR="00DE137D">
        <w:t xml:space="preserve">and on 22 </w:t>
      </w:r>
      <w:r w:rsidR="00C62D6D">
        <w:t>December</w:t>
      </w:r>
      <w:r w:rsidR="00DE137D">
        <w:t xml:space="preserve"> 2021 they filed their defence in t</w:t>
      </w:r>
      <w:r w:rsidR="00C62D6D">
        <w:t>h</w:t>
      </w:r>
      <w:r w:rsidR="00DE137D">
        <w:t xml:space="preserve">at proceeding </w:t>
      </w:r>
      <w:r w:rsidR="00C62D6D">
        <w:t xml:space="preserve">in which they contend that the </w:t>
      </w:r>
      <w:r w:rsidR="00145D6E">
        <w:t>claim was filed out of time and is statute ba</w:t>
      </w:r>
      <w:r w:rsidR="0018284C">
        <w:t>r</w:t>
      </w:r>
      <w:r w:rsidR="00145D6E">
        <w:t>red.</w:t>
      </w:r>
    </w:p>
    <w:p w14:paraId="14121064" w14:textId="1975237C" w:rsidR="006B572B" w:rsidRDefault="00D313AC" w:rsidP="00D313AC">
      <w:pPr>
        <w:pStyle w:val="ParaNumbering"/>
        <w:numPr>
          <w:ilvl w:val="0"/>
          <w:numId w:val="0"/>
        </w:numPr>
        <w:ind w:hanging="720"/>
      </w:pPr>
      <w:r>
        <w:rPr>
          <w:sz w:val="20"/>
        </w:rPr>
        <w:lastRenderedPageBreak/>
        <w:t>56</w:t>
      </w:r>
      <w:r>
        <w:rPr>
          <w:sz w:val="20"/>
        </w:rPr>
        <w:tab/>
      </w:r>
      <w:r w:rsidR="007555A3">
        <w:t xml:space="preserve">Mr </w:t>
      </w:r>
      <w:proofErr w:type="spellStart"/>
      <w:r w:rsidR="007555A3">
        <w:t>Cass</w:t>
      </w:r>
      <w:r w:rsidR="006772DC">
        <w:t>a</w:t>
      </w:r>
      <w:r w:rsidR="007555A3">
        <w:t>niti</w:t>
      </w:r>
      <w:proofErr w:type="spellEnd"/>
      <w:r w:rsidR="007555A3">
        <w:t xml:space="preserve"> did not make himself available for cross-examination.  On that basis, o</w:t>
      </w:r>
      <w:r w:rsidR="00A822B7">
        <w:t xml:space="preserve">bjection was successfully taken to most of </w:t>
      </w:r>
      <w:r w:rsidR="007555A3">
        <w:t>his</w:t>
      </w:r>
      <w:r w:rsidR="00A822B7">
        <w:t xml:space="preserve"> evidence</w:t>
      </w:r>
      <w:r w:rsidR="00E10061">
        <w:t>.  Accordingly, his evidence was limited</w:t>
      </w:r>
      <w:r w:rsidR="00DD1DA4">
        <w:t xml:space="preserve"> to the following</w:t>
      </w:r>
      <w:r w:rsidR="00E10061">
        <w:t>:</w:t>
      </w:r>
      <w:r w:rsidR="004A6193" w:rsidRPr="004A6193">
        <w:rPr>
          <w:rStyle w:val="FootnoteReference"/>
        </w:rPr>
        <w:t xml:space="preserve"> </w:t>
      </w:r>
    </w:p>
    <w:p w14:paraId="450DE8C8" w14:textId="21BAE1CC" w:rsidR="006B572B" w:rsidRDefault="00D313AC" w:rsidP="00D313AC">
      <w:pPr>
        <w:pStyle w:val="ListNo1"/>
        <w:numPr>
          <w:ilvl w:val="0"/>
          <w:numId w:val="0"/>
        </w:numPr>
        <w:tabs>
          <w:tab w:val="left" w:pos="720"/>
        </w:tabs>
        <w:ind w:left="720" w:hanging="720"/>
      </w:pPr>
      <w:r>
        <w:t>(1)</w:t>
      </w:r>
      <w:r>
        <w:tab/>
      </w:r>
      <w:r w:rsidR="00510145">
        <w:t>a</w:t>
      </w:r>
      <w:r w:rsidR="006B572B">
        <w:t xml:space="preserve">t no time </w:t>
      </w:r>
      <w:r w:rsidR="00510145">
        <w:t>prior</w:t>
      </w:r>
      <w:r w:rsidR="006B572B">
        <w:t xml:space="preserve"> to the </w:t>
      </w:r>
      <w:r w:rsidR="00510145">
        <w:t>making</w:t>
      </w:r>
      <w:r w:rsidR="006B572B">
        <w:t xml:space="preserve"> of the </w:t>
      </w:r>
      <w:r w:rsidR="00510145">
        <w:t>Reinstatement</w:t>
      </w:r>
      <w:r w:rsidR="006B572B">
        <w:t xml:space="preserve"> </w:t>
      </w:r>
      <w:r w:rsidR="00510145">
        <w:t>Orders</w:t>
      </w:r>
      <w:r w:rsidR="006B572B">
        <w:t xml:space="preserve"> </w:t>
      </w:r>
      <w:r w:rsidR="009E213E">
        <w:t xml:space="preserve">was </w:t>
      </w:r>
      <w:r w:rsidR="001E119D">
        <w:t>Mr </w:t>
      </w:r>
      <w:proofErr w:type="spellStart"/>
      <w:r w:rsidR="001E119D">
        <w:t>Cass</w:t>
      </w:r>
      <w:r w:rsidR="006772DC">
        <w:t>a</w:t>
      </w:r>
      <w:r w:rsidR="001E119D">
        <w:t>niti</w:t>
      </w:r>
      <w:proofErr w:type="spellEnd"/>
      <w:r w:rsidR="001E119D">
        <w:t xml:space="preserve"> </w:t>
      </w:r>
      <w:r w:rsidR="009E213E">
        <w:t xml:space="preserve">informed </w:t>
      </w:r>
      <w:r w:rsidR="000B2B3D">
        <w:t xml:space="preserve">about </w:t>
      </w:r>
      <w:r w:rsidR="00F216EB">
        <w:t xml:space="preserve">this </w:t>
      </w:r>
      <w:r w:rsidR="000B2B3D">
        <w:t xml:space="preserve">proceeding </w:t>
      </w:r>
      <w:r w:rsidR="002D56AC">
        <w:t>or that</w:t>
      </w:r>
      <w:r w:rsidR="0043023F">
        <w:t xml:space="preserve"> the Commissioner and</w:t>
      </w:r>
      <w:r w:rsidR="002D56AC">
        <w:t xml:space="preserve"> Mr Iannuzzi</w:t>
      </w:r>
      <w:r w:rsidR="0043023F">
        <w:t xml:space="preserve"> intended to seek the Reinstatement Orders;</w:t>
      </w:r>
      <w:r w:rsidR="002A61DD">
        <w:t xml:space="preserve"> and</w:t>
      </w:r>
    </w:p>
    <w:p w14:paraId="27E3D741" w14:textId="00A70015" w:rsidR="0043023F" w:rsidRDefault="00D313AC" w:rsidP="00D313AC">
      <w:pPr>
        <w:pStyle w:val="ListNo1"/>
        <w:numPr>
          <w:ilvl w:val="0"/>
          <w:numId w:val="0"/>
        </w:numPr>
        <w:tabs>
          <w:tab w:val="left" w:pos="720"/>
        </w:tabs>
        <w:ind w:left="720" w:hanging="720"/>
      </w:pPr>
      <w:r>
        <w:t>(2)</w:t>
      </w:r>
      <w:r>
        <w:tab/>
      </w:r>
      <w:r w:rsidR="00C33659">
        <w:t xml:space="preserve">at no time prior to or after </w:t>
      </w:r>
      <w:r w:rsidR="001A6007">
        <w:t xml:space="preserve">the making of the Reinstatement Orders </w:t>
      </w:r>
      <w:r w:rsidR="00C33659">
        <w:t xml:space="preserve">until </w:t>
      </w:r>
      <w:r w:rsidR="005B55A6">
        <w:t xml:space="preserve">7 October 2021 when </w:t>
      </w:r>
      <w:r w:rsidR="006772DC">
        <w:t>Mr </w:t>
      </w:r>
      <w:proofErr w:type="spellStart"/>
      <w:r w:rsidR="006772DC">
        <w:t>Cassaniti</w:t>
      </w:r>
      <w:proofErr w:type="spellEnd"/>
      <w:r w:rsidR="00C33659">
        <w:t xml:space="preserve"> was served with the </w:t>
      </w:r>
      <w:r w:rsidR="001A6007">
        <w:t>s</w:t>
      </w:r>
      <w:r w:rsidR="00C33659">
        <w:t xml:space="preserve">tatement of </w:t>
      </w:r>
      <w:r w:rsidR="001A6007">
        <w:t>c</w:t>
      </w:r>
      <w:r w:rsidR="00C33659">
        <w:t xml:space="preserve">laim dated 23 April 2021 commencing the RC Group </w:t>
      </w:r>
      <w:proofErr w:type="spellStart"/>
      <w:r w:rsidR="001A6007">
        <w:t>Voidables</w:t>
      </w:r>
      <w:proofErr w:type="spellEnd"/>
      <w:r w:rsidR="001A6007">
        <w:t xml:space="preserve"> </w:t>
      </w:r>
      <w:r w:rsidR="00C33659">
        <w:t>Proceeding</w:t>
      </w:r>
      <w:r w:rsidR="00FC59EB">
        <w:t xml:space="preserve"> (</w:t>
      </w:r>
      <w:r w:rsidR="00FC59EB" w:rsidRPr="00CE4928">
        <w:rPr>
          <w:b/>
          <w:bCs/>
        </w:rPr>
        <w:t xml:space="preserve">RC Group </w:t>
      </w:r>
      <w:proofErr w:type="spellStart"/>
      <w:r w:rsidR="00CE4928" w:rsidRPr="00CE4928">
        <w:rPr>
          <w:b/>
          <w:bCs/>
        </w:rPr>
        <w:t>Voidables</w:t>
      </w:r>
      <w:proofErr w:type="spellEnd"/>
      <w:r w:rsidR="00CE4928" w:rsidRPr="00CE4928">
        <w:rPr>
          <w:b/>
          <w:bCs/>
        </w:rPr>
        <w:t xml:space="preserve"> Proceeding SOC</w:t>
      </w:r>
      <w:r w:rsidR="00CE4928">
        <w:t>)</w:t>
      </w:r>
      <w:r w:rsidR="00C33659">
        <w:t xml:space="preserve"> </w:t>
      </w:r>
      <w:r w:rsidR="005B55A6">
        <w:t xml:space="preserve">was </w:t>
      </w:r>
      <w:r w:rsidR="001A6007">
        <w:t>he</w:t>
      </w:r>
      <w:r w:rsidR="00C33659">
        <w:t xml:space="preserve"> made aware of the allegations</w:t>
      </w:r>
      <w:r w:rsidR="001A6007">
        <w:t xml:space="preserve"> </w:t>
      </w:r>
      <w:r w:rsidR="00A80115">
        <w:t xml:space="preserve">pleaded </w:t>
      </w:r>
      <w:r w:rsidR="001A6007">
        <w:t>against him in that proceeding.</w:t>
      </w:r>
      <w:r w:rsidR="00C33659">
        <w:t xml:space="preserve"> </w:t>
      </w:r>
    </w:p>
    <w:p w14:paraId="6A536777" w14:textId="15A1BF57" w:rsidR="00C07F3C" w:rsidRDefault="00C07F3C" w:rsidP="00C07F3C">
      <w:pPr>
        <w:pStyle w:val="Heading3"/>
      </w:pPr>
      <w:r>
        <w:t>M</w:t>
      </w:r>
      <w:r w:rsidR="005B55A6">
        <w:t>r</w:t>
      </w:r>
      <w:r>
        <w:t>s Khalil</w:t>
      </w:r>
    </w:p>
    <w:p w14:paraId="61194944" w14:textId="76D9127B" w:rsidR="002A61DD" w:rsidRDefault="00D313AC" w:rsidP="00D313AC">
      <w:pPr>
        <w:pStyle w:val="ParaNumbering"/>
        <w:numPr>
          <w:ilvl w:val="0"/>
          <w:numId w:val="0"/>
        </w:numPr>
        <w:ind w:hanging="720"/>
      </w:pPr>
      <w:r>
        <w:rPr>
          <w:sz w:val="20"/>
        </w:rPr>
        <w:t>57</w:t>
      </w:r>
      <w:r>
        <w:rPr>
          <w:sz w:val="20"/>
        </w:rPr>
        <w:tab/>
      </w:r>
      <w:r w:rsidR="00AE400B">
        <w:t>Katherine Khalil is the sole director of Kito Investments which is the trustee of the Kito Investment Trust, a discretionary trust originally established for the benefit of M</w:t>
      </w:r>
      <w:r w:rsidR="00F216EB">
        <w:t>r</w:t>
      </w:r>
      <w:r w:rsidR="00AE400B">
        <w:t>s Khalil and her former husband Faouzi (</w:t>
      </w:r>
      <w:r w:rsidR="00C85344">
        <w:t>F</w:t>
      </w:r>
      <w:r w:rsidR="00AE400B">
        <w:t>red) Khalil.</w:t>
      </w:r>
    </w:p>
    <w:p w14:paraId="2E802C33" w14:textId="74C9A558" w:rsidR="00AE400B" w:rsidRDefault="00D313AC" w:rsidP="00D313AC">
      <w:pPr>
        <w:pStyle w:val="ParaNumbering"/>
        <w:numPr>
          <w:ilvl w:val="0"/>
          <w:numId w:val="0"/>
        </w:numPr>
        <w:ind w:hanging="720"/>
      </w:pPr>
      <w:r>
        <w:rPr>
          <w:sz w:val="20"/>
        </w:rPr>
        <w:t>58</w:t>
      </w:r>
      <w:r>
        <w:rPr>
          <w:sz w:val="20"/>
        </w:rPr>
        <w:tab/>
      </w:r>
      <w:r w:rsidR="00AE400B">
        <w:t>M</w:t>
      </w:r>
      <w:r w:rsidR="00202442">
        <w:t>r</w:t>
      </w:r>
      <w:r w:rsidR="00AE400B">
        <w:t xml:space="preserve">s Khalil </w:t>
      </w:r>
      <w:r w:rsidR="00153E2C">
        <w:t xml:space="preserve">and Kito Investments are respectively </w:t>
      </w:r>
      <w:r w:rsidR="00AE400B">
        <w:t xml:space="preserve">the third </w:t>
      </w:r>
      <w:r w:rsidR="00153E2C">
        <w:t xml:space="preserve">and fourth </w:t>
      </w:r>
      <w:r w:rsidR="00AE400B">
        <w:t>defendant</w:t>
      </w:r>
      <w:r w:rsidR="00153E2C">
        <w:t>s</w:t>
      </w:r>
      <w:r w:rsidR="00AE400B">
        <w:t xml:space="preserve"> to the </w:t>
      </w:r>
      <w:r w:rsidR="00FC59EB">
        <w:t>RC</w:t>
      </w:r>
      <w:r w:rsidR="00712EC2">
        <w:t> </w:t>
      </w:r>
      <w:r w:rsidR="003B5AE6">
        <w:t>Group</w:t>
      </w:r>
      <w:r w:rsidR="00FC59EB">
        <w:t xml:space="preserve"> </w:t>
      </w:r>
      <w:proofErr w:type="spellStart"/>
      <w:r w:rsidR="00FC59EB">
        <w:t>Voidables</w:t>
      </w:r>
      <w:proofErr w:type="spellEnd"/>
      <w:r w:rsidR="00CC5C9B">
        <w:t xml:space="preserve"> Proceeding</w:t>
      </w:r>
      <w:r w:rsidR="00153E2C">
        <w:t xml:space="preserve">. </w:t>
      </w:r>
    </w:p>
    <w:p w14:paraId="38BFD226" w14:textId="6D5F1C32" w:rsidR="00493064" w:rsidRDefault="00D313AC" w:rsidP="00D313AC">
      <w:pPr>
        <w:pStyle w:val="ParaNumbering"/>
        <w:numPr>
          <w:ilvl w:val="0"/>
          <w:numId w:val="0"/>
        </w:numPr>
        <w:ind w:hanging="720"/>
      </w:pPr>
      <w:r>
        <w:rPr>
          <w:sz w:val="20"/>
        </w:rPr>
        <w:t>59</w:t>
      </w:r>
      <w:r>
        <w:rPr>
          <w:sz w:val="20"/>
        </w:rPr>
        <w:tab/>
      </w:r>
      <w:r w:rsidR="00493064">
        <w:t>M</w:t>
      </w:r>
      <w:r w:rsidR="00202442">
        <w:t>r</w:t>
      </w:r>
      <w:r w:rsidR="00493064">
        <w:t>s Khalil deposes that:</w:t>
      </w:r>
    </w:p>
    <w:p w14:paraId="1C3FB4C3" w14:textId="37C07541" w:rsidR="00493064" w:rsidRDefault="00D313AC" w:rsidP="00D313AC">
      <w:pPr>
        <w:pStyle w:val="ListNo1"/>
        <w:numPr>
          <w:ilvl w:val="0"/>
          <w:numId w:val="0"/>
        </w:numPr>
        <w:tabs>
          <w:tab w:val="left" w:pos="720"/>
        </w:tabs>
        <w:ind w:left="720" w:hanging="720"/>
      </w:pPr>
      <w:r>
        <w:t>(1)</w:t>
      </w:r>
      <w:r>
        <w:tab/>
      </w:r>
      <w:r w:rsidR="00493064">
        <w:t>at no time prior to the making of the Reinstatement Orders was she informed about this proceeding or that the Commissioner and Mr Iannuzzi intended to seek the Reinstatement Orders;</w:t>
      </w:r>
    </w:p>
    <w:p w14:paraId="5F5CD9EB" w14:textId="5244E2DF" w:rsidR="00493064" w:rsidRDefault="00D313AC" w:rsidP="00D313AC">
      <w:pPr>
        <w:pStyle w:val="ListNo1"/>
        <w:numPr>
          <w:ilvl w:val="0"/>
          <w:numId w:val="0"/>
        </w:numPr>
        <w:tabs>
          <w:tab w:val="left" w:pos="720"/>
        </w:tabs>
        <w:ind w:left="720" w:hanging="720"/>
      </w:pPr>
      <w:r>
        <w:t>(2)</w:t>
      </w:r>
      <w:r>
        <w:tab/>
      </w:r>
      <w:r w:rsidR="00493064">
        <w:t xml:space="preserve">at no time prior to or after the making of the Reinstatement Orders until </w:t>
      </w:r>
      <w:r w:rsidR="000C21FD">
        <w:t>s</w:t>
      </w:r>
      <w:r w:rsidR="00493064">
        <w:t xml:space="preserve">he was served with the </w:t>
      </w:r>
      <w:r w:rsidR="00CE4928">
        <w:t xml:space="preserve">RC Group </w:t>
      </w:r>
      <w:proofErr w:type="spellStart"/>
      <w:r w:rsidR="00CE4928">
        <w:t>Voidables</w:t>
      </w:r>
      <w:proofErr w:type="spellEnd"/>
      <w:r w:rsidR="00CE4928">
        <w:t xml:space="preserve"> Proceeding SOC on 7 October 2021</w:t>
      </w:r>
      <w:r w:rsidR="00324892">
        <w:t xml:space="preserve"> </w:t>
      </w:r>
      <w:r w:rsidR="008B3866">
        <w:t>was she made aware of the allegations in that statement of claim;</w:t>
      </w:r>
    </w:p>
    <w:p w14:paraId="2E8CE0FA" w14:textId="4B4C8987" w:rsidR="008B3866" w:rsidRDefault="00D313AC" w:rsidP="00D313AC">
      <w:pPr>
        <w:pStyle w:val="ListNo1"/>
        <w:numPr>
          <w:ilvl w:val="0"/>
          <w:numId w:val="0"/>
        </w:numPr>
        <w:tabs>
          <w:tab w:val="left" w:pos="720"/>
        </w:tabs>
        <w:ind w:left="720" w:hanging="720"/>
      </w:pPr>
      <w:r>
        <w:t>(3)</w:t>
      </w:r>
      <w:r>
        <w:tab/>
      </w:r>
      <w:r w:rsidR="008B3866">
        <w:t xml:space="preserve">at no time prior to or after the Reinstatement Orders </w:t>
      </w:r>
      <w:r w:rsidR="00BA6F41">
        <w:t>were</w:t>
      </w:r>
      <w:r w:rsidR="008B3866">
        <w:t xml:space="preserve"> made was she directed to preserve her records</w:t>
      </w:r>
      <w:r w:rsidR="00493581">
        <w:t>;</w:t>
      </w:r>
    </w:p>
    <w:p w14:paraId="650B7DBA" w14:textId="72A8A846" w:rsidR="00493581" w:rsidRDefault="00D313AC" w:rsidP="00D313AC">
      <w:pPr>
        <w:pStyle w:val="ListNo1"/>
        <w:numPr>
          <w:ilvl w:val="0"/>
          <w:numId w:val="0"/>
        </w:numPr>
        <w:tabs>
          <w:tab w:val="left" w:pos="720"/>
        </w:tabs>
        <w:ind w:left="720" w:hanging="720"/>
      </w:pPr>
      <w:r>
        <w:t>(4)</w:t>
      </w:r>
      <w:r>
        <w:tab/>
      </w:r>
      <w:r w:rsidR="00493581">
        <w:t>given that more than n</w:t>
      </w:r>
      <w:r w:rsidR="00BA6F41">
        <w:t>i</w:t>
      </w:r>
      <w:r w:rsidR="00493581">
        <w:t>ne years have passed since the events</w:t>
      </w:r>
      <w:r w:rsidR="00BA6F41">
        <w:t xml:space="preserve"> </w:t>
      </w:r>
      <w:r w:rsidR="00493581">
        <w:t xml:space="preserve">in </w:t>
      </w:r>
      <w:r w:rsidR="00BA6F41">
        <w:t>dispute</w:t>
      </w:r>
      <w:r w:rsidR="00493581">
        <w:t xml:space="preserve"> in the RC </w:t>
      </w:r>
      <w:r w:rsidR="00BA6F41">
        <w:t>Group</w:t>
      </w:r>
      <w:r w:rsidR="00493581">
        <w:t xml:space="preserve"> </w:t>
      </w:r>
      <w:proofErr w:type="spellStart"/>
      <w:r w:rsidR="00493581">
        <w:t>Voidable</w:t>
      </w:r>
      <w:r w:rsidR="00BA6F41">
        <w:t>s</w:t>
      </w:r>
      <w:proofErr w:type="spellEnd"/>
      <w:r w:rsidR="00493581">
        <w:t xml:space="preserve"> Proceeding</w:t>
      </w:r>
      <w:r w:rsidR="00BA6F41">
        <w:t>, her memory of that time is not as good as it was and many of her records have been thrown away, lost or destroyed</w:t>
      </w:r>
      <w:r w:rsidR="001D0BC2">
        <w:t>;</w:t>
      </w:r>
      <w:r w:rsidR="007E3ABE">
        <w:t xml:space="preserve"> and</w:t>
      </w:r>
    </w:p>
    <w:p w14:paraId="5B4F7F33" w14:textId="3723C77C" w:rsidR="00BA6F41" w:rsidRDefault="00D313AC" w:rsidP="00D313AC">
      <w:pPr>
        <w:pStyle w:val="ListNo1"/>
        <w:numPr>
          <w:ilvl w:val="0"/>
          <w:numId w:val="0"/>
        </w:numPr>
        <w:tabs>
          <w:tab w:val="left" w:pos="720"/>
        </w:tabs>
        <w:ind w:left="720" w:hanging="720"/>
      </w:pPr>
      <w:r>
        <w:t>(5)</w:t>
      </w:r>
      <w:r>
        <w:tab/>
      </w:r>
      <w:r w:rsidR="001D0BC2">
        <w:t xml:space="preserve">in </w:t>
      </w:r>
      <w:r w:rsidR="00A46F6F">
        <w:t xml:space="preserve">November </w:t>
      </w:r>
      <w:r w:rsidR="001D0BC2">
        <w:t>2013 she moved house</w:t>
      </w:r>
      <w:r w:rsidR="007E3ABE">
        <w:t>.</w:t>
      </w:r>
    </w:p>
    <w:p w14:paraId="4CB1BC90" w14:textId="3B794A4A" w:rsidR="00F00F1F" w:rsidRDefault="00D313AC" w:rsidP="00D313AC">
      <w:pPr>
        <w:pStyle w:val="ParaNumbering"/>
        <w:numPr>
          <w:ilvl w:val="0"/>
          <w:numId w:val="0"/>
        </w:numPr>
        <w:ind w:hanging="720"/>
      </w:pPr>
      <w:r>
        <w:rPr>
          <w:sz w:val="20"/>
        </w:rPr>
        <w:lastRenderedPageBreak/>
        <w:t>60</w:t>
      </w:r>
      <w:r>
        <w:rPr>
          <w:sz w:val="20"/>
        </w:rPr>
        <w:tab/>
      </w:r>
      <w:r w:rsidR="007E3ABE">
        <w:t xml:space="preserve">Between about July 2011 and December 2016 </w:t>
      </w:r>
      <w:r w:rsidR="00DC549F">
        <w:t>M</w:t>
      </w:r>
      <w:r w:rsidR="00202442">
        <w:t>r</w:t>
      </w:r>
      <w:r w:rsidR="00DC549F">
        <w:t xml:space="preserve">s Khalil worked at </w:t>
      </w:r>
      <w:proofErr w:type="spellStart"/>
      <w:r w:rsidR="00DC549F">
        <w:t>Banq</w:t>
      </w:r>
      <w:proofErr w:type="spellEnd"/>
      <w:r w:rsidR="00F60401">
        <w:t xml:space="preserve"> Accountants</w:t>
      </w:r>
      <w:r w:rsidR="00DC549F">
        <w:t>.  Mr</w:t>
      </w:r>
      <w:r w:rsidR="00CA7F07">
        <w:t> </w:t>
      </w:r>
      <w:r w:rsidR="00DC549F">
        <w:t>Khalil was a director of and also</w:t>
      </w:r>
      <w:r w:rsidR="00F00F1F">
        <w:t xml:space="preserve"> </w:t>
      </w:r>
      <w:r w:rsidR="00DC549F">
        <w:t xml:space="preserve">worked at </w:t>
      </w:r>
      <w:proofErr w:type="spellStart"/>
      <w:r w:rsidR="00DC549F">
        <w:t>Banq</w:t>
      </w:r>
      <w:proofErr w:type="spellEnd"/>
      <w:r w:rsidR="00DC549F">
        <w:t xml:space="preserve"> </w:t>
      </w:r>
      <w:r w:rsidR="008E59BE">
        <w:t xml:space="preserve">Accountants </w:t>
      </w:r>
      <w:r w:rsidR="00F00F1F">
        <w:t>a</w:t>
      </w:r>
      <w:r w:rsidR="00DC549F">
        <w:t>nd both M</w:t>
      </w:r>
      <w:r w:rsidR="00FF1F41">
        <w:t>r</w:t>
      </w:r>
      <w:r w:rsidR="00DC549F">
        <w:t>s Khalil and Kito</w:t>
      </w:r>
      <w:r w:rsidR="00FF1F41">
        <w:t> In</w:t>
      </w:r>
      <w:r w:rsidR="00DC549F">
        <w:t xml:space="preserve">vestments were </w:t>
      </w:r>
      <w:r w:rsidR="00F00F1F">
        <w:t>clients</w:t>
      </w:r>
      <w:r w:rsidR="00DC549F">
        <w:t xml:space="preserve"> of </w:t>
      </w:r>
      <w:proofErr w:type="spellStart"/>
      <w:r w:rsidR="00DC549F">
        <w:t>Ban</w:t>
      </w:r>
      <w:r w:rsidR="00AF73B1">
        <w:t>q</w:t>
      </w:r>
      <w:proofErr w:type="spellEnd"/>
      <w:r w:rsidR="009A7829">
        <w:t xml:space="preserve"> Accountants</w:t>
      </w:r>
      <w:r w:rsidR="00AF73B1">
        <w:t xml:space="preserve">.  </w:t>
      </w:r>
      <w:r w:rsidR="00B83C26">
        <w:t xml:space="preserve">During the period </w:t>
      </w:r>
      <w:r w:rsidR="00573268">
        <w:t>that</w:t>
      </w:r>
      <w:r w:rsidR="00B83C26">
        <w:t xml:space="preserve"> M</w:t>
      </w:r>
      <w:r w:rsidR="00573268">
        <w:t>r</w:t>
      </w:r>
      <w:r w:rsidR="00B83C26">
        <w:t xml:space="preserve">s Khalil worked at </w:t>
      </w:r>
      <w:proofErr w:type="spellStart"/>
      <w:r w:rsidR="00B83C26">
        <w:t>B</w:t>
      </w:r>
      <w:r w:rsidR="00BD0305">
        <w:t>a</w:t>
      </w:r>
      <w:r w:rsidR="00B83C26">
        <w:t>nq</w:t>
      </w:r>
      <w:proofErr w:type="spellEnd"/>
      <w:r w:rsidR="00B83C26">
        <w:t xml:space="preserve"> </w:t>
      </w:r>
      <w:r w:rsidR="00795608">
        <w:t xml:space="preserve">Accountants </w:t>
      </w:r>
      <w:r w:rsidR="00B83C26">
        <w:t xml:space="preserve">she </w:t>
      </w:r>
      <w:r w:rsidR="00BD0305">
        <w:t>had</w:t>
      </w:r>
      <w:r w:rsidR="00B83C26">
        <w:t xml:space="preserve"> three children with her former husband</w:t>
      </w:r>
      <w:r w:rsidR="00BD0305">
        <w:t>, in January 2012, November</w:t>
      </w:r>
      <w:r w:rsidR="00122438">
        <w:t> </w:t>
      </w:r>
      <w:r w:rsidR="00BD0305">
        <w:t>2013 and March 2017,</w:t>
      </w:r>
      <w:r w:rsidR="00B83C26">
        <w:t xml:space="preserve"> and </w:t>
      </w:r>
      <w:r w:rsidR="00BD0305">
        <w:t xml:space="preserve">after each birth she took at least one year off.  </w:t>
      </w:r>
      <w:r w:rsidR="00AF73B1">
        <w:t>M</w:t>
      </w:r>
      <w:r w:rsidR="007B526A">
        <w:t>r</w:t>
      </w:r>
      <w:r w:rsidR="00AF73B1">
        <w:t>s Khalil explains that</w:t>
      </w:r>
      <w:r w:rsidR="00F00F1F">
        <w:t>:</w:t>
      </w:r>
    </w:p>
    <w:p w14:paraId="622E0485" w14:textId="21364EC9" w:rsidR="00F00F1F" w:rsidRDefault="00D313AC" w:rsidP="00D313AC">
      <w:pPr>
        <w:pStyle w:val="ListNo1"/>
        <w:numPr>
          <w:ilvl w:val="0"/>
          <w:numId w:val="0"/>
        </w:numPr>
        <w:tabs>
          <w:tab w:val="left" w:pos="720"/>
        </w:tabs>
        <w:ind w:left="720" w:hanging="720"/>
      </w:pPr>
      <w:r>
        <w:t>(1)</w:t>
      </w:r>
      <w:r>
        <w:tab/>
      </w:r>
      <w:r w:rsidR="00AF73B1">
        <w:t xml:space="preserve">some of the records and documents that are relevant </w:t>
      </w:r>
      <w:r w:rsidR="00F00F1F">
        <w:t>to</w:t>
      </w:r>
      <w:r w:rsidR="00AF73B1">
        <w:t xml:space="preserve"> the </w:t>
      </w:r>
      <w:r w:rsidR="00F00F1F">
        <w:t>allegations</w:t>
      </w:r>
      <w:r w:rsidR="00AF73B1">
        <w:t xml:space="preserve"> made against her and Kito Investments in the RC Group </w:t>
      </w:r>
      <w:proofErr w:type="spellStart"/>
      <w:r w:rsidR="00AF73B1">
        <w:t>Voidables</w:t>
      </w:r>
      <w:proofErr w:type="spellEnd"/>
      <w:r w:rsidR="00AF73B1">
        <w:t xml:space="preserve"> Proceeding </w:t>
      </w:r>
      <w:r w:rsidR="00CF1751">
        <w:t xml:space="preserve">were likely previously stored with </w:t>
      </w:r>
      <w:proofErr w:type="spellStart"/>
      <w:r w:rsidR="00CF1751">
        <w:t>Banq</w:t>
      </w:r>
      <w:proofErr w:type="spellEnd"/>
      <w:r w:rsidR="005F4C55">
        <w:t xml:space="preserve"> Accountants</w:t>
      </w:r>
      <w:r w:rsidR="00F00F1F">
        <w:t>;</w:t>
      </w:r>
    </w:p>
    <w:p w14:paraId="65A9051D" w14:textId="0631026A" w:rsidR="00F00F1F" w:rsidRDefault="00D313AC" w:rsidP="00D313AC">
      <w:pPr>
        <w:pStyle w:val="ListNo1"/>
        <w:numPr>
          <w:ilvl w:val="0"/>
          <w:numId w:val="0"/>
        </w:numPr>
        <w:tabs>
          <w:tab w:val="left" w:pos="720"/>
        </w:tabs>
        <w:ind w:left="720" w:hanging="720"/>
      </w:pPr>
      <w:r>
        <w:t>(2)</w:t>
      </w:r>
      <w:r>
        <w:tab/>
      </w:r>
      <w:proofErr w:type="spellStart"/>
      <w:r w:rsidR="00CF1751">
        <w:t>B</w:t>
      </w:r>
      <w:r w:rsidR="00F00F1F">
        <w:t>a</w:t>
      </w:r>
      <w:r w:rsidR="00CF1751">
        <w:t>nq</w:t>
      </w:r>
      <w:proofErr w:type="spellEnd"/>
      <w:r w:rsidR="00CF1751">
        <w:t xml:space="preserve"> </w:t>
      </w:r>
      <w:r w:rsidR="00C523AF">
        <w:t xml:space="preserve">Accountants </w:t>
      </w:r>
      <w:r w:rsidR="00CF1751">
        <w:t xml:space="preserve">moved premises in January 2017 </w:t>
      </w:r>
      <w:r w:rsidR="00F00F1F">
        <w:t>from</w:t>
      </w:r>
      <w:r w:rsidR="00CF1751">
        <w:t xml:space="preserve"> a property located in Punchbowl to one located</w:t>
      </w:r>
      <w:r w:rsidR="00F00F1F">
        <w:t xml:space="preserve"> in Silverwater where </w:t>
      </w:r>
      <w:r w:rsidR="00573268">
        <w:t xml:space="preserve">it </w:t>
      </w:r>
      <w:r w:rsidR="00F00F1F">
        <w:t xml:space="preserve">now trades as “Stratum </w:t>
      </w:r>
      <w:r w:rsidR="00682871">
        <w:t>Accountants</w:t>
      </w:r>
      <w:r w:rsidR="00F00F1F">
        <w:t>”;</w:t>
      </w:r>
    </w:p>
    <w:p w14:paraId="5BBEDCBC" w14:textId="052F648C" w:rsidR="007E3ABE" w:rsidRDefault="00D313AC" w:rsidP="00D313AC">
      <w:pPr>
        <w:pStyle w:val="ListNo1"/>
        <w:numPr>
          <w:ilvl w:val="0"/>
          <w:numId w:val="0"/>
        </w:numPr>
        <w:tabs>
          <w:tab w:val="left" w:pos="720"/>
        </w:tabs>
        <w:ind w:left="720" w:hanging="720"/>
      </w:pPr>
      <w:r>
        <w:t>(3)</w:t>
      </w:r>
      <w:r>
        <w:tab/>
      </w:r>
      <w:r w:rsidR="00795380">
        <w:t>s</w:t>
      </w:r>
      <w:r w:rsidR="00682871">
        <w:t xml:space="preserve">he does not think that </w:t>
      </w:r>
      <w:proofErr w:type="spellStart"/>
      <w:r w:rsidR="00682871">
        <w:t>Banq</w:t>
      </w:r>
      <w:proofErr w:type="spellEnd"/>
      <w:r w:rsidR="00043916">
        <w:t xml:space="preserve"> Accountants </w:t>
      </w:r>
      <w:r w:rsidR="00682871">
        <w:t>still trades and she does not know where the records went</w:t>
      </w:r>
      <w:r w:rsidR="00795380">
        <w:t>;</w:t>
      </w:r>
    </w:p>
    <w:p w14:paraId="517DA624" w14:textId="4505A8F4" w:rsidR="00795380" w:rsidRDefault="00D313AC" w:rsidP="00D313AC">
      <w:pPr>
        <w:pStyle w:val="ListNo1"/>
        <w:numPr>
          <w:ilvl w:val="0"/>
          <w:numId w:val="0"/>
        </w:numPr>
        <w:tabs>
          <w:tab w:val="left" w:pos="720"/>
        </w:tabs>
        <w:ind w:left="720" w:hanging="720"/>
      </w:pPr>
      <w:r>
        <w:t>(4)</w:t>
      </w:r>
      <w:r>
        <w:tab/>
      </w:r>
      <w:r w:rsidR="00795380">
        <w:t xml:space="preserve">she has been informed by Mr Khalil that sometime before 2018 </w:t>
      </w:r>
      <w:r w:rsidR="000B217C">
        <w:t xml:space="preserve">Mr </w:t>
      </w:r>
      <w:proofErr w:type="spellStart"/>
      <w:r w:rsidR="00795380">
        <w:t>Cassaniti</w:t>
      </w:r>
      <w:proofErr w:type="spellEnd"/>
      <w:r w:rsidR="00795380">
        <w:t xml:space="preserve"> too</w:t>
      </w:r>
      <w:r w:rsidR="00D73D12">
        <w:t>k</w:t>
      </w:r>
      <w:r w:rsidR="00795380">
        <w:t xml:space="preserve"> all of </w:t>
      </w:r>
      <w:proofErr w:type="spellStart"/>
      <w:r w:rsidR="00795380">
        <w:t>Banq</w:t>
      </w:r>
      <w:proofErr w:type="spellEnd"/>
      <w:r w:rsidR="00FF6E43">
        <w:t xml:space="preserve"> Accountant</w:t>
      </w:r>
      <w:r w:rsidR="00043916">
        <w:t>s</w:t>
      </w:r>
      <w:r w:rsidR="00795380">
        <w:t>’ records to a storage facility</w:t>
      </w:r>
      <w:r w:rsidR="00D73D12">
        <w:t xml:space="preserve"> </w:t>
      </w:r>
      <w:r w:rsidR="00795380">
        <w:t xml:space="preserve">on Mr </w:t>
      </w:r>
      <w:proofErr w:type="spellStart"/>
      <w:r w:rsidR="00795380">
        <w:t>Tabuso’s</w:t>
      </w:r>
      <w:proofErr w:type="spellEnd"/>
      <w:r w:rsidR="00795380">
        <w:t xml:space="preserve"> </w:t>
      </w:r>
      <w:r w:rsidR="00D73D12">
        <w:t>farm</w:t>
      </w:r>
      <w:r w:rsidR="00795380">
        <w:t xml:space="preserve"> and</w:t>
      </w:r>
      <w:r w:rsidR="00D73D12">
        <w:t xml:space="preserve"> that rainwater got into the storage facility and destroyed the records stored there</w:t>
      </w:r>
      <w:r w:rsidR="008E3F01">
        <w:t>; and</w:t>
      </w:r>
    </w:p>
    <w:p w14:paraId="62403E2A" w14:textId="51C9C7DF" w:rsidR="008E3F01" w:rsidRDefault="00D313AC" w:rsidP="00D313AC">
      <w:pPr>
        <w:pStyle w:val="ListNo1"/>
        <w:numPr>
          <w:ilvl w:val="0"/>
          <w:numId w:val="0"/>
        </w:numPr>
        <w:tabs>
          <w:tab w:val="left" w:pos="720"/>
        </w:tabs>
        <w:ind w:left="720" w:hanging="720"/>
      </w:pPr>
      <w:r>
        <w:t>(5)</w:t>
      </w:r>
      <w:r>
        <w:tab/>
      </w:r>
      <w:r w:rsidR="00351DA2">
        <w:t>despite having attempted to do so by telephone</w:t>
      </w:r>
      <w:r w:rsidR="00036188">
        <w:t xml:space="preserve">, online and by attending the Bankstown branch, </w:t>
      </w:r>
      <w:r w:rsidR="008E3F01">
        <w:t xml:space="preserve">she </w:t>
      </w:r>
      <w:r w:rsidR="00036188">
        <w:t>has</w:t>
      </w:r>
      <w:r w:rsidR="008E3F01">
        <w:t xml:space="preserve"> bee</w:t>
      </w:r>
      <w:r w:rsidR="00351DA2">
        <w:t>n</w:t>
      </w:r>
      <w:r w:rsidR="008E3F01">
        <w:t xml:space="preserve"> unable to obtain banking records for the period 2</w:t>
      </w:r>
      <w:r w:rsidR="00351DA2">
        <w:t xml:space="preserve">011 to 2014 from the </w:t>
      </w:r>
      <w:r w:rsidR="00036188">
        <w:t>National</w:t>
      </w:r>
      <w:r w:rsidR="00351DA2">
        <w:t xml:space="preserve"> </w:t>
      </w:r>
      <w:r w:rsidR="004D5300">
        <w:t>Australia</w:t>
      </w:r>
      <w:r w:rsidR="00351DA2">
        <w:t xml:space="preserve"> B</w:t>
      </w:r>
      <w:r w:rsidR="00036188">
        <w:t>a</w:t>
      </w:r>
      <w:r w:rsidR="00351DA2">
        <w:t>nk</w:t>
      </w:r>
      <w:r w:rsidR="005D066B">
        <w:t xml:space="preserve"> (</w:t>
      </w:r>
      <w:r w:rsidR="005D066B" w:rsidRPr="005D066B">
        <w:rPr>
          <w:b/>
          <w:bCs/>
        </w:rPr>
        <w:t>NAB</w:t>
      </w:r>
      <w:r w:rsidR="005D066B">
        <w:t>)</w:t>
      </w:r>
      <w:r w:rsidR="00036188">
        <w:t xml:space="preserve">, where she and Kito Investments </w:t>
      </w:r>
      <w:r w:rsidR="004D5300">
        <w:t>banked.</w:t>
      </w:r>
      <w:r w:rsidR="00F41BDF">
        <w:t xml:space="preserve">  In cross-examination M</w:t>
      </w:r>
      <w:r w:rsidR="00837A13">
        <w:t>r</w:t>
      </w:r>
      <w:r w:rsidR="00F41BDF">
        <w:t xml:space="preserve">s Khalil </w:t>
      </w:r>
      <w:r w:rsidR="005D066B">
        <w:t>explained</w:t>
      </w:r>
      <w:r w:rsidR="00F41BDF">
        <w:t xml:space="preserve"> that </w:t>
      </w:r>
      <w:r w:rsidR="004678A9">
        <w:t xml:space="preserve">the reason given to her by the NAB for not being </w:t>
      </w:r>
      <w:r w:rsidR="0015778E">
        <w:t>in</w:t>
      </w:r>
      <w:r w:rsidR="004678A9">
        <w:t xml:space="preserve"> </w:t>
      </w:r>
      <w:r w:rsidR="0015778E">
        <w:t>a position</w:t>
      </w:r>
      <w:r w:rsidR="004678A9">
        <w:t xml:space="preserve"> to provide </w:t>
      </w:r>
      <w:r w:rsidR="0015778E">
        <w:t>banking records for that period was because they were more than seven years old.</w:t>
      </w:r>
      <w:r w:rsidR="005D066B">
        <w:t xml:space="preserve"> </w:t>
      </w:r>
    </w:p>
    <w:p w14:paraId="1C2136C3" w14:textId="46129422" w:rsidR="00BD0305" w:rsidRDefault="00D313AC" w:rsidP="00D313AC">
      <w:pPr>
        <w:pStyle w:val="ParaNumbering"/>
        <w:numPr>
          <w:ilvl w:val="0"/>
          <w:numId w:val="0"/>
        </w:numPr>
        <w:ind w:hanging="720"/>
      </w:pPr>
      <w:r>
        <w:rPr>
          <w:sz w:val="20"/>
        </w:rPr>
        <w:t>61</w:t>
      </w:r>
      <w:r>
        <w:rPr>
          <w:sz w:val="20"/>
        </w:rPr>
        <w:tab/>
      </w:r>
      <w:r w:rsidR="00BD0305">
        <w:t>On 16 February 2017 M</w:t>
      </w:r>
      <w:r w:rsidR="000809A1">
        <w:t>r and Mr</w:t>
      </w:r>
      <w:r w:rsidR="00BD0305">
        <w:t>s Khalil separated</w:t>
      </w:r>
      <w:r w:rsidR="003A29EA">
        <w:t>.  O</w:t>
      </w:r>
      <w:r w:rsidR="000809A1">
        <w:t>n 23 June 2021 they agreed on consent orders for their property settlement</w:t>
      </w:r>
      <w:r w:rsidR="003A29EA">
        <w:t xml:space="preserve"> and on </w:t>
      </w:r>
      <w:r w:rsidR="00BB7019">
        <w:t>24 September 2021 o</w:t>
      </w:r>
      <w:r w:rsidR="003A29EA">
        <w:t>rders were made</w:t>
      </w:r>
      <w:r w:rsidR="00E13A9C">
        <w:t>.  M</w:t>
      </w:r>
      <w:r w:rsidR="00202442">
        <w:t>r</w:t>
      </w:r>
      <w:r w:rsidR="00E13A9C">
        <w:t>s Khalil says that</w:t>
      </w:r>
      <w:r w:rsidR="0035690D">
        <w:t>, had</w:t>
      </w:r>
      <w:r w:rsidR="00E13A9C">
        <w:t xml:space="preserve"> she been served with the RC Group </w:t>
      </w:r>
      <w:proofErr w:type="spellStart"/>
      <w:r w:rsidR="0035690D">
        <w:t>Voidables</w:t>
      </w:r>
      <w:proofErr w:type="spellEnd"/>
      <w:r w:rsidR="00E13A9C">
        <w:t xml:space="preserve"> Proceeding SOC </w:t>
      </w:r>
      <w:r w:rsidR="0035690D">
        <w:t xml:space="preserve">or been given notice of the allegations made in the RC Group </w:t>
      </w:r>
      <w:proofErr w:type="spellStart"/>
      <w:r w:rsidR="0035690D">
        <w:t>Voidables</w:t>
      </w:r>
      <w:proofErr w:type="spellEnd"/>
      <w:r w:rsidR="0035690D">
        <w:t xml:space="preserve"> Proceeding</w:t>
      </w:r>
      <w:r w:rsidR="00F27416">
        <w:t>, she probably would have settled with Mr Khalil on different terms based on advice from her lawyers.  While she does not know what different orders she would have sought, she says that she would have obtained legal advice about that matter and any impact of the proceeding on her.</w:t>
      </w:r>
    </w:p>
    <w:p w14:paraId="3EB312E1" w14:textId="0EBEBAD7" w:rsidR="00A52393" w:rsidRDefault="00D313AC" w:rsidP="00D313AC">
      <w:pPr>
        <w:pStyle w:val="ParaNumbering"/>
        <w:numPr>
          <w:ilvl w:val="0"/>
          <w:numId w:val="0"/>
        </w:numPr>
        <w:ind w:hanging="720"/>
      </w:pPr>
      <w:r>
        <w:rPr>
          <w:sz w:val="20"/>
        </w:rPr>
        <w:t>62</w:t>
      </w:r>
      <w:r>
        <w:rPr>
          <w:sz w:val="20"/>
        </w:rPr>
        <w:tab/>
      </w:r>
      <w:r w:rsidR="00C108D7">
        <w:t>In cross-</w:t>
      </w:r>
      <w:r w:rsidR="006210BE">
        <w:t>examination</w:t>
      </w:r>
      <w:r w:rsidR="00C108D7">
        <w:t xml:space="preserve"> Mrs Khali</w:t>
      </w:r>
      <w:r w:rsidR="006210BE">
        <w:t>l</w:t>
      </w:r>
      <w:r w:rsidR="00C108D7">
        <w:t xml:space="preserve"> was taken to</w:t>
      </w:r>
      <w:r w:rsidR="00D1362A">
        <w:t xml:space="preserve"> </w:t>
      </w:r>
      <w:r w:rsidR="00C108D7">
        <w:t xml:space="preserve">a </w:t>
      </w:r>
      <w:r w:rsidR="006210BE">
        <w:t>document</w:t>
      </w:r>
      <w:r w:rsidR="00C108D7">
        <w:t xml:space="preserve"> titled </w:t>
      </w:r>
      <w:r w:rsidR="006210BE">
        <w:t>“</w:t>
      </w:r>
      <w:r w:rsidR="006210BE" w:rsidRPr="004F480D">
        <w:t>Application for voluntary deregistration</w:t>
      </w:r>
      <w:r w:rsidR="006210BE">
        <w:t xml:space="preserve"> </w:t>
      </w:r>
      <w:r w:rsidR="00A52393">
        <w:t>o</w:t>
      </w:r>
      <w:r w:rsidR="006210BE">
        <w:t>f a company” for Kito Investments dated 16 May 2022</w:t>
      </w:r>
      <w:r w:rsidR="00AA5F97">
        <w:t xml:space="preserve"> (</w:t>
      </w:r>
      <w:r w:rsidR="00AA5F97" w:rsidRPr="004F480D">
        <w:rPr>
          <w:b/>
          <w:bCs/>
        </w:rPr>
        <w:t>Kito Investments Deregistration Application</w:t>
      </w:r>
      <w:r w:rsidR="00AA5F97">
        <w:t>)</w:t>
      </w:r>
      <w:r w:rsidR="006210BE">
        <w:t xml:space="preserve">.  </w:t>
      </w:r>
      <w:r w:rsidR="00CB15C7">
        <w:t>Despite the fact that Mrs Khalil is Kito Investment</w:t>
      </w:r>
      <w:r w:rsidR="007F026E">
        <w:t>s</w:t>
      </w:r>
      <w:r w:rsidR="00CB15C7">
        <w:t xml:space="preserve">’ sole </w:t>
      </w:r>
      <w:r w:rsidR="00CB15C7">
        <w:lastRenderedPageBreak/>
        <w:t xml:space="preserve">director, she said </w:t>
      </w:r>
      <w:r w:rsidR="00D1362A">
        <w:t xml:space="preserve">that </w:t>
      </w:r>
      <w:r w:rsidR="00A52393">
        <w:t>s</w:t>
      </w:r>
      <w:r w:rsidR="00D1362A">
        <w:t>he did not sign th</w:t>
      </w:r>
      <w:r w:rsidR="008C30D9">
        <w:t>at docu</w:t>
      </w:r>
      <w:r w:rsidR="00C30106">
        <w:t xml:space="preserve">ment, she had not seen the </w:t>
      </w:r>
      <w:r w:rsidR="00A52393">
        <w:t>document</w:t>
      </w:r>
      <w:r w:rsidR="00C30106">
        <w:t xml:space="preserve"> before it was shown to her in cross-</w:t>
      </w:r>
      <w:r w:rsidR="00A52393">
        <w:t>examination</w:t>
      </w:r>
      <w:r w:rsidR="00C30106">
        <w:t xml:space="preserve"> </w:t>
      </w:r>
      <w:r w:rsidR="00F37CD8">
        <w:t>and she could not recall discussing it with anyone in May 2022</w:t>
      </w:r>
      <w:r w:rsidR="00A52393">
        <w:t>.</w:t>
      </w:r>
      <w:r w:rsidR="006210BE">
        <w:t xml:space="preserve"> </w:t>
      </w:r>
      <w:r w:rsidR="006F6C13">
        <w:t xml:space="preserve"> </w:t>
      </w:r>
      <w:r w:rsidR="00A52393">
        <w:t>T</w:t>
      </w:r>
      <w:r w:rsidR="00B07A78">
        <w:t>he</w:t>
      </w:r>
      <w:r w:rsidR="00A52393">
        <w:t xml:space="preserve"> </w:t>
      </w:r>
      <w:r w:rsidR="006449D2" w:rsidRPr="006449D2">
        <w:t>Kito Investments Deregistration</w:t>
      </w:r>
      <w:r w:rsidR="00A52393">
        <w:t xml:space="preserve"> </w:t>
      </w:r>
      <w:r w:rsidR="00B07A78">
        <w:t>Application</w:t>
      </w:r>
      <w:r w:rsidR="00A52393">
        <w:t xml:space="preserve"> was </w:t>
      </w:r>
      <w:r w:rsidR="00B07A78">
        <w:t>lodged</w:t>
      </w:r>
      <w:r w:rsidR="00A52393">
        <w:t xml:space="preserve"> by </w:t>
      </w:r>
      <w:r w:rsidR="00A52393" w:rsidRPr="006F6C13">
        <w:rPr>
          <w:b/>
          <w:bCs/>
        </w:rPr>
        <w:t xml:space="preserve">Stratum </w:t>
      </w:r>
      <w:r w:rsidR="00B07A78" w:rsidRPr="006F6C13">
        <w:rPr>
          <w:b/>
          <w:bCs/>
        </w:rPr>
        <w:t>A</w:t>
      </w:r>
      <w:r w:rsidR="00A52393" w:rsidRPr="006F6C13">
        <w:rPr>
          <w:b/>
          <w:bCs/>
        </w:rPr>
        <w:t>ccountants</w:t>
      </w:r>
      <w:r w:rsidR="005B7CB2">
        <w:t xml:space="preserve"> Pty Ltd.  M</w:t>
      </w:r>
      <w:r w:rsidR="00B07A78">
        <w:t>r</w:t>
      </w:r>
      <w:r w:rsidR="005B7CB2">
        <w:t>s Kha</w:t>
      </w:r>
      <w:r w:rsidR="00B07A78">
        <w:t>l</w:t>
      </w:r>
      <w:r w:rsidR="005B7CB2">
        <w:t xml:space="preserve">il accepted that she </w:t>
      </w:r>
      <w:r w:rsidR="00B07A78">
        <w:t>had</w:t>
      </w:r>
      <w:r w:rsidR="005B7CB2">
        <w:t xml:space="preserve"> worked for Stratum Accountants since about 2019</w:t>
      </w:r>
      <w:r w:rsidR="00B07A78">
        <w:t>.</w:t>
      </w:r>
    </w:p>
    <w:p w14:paraId="58D63968" w14:textId="2F91D228" w:rsidR="00D211A7" w:rsidRDefault="00D211A7" w:rsidP="00C07F3C">
      <w:pPr>
        <w:pStyle w:val="Heading3"/>
      </w:pPr>
      <w:r>
        <w:t>Mr Borg</w:t>
      </w:r>
    </w:p>
    <w:p w14:paraId="5968804E" w14:textId="06C355C9" w:rsidR="008B440C" w:rsidRDefault="00D313AC" w:rsidP="00D313AC">
      <w:pPr>
        <w:pStyle w:val="ParaNumbering"/>
        <w:numPr>
          <w:ilvl w:val="0"/>
          <w:numId w:val="0"/>
        </w:numPr>
        <w:ind w:hanging="720"/>
      </w:pPr>
      <w:r>
        <w:rPr>
          <w:sz w:val="20"/>
        </w:rPr>
        <w:t>63</w:t>
      </w:r>
      <w:r>
        <w:rPr>
          <w:sz w:val="20"/>
        </w:rPr>
        <w:tab/>
      </w:r>
      <w:r w:rsidR="00D211A7">
        <w:t>M</w:t>
      </w:r>
      <w:r w:rsidR="00CB15C7">
        <w:t xml:space="preserve">ichael </w:t>
      </w:r>
      <w:r w:rsidR="00D211A7">
        <w:t>Borg is the sole director of</w:t>
      </w:r>
      <w:r w:rsidR="00600C1F">
        <w:t xml:space="preserve"> Borg </w:t>
      </w:r>
      <w:r w:rsidR="00AE6A18">
        <w:t>F</w:t>
      </w:r>
      <w:r w:rsidR="00600C1F">
        <w:t>amily</w:t>
      </w:r>
      <w:r w:rsidR="006A3B82">
        <w:t xml:space="preserve">, the sixth defendant to the RC Group </w:t>
      </w:r>
      <w:proofErr w:type="spellStart"/>
      <w:r w:rsidR="006A3B82">
        <w:t>Voidables</w:t>
      </w:r>
      <w:proofErr w:type="spellEnd"/>
      <w:r w:rsidR="006A3B82">
        <w:t xml:space="preserve"> Proceeding</w:t>
      </w:r>
      <w:r w:rsidR="00D251C9">
        <w:t xml:space="preserve">, </w:t>
      </w:r>
      <w:r w:rsidR="00600C1F">
        <w:t>and fr</w:t>
      </w:r>
      <w:r w:rsidR="008A60A0">
        <w:t>o</w:t>
      </w:r>
      <w:r w:rsidR="00600C1F">
        <w:t xml:space="preserve">m 1 December 20217 to 3 August 2022 was the sole director of </w:t>
      </w:r>
      <w:r w:rsidR="008A60A0">
        <w:t>746</w:t>
      </w:r>
      <w:r w:rsidR="009900DC">
        <w:t> </w:t>
      </w:r>
      <w:r w:rsidR="008A60A0">
        <w:t xml:space="preserve">Greendale Road.  </w:t>
      </w:r>
      <w:r w:rsidR="002A496C">
        <w:t xml:space="preserve">He is also the fifth defendant in the RC Group </w:t>
      </w:r>
      <w:proofErr w:type="spellStart"/>
      <w:r w:rsidR="002A496C">
        <w:t>Voidables</w:t>
      </w:r>
      <w:proofErr w:type="spellEnd"/>
      <w:r w:rsidR="002A496C">
        <w:t xml:space="preserve"> Proceeding</w:t>
      </w:r>
      <w:r w:rsidR="008B440C">
        <w:t>.</w:t>
      </w:r>
    </w:p>
    <w:p w14:paraId="003CD69F" w14:textId="1F5E7BE2" w:rsidR="00422991" w:rsidRDefault="00D313AC" w:rsidP="00D313AC">
      <w:pPr>
        <w:pStyle w:val="ParaNumbering"/>
        <w:numPr>
          <w:ilvl w:val="0"/>
          <w:numId w:val="0"/>
        </w:numPr>
        <w:ind w:hanging="720"/>
      </w:pPr>
      <w:r>
        <w:rPr>
          <w:sz w:val="20"/>
        </w:rPr>
        <w:t>64</w:t>
      </w:r>
      <w:r>
        <w:rPr>
          <w:sz w:val="20"/>
        </w:rPr>
        <w:tab/>
      </w:r>
      <w:r w:rsidR="008B440C">
        <w:t>Mr Bor</w:t>
      </w:r>
      <w:r w:rsidR="00647DB6">
        <w:t>g</w:t>
      </w:r>
      <w:r w:rsidR="008B440C">
        <w:t xml:space="preserve"> noted that in the RC Group</w:t>
      </w:r>
      <w:r w:rsidR="003027EF">
        <w:t xml:space="preserve"> </w:t>
      </w:r>
      <w:proofErr w:type="spellStart"/>
      <w:r w:rsidR="00647DB6">
        <w:t>Voidables</w:t>
      </w:r>
      <w:proofErr w:type="spellEnd"/>
      <w:r w:rsidR="00647DB6">
        <w:t xml:space="preserve"> Proceeding</w:t>
      </w:r>
      <w:r w:rsidR="003027EF">
        <w:t xml:space="preserve"> </w:t>
      </w:r>
      <w:r w:rsidR="00EE2665">
        <w:t xml:space="preserve">relief is sought </w:t>
      </w:r>
      <w:r w:rsidR="00422991">
        <w:t>against:</w:t>
      </w:r>
    </w:p>
    <w:p w14:paraId="77DA8758" w14:textId="1C05A382" w:rsidR="00D211A7" w:rsidRDefault="00D313AC" w:rsidP="00D313AC">
      <w:pPr>
        <w:pStyle w:val="ListNo1"/>
        <w:numPr>
          <w:ilvl w:val="0"/>
          <w:numId w:val="0"/>
        </w:numPr>
        <w:tabs>
          <w:tab w:val="left" w:pos="720"/>
        </w:tabs>
        <w:ind w:left="720" w:hanging="720"/>
      </w:pPr>
      <w:r>
        <w:t>(1)</w:t>
      </w:r>
      <w:r>
        <w:tab/>
      </w:r>
      <w:r w:rsidR="00EE2665">
        <w:t xml:space="preserve">him in relation to certain payments totalling $600,000 allegedly made </w:t>
      </w:r>
      <w:r w:rsidR="00422991">
        <w:t>between 17 June 2013 and 10 June 2014;</w:t>
      </w:r>
      <w:r w:rsidR="00BC6BC9">
        <w:t xml:space="preserve"> and</w:t>
      </w:r>
    </w:p>
    <w:p w14:paraId="165D8AAF" w14:textId="31F4EBC5" w:rsidR="00422991" w:rsidRDefault="00D313AC" w:rsidP="00D313AC">
      <w:pPr>
        <w:pStyle w:val="ListNo1"/>
        <w:numPr>
          <w:ilvl w:val="0"/>
          <w:numId w:val="0"/>
        </w:numPr>
        <w:tabs>
          <w:tab w:val="left" w:pos="720"/>
        </w:tabs>
        <w:ind w:left="720" w:hanging="720"/>
      </w:pPr>
      <w:r>
        <w:t>(2)</w:t>
      </w:r>
      <w:r>
        <w:tab/>
      </w:r>
      <w:r w:rsidR="00422991">
        <w:t xml:space="preserve">Borg Family </w:t>
      </w:r>
      <w:r w:rsidR="00CE2D7F">
        <w:t xml:space="preserve">in relation to certain </w:t>
      </w:r>
      <w:r w:rsidR="006A3B82">
        <w:t>payments</w:t>
      </w:r>
      <w:r w:rsidR="00CE2D7F">
        <w:t xml:space="preserve"> </w:t>
      </w:r>
      <w:r w:rsidR="006A3B82">
        <w:t>totalling</w:t>
      </w:r>
      <w:r w:rsidR="00CE2D7F">
        <w:t xml:space="preserve"> $70,000 </w:t>
      </w:r>
      <w:r w:rsidR="006A3B82">
        <w:t>allegedly</w:t>
      </w:r>
      <w:r w:rsidR="00CE2D7F">
        <w:t xml:space="preserve"> made between </w:t>
      </w:r>
      <w:r w:rsidR="00B415C3">
        <w:t>6 June 2014 and 1 July 2014</w:t>
      </w:r>
      <w:r w:rsidR="008E07D8">
        <w:t>.</w:t>
      </w:r>
    </w:p>
    <w:p w14:paraId="366C62E9" w14:textId="58CC5565" w:rsidR="00194EA5" w:rsidRDefault="00D313AC" w:rsidP="00D313AC">
      <w:pPr>
        <w:pStyle w:val="ParaNumbering"/>
        <w:numPr>
          <w:ilvl w:val="0"/>
          <w:numId w:val="0"/>
        </w:numPr>
        <w:ind w:hanging="720"/>
      </w:pPr>
      <w:r>
        <w:rPr>
          <w:sz w:val="20"/>
        </w:rPr>
        <w:t>65</w:t>
      </w:r>
      <w:r>
        <w:rPr>
          <w:sz w:val="20"/>
        </w:rPr>
        <w:tab/>
      </w:r>
      <w:r w:rsidR="00194EA5">
        <w:t xml:space="preserve">Mr </w:t>
      </w:r>
      <w:r w:rsidR="00D64F96">
        <w:t xml:space="preserve">Borg, Borg Family and 746 </w:t>
      </w:r>
      <w:r w:rsidR="00E64E95">
        <w:t>Greendale Road</w:t>
      </w:r>
      <w:r w:rsidR="00D64F96">
        <w:t xml:space="preserve"> have</w:t>
      </w:r>
      <w:r w:rsidR="00194EA5">
        <w:t xml:space="preserve"> filed a defence in the RC </w:t>
      </w:r>
      <w:r w:rsidR="0085199D">
        <w:t xml:space="preserve">Group </w:t>
      </w:r>
      <w:proofErr w:type="spellStart"/>
      <w:r w:rsidR="00194EA5">
        <w:t>Voidables</w:t>
      </w:r>
      <w:proofErr w:type="spellEnd"/>
      <w:r w:rsidR="00194EA5">
        <w:t xml:space="preserve"> Proceeding.  </w:t>
      </w:r>
    </w:p>
    <w:p w14:paraId="08C89430" w14:textId="768B4B15" w:rsidR="00BF5067" w:rsidRDefault="00D313AC" w:rsidP="00D313AC">
      <w:pPr>
        <w:pStyle w:val="ParaNumbering"/>
        <w:numPr>
          <w:ilvl w:val="0"/>
          <w:numId w:val="0"/>
        </w:numPr>
        <w:ind w:hanging="720"/>
      </w:pPr>
      <w:r>
        <w:rPr>
          <w:sz w:val="20"/>
        </w:rPr>
        <w:t>66</w:t>
      </w:r>
      <w:r>
        <w:rPr>
          <w:sz w:val="20"/>
        </w:rPr>
        <w:tab/>
      </w:r>
      <w:r w:rsidR="00BF5067">
        <w:t xml:space="preserve">Mr Borg was not </w:t>
      </w:r>
      <w:r w:rsidR="00352D66">
        <w:t xml:space="preserve">informed </w:t>
      </w:r>
      <w:r w:rsidR="001C5B2D">
        <w:t xml:space="preserve">at any time prior to 2 September 2019, when the </w:t>
      </w:r>
      <w:r w:rsidR="00E64E95">
        <w:t>Reinstatement</w:t>
      </w:r>
      <w:r w:rsidR="001C5B2D">
        <w:t xml:space="preserve"> Orders were made, </w:t>
      </w:r>
      <w:r w:rsidR="00352D66">
        <w:t xml:space="preserve">of the hearing of this proceeding before Stewart J or that the parties </w:t>
      </w:r>
      <w:r w:rsidR="001C5B2D">
        <w:t>at</w:t>
      </w:r>
      <w:r w:rsidR="00352D66">
        <w:t xml:space="preserve"> the time intended to </w:t>
      </w:r>
      <w:r w:rsidR="001C5B2D">
        <w:t xml:space="preserve">apply for </w:t>
      </w:r>
      <w:r w:rsidR="00F0085B">
        <w:t>the Reinstatement Orders</w:t>
      </w:r>
      <w:r w:rsidR="001C5B2D">
        <w:t xml:space="preserve">.  </w:t>
      </w:r>
    </w:p>
    <w:p w14:paraId="23A95F8F" w14:textId="5A4079BE" w:rsidR="00B415C3" w:rsidRDefault="00D313AC" w:rsidP="00D313AC">
      <w:pPr>
        <w:pStyle w:val="ParaNumbering"/>
        <w:numPr>
          <w:ilvl w:val="0"/>
          <w:numId w:val="0"/>
        </w:numPr>
        <w:ind w:hanging="720"/>
      </w:pPr>
      <w:r>
        <w:rPr>
          <w:sz w:val="20"/>
        </w:rPr>
        <w:t>67</w:t>
      </w:r>
      <w:r>
        <w:rPr>
          <w:sz w:val="20"/>
        </w:rPr>
        <w:tab/>
      </w:r>
      <w:r w:rsidR="001C5B2D">
        <w:t xml:space="preserve">At </w:t>
      </w:r>
      <w:r w:rsidR="000D08AC">
        <w:t>no</w:t>
      </w:r>
      <w:r w:rsidR="001C5B2D">
        <w:t xml:space="preserve"> time prior to or after the making o</w:t>
      </w:r>
      <w:r w:rsidR="00EA4416">
        <w:t>f</w:t>
      </w:r>
      <w:r w:rsidR="001C5B2D">
        <w:t xml:space="preserve"> the Reinstatement Orders </w:t>
      </w:r>
      <w:r w:rsidR="00A3094B">
        <w:t xml:space="preserve">until he was served with the RC Group </w:t>
      </w:r>
      <w:proofErr w:type="spellStart"/>
      <w:r w:rsidR="00A3094B">
        <w:t>Voidables</w:t>
      </w:r>
      <w:proofErr w:type="spellEnd"/>
      <w:r w:rsidR="00A3094B">
        <w:t xml:space="preserve"> Proceeding </w:t>
      </w:r>
      <w:r w:rsidR="0095529D">
        <w:t xml:space="preserve">SOC </w:t>
      </w:r>
      <w:r w:rsidR="00A3094B">
        <w:t xml:space="preserve">on or about 12 October 2021 was Mr Borg made </w:t>
      </w:r>
      <w:r w:rsidR="0047101E">
        <w:t>aware</w:t>
      </w:r>
      <w:r w:rsidR="00A3094B">
        <w:t xml:space="preserve"> </w:t>
      </w:r>
      <w:r w:rsidR="0047101E">
        <w:t>of the allegations made in th</w:t>
      </w:r>
      <w:r w:rsidR="00FC3BC6">
        <w:t xml:space="preserve">at </w:t>
      </w:r>
      <w:r w:rsidR="0047101E">
        <w:t xml:space="preserve">statement of claim.  </w:t>
      </w:r>
      <w:r w:rsidR="00A3094B">
        <w:t xml:space="preserve"> </w:t>
      </w:r>
    </w:p>
    <w:p w14:paraId="4DD0A98E" w14:textId="5D6080F7" w:rsidR="00E64E95" w:rsidRDefault="00D313AC" w:rsidP="00D313AC">
      <w:pPr>
        <w:pStyle w:val="ParaNumbering"/>
        <w:numPr>
          <w:ilvl w:val="0"/>
          <w:numId w:val="0"/>
        </w:numPr>
        <w:ind w:hanging="720"/>
      </w:pPr>
      <w:r>
        <w:rPr>
          <w:sz w:val="20"/>
        </w:rPr>
        <w:t>68</w:t>
      </w:r>
      <w:r>
        <w:rPr>
          <w:sz w:val="20"/>
        </w:rPr>
        <w:tab/>
      </w:r>
      <w:r w:rsidR="00E64E95">
        <w:t xml:space="preserve">The sums claimed by the plaintiffs </w:t>
      </w:r>
      <w:r w:rsidR="00530BAE">
        <w:t xml:space="preserve">from Mr Borg and Borg Family arise out of </w:t>
      </w:r>
      <w:r w:rsidR="00466D8C">
        <w:t xml:space="preserve">a </w:t>
      </w:r>
      <w:r w:rsidR="000B68ED">
        <w:t xml:space="preserve">loan made by Mr Borg to RC Group </w:t>
      </w:r>
      <w:r w:rsidR="00E37582">
        <w:t>at Mr Khalil’s request.  Mr Borg says that it was a term of the l</w:t>
      </w:r>
      <w:r w:rsidR="006B14A7">
        <w:t>oan</w:t>
      </w:r>
      <w:r w:rsidR="00E37582">
        <w:t xml:space="preserve"> </w:t>
      </w:r>
      <w:r w:rsidR="00E0704D">
        <w:t>t</w:t>
      </w:r>
      <w:r w:rsidR="00E37582">
        <w:t xml:space="preserve">hat </w:t>
      </w:r>
      <w:r w:rsidR="006B14A7">
        <w:t xml:space="preserve">fixed interest of $70,000 would be </w:t>
      </w:r>
      <w:r w:rsidR="002711D7">
        <w:t>paid and</w:t>
      </w:r>
      <w:r w:rsidR="006B14A7">
        <w:t xml:space="preserve"> he directed that sum to be paid to Borg Family.  </w:t>
      </w:r>
    </w:p>
    <w:p w14:paraId="7FDF5725" w14:textId="6FC11571" w:rsidR="002711D7" w:rsidRDefault="00D313AC" w:rsidP="00D313AC">
      <w:pPr>
        <w:pStyle w:val="ParaNumbering"/>
        <w:numPr>
          <w:ilvl w:val="0"/>
          <w:numId w:val="0"/>
        </w:numPr>
        <w:ind w:hanging="720"/>
      </w:pPr>
      <w:r>
        <w:rPr>
          <w:sz w:val="20"/>
        </w:rPr>
        <w:t>69</w:t>
      </w:r>
      <w:r>
        <w:rPr>
          <w:sz w:val="20"/>
        </w:rPr>
        <w:tab/>
      </w:r>
      <w:r w:rsidR="002711D7">
        <w:t xml:space="preserve">Mr Borg </w:t>
      </w:r>
      <w:r w:rsidR="009B3F76">
        <w:t>say</w:t>
      </w:r>
      <w:r w:rsidR="002711D7">
        <w:t>s that a decade has passe</w:t>
      </w:r>
      <w:r w:rsidR="000D08AC">
        <w:t>d</w:t>
      </w:r>
      <w:r w:rsidR="002711D7">
        <w:t xml:space="preserve"> since he entered into the loan agreement with RC Group</w:t>
      </w:r>
      <w:r w:rsidR="00950EE5">
        <w:t>,</w:t>
      </w:r>
      <w:r w:rsidR="002711D7">
        <w:t xml:space="preserve"> he has changed accountants since that time </w:t>
      </w:r>
      <w:r w:rsidR="00950EE5">
        <w:t>as</w:t>
      </w:r>
      <w:r w:rsidR="00EA5746">
        <w:t xml:space="preserve"> </w:t>
      </w:r>
      <w:r w:rsidR="00950EE5">
        <w:t xml:space="preserve">a result of a dispute </w:t>
      </w:r>
      <w:r w:rsidR="00D32272">
        <w:t xml:space="preserve">he had with the </w:t>
      </w:r>
      <w:r w:rsidR="00EA5746">
        <w:t>accountants</w:t>
      </w:r>
      <w:r w:rsidR="00D32272">
        <w:t xml:space="preserve"> who were assisting him at the time of the loan </w:t>
      </w:r>
      <w:r w:rsidR="00EA5746">
        <w:t>agreement</w:t>
      </w:r>
      <w:r w:rsidR="00D32272">
        <w:t xml:space="preserve"> and, due </w:t>
      </w:r>
      <w:r w:rsidR="00EA5746">
        <w:t>to the</w:t>
      </w:r>
      <w:r w:rsidR="00D32272">
        <w:t xml:space="preserve"> passage </w:t>
      </w:r>
      <w:r w:rsidR="00EA5746">
        <w:t>of</w:t>
      </w:r>
      <w:r w:rsidR="00D32272">
        <w:t xml:space="preserve"> </w:t>
      </w:r>
      <w:r w:rsidR="00EA5746">
        <w:t>time</w:t>
      </w:r>
      <w:r w:rsidR="00D32272">
        <w:t xml:space="preserve">, he has not retained a copy of the </w:t>
      </w:r>
      <w:r w:rsidR="00EA5746">
        <w:t>loan</w:t>
      </w:r>
      <w:r w:rsidR="00D32272">
        <w:t xml:space="preserve"> </w:t>
      </w:r>
      <w:r w:rsidR="00EA5746">
        <w:t>agreement</w:t>
      </w:r>
      <w:r w:rsidR="00D32272">
        <w:t xml:space="preserve"> and</w:t>
      </w:r>
      <w:r w:rsidR="00762C3D">
        <w:t>, because of the dispute,</w:t>
      </w:r>
      <w:r w:rsidR="00D32272">
        <w:t xml:space="preserve"> is </w:t>
      </w:r>
      <w:r w:rsidR="00EA5746">
        <w:t>unable to procure a copy from his former accountants.</w:t>
      </w:r>
      <w:r w:rsidR="007963A2">
        <w:t xml:space="preserve">  In summary Mr Borg says that, as a result of the passage </w:t>
      </w:r>
      <w:r w:rsidR="007963A2">
        <w:lastRenderedPageBreak/>
        <w:t>of time and his dispute with his former accountants</w:t>
      </w:r>
      <w:r w:rsidR="002D31E9">
        <w:t>,</w:t>
      </w:r>
      <w:r w:rsidR="007963A2">
        <w:t xml:space="preserve"> it has been very difficult for him to locate the loan agreement.</w:t>
      </w:r>
      <w:r w:rsidR="00EA5746">
        <w:t xml:space="preserve">  </w:t>
      </w:r>
    </w:p>
    <w:p w14:paraId="14F5CAEC" w14:textId="79488FC9" w:rsidR="00EA5746" w:rsidRDefault="00D313AC" w:rsidP="00D313AC">
      <w:pPr>
        <w:pStyle w:val="ParaNumbering"/>
        <w:numPr>
          <w:ilvl w:val="0"/>
          <w:numId w:val="0"/>
        </w:numPr>
        <w:ind w:hanging="720"/>
      </w:pPr>
      <w:r>
        <w:rPr>
          <w:sz w:val="20"/>
        </w:rPr>
        <w:t>70</w:t>
      </w:r>
      <w:r>
        <w:rPr>
          <w:sz w:val="20"/>
        </w:rPr>
        <w:tab/>
      </w:r>
      <w:r w:rsidR="00257049">
        <w:t xml:space="preserve">The </w:t>
      </w:r>
      <w:r w:rsidR="00EA5746">
        <w:t xml:space="preserve">RC Group </w:t>
      </w:r>
      <w:proofErr w:type="spellStart"/>
      <w:r w:rsidR="00EA5746">
        <w:t>Voidables</w:t>
      </w:r>
      <w:proofErr w:type="spellEnd"/>
      <w:r w:rsidR="00EA5746">
        <w:t xml:space="preserve"> Proceeding continues to cause </w:t>
      </w:r>
      <w:r w:rsidR="00F47DF4">
        <w:t>Mr Borg</w:t>
      </w:r>
      <w:r w:rsidR="00EA5746">
        <w:t xml:space="preserve"> and his </w:t>
      </w:r>
      <w:r w:rsidR="00E22C59">
        <w:t xml:space="preserve">family </w:t>
      </w:r>
      <w:r w:rsidR="002D31E9">
        <w:t xml:space="preserve">both </w:t>
      </w:r>
      <w:r w:rsidR="00E22C59">
        <w:t>emotional and financial distress.</w:t>
      </w:r>
    </w:p>
    <w:p w14:paraId="7B928656" w14:textId="4FB1F674" w:rsidR="000D08AC" w:rsidRDefault="00D313AC" w:rsidP="00D313AC">
      <w:pPr>
        <w:pStyle w:val="ParaNumbering"/>
        <w:numPr>
          <w:ilvl w:val="0"/>
          <w:numId w:val="0"/>
        </w:numPr>
        <w:ind w:hanging="720"/>
      </w:pPr>
      <w:r>
        <w:rPr>
          <w:sz w:val="20"/>
        </w:rPr>
        <w:t>71</w:t>
      </w:r>
      <w:r>
        <w:rPr>
          <w:sz w:val="20"/>
        </w:rPr>
        <w:tab/>
      </w:r>
      <w:r w:rsidR="000D08AC">
        <w:t>M</w:t>
      </w:r>
      <w:r w:rsidR="008810C7">
        <w:t>r</w:t>
      </w:r>
      <w:r w:rsidR="000D08AC">
        <w:t xml:space="preserve"> Borg was cross-examined.  </w:t>
      </w:r>
      <w:r w:rsidR="00A87CAC">
        <w:t xml:space="preserve">He accepted that </w:t>
      </w:r>
      <w:r w:rsidR="00202D94">
        <w:t xml:space="preserve">Borg Family and 746 Greendale Road used </w:t>
      </w:r>
      <w:proofErr w:type="spellStart"/>
      <w:r w:rsidR="00202D94">
        <w:t>B</w:t>
      </w:r>
      <w:r w:rsidR="008810C7">
        <w:t>a</w:t>
      </w:r>
      <w:r w:rsidR="00202D94">
        <w:t>nq</w:t>
      </w:r>
      <w:proofErr w:type="spellEnd"/>
      <w:r w:rsidR="00202D94">
        <w:t xml:space="preserve"> Accountants as their </w:t>
      </w:r>
      <w:r w:rsidR="008810C7">
        <w:t>accountants</w:t>
      </w:r>
      <w:r w:rsidR="00202D94">
        <w:t xml:space="preserve"> but ceased to do so in about </w:t>
      </w:r>
      <w:r w:rsidR="008810C7">
        <w:t>2016</w:t>
      </w:r>
      <w:r w:rsidR="00BB2AC6">
        <w:t xml:space="preserve"> to</w:t>
      </w:r>
      <w:r w:rsidR="003B66EA">
        <w:t xml:space="preserve"> </w:t>
      </w:r>
      <w:r w:rsidR="008810C7">
        <w:t xml:space="preserve">2017.  </w:t>
      </w:r>
    </w:p>
    <w:p w14:paraId="031CDE5D" w14:textId="4348820D" w:rsidR="008810C7" w:rsidRDefault="00D313AC" w:rsidP="00D313AC">
      <w:pPr>
        <w:pStyle w:val="ParaNumbering"/>
        <w:numPr>
          <w:ilvl w:val="0"/>
          <w:numId w:val="0"/>
        </w:numPr>
        <w:ind w:hanging="720"/>
      </w:pPr>
      <w:r>
        <w:rPr>
          <w:sz w:val="20"/>
        </w:rPr>
        <w:t>72</w:t>
      </w:r>
      <w:r>
        <w:rPr>
          <w:sz w:val="20"/>
        </w:rPr>
        <w:tab/>
      </w:r>
      <w:r w:rsidR="006E13E0">
        <w:t>Mr Borg was taken to the transcript of his examination carried out by the Liquidators on 6</w:t>
      </w:r>
      <w:r w:rsidR="00CE5E16">
        <w:t> </w:t>
      </w:r>
      <w:r w:rsidR="00E250C1">
        <w:t>October</w:t>
      </w:r>
      <w:r w:rsidR="006E13E0">
        <w:t xml:space="preserve"> 202</w:t>
      </w:r>
      <w:r w:rsidR="00E250C1">
        <w:t>0</w:t>
      </w:r>
      <w:r w:rsidR="00CE5E16">
        <w:t xml:space="preserve"> and directed </w:t>
      </w:r>
      <w:r w:rsidR="00DF7FBF">
        <w:t>to</w:t>
      </w:r>
      <w:r w:rsidR="00CE5E16">
        <w:t xml:space="preserve"> the following exchange:</w:t>
      </w:r>
    </w:p>
    <w:p w14:paraId="34F7B618" w14:textId="28EF3A6C" w:rsidR="00B11D2D" w:rsidRDefault="00B11D2D" w:rsidP="00E808C1">
      <w:pPr>
        <w:pStyle w:val="Quote1"/>
        <w:ind w:left="1440" w:hanging="703"/>
      </w:pPr>
      <w:r>
        <w:t>Q:</w:t>
      </w:r>
      <w:r>
        <w:tab/>
        <w:t>You haven</w:t>
      </w:r>
      <w:r w:rsidR="00C935F5">
        <w:t>’</w:t>
      </w:r>
      <w:r>
        <w:t>t produced any documents, pursuant to an order for production addressed to yourself, have you?</w:t>
      </w:r>
    </w:p>
    <w:p w14:paraId="2F08E22B" w14:textId="04DC559A" w:rsidR="00B11D2D" w:rsidRDefault="00B11D2D" w:rsidP="00B11D2D">
      <w:pPr>
        <w:pStyle w:val="Quote1"/>
      </w:pPr>
      <w:r>
        <w:t>A:</w:t>
      </w:r>
      <w:r>
        <w:tab/>
        <w:t>I don</w:t>
      </w:r>
      <w:r w:rsidR="009C42C0">
        <w:t>’</w:t>
      </w:r>
      <w:r>
        <w:t>t know.</w:t>
      </w:r>
    </w:p>
    <w:p w14:paraId="45EAB4C2" w14:textId="77777777" w:rsidR="00E808C1" w:rsidRDefault="00E808C1" w:rsidP="00B11D2D">
      <w:pPr>
        <w:pStyle w:val="Quote1"/>
      </w:pPr>
      <w:r>
        <w:t>Q:</w:t>
      </w:r>
      <w:r>
        <w:tab/>
      </w:r>
      <w:r w:rsidR="00B11D2D">
        <w:t>Well, have you or not?</w:t>
      </w:r>
    </w:p>
    <w:p w14:paraId="02D94B9D" w14:textId="3FAF2FB2" w:rsidR="00B11D2D" w:rsidRDefault="00E808C1" w:rsidP="00B11D2D">
      <w:pPr>
        <w:pStyle w:val="Quote1"/>
      </w:pPr>
      <w:r>
        <w:t>A:</w:t>
      </w:r>
      <w:r>
        <w:tab/>
      </w:r>
      <w:r w:rsidR="00B11D2D">
        <w:t>Privilege. I don</w:t>
      </w:r>
      <w:r w:rsidR="009C42C0">
        <w:t>’</w:t>
      </w:r>
      <w:r w:rsidR="00B11D2D">
        <w:t>t know.</w:t>
      </w:r>
    </w:p>
    <w:p w14:paraId="7FD5169D" w14:textId="77777777" w:rsidR="00E808C1" w:rsidRDefault="00E808C1" w:rsidP="00E808C1">
      <w:pPr>
        <w:pStyle w:val="Quote1"/>
        <w:ind w:left="1440" w:hanging="703"/>
      </w:pPr>
      <w:r>
        <w:t>Q:</w:t>
      </w:r>
      <w:r>
        <w:tab/>
      </w:r>
      <w:r w:rsidR="00B11D2D">
        <w:t>But you have got boxes of documents relating to your business records back at your home, is that correct?</w:t>
      </w:r>
    </w:p>
    <w:p w14:paraId="7692A03E" w14:textId="3558603A" w:rsidR="00B11D2D" w:rsidRDefault="00E808C1" w:rsidP="00B11D2D">
      <w:pPr>
        <w:pStyle w:val="Quote1"/>
      </w:pPr>
      <w:r>
        <w:t>A:</w:t>
      </w:r>
      <w:r>
        <w:tab/>
        <w:t>I</w:t>
      </w:r>
      <w:r w:rsidR="00B11D2D">
        <w:t xml:space="preserve"> have got a few little things.</w:t>
      </w:r>
    </w:p>
    <w:p w14:paraId="2BFD179E" w14:textId="2110300B" w:rsidR="00E808C1" w:rsidRDefault="00E808C1" w:rsidP="00B11D2D">
      <w:pPr>
        <w:pStyle w:val="Quote1"/>
      </w:pPr>
      <w:r>
        <w:t>Q:</w:t>
      </w:r>
      <w:r>
        <w:tab/>
      </w:r>
      <w:r w:rsidR="00B11D2D">
        <w:t>Well, you said boxes earlier, didn</w:t>
      </w:r>
      <w:r w:rsidR="0066001C">
        <w:t>’</w:t>
      </w:r>
      <w:r w:rsidR="00B11D2D">
        <w:t>t you?</w:t>
      </w:r>
    </w:p>
    <w:p w14:paraId="0F9537DC" w14:textId="0DA5C654" w:rsidR="00CE5E16" w:rsidRDefault="00E808C1" w:rsidP="009E3545">
      <w:pPr>
        <w:pStyle w:val="Quote1"/>
        <w:spacing w:after="360"/>
      </w:pPr>
      <w:r>
        <w:t>A:</w:t>
      </w:r>
      <w:r>
        <w:tab/>
      </w:r>
      <w:r w:rsidR="00B11D2D">
        <w:t xml:space="preserve">Well, I have given them whatever they have wanted if they have asked for it. </w:t>
      </w:r>
    </w:p>
    <w:p w14:paraId="03196D6B" w14:textId="4B66D6BA" w:rsidR="00574C70" w:rsidRDefault="00D313AC" w:rsidP="00D313AC">
      <w:pPr>
        <w:pStyle w:val="ParaNumbering"/>
        <w:numPr>
          <w:ilvl w:val="0"/>
          <w:numId w:val="0"/>
        </w:numPr>
        <w:ind w:hanging="720"/>
      </w:pPr>
      <w:r>
        <w:rPr>
          <w:sz w:val="20"/>
        </w:rPr>
        <w:t>73</w:t>
      </w:r>
      <w:r>
        <w:rPr>
          <w:sz w:val="20"/>
        </w:rPr>
        <w:tab/>
      </w:r>
      <w:r w:rsidR="00574C70">
        <w:t xml:space="preserve">Mr Borg accepted that </w:t>
      </w:r>
      <w:r w:rsidR="00C53AA8">
        <w:t xml:space="preserve">he has boxes of documents </w:t>
      </w:r>
      <w:r w:rsidR="00AE6E59">
        <w:t xml:space="preserve">containing </w:t>
      </w:r>
      <w:r w:rsidR="00C53AA8">
        <w:t>his business records</w:t>
      </w:r>
      <w:r w:rsidR="008B5E9D">
        <w:t>,</w:t>
      </w:r>
      <w:r w:rsidR="0058138D">
        <w:t xml:space="preserve"> </w:t>
      </w:r>
      <w:r w:rsidR="00C935F5">
        <w:t>in</w:t>
      </w:r>
      <w:r w:rsidR="0058138D">
        <w:t>cluding in</w:t>
      </w:r>
      <w:r w:rsidR="00C935F5">
        <w:t xml:space="preserve"> r</w:t>
      </w:r>
      <w:r w:rsidR="0058138D">
        <w:t>elation to Borg Family</w:t>
      </w:r>
      <w:r w:rsidR="00C935F5">
        <w:t xml:space="preserve"> and 746 Greendale Road</w:t>
      </w:r>
      <w:r w:rsidR="008B5E9D">
        <w:t>,</w:t>
      </w:r>
      <w:r w:rsidR="00F61EB4">
        <w:t xml:space="preserve"> at his home</w:t>
      </w:r>
      <w:r w:rsidR="008F0AB7">
        <w:t xml:space="preserve">.  He searched through </w:t>
      </w:r>
      <w:r w:rsidR="00336D4B">
        <w:t xml:space="preserve">those boxes but did not find “the </w:t>
      </w:r>
      <w:r w:rsidR="00785099">
        <w:t>paper</w:t>
      </w:r>
      <w:r w:rsidR="00336D4B">
        <w:t xml:space="preserve"> he needed”</w:t>
      </w:r>
      <w:r w:rsidR="006621A8">
        <w:t>, namely the</w:t>
      </w:r>
      <w:r w:rsidR="00336D4B">
        <w:t xml:space="preserve"> l</w:t>
      </w:r>
      <w:r w:rsidR="00785099">
        <w:t>oan</w:t>
      </w:r>
      <w:r w:rsidR="00336D4B">
        <w:t xml:space="preserve"> agreement</w:t>
      </w:r>
      <w:r w:rsidR="00785099">
        <w:t xml:space="preserve"> </w:t>
      </w:r>
      <w:r w:rsidR="004C1B89">
        <w:t>for the</w:t>
      </w:r>
      <w:r w:rsidR="001723C2">
        <w:t xml:space="preserve"> moneys that </w:t>
      </w:r>
      <w:r w:rsidR="00785099">
        <w:t xml:space="preserve">he </w:t>
      </w:r>
      <w:r w:rsidR="001723C2">
        <w:t>loaned personally</w:t>
      </w:r>
      <w:r w:rsidR="00374A53">
        <w:t xml:space="preserve"> to RC Group.</w:t>
      </w:r>
      <w:r w:rsidR="00C53AA8">
        <w:t xml:space="preserve"> </w:t>
      </w:r>
    </w:p>
    <w:p w14:paraId="0EE1B760" w14:textId="4C11368F" w:rsidR="00A93975" w:rsidRDefault="00D313AC" w:rsidP="00D313AC">
      <w:pPr>
        <w:pStyle w:val="ParaNumbering"/>
        <w:numPr>
          <w:ilvl w:val="0"/>
          <w:numId w:val="0"/>
        </w:numPr>
        <w:ind w:hanging="720"/>
      </w:pPr>
      <w:r>
        <w:rPr>
          <w:sz w:val="20"/>
        </w:rPr>
        <w:t>74</w:t>
      </w:r>
      <w:r>
        <w:rPr>
          <w:sz w:val="20"/>
        </w:rPr>
        <w:tab/>
      </w:r>
      <w:r w:rsidR="00DF7FBF">
        <w:t xml:space="preserve">Mr Borg </w:t>
      </w:r>
      <w:r w:rsidR="001D06DF">
        <w:t>was</w:t>
      </w:r>
      <w:r w:rsidR="00DF7FBF">
        <w:t xml:space="preserve"> also directed to the following evidence which h</w:t>
      </w:r>
      <w:r w:rsidR="00010EA2">
        <w:t>e</w:t>
      </w:r>
      <w:r w:rsidR="00DF7FBF">
        <w:t xml:space="preserve"> gave during the </w:t>
      </w:r>
      <w:r w:rsidR="001D06DF">
        <w:t>course</w:t>
      </w:r>
      <w:r w:rsidR="00DF7FBF">
        <w:t xml:space="preserve"> of the Liquidators’ </w:t>
      </w:r>
      <w:r w:rsidR="001D06DF">
        <w:t>examination</w:t>
      </w:r>
      <w:r w:rsidR="00DF7FBF">
        <w:t xml:space="preserve"> on 6 October 2020:</w:t>
      </w:r>
    </w:p>
    <w:p w14:paraId="447CA760" w14:textId="55291F76" w:rsidR="001F7771" w:rsidRDefault="001F7771" w:rsidP="001F7771">
      <w:pPr>
        <w:pStyle w:val="Quote1"/>
        <w:ind w:left="1440" w:hanging="703"/>
      </w:pPr>
      <w:r>
        <w:t>Q:</w:t>
      </w:r>
      <w:r>
        <w:tab/>
        <w:t>Are you, did you receive money from RC Group (Aust) Pty Ltd between 17 June 2013 and 9 June 2014?</w:t>
      </w:r>
    </w:p>
    <w:p w14:paraId="483C5F2A" w14:textId="70A906A2" w:rsidR="001F7771" w:rsidRDefault="001F7771" w:rsidP="001F7771">
      <w:pPr>
        <w:pStyle w:val="Quote1"/>
      </w:pPr>
      <w:r>
        <w:t>A:</w:t>
      </w:r>
      <w:r>
        <w:tab/>
        <w:t>Mate, I honestly, can</w:t>
      </w:r>
      <w:r w:rsidR="0085340C">
        <w:t>’</w:t>
      </w:r>
      <w:r>
        <w:t>t remember. I would have to have a look.</w:t>
      </w:r>
    </w:p>
    <w:p w14:paraId="604919FC" w14:textId="77777777" w:rsidR="001F7771" w:rsidRDefault="001F7771" w:rsidP="001F7771">
      <w:pPr>
        <w:pStyle w:val="Quote1"/>
      </w:pPr>
      <w:r>
        <w:t>Q:</w:t>
      </w:r>
      <w:r>
        <w:tab/>
        <w:t>Did you or your company receive some $600,000 from RC Group (Aust)?</w:t>
      </w:r>
    </w:p>
    <w:p w14:paraId="73E9EECB" w14:textId="58BD8D17" w:rsidR="001F7771" w:rsidRDefault="001F7771" w:rsidP="001F7771">
      <w:pPr>
        <w:pStyle w:val="Quote1"/>
      </w:pPr>
      <w:r>
        <w:t>A:</w:t>
      </w:r>
      <w:r>
        <w:tab/>
        <w:t>Mate, I - I doubt it. I doubt it.</w:t>
      </w:r>
    </w:p>
    <w:p w14:paraId="6FC816D9" w14:textId="471958D2" w:rsidR="006616AC" w:rsidRDefault="006616AC" w:rsidP="006616AC">
      <w:pPr>
        <w:pStyle w:val="Quote1"/>
        <w:ind w:left="1440" w:hanging="703"/>
      </w:pPr>
      <w:r>
        <w:t>Q:</w:t>
      </w:r>
      <w:r>
        <w:tab/>
      </w:r>
      <w:r w:rsidR="001F7771">
        <w:t>RC Group (Aust), as I've shown you through the invoices, is a labour hire company.</w:t>
      </w:r>
      <w:r>
        <w:t xml:space="preserve"> </w:t>
      </w:r>
      <w:r w:rsidR="001F7771">
        <w:t>What would RC Group (Aust) Pty Ltd be paying you or your company money?</w:t>
      </w:r>
    </w:p>
    <w:p w14:paraId="26B8C399" w14:textId="7BF7D031" w:rsidR="001F7771" w:rsidRDefault="006616AC" w:rsidP="001F7771">
      <w:pPr>
        <w:pStyle w:val="Quote1"/>
      </w:pPr>
      <w:r>
        <w:lastRenderedPageBreak/>
        <w:t>A:</w:t>
      </w:r>
      <w:r>
        <w:tab/>
      </w:r>
      <w:r w:rsidR="001F7771">
        <w:t>Mate, I don't know. I would have to look at the bank statements. I don</w:t>
      </w:r>
      <w:r w:rsidR="00090288">
        <w:t>’</w:t>
      </w:r>
      <w:r w:rsidR="001F7771">
        <w:t>t know.</w:t>
      </w:r>
    </w:p>
    <w:p w14:paraId="6E84A494" w14:textId="5945EBBC" w:rsidR="006616AC" w:rsidRDefault="006616AC" w:rsidP="001F7771">
      <w:pPr>
        <w:pStyle w:val="Quote1"/>
      </w:pPr>
      <w:r>
        <w:t>Q:</w:t>
      </w:r>
      <w:r>
        <w:tab/>
      </w:r>
      <w:r w:rsidR="001F7771">
        <w:t>Well, before you can</w:t>
      </w:r>
      <w:r w:rsidR="00090288">
        <w:t>’</w:t>
      </w:r>
      <w:r w:rsidR="001F7771">
        <w:t>t- - -?</w:t>
      </w:r>
    </w:p>
    <w:p w14:paraId="70A5C31E" w14:textId="1B58E854" w:rsidR="001D06DF" w:rsidRDefault="006616AC" w:rsidP="00E04674">
      <w:pPr>
        <w:pStyle w:val="Quote1"/>
        <w:spacing w:after="360"/>
        <w:ind w:left="1440" w:hanging="703"/>
      </w:pPr>
      <w:r>
        <w:t>A:</w:t>
      </w:r>
      <w:r>
        <w:tab/>
      </w:r>
      <w:r w:rsidR="001F7771">
        <w:t>I can</w:t>
      </w:r>
      <w:r w:rsidR="00090288">
        <w:t>’</w:t>
      </w:r>
      <w:r w:rsidR="001F7771">
        <w:t>t remember. It was that long ago. I</w:t>
      </w:r>
      <w:r w:rsidR="00090288">
        <w:t>’</w:t>
      </w:r>
      <w:r w:rsidR="001F7771">
        <w:t>ve had that much money in and out of my accounts. I can</w:t>
      </w:r>
      <w:r w:rsidR="00090288">
        <w:t>’</w:t>
      </w:r>
      <w:r w:rsidR="001F7771">
        <w:t>t remember</w:t>
      </w:r>
      <w:r w:rsidR="00A63A13">
        <w:t>.</w:t>
      </w:r>
      <w:r w:rsidR="001F7771">
        <w:t xml:space="preserve"> </w:t>
      </w:r>
    </w:p>
    <w:p w14:paraId="11BC4B0B" w14:textId="2FDCFE36" w:rsidR="00B83240" w:rsidRDefault="00D313AC" w:rsidP="00D313AC">
      <w:pPr>
        <w:pStyle w:val="ParaNumbering"/>
        <w:numPr>
          <w:ilvl w:val="0"/>
          <w:numId w:val="0"/>
        </w:numPr>
        <w:ind w:hanging="720"/>
      </w:pPr>
      <w:r>
        <w:rPr>
          <w:sz w:val="20"/>
        </w:rPr>
        <w:t>75</w:t>
      </w:r>
      <w:r>
        <w:rPr>
          <w:sz w:val="20"/>
        </w:rPr>
        <w:tab/>
      </w:r>
      <w:r w:rsidR="00534E01">
        <w:t xml:space="preserve">Mr Borg </w:t>
      </w:r>
      <w:r w:rsidR="00BF5FEB">
        <w:t>said</w:t>
      </w:r>
      <w:r w:rsidR="00534E01">
        <w:t xml:space="preserve"> that at the time he gave that evidence</w:t>
      </w:r>
      <w:r w:rsidR="00B94077">
        <w:t>, 6 October 2020,</w:t>
      </w:r>
      <w:r w:rsidR="00534E01">
        <w:t xml:space="preserve"> it was truthful but it no longer is</w:t>
      </w:r>
      <w:r w:rsidR="00E539C4">
        <w:t xml:space="preserve"> </w:t>
      </w:r>
      <w:r w:rsidR="00290B3C">
        <w:t>truthful</w:t>
      </w:r>
      <w:r w:rsidR="004E4BF5">
        <w:t xml:space="preserve">.  That is because </w:t>
      </w:r>
      <w:r w:rsidR="00BF5FEB">
        <w:t>he</w:t>
      </w:r>
      <w:r w:rsidR="00E539C4">
        <w:t xml:space="preserve"> </w:t>
      </w:r>
      <w:r w:rsidR="00BF5FEB">
        <w:t>has</w:t>
      </w:r>
      <w:r w:rsidR="00E539C4">
        <w:t xml:space="preserve"> received money fr</w:t>
      </w:r>
      <w:r w:rsidR="00BF5FEB">
        <w:t>o</w:t>
      </w:r>
      <w:r w:rsidR="00E539C4">
        <w:t>m RC Group</w:t>
      </w:r>
      <w:r w:rsidR="00BF5FEB">
        <w:t xml:space="preserve">, namely </w:t>
      </w:r>
      <w:r w:rsidR="00E539C4">
        <w:t xml:space="preserve">the money </w:t>
      </w:r>
      <w:r w:rsidR="00BF5FEB">
        <w:t>relating</w:t>
      </w:r>
      <w:r w:rsidR="00E539C4">
        <w:t xml:space="preserve"> to the </w:t>
      </w:r>
      <w:r w:rsidR="00BF5FEB">
        <w:t>loan</w:t>
      </w:r>
      <w:r w:rsidR="00E539C4">
        <w:t xml:space="preserve"> </w:t>
      </w:r>
      <w:r w:rsidR="00BF5FEB">
        <w:t>agreement</w:t>
      </w:r>
      <w:r w:rsidR="00E539C4">
        <w:t xml:space="preserve"> that he </w:t>
      </w:r>
      <w:r w:rsidR="00BF5FEB">
        <w:t>has</w:t>
      </w:r>
      <w:r w:rsidR="00E539C4">
        <w:t xml:space="preserve"> not been able to locate</w:t>
      </w:r>
      <w:r w:rsidR="00BF5FEB">
        <w:t xml:space="preserve">.  </w:t>
      </w:r>
      <w:r w:rsidR="00B83240">
        <w:t>Mr Borg also said t</w:t>
      </w:r>
      <w:r w:rsidR="00BF5FEB">
        <w:t>hat is the nature of the defence</w:t>
      </w:r>
      <w:r w:rsidR="006E11CE">
        <w:t xml:space="preserve"> he wishes to rely </w:t>
      </w:r>
      <w:r w:rsidR="0085199D">
        <w:t>on</w:t>
      </w:r>
      <w:r w:rsidR="006E11CE">
        <w:t xml:space="preserve"> in the </w:t>
      </w:r>
      <w:r w:rsidR="0085199D">
        <w:t xml:space="preserve">RC Group </w:t>
      </w:r>
      <w:proofErr w:type="spellStart"/>
      <w:r w:rsidR="0085199D">
        <w:t>Voidables</w:t>
      </w:r>
      <w:proofErr w:type="spellEnd"/>
      <w:r w:rsidR="0085199D">
        <w:t xml:space="preserve"> </w:t>
      </w:r>
      <w:r w:rsidR="006E11CE">
        <w:t xml:space="preserve">Proceeding.  </w:t>
      </w:r>
    </w:p>
    <w:p w14:paraId="7891AF0F" w14:textId="6BA83A99" w:rsidR="00534E01" w:rsidRDefault="00D313AC" w:rsidP="00D313AC">
      <w:pPr>
        <w:pStyle w:val="ParaNumbering"/>
        <w:numPr>
          <w:ilvl w:val="0"/>
          <w:numId w:val="0"/>
        </w:numPr>
        <w:ind w:hanging="720"/>
      </w:pPr>
      <w:r>
        <w:rPr>
          <w:sz w:val="20"/>
        </w:rPr>
        <w:t>76</w:t>
      </w:r>
      <w:r>
        <w:rPr>
          <w:sz w:val="20"/>
        </w:rPr>
        <w:tab/>
      </w:r>
      <w:r w:rsidR="00B24341">
        <w:t xml:space="preserve">Mr Borg accepted that during the course of the Liquidators’ examination </w:t>
      </w:r>
      <w:r w:rsidR="00700506">
        <w:t xml:space="preserve">he was </w:t>
      </w:r>
      <w:r w:rsidR="00B24341">
        <w:t>asked questions on this topic</w:t>
      </w:r>
      <w:r w:rsidR="00F90C5D">
        <w:t xml:space="preserve">.  When it was put to him that in responding </w:t>
      </w:r>
      <w:r w:rsidR="0042025C">
        <w:t xml:space="preserve">to those questions </w:t>
      </w:r>
      <w:r w:rsidR="00F90C5D">
        <w:t>he said nothing about a loan agreement he gave the following evidence:</w:t>
      </w:r>
    </w:p>
    <w:p w14:paraId="05845869" w14:textId="103DF7AB" w:rsidR="00F90C5D" w:rsidRPr="00D211A7" w:rsidRDefault="00F90C5D" w:rsidP="00CD2ACC">
      <w:pPr>
        <w:pStyle w:val="Quote1"/>
        <w:spacing w:after="360"/>
      </w:pPr>
      <w:r>
        <w:t>Well, I didn’t</w:t>
      </w:r>
      <w:r w:rsidR="00962A80">
        <w:t xml:space="preserve"> know.  Like I said, I’ve had millions of dollars go through m</w:t>
      </w:r>
      <w:r w:rsidR="008F7742">
        <w:t>y</w:t>
      </w:r>
      <w:r w:rsidR="00962A80">
        <w:t xml:space="preserve"> accounts.  To be asked on the spot, I answered as I did, I</w:t>
      </w:r>
      <w:r w:rsidR="007275C1">
        <w:t xml:space="preserve"> – which I didn’t know, which now I know where it’s from or whatnot and what you’re going to ask me, so I’m answering your </w:t>
      </w:r>
      <w:r w:rsidR="008F7742">
        <w:t>truthfully.  Yes, I did receive it.</w:t>
      </w:r>
    </w:p>
    <w:p w14:paraId="24659484" w14:textId="5B90B0A9" w:rsidR="000B0296" w:rsidRDefault="000B0296" w:rsidP="00C07F3C">
      <w:pPr>
        <w:pStyle w:val="Heading3"/>
      </w:pPr>
      <w:r>
        <w:t xml:space="preserve">Mr </w:t>
      </w:r>
      <w:proofErr w:type="spellStart"/>
      <w:r>
        <w:t>Tabuso</w:t>
      </w:r>
      <w:proofErr w:type="spellEnd"/>
    </w:p>
    <w:p w14:paraId="040C48EE" w14:textId="2209C3C6" w:rsidR="000B0296" w:rsidRDefault="00D313AC" w:rsidP="00D313AC">
      <w:pPr>
        <w:pStyle w:val="ParaNumbering"/>
        <w:numPr>
          <w:ilvl w:val="0"/>
          <w:numId w:val="0"/>
        </w:numPr>
        <w:ind w:hanging="720"/>
      </w:pPr>
      <w:r>
        <w:rPr>
          <w:sz w:val="20"/>
        </w:rPr>
        <w:t>77</w:t>
      </w:r>
      <w:r>
        <w:rPr>
          <w:sz w:val="20"/>
        </w:rPr>
        <w:tab/>
      </w:r>
      <w:r w:rsidR="00B83240">
        <w:t>John</w:t>
      </w:r>
      <w:r w:rsidR="00A40388">
        <w:t xml:space="preserve"> </w:t>
      </w:r>
      <w:proofErr w:type="spellStart"/>
      <w:r w:rsidR="008B25F1">
        <w:t>T</w:t>
      </w:r>
      <w:r w:rsidR="00A40388">
        <w:t>abuso</w:t>
      </w:r>
      <w:proofErr w:type="spellEnd"/>
      <w:r w:rsidR="00A40388">
        <w:t xml:space="preserve"> is</w:t>
      </w:r>
      <w:r w:rsidR="008B25F1">
        <w:t xml:space="preserve"> married to Mirjana </w:t>
      </w:r>
      <w:proofErr w:type="spellStart"/>
      <w:r w:rsidR="008B25F1">
        <w:t>Tabuso</w:t>
      </w:r>
      <w:proofErr w:type="spellEnd"/>
      <w:r w:rsidR="008B25F1">
        <w:t>.  He is</w:t>
      </w:r>
      <w:r w:rsidR="00A40388">
        <w:t xml:space="preserve"> the </w:t>
      </w:r>
      <w:r w:rsidR="008B25F1">
        <w:t>director of Diesel Dan</w:t>
      </w:r>
      <w:r w:rsidR="00384C69">
        <w:t xml:space="preserve"> </w:t>
      </w:r>
      <w:r w:rsidR="00824888">
        <w:t xml:space="preserve">2 </w:t>
      </w:r>
      <w:r w:rsidR="00384C69">
        <w:t>and</w:t>
      </w:r>
      <w:r w:rsidR="008B25F1">
        <w:t xml:space="preserve"> </w:t>
      </w:r>
      <w:proofErr w:type="spellStart"/>
      <w:r w:rsidR="008B25F1">
        <w:t>Interfreight</w:t>
      </w:r>
      <w:proofErr w:type="spellEnd"/>
      <w:r w:rsidR="00EC7882">
        <w:t xml:space="preserve"> 2 </w:t>
      </w:r>
      <w:r w:rsidR="008B25F1">
        <w:t xml:space="preserve">and </w:t>
      </w:r>
      <w:r w:rsidR="00384C69">
        <w:t xml:space="preserve">was the director of </w:t>
      </w:r>
      <w:r w:rsidR="008B25F1">
        <w:t>Calabro Real Estate</w:t>
      </w:r>
      <w:r w:rsidR="00384C69">
        <w:t xml:space="preserve"> from 8 June 1999 to </w:t>
      </w:r>
      <w:r w:rsidR="00DF7705">
        <w:t>6 July 2013</w:t>
      </w:r>
      <w:r w:rsidR="00824888">
        <w:t xml:space="preserve">, at </w:t>
      </w:r>
      <w:r w:rsidR="00044F46">
        <w:t>which</w:t>
      </w:r>
      <w:r w:rsidR="00824888">
        <w:t xml:space="preserve"> time </w:t>
      </w:r>
      <w:r w:rsidR="00DF7705">
        <w:t xml:space="preserve">Mrs </w:t>
      </w:r>
      <w:proofErr w:type="spellStart"/>
      <w:r w:rsidR="00DF7705">
        <w:t>Tabuso</w:t>
      </w:r>
      <w:proofErr w:type="spellEnd"/>
      <w:r w:rsidR="00DF7705">
        <w:t xml:space="preserve"> </w:t>
      </w:r>
      <w:r w:rsidR="00044F46">
        <w:t>became</w:t>
      </w:r>
      <w:r w:rsidR="00DF7705">
        <w:t xml:space="preserve"> the sole director and shareholder of Calabro Real Estate</w:t>
      </w:r>
      <w:r w:rsidR="008B25F1">
        <w:t xml:space="preserve">.  </w:t>
      </w:r>
    </w:p>
    <w:p w14:paraId="2695C87F" w14:textId="7434A0CD" w:rsidR="00A65581" w:rsidRDefault="00D313AC" w:rsidP="00D313AC">
      <w:pPr>
        <w:pStyle w:val="ParaNumbering"/>
        <w:numPr>
          <w:ilvl w:val="0"/>
          <w:numId w:val="0"/>
        </w:numPr>
        <w:ind w:hanging="720"/>
      </w:pPr>
      <w:r>
        <w:rPr>
          <w:sz w:val="20"/>
        </w:rPr>
        <w:t>78</w:t>
      </w:r>
      <w:r>
        <w:rPr>
          <w:sz w:val="20"/>
        </w:rPr>
        <w:tab/>
      </w:r>
      <w:r w:rsidR="00A65581">
        <w:t xml:space="preserve">Mr </w:t>
      </w:r>
      <w:proofErr w:type="spellStart"/>
      <w:r w:rsidR="00A65581">
        <w:t>Tabuso</w:t>
      </w:r>
      <w:proofErr w:type="spellEnd"/>
      <w:r w:rsidR="00A65581">
        <w:t xml:space="preserve"> is not educated</w:t>
      </w:r>
      <w:r w:rsidR="00EF44D7">
        <w:t>.  He has difficulty reading and understanding documents.</w:t>
      </w:r>
    </w:p>
    <w:p w14:paraId="0B9F9B61" w14:textId="4411A6B1" w:rsidR="00EF44D7" w:rsidRDefault="00D313AC" w:rsidP="00D313AC">
      <w:pPr>
        <w:pStyle w:val="ParaNumbering"/>
        <w:numPr>
          <w:ilvl w:val="0"/>
          <w:numId w:val="0"/>
        </w:numPr>
        <w:ind w:hanging="720"/>
      </w:pPr>
      <w:r>
        <w:rPr>
          <w:sz w:val="20"/>
        </w:rPr>
        <w:t>79</w:t>
      </w:r>
      <w:r>
        <w:rPr>
          <w:sz w:val="20"/>
        </w:rPr>
        <w:tab/>
      </w:r>
      <w:r w:rsidR="00EF44D7">
        <w:t xml:space="preserve">In the early 1990’s Mr </w:t>
      </w:r>
      <w:proofErr w:type="spellStart"/>
      <w:r w:rsidR="00EF44D7">
        <w:t>Tabuso</w:t>
      </w:r>
      <w:proofErr w:type="spellEnd"/>
      <w:r w:rsidR="00EF44D7">
        <w:t xml:space="preserve"> </w:t>
      </w:r>
      <w:r w:rsidR="001E4558">
        <w:t>started</w:t>
      </w:r>
      <w:r w:rsidR="00EF44D7">
        <w:t xml:space="preserve"> a mechanical workshop, working on cars and trucks mostly for himself.</w:t>
      </w:r>
      <w:r w:rsidR="0025456B">
        <w:t xml:space="preserve"> </w:t>
      </w:r>
      <w:r w:rsidR="00EF44D7">
        <w:t xml:space="preserve"> His only</w:t>
      </w:r>
      <w:r w:rsidR="0025456B">
        <w:t xml:space="preserve"> formal</w:t>
      </w:r>
      <w:r w:rsidR="00EF44D7">
        <w:t xml:space="preserve"> qualification </w:t>
      </w:r>
      <w:r w:rsidR="0025456B">
        <w:t xml:space="preserve">is </w:t>
      </w:r>
      <w:r w:rsidR="00EF44D7">
        <w:t xml:space="preserve">a trade </w:t>
      </w:r>
      <w:r w:rsidR="001E4558">
        <w:t xml:space="preserve">certificate in mechanical repairs.  Over time, with experience, he </w:t>
      </w:r>
      <w:r w:rsidR="0025456B">
        <w:t xml:space="preserve">has </w:t>
      </w:r>
      <w:r w:rsidR="001E4558">
        <w:t xml:space="preserve">developed an understanding of engines.  </w:t>
      </w:r>
    </w:p>
    <w:p w14:paraId="6261217A" w14:textId="25BC4E39" w:rsidR="00125146" w:rsidRDefault="00D313AC" w:rsidP="00D313AC">
      <w:pPr>
        <w:pStyle w:val="ParaNumbering"/>
        <w:numPr>
          <w:ilvl w:val="0"/>
          <w:numId w:val="0"/>
        </w:numPr>
        <w:ind w:hanging="720"/>
      </w:pPr>
      <w:r>
        <w:rPr>
          <w:sz w:val="20"/>
        </w:rPr>
        <w:t>80</w:t>
      </w:r>
      <w:r>
        <w:rPr>
          <w:sz w:val="20"/>
        </w:rPr>
        <w:tab/>
      </w:r>
      <w:r w:rsidR="00125146">
        <w:t xml:space="preserve">In about 1998 Mr </w:t>
      </w:r>
      <w:proofErr w:type="spellStart"/>
      <w:r w:rsidR="00125146">
        <w:t>Tabuso</w:t>
      </w:r>
      <w:proofErr w:type="spellEnd"/>
      <w:r w:rsidR="00125146">
        <w:t xml:space="preserve"> started working as a truck driver and in about 1999 he started a trucking transport business with Jose Sanchez and commenced freight transport on an intra</w:t>
      </w:r>
      <w:r w:rsidR="008D462E">
        <w:t xml:space="preserve"> </w:t>
      </w:r>
      <w:r w:rsidR="00125146">
        <w:t>and interstate basis (</w:t>
      </w:r>
      <w:r w:rsidR="00125146" w:rsidRPr="00125146">
        <w:rPr>
          <w:b/>
          <w:bCs/>
        </w:rPr>
        <w:t>Trucking Business</w:t>
      </w:r>
      <w:r w:rsidR="00125146">
        <w:t xml:space="preserve">).  Mr Sanchez left </w:t>
      </w:r>
      <w:r w:rsidR="008D462E">
        <w:t xml:space="preserve">the </w:t>
      </w:r>
      <w:r w:rsidR="003F5018">
        <w:t>Trucking Business</w:t>
      </w:r>
      <w:r w:rsidR="008D462E">
        <w:t xml:space="preserve"> in about</w:t>
      </w:r>
      <w:r w:rsidR="00125146">
        <w:t xml:space="preserve"> 2005. </w:t>
      </w:r>
    </w:p>
    <w:p w14:paraId="1340DDA4" w14:textId="46CB46B5" w:rsidR="00E268CA" w:rsidRDefault="00E268CA" w:rsidP="00E268CA">
      <w:pPr>
        <w:pStyle w:val="Heading4"/>
      </w:pPr>
      <w:r>
        <w:t>The development of the Trucking Business</w:t>
      </w:r>
    </w:p>
    <w:p w14:paraId="3EDC7D7A" w14:textId="53F62A29" w:rsidR="00C21D01" w:rsidRDefault="00D313AC" w:rsidP="00D313AC">
      <w:pPr>
        <w:pStyle w:val="ParaNumbering"/>
        <w:numPr>
          <w:ilvl w:val="0"/>
          <w:numId w:val="0"/>
        </w:numPr>
        <w:ind w:hanging="720"/>
      </w:pPr>
      <w:r>
        <w:rPr>
          <w:sz w:val="20"/>
        </w:rPr>
        <w:t>81</w:t>
      </w:r>
      <w:r>
        <w:rPr>
          <w:sz w:val="20"/>
        </w:rPr>
        <w:tab/>
      </w:r>
      <w:r w:rsidR="00125146">
        <w:t>At first, the Trucking Business used contractors who drove their own trucks</w:t>
      </w:r>
      <w:r w:rsidR="00125956">
        <w:t xml:space="preserve">.  However, </w:t>
      </w:r>
      <w:r w:rsidR="00125146">
        <w:t xml:space="preserve">over time, as </w:t>
      </w:r>
      <w:r w:rsidR="00C500A1">
        <w:t xml:space="preserve">it </w:t>
      </w:r>
      <w:r w:rsidR="00125146">
        <w:t xml:space="preserve">grew, </w:t>
      </w:r>
      <w:r w:rsidR="00C500A1">
        <w:t>the Trucking Business</w:t>
      </w:r>
      <w:r w:rsidR="00125146">
        <w:t xml:space="preserve"> was able to purchase its own trucks and </w:t>
      </w:r>
      <w:r w:rsidR="00D33A88">
        <w:t>engage</w:t>
      </w:r>
      <w:r w:rsidR="00125146">
        <w:t xml:space="preserve"> drivers who drove trucks for the various companies allocated to perform work</w:t>
      </w:r>
      <w:r w:rsidR="00A323C3">
        <w:t>.</w:t>
      </w:r>
    </w:p>
    <w:p w14:paraId="74E73E33" w14:textId="420BA643" w:rsidR="00A323C3" w:rsidRDefault="00D313AC" w:rsidP="00D313AC">
      <w:pPr>
        <w:pStyle w:val="ParaNumbering"/>
        <w:numPr>
          <w:ilvl w:val="0"/>
          <w:numId w:val="0"/>
        </w:numPr>
        <w:ind w:hanging="720"/>
      </w:pPr>
      <w:r>
        <w:rPr>
          <w:sz w:val="20"/>
        </w:rPr>
        <w:lastRenderedPageBreak/>
        <w:t>82</w:t>
      </w:r>
      <w:r>
        <w:rPr>
          <w:sz w:val="20"/>
        </w:rPr>
        <w:tab/>
      </w:r>
      <w:r w:rsidR="000E3696">
        <w:t xml:space="preserve">In around 1999 </w:t>
      </w:r>
      <w:r w:rsidR="00EA3926">
        <w:t xml:space="preserve">Mr </w:t>
      </w:r>
      <w:proofErr w:type="spellStart"/>
      <w:r w:rsidR="00EA3926">
        <w:t>Tabuso’s</w:t>
      </w:r>
      <w:proofErr w:type="spellEnd"/>
      <w:r w:rsidR="00EA3926">
        <w:t xml:space="preserve"> accountant, </w:t>
      </w:r>
      <w:r w:rsidR="00F46E7A">
        <w:t>Sam</w:t>
      </w:r>
      <w:r w:rsidR="000E3696">
        <w:t xml:space="preserve"> </w:t>
      </w:r>
      <w:proofErr w:type="spellStart"/>
      <w:r w:rsidR="000E3696">
        <w:t>Cass</w:t>
      </w:r>
      <w:r w:rsidR="003E505C">
        <w:t>a</w:t>
      </w:r>
      <w:r w:rsidR="000E3696">
        <w:t>niti</w:t>
      </w:r>
      <w:proofErr w:type="spellEnd"/>
      <w:r w:rsidR="00EA3926">
        <w:t>,</w:t>
      </w:r>
      <w:r w:rsidR="000E3696">
        <w:t xml:space="preserve"> recommended and implemented a structure whereby a series of separate companies were incorporated or transferred to </w:t>
      </w:r>
      <w:r w:rsidR="004B78AE">
        <w:t>him</w:t>
      </w:r>
      <w:r w:rsidR="000E3696">
        <w:t xml:space="preserve"> and trusts were established for </w:t>
      </w:r>
      <w:r w:rsidR="00EA3926">
        <w:t>t</w:t>
      </w:r>
      <w:r w:rsidR="00E8512A">
        <w:t>wo</w:t>
      </w:r>
      <w:r w:rsidR="00EA3926">
        <w:t xml:space="preserve"> princip</w:t>
      </w:r>
      <w:r w:rsidR="003E6138">
        <w:t>a</w:t>
      </w:r>
      <w:r w:rsidR="00EA3926">
        <w:t>l reason</w:t>
      </w:r>
      <w:r w:rsidR="00E8512A">
        <w:t xml:space="preserve">s: </w:t>
      </w:r>
      <w:r w:rsidR="000E3696">
        <w:t>asset protection</w:t>
      </w:r>
      <w:r w:rsidR="008B5AA4">
        <w:t>;</w:t>
      </w:r>
      <w:r w:rsidR="000E3696">
        <w:t xml:space="preserve"> and t</w:t>
      </w:r>
      <w:r w:rsidR="00E8512A">
        <w:t xml:space="preserve">he </w:t>
      </w:r>
      <w:r w:rsidR="000E3696">
        <w:t>reduc</w:t>
      </w:r>
      <w:r w:rsidR="00E8512A">
        <w:t>tion</w:t>
      </w:r>
      <w:r w:rsidR="00503BE3">
        <w:t xml:space="preserve"> of</w:t>
      </w:r>
      <w:r w:rsidR="000E3696">
        <w:t xml:space="preserve"> the cost of workers</w:t>
      </w:r>
      <w:r w:rsidR="00503BE3">
        <w:t>’</w:t>
      </w:r>
      <w:r w:rsidR="000E3696">
        <w:t xml:space="preserve"> compensation where administrative staff </w:t>
      </w:r>
      <w:r w:rsidR="00503BE3">
        <w:t xml:space="preserve">and truck drivers </w:t>
      </w:r>
      <w:r w:rsidR="000E3696">
        <w:t>had different rate</w:t>
      </w:r>
      <w:r w:rsidR="00503BE3">
        <w:t>s</w:t>
      </w:r>
      <w:r w:rsidR="000E3696">
        <w:t xml:space="preserve"> for workers</w:t>
      </w:r>
      <w:r w:rsidR="00503BE3">
        <w:t>’</w:t>
      </w:r>
      <w:r w:rsidR="000E3696">
        <w:t xml:space="preserve"> compensation risk and calculation of premiums. </w:t>
      </w:r>
      <w:r w:rsidR="00D609E9">
        <w:t xml:space="preserve"> </w:t>
      </w:r>
      <w:r w:rsidR="000E3696">
        <w:t>One company</w:t>
      </w:r>
      <w:r w:rsidR="00503BE3">
        <w:t>,</w:t>
      </w:r>
      <w:r w:rsidR="000E3696">
        <w:t xml:space="preserve"> Calabro </w:t>
      </w:r>
      <w:r w:rsidR="00503BE3">
        <w:t xml:space="preserve">Real Estate, </w:t>
      </w:r>
      <w:r w:rsidR="000E3696">
        <w:t>lease</w:t>
      </w:r>
      <w:r w:rsidR="00F00294">
        <w:t>d</w:t>
      </w:r>
      <w:r w:rsidR="000E3696">
        <w:t xml:space="preserve"> or b</w:t>
      </w:r>
      <w:r w:rsidR="00F43D40">
        <w:t xml:space="preserve">ought </w:t>
      </w:r>
      <w:r w:rsidR="000E3696">
        <w:t>the plant and equipment and any real estate and other companies re</w:t>
      </w:r>
      <w:r w:rsidR="00685250">
        <w:t>nt</w:t>
      </w:r>
      <w:r w:rsidR="00447C0C">
        <w:t>ed</w:t>
      </w:r>
      <w:r w:rsidR="000E3696">
        <w:t xml:space="preserve"> the property or equipment from </w:t>
      </w:r>
      <w:r w:rsidR="0076655A">
        <w:t>it</w:t>
      </w:r>
      <w:r w:rsidR="00EA3926">
        <w:t xml:space="preserve">.  Calabro </w:t>
      </w:r>
      <w:r w:rsidR="00685250">
        <w:t xml:space="preserve">Real Estate </w:t>
      </w:r>
      <w:r w:rsidR="00EA3926">
        <w:t>had two trusts</w:t>
      </w:r>
      <w:r w:rsidR="00685250">
        <w:t xml:space="preserve">: </w:t>
      </w:r>
      <w:r w:rsidR="000A63E7">
        <w:t>one in</w:t>
      </w:r>
      <w:r w:rsidR="00EA3926">
        <w:t xml:space="preserve"> which property was owned</w:t>
      </w:r>
      <w:r w:rsidR="00DE3E02">
        <w:t>;</w:t>
      </w:r>
      <w:r w:rsidR="00EA3926">
        <w:t xml:space="preserve"> and </w:t>
      </w:r>
      <w:r w:rsidR="004C5CC4">
        <w:t>a second</w:t>
      </w:r>
      <w:r w:rsidR="00EA3926">
        <w:t xml:space="preserve"> in which trucks and equipment were owned</w:t>
      </w:r>
      <w:r w:rsidR="00685250">
        <w:t xml:space="preserve">.  </w:t>
      </w:r>
      <w:r w:rsidR="005A3D33">
        <w:t>As at the date Mr </w:t>
      </w:r>
      <w:proofErr w:type="spellStart"/>
      <w:r w:rsidR="005A3D33">
        <w:t>Tabuso</w:t>
      </w:r>
      <w:proofErr w:type="spellEnd"/>
      <w:r w:rsidR="005A3D33">
        <w:t xml:space="preserve"> swore his affidavit, </w:t>
      </w:r>
      <w:r w:rsidR="00685250">
        <w:t xml:space="preserve">Calabro Real Estate </w:t>
      </w:r>
      <w:r w:rsidR="000A63E7">
        <w:t>continue</w:t>
      </w:r>
      <w:r w:rsidR="002C7BF3">
        <w:t>d</w:t>
      </w:r>
      <w:r w:rsidR="000A63E7">
        <w:t xml:space="preserve"> t</w:t>
      </w:r>
      <w:r w:rsidR="008F5F35">
        <w:t>o</w:t>
      </w:r>
      <w:r w:rsidR="000A63E7">
        <w:t xml:space="preserve"> trade in this capacity. </w:t>
      </w:r>
      <w:r w:rsidR="000E3696">
        <w:t xml:space="preserve"> </w:t>
      </w:r>
    </w:p>
    <w:p w14:paraId="0713737C" w14:textId="3D92C13A" w:rsidR="00DF7705" w:rsidRDefault="00D313AC" w:rsidP="00D313AC">
      <w:pPr>
        <w:pStyle w:val="ParaNumbering"/>
        <w:numPr>
          <w:ilvl w:val="0"/>
          <w:numId w:val="0"/>
        </w:numPr>
        <w:ind w:hanging="720"/>
      </w:pPr>
      <w:r>
        <w:rPr>
          <w:sz w:val="20"/>
        </w:rPr>
        <w:t>83</w:t>
      </w:r>
      <w:r>
        <w:rPr>
          <w:sz w:val="20"/>
        </w:rPr>
        <w:tab/>
      </w:r>
      <w:proofErr w:type="spellStart"/>
      <w:r w:rsidR="00E80AF9" w:rsidRPr="009071EA">
        <w:rPr>
          <w:b/>
          <w:bCs/>
        </w:rPr>
        <w:t>Interfreight</w:t>
      </w:r>
      <w:proofErr w:type="spellEnd"/>
      <w:r w:rsidR="00E80AF9" w:rsidRPr="009071EA">
        <w:rPr>
          <w:b/>
          <w:bCs/>
        </w:rPr>
        <w:t xml:space="preserve"> (Aust)</w:t>
      </w:r>
      <w:r w:rsidR="00007754">
        <w:t xml:space="preserve"> Pty Ltd</w:t>
      </w:r>
      <w:r w:rsidR="00E80AF9">
        <w:t xml:space="preserve">, which was incorporated in about June 2003, </w:t>
      </w:r>
      <w:r w:rsidR="009071EA">
        <w:t>was</w:t>
      </w:r>
      <w:r w:rsidR="00E80AF9">
        <w:t xml:space="preserve"> the main trading entity</w:t>
      </w:r>
      <w:r w:rsidR="003E505C">
        <w:t xml:space="preserve">.  It </w:t>
      </w:r>
      <w:r w:rsidR="00E80AF9">
        <w:t xml:space="preserve">conducted the </w:t>
      </w:r>
      <w:r w:rsidR="00483BF9">
        <w:t>Trucking Business</w:t>
      </w:r>
      <w:r w:rsidR="00E80AF9">
        <w:t xml:space="preserve"> which at that time was mostly interstate </w:t>
      </w:r>
      <w:r w:rsidR="009071EA">
        <w:t xml:space="preserve">freight </w:t>
      </w:r>
      <w:r w:rsidR="00E80AF9">
        <w:t xml:space="preserve">transport. </w:t>
      </w:r>
      <w:r w:rsidR="003E505C">
        <w:t xml:space="preserve"> By about 2005 Calabro Real Estate owned around eight trucks and </w:t>
      </w:r>
      <w:proofErr w:type="spellStart"/>
      <w:r w:rsidR="00B72D8E">
        <w:t>I</w:t>
      </w:r>
      <w:r w:rsidR="003E505C">
        <w:t>nterfreight</w:t>
      </w:r>
      <w:proofErr w:type="spellEnd"/>
      <w:r w:rsidR="00995962">
        <w:t> </w:t>
      </w:r>
      <w:r w:rsidR="003E505C">
        <w:t xml:space="preserve">(Aust) received purchase orders and rented premises and trucks from Calabro Real Estate to carry out the transport work. </w:t>
      </w:r>
    </w:p>
    <w:p w14:paraId="7D2AF13C" w14:textId="0D2AC9F7" w:rsidR="003E505C" w:rsidRDefault="00D313AC" w:rsidP="00D313AC">
      <w:pPr>
        <w:pStyle w:val="ParaNumbering"/>
        <w:numPr>
          <w:ilvl w:val="0"/>
          <w:numId w:val="0"/>
        </w:numPr>
        <w:ind w:hanging="720"/>
      </w:pPr>
      <w:r>
        <w:rPr>
          <w:sz w:val="20"/>
        </w:rPr>
        <w:t>84</w:t>
      </w:r>
      <w:r>
        <w:rPr>
          <w:sz w:val="20"/>
        </w:rPr>
        <w:tab/>
      </w:r>
      <w:r w:rsidR="003706A7">
        <w:t>On 30 August 2007 Diesel Dan</w:t>
      </w:r>
      <w:r w:rsidR="008068C6">
        <w:t> 1</w:t>
      </w:r>
      <w:r w:rsidR="003706A7">
        <w:t xml:space="preserve"> was incorporated on </w:t>
      </w:r>
      <w:r w:rsidR="00986720">
        <w:t xml:space="preserve">the advice of </w:t>
      </w:r>
      <w:r w:rsidR="003706A7">
        <w:t xml:space="preserve">Mr </w:t>
      </w:r>
      <w:proofErr w:type="spellStart"/>
      <w:r w:rsidR="003706A7">
        <w:t>Tabuso’s</w:t>
      </w:r>
      <w:proofErr w:type="spellEnd"/>
      <w:r w:rsidR="003706A7">
        <w:t xml:space="preserve"> account</w:t>
      </w:r>
      <w:r w:rsidR="00986720">
        <w:t xml:space="preserve">ant, </w:t>
      </w:r>
      <w:r w:rsidR="003706A7">
        <w:t>at the time Christian Fox</w:t>
      </w:r>
      <w:r w:rsidR="00E304AB">
        <w:t xml:space="preserve">.  </w:t>
      </w:r>
      <w:r w:rsidR="003706A7">
        <w:t>Diesel Dan</w:t>
      </w:r>
      <w:r w:rsidR="00ED444C">
        <w:t> 1</w:t>
      </w:r>
      <w:r w:rsidR="003706A7">
        <w:t xml:space="preserve"> supplied fuel and tyres </w:t>
      </w:r>
      <w:r w:rsidR="006E1599">
        <w:t xml:space="preserve">for, </w:t>
      </w:r>
      <w:r w:rsidR="003706A7">
        <w:t xml:space="preserve">and carried out maintenance and repairs </w:t>
      </w:r>
      <w:r w:rsidR="00E304AB">
        <w:t>on</w:t>
      </w:r>
      <w:r w:rsidR="006E1599">
        <w:t>,</w:t>
      </w:r>
      <w:r w:rsidR="003706A7">
        <w:t xml:space="preserve"> the trucks and related equipment such as forklifts and pickers</w:t>
      </w:r>
      <w:r w:rsidR="00E304AB">
        <w:t>.</w:t>
      </w:r>
    </w:p>
    <w:p w14:paraId="37642979" w14:textId="540634F7" w:rsidR="00A55ED5" w:rsidRDefault="00D313AC" w:rsidP="00D313AC">
      <w:pPr>
        <w:pStyle w:val="ParaNumbering"/>
        <w:numPr>
          <w:ilvl w:val="0"/>
          <w:numId w:val="0"/>
        </w:numPr>
        <w:ind w:hanging="720"/>
      </w:pPr>
      <w:r>
        <w:rPr>
          <w:sz w:val="20"/>
        </w:rPr>
        <w:t>85</w:t>
      </w:r>
      <w:r>
        <w:rPr>
          <w:sz w:val="20"/>
        </w:rPr>
        <w:tab/>
      </w:r>
      <w:r w:rsidR="00A55ED5">
        <w:t xml:space="preserve">Initially, the </w:t>
      </w:r>
      <w:r w:rsidR="007550F7">
        <w:t>T</w:t>
      </w:r>
      <w:r w:rsidR="00A55ED5">
        <w:t>rucking Business’ operations were located at 12 Ash Road, Prestons</w:t>
      </w:r>
      <w:r w:rsidR="00496C99">
        <w:t>.  I</w:t>
      </w:r>
      <w:r w:rsidR="00A55ED5">
        <w:t xml:space="preserve">n 2009 it </w:t>
      </w:r>
      <w:r w:rsidR="00496C99">
        <w:t xml:space="preserve">moved </w:t>
      </w:r>
      <w:r w:rsidR="00A55ED5">
        <w:t xml:space="preserve">to 395 Devonshire Road, Kemps Creek, into premises owned by </w:t>
      </w:r>
      <w:proofErr w:type="spellStart"/>
      <w:r w:rsidR="00A55ED5">
        <w:t>Runchief</w:t>
      </w:r>
      <w:proofErr w:type="spellEnd"/>
      <w:r w:rsidR="00A55ED5">
        <w:t xml:space="preserve"> Pty Ltd.  Mr</w:t>
      </w:r>
      <w:r w:rsidR="007E664B">
        <w:t> </w:t>
      </w:r>
      <w:proofErr w:type="spellStart"/>
      <w:r w:rsidR="007E664B">
        <w:t>T</w:t>
      </w:r>
      <w:r w:rsidR="00A55ED5">
        <w:t>abuso</w:t>
      </w:r>
      <w:proofErr w:type="spellEnd"/>
      <w:r w:rsidR="00A55ED5">
        <w:t xml:space="preserve"> worked seven days a week in the </w:t>
      </w:r>
      <w:r w:rsidR="007E664B">
        <w:t>T</w:t>
      </w:r>
      <w:r w:rsidR="00A55ED5">
        <w:t xml:space="preserve">rucking </w:t>
      </w:r>
      <w:r w:rsidR="007E664B">
        <w:t>Business</w:t>
      </w:r>
      <w:r w:rsidR="00A55ED5">
        <w:t xml:space="preserve"> and by 2010 it </w:t>
      </w:r>
      <w:r w:rsidR="0008175E">
        <w:t xml:space="preserve">had </w:t>
      </w:r>
      <w:r w:rsidR="00A55ED5">
        <w:t>grown and owned between 15 to 18 trucks.</w:t>
      </w:r>
    </w:p>
    <w:p w14:paraId="49FC4A36" w14:textId="7979E2FE" w:rsidR="007E664B" w:rsidRDefault="00D313AC" w:rsidP="00D313AC">
      <w:pPr>
        <w:pStyle w:val="ParaNumbering"/>
        <w:numPr>
          <w:ilvl w:val="0"/>
          <w:numId w:val="0"/>
        </w:numPr>
        <w:ind w:hanging="720"/>
      </w:pPr>
      <w:r>
        <w:rPr>
          <w:sz w:val="20"/>
        </w:rPr>
        <w:t>86</w:t>
      </w:r>
      <w:r>
        <w:rPr>
          <w:sz w:val="20"/>
        </w:rPr>
        <w:tab/>
      </w:r>
      <w:r w:rsidR="003A6C30">
        <w:t xml:space="preserve">Over the years, the Trucking Business bought </w:t>
      </w:r>
      <w:r w:rsidR="004848C1">
        <w:t xml:space="preserve">or “opened” </w:t>
      </w:r>
      <w:r w:rsidR="003A6C30">
        <w:t xml:space="preserve">several additional companies, which were </w:t>
      </w:r>
      <w:r w:rsidR="005A502A">
        <w:t>“</w:t>
      </w:r>
      <w:proofErr w:type="spellStart"/>
      <w:r w:rsidR="003A6C30">
        <w:t>ownerdriver</w:t>
      </w:r>
      <w:proofErr w:type="spellEnd"/>
      <w:r w:rsidR="005A502A">
        <w:t>”</w:t>
      </w:r>
      <w:r w:rsidR="003A6C30">
        <w:t xml:space="preserve"> companies including in about 2007 </w:t>
      </w:r>
      <w:proofErr w:type="spellStart"/>
      <w:r w:rsidR="003A6C30">
        <w:t>Silverhills</w:t>
      </w:r>
      <w:proofErr w:type="spellEnd"/>
      <w:r w:rsidR="003A6C30">
        <w:t xml:space="preserve"> Haulage, </w:t>
      </w:r>
      <w:r w:rsidR="004848C1">
        <w:t>in a</w:t>
      </w:r>
      <w:r w:rsidR="00FA4691">
        <w:t>bout</w:t>
      </w:r>
      <w:r w:rsidR="004848C1">
        <w:t xml:space="preserve"> 2010 </w:t>
      </w:r>
      <w:r w:rsidR="003A6C30">
        <w:t>Fara</w:t>
      </w:r>
      <w:r w:rsidR="008F1E0F">
        <w:t> </w:t>
      </w:r>
      <w:r w:rsidR="003A6C30">
        <w:t xml:space="preserve">Logistics </w:t>
      </w:r>
      <w:r w:rsidR="008C1D93">
        <w:t xml:space="preserve">and in about 2012 </w:t>
      </w:r>
      <w:r w:rsidR="003A6C30">
        <w:t>Machinery Moves and Brisbane Inner City Tilt Tray</w:t>
      </w:r>
      <w:r w:rsidR="008C1D93">
        <w:t>.</w:t>
      </w:r>
      <w:r w:rsidR="003A6C30">
        <w:t xml:space="preserve"> </w:t>
      </w:r>
      <w:r w:rsidR="00ED205C">
        <w:t xml:space="preserve"> The Trucking Business </w:t>
      </w:r>
      <w:r w:rsidR="00986720">
        <w:t xml:space="preserve">maintained </w:t>
      </w:r>
      <w:r w:rsidR="00ED205C">
        <w:t xml:space="preserve">these companies to keep their customer bases or to have differentiation in the market with a view to maximising work received from allocators and loading agents, who booked freight transport and who were generally unable to use a single freight company. </w:t>
      </w:r>
      <w:r w:rsidR="00585284">
        <w:t>Mr</w:t>
      </w:r>
      <w:r w:rsidR="00543893">
        <w:t> </w:t>
      </w:r>
      <w:proofErr w:type="spellStart"/>
      <w:r w:rsidR="00585284">
        <w:t>Tabuso</w:t>
      </w:r>
      <w:proofErr w:type="spellEnd"/>
      <w:r w:rsidR="00585284">
        <w:t xml:space="preserve"> explained that o</w:t>
      </w:r>
      <w:r w:rsidR="00ED205C">
        <w:t xml:space="preserve">ccasionally, on behalf of </w:t>
      </w:r>
      <w:proofErr w:type="spellStart"/>
      <w:r w:rsidR="005A502A">
        <w:t>I</w:t>
      </w:r>
      <w:r w:rsidR="00ED205C">
        <w:t>nterfreight</w:t>
      </w:r>
      <w:proofErr w:type="spellEnd"/>
      <w:r w:rsidR="00ED205C">
        <w:t xml:space="preserve"> (Aust), </w:t>
      </w:r>
      <w:r w:rsidR="00585284">
        <w:t>he</w:t>
      </w:r>
      <w:r w:rsidR="00D72BDF">
        <w:t xml:space="preserve"> </w:t>
      </w:r>
      <w:r w:rsidR="00ED205C">
        <w:t xml:space="preserve">would </w:t>
      </w:r>
      <w:r w:rsidR="00585284">
        <w:t xml:space="preserve">make a </w:t>
      </w:r>
      <w:r w:rsidR="00ED205C">
        <w:t>customer</w:t>
      </w:r>
      <w:r w:rsidR="00585284">
        <w:t xml:space="preserve"> angry</w:t>
      </w:r>
      <w:r w:rsidR="00ED205C">
        <w:t xml:space="preserve">. </w:t>
      </w:r>
      <w:r w:rsidR="00A45BC0">
        <w:t xml:space="preserve"> </w:t>
      </w:r>
      <w:r w:rsidR="00ED205C">
        <w:t xml:space="preserve">That customer would then ring up, for example, </w:t>
      </w:r>
      <w:proofErr w:type="spellStart"/>
      <w:r w:rsidR="00ED205C">
        <w:t>Silverhills</w:t>
      </w:r>
      <w:proofErr w:type="spellEnd"/>
      <w:r w:rsidR="006E1EE4">
        <w:t> </w:t>
      </w:r>
      <w:r w:rsidR="00585284">
        <w:t xml:space="preserve">Haulage </w:t>
      </w:r>
      <w:r w:rsidR="00022D5C">
        <w:t xml:space="preserve">on </w:t>
      </w:r>
      <w:r w:rsidR="00ED205C">
        <w:t xml:space="preserve">its </w:t>
      </w:r>
      <w:r w:rsidR="00022D5C">
        <w:t>different</w:t>
      </w:r>
      <w:r w:rsidR="00ED205C">
        <w:t xml:space="preserve"> number and engage it to carry the freight. </w:t>
      </w:r>
      <w:r w:rsidR="00585284">
        <w:t xml:space="preserve"> </w:t>
      </w:r>
      <w:r w:rsidR="00ED205C">
        <w:t xml:space="preserve">However, it was always </w:t>
      </w:r>
      <w:proofErr w:type="spellStart"/>
      <w:r w:rsidR="002C422F">
        <w:t>Interfreight</w:t>
      </w:r>
      <w:proofErr w:type="spellEnd"/>
      <w:r w:rsidR="00ED205C">
        <w:t xml:space="preserve"> (Aust), and later, </w:t>
      </w:r>
      <w:proofErr w:type="spellStart"/>
      <w:r w:rsidR="00126142">
        <w:t>I</w:t>
      </w:r>
      <w:r w:rsidR="00ED205C">
        <w:t>nterfreight</w:t>
      </w:r>
      <w:proofErr w:type="spellEnd"/>
      <w:r w:rsidR="00ED205C">
        <w:t xml:space="preserve"> </w:t>
      </w:r>
      <w:r w:rsidR="00D307FB">
        <w:t>1</w:t>
      </w:r>
      <w:r w:rsidR="00ED205C">
        <w:t>, that would perform the work.</w:t>
      </w:r>
    </w:p>
    <w:p w14:paraId="18F73459" w14:textId="70E0C1DB" w:rsidR="00585284" w:rsidRDefault="00D313AC" w:rsidP="00D313AC">
      <w:pPr>
        <w:pStyle w:val="ParaNumbering"/>
        <w:numPr>
          <w:ilvl w:val="0"/>
          <w:numId w:val="0"/>
        </w:numPr>
        <w:ind w:hanging="720"/>
      </w:pPr>
      <w:r>
        <w:rPr>
          <w:sz w:val="20"/>
        </w:rPr>
        <w:lastRenderedPageBreak/>
        <w:t>87</w:t>
      </w:r>
      <w:r>
        <w:rPr>
          <w:sz w:val="20"/>
        </w:rPr>
        <w:tab/>
      </w:r>
      <w:r w:rsidR="00D53C20">
        <w:t xml:space="preserve">By around 2009, </w:t>
      </w:r>
      <w:proofErr w:type="spellStart"/>
      <w:r w:rsidR="009015A6">
        <w:t>I</w:t>
      </w:r>
      <w:r w:rsidR="00D53C20">
        <w:t>nterfreight</w:t>
      </w:r>
      <w:proofErr w:type="spellEnd"/>
      <w:r w:rsidR="00D53C20">
        <w:t xml:space="preserve"> (Aust) employed about 15 full-time employees and used subcontractors, who were mostly truck drivers.  Other employees included booking staff, loading staff, administrative and accounting staff and allocators who distributed the jobs.  Some employees were employed in different companies or split their time between seve</w:t>
      </w:r>
      <w:r w:rsidR="00D31D97">
        <w:t>ral</w:t>
      </w:r>
      <w:r w:rsidR="00D53C20">
        <w:t xml:space="preserve"> companies wh</w:t>
      </w:r>
      <w:r w:rsidR="002C1DCB">
        <w:t>ich</w:t>
      </w:r>
      <w:r w:rsidR="00D53C20">
        <w:t xml:space="preserve"> paid all or part of their wages. </w:t>
      </w:r>
      <w:r w:rsidR="00D31D97">
        <w:t xml:space="preserve"> </w:t>
      </w:r>
      <w:r w:rsidR="00D53C20">
        <w:t xml:space="preserve">Most employees were employed by </w:t>
      </w:r>
      <w:proofErr w:type="spellStart"/>
      <w:r w:rsidR="002C422F">
        <w:t>Interfreight</w:t>
      </w:r>
      <w:proofErr w:type="spellEnd"/>
      <w:r w:rsidR="00D53C20">
        <w:t xml:space="preserve"> (Aust). </w:t>
      </w:r>
      <w:r w:rsidR="00A738A2">
        <w:t xml:space="preserve"> The costs of premises rental, insurance premiums, accounting fees and wages were spread across all entities, as invoiced or based on usage</w:t>
      </w:r>
      <w:r w:rsidR="00003962">
        <w:t xml:space="preserve">. </w:t>
      </w:r>
      <w:r w:rsidR="00D11B68">
        <w:t xml:space="preserve"> Diesel Dan</w:t>
      </w:r>
      <w:r w:rsidR="008B409B">
        <w:t xml:space="preserve"> 1</w:t>
      </w:r>
      <w:r w:rsidR="00D11B68">
        <w:t xml:space="preserve"> would invoice </w:t>
      </w:r>
      <w:proofErr w:type="spellStart"/>
      <w:r w:rsidR="002C422F">
        <w:t>Interfreight</w:t>
      </w:r>
      <w:proofErr w:type="spellEnd"/>
      <w:r w:rsidR="008B409B">
        <w:t> </w:t>
      </w:r>
      <w:r w:rsidR="00D11B68">
        <w:t>(Aust) or Calabro Real Estate, as appropriate</w:t>
      </w:r>
      <w:r w:rsidR="00FB1658">
        <w:t>,</w:t>
      </w:r>
      <w:r w:rsidR="00D11B68">
        <w:t xml:space="preserve"> for fuel, repairs, service charges and tyres. </w:t>
      </w:r>
      <w:r w:rsidR="00FB1658">
        <w:t xml:space="preserve"> </w:t>
      </w:r>
      <w:r w:rsidR="00D11B68">
        <w:t xml:space="preserve">The </w:t>
      </w:r>
      <w:r w:rsidR="00FB1658">
        <w:t xml:space="preserve">Trucking </w:t>
      </w:r>
      <w:r w:rsidR="00D11B68">
        <w:t>Business was carried out entirely within the group.</w:t>
      </w:r>
    </w:p>
    <w:p w14:paraId="16DDB41C" w14:textId="06A130FB" w:rsidR="00AB4A97" w:rsidRDefault="00D313AC" w:rsidP="00D313AC">
      <w:pPr>
        <w:pStyle w:val="ParaNumbering"/>
        <w:numPr>
          <w:ilvl w:val="0"/>
          <w:numId w:val="0"/>
        </w:numPr>
        <w:ind w:hanging="720"/>
      </w:pPr>
      <w:r>
        <w:rPr>
          <w:sz w:val="20"/>
        </w:rPr>
        <w:t>88</w:t>
      </w:r>
      <w:r>
        <w:rPr>
          <w:sz w:val="20"/>
        </w:rPr>
        <w:tab/>
      </w:r>
      <w:r w:rsidR="006302FA">
        <w:t>As set out in the preceding paragraph, m</w:t>
      </w:r>
      <w:r w:rsidR="00AB4A97">
        <w:t xml:space="preserve">ost employees were employed by </w:t>
      </w:r>
      <w:proofErr w:type="spellStart"/>
      <w:r w:rsidR="002C422F">
        <w:t>Interfreight</w:t>
      </w:r>
      <w:proofErr w:type="spellEnd"/>
      <w:r w:rsidR="00AB4A97">
        <w:t xml:space="preserve"> (Aust).  However</w:t>
      </w:r>
      <w:r w:rsidR="00A7077F">
        <w:t>, f</w:t>
      </w:r>
      <w:r w:rsidR="00AB4A97">
        <w:t xml:space="preserve">rom time to time, employees would provide services </w:t>
      </w:r>
      <w:r w:rsidR="00A7077F">
        <w:t>to</w:t>
      </w:r>
      <w:r w:rsidR="00AB4A97">
        <w:t xml:space="preserve"> other companies and the relevant employee</w:t>
      </w:r>
      <w:r w:rsidR="00441073">
        <w:t>’</w:t>
      </w:r>
      <w:r w:rsidR="00A7077F">
        <w:t>s</w:t>
      </w:r>
      <w:r w:rsidR="00AB4A97">
        <w:t xml:space="preserve"> wages would be based on the entities for whom they were working. </w:t>
      </w:r>
      <w:r w:rsidR="00A7077F">
        <w:t xml:space="preserve"> </w:t>
      </w:r>
      <w:r w:rsidR="00AB4A97">
        <w:t xml:space="preserve">For example, </w:t>
      </w:r>
      <w:r w:rsidR="00A7077F">
        <w:t xml:space="preserve">Mr </w:t>
      </w:r>
      <w:r w:rsidR="00AB4A97">
        <w:t>Ligori, a mechanic, primarily carried o</w:t>
      </w:r>
      <w:r w:rsidR="00343C9A">
        <w:t>ut</w:t>
      </w:r>
      <w:r w:rsidR="00AB4A97">
        <w:t xml:space="preserve"> tasks for Diesel Dan </w:t>
      </w:r>
      <w:r w:rsidR="00203265">
        <w:t xml:space="preserve">1 </w:t>
      </w:r>
      <w:r w:rsidR="00AB4A97">
        <w:t>in repair</w:t>
      </w:r>
      <w:r w:rsidR="001437ED">
        <w:t>ing</w:t>
      </w:r>
      <w:r w:rsidR="00AB4A97">
        <w:t xml:space="preserve"> and </w:t>
      </w:r>
      <w:r w:rsidR="00680399">
        <w:t>maintaining</w:t>
      </w:r>
      <w:r w:rsidR="00AB4A97">
        <w:t xml:space="preserve"> trucks. </w:t>
      </w:r>
      <w:r w:rsidR="00343C9A">
        <w:t xml:space="preserve"> While his </w:t>
      </w:r>
      <w:r w:rsidR="00AB4A97">
        <w:t xml:space="preserve">wages were generally paid by </w:t>
      </w:r>
      <w:proofErr w:type="spellStart"/>
      <w:r w:rsidR="002C422F">
        <w:t>Interfreight</w:t>
      </w:r>
      <w:proofErr w:type="spellEnd"/>
      <w:r w:rsidR="00AB4A97">
        <w:t xml:space="preserve"> (Aust)</w:t>
      </w:r>
      <w:r w:rsidR="00343C9A">
        <w:t>, some were paid by Diesel Dan</w:t>
      </w:r>
      <w:r w:rsidR="00203265">
        <w:t xml:space="preserve"> 1</w:t>
      </w:r>
      <w:r w:rsidR="00AB4A97">
        <w:t>.</w:t>
      </w:r>
    </w:p>
    <w:p w14:paraId="5343E3BB" w14:textId="1E6E4030" w:rsidR="007F528B" w:rsidRDefault="00D313AC" w:rsidP="00D313AC">
      <w:pPr>
        <w:pStyle w:val="ParaNumbering"/>
        <w:numPr>
          <w:ilvl w:val="0"/>
          <w:numId w:val="0"/>
        </w:numPr>
        <w:ind w:hanging="720"/>
      </w:pPr>
      <w:r>
        <w:rPr>
          <w:sz w:val="20"/>
        </w:rPr>
        <w:t>89</w:t>
      </w:r>
      <w:r>
        <w:rPr>
          <w:sz w:val="20"/>
        </w:rPr>
        <w:tab/>
      </w:r>
      <w:r w:rsidR="007F528B">
        <w:t xml:space="preserve">Mr </w:t>
      </w:r>
      <w:proofErr w:type="spellStart"/>
      <w:r w:rsidR="007F528B">
        <w:t>Tabuso</w:t>
      </w:r>
      <w:proofErr w:type="spellEnd"/>
      <w:r w:rsidR="007F528B">
        <w:t xml:space="preserve"> has engaged a number of </w:t>
      </w:r>
      <w:r w:rsidR="007435FF">
        <w:t xml:space="preserve">accountants </w:t>
      </w:r>
      <w:r w:rsidR="007F528B">
        <w:t xml:space="preserve">over the years for his personal </w:t>
      </w:r>
      <w:r w:rsidR="001437ED">
        <w:t>affairs</w:t>
      </w:r>
      <w:r w:rsidR="007F528B">
        <w:t xml:space="preserve"> and for the </w:t>
      </w:r>
      <w:r w:rsidR="0048204E">
        <w:t>T</w:t>
      </w:r>
      <w:r w:rsidR="007F528B">
        <w:t xml:space="preserve">rucking Business.  </w:t>
      </w:r>
      <w:r w:rsidR="002A1075">
        <w:t>For the Trucking Business: fr</w:t>
      </w:r>
      <w:r w:rsidR="007F528B">
        <w:t>om 2012 to 2016 he engaged Mr</w:t>
      </w:r>
      <w:r w:rsidR="00FE1CE0">
        <w:t> </w:t>
      </w:r>
      <w:r w:rsidR="007F528B">
        <w:t xml:space="preserve">Khalil of </w:t>
      </w:r>
      <w:proofErr w:type="spellStart"/>
      <w:r w:rsidR="007435FF">
        <w:t>Banq</w:t>
      </w:r>
      <w:proofErr w:type="spellEnd"/>
      <w:r w:rsidR="0034677B">
        <w:t xml:space="preserve"> Accountants</w:t>
      </w:r>
      <w:r w:rsidR="002A1075">
        <w:t>; and s</w:t>
      </w:r>
      <w:r w:rsidR="00600C7C">
        <w:t xml:space="preserve">ince 2016 </w:t>
      </w:r>
      <w:r w:rsidR="002A1075">
        <w:t xml:space="preserve">he </w:t>
      </w:r>
      <w:r w:rsidR="00FE1CE0">
        <w:t xml:space="preserve">has </w:t>
      </w:r>
      <w:r w:rsidR="002A1075">
        <w:t xml:space="preserve">engaged </w:t>
      </w:r>
      <w:r w:rsidR="00600C7C">
        <w:t xml:space="preserve">Andrew Dunstan of Strategic Accountants.  </w:t>
      </w:r>
    </w:p>
    <w:p w14:paraId="4823B832" w14:textId="4BD36DA5" w:rsidR="00E268CA" w:rsidRDefault="00E268CA" w:rsidP="00E268CA">
      <w:pPr>
        <w:pStyle w:val="Heading4"/>
      </w:pPr>
      <w:r>
        <w:t xml:space="preserve">Mr </w:t>
      </w:r>
      <w:proofErr w:type="spellStart"/>
      <w:r w:rsidR="001B544A">
        <w:t>T</w:t>
      </w:r>
      <w:r>
        <w:t>abuso’s</w:t>
      </w:r>
      <w:proofErr w:type="spellEnd"/>
      <w:r>
        <w:t xml:space="preserve"> illness</w:t>
      </w:r>
    </w:p>
    <w:p w14:paraId="606714E4" w14:textId="63250644" w:rsidR="00E268CA" w:rsidRDefault="00D313AC" w:rsidP="00D313AC">
      <w:pPr>
        <w:pStyle w:val="ParaNumbering"/>
        <w:numPr>
          <w:ilvl w:val="0"/>
          <w:numId w:val="0"/>
        </w:numPr>
        <w:ind w:hanging="720"/>
      </w:pPr>
      <w:r>
        <w:rPr>
          <w:sz w:val="20"/>
        </w:rPr>
        <w:t>90</w:t>
      </w:r>
      <w:r>
        <w:rPr>
          <w:sz w:val="20"/>
        </w:rPr>
        <w:tab/>
      </w:r>
      <w:r w:rsidR="001B544A">
        <w:t xml:space="preserve">In 2013 Mr </w:t>
      </w:r>
      <w:proofErr w:type="spellStart"/>
      <w:r w:rsidR="00092A6D">
        <w:t>T</w:t>
      </w:r>
      <w:r w:rsidR="001B544A">
        <w:t>abuso</w:t>
      </w:r>
      <w:proofErr w:type="spellEnd"/>
      <w:r w:rsidR="001B544A">
        <w:t xml:space="preserve"> fell ill having suffered a heart attack.  He </w:t>
      </w:r>
      <w:r w:rsidR="00092A6D">
        <w:t>underwent</w:t>
      </w:r>
      <w:r w:rsidR="001B544A">
        <w:t xml:space="preserve"> several </w:t>
      </w:r>
      <w:r w:rsidR="00092A6D">
        <w:t>surgeries</w:t>
      </w:r>
      <w:r w:rsidR="001B544A">
        <w:t xml:space="preserve"> and was in hospital for </w:t>
      </w:r>
      <w:r w:rsidR="00CA35FA">
        <w:t>some time</w:t>
      </w:r>
      <w:r w:rsidR="001B544A">
        <w:t>.  Following this</w:t>
      </w:r>
      <w:r w:rsidR="00092A6D">
        <w:t>,</w:t>
      </w:r>
      <w:r w:rsidR="001B544A">
        <w:t xml:space="preserve"> he </w:t>
      </w:r>
      <w:r w:rsidR="00092A6D">
        <w:t xml:space="preserve">was required to lower his stress levels and not work as hard.  </w:t>
      </w:r>
    </w:p>
    <w:p w14:paraId="4847FAEA" w14:textId="3BDB324A" w:rsidR="00851E2F" w:rsidRDefault="00D313AC" w:rsidP="00D313AC">
      <w:pPr>
        <w:pStyle w:val="ParaNumbering"/>
        <w:numPr>
          <w:ilvl w:val="0"/>
          <w:numId w:val="0"/>
        </w:numPr>
        <w:ind w:hanging="720"/>
      </w:pPr>
      <w:r>
        <w:rPr>
          <w:sz w:val="20"/>
        </w:rPr>
        <w:t>91</w:t>
      </w:r>
      <w:r>
        <w:rPr>
          <w:sz w:val="20"/>
        </w:rPr>
        <w:tab/>
      </w:r>
      <w:r w:rsidR="00CA35FA">
        <w:t xml:space="preserve">Mr </w:t>
      </w:r>
      <w:proofErr w:type="spellStart"/>
      <w:r w:rsidR="00CA35FA">
        <w:t>Tabuso</w:t>
      </w:r>
      <w:proofErr w:type="spellEnd"/>
      <w:r w:rsidR="00CA35FA">
        <w:t xml:space="preserve"> </w:t>
      </w:r>
      <w:r w:rsidR="00F15ED8">
        <w:t xml:space="preserve">explained that while he </w:t>
      </w:r>
      <w:r w:rsidR="00CA35FA">
        <w:t xml:space="preserve">was away from work and </w:t>
      </w:r>
      <w:r w:rsidR="00F15ED8">
        <w:t>attending to his medical condition</w:t>
      </w:r>
      <w:r w:rsidR="00CA35FA">
        <w:t xml:space="preserve">, the </w:t>
      </w:r>
      <w:r w:rsidR="00F15ED8">
        <w:t xml:space="preserve">Trucking </w:t>
      </w:r>
      <w:r w:rsidR="00CA35FA">
        <w:t>Business unravelled</w:t>
      </w:r>
      <w:r w:rsidR="00DA71DC">
        <w:t xml:space="preserve">. </w:t>
      </w:r>
      <w:r w:rsidR="00F15ED8">
        <w:t xml:space="preserve"> </w:t>
      </w:r>
      <w:r w:rsidR="00DA71DC">
        <w:t>T</w:t>
      </w:r>
      <w:r w:rsidR="00CA35FA">
        <w:t xml:space="preserve">here was no-one </w:t>
      </w:r>
      <w:r w:rsidR="00DA71DC">
        <w:t xml:space="preserve">in the business </w:t>
      </w:r>
      <w:r w:rsidR="00F15ED8">
        <w:t xml:space="preserve">with his knowledge </w:t>
      </w:r>
      <w:r w:rsidR="00CA35FA">
        <w:t>to direct staff</w:t>
      </w:r>
      <w:r w:rsidR="00F15ED8">
        <w:t xml:space="preserve"> or</w:t>
      </w:r>
      <w:r w:rsidR="00CA35FA">
        <w:t xml:space="preserve"> </w:t>
      </w:r>
      <w:r w:rsidR="00851E2F">
        <w:t xml:space="preserve">to </w:t>
      </w:r>
      <w:r w:rsidR="00CA35FA">
        <w:t>manage the intercompany payment obligations</w:t>
      </w:r>
      <w:r w:rsidR="00F15ED8">
        <w:t xml:space="preserve">.  Mr </w:t>
      </w:r>
      <w:proofErr w:type="spellStart"/>
      <w:r w:rsidR="00F15ED8">
        <w:t>Tabuso</w:t>
      </w:r>
      <w:proofErr w:type="spellEnd"/>
      <w:r w:rsidR="00CA35FA">
        <w:t xml:space="preserve"> returned</w:t>
      </w:r>
      <w:r w:rsidR="00E11F41">
        <w:t xml:space="preserve"> to work on a </w:t>
      </w:r>
      <w:r w:rsidR="00CA35FA">
        <w:t>part-time</w:t>
      </w:r>
      <w:r w:rsidR="005045A9">
        <w:t xml:space="preserve"> basis</w:t>
      </w:r>
      <w:r w:rsidR="00CA35FA">
        <w:t xml:space="preserve"> and was unable to manage the </w:t>
      </w:r>
      <w:r w:rsidR="00E11F41">
        <w:t xml:space="preserve">Trucking </w:t>
      </w:r>
      <w:r w:rsidR="00CA35FA">
        <w:t>Business</w:t>
      </w:r>
      <w:r w:rsidR="00E11F41">
        <w:t xml:space="preserve">.  </w:t>
      </w:r>
    </w:p>
    <w:p w14:paraId="3155B5B7" w14:textId="070A93F7" w:rsidR="00CA35FA" w:rsidRDefault="00D313AC" w:rsidP="00D313AC">
      <w:pPr>
        <w:pStyle w:val="ParaNumbering"/>
        <w:numPr>
          <w:ilvl w:val="0"/>
          <w:numId w:val="0"/>
        </w:numPr>
        <w:ind w:hanging="720"/>
      </w:pPr>
      <w:r>
        <w:rPr>
          <w:sz w:val="20"/>
        </w:rPr>
        <w:t>92</w:t>
      </w:r>
      <w:r>
        <w:rPr>
          <w:sz w:val="20"/>
        </w:rPr>
        <w:tab/>
      </w:r>
      <w:r w:rsidR="00E11F41">
        <w:t xml:space="preserve">In about </w:t>
      </w:r>
      <w:proofErr w:type="spellStart"/>
      <w:r w:rsidR="00CA35FA">
        <w:t>mid 2013</w:t>
      </w:r>
      <w:proofErr w:type="spellEnd"/>
      <w:r w:rsidR="00CA35FA">
        <w:t xml:space="preserve">, </w:t>
      </w:r>
      <w:r w:rsidR="00E11F41">
        <w:t>Mr</w:t>
      </w:r>
      <w:r w:rsidR="00CA35FA">
        <w:t xml:space="preserve"> Khalil advised </w:t>
      </w:r>
      <w:r w:rsidR="00F8366E">
        <w:t xml:space="preserve">Mr </w:t>
      </w:r>
      <w:proofErr w:type="spellStart"/>
      <w:r w:rsidR="00F8366E">
        <w:t>Tabuso</w:t>
      </w:r>
      <w:proofErr w:type="spellEnd"/>
      <w:r w:rsidR="00F8366E">
        <w:t xml:space="preserve"> </w:t>
      </w:r>
      <w:r w:rsidR="00CA35FA">
        <w:t xml:space="preserve">that the </w:t>
      </w:r>
      <w:r w:rsidR="00F8366E">
        <w:t xml:space="preserve">Trucking </w:t>
      </w:r>
      <w:r w:rsidR="00CA35FA">
        <w:t xml:space="preserve">Business needed to be </w:t>
      </w:r>
      <w:r w:rsidR="00851E2F">
        <w:t>“</w:t>
      </w:r>
      <w:r w:rsidR="00CA35FA">
        <w:t>cleaned up</w:t>
      </w:r>
      <w:r w:rsidR="00851E2F">
        <w:t>”</w:t>
      </w:r>
      <w:r w:rsidR="00F8366E">
        <w:t xml:space="preserve"> and that he should </w:t>
      </w:r>
      <w:r w:rsidR="00CA35FA">
        <w:t xml:space="preserve">start new entities and phase out and wind down, over time, the </w:t>
      </w:r>
      <w:r w:rsidR="00851E2F">
        <w:t>“</w:t>
      </w:r>
      <w:r w:rsidR="00CA35FA">
        <w:t>old companies</w:t>
      </w:r>
      <w:r w:rsidR="00F8366E">
        <w:t xml:space="preserve">”.  </w:t>
      </w:r>
      <w:r w:rsidR="00FE1CE0">
        <w:t>Accordingly,</w:t>
      </w:r>
      <w:r w:rsidR="00F8366E">
        <w:t xml:space="preserve"> </w:t>
      </w:r>
      <w:proofErr w:type="spellStart"/>
      <w:r w:rsidR="00CA35FA">
        <w:t>I</w:t>
      </w:r>
      <w:r w:rsidR="00283EA1">
        <w:t>nterfreight</w:t>
      </w:r>
      <w:proofErr w:type="spellEnd"/>
      <w:r w:rsidR="00283EA1">
        <w:t xml:space="preserve"> 2</w:t>
      </w:r>
      <w:r w:rsidR="00CA35FA">
        <w:t xml:space="preserve"> and D</w:t>
      </w:r>
      <w:r w:rsidR="00507F0D">
        <w:t xml:space="preserve">iesel </w:t>
      </w:r>
      <w:r w:rsidR="00CA35FA">
        <w:t>D</w:t>
      </w:r>
      <w:r w:rsidR="00507F0D">
        <w:t xml:space="preserve">an </w:t>
      </w:r>
      <w:r w:rsidR="00283EA1">
        <w:t>2</w:t>
      </w:r>
      <w:r w:rsidR="00507F0D">
        <w:t xml:space="preserve"> were incorporated and they </w:t>
      </w:r>
      <w:r w:rsidR="00CA35FA">
        <w:t xml:space="preserve">began servicing the </w:t>
      </w:r>
      <w:r w:rsidR="00507F0D">
        <w:t xml:space="preserve">Trucking </w:t>
      </w:r>
      <w:r w:rsidR="00CA35FA">
        <w:t xml:space="preserve">Business while </w:t>
      </w:r>
      <w:r w:rsidR="00507F0D">
        <w:t>the</w:t>
      </w:r>
      <w:r w:rsidR="00CA35FA">
        <w:t xml:space="preserve"> older entities were wound down. </w:t>
      </w:r>
      <w:r w:rsidR="0095553C">
        <w:t xml:space="preserve"> In cross-</w:t>
      </w:r>
      <w:r w:rsidR="0095553C">
        <w:lastRenderedPageBreak/>
        <w:t xml:space="preserve">examination Mr </w:t>
      </w:r>
      <w:proofErr w:type="spellStart"/>
      <w:r w:rsidR="0095553C">
        <w:t>Tabuso</w:t>
      </w:r>
      <w:proofErr w:type="spellEnd"/>
      <w:r w:rsidR="0095553C">
        <w:t xml:space="preserve"> agreed that this occurred </w:t>
      </w:r>
      <w:r w:rsidR="00CC7F61">
        <w:t xml:space="preserve">a little while after he was </w:t>
      </w:r>
      <w:r w:rsidR="009E6171">
        <w:t xml:space="preserve">made </w:t>
      </w:r>
      <w:r w:rsidR="00CC7F61">
        <w:t xml:space="preserve">a bankrupt in </w:t>
      </w:r>
      <w:r w:rsidR="009E6171">
        <w:t>J</w:t>
      </w:r>
      <w:r w:rsidR="00CC7F61">
        <w:t>uly 2013</w:t>
      </w:r>
      <w:r w:rsidR="009E6171">
        <w:t xml:space="preserve"> and that </w:t>
      </w:r>
      <w:r w:rsidR="008D37FB">
        <w:t xml:space="preserve">until about 2017 </w:t>
      </w:r>
      <w:r w:rsidR="004A7435">
        <w:t xml:space="preserve">the registered office of </w:t>
      </w:r>
      <w:r w:rsidR="008D37FB">
        <w:t xml:space="preserve">each of </w:t>
      </w:r>
      <w:r w:rsidR="004A7435">
        <w:t xml:space="preserve">the newly incorporated companies was </w:t>
      </w:r>
      <w:proofErr w:type="spellStart"/>
      <w:r w:rsidR="004A7435">
        <w:t>Banq</w:t>
      </w:r>
      <w:proofErr w:type="spellEnd"/>
      <w:r w:rsidR="004A7435">
        <w:t xml:space="preserve"> Acco</w:t>
      </w:r>
      <w:r w:rsidR="00206748">
        <w:t>u</w:t>
      </w:r>
      <w:r w:rsidR="004A7435">
        <w:t>ntants</w:t>
      </w:r>
      <w:r w:rsidR="00CC7F61">
        <w:t>.</w:t>
      </w:r>
    </w:p>
    <w:p w14:paraId="47DB00E8" w14:textId="4E82B29A" w:rsidR="00345602" w:rsidRDefault="00D313AC" w:rsidP="00D313AC">
      <w:pPr>
        <w:pStyle w:val="ParaNumbering"/>
        <w:numPr>
          <w:ilvl w:val="0"/>
          <w:numId w:val="0"/>
        </w:numPr>
        <w:ind w:hanging="720"/>
      </w:pPr>
      <w:r>
        <w:rPr>
          <w:sz w:val="20"/>
        </w:rPr>
        <w:t>93</w:t>
      </w:r>
      <w:r>
        <w:rPr>
          <w:sz w:val="20"/>
        </w:rPr>
        <w:tab/>
      </w:r>
      <w:r w:rsidR="00653B3F">
        <w:t xml:space="preserve">Mr </w:t>
      </w:r>
      <w:proofErr w:type="spellStart"/>
      <w:r w:rsidR="00653B3F">
        <w:t>Tabuso</w:t>
      </w:r>
      <w:proofErr w:type="spellEnd"/>
      <w:r w:rsidR="00653B3F">
        <w:t xml:space="preserve"> explained that t</w:t>
      </w:r>
      <w:r w:rsidR="00F17165">
        <w:t xml:space="preserve">here were difficulties with the transition process, including, for example, that customers would often continue to pay </w:t>
      </w:r>
      <w:proofErr w:type="spellStart"/>
      <w:r w:rsidR="002C422F">
        <w:t>Interfreight</w:t>
      </w:r>
      <w:proofErr w:type="spellEnd"/>
      <w:r w:rsidR="00F17165">
        <w:t xml:space="preserve"> (Aust) or </w:t>
      </w:r>
      <w:proofErr w:type="spellStart"/>
      <w:r w:rsidR="002C422F">
        <w:t>Interfreight</w:t>
      </w:r>
      <w:proofErr w:type="spellEnd"/>
      <w:r w:rsidR="00206748">
        <w:t xml:space="preserve"> 1 </w:t>
      </w:r>
      <w:r w:rsidR="00F17165">
        <w:t xml:space="preserve">rather than the new company, </w:t>
      </w:r>
      <w:proofErr w:type="spellStart"/>
      <w:r w:rsidR="00F17165">
        <w:t>I</w:t>
      </w:r>
      <w:r w:rsidR="00283EA1">
        <w:t>nterfreight</w:t>
      </w:r>
      <w:proofErr w:type="spellEnd"/>
      <w:r w:rsidR="00283EA1">
        <w:t xml:space="preserve"> 2</w:t>
      </w:r>
      <w:r w:rsidR="00F17165">
        <w:t xml:space="preserve">, which had performed the work.  Where that occurred </w:t>
      </w:r>
      <w:r w:rsidR="00653B3F">
        <w:t>f</w:t>
      </w:r>
      <w:r w:rsidR="00F17165">
        <w:t xml:space="preserve">unds </w:t>
      </w:r>
      <w:r w:rsidR="00900995">
        <w:t>had</w:t>
      </w:r>
      <w:r w:rsidR="00653B3F">
        <w:t xml:space="preserve"> to be</w:t>
      </w:r>
      <w:r w:rsidR="00F17165">
        <w:t xml:space="preserve"> remitted to </w:t>
      </w:r>
      <w:proofErr w:type="spellStart"/>
      <w:r w:rsidR="00653B3F">
        <w:t>I</w:t>
      </w:r>
      <w:r w:rsidR="00283EA1">
        <w:t>nterfreight</w:t>
      </w:r>
      <w:proofErr w:type="spellEnd"/>
      <w:r w:rsidR="00283EA1">
        <w:t xml:space="preserve"> 2</w:t>
      </w:r>
      <w:r w:rsidR="00F17165">
        <w:t xml:space="preserve"> but sometimes administrative staff would use those funds to pay intercompany expenses </w:t>
      </w:r>
      <w:r w:rsidR="001A5711">
        <w:t xml:space="preserve">in order </w:t>
      </w:r>
      <w:r w:rsidR="00F17165">
        <w:t xml:space="preserve">to save double movement of funds. </w:t>
      </w:r>
    </w:p>
    <w:p w14:paraId="1DB80293" w14:textId="57FAF418" w:rsidR="007B5FE2" w:rsidRDefault="007B5FE2" w:rsidP="007B5FE2">
      <w:pPr>
        <w:pStyle w:val="Heading4"/>
      </w:pPr>
      <w:r>
        <w:t>RC Group</w:t>
      </w:r>
    </w:p>
    <w:p w14:paraId="54C61C7D" w14:textId="2FCC5FC4" w:rsidR="00653B3F" w:rsidRDefault="00D313AC" w:rsidP="00D313AC">
      <w:pPr>
        <w:pStyle w:val="ParaNumbering"/>
        <w:numPr>
          <w:ilvl w:val="0"/>
          <w:numId w:val="0"/>
        </w:numPr>
        <w:ind w:hanging="720"/>
      </w:pPr>
      <w:r>
        <w:rPr>
          <w:sz w:val="20"/>
        </w:rPr>
        <w:t>94</w:t>
      </w:r>
      <w:r>
        <w:rPr>
          <w:sz w:val="20"/>
        </w:rPr>
        <w:tab/>
      </w:r>
      <w:r w:rsidR="007B5FE2">
        <w:t xml:space="preserve">At </w:t>
      </w:r>
      <w:r w:rsidR="000C790A">
        <w:t>one</w:t>
      </w:r>
      <w:r w:rsidR="007B5FE2">
        <w:t xml:space="preserve"> point Vince Macri, Mr </w:t>
      </w:r>
      <w:proofErr w:type="spellStart"/>
      <w:r w:rsidR="007B5FE2">
        <w:t>Tabuso’s</w:t>
      </w:r>
      <w:proofErr w:type="spellEnd"/>
      <w:r w:rsidR="007B5FE2">
        <w:t xml:space="preserve"> solicitor, advised Mr </w:t>
      </w:r>
      <w:proofErr w:type="spellStart"/>
      <w:r w:rsidR="007B5FE2">
        <w:t>Tabuso</w:t>
      </w:r>
      <w:proofErr w:type="spellEnd"/>
      <w:r w:rsidR="007B5FE2">
        <w:t xml:space="preserve"> to use a payroll services </w:t>
      </w:r>
      <w:r w:rsidR="009E4CB9">
        <w:t>company</w:t>
      </w:r>
      <w:r w:rsidR="007B5FE2">
        <w:t xml:space="preserve"> </w:t>
      </w:r>
      <w:r w:rsidR="00D97ACF">
        <w:t>to employ</w:t>
      </w:r>
      <w:r w:rsidR="007B5FE2">
        <w:t xml:space="preserve"> all employees.  </w:t>
      </w:r>
      <w:r w:rsidR="00B31420">
        <w:t>Accordingly,</w:t>
      </w:r>
      <w:r w:rsidR="007B5FE2">
        <w:t xml:space="preserve"> in about 2013 or 2014 Mr </w:t>
      </w:r>
      <w:proofErr w:type="spellStart"/>
      <w:r w:rsidR="009E4CB9">
        <w:t>T</w:t>
      </w:r>
      <w:r w:rsidR="007B5FE2">
        <w:t>abuso</w:t>
      </w:r>
      <w:proofErr w:type="spellEnd"/>
      <w:r w:rsidR="007B5FE2">
        <w:t xml:space="preserve"> </w:t>
      </w:r>
      <w:r w:rsidR="008C08C3">
        <w:t xml:space="preserve">raised the engagement </w:t>
      </w:r>
      <w:r w:rsidR="009E4CB9">
        <w:t>of</w:t>
      </w:r>
      <w:r w:rsidR="008C08C3">
        <w:t xml:space="preserve"> a</w:t>
      </w:r>
      <w:r w:rsidR="009E4CB9">
        <w:t xml:space="preserve"> </w:t>
      </w:r>
      <w:r w:rsidR="008C08C3">
        <w:t>payroll services company with Mr Khalil</w:t>
      </w:r>
      <w:r w:rsidR="00CB02A9">
        <w:t xml:space="preserve">. </w:t>
      </w:r>
      <w:r w:rsidR="009E4CB9">
        <w:t xml:space="preserve"> </w:t>
      </w:r>
      <w:r w:rsidR="00CB02A9">
        <w:t>A few weeks l</w:t>
      </w:r>
      <w:r w:rsidR="009E4CB9">
        <w:t>a</w:t>
      </w:r>
      <w:r w:rsidR="00CB02A9">
        <w:t xml:space="preserve">ter Mr Khalil informed </w:t>
      </w:r>
      <w:r w:rsidR="009E4CB9">
        <w:t>Mr</w:t>
      </w:r>
      <w:r w:rsidR="00CB02A9">
        <w:t xml:space="preserve"> </w:t>
      </w:r>
      <w:proofErr w:type="spellStart"/>
      <w:r w:rsidR="00CB02A9">
        <w:t>Tabu</w:t>
      </w:r>
      <w:r w:rsidR="004A5F98">
        <w:t>s</w:t>
      </w:r>
      <w:r w:rsidR="00CB02A9">
        <w:t>o</w:t>
      </w:r>
      <w:proofErr w:type="spellEnd"/>
      <w:r w:rsidR="00CB02A9">
        <w:t xml:space="preserve">, among </w:t>
      </w:r>
      <w:r w:rsidR="009E4CB9">
        <w:t>other</w:t>
      </w:r>
      <w:r w:rsidR="00CB02A9">
        <w:t xml:space="preserve"> things</w:t>
      </w:r>
      <w:r w:rsidR="009E4CB9">
        <w:t>,</w:t>
      </w:r>
      <w:r w:rsidR="00CB02A9">
        <w:t xml:space="preserve"> that he had “set [Mr </w:t>
      </w:r>
      <w:proofErr w:type="spellStart"/>
      <w:r w:rsidR="00CB02A9">
        <w:t>Tabuso</w:t>
      </w:r>
      <w:proofErr w:type="spellEnd"/>
      <w:r w:rsidR="00CB02A9">
        <w:t xml:space="preserve">] </w:t>
      </w:r>
      <w:r w:rsidR="009E4CB9">
        <w:t>up</w:t>
      </w:r>
      <w:r w:rsidR="00CB02A9">
        <w:t xml:space="preserve"> with </w:t>
      </w:r>
      <w:r w:rsidR="001A5B17">
        <w:t>[</w:t>
      </w:r>
      <w:r w:rsidR="00CB02A9">
        <w:t>RC Group</w:t>
      </w:r>
      <w:r w:rsidR="001A5B17">
        <w:t>]</w:t>
      </w:r>
      <w:r w:rsidR="00CB02A9">
        <w:t>”</w:t>
      </w:r>
      <w:r w:rsidR="004A5F98">
        <w:t>.  M</w:t>
      </w:r>
      <w:r w:rsidR="0095019F">
        <w:t>r</w:t>
      </w:r>
      <w:r w:rsidR="004A5F98">
        <w:t xml:space="preserve"> Khalil provided details about </w:t>
      </w:r>
      <w:r w:rsidR="002D68CA">
        <w:t xml:space="preserve">the process Mr </w:t>
      </w:r>
      <w:proofErr w:type="spellStart"/>
      <w:r w:rsidR="00D46251">
        <w:t>T</w:t>
      </w:r>
      <w:r w:rsidR="002D68CA">
        <w:t>abuso</w:t>
      </w:r>
      <w:proofErr w:type="spellEnd"/>
      <w:r w:rsidR="002D68CA">
        <w:t xml:space="preserve"> would </w:t>
      </w:r>
      <w:r w:rsidR="00D46251">
        <w:t>need</w:t>
      </w:r>
      <w:r w:rsidR="002D68CA">
        <w:t xml:space="preserve"> </w:t>
      </w:r>
      <w:r w:rsidR="00B31420">
        <w:t>to</w:t>
      </w:r>
      <w:r w:rsidR="002D68CA">
        <w:t xml:space="preserve"> undertake to enable RC</w:t>
      </w:r>
      <w:r w:rsidR="00122CE3">
        <w:t> </w:t>
      </w:r>
      <w:r w:rsidR="002D68CA">
        <w:t xml:space="preserve">Group to </w:t>
      </w:r>
      <w:r w:rsidR="00D46251">
        <w:t>pay the Trucking Business’ employees.</w:t>
      </w:r>
    </w:p>
    <w:p w14:paraId="58E2580F" w14:textId="686CC4F2" w:rsidR="00B3740A" w:rsidRDefault="00D313AC" w:rsidP="00D313AC">
      <w:pPr>
        <w:pStyle w:val="ParaNumbering"/>
        <w:numPr>
          <w:ilvl w:val="0"/>
          <w:numId w:val="0"/>
        </w:numPr>
        <w:ind w:hanging="720"/>
      </w:pPr>
      <w:r>
        <w:rPr>
          <w:sz w:val="20"/>
        </w:rPr>
        <w:t>95</w:t>
      </w:r>
      <w:r>
        <w:rPr>
          <w:sz w:val="20"/>
        </w:rPr>
        <w:tab/>
      </w:r>
      <w:r w:rsidR="006D0CE5">
        <w:t xml:space="preserve">Mr </w:t>
      </w:r>
      <w:proofErr w:type="spellStart"/>
      <w:r w:rsidR="006D0CE5">
        <w:t>Tabuso</w:t>
      </w:r>
      <w:proofErr w:type="spellEnd"/>
      <w:r w:rsidR="006D0CE5">
        <w:t xml:space="preserve"> says that had nothing to do with the business of RC Group other than engaging it to handle the Trucking Business</w:t>
      </w:r>
      <w:r w:rsidR="005D24ED">
        <w:t>’</w:t>
      </w:r>
      <w:r w:rsidR="006D0CE5">
        <w:t xml:space="preserve"> payroll.</w:t>
      </w:r>
    </w:p>
    <w:p w14:paraId="017F94DD" w14:textId="30A98930" w:rsidR="000C790A" w:rsidRDefault="000C790A" w:rsidP="000C790A">
      <w:pPr>
        <w:pStyle w:val="Heading4"/>
      </w:pPr>
      <w:r>
        <w:t xml:space="preserve">The </w:t>
      </w:r>
      <w:proofErr w:type="spellStart"/>
      <w:r>
        <w:t>Tabuso</w:t>
      </w:r>
      <w:proofErr w:type="spellEnd"/>
      <w:r>
        <w:t xml:space="preserve"> Group goes into liquidation</w:t>
      </w:r>
    </w:p>
    <w:p w14:paraId="63A56076" w14:textId="5566EBB1" w:rsidR="000C790A" w:rsidRDefault="00D313AC" w:rsidP="00D313AC">
      <w:pPr>
        <w:pStyle w:val="ParaNumbering"/>
        <w:numPr>
          <w:ilvl w:val="0"/>
          <w:numId w:val="0"/>
        </w:numPr>
        <w:ind w:hanging="720"/>
      </w:pPr>
      <w:r>
        <w:rPr>
          <w:sz w:val="20"/>
        </w:rPr>
        <w:t>96</w:t>
      </w:r>
      <w:r>
        <w:rPr>
          <w:sz w:val="20"/>
        </w:rPr>
        <w:tab/>
      </w:r>
      <w:r w:rsidR="000C790A">
        <w:t xml:space="preserve">By the end of 2014, when the transition of the Trucking Business from the “old companies”, which included the </w:t>
      </w:r>
      <w:proofErr w:type="spellStart"/>
      <w:r w:rsidR="000C790A">
        <w:t>Tabu</w:t>
      </w:r>
      <w:r w:rsidR="00283EA1">
        <w:t>s</w:t>
      </w:r>
      <w:r w:rsidR="000C790A">
        <w:t>o</w:t>
      </w:r>
      <w:proofErr w:type="spellEnd"/>
      <w:r w:rsidR="000C790A">
        <w:t xml:space="preserve"> Group companies, to the newly incorporated companies was complete, </w:t>
      </w:r>
      <w:proofErr w:type="spellStart"/>
      <w:r w:rsidR="000C790A">
        <w:t>Banq</w:t>
      </w:r>
      <w:proofErr w:type="spellEnd"/>
      <w:r w:rsidR="000C790A">
        <w:t xml:space="preserve"> </w:t>
      </w:r>
      <w:r w:rsidR="0001386F">
        <w:t xml:space="preserve">Accountants </w:t>
      </w:r>
      <w:r w:rsidR="000C790A">
        <w:t xml:space="preserve">advised Mr </w:t>
      </w:r>
      <w:proofErr w:type="spellStart"/>
      <w:r w:rsidR="000C790A">
        <w:t>Tabu</w:t>
      </w:r>
      <w:r w:rsidR="00283EA1">
        <w:t>s</w:t>
      </w:r>
      <w:r w:rsidR="000C790A">
        <w:t>o</w:t>
      </w:r>
      <w:proofErr w:type="spellEnd"/>
      <w:r w:rsidR="000C790A">
        <w:t xml:space="preserve"> to put the “old companies” into liquidation.  This occurred in December 2014 at which time Messrs Iannuzzi and Godfrey were appointed as liquidators of th</w:t>
      </w:r>
      <w:r w:rsidR="00B31420">
        <w:t>os</w:t>
      </w:r>
      <w:r w:rsidR="000C790A">
        <w:t xml:space="preserve">e companies.    </w:t>
      </w:r>
    </w:p>
    <w:p w14:paraId="004EB076" w14:textId="16444DBC" w:rsidR="000C790A" w:rsidRDefault="00D313AC" w:rsidP="00D313AC">
      <w:pPr>
        <w:pStyle w:val="ParaNumbering"/>
        <w:numPr>
          <w:ilvl w:val="0"/>
          <w:numId w:val="0"/>
        </w:numPr>
        <w:ind w:hanging="720"/>
      </w:pPr>
      <w:r>
        <w:rPr>
          <w:sz w:val="20"/>
        </w:rPr>
        <w:t>97</w:t>
      </w:r>
      <w:r>
        <w:rPr>
          <w:sz w:val="20"/>
        </w:rPr>
        <w:tab/>
      </w:r>
      <w:r w:rsidR="00907625">
        <w:t xml:space="preserve">The only debt </w:t>
      </w:r>
      <w:r w:rsidR="00BD1BB6">
        <w:t>owing</w:t>
      </w:r>
      <w:r w:rsidR="00907625">
        <w:t xml:space="preserve"> to a creditor outside the Trucking Business of </w:t>
      </w:r>
      <w:r w:rsidR="00BD1BB6">
        <w:t>which</w:t>
      </w:r>
      <w:r w:rsidR="00907625">
        <w:t xml:space="preserve"> Mr </w:t>
      </w:r>
      <w:proofErr w:type="spellStart"/>
      <w:r w:rsidR="00BD1BB6">
        <w:t>T</w:t>
      </w:r>
      <w:r w:rsidR="00907625">
        <w:t>abuso</w:t>
      </w:r>
      <w:proofErr w:type="spellEnd"/>
      <w:r w:rsidR="00907625">
        <w:t xml:space="preserve"> was aware at the time </w:t>
      </w:r>
      <w:r w:rsidR="001B7601">
        <w:t>of</w:t>
      </w:r>
      <w:r w:rsidR="00907625">
        <w:t xml:space="preserve"> the liquidations </w:t>
      </w:r>
      <w:r w:rsidR="00BD1BB6">
        <w:t>was a debt of ap</w:t>
      </w:r>
      <w:r w:rsidR="00907625">
        <w:t xml:space="preserve">proximately $20,000 owed to the </w:t>
      </w:r>
      <w:r w:rsidR="008C47BB">
        <w:t>ATO</w:t>
      </w:r>
      <w:r w:rsidR="001B7601">
        <w:t xml:space="preserve"> </w:t>
      </w:r>
      <w:r w:rsidR="00907625">
        <w:t xml:space="preserve">by, </w:t>
      </w:r>
      <w:r w:rsidR="00BD1BB6">
        <w:t>he thinks</w:t>
      </w:r>
      <w:r w:rsidR="00907625">
        <w:t xml:space="preserve">, </w:t>
      </w:r>
      <w:proofErr w:type="spellStart"/>
      <w:r w:rsidR="00907625">
        <w:t>Silverhills</w:t>
      </w:r>
      <w:proofErr w:type="spellEnd"/>
      <w:r w:rsidR="00BD1BB6">
        <w:t xml:space="preserve"> Haulage</w:t>
      </w:r>
      <w:r w:rsidR="00592116">
        <w:t xml:space="preserve">.  </w:t>
      </w:r>
      <w:r w:rsidR="00907625">
        <w:t xml:space="preserve">After the liquidations of the </w:t>
      </w:r>
      <w:r w:rsidR="00592116">
        <w:t xml:space="preserve">“old </w:t>
      </w:r>
      <w:r w:rsidR="00907625">
        <w:t>companies</w:t>
      </w:r>
      <w:r w:rsidR="00592116">
        <w:t xml:space="preserve">” Mr </w:t>
      </w:r>
      <w:proofErr w:type="spellStart"/>
      <w:r w:rsidR="00592116">
        <w:t>Tabuso</w:t>
      </w:r>
      <w:proofErr w:type="spellEnd"/>
      <w:r w:rsidR="00592116">
        <w:t xml:space="preserve"> </w:t>
      </w:r>
      <w:r w:rsidR="00907625">
        <w:t xml:space="preserve">attempted, without success, to pay the outstanding debt to the </w:t>
      </w:r>
      <w:r w:rsidR="001B7601">
        <w:t>ATO</w:t>
      </w:r>
      <w:r w:rsidR="00907625">
        <w:t xml:space="preserve">, but there were penalties and other difficulties which </w:t>
      </w:r>
      <w:r w:rsidR="00592116">
        <w:t>he</w:t>
      </w:r>
      <w:r w:rsidR="00907625">
        <w:t xml:space="preserve"> did not understand and the </w:t>
      </w:r>
      <w:r w:rsidR="001B7601">
        <w:t>ATO</w:t>
      </w:r>
      <w:r w:rsidR="00907625">
        <w:t xml:space="preserve"> refused to deal with </w:t>
      </w:r>
      <w:r w:rsidR="001B7601">
        <w:t>him</w:t>
      </w:r>
      <w:r w:rsidR="00907625">
        <w:t xml:space="preserve"> directly. </w:t>
      </w:r>
      <w:r w:rsidR="00592116">
        <w:t xml:space="preserve"> Mr </w:t>
      </w:r>
      <w:proofErr w:type="spellStart"/>
      <w:r w:rsidR="00592116">
        <w:t>Tabuso</w:t>
      </w:r>
      <w:proofErr w:type="spellEnd"/>
      <w:r w:rsidR="00592116">
        <w:t xml:space="preserve"> </w:t>
      </w:r>
      <w:r w:rsidR="00907625">
        <w:t>assumed this had all been resolved through the liquidation process</w:t>
      </w:r>
      <w:r w:rsidR="001B7601">
        <w:t>.</w:t>
      </w:r>
    </w:p>
    <w:p w14:paraId="44A94721" w14:textId="24957F60" w:rsidR="00A57F20" w:rsidRDefault="00D313AC" w:rsidP="00D313AC">
      <w:pPr>
        <w:pStyle w:val="ParaNumbering"/>
        <w:numPr>
          <w:ilvl w:val="0"/>
          <w:numId w:val="0"/>
        </w:numPr>
        <w:ind w:hanging="720"/>
      </w:pPr>
      <w:r>
        <w:rPr>
          <w:sz w:val="20"/>
        </w:rPr>
        <w:lastRenderedPageBreak/>
        <w:t>98</w:t>
      </w:r>
      <w:r>
        <w:rPr>
          <w:sz w:val="20"/>
        </w:rPr>
        <w:tab/>
      </w:r>
      <w:r w:rsidR="00A57F20">
        <w:t xml:space="preserve">Mr </w:t>
      </w:r>
      <w:proofErr w:type="spellStart"/>
      <w:r w:rsidR="00A57F20">
        <w:t>Tabuso</w:t>
      </w:r>
      <w:proofErr w:type="spellEnd"/>
      <w:r w:rsidR="00A57F20">
        <w:t xml:space="preserve"> understands that in about December 2014 </w:t>
      </w:r>
      <w:r w:rsidR="0040272D">
        <w:t>M</w:t>
      </w:r>
      <w:r w:rsidR="0038589E">
        <w:t>essrs</w:t>
      </w:r>
      <w:r w:rsidR="0040272D">
        <w:t xml:space="preserve"> Iannuzzi and Godfrey in their capacity as </w:t>
      </w:r>
      <w:r w:rsidR="00A57F20">
        <w:t xml:space="preserve">the liquidators, through </w:t>
      </w:r>
      <w:proofErr w:type="spellStart"/>
      <w:r w:rsidR="006067D1">
        <w:t>B</w:t>
      </w:r>
      <w:r w:rsidR="002B713C">
        <w:t>a</w:t>
      </w:r>
      <w:r w:rsidR="006067D1">
        <w:t>nq</w:t>
      </w:r>
      <w:proofErr w:type="spellEnd"/>
      <w:r w:rsidR="0029087B">
        <w:t xml:space="preserve"> Accountants</w:t>
      </w:r>
      <w:r w:rsidR="00A57F20">
        <w:t xml:space="preserve">, took all the books and records for each of the </w:t>
      </w:r>
      <w:r w:rsidR="002B713C">
        <w:t>“o</w:t>
      </w:r>
      <w:r w:rsidR="00A57F20">
        <w:t xml:space="preserve">ld </w:t>
      </w:r>
      <w:r w:rsidR="002B713C">
        <w:t>c</w:t>
      </w:r>
      <w:r w:rsidR="00A57F20">
        <w:t>ompanies</w:t>
      </w:r>
      <w:r w:rsidR="002B713C">
        <w:t>”</w:t>
      </w:r>
      <w:r w:rsidR="00A57F20">
        <w:t xml:space="preserve"> including electronic accounting records. </w:t>
      </w:r>
    </w:p>
    <w:p w14:paraId="6C287D00" w14:textId="5024D946" w:rsidR="00AB7301" w:rsidRDefault="00DF441C" w:rsidP="00DF441C">
      <w:pPr>
        <w:pStyle w:val="Heading4"/>
      </w:pPr>
      <w:r>
        <w:t>Books and records</w:t>
      </w:r>
    </w:p>
    <w:p w14:paraId="5151354C" w14:textId="00A066D4" w:rsidR="00DF441C" w:rsidRDefault="00D313AC" w:rsidP="00D313AC">
      <w:pPr>
        <w:pStyle w:val="ParaNumbering"/>
        <w:numPr>
          <w:ilvl w:val="0"/>
          <w:numId w:val="0"/>
        </w:numPr>
        <w:ind w:hanging="720"/>
      </w:pPr>
      <w:r>
        <w:rPr>
          <w:sz w:val="20"/>
        </w:rPr>
        <w:t>99</w:t>
      </w:r>
      <w:r>
        <w:rPr>
          <w:sz w:val="20"/>
        </w:rPr>
        <w:tab/>
      </w:r>
      <w:r w:rsidR="00DF441C">
        <w:t xml:space="preserve">In about 2016 Mr </w:t>
      </w:r>
      <w:proofErr w:type="spellStart"/>
      <w:r w:rsidR="00D21C9E">
        <w:t>T</w:t>
      </w:r>
      <w:r w:rsidR="00DF441C">
        <w:t>abuso</w:t>
      </w:r>
      <w:proofErr w:type="spellEnd"/>
      <w:r w:rsidR="00DF441C">
        <w:t xml:space="preserve"> was in dispute with </w:t>
      </w:r>
      <w:proofErr w:type="spellStart"/>
      <w:r w:rsidR="00DF441C">
        <w:t>Banq</w:t>
      </w:r>
      <w:proofErr w:type="spellEnd"/>
      <w:r w:rsidR="00DF441C">
        <w:t xml:space="preserve"> </w:t>
      </w:r>
      <w:r w:rsidR="0009509D">
        <w:t xml:space="preserve">Accountants </w:t>
      </w:r>
      <w:r w:rsidR="00DF441C">
        <w:t xml:space="preserve">over </w:t>
      </w:r>
      <w:r w:rsidR="00FE1CE0">
        <w:t>its</w:t>
      </w:r>
      <w:r w:rsidR="00DF441C">
        <w:t xml:space="preserve"> fees</w:t>
      </w:r>
      <w:r w:rsidR="00D21C9E">
        <w:t>.  It was at that time that Mr </w:t>
      </w:r>
      <w:proofErr w:type="spellStart"/>
      <w:r w:rsidR="00D21C9E">
        <w:t>Tabuso</w:t>
      </w:r>
      <w:proofErr w:type="spellEnd"/>
      <w:r w:rsidR="00D21C9E">
        <w:t xml:space="preserve"> moved </w:t>
      </w:r>
      <w:r w:rsidR="00A6768D">
        <w:t xml:space="preserve">his accounting business </w:t>
      </w:r>
      <w:r w:rsidR="00D21C9E">
        <w:t xml:space="preserve">from </w:t>
      </w:r>
      <w:proofErr w:type="spellStart"/>
      <w:r w:rsidR="00D21C9E">
        <w:t>Banq</w:t>
      </w:r>
      <w:proofErr w:type="spellEnd"/>
      <w:r w:rsidR="00D21C9E">
        <w:t xml:space="preserve"> </w:t>
      </w:r>
      <w:r w:rsidR="0009509D">
        <w:t xml:space="preserve">Accountants </w:t>
      </w:r>
      <w:r w:rsidR="00D21C9E">
        <w:t xml:space="preserve">to Mr </w:t>
      </w:r>
      <w:r w:rsidR="00B6149A">
        <w:t>Dunstan</w:t>
      </w:r>
      <w:r w:rsidR="00D21C9E">
        <w:t xml:space="preserve"> of Strategic Accountants.  </w:t>
      </w:r>
      <w:r w:rsidR="00D67D16">
        <w:t xml:space="preserve">Mr </w:t>
      </w:r>
      <w:proofErr w:type="spellStart"/>
      <w:r w:rsidR="00D67D16">
        <w:t>Tabuso’s</w:t>
      </w:r>
      <w:proofErr w:type="spellEnd"/>
      <w:r w:rsidR="00D67D16">
        <w:t xml:space="preserve"> dispute with </w:t>
      </w:r>
      <w:proofErr w:type="spellStart"/>
      <w:r w:rsidR="00D67D16">
        <w:t>B</w:t>
      </w:r>
      <w:r w:rsidR="00B6149A">
        <w:t>a</w:t>
      </w:r>
      <w:r w:rsidR="00D67D16">
        <w:t>nq</w:t>
      </w:r>
      <w:proofErr w:type="spellEnd"/>
      <w:r w:rsidR="00D67D16">
        <w:t xml:space="preserve"> </w:t>
      </w:r>
      <w:r w:rsidR="0009509D">
        <w:t xml:space="preserve">Accountants </w:t>
      </w:r>
      <w:r w:rsidR="00A6768D">
        <w:t>continued</w:t>
      </w:r>
      <w:r w:rsidR="00D67D16">
        <w:t xml:space="preserve"> for a long time</w:t>
      </w:r>
      <w:r w:rsidR="00AF26FA">
        <w:t xml:space="preserve">.  </w:t>
      </w:r>
      <w:r w:rsidR="00B6149A">
        <w:t>From</w:t>
      </w:r>
      <w:r w:rsidR="00AF26FA">
        <w:t xml:space="preserve"> about 2015 Mr </w:t>
      </w:r>
      <w:proofErr w:type="spellStart"/>
      <w:r w:rsidR="00B6149A">
        <w:t>T</w:t>
      </w:r>
      <w:r w:rsidR="00AF26FA">
        <w:t>abu</w:t>
      </w:r>
      <w:r w:rsidR="00B6149A">
        <w:t>s</w:t>
      </w:r>
      <w:r w:rsidR="00AF26FA">
        <w:t>o</w:t>
      </w:r>
      <w:proofErr w:type="spellEnd"/>
      <w:r w:rsidR="00AF26FA">
        <w:t xml:space="preserve"> sought the </w:t>
      </w:r>
      <w:r w:rsidR="00B6149A">
        <w:t>Trucking</w:t>
      </w:r>
      <w:r w:rsidR="00AF26FA">
        <w:t xml:space="preserve"> Business’ accounting records fr</w:t>
      </w:r>
      <w:r w:rsidR="00DA2836">
        <w:t>o</w:t>
      </w:r>
      <w:r w:rsidR="00AF26FA">
        <w:t xml:space="preserve">m </w:t>
      </w:r>
      <w:proofErr w:type="spellStart"/>
      <w:r w:rsidR="00AF26FA">
        <w:t>B</w:t>
      </w:r>
      <w:r w:rsidR="00DA2836">
        <w:t>a</w:t>
      </w:r>
      <w:r w:rsidR="00AF26FA">
        <w:t>nq</w:t>
      </w:r>
      <w:proofErr w:type="spellEnd"/>
      <w:r w:rsidR="005737FD">
        <w:t> </w:t>
      </w:r>
      <w:r w:rsidR="00A110AB">
        <w:t xml:space="preserve">Accountants </w:t>
      </w:r>
      <w:r w:rsidR="00DA2836">
        <w:t>b</w:t>
      </w:r>
      <w:r w:rsidR="00AF26FA">
        <w:t xml:space="preserve">ut it </w:t>
      </w:r>
      <w:r w:rsidR="007E515F">
        <w:t xml:space="preserve">claimed a </w:t>
      </w:r>
      <w:r w:rsidR="00B6149A">
        <w:t>lien</w:t>
      </w:r>
      <w:r w:rsidR="007E515F">
        <w:t xml:space="preserve"> over </w:t>
      </w:r>
      <w:r w:rsidR="009311E2">
        <w:t>them</w:t>
      </w:r>
      <w:r w:rsidR="00E23DA1">
        <w:t xml:space="preserve"> and</w:t>
      </w:r>
      <w:r w:rsidR="007E515F">
        <w:t xml:space="preserve">, </w:t>
      </w:r>
      <w:r w:rsidR="00D27874">
        <w:t xml:space="preserve">as </w:t>
      </w:r>
      <w:r w:rsidR="007E515F">
        <w:t>the</w:t>
      </w:r>
      <w:r w:rsidR="00DA2836">
        <w:t xml:space="preserve"> fees</w:t>
      </w:r>
      <w:r w:rsidR="007E515F">
        <w:t xml:space="preserve"> dispute was never resolved</w:t>
      </w:r>
      <w:r w:rsidR="00D27874">
        <w:t xml:space="preserve">, </w:t>
      </w:r>
      <w:proofErr w:type="spellStart"/>
      <w:r w:rsidR="00B6149A">
        <w:t>Banq</w:t>
      </w:r>
      <w:proofErr w:type="spellEnd"/>
      <w:r w:rsidR="00A6768D">
        <w:t> </w:t>
      </w:r>
      <w:r w:rsidR="001B7A86">
        <w:t xml:space="preserve">Accountants </w:t>
      </w:r>
      <w:r w:rsidR="00B6149A">
        <w:t xml:space="preserve">refused to release any of the Trucking Business’ records.  </w:t>
      </w:r>
    </w:p>
    <w:p w14:paraId="7B2A0DF0" w14:textId="20B2A63E" w:rsidR="00EC04FD" w:rsidRDefault="00D313AC" w:rsidP="00D313AC">
      <w:pPr>
        <w:pStyle w:val="ParaNumbering"/>
        <w:numPr>
          <w:ilvl w:val="0"/>
          <w:numId w:val="0"/>
        </w:numPr>
        <w:ind w:hanging="720"/>
      </w:pPr>
      <w:r>
        <w:rPr>
          <w:sz w:val="20"/>
        </w:rPr>
        <w:t>100</w:t>
      </w:r>
      <w:r>
        <w:rPr>
          <w:sz w:val="20"/>
        </w:rPr>
        <w:tab/>
      </w:r>
      <w:r w:rsidR="00EC04FD">
        <w:t>By letter dated 25 March 2015 Mr Iannuzzi</w:t>
      </w:r>
      <w:r w:rsidR="00215E63">
        <w:t>,</w:t>
      </w:r>
      <w:r w:rsidR="003E6F61">
        <w:t xml:space="preserve"> in his capacity of</w:t>
      </w:r>
      <w:r w:rsidR="00EC04FD">
        <w:t xml:space="preserve"> liquidator of each of the </w:t>
      </w:r>
      <w:proofErr w:type="spellStart"/>
      <w:r w:rsidR="00EC04FD">
        <w:t>Tabuso</w:t>
      </w:r>
      <w:proofErr w:type="spellEnd"/>
      <w:r w:rsidR="00E07F79">
        <w:t> </w:t>
      </w:r>
      <w:r w:rsidR="00EC04FD">
        <w:t>Group companies</w:t>
      </w:r>
      <w:r w:rsidR="001F7981">
        <w:t>,</w:t>
      </w:r>
      <w:r w:rsidR="00EC04FD">
        <w:t xml:space="preserve"> sought from Mr </w:t>
      </w:r>
      <w:proofErr w:type="spellStart"/>
      <w:r w:rsidR="00EC04FD">
        <w:t>Tabuso</w:t>
      </w:r>
      <w:proofErr w:type="spellEnd"/>
      <w:r w:rsidR="00BC54E3">
        <w:t>,</w:t>
      </w:r>
      <w:r w:rsidR="00EC04FD">
        <w:t xml:space="preserve"> in his capacity as a former director</w:t>
      </w:r>
      <w:r w:rsidR="008472D4">
        <w:t>,</w:t>
      </w:r>
      <w:r w:rsidR="00EC04FD">
        <w:t xml:space="preserve"> the books and records in his possession for each of those companies.  In cross-examination Mr</w:t>
      </w:r>
      <w:r w:rsidR="00183BAC">
        <w:t> </w:t>
      </w:r>
      <w:proofErr w:type="spellStart"/>
      <w:r w:rsidR="00EC04FD">
        <w:t>Tabuso</w:t>
      </w:r>
      <w:proofErr w:type="spellEnd"/>
      <w:r w:rsidR="00EC04FD">
        <w:t xml:space="preserve"> agreed </w:t>
      </w:r>
      <w:r w:rsidR="00971D0F">
        <w:t xml:space="preserve">to two propositions: </w:t>
      </w:r>
      <w:r w:rsidR="00A60A22">
        <w:t xml:space="preserve">first, </w:t>
      </w:r>
      <w:r w:rsidR="00EC04FD">
        <w:t xml:space="preserve">that he did not produce any documents in response to that request because </w:t>
      </w:r>
      <w:r w:rsidR="005D2641">
        <w:t xml:space="preserve">he said </w:t>
      </w:r>
      <w:r w:rsidR="00EC04FD">
        <w:t>“the accountant had it all”</w:t>
      </w:r>
      <w:r w:rsidR="005D2641">
        <w:t>;</w:t>
      </w:r>
      <w:r w:rsidR="00EC04FD">
        <w:t xml:space="preserve"> and </w:t>
      </w:r>
      <w:r w:rsidR="005D2641">
        <w:t xml:space="preserve">secondly, </w:t>
      </w:r>
      <w:r w:rsidR="00EC04FD">
        <w:t xml:space="preserve">that he did not respond to </w:t>
      </w:r>
      <w:r w:rsidR="00F35D60">
        <w:t>Mr Iannuzzi</w:t>
      </w:r>
      <w:r w:rsidR="00DD3D9E">
        <w:t>’s</w:t>
      </w:r>
      <w:r w:rsidR="00D36FD4">
        <w:t xml:space="preserve"> letter</w:t>
      </w:r>
      <w:r w:rsidR="00EC04FD">
        <w:t>.</w:t>
      </w:r>
    </w:p>
    <w:p w14:paraId="54CF3F36" w14:textId="66492F90" w:rsidR="00EC04FD" w:rsidRDefault="00D313AC" w:rsidP="00D313AC">
      <w:pPr>
        <w:pStyle w:val="ParaNumbering"/>
        <w:numPr>
          <w:ilvl w:val="0"/>
          <w:numId w:val="0"/>
        </w:numPr>
        <w:ind w:hanging="720"/>
      </w:pPr>
      <w:r>
        <w:rPr>
          <w:sz w:val="20"/>
        </w:rPr>
        <w:t>101</w:t>
      </w:r>
      <w:r>
        <w:rPr>
          <w:sz w:val="20"/>
        </w:rPr>
        <w:tab/>
      </w:r>
      <w:r w:rsidR="006A535F">
        <w:t xml:space="preserve">Mr </w:t>
      </w:r>
      <w:proofErr w:type="spellStart"/>
      <w:r w:rsidR="006A535F">
        <w:t>Tabuso</w:t>
      </w:r>
      <w:proofErr w:type="spellEnd"/>
      <w:r w:rsidR="006A535F">
        <w:t xml:space="preserve"> </w:t>
      </w:r>
      <w:r w:rsidR="00B51353">
        <w:t xml:space="preserve">said </w:t>
      </w:r>
      <w:r w:rsidR="006A535F">
        <w:t xml:space="preserve">that during the </w:t>
      </w:r>
      <w:r w:rsidR="00B51353">
        <w:t>liquidation o</w:t>
      </w:r>
      <w:r w:rsidR="006A535F">
        <w:t xml:space="preserve">f the </w:t>
      </w:r>
      <w:proofErr w:type="spellStart"/>
      <w:r w:rsidR="005D3FB9">
        <w:t>Tabuso</w:t>
      </w:r>
      <w:proofErr w:type="spellEnd"/>
      <w:r w:rsidR="005D3FB9">
        <w:t xml:space="preserve"> Group </w:t>
      </w:r>
      <w:r w:rsidR="006A535F">
        <w:t>companies he did not have access to a single document that related in any way to the</w:t>
      </w:r>
      <w:r w:rsidR="0070734C">
        <w:t>ir</w:t>
      </w:r>
      <w:r w:rsidR="006A535F">
        <w:t xml:space="preserve"> financial affairs </w:t>
      </w:r>
      <w:r w:rsidR="00765042">
        <w:t xml:space="preserve">but that </w:t>
      </w:r>
      <w:r w:rsidR="00AA56B0">
        <w:t xml:space="preserve">he </w:t>
      </w:r>
      <w:r w:rsidR="00765042">
        <w:t xml:space="preserve">asked </w:t>
      </w:r>
      <w:proofErr w:type="spellStart"/>
      <w:r w:rsidR="00765042">
        <w:t>B</w:t>
      </w:r>
      <w:r w:rsidR="00AA56B0">
        <w:t>a</w:t>
      </w:r>
      <w:r w:rsidR="00765042">
        <w:t>nq</w:t>
      </w:r>
      <w:proofErr w:type="spellEnd"/>
      <w:r w:rsidR="00A40412">
        <w:t> </w:t>
      </w:r>
      <w:r w:rsidR="00AA56B0">
        <w:t>Accountants</w:t>
      </w:r>
      <w:r w:rsidR="00765042">
        <w:t xml:space="preserve"> several time</w:t>
      </w:r>
      <w:r w:rsidR="001B463F">
        <w:t>s</w:t>
      </w:r>
      <w:r w:rsidR="00765042">
        <w:t xml:space="preserve"> to </w:t>
      </w:r>
      <w:r w:rsidR="00AA56B0">
        <w:t>provide the documents.</w:t>
      </w:r>
    </w:p>
    <w:p w14:paraId="427C454F" w14:textId="604C32E4" w:rsidR="001B463F" w:rsidRDefault="00D313AC" w:rsidP="00D313AC">
      <w:pPr>
        <w:pStyle w:val="ParaNumbering"/>
        <w:numPr>
          <w:ilvl w:val="0"/>
          <w:numId w:val="0"/>
        </w:numPr>
        <w:ind w:hanging="720"/>
      </w:pPr>
      <w:r>
        <w:rPr>
          <w:sz w:val="20"/>
        </w:rPr>
        <w:t>102</w:t>
      </w:r>
      <w:r>
        <w:rPr>
          <w:sz w:val="20"/>
        </w:rPr>
        <w:tab/>
      </w:r>
      <w:r w:rsidR="001B463F">
        <w:t>M</w:t>
      </w:r>
      <w:r w:rsidR="0089105C">
        <w:t>r</w:t>
      </w:r>
      <w:r w:rsidR="001B463F">
        <w:t xml:space="preserve"> </w:t>
      </w:r>
      <w:proofErr w:type="spellStart"/>
      <w:r w:rsidR="001B463F">
        <w:t>Tabuso</w:t>
      </w:r>
      <w:proofErr w:type="spellEnd"/>
      <w:r w:rsidR="001B463F">
        <w:t xml:space="preserve"> explained that most of the records for the </w:t>
      </w:r>
      <w:proofErr w:type="spellStart"/>
      <w:r w:rsidR="001B463F">
        <w:t>Tabuso</w:t>
      </w:r>
      <w:proofErr w:type="spellEnd"/>
      <w:r w:rsidR="001B463F">
        <w:t xml:space="preserve"> Group were hard copy </w:t>
      </w:r>
      <w:r w:rsidR="00C33371">
        <w:t>but there were some computer files</w:t>
      </w:r>
      <w:r w:rsidR="00B13DD9">
        <w:t xml:space="preserve"> and that </w:t>
      </w:r>
      <w:proofErr w:type="spellStart"/>
      <w:r w:rsidR="0089105C">
        <w:t>Banq</w:t>
      </w:r>
      <w:proofErr w:type="spellEnd"/>
      <w:r w:rsidR="00B13DD9">
        <w:t xml:space="preserve"> </w:t>
      </w:r>
      <w:r w:rsidR="0089105C">
        <w:t>Accountants</w:t>
      </w:r>
      <w:r w:rsidR="00B13DD9">
        <w:t xml:space="preserve"> also took those files.  Mr </w:t>
      </w:r>
      <w:proofErr w:type="spellStart"/>
      <w:r w:rsidR="00B13DD9">
        <w:t>Tabuso</w:t>
      </w:r>
      <w:proofErr w:type="spellEnd"/>
      <w:r w:rsidR="00B13DD9">
        <w:t xml:space="preserve"> could not say whether the </w:t>
      </w:r>
      <w:proofErr w:type="spellStart"/>
      <w:r w:rsidR="00B13DD9">
        <w:t>Tabuso</w:t>
      </w:r>
      <w:proofErr w:type="spellEnd"/>
      <w:r w:rsidR="00B13DD9">
        <w:t xml:space="preserve"> Gr</w:t>
      </w:r>
      <w:r w:rsidR="001F10B6">
        <w:t>o</w:t>
      </w:r>
      <w:r w:rsidR="00B13DD9">
        <w:t xml:space="preserve">up maintained copies of the </w:t>
      </w:r>
      <w:r w:rsidR="0089105C">
        <w:t>latter</w:t>
      </w:r>
      <w:r w:rsidR="00CA3DAD">
        <w:t xml:space="preserve"> but said </w:t>
      </w:r>
      <w:r w:rsidR="00B13DD9">
        <w:t xml:space="preserve">that </w:t>
      </w:r>
      <w:r w:rsidR="00741D54">
        <w:t xml:space="preserve">he would </w:t>
      </w:r>
      <w:r w:rsidR="0089105C">
        <w:t>not</w:t>
      </w:r>
      <w:r w:rsidR="00741D54">
        <w:t xml:space="preserve"> know how </w:t>
      </w:r>
      <w:r w:rsidR="0089105C">
        <w:t>to</w:t>
      </w:r>
      <w:r w:rsidR="00741D54">
        <w:t xml:space="preserve"> keep </w:t>
      </w:r>
      <w:r w:rsidR="001F10B6">
        <w:t>such a</w:t>
      </w:r>
      <w:r w:rsidR="00741D54">
        <w:t xml:space="preserve"> file and that </w:t>
      </w:r>
      <w:r w:rsidR="007C5D12">
        <w:t xml:space="preserve">he </w:t>
      </w:r>
      <w:r w:rsidR="00741D54">
        <w:t xml:space="preserve">did not even know how to turn </w:t>
      </w:r>
      <w:r w:rsidR="00FD4140">
        <w:t xml:space="preserve">on </w:t>
      </w:r>
      <w:r w:rsidR="00741D54">
        <w:t xml:space="preserve">a </w:t>
      </w:r>
      <w:r w:rsidR="0089105C">
        <w:t>computer</w:t>
      </w:r>
      <w:r w:rsidR="00741D54">
        <w:t xml:space="preserve">.  </w:t>
      </w:r>
    </w:p>
    <w:p w14:paraId="2968793E" w14:textId="6C966276" w:rsidR="00EE4BDD" w:rsidRDefault="00D313AC" w:rsidP="00D313AC">
      <w:pPr>
        <w:pStyle w:val="ParaNumbering"/>
        <w:numPr>
          <w:ilvl w:val="0"/>
          <w:numId w:val="0"/>
        </w:numPr>
        <w:ind w:hanging="720"/>
      </w:pPr>
      <w:r>
        <w:rPr>
          <w:sz w:val="20"/>
        </w:rPr>
        <w:t>103</w:t>
      </w:r>
      <w:r>
        <w:rPr>
          <w:sz w:val="20"/>
        </w:rPr>
        <w:tab/>
      </w:r>
      <w:r w:rsidR="00D85884">
        <w:t xml:space="preserve">Mr </w:t>
      </w:r>
      <w:proofErr w:type="spellStart"/>
      <w:r w:rsidR="00D85884">
        <w:t>Tabuso</w:t>
      </w:r>
      <w:proofErr w:type="spellEnd"/>
      <w:r w:rsidR="00D85884">
        <w:t xml:space="preserve"> understands that in order to comply with taxation, accounting and workers</w:t>
      </w:r>
      <w:r w:rsidR="007A0761">
        <w:t>’</w:t>
      </w:r>
      <w:r w:rsidR="00D85884">
        <w:t xml:space="preserve"> compensation obligations, Mr Dunstan had to work from bank statements.  In about 2016 the Trucking Business purchased new computers</w:t>
      </w:r>
      <w:r w:rsidR="009E2C97">
        <w:t xml:space="preserve"> and installed new accounting software which w</w:t>
      </w:r>
      <w:r w:rsidR="00BD0CC1">
        <w:t>as</w:t>
      </w:r>
      <w:r w:rsidR="009E2C97">
        <w:t xml:space="preserve"> used </w:t>
      </w:r>
      <w:r w:rsidR="00416E43">
        <w:t xml:space="preserve">in connection with Diesel Dan 2 and </w:t>
      </w:r>
      <w:proofErr w:type="spellStart"/>
      <w:r w:rsidR="00416E43">
        <w:t>Interfreight</w:t>
      </w:r>
      <w:proofErr w:type="spellEnd"/>
      <w:r w:rsidR="00416E43">
        <w:t xml:space="preserve"> 2</w:t>
      </w:r>
      <w:r w:rsidR="00D85884">
        <w:t>.</w:t>
      </w:r>
      <w:r w:rsidR="009A74ED">
        <w:t xml:space="preserve">  </w:t>
      </w:r>
      <w:r w:rsidR="00084F5F">
        <w:t xml:space="preserve">However, it became apparent in cross-examination </w:t>
      </w:r>
      <w:r w:rsidR="00CE694D">
        <w:t xml:space="preserve">that it was possible in 2020, </w:t>
      </w:r>
      <w:r w:rsidR="00E8526A">
        <w:t>in response</w:t>
      </w:r>
      <w:r w:rsidR="00CE694D">
        <w:t xml:space="preserve"> to </w:t>
      </w:r>
      <w:r w:rsidR="00E8526A">
        <w:t>orders</w:t>
      </w:r>
      <w:r w:rsidR="00CE694D">
        <w:t xml:space="preserve"> for production issued </w:t>
      </w:r>
      <w:r w:rsidR="00FD4140">
        <w:t>by</w:t>
      </w:r>
      <w:r w:rsidR="00CE694D">
        <w:t xml:space="preserve"> the Liquidators, </w:t>
      </w:r>
      <w:r w:rsidR="00E8526A">
        <w:t>to</w:t>
      </w:r>
      <w:r w:rsidR="00CE694D">
        <w:t xml:space="preserve"> produce </w:t>
      </w:r>
      <w:r w:rsidR="005A00DD">
        <w:t xml:space="preserve">from computer records material </w:t>
      </w:r>
      <w:r w:rsidR="00E8526A">
        <w:t xml:space="preserve">dating back to 2014.  </w:t>
      </w:r>
      <w:r w:rsidR="00CB1EB6">
        <w:t xml:space="preserve">I pause to observe that Mr </w:t>
      </w:r>
      <w:proofErr w:type="spellStart"/>
      <w:r w:rsidR="00CB1EB6">
        <w:t>Tabuso’s</w:t>
      </w:r>
      <w:proofErr w:type="spellEnd"/>
      <w:r w:rsidR="00CB1EB6">
        <w:t xml:space="preserve"> </w:t>
      </w:r>
      <w:r w:rsidR="00222F76">
        <w:t xml:space="preserve">evidence on this topic is difficult to accept.  </w:t>
      </w:r>
    </w:p>
    <w:p w14:paraId="3A031E2E" w14:textId="088EE290" w:rsidR="00B6149A" w:rsidRDefault="00D313AC" w:rsidP="00D313AC">
      <w:pPr>
        <w:pStyle w:val="ParaNumbering"/>
        <w:numPr>
          <w:ilvl w:val="0"/>
          <w:numId w:val="0"/>
        </w:numPr>
        <w:ind w:hanging="720"/>
      </w:pPr>
      <w:r>
        <w:rPr>
          <w:sz w:val="20"/>
        </w:rPr>
        <w:lastRenderedPageBreak/>
        <w:t>104</w:t>
      </w:r>
      <w:r>
        <w:rPr>
          <w:sz w:val="20"/>
        </w:rPr>
        <w:tab/>
      </w:r>
      <w:r w:rsidR="00222F76">
        <w:t xml:space="preserve">It is apparent that he simply ignored Mr Iannuzzi’s request for the provision of the books and records of the </w:t>
      </w:r>
      <w:proofErr w:type="spellStart"/>
      <w:r w:rsidR="00222F76">
        <w:t>Tabuso</w:t>
      </w:r>
      <w:proofErr w:type="spellEnd"/>
      <w:r w:rsidR="00222F76">
        <w:t xml:space="preserve"> Group companies.  He attempts to explain that </w:t>
      </w:r>
      <w:r w:rsidR="00EB4128">
        <w:t xml:space="preserve">attitude by his evidence that he did not have access to any documents relating to those companies as they were with </w:t>
      </w:r>
      <w:proofErr w:type="spellStart"/>
      <w:r w:rsidR="00EB4128">
        <w:t>Banq</w:t>
      </w:r>
      <w:proofErr w:type="spellEnd"/>
      <w:r w:rsidR="00EB4128">
        <w:t xml:space="preserve"> Accountants.  Assuming that to be the case, I do not accept that, if requested to do so, those accountants would not provide the material sought.  The dispute with </w:t>
      </w:r>
      <w:proofErr w:type="spellStart"/>
      <w:r w:rsidR="00EB4128">
        <w:t>Banq</w:t>
      </w:r>
      <w:proofErr w:type="spellEnd"/>
      <w:r w:rsidR="00EB4128">
        <w:t> Accountants did not</w:t>
      </w:r>
      <w:r w:rsidR="009C6A9B">
        <w:t>, on Mr</w:t>
      </w:r>
      <w:r w:rsidR="00EE1DFF">
        <w:t> </w:t>
      </w:r>
      <w:proofErr w:type="spellStart"/>
      <w:r w:rsidR="009C6A9B">
        <w:t>Tabuso’s</w:t>
      </w:r>
      <w:proofErr w:type="spellEnd"/>
      <w:r w:rsidR="009C6A9B">
        <w:t xml:space="preserve"> evidence, arise until “about 2016” so that could not have been a reason for the failure to produce the material.  In any event, </w:t>
      </w:r>
      <w:r w:rsidR="004F25B1">
        <w:t xml:space="preserve">as </w:t>
      </w:r>
      <w:r w:rsidR="009C6A9B">
        <w:t xml:space="preserve">became apparent in cross-examination, computer records were held which enabled production of material from 2014.  </w:t>
      </w:r>
    </w:p>
    <w:p w14:paraId="0A4B2B9E" w14:textId="521F5CBC" w:rsidR="00DA2836" w:rsidRDefault="00B3474B" w:rsidP="00DA2836">
      <w:pPr>
        <w:pStyle w:val="Heading4"/>
      </w:pPr>
      <w:r>
        <w:t xml:space="preserve">The </w:t>
      </w:r>
      <w:r w:rsidR="00B10E65">
        <w:t>re</w:t>
      </w:r>
      <w:r w:rsidR="00F07526">
        <w:t>in</w:t>
      </w:r>
      <w:r w:rsidR="00B10E65">
        <w:t xml:space="preserve">statement of the registration of the </w:t>
      </w:r>
      <w:proofErr w:type="spellStart"/>
      <w:r w:rsidR="00B10E65">
        <w:t>Tabuso</w:t>
      </w:r>
      <w:proofErr w:type="spellEnd"/>
      <w:r w:rsidR="00B10E65">
        <w:t xml:space="preserve"> Group and subsequent events</w:t>
      </w:r>
    </w:p>
    <w:p w14:paraId="10FD57C9" w14:textId="16063E40" w:rsidR="00B10E65" w:rsidRDefault="00D313AC" w:rsidP="00D313AC">
      <w:pPr>
        <w:pStyle w:val="ParaNumbering"/>
        <w:numPr>
          <w:ilvl w:val="0"/>
          <w:numId w:val="0"/>
        </w:numPr>
        <w:ind w:hanging="720"/>
      </w:pPr>
      <w:r>
        <w:rPr>
          <w:sz w:val="20"/>
        </w:rPr>
        <w:t>105</w:t>
      </w:r>
      <w:r>
        <w:rPr>
          <w:sz w:val="20"/>
        </w:rPr>
        <w:tab/>
      </w:r>
      <w:r w:rsidR="00583321">
        <w:t xml:space="preserve">Neither Mr </w:t>
      </w:r>
      <w:proofErr w:type="spellStart"/>
      <w:r w:rsidR="00444678">
        <w:t>T</w:t>
      </w:r>
      <w:r w:rsidR="00583321">
        <w:t>abu</w:t>
      </w:r>
      <w:r w:rsidR="00444678">
        <w:t>s</w:t>
      </w:r>
      <w:r w:rsidR="00583321">
        <w:t>o</w:t>
      </w:r>
      <w:proofErr w:type="spellEnd"/>
      <w:r w:rsidR="00444678">
        <w:t xml:space="preserve">, </w:t>
      </w:r>
      <w:proofErr w:type="spellStart"/>
      <w:r w:rsidR="00283EA1">
        <w:t>Interfreight</w:t>
      </w:r>
      <w:proofErr w:type="spellEnd"/>
      <w:r w:rsidR="00283EA1">
        <w:t xml:space="preserve"> 2</w:t>
      </w:r>
      <w:r w:rsidR="00583321">
        <w:t xml:space="preserve"> or Diesel Dan </w:t>
      </w:r>
      <w:r w:rsidR="00106A21">
        <w:t>2</w:t>
      </w:r>
      <w:r w:rsidR="00583321">
        <w:t xml:space="preserve"> were given an opportunity to be heard in relation </w:t>
      </w:r>
      <w:r w:rsidR="00444678">
        <w:t>to the Reinstatement Orders.</w:t>
      </w:r>
    </w:p>
    <w:p w14:paraId="14FD2EC9" w14:textId="7A728286" w:rsidR="00376CF3" w:rsidRDefault="00D313AC" w:rsidP="00D313AC">
      <w:pPr>
        <w:pStyle w:val="ParaNumbering"/>
        <w:numPr>
          <w:ilvl w:val="0"/>
          <w:numId w:val="0"/>
        </w:numPr>
        <w:ind w:hanging="720"/>
      </w:pPr>
      <w:r>
        <w:rPr>
          <w:sz w:val="20"/>
        </w:rPr>
        <w:t>106</w:t>
      </w:r>
      <w:r>
        <w:rPr>
          <w:sz w:val="20"/>
        </w:rPr>
        <w:tab/>
      </w:r>
      <w:r w:rsidR="00376CF3">
        <w:t xml:space="preserve">In about September 2020 Mr </w:t>
      </w:r>
      <w:proofErr w:type="spellStart"/>
      <w:r w:rsidR="00376CF3">
        <w:t>Tabuso</w:t>
      </w:r>
      <w:proofErr w:type="spellEnd"/>
      <w:r w:rsidR="00376CF3">
        <w:t xml:space="preserve"> was served with a </w:t>
      </w:r>
      <w:r w:rsidR="00D10D24">
        <w:t>s</w:t>
      </w:r>
      <w:r w:rsidR="00376CF3">
        <w:t xml:space="preserve">ummons for </w:t>
      </w:r>
      <w:r w:rsidR="00D10D24">
        <w:t>p</w:t>
      </w:r>
      <w:r w:rsidR="00376CF3">
        <w:t xml:space="preserve">ublic </w:t>
      </w:r>
      <w:r w:rsidR="00D10D24">
        <w:t>e</w:t>
      </w:r>
      <w:r w:rsidR="00376CF3">
        <w:t xml:space="preserve">xamination </w:t>
      </w:r>
      <w:r w:rsidR="00D10D24">
        <w:t>(</w:t>
      </w:r>
      <w:proofErr w:type="spellStart"/>
      <w:r w:rsidR="00D10D24" w:rsidRPr="001070B2">
        <w:rPr>
          <w:b/>
          <w:bCs/>
        </w:rPr>
        <w:t>Tabuso</w:t>
      </w:r>
      <w:proofErr w:type="spellEnd"/>
      <w:r w:rsidR="00D10D24" w:rsidRPr="001070B2">
        <w:rPr>
          <w:b/>
          <w:bCs/>
        </w:rPr>
        <w:t xml:space="preserve"> Summons</w:t>
      </w:r>
      <w:r w:rsidR="00D10D24">
        <w:t xml:space="preserve">) </w:t>
      </w:r>
      <w:r w:rsidR="00376CF3">
        <w:t xml:space="preserve">which he </w:t>
      </w:r>
      <w:r w:rsidR="00D10D24">
        <w:t>attended</w:t>
      </w:r>
      <w:r w:rsidR="00376CF3">
        <w:t xml:space="preserve"> on 30 September 2020.  The</w:t>
      </w:r>
      <w:r w:rsidR="00D10D24">
        <w:t xml:space="preserve"> </w:t>
      </w:r>
      <w:proofErr w:type="spellStart"/>
      <w:r w:rsidR="00D10D24">
        <w:t>Tabuso</w:t>
      </w:r>
      <w:proofErr w:type="spellEnd"/>
      <w:r w:rsidR="00D10D24">
        <w:t xml:space="preserve"> Summons also required Mr </w:t>
      </w:r>
      <w:proofErr w:type="spellStart"/>
      <w:r w:rsidR="00D10D24">
        <w:t>Tabuso</w:t>
      </w:r>
      <w:proofErr w:type="spellEnd"/>
      <w:r w:rsidR="00D10D24">
        <w:t xml:space="preserve"> to produce the documents listed in the schedule to it.  </w:t>
      </w:r>
      <w:r w:rsidR="001070B2">
        <w:t xml:space="preserve">Mr </w:t>
      </w:r>
      <w:proofErr w:type="spellStart"/>
      <w:r w:rsidR="001070B2">
        <w:t>Tabu</w:t>
      </w:r>
      <w:r w:rsidR="00106A21">
        <w:t>s</w:t>
      </w:r>
      <w:r w:rsidR="001070B2">
        <w:t>o</w:t>
      </w:r>
      <w:proofErr w:type="spellEnd"/>
      <w:r w:rsidR="001070B2">
        <w:t xml:space="preserve"> said that he undertook a thorough review of all books and records in his possession at that time and produced</w:t>
      </w:r>
      <w:r w:rsidR="00696DB5">
        <w:t xml:space="preserve"> to the Court</w:t>
      </w:r>
      <w:r w:rsidR="001070B2">
        <w:t xml:space="preserve"> all records in his possession in answer to the </w:t>
      </w:r>
      <w:proofErr w:type="spellStart"/>
      <w:r w:rsidR="001070B2">
        <w:t>Tabuso</w:t>
      </w:r>
      <w:proofErr w:type="spellEnd"/>
      <w:r w:rsidR="001070B2">
        <w:t xml:space="preserve"> Summons</w:t>
      </w:r>
      <w:r w:rsidR="00FD4140">
        <w:t>.  H</w:t>
      </w:r>
      <w:r w:rsidR="001070B2">
        <w:t xml:space="preserve">e was put to significant personal and legal expense </w:t>
      </w:r>
      <w:r w:rsidR="00CE66DD">
        <w:t xml:space="preserve">in </w:t>
      </w:r>
      <w:r w:rsidR="001070B2">
        <w:t xml:space="preserve">that process for which </w:t>
      </w:r>
      <w:r w:rsidR="00C93D13">
        <w:t>he</w:t>
      </w:r>
      <w:r w:rsidR="001070B2">
        <w:t xml:space="preserve"> was not reimbursed by the </w:t>
      </w:r>
      <w:r w:rsidR="00C93D13">
        <w:t>L</w:t>
      </w:r>
      <w:r w:rsidR="001070B2">
        <w:t xml:space="preserve">iquidators. </w:t>
      </w:r>
    </w:p>
    <w:p w14:paraId="150075AD" w14:textId="5C1706F3" w:rsidR="002B3469" w:rsidRDefault="00D313AC" w:rsidP="00D313AC">
      <w:pPr>
        <w:pStyle w:val="ParaNumbering"/>
        <w:numPr>
          <w:ilvl w:val="0"/>
          <w:numId w:val="0"/>
        </w:numPr>
        <w:ind w:hanging="720"/>
      </w:pPr>
      <w:r>
        <w:rPr>
          <w:sz w:val="20"/>
        </w:rPr>
        <w:t>107</w:t>
      </w:r>
      <w:r>
        <w:rPr>
          <w:sz w:val="20"/>
        </w:rPr>
        <w:tab/>
      </w:r>
      <w:r w:rsidR="002B3469">
        <w:t xml:space="preserve">Mr </w:t>
      </w:r>
      <w:proofErr w:type="spellStart"/>
      <w:r w:rsidR="002B3469">
        <w:t>Tabuso</w:t>
      </w:r>
      <w:proofErr w:type="spellEnd"/>
      <w:r w:rsidR="002B3469">
        <w:t xml:space="preserve"> was also served with an order for production dated 15 February 2021 (</w:t>
      </w:r>
      <w:proofErr w:type="spellStart"/>
      <w:r w:rsidR="002B3469" w:rsidRPr="00106A21">
        <w:rPr>
          <w:b/>
          <w:bCs/>
        </w:rPr>
        <w:t>Tabuso</w:t>
      </w:r>
      <w:proofErr w:type="spellEnd"/>
      <w:r w:rsidR="002B3469" w:rsidRPr="00106A21">
        <w:rPr>
          <w:b/>
          <w:bCs/>
        </w:rPr>
        <w:t xml:space="preserve"> Order for Production</w:t>
      </w:r>
      <w:r w:rsidR="002B3469">
        <w:t xml:space="preserve">).  </w:t>
      </w:r>
      <w:r w:rsidR="009C01FA">
        <w:t xml:space="preserve">On 13 April 2021 </w:t>
      </w:r>
      <w:r w:rsidR="002B3469">
        <w:t xml:space="preserve">Mr </w:t>
      </w:r>
      <w:proofErr w:type="spellStart"/>
      <w:r w:rsidR="002B3469">
        <w:t>Tabuso</w:t>
      </w:r>
      <w:proofErr w:type="spellEnd"/>
      <w:r w:rsidR="002B3469">
        <w:t xml:space="preserve"> </w:t>
      </w:r>
      <w:r w:rsidR="009C01FA">
        <w:t xml:space="preserve">produced what he described as a “small number of documents” in answer to the </w:t>
      </w:r>
      <w:proofErr w:type="spellStart"/>
      <w:r w:rsidR="009C01FA">
        <w:t>Tabuso</w:t>
      </w:r>
      <w:proofErr w:type="spellEnd"/>
      <w:r w:rsidR="009C01FA">
        <w:t xml:space="preserve"> Order for Production.  </w:t>
      </w:r>
      <w:r w:rsidR="00C93D13">
        <w:t xml:space="preserve">In response to the </w:t>
      </w:r>
      <w:proofErr w:type="spellStart"/>
      <w:r w:rsidR="00C93D13">
        <w:t>Tabuso</w:t>
      </w:r>
      <w:proofErr w:type="spellEnd"/>
      <w:r w:rsidR="00C93D13">
        <w:t xml:space="preserve"> Order for Production Mr </w:t>
      </w:r>
      <w:proofErr w:type="spellStart"/>
      <w:r w:rsidR="00C93D13">
        <w:t>Tabuso</w:t>
      </w:r>
      <w:proofErr w:type="spellEnd"/>
      <w:r w:rsidR="00C93D13">
        <w:t xml:space="preserve"> located and produced documents</w:t>
      </w:r>
      <w:r w:rsidR="00390D07">
        <w:t xml:space="preserve"> relating to </w:t>
      </w:r>
      <w:proofErr w:type="spellStart"/>
      <w:r w:rsidR="00C93D13">
        <w:t>I</w:t>
      </w:r>
      <w:r w:rsidR="00283EA1">
        <w:t>nterfreight</w:t>
      </w:r>
      <w:proofErr w:type="spellEnd"/>
      <w:r w:rsidR="00283EA1">
        <w:t xml:space="preserve"> 2</w:t>
      </w:r>
      <w:r w:rsidR="00C93D13">
        <w:t xml:space="preserve"> and D</w:t>
      </w:r>
      <w:r w:rsidR="00390D07">
        <w:t xml:space="preserve">iesel Dan </w:t>
      </w:r>
      <w:r w:rsidR="00283EA1">
        <w:t>2</w:t>
      </w:r>
      <w:r w:rsidR="00C93D13">
        <w:t xml:space="preserve"> as negotiated between </w:t>
      </w:r>
      <w:r w:rsidR="00390D07">
        <w:t xml:space="preserve">his solicitor and </w:t>
      </w:r>
      <w:r w:rsidR="00C93D13">
        <w:t xml:space="preserve">the </w:t>
      </w:r>
      <w:r w:rsidR="004619F8">
        <w:t>L</w:t>
      </w:r>
      <w:r w:rsidR="00C93D13">
        <w:t>iquidators</w:t>
      </w:r>
      <w:r w:rsidR="004619F8">
        <w:t>’</w:t>
      </w:r>
      <w:r w:rsidR="00C93D13">
        <w:t xml:space="preserve"> solicitor.</w:t>
      </w:r>
    </w:p>
    <w:p w14:paraId="3A2743CA" w14:textId="4F0709FD" w:rsidR="00365B51" w:rsidRDefault="00D313AC" w:rsidP="00D313AC">
      <w:pPr>
        <w:pStyle w:val="ParaNumbering"/>
        <w:numPr>
          <w:ilvl w:val="0"/>
          <w:numId w:val="0"/>
        </w:numPr>
        <w:ind w:hanging="720"/>
      </w:pPr>
      <w:r>
        <w:rPr>
          <w:sz w:val="20"/>
        </w:rPr>
        <w:t>108</w:t>
      </w:r>
      <w:r>
        <w:rPr>
          <w:sz w:val="20"/>
        </w:rPr>
        <w:tab/>
      </w:r>
      <w:r w:rsidR="00365B51">
        <w:t xml:space="preserve">On 9 </w:t>
      </w:r>
      <w:r w:rsidR="00283EA1">
        <w:t>August</w:t>
      </w:r>
      <w:r w:rsidR="00365B51">
        <w:t xml:space="preserve"> 2021 Mr </w:t>
      </w:r>
      <w:proofErr w:type="spellStart"/>
      <w:r w:rsidR="00365B51">
        <w:t>Tabuso</w:t>
      </w:r>
      <w:proofErr w:type="spellEnd"/>
      <w:r w:rsidR="00365B51">
        <w:t xml:space="preserve"> was served with the statement of claim filed in the </w:t>
      </w:r>
      <w:proofErr w:type="spellStart"/>
      <w:r w:rsidR="009A510C">
        <w:t>Silverhills</w:t>
      </w:r>
      <w:proofErr w:type="spellEnd"/>
      <w:r w:rsidR="009A510C">
        <w:t xml:space="preserve"> Haulage</w:t>
      </w:r>
      <w:r w:rsidR="00365B51">
        <w:t xml:space="preserve"> Proceeding</w:t>
      </w:r>
      <w:r w:rsidR="003F5206">
        <w:t xml:space="preserve">.  </w:t>
      </w:r>
      <w:r w:rsidR="009A510C">
        <w:t xml:space="preserve">Mr </w:t>
      </w:r>
      <w:proofErr w:type="spellStart"/>
      <w:r w:rsidR="009A510C">
        <w:t>Tabu</w:t>
      </w:r>
      <w:r w:rsidR="00283EA1">
        <w:t>s</w:t>
      </w:r>
      <w:r w:rsidR="009A510C">
        <w:t>o</w:t>
      </w:r>
      <w:proofErr w:type="spellEnd"/>
      <w:r w:rsidR="009A510C">
        <w:t xml:space="preserve"> has filed a defence in the </w:t>
      </w:r>
      <w:proofErr w:type="spellStart"/>
      <w:r w:rsidR="009A510C">
        <w:t>Silverhills</w:t>
      </w:r>
      <w:proofErr w:type="spellEnd"/>
      <w:r w:rsidR="009A510C">
        <w:t xml:space="preserve"> Haulage Proceeding and </w:t>
      </w:r>
      <w:r w:rsidR="00450550">
        <w:t>has</w:t>
      </w:r>
      <w:r w:rsidR="009A510C">
        <w:t xml:space="preserve"> caused a defence to be filed b</w:t>
      </w:r>
      <w:r w:rsidR="004B0A2E">
        <w:t xml:space="preserve">y each of </w:t>
      </w:r>
      <w:proofErr w:type="spellStart"/>
      <w:r w:rsidR="004B0A2E">
        <w:t>I</w:t>
      </w:r>
      <w:r w:rsidR="005F73B2">
        <w:t>nterfreight</w:t>
      </w:r>
      <w:proofErr w:type="spellEnd"/>
      <w:r w:rsidR="005F73B2">
        <w:t xml:space="preserve"> 2</w:t>
      </w:r>
      <w:r w:rsidR="004B0A2E">
        <w:t xml:space="preserve"> and Diesel Dan </w:t>
      </w:r>
      <w:r w:rsidR="005F73B2">
        <w:t>2</w:t>
      </w:r>
      <w:r w:rsidR="004B0A2E">
        <w:t xml:space="preserve"> who are also defendants to that proceeding. </w:t>
      </w:r>
    </w:p>
    <w:p w14:paraId="34181609" w14:textId="0A53E1B8" w:rsidR="00450550" w:rsidRDefault="00D313AC" w:rsidP="00D313AC">
      <w:pPr>
        <w:pStyle w:val="ParaNumbering"/>
        <w:numPr>
          <w:ilvl w:val="0"/>
          <w:numId w:val="0"/>
        </w:numPr>
        <w:ind w:hanging="720"/>
      </w:pPr>
      <w:r>
        <w:rPr>
          <w:sz w:val="20"/>
        </w:rPr>
        <w:t>109</w:t>
      </w:r>
      <w:r>
        <w:rPr>
          <w:sz w:val="20"/>
        </w:rPr>
        <w:tab/>
      </w:r>
      <w:proofErr w:type="spellStart"/>
      <w:r w:rsidR="0017707C">
        <w:t>Interfreight</w:t>
      </w:r>
      <w:proofErr w:type="spellEnd"/>
      <w:r w:rsidR="0017707C">
        <w:t xml:space="preserve"> 2 and Diesel Dan 2 are also defendants to the </w:t>
      </w:r>
      <w:proofErr w:type="spellStart"/>
      <w:r w:rsidR="0017707C">
        <w:t>Interfreight</w:t>
      </w:r>
      <w:proofErr w:type="spellEnd"/>
      <w:r w:rsidR="0017707C">
        <w:t xml:space="preserve"> Proceeding </w:t>
      </w:r>
      <w:r w:rsidR="00712A5D">
        <w:t>(see [</w:t>
      </w:r>
      <w:r w:rsidR="00712A5D">
        <w:fldChar w:fldCharType="begin"/>
      </w:r>
      <w:r w:rsidR="00712A5D">
        <w:instrText xml:space="preserve"> REF _Ref156471705 \r \h </w:instrText>
      </w:r>
      <w:r w:rsidR="00712A5D">
        <w:fldChar w:fldCharType="separate"/>
      </w:r>
      <w:r w:rsidR="002B21FE">
        <w:t>44</w:t>
      </w:r>
      <w:r w:rsidR="00712A5D">
        <w:fldChar w:fldCharType="end"/>
      </w:r>
      <w:r w:rsidR="00712A5D">
        <w:t xml:space="preserve">] above) </w:t>
      </w:r>
      <w:r w:rsidR="0017707C">
        <w:t>and Mr </w:t>
      </w:r>
      <w:proofErr w:type="spellStart"/>
      <w:r w:rsidR="0017707C">
        <w:t>Tabuso</w:t>
      </w:r>
      <w:proofErr w:type="spellEnd"/>
      <w:r w:rsidR="0017707C">
        <w:t xml:space="preserve"> has caused those companies to file a defence in that proceeding.  </w:t>
      </w:r>
    </w:p>
    <w:p w14:paraId="5C26AC37" w14:textId="0F174237" w:rsidR="008B4473" w:rsidRDefault="00D313AC" w:rsidP="00D313AC">
      <w:pPr>
        <w:pStyle w:val="ParaNumbering"/>
        <w:numPr>
          <w:ilvl w:val="0"/>
          <w:numId w:val="0"/>
        </w:numPr>
        <w:ind w:hanging="720"/>
      </w:pPr>
      <w:r>
        <w:rPr>
          <w:sz w:val="20"/>
        </w:rPr>
        <w:t>110</w:t>
      </w:r>
      <w:r>
        <w:rPr>
          <w:sz w:val="20"/>
        </w:rPr>
        <w:tab/>
      </w:r>
      <w:r w:rsidR="008B4473">
        <w:t xml:space="preserve">Mr </w:t>
      </w:r>
      <w:proofErr w:type="spellStart"/>
      <w:r w:rsidR="008B4473">
        <w:t>Tabuso</w:t>
      </w:r>
      <w:r w:rsidR="00A75237">
        <w:t>’s</w:t>
      </w:r>
      <w:proofErr w:type="spellEnd"/>
      <w:r w:rsidR="00A75237">
        <w:t xml:space="preserve"> </w:t>
      </w:r>
      <w:r w:rsidR="008B4473">
        <w:t xml:space="preserve">evidence </w:t>
      </w:r>
      <w:r w:rsidR="00A75237">
        <w:t xml:space="preserve">is </w:t>
      </w:r>
      <w:r w:rsidR="008B4473">
        <w:t>that:</w:t>
      </w:r>
    </w:p>
    <w:p w14:paraId="387F3931" w14:textId="301E2251" w:rsidR="008B4473" w:rsidRDefault="00D313AC" w:rsidP="00D313AC">
      <w:pPr>
        <w:pStyle w:val="ListNo1"/>
        <w:numPr>
          <w:ilvl w:val="0"/>
          <w:numId w:val="0"/>
        </w:numPr>
        <w:tabs>
          <w:tab w:val="left" w:pos="720"/>
        </w:tabs>
        <w:ind w:left="720" w:hanging="720"/>
      </w:pPr>
      <w:r>
        <w:lastRenderedPageBreak/>
        <w:t>(1)</w:t>
      </w:r>
      <w:r>
        <w:tab/>
      </w:r>
      <w:r w:rsidR="00767255">
        <w:t>h</w:t>
      </w:r>
      <w:r w:rsidR="008B4473">
        <w:t>e w</w:t>
      </w:r>
      <w:r w:rsidR="00767255">
        <w:t>a</w:t>
      </w:r>
      <w:r w:rsidR="008B4473">
        <w:t>s</w:t>
      </w:r>
      <w:r w:rsidR="00767255">
        <w:t xml:space="preserve"> </w:t>
      </w:r>
      <w:r w:rsidR="008B4473">
        <w:t xml:space="preserve">not requested at any time to preserve his records relating to the allegations </w:t>
      </w:r>
      <w:r w:rsidR="00767255">
        <w:t>made</w:t>
      </w:r>
      <w:r w:rsidR="008B4473">
        <w:t xml:space="preserve"> in the </w:t>
      </w:r>
      <w:proofErr w:type="spellStart"/>
      <w:r w:rsidR="008B4473">
        <w:t>Interfreight</w:t>
      </w:r>
      <w:proofErr w:type="spellEnd"/>
      <w:r w:rsidR="008B4473">
        <w:t xml:space="preserve"> Proceeding or the </w:t>
      </w:r>
      <w:proofErr w:type="spellStart"/>
      <w:r w:rsidR="008B4473">
        <w:t>Silverhills</w:t>
      </w:r>
      <w:proofErr w:type="spellEnd"/>
      <w:r w:rsidR="008B4473">
        <w:t xml:space="preserve"> Haulage Proceeding;</w:t>
      </w:r>
    </w:p>
    <w:p w14:paraId="5BE60DB4" w14:textId="3627CE32" w:rsidR="008B4473" w:rsidRDefault="00D313AC" w:rsidP="00D313AC">
      <w:pPr>
        <w:pStyle w:val="ListNo1"/>
        <w:numPr>
          <w:ilvl w:val="0"/>
          <w:numId w:val="0"/>
        </w:numPr>
        <w:tabs>
          <w:tab w:val="left" w:pos="720"/>
        </w:tabs>
        <w:ind w:left="720" w:hanging="720"/>
      </w:pPr>
      <w:r>
        <w:t>(2)</w:t>
      </w:r>
      <w:r>
        <w:tab/>
      </w:r>
      <w:r w:rsidR="00767255">
        <w:t xml:space="preserve">he has </w:t>
      </w:r>
      <w:r w:rsidR="008B4473">
        <w:t xml:space="preserve">undertaken a thorough review of all of </w:t>
      </w:r>
      <w:r w:rsidR="00767255">
        <w:t>his</w:t>
      </w:r>
      <w:r w:rsidR="008B4473">
        <w:t xml:space="preserve"> records</w:t>
      </w:r>
      <w:r w:rsidR="002A16FE">
        <w:t xml:space="preserve"> and has </w:t>
      </w:r>
      <w:r w:rsidR="008B4473">
        <w:t xml:space="preserve">reviewed </w:t>
      </w:r>
      <w:r w:rsidR="002A16FE">
        <w:t>his</w:t>
      </w:r>
      <w:r w:rsidR="008B4473">
        <w:t xml:space="preserve"> computer records</w:t>
      </w:r>
      <w:r w:rsidR="004D4ADC">
        <w:t xml:space="preserve"> and</w:t>
      </w:r>
      <w:r w:rsidR="008B4473">
        <w:t xml:space="preserve"> stored files, including with the assistance of </w:t>
      </w:r>
      <w:r w:rsidR="004D4ADC">
        <w:t>his</w:t>
      </w:r>
      <w:r w:rsidR="008B4473">
        <w:t xml:space="preserve"> solicitor</w:t>
      </w:r>
      <w:r w:rsidR="00043782">
        <w:t xml:space="preserve"> at the time</w:t>
      </w:r>
      <w:r w:rsidR="00A60F6D">
        <w:t>,</w:t>
      </w:r>
      <w:r w:rsidR="008B4473">
        <w:t xml:space="preserve"> </w:t>
      </w:r>
      <w:r w:rsidR="004D4ADC">
        <w:t>Ms </w:t>
      </w:r>
      <w:r w:rsidR="008B4473">
        <w:t>Perry</w:t>
      </w:r>
      <w:r w:rsidR="004D4ADC">
        <w:t>,</w:t>
      </w:r>
      <w:r w:rsidR="008B4473">
        <w:t xml:space="preserve"> and </w:t>
      </w:r>
      <w:r w:rsidR="004D4ADC">
        <w:t>his</w:t>
      </w:r>
      <w:r w:rsidR="008B4473">
        <w:t xml:space="preserve"> bank</w:t>
      </w:r>
      <w:r w:rsidR="003972BE">
        <w:t>s</w:t>
      </w:r>
      <w:r w:rsidR="008B4473">
        <w:t xml:space="preserve">. </w:t>
      </w:r>
      <w:r w:rsidR="004D4ADC">
        <w:t xml:space="preserve"> He believes that he </w:t>
      </w:r>
      <w:r w:rsidR="008B4473">
        <w:t>no longer ha</w:t>
      </w:r>
      <w:r w:rsidR="004D4ADC">
        <w:t>s</w:t>
      </w:r>
      <w:r w:rsidR="008B4473">
        <w:t xml:space="preserve"> records relevant to the claims the subject of the</w:t>
      </w:r>
      <w:r w:rsidR="004D4ADC">
        <w:t xml:space="preserve"> </w:t>
      </w:r>
      <w:proofErr w:type="spellStart"/>
      <w:r w:rsidR="004D4ADC">
        <w:t>Interfreight</w:t>
      </w:r>
      <w:proofErr w:type="spellEnd"/>
      <w:r w:rsidR="004D4ADC">
        <w:t xml:space="preserve"> Proceeding or the </w:t>
      </w:r>
      <w:proofErr w:type="spellStart"/>
      <w:r w:rsidR="004D4ADC">
        <w:t>Silverhills</w:t>
      </w:r>
      <w:proofErr w:type="spellEnd"/>
      <w:r w:rsidR="004D4ADC">
        <w:t xml:space="preserve"> Haulage Proceeding</w:t>
      </w:r>
      <w:r w:rsidR="00B55B82">
        <w:t>.  They</w:t>
      </w:r>
      <w:r w:rsidR="008B4473">
        <w:t xml:space="preserve"> were either destroyed in the ordinary course</w:t>
      </w:r>
      <w:r w:rsidR="004D4ADC">
        <w:t xml:space="preserve"> or are</w:t>
      </w:r>
      <w:r w:rsidR="008B4473">
        <w:t xml:space="preserve"> with </w:t>
      </w:r>
      <w:proofErr w:type="spellStart"/>
      <w:r w:rsidR="008B4473">
        <w:t>Banq</w:t>
      </w:r>
      <w:proofErr w:type="spellEnd"/>
      <w:r w:rsidR="008B4473">
        <w:t xml:space="preserve"> Accountants, which no longer exists, or Mr </w:t>
      </w:r>
      <w:r w:rsidR="008F563C">
        <w:t>I</w:t>
      </w:r>
      <w:r w:rsidR="008B4473">
        <w:t>annuzzi</w:t>
      </w:r>
      <w:r w:rsidR="00610712">
        <w:t>;</w:t>
      </w:r>
    </w:p>
    <w:p w14:paraId="48DBA611" w14:textId="06062E38" w:rsidR="005A1FEA" w:rsidRDefault="00D313AC" w:rsidP="00D313AC">
      <w:pPr>
        <w:pStyle w:val="ListNo1"/>
        <w:numPr>
          <w:ilvl w:val="0"/>
          <w:numId w:val="0"/>
        </w:numPr>
        <w:tabs>
          <w:tab w:val="left" w:pos="720"/>
        </w:tabs>
        <w:ind w:left="720" w:hanging="720"/>
      </w:pPr>
      <w:r>
        <w:t>(3)</w:t>
      </w:r>
      <w:r>
        <w:tab/>
      </w:r>
      <w:r w:rsidR="00610712">
        <w:t xml:space="preserve">he has </w:t>
      </w:r>
      <w:r w:rsidR="008B4473">
        <w:t xml:space="preserve">contacted </w:t>
      </w:r>
      <w:r w:rsidR="00610712">
        <w:t xml:space="preserve">his accountant, Mr </w:t>
      </w:r>
      <w:r w:rsidR="008B4473">
        <w:t>Dunstan</w:t>
      </w:r>
      <w:r w:rsidR="00610712">
        <w:t xml:space="preserve">, </w:t>
      </w:r>
      <w:r w:rsidR="008B4473">
        <w:t xml:space="preserve">who confirms that he does not hold records in relation to the 2011, 2012 or 2013 financial years </w:t>
      </w:r>
      <w:r w:rsidR="00830807">
        <w:t xml:space="preserve">in relation to his affairs, </w:t>
      </w:r>
      <w:proofErr w:type="spellStart"/>
      <w:r w:rsidR="00610712">
        <w:t>Interfreight</w:t>
      </w:r>
      <w:proofErr w:type="spellEnd"/>
      <w:r w:rsidR="00610712">
        <w:t xml:space="preserve"> 2 or Diesel Dan 2</w:t>
      </w:r>
      <w:r w:rsidR="005A1FEA">
        <w:t>; and</w:t>
      </w:r>
    </w:p>
    <w:p w14:paraId="701ADD98" w14:textId="0F81EA4C" w:rsidR="008B4473" w:rsidRDefault="00D313AC" w:rsidP="00D313AC">
      <w:pPr>
        <w:pStyle w:val="ListNo1"/>
        <w:numPr>
          <w:ilvl w:val="0"/>
          <w:numId w:val="0"/>
        </w:numPr>
        <w:tabs>
          <w:tab w:val="left" w:pos="720"/>
        </w:tabs>
        <w:ind w:left="720" w:hanging="720"/>
      </w:pPr>
      <w:r>
        <w:t>(4)</w:t>
      </w:r>
      <w:r>
        <w:tab/>
      </w:r>
      <w:r w:rsidR="005A1FEA">
        <w:t>he has contacted his bank to try to obtain banking records going back to the period from 2011 to 201</w:t>
      </w:r>
      <w:r w:rsidR="000E0646">
        <w:t>3.</w:t>
      </w:r>
    </w:p>
    <w:p w14:paraId="5E21A7A2" w14:textId="4A3FE005" w:rsidR="004E4E9C" w:rsidRDefault="00D313AC" w:rsidP="00D313AC">
      <w:pPr>
        <w:pStyle w:val="ParaNumbering"/>
        <w:numPr>
          <w:ilvl w:val="0"/>
          <w:numId w:val="0"/>
        </w:numPr>
        <w:ind w:hanging="720"/>
      </w:pPr>
      <w:r>
        <w:rPr>
          <w:sz w:val="20"/>
        </w:rPr>
        <w:t>111</w:t>
      </w:r>
      <w:r>
        <w:rPr>
          <w:sz w:val="20"/>
        </w:rPr>
        <w:tab/>
      </w:r>
      <w:r w:rsidR="003F6C93">
        <w:t xml:space="preserve">Mr </w:t>
      </w:r>
      <w:proofErr w:type="spellStart"/>
      <w:r w:rsidR="003F6C93">
        <w:t>Tabuso</w:t>
      </w:r>
      <w:proofErr w:type="spellEnd"/>
      <w:r w:rsidR="003F6C93">
        <w:t xml:space="preserve"> says that the </w:t>
      </w:r>
      <w:proofErr w:type="spellStart"/>
      <w:r w:rsidR="009843A1">
        <w:t>S</w:t>
      </w:r>
      <w:r w:rsidR="00E34806">
        <w:t>i</w:t>
      </w:r>
      <w:r w:rsidR="009843A1">
        <w:t>lverhills</w:t>
      </w:r>
      <w:proofErr w:type="spellEnd"/>
      <w:r w:rsidR="009843A1">
        <w:t xml:space="preserve"> Haulage Proceeding and the </w:t>
      </w:r>
      <w:proofErr w:type="spellStart"/>
      <w:r w:rsidR="009843A1">
        <w:t>I</w:t>
      </w:r>
      <w:r w:rsidR="00E34806">
        <w:t>n</w:t>
      </w:r>
      <w:r w:rsidR="009843A1">
        <w:t>terfreight</w:t>
      </w:r>
      <w:proofErr w:type="spellEnd"/>
      <w:r w:rsidR="009843A1">
        <w:t xml:space="preserve"> Proceeding </w:t>
      </w:r>
      <w:r w:rsidR="004E4E9C">
        <w:t xml:space="preserve">are causing </w:t>
      </w:r>
      <w:r w:rsidR="009843A1">
        <w:t>hi</w:t>
      </w:r>
      <w:r w:rsidR="00763279">
        <w:t>m and his wife</w:t>
      </w:r>
      <w:r w:rsidR="009843A1">
        <w:t xml:space="preserve"> </w:t>
      </w:r>
      <w:r w:rsidR="004E4E9C">
        <w:t xml:space="preserve">significant stress and anxiety, which is </w:t>
      </w:r>
      <w:r w:rsidR="00E34806">
        <w:t xml:space="preserve">also </w:t>
      </w:r>
      <w:r w:rsidR="004E4E9C">
        <w:t xml:space="preserve">affecting </w:t>
      </w:r>
      <w:r w:rsidR="00E34806">
        <w:t>their</w:t>
      </w:r>
      <w:r w:rsidR="004E4E9C">
        <w:t xml:space="preserve"> five children</w:t>
      </w:r>
      <w:r w:rsidR="00E34806">
        <w:t xml:space="preserve">.  He explains that he is </w:t>
      </w:r>
      <w:r w:rsidR="004E4E9C">
        <w:t>not educated but ha</w:t>
      </w:r>
      <w:r w:rsidR="00E34806">
        <w:t xml:space="preserve">s </w:t>
      </w:r>
      <w:r w:rsidR="004E4E9C">
        <w:t xml:space="preserve">built a successful business that provides a valuable service, while also allowing </w:t>
      </w:r>
      <w:r w:rsidR="00E34806">
        <w:t>him</w:t>
      </w:r>
      <w:r w:rsidR="004E4E9C">
        <w:t xml:space="preserve"> to support </w:t>
      </w:r>
      <w:r w:rsidR="00E34806">
        <w:t>his</w:t>
      </w:r>
      <w:r w:rsidR="004E4E9C">
        <w:t xml:space="preserve"> family.</w:t>
      </w:r>
      <w:r w:rsidR="00E34806">
        <w:t xml:space="preserve">  In doing so he has </w:t>
      </w:r>
      <w:r w:rsidR="004E4E9C">
        <w:t xml:space="preserve">relied upon professional advisors </w:t>
      </w:r>
      <w:r w:rsidR="00821F6F">
        <w:t xml:space="preserve">in relation to </w:t>
      </w:r>
      <w:r w:rsidR="004E4E9C">
        <w:t xml:space="preserve">how to structure </w:t>
      </w:r>
      <w:r w:rsidR="00E34806">
        <w:t>his</w:t>
      </w:r>
      <w:r w:rsidR="004E4E9C">
        <w:t xml:space="preserve"> business and meet its financial, accounting and taxation obligations.</w:t>
      </w:r>
    </w:p>
    <w:p w14:paraId="449A7266" w14:textId="60DE4668" w:rsidR="007339FA" w:rsidRDefault="00D313AC" w:rsidP="00D313AC">
      <w:pPr>
        <w:pStyle w:val="ParaNumbering"/>
        <w:numPr>
          <w:ilvl w:val="0"/>
          <w:numId w:val="0"/>
        </w:numPr>
        <w:ind w:hanging="720"/>
      </w:pPr>
      <w:r>
        <w:rPr>
          <w:sz w:val="20"/>
        </w:rPr>
        <w:t>112</w:t>
      </w:r>
      <w:r>
        <w:rPr>
          <w:sz w:val="20"/>
        </w:rPr>
        <w:tab/>
      </w:r>
      <w:r w:rsidR="004E4E9C">
        <w:t xml:space="preserve">The events the subject of the </w:t>
      </w:r>
      <w:proofErr w:type="spellStart"/>
      <w:r w:rsidR="004E4E9C">
        <w:t>Silverhills</w:t>
      </w:r>
      <w:proofErr w:type="spellEnd"/>
      <w:r w:rsidR="004E4E9C">
        <w:t xml:space="preserve"> </w:t>
      </w:r>
      <w:r w:rsidR="00E34806">
        <w:t xml:space="preserve">Haulage Proceeding </w:t>
      </w:r>
      <w:r w:rsidR="004E4E9C">
        <w:t xml:space="preserve">and </w:t>
      </w:r>
      <w:r w:rsidR="00E34806">
        <w:t xml:space="preserve">the </w:t>
      </w:r>
      <w:proofErr w:type="spellStart"/>
      <w:r w:rsidR="004E4E9C">
        <w:t>Interfreight</w:t>
      </w:r>
      <w:proofErr w:type="spellEnd"/>
      <w:r w:rsidR="004E4E9C">
        <w:t xml:space="preserve"> </w:t>
      </w:r>
      <w:r w:rsidR="00E34806">
        <w:t>P</w:t>
      </w:r>
      <w:r w:rsidR="004E4E9C">
        <w:t xml:space="preserve">roceeding occurred nearly a decade ago. </w:t>
      </w:r>
      <w:r w:rsidR="00E34806">
        <w:t xml:space="preserve"> </w:t>
      </w:r>
      <w:r w:rsidR="004E4E9C">
        <w:t xml:space="preserve">The </w:t>
      </w:r>
      <w:r w:rsidR="00E34806">
        <w:t xml:space="preserve">Trucking </w:t>
      </w:r>
      <w:r w:rsidR="004E4E9C">
        <w:t xml:space="preserve">Business has moved on but </w:t>
      </w:r>
      <w:r w:rsidR="00EA6EE4">
        <w:t xml:space="preserve">it was difficult for the business to be </w:t>
      </w:r>
      <w:r w:rsidR="004E4E9C">
        <w:t xml:space="preserve">profitable during the </w:t>
      </w:r>
      <w:r w:rsidR="00115CF2">
        <w:t>COVID</w:t>
      </w:r>
      <w:r w:rsidR="00360227">
        <w:t>-19</w:t>
      </w:r>
      <w:r w:rsidR="004E4E9C">
        <w:t xml:space="preserve"> period when interstate </w:t>
      </w:r>
      <w:r w:rsidR="00115CF2">
        <w:t>transportation</w:t>
      </w:r>
      <w:r w:rsidR="004E4E9C">
        <w:t xml:space="preserve"> was curtailed. </w:t>
      </w:r>
      <w:r w:rsidR="00115CF2">
        <w:t xml:space="preserve"> </w:t>
      </w:r>
      <w:r w:rsidR="00A53FAB">
        <w:t xml:space="preserve">As far as Mr </w:t>
      </w:r>
      <w:proofErr w:type="spellStart"/>
      <w:r w:rsidR="00A53FAB">
        <w:t>Tabuso</w:t>
      </w:r>
      <w:proofErr w:type="spellEnd"/>
      <w:r w:rsidR="00A53FAB">
        <w:t xml:space="preserve"> understands </w:t>
      </w:r>
      <w:r w:rsidR="00E40741">
        <w:t>t</w:t>
      </w:r>
      <w:r w:rsidR="004E4E9C">
        <w:t xml:space="preserve">he </w:t>
      </w:r>
      <w:r w:rsidR="00115CF2">
        <w:t>“o</w:t>
      </w:r>
      <w:r w:rsidR="004E4E9C">
        <w:t xml:space="preserve">ld </w:t>
      </w:r>
      <w:r w:rsidR="00115CF2">
        <w:t>c</w:t>
      </w:r>
      <w:r w:rsidR="004E4E9C">
        <w:t>ompanies</w:t>
      </w:r>
      <w:r w:rsidR="00115CF2">
        <w:t>”</w:t>
      </w:r>
      <w:r w:rsidR="007339FA">
        <w:t xml:space="preserve"> through which the </w:t>
      </w:r>
      <w:r w:rsidR="00115CF2">
        <w:t>Trucking</w:t>
      </w:r>
      <w:r w:rsidR="004B1C78">
        <w:t> </w:t>
      </w:r>
      <w:r w:rsidR="007339FA">
        <w:t xml:space="preserve">Business used to operate did not have any substantial creditors other than other companies in </w:t>
      </w:r>
      <w:r w:rsidR="00E40741">
        <w:t>that bu</w:t>
      </w:r>
      <w:r w:rsidR="007339FA">
        <w:t>siness.</w:t>
      </w:r>
    </w:p>
    <w:p w14:paraId="17ED554C" w14:textId="31F306D0" w:rsidR="00640CAC" w:rsidRDefault="00640CAC" w:rsidP="00640CAC">
      <w:pPr>
        <w:pStyle w:val="Heading3"/>
      </w:pPr>
      <w:r>
        <w:t xml:space="preserve">Mrs </w:t>
      </w:r>
      <w:proofErr w:type="spellStart"/>
      <w:r>
        <w:t>Tabuso</w:t>
      </w:r>
      <w:proofErr w:type="spellEnd"/>
    </w:p>
    <w:p w14:paraId="1E6F3B1A" w14:textId="68B0C764" w:rsidR="00640CAC" w:rsidRDefault="00D313AC" w:rsidP="00D313AC">
      <w:pPr>
        <w:pStyle w:val="ParaNumbering"/>
        <w:numPr>
          <w:ilvl w:val="0"/>
          <w:numId w:val="0"/>
        </w:numPr>
        <w:ind w:hanging="720"/>
      </w:pPr>
      <w:r>
        <w:rPr>
          <w:sz w:val="20"/>
        </w:rPr>
        <w:t>113</w:t>
      </w:r>
      <w:r>
        <w:rPr>
          <w:sz w:val="20"/>
        </w:rPr>
        <w:tab/>
      </w:r>
      <w:r w:rsidR="006C6EB7">
        <w:t>M</w:t>
      </w:r>
      <w:r w:rsidR="00360227">
        <w:t>irjana</w:t>
      </w:r>
      <w:r w:rsidR="006C6EB7">
        <w:t xml:space="preserve"> </w:t>
      </w:r>
      <w:proofErr w:type="spellStart"/>
      <w:r w:rsidR="006C6EB7">
        <w:t>Tabuso</w:t>
      </w:r>
      <w:proofErr w:type="spellEnd"/>
      <w:r w:rsidR="006C6EB7">
        <w:t xml:space="preserve"> is the</w:t>
      </w:r>
      <w:r w:rsidR="002948F4">
        <w:t xml:space="preserve"> sole director and shareholder of </w:t>
      </w:r>
      <w:r w:rsidR="00732E63">
        <w:t>Calabro</w:t>
      </w:r>
      <w:r w:rsidR="002948F4">
        <w:t xml:space="preserve"> Real Estate and the sole director and </w:t>
      </w:r>
      <w:r w:rsidR="00700CD0">
        <w:t xml:space="preserve">shareholder </w:t>
      </w:r>
      <w:r w:rsidR="002948F4">
        <w:t xml:space="preserve">of </w:t>
      </w:r>
      <w:proofErr w:type="spellStart"/>
      <w:r w:rsidR="002948F4">
        <w:t>Run</w:t>
      </w:r>
      <w:r w:rsidR="001A2A93">
        <w:t>city</w:t>
      </w:r>
      <w:proofErr w:type="spellEnd"/>
      <w:r w:rsidR="00732E63">
        <w:t>.</w:t>
      </w:r>
      <w:r w:rsidR="001A2A93">
        <w:t xml:space="preserve">  </w:t>
      </w:r>
      <w:r w:rsidR="00732E63">
        <w:t>Sh</w:t>
      </w:r>
      <w:r w:rsidR="001A2A93">
        <w:t>e</w:t>
      </w:r>
      <w:r w:rsidR="00732E63">
        <w:t xml:space="preserve"> </w:t>
      </w:r>
      <w:r w:rsidR="001A2A93">
        <w:t>is the fifth defend</w:t>
      </w:r>
      <w:r w:rsidR="00732E63">
        <w:t>ant</w:t>
      </w:r>
      <w:r w:rsidR="001A2A93">
        <w:t xml:space="preserve"> in the </w:t>
      </w:r>
      <w:proofErr w:type="spellStart"/>
      <w:r w:rsidR="001A2A93">
        <w:t>Silverhills</w:t>
      </w:r>
      <w:proofErr w:type="spellEnd"/>
      <w:r w:rsidR="001A2A93">
        <w:t xml:space="preserve"> Haulage Proceeding and the </w:t>
      </w:r>
      <w:r w:rsidR="00732E63">
        <w:t xml:space="preserve">first defendant in the </w:t>
      </w:r>
      <w:proofErr w:type="spellStart"/>
      <w:r w:rsidR="00732E63">
        <w:t>Interfreight</w:t>
      </w:r>
      <w:proofErr w:type="spellEnd"/>
      <w:r w:rsidR="00732E63">
        <w:t xml:space="preserve"> Proceeding.</w:t>
      </w:r>
    </w:p>
    <w:p w14:paraId="09359797" w14:textId="0F2A66A7" w:rsidR="005F2BB9" w:rsidRDefault="00D313AC" w:rsidP="00D313AC">
      <w:pPr>
        <w:pStyle w:val="ParaNumbering"/>
        <w:numPr>
          <w:ilvl w:val="0"/>
          <w:numId w:val="0"/>
        </w:numPr>
        <w:ind w:hanging="720"/>
      </w:pPr>
      <w:r>
        <w:rPr>
          <w:sz w:val="20"/>
        </w:rPr>
        <w:t>114</w:t>
      </w:r>
      <w:r>
        <w:rPr>
          <w:sz w:val="20"/>
        </w:rPr>
        <w:tab/>
      </w:r>
      <w:r w:rsidR="005F2BB9">
        <w:t>In</w:t>
      </w:r>
      <w:r w:rsidR="00FC7579">
        <w:t xml:space="preserve"> cross-examination</w:t>
      </w:r>
      <w:r w:rsidR="005F2BB9">
        <w:t xml:space="preserve"> Mrs </w:t>
      </w:r>
      <w:proofErr w:type="spellStart"/>
      <w:r w:rsidR="005F2BB9">
        <w:t>Tabuso</w:t>
      </w:r>
      <w:proofErr w:type="spellEnd"/>
      <w:r w:rsidR="00FC7579">
        <w:t xml:space="preserve"> </w:t>
      </w:r>
      <w:r w:rsidR="005F2BB9">
        <w:t xml:space="preserve">accepted </w:t>
      </w:r>
      <w:r w:rsidR="00753D52">
        <w:t xml:space="preserve">that </w:t>
      </w:r>
      <w:r w:rsidR="00FC7579">
        <w:t>until</w:t>
      </w:r>
      <w:r w:rsidR="00753D52">
        <w:t xml:space="preserve"> </w:t>
      </w:r>
      <w:r w:rsidR="00FC7579">
        <w:t>liquidators</w:t>
      </w:r>
      <w:r w:rsidR="00753D52">
        <w:t xml:space="preserve"> were appointed to </w:t>
      </w:r>
      <w:proofErr w:type="spellStart"/>
      <w:r w:rsidR="00753D52">
        <w:t>Runcity</w:t>
      </w:r>
      <w:proofErr w:type="spellEnd"/>
      <w:r w:rsidR="00753D52">
        <w:t xml:space="preserve"> in 2014, she </w:t>
      </w:r>
      <w:r w:rsidR="00FC7579">
        <w:t>had</w:t>
      </w:r>
      <w:r w:rsidR="00753D52">
        <w:t xml:space="preserve"> access to the books and records for </w:t>
      </w:r>
      <w:proofErr w:type="spellStart"/>
      <w:r w:rsidR="00753D52">
        <w:t>Runcity</w:t>
      </w:r>
      <w:proofErr w:type="spellEnd"/>
      <w:r w:rsidR="00753D52">
        <w:t xml:space="preserve"> </w:t>
      </w:r>
      <w:r w:rsidR="00FC7579">
        <w:t>and</w:t>
      </w:r>
      <w:r w:rsidR="00305BD1">
        <w:t>,</w:t>
      </w:r>
      <w:r w:rsidR="00FC7579">
        <w:t xml:space="preserve"> at least until liquidators were </w:t>
      </w:r>
      <w:r w:rsidR="00FC7579">
        <w:lastRenderedPageBreak/>
        <w:t>appointed to Calabro Real Estate in January 2023</w:t>
      </w:r>
      <w:r w:rsidR="00305BD1">
        <w:t>,</w:t>
      </w:r>
      <w:r w:rsidR="00FC7579">
        <w:t xml:space="preserve"> she had access to the books and records for Calabro Real Estate.  </w:t>
      </w:r>
    </w:p>
    <w:p w14:paraId="2E02C9EA" w14:textId="1AFDA187" w:rsidR="004E464E" w:rsidRDefault="00D313AC" w:rsidP="00D313AC">
      <w:pPr>
        <w:pStyle w:val="ParaNumbering"/>
        <w:numPr>
          <w:ilvl w:val="0"/>
          <w:numId w:val="0"/>
        </w:numPr>
        <w:ind w:hanging="720"/>
      </w:pPr>
      <w:r>
        <w:rPr>
          <w:sz w:val="20"/>
        </w:rPr>
        <w:t>115</w:t>
      </w:r>
      <w:r>
        <w:rPr>
          <w:sz w:val="20"/>
        </w:rPr>
        <w:tab/>
      </w:r>
      <w:r w:rsidR="004E464E">
        <w:t>M</w:t>
      </w:r>
      <w:r w:rsidR="004D2D02">
        <w:t>r</w:t>
      </w:r>
      <w:r w:rsidR="004E464E">
        <w:t xml:space="preserve">s </w:t>
      </w:r>
      <w:proofErr w:type="spellStart"/>
      <w:r w:rsidR="004E464E">
        <w:t>Tabuso</w:t>
      </w:r>
      <w:proofErr w:type="spellEnd"/>
      <w:r w:rsidR="004E464E">
        <w:t xml:space="preserve"> also accepted in cross-</w:t>
      </w:r>
      <w:r w:rsidR="004D2D02">
        <w:t>examination</w:t>
      </w:r>
      <w:r w:rsidR="004E464E">
        <w:t xml:space="preserve"> that</w:t>
      </w:r>
      <w:r w:rsidR="00305BD1">
        <w:t>,</w:t>
      </w:r>
      <w:r w:rsidR="004E464E">
        <w:t xml:space="preserve"> although she did not deal directly with </w:t>
      </w:r>
      <w:proofErr w:type="spellStart"/>
      <w:r w:rsidR="004E464E">
        <w:t>B</w:t>
      </w:r>
      <w:r w:rsidR="004D2D02">
        <w:t>a</w:t>
      </w:r>
      <w:r w:rsidR="004E464E">
        <w:t>nq</w:t>
      </w:r>
      <w:proofErr w:type="spellEnd"/>
      <w:r w:rsidR="004E464E">
        <w:t xml:space="preserve"> </w:t>
      </w:r>
      <w:r w:rsidR="004D2D02">
        <w:t>Accountants</w:t>
      </w:r>
      <w:r w:rsidR="004E464E">
        <w:t xml:space="preserve"> in her capacity as </w:t>
      </w:r>
      <w:r w:rsidR="00305BD1">
        <w:t xml:space="preserve">a </w:t>
      </w:r>
      <w:r w:rsidR="004E464E">
        <w:t xml:space="preserve">director of </w:t>
      </w:r>
      <w:proofErr w:type="spellStart"/>
      <w:r w:rsidR="004E464E">
        <w:t>Runcity</w:t>
      </w:r>
      <w:proofErr w:type="spellEnd"/>
      <w:r w:rsidR="004E464E">
        <w:t xml:space="preserve"> and </w:t>
      </w:r>
      <w:r w:rsidR="00305BD1">
        <w:t xml:space="preserve">of </w:t>
      </w:r>
      <w:r w:rsidR="004D2D02">
        <w:t>Calabro</w:t>
      </w:r>
      <w:r w:rsidR="004E464E">
        <w:t xml:space="preserve"> Real Estate</w:t>
      </w:r>
      <w:r w:rsidR="00181317">
        <w:t xml:space="preserve">, she provided information </w:t>
      </w:r>
      <w:r w:rsidR="004D2D02">
        <w:t xml:space="preserve">about those companies to </w:t>
      </w:r>
      <w:proofErr w:type="spellStart"/>
      <w:r w:rsidR="004D2D02">
        <w:t>Banq</w:t>
      </w:r>
      <w:proofErr w:type="spellEnd"/>
      <w:r w:rsidR="004D2D02">
        <w:t xml:space="preserve"> Accountants for the purpose of prepar</w:t>
      </w:r>
      <w:r w:rsidR="00F83E92">
        <w:t>ing</w:t>
      </w:r>
      <w:r w:rsidR="004D2D02">
        <w:t xml:space="preserve"> their income tax returns</w:t>
      </w:r>
      <w:r w:rsidR="00312C1F">
        <w:t xml:space="preserve"> and financial reports</w:t>
      </w:r>
      <w:r w:rsidR="004D2D02">
        <w:t xml:space="preserve">.  </w:t>
      </w:r>
      <w:r w:rsidR="00607500">
        <w:t xml:space="preserve">She said however that requests for information would have gone to Mr </w:t>
      </w:r>
      <w:proofErr w:type="spellStart"/>
      <w:r w:rsidR="00607500">
        <w:t>Tabuso</w:t>
      </w:r>
      <w:proofErr w:type="spellEnd"/>
      <w:r w:rsidR="00607500">
        <w:t>.</w:t>
      </w:r>
    </w:p>
    <w:p w14:paraId="3C3FAC16" w14:textId="16D5968F" w:rsidR="00B764BB" w:rsidRDefault="00D313AC" w:rsidP="00D313AC">
      <w:pPr>
        <w:pStyle w:val="ParaNumbering"/>
        <w:numPr>
          <w:ilvl w:val="0"/>
          <w:numId w:val="0"/>
        </w:numPr>
        <w:ind w:hanging="720"/>
      </w:pPr>
      <w:r>
        <w:rPr>
          <w:sz w:val="20"/>
        </w:rPr>
        <w:t>116</w:t>
      </w:r>
      <w:r>
        <w:rPr>
          <w:sz w:val="20"/>
        </w:rPr>
        <w:tab/>
      </w:r>
      <w:r w:rsidR="00751FE3">
        <w:t xml:space="preserve">On or about September 2020 and 15 </w:t>
      </w:r>
      <w:r w:rsidR="00652E87">
        <w:t>February</w:t>
      </w:r>
      <w:r w:rsidR="00751FE3">
        <w:t xml:space="preserve"> 2021 </w:t>
      </w:r>
      <w:r w:rsidR="00652E87">
        <w:t xml:space="preserve">respectively </w:t>
      </w:r>
      <w:r w:rsidR="00751FE3">
        <w:t>M</w:t>
      </w:r>
      <w:r w:rsidR="00652E87">
        <w:t>r</w:t>
      </w:r>
      <w:r w:rsidR="00751FE3">
        <w:t xml:space="preserve">s </w:t>
      </w:r>
      <w:proofErr w:type="spellStart"/>
      <w:r w:rsidR="00751FE3">
        <w:t>Tabu</w:t>
      </w:r>
      <w:r w:rsidR="006E1E2D">
        <w:t>s</w:t>
      </w:r>
      <w:r w:rsidR="00751FE3">
        <w:t>o</w:t>
      </w:r>
      <w:proofErr w:type="spellEnd"/>
      <w:r w:rsidR="00751FE3">
        <w:t xml:space="preserve"> was served with</w:t>
      </w:r>
      <w:r w:rsidR="00D3258D">
        <w:t>:</w:t>
      </w:r>
      <w:r w:rsidR="00751FE3">
        <w:t xml:space="preserve"> </w:t>
      </w:r>
      <w:r w:rsidR="008B3B70">
        <w:t>a summons for public examination filed</w:t>
      </w:r>
      <w:r w:rsidR="00652E87">
        <w:t xml:space="preserve"> </w:t>
      </w:r>
      <w:r w:rsidR="008B3B70">
        <w:t>on 4 September 2020</w:t>
      </w:r>
      <w:r w:rsidR="00652E87">
        <w:t xml:space="preserve"> </w:t>
      </w:r>
      <w:r w:rsidR="00197282">
        <w:t xml:space="preserve">in this Court </w:t>
      </w:r>
      <w:r w:rsidR="00652E87">
        <w:t>(</w:t>
      </w:r>
      <w:r w:rsidR="00652E87" w:rsidRPr="00B764BB">
        <w:rPr>
          <w:b/>
          <w:bCs/>
        </w:rPr>
        <w:t xml:space="preserve">Mrs </w:t>
      </w:r>
      <w:proofErr w:type="spellStart"/>
      <w:r w:rsidR="00652E87" w:rsidRPr="00B764BB">
        <w:rPr>
          <w:b/>
          <w:bCs/>
        </w:rPr>
        <w:t>Tabuso’s</w:t>
      </w:r>
      <w:proofErr w:type="spellEnd"/>
      <w:r w:rsidR="00652E87" w:rsidRPr="00B764BB">
        <w:rPr>
          <w:b/>
          <w:bCs/>
        </w:rPr>
        <w:t xml:space="preserve"> Summons</w:t>
      </w:r>
      <w:r w:rsidR="00652E87">
        <w:t>)</w:t>
      </w:r>
      <w:r w:rsidR="005B3828">
        <w:t xml:space="preserve"> </w:t>
      </w:r>
      <w:r w:rsidR="008B3B70">
        <w:t xml:space="preserve">which included a schedule </w:t>
      </w:r>
      <w:r w:rsidR="00652E87">
        <w:t>of documents to be produced</w:t>
      </w:r>
      <w:r w:rsidR="00D3258D">
        <w:t>;</w:t>
      </w:r>
      <w:r w:rsidR="00652E87">
        <w:t xml:space="preserve"> and an order for production dated 15</w:t>
      </w:r>
      <w:r w:rsidR="00E135AA">
        <w:t> </w:t>
      </w:r>
      <w:r w:rsidR="00652E87">
        <w:t>February 2021</w:t>
      </w:r>
      <w:r w:rsidR="00E135AA">
        <w:t xml:space="preserve"> (</w:t>
      </w:r>
      <w:r w:rsidR="00E135AA" w:rsidRPr="00B764BB">
        <w:rPr>
          <w:b/>
          <w:bCs/>
        </w:rPr>
        <w:t xml:space="preserve">Mrs </w:t>
      </w:r>
      <w:proofErr w:type="spellStart"/>
      <w:r w:rsidR="00E135AA" w:rsidRPr="00B764BB">
        <w:rPr>
          <w:b/>
          <w:bCs/>
        </w:rPr>
        <w:t>Tabuso’s</w:t>
      </w:r>
      <w:proofErr w:type="spellEnd"/>
      <w:r w:rsidR="00E135AA" w:rsidRPr="00B764BB">
        <w:rPr>
          <w:b/>
          <w:bCs/>
        </w:rPr>
        <w:t xml:space="preserve"> Order for Production</w:t>
      </w:r>
      <w:r w:rsidR="00E135AA">
        <w:t>)</w:t>
      </w:r>
      <w:r w:rsidR="005B3828">
        <w:t>.</w:t>
      </w:r>
    </w:p>
    <w:p w14:paraId="58EC137A" w14:textId="454F8607" w:rsidR="005B3828" w:rsidRDefault="00D313AC" w:rsidP="00D313AC">
      <w:pPr>
        <w:pStyle w:val="ParaNumbering"/>
        <w:numPr>
          <w:ilvl w:val="0"/>
          <w:numId w:val="0"/>
        </w:numPr>
        <w:ind w:hanging="720"/>
      </w:pPr>
      <w:r>
        <w:rPr>
          <w:sz w:val="20"/>
        </w:rPr>
        <w:t>117</w:t>
      </w:r>
      <w:r>
        <w:rPr>
          <w:sz w:val="20"/>
        </w:rPr>
        <w:tab/>
      </w:r>
      <w:r w:rsidR="005B3828">
        <w:t xml:space="preserve">Mrs </w:t>
      </w:r>
      <w:proofErr w:type="spellStart"/>
      <w:r w:rsidR="005B3828">
        <w:t>Tabuso</w:t>
      </w:r>
      <w:proofErr w:type="spellEnd"/>
      <w:r w:rsidR="005B3828">
        <w:t xml:space="preserve"> believes that she undertook a thorough review of all books and records in her possession at the time </w:t>
      </w:r>
      <w:r w:rsidR="00B764BB">
        <w:t>of M</w:t>
      </w:r>
      <w:r w:rsidR="00CB367A">
        <w:t>r</w:t>
      </w:r>
      <w:r w:rsidR="00B764BB">
        <w:t xml:space="preserve">s </w:t>
      </w:r>
      <w:proofErr w:type="spellStart"/>
      <w:r w:rsidR="00B764BB">
        <w:t>Tabuso’s</w:t>
      </w:r>
      <w:proofErr w:type="spellEnd"/>
      <w:r w:rsidR="00B764BB">
        <w:t xml:space="preserve"> </w:t>
      </w:r>
      <w:r w:rsidR="00CB367A">
        <w:t xml:space="preserve">Summons </w:t>
      </w:r>
      <w:r w:rsidR="005B3828">
        <w:t xml:space="preserve">and produced all records to the Court in </w:t>
      </w:r>
      <w:r w:rsidR="00DC01AD">
        <w:t>her</w:t>
      </w:r>
      <w:r w:rsidR="005B3828">
        <w:t xml:space="preserve"> possession in answer to </w:t>
      </w:r>
      <w:r w:rsidR="00CB367A">
        <w:t>it</w:t>
      </w:r>
      <w:r w:rsidR="005B3828">
        <w:t>.</w:t>
      </w:r>
      <w:r w:rsidR="00CB367A">
        <w:t xml:space="preserve"> </w:t>
      </w:r>
      <w:r w:rsidR="005B3828">
        <w:t xml:space="preserve"> </w:t>
      </w:r>
      <w:r w:rsidR="00465E68">
        <w:t>S</w:t>
      </w:r>
      <w:r w:rsidR="00CB367A">
        <w:t xml:space="preserve">he </w:t>
      </w:r>
      <w:r w:rsidR="005B3828">
        <w:t>was put to significant personal and legal expense in relation to that process,</w:t>
      </w:r>
      <w:r w:rsidR="003148F2">
        <w:t xml:space="preserve"> </w:t>
      </w:r>
      <w:r w:rsidR="005B3828">
        <w:t xml:space="preserve">for which </w:t>
      </w:r>
      <w:r w:rsidR="003148F2">
        <w:t>she</w:t>
      </w:r>
      <w:r w:rsidR="005B3828">
        <w:t xml:space="preserve"> was not reimbursed by the </w:t>
      </w:r>
      <w:r w:rsidR="003148F2">
        <w:t>L</w:t>
      </w:r>
      <w:r w:rsidR="005B3828">
        <w:t>iquidators</w:t>
      </w:r>
      <w:r w:rsidR="00EE4143">
        <w:t>.</w:t>
      </w:r>
    </w:p>
    <w:p w14:paraId="4EC9CD60" w14:textId="5B401AC3" w:rsidR="00EE4143" w:rsidRDefault="00D313AC" w:rsidP="00D313AC">
      <w:pPr>
        <w:pStyle w:val="ParaNumbering"/>
        <w:numPr>
          <w:ilvl w:val="0"/>
          <w:numId w:val="0"/>
        </w:numPr>
        <w:ind w:hanging="720"/>
      </w:pPr>
      <w:r>
        <w:rPr>
          <w:sz w:val="20"/>
        </w:rPr>
        <w:t>118</w:t>
      </w:r>
      <w:r>
        <w:rPr>
          <w:sz w:val="20"/>
        </w:rPr>
        <w:tab/>
      </w:r>
      <w:r w:rsidR="00EE4143">
        <w:t xml:space="preserve">In response to </w:t>
      </w:r>
      <w:r w:rsidR="0037695D">
        <w:t xml:space="preserve">Mrs </w:t>
      </w:r>
      <w:proofErr w:type="spellStart"/>
      <w:r w:rsidR="0037695D">
        <w:t>Tabuso’s</w:t>
      </w:r>
      <w:proofErr w:type="spellEnd"/>
      <w:r w:rsidR="0037695D">
        <w:t xml:space="preserve"> Order for Production</w:t>
      </w:r>
      <w:r w:rsidR="009532E4">
        <w:t xml:space="preserve">, Mrs </w:t>
      </w:r>
      <w:proofErr w:type="spellStart"/>
      <w:r w:rsidR="009532E4">
        <w:t>Tabuso</w:t>
      </w:r>
      <w:proofErr w:type="spellEnd"/>
      <w:r w:rsidR="009532E4">
        <w:t xml:space="preserve"> was able to </w:t>
      </w:r>
      <w:r w:rsidR="00845DA1">
        <w:t xml:space="preserve">locate some documents that she says were produced on 15 September 2020.  </w:t>
      </w:r>
    </w:p>
    <w:p w14:paraId="6D535546" w14:textId="3553646B" w:rsidR="00DB6776" w:rsidRDefault="00D313AC" w:rsidP="00D313AC">
      <w:pPr>
        <w:pStyle w:val="ParaNumbering"/>
        <w:numPr>
          <w:ilvl w:val="0"/>
          <w:numId w:val="0"/>
        </w:numPr>
        <w:ind w:hanging="720"/>
      </w:pPr>
      <w:r>
        <w:rPr>
          <w:sz w:val="20"/>
        </w:rPr>
        <w:t>119</w:t>
      </w:r>
      <w:r>
        <w:rPr>
          <w:sz w:val="20"/>
        </w:rPr>
        <w:tab/>
      </w:r>
      <w:r w:rsidR="00DB6776">
        <w:t xml:space="preserve">Mrs </w:t>
      </w:r>
      <w:proofErr w:type="spellStart"/>
      <w:r w:rsidR="00DB6776">
        <w:t>Tabuso</w:t>
      </w:r>
      <w:proofErr w:type="spellEnd"/>
      <w:r w:rsidR="00DB6776">
        <w:t xml:space="preserve"> </w:t>
      </w:r>
      <w:r w:rsidR="001B06FB">
        <w:t>attended</w:t>
      </w:r>
      <w:r w:rsidR="00DB6776">
        <w:t xml:space="preserve"> for examination on 30 September 2020.</w:t>
      </w:r>
    </w:p>
    <w:p w14:paraId="005F4DD0" w14:textId="0FF7ED33" w:rsidR="00827910" w:rsidRDefault="00D313AC" w:rsidP="00D313AC">
      <w:pPr>
        <w:pStyle w:val="ParaNumbering"/>
        <w:numPr>
          <w:ilvl w:val="0"/>
          <w:numId w:val="0"/>
        </w:numPr>
        <w:ind w:hanging="720"/>
      </w:pPr>
      <w:r>
        <w:rPr>
          <w:sz w:val="20"/>
        </w:rPr>
        <w:t>120</w:t>
      </w:r>
      <w:r>
        <w:rPr>
          <w:sz w:val="20"/>
        </w:rPr>
        <w:tab/>
      </w:r>
      <w:r w:rsidR="00F34FCC">
        <w:t xml:space="preserve">On </w:t>
      </w:r>
      <w:r w:rsidR="008D3760">
        <w:t>or about 15</w:t>
      </w:r>
      <w:r w:rsidR="000C62BF">
        <w:t xml:space="preserve"> </w:t>
      </w:r>
      <w:r w:rsidR="000D20BE">
        <w:t xml:space="preserve">November </w:t>
      </w:r>
      <w:r w:rsidR="000C62BF">
        <w:t>2021 a state</w:t>
      </w:r>
      <w:r w:rsidR="008D3760">
        <w:t>ment</w:t>
      </w:r>
      <w:r w:rsidR="000C62BF">
        <w:t xml:space="preserve"> of claim was served on </w:t>
      </w:r>
      <w:r w:rsidR="004C7344">
        <w:t>Mrs </w:t>
      </w:r>
      <w:proofErr w:type="spellStart"/>
      <w:r w:rsidR="004C7344">
        <w:t>Tabuso’s</w:t>
      </w:r>
      <w:proofErr w:type="spellEnd"/>
      <w:r w:rsidR="004C7344">
        <w:t xml:space="preserve"> </w:t>
      </w:r>
      <w:r w:rsidR="000C62BF">
        <w:t>solicitor</w:t>
      </w:r>
      <w:r w:rsidR="008D3760">
        <w:t xml:space="preserve">, although </w:t>
      </w:r>
      <w:r w:rsidR="00321160">
        <w:t>Mrs </w:t>
      </w:r>
      <w:proofErr w:type="spellStart"/>
      <w:r w:rsidR="00321160">
        <w:t>Tabuso</w:t>
      </w:r>
      <w:proofErr w:type="spellEnd"/>
      <w:r w:rsidR="00321160">
        <w:t xml:space="preserve"> </w:t>
      </w:r>
      <w:r w:rsidR="00F90D0F">
        <w:t>does</w:t>
      </w:r>
      <w:r w:rsidR="008D3760">
        <w:t xml:space="preserve"> not identify in which proceeding</w:t>
      </w:r>
      <w:r w:rsidR="003D499F">
        <w:t xml:space="preserve">.  Nonetheless there is no dispute that Mrs </w:t>
      </w:r>
      <w:proofErr w:type="spellStart"/>
      <w:r w:rsidR="003D499F">
        <w:t>Tabu</w:t>
      </w:r>
      <w:r w:rsidR="00B5197A">
        <w:t>s</w:t>
      </w:r>
      <w:r w:rsidR="003D499F">
        <w:t>o</w:t>
      </w:r>
      <w:proofErr w:type="spellEnd"/>
      <w:r w:rsidR="003D499F">
        <w:t xml:space="preserve"> is aware of both the </w:t>
      </w:r>
      <w:proofErr w:type="spellStart"/>
      <w:r w:rsidR="003D499F">
        <w:t>Silverhills</w:t>
      </w:r>
      <w:proofErr w:type="spellEnd"/>
      <w:r w:rsidR="003D499F">
        <w:t xml:space="preserve"> Haulage </w:t>
      </w:r>
      <w:r w:rsidR="00C746CA">
        <w:t>P</w:t>
      </w:r>
      <w:r w:rsidR="003D499F">
        <w:t>roceeding a</w:t>
      </w:r>
      <w:r w:rsidR="000903A7">
        <w:t>n</w:t>
      </w:r>
      <w:r w:rsidR="003D499F">
        <w:t xml:space="preserve">d the </w:t>
      </w:r>
      <w:proofErr w:type="spellStart"/>
      <w:r w:rsidR="003D499F">
        <w:t>Interfreight</w:t>
      </w:r>
      <w:proofErr w:type="spellEnd"/>
      <w:r w:rsidR="00651007">
        <w:t> </w:t>
      </w:r>
      <w:r w:rsidR="003D499F">
        <w:t>Proceeding.  She has caused defences to be filed on her b</w:t>
      </w:r>
      <w:r w:rsidR="00827910">
        <w:t xml:space="preserve">ehalf and on behalf </w:t>
      </w:r>
      <w:r w:rsidR="006D0491">
        <w:t>of</w:t>
      </w:r>
      <w:r w:rsidR="00827910">
        <w:t xml:space="preserve"> </w:t>
      </w:r>
      <w:proofErr w:type="spellStart"/>
      <w:r w:rsidR="00827910">
        <w:t>Runcity</w:t>
      </w:r>
      <w:proofErr w:type="spellEnd"/>
      <w:r w:rsidR="00827910">
        <w:t xml:space="preserve"> in the </w:t>
      </w:r>
      <w:proofErr w:type="spellStart"/>
      <w:r w:rsidR="00827910">
        <w:t>Silverhills</w:t>
      </w:r>
      <w:proofErr w:type="spellEnd"/>
      <w:r w:rsidR="00827910">
        <w:t xml:space="preserve"> Haulage Proceeding and on her behalf in the </w:t>
      </w:r>
      <w:proofErr w:type="spellStart"/>
      <w:r w:rsidR="00827910">
        <w:t>Interfreight</w:t>
      </w:r>
      <w:proofErr w:type="spellEnd"/>
      <w:r w:rsidR="00827910">
        <w:t xml:space="preserve"> Proceeding.</w:t>
      </w:r>
      <w:r w:rsidR="003332AA">
        <w:t xml:space="preserve">  Mrs </w:t>
      </w:r>
      <w:proofErr w:type="spellStart"/>
      <w:r w:rsidR="003332AA">
        <w:t>Tabuso</w:t>
      </w:r>
      <w:proofErr w:type="spellEnd"/>
      <w:r w:rsidR="003332AA">
        <w:t xml:space="preserve"> makes no reference in her affidavit to the RC Group </w:t>
      </w:r>
      <w:proofErr w:type="spellStart"/>
      <w:r w:rsidR="003332AA">
        <w:t>Voidables</w:t>
      </w:r>
      <w:proofErr w:type="spellEnd"/>
      <w:r w:rsidR="003332AA">
        <w:t xml:space="preserve"> Proceeding to which </w:t>
      </w:r>
      <w:proofErr w:type="spellStart"/>
      <w:r w:rsidR="003332AA">
        <w:t>Runcity</w:t>
      </w:r>
      <w:proofErr w:type="spellEnd"/>
      <w:r w:rsidR="003332AA">
        <w:t xml:space="preserve"> is a </w:t>
      </w:r>
      <w:r w:rsidR="00E674CA">
        <w:t>defendant,</w:t>
      </w:r>
      <w:r w:rsidR="003332AA">
        <w:t xml:space="preserve"> but it was clear f</w:t>
      </w:r>
      <w:r w:rsidR="00BD4FD7">
        <w:t>r</w:t>
      </w:r>
      <w:r w:rsidR="003332AA">
        <w:t xml:space="preserve">om her cross-examination that she is also aware of that proceeding.  </w:t>
      </w:r>
    </w:p>
    <w:p w14:paraId="2FA8DDC5" w14:textId="77ABAC25" w:rsidR="001B06FB" w:rsidRDefault="00D313AC" w:rsidP="00D313AC">
      <w:pPr>
        <w:pStyle w:val="ParaNumbering"/>
        <w:numPr>
          <w:ilvl w:val="0"/>
          <w:numId w:val="0"/>
        </w:numPr>
        <w:ind w:hanging="720"/>
      </w:pPr>
      <w:r>
        <w:rPr>
          <w:sz w:val="20"/>
        </w:rPr>
        <w:t>121</w:t>
      </w:r>
      <w:r>
        <w:rPr>
          <w:sz w:val="20"/>
        </w:rPr>
        <w:tab/>
      </w:r>
      <w:r w:rsidR="005F201C">
        <w:t xml:space="preserve">Mrs </w:t>
      </w:r>
      <w:proofErr w:type="spellStart"/>
      <w:r w:rsidR="005F201C">
        <w:t>Tabuso</w:t>
      </w:r>
      <w:proofErr w:type="spellEnd"/>
      <w:r w:rsidR="005F201C">
        <w:t xml:space="preserve"> notes that </w:t>
      </w:r>
      <w:r w:rsidR="0041592A">
        <w:t xml:space="preserve">the </w:t>
      </w:r>
      <w:r w:rsidR="002E1F0E">
        <w:t xml:space="preserve">plaintiffs in </w:t>
      </w:r>
      <w:r w:rsidR="005F201C">
        <w:t xml:space="preserve">the </w:t>
      </w:r>
      <w:proofErr w:type="spellStart"/>
      <w:r w:rsidR="005F201C">
        <w:t>I</w:t>
      </w:r>
      <w:r w:rsidR="002E1F0E">
        <w:t>n</w:t>
      </w:r>
      <w:r w:rsidR="005F201C">
        <w:t>terfreight</w:t>
      </w:r>
      <w:proofErr w:type="spellEnd"/>
      <w:r w:rsidR="005F201C">
        <w:t xml:space="preserve"> Proceeding</w:t>
      </w:r>
      <w:r w:rsidR="0041592A">
        <w:t xml:space="preserve"> </w:t>
      </w:r>
      <w:r w:rsidR="002E1F0E">
        <w:t xml:space="preserve">make claims </w:t>
      </w:r>
      <w:r w:rsidR="0041592A">
        <w:t>pursuant to s</w:t>
      </w:r>
      <w:r w:rsidR="002E1F0E">
        <w:t> </w:t>
      </w:r>
      <w:r w:rsidR="0041592A">
        <w:t xml:space="preserve">588FF(1)(a) and/or </w:t>
      </w:r>
      <w:r w:rsidR="002E1F0E">
        <w:t>s</w:t>
      </w:r>
      <w:r w:rsidR="0041592A">
        <w:t xml:space="preserve"> 588FF(1)(c) of the Corporations Act </w:t>
      </w:r>
      <w:r w:rsidR="00DA6589">
        <w:t xml:space="preserve">and seek </w:t>
      </w:r>
      <w:r w:rsidR="000327D7">
        <w:t xml:space="preserve">payment of </w:t>
      </w:r>
      <w:r w:rsidR="00DA6589">
        <w:t xml:space="preserve">the sum of </w:t>
      </w:r>
      <w:r w:rsidR="0041592A">
        <w:t>$84,345</w:t>
      </w:r>
      <w:r w:rsidR="000327D7">
        <w:t xml:space="preserve"> from her</w:t>
      </w:r>
      <w:r w:rsidR="00457C21">
        <w:t>.</w:t>
      </w:r>
      <w:r w:rsidR="00DA6589">
        <w:t xml:space="preserve">  Mrs </w:t>
      </w:r>
      <w:proofErr w:type="spellStart"/>
      <w:r w:rsidR="00457C21">
        <w:t>T</w:t>
      </w:r>
      <w:r w:rsidR="00DA6589">
        <w:t>abuso</w:t>
      </w:r>
      <w:proofErr w:type="spellEnd"/>
      <w:r w:rsidR="00DA6589">
        <w:t xml:space="preserve"> gives the following evidence:</w:t>
      </w:r>
    </w:p>
    <w:p w14:paraId="080BFEDF" w14:textId="3002D4D5" w:rsidR="00457C21" w:rsidRDefault="00D313AC" w:rsidP="00D313AC">
      <w:pPr>
        <w:pStyle w:val="ListNo1"/>
        <w:numPr>
          <w:ilvl w:val="0"/>
          <w:numId w:val="0"/>
        </w:numPr>
        <w:tabs>
          <w:tab w:val="left" w:pos="720"/>
        </w:tabs>
        <w:ind w:left="720" w:hanging="720"/>
      </w:pPr>
      <w:r>
        <w:lastRenderedPageBreak/>
        <w:t>(1)</w:t>
      </w:r>
      <w:r>
        <w:tab/>
      </w:r>
      <w:r w:rsidR="00ED30F3">
        <w:t>she believes that t</w:t>
      </w:r>
      <w:r w:rsidR="00457C21">
        <w:t xml:space="preserve">he amounts </w:t>
      </w:r>
      <w:r w:rsidR="00ED30F3">
        <w:t xml:space="preserve">she </w:t>
      </w:r>
      <w:r w:rsidR="00457C21">
        <w:t xml:space="preserve">received </w:t>
      </w:r>
      <w:r w:rsidR="00195954">
        <w:t xml:space="preserve">from </w:t>
      </w:r>
      <w:proofErr w:type="spellStart"/>
      <w:r w:rsidR="00195954">
        <w:t>Interfreight</w:t>
      </w:r>
      <w:proofErr w:type="spellEnd"/>
      <w:r w:rsidR="00195954">
        <w:t xml:space="preserve"> 1 </w:t>
      </w:r>
      <w:r w:rsidR="00457C21">
        <w:t xml:space="preserve">were for </w:t>
      </w:r>
      <w:r w:rsidR="00C329BF">
        <w:t>“</w:t>
      </w:r>
      <w:r w:rsidR="00457C21">
        <w:t>employee</w:t>
      </w:r>
      <w:r w:rsidR="00C329BF">
        <w:t> </w:t>
      </w:r>
      <w:r w:rsidR="00457C21">
        <w:t>rental</w:t>
      </w:r>
      <w:r w:rsidR="00C329BF">
        <w:t>”</w:t>
      </w:r>
      <w:r w:rsidR="00457C21">
        <w:t>, reimbursement of expenses and wages;</w:t>
      </w:r>
    </w:p>
    <w:p w14:paraId="554564DB" w14:textId="099EE6A4" w:rsidR="00E641C2" w:rsidRDefault="00D313AC" w:rsidP="00D313AC">
      <w:pPr>
        <w:pStyle w:val="ListNo1"/>
        <w:numPr>
          <w:ilvl w:val="0"/>
          <w:numId w:val="0"/>
        </w:numPr>
        <w:tabs>
          <w:tab w:val="left" w:pos="720"/>
        </w:tabs>
        <w:ind w:left="720" w:hanging="720"/>
      </w:pPr>
      <w:r>
        <w:t>(2)</w:t>
      </w:r>
      <w:r>
        <w:tab/>
      </w:r>
      <w:r w:rsidR="00982734">
        <w:t xml:space="preserve">she understands that </w:t>
      </w:r>
      <w:r w:rsidR="00E641C2">
        <w:t>at</w:t>
      </w:r>
      <w:r w:rsidR="00EB4152">
        <w:t>,</w:t>
      </w:r>
      <w:r w:rsidR="00E641C2">
        <w:t xml:space="preserve"> </w:t>
      </w:r>
      <w:r w:rsidR="00EB4152">
        <w:t>or at</w:t>
      </w:r>
      <w:r w:rsidR="00E641C2">
        <w:t xml:space="preserve"> about the</w:t>
      </w:r>
      <w:r w:rsidR="00EB4152">
        <w:t>,</w:t>
      </w:r>
      <w:r w:rsidR="00E641C2">
        <w:t xml:space="preserve"> time of any expense being incurred, all paperwork relating to any expense</w:t>
      </w:r>
      <w:r w:rsidR="00543C56">
        <w:t>,</w:t>
      </w:r>
      <w:r w:rsidR="00E641C2">
        <w:t xml:space="preserve"> including tax invoices</w:t>
      </w:r>
      <w:r w:rsidR="00543C56">
        <w:t>,</w:t>
      </w:r>
      <w:r w:rsidR="00E641C2">
        <w:t xml:space="preserve"> was provided to Mr </w:t>
      </w:r>
      <w:proofErr w:type="spellStart"/>
      <w:r w:rsidR="00E641C2">
        <w:t>Tabuso</w:t>
      </w:r>
      <w:proofErr w:type="spellEnd"/>
      <w:r w:rsidR="00E641C2">
        <w:t xml:space="preserve"> or the </w:t>
      </w:r>
      <w:r w:rsidR="005557C1">
        <w:t xml:space="preserve">then </w:t>
      </w:r>
      <w:r w:rsidR="00E641C2">
        <w:t xml:space="preserve">bookkeeper for the </w:t>
      </w:r>
      <w:proofErr w:type="spellStart"/>
      <w:r w:rsidR="00E641C2">
        <w:t>Tabuso</w:t>
      </w:r>
      <w:proofErr w:type="spellEnd"/>
      <w:r w:rsidR="00E641C2">
        <w:t xml:space="preserve"> </w:t>
      </w:r>
      <w:r w:rsidR="00982734">
        <w:t>G</w:t>
      </w:r>
      <w:r w:rsidR="00E641C2">
        <w:t>roup</w:t>
      </w:r>
      <w:r w:rsidR="00982734">
        <w:t>;</w:t>
      </w:r>
      <w:r w:rsidR="00454434">
        <w:t xml:space="preserve"> and</w:t>
      </w:r>
    </w:p>
    <w:p w14:paraId="049B17DF" w14:textId="597C1E2F" w:rsidR="00982734" w:rsidRDefault="00D313AC" w:rsidP="00D313AC">
      <w:pPr>
        <w:pStyle w:val="ListNo1"/>
        <w:numPr>
          <w:ilvl w:val="0"/>
          <w:numId w:val="0"/>
        </w:numPr>
        <w:tabs>
          <w:tab w:val="left" w:pos="720"/>
        </w:tabs>
        <w:ind w:left="720" w:hanging="720"/>
      </w:pPr>
      <w:r>
        <w:t>(3)</w:t>
      </w:r>
      <w:r>
        <w:tab/>
      </w:r>
      <w:r w:rsidR="00982734">
        <w:t>she was paid wages from time to time but no longer ha</w:t>
      </w:r>
      <w:r w:rsidR="00991560">
        <w:t>s</w:t>
      </w:r>
      <w:r w:rsidR="00982734">
        <w:t xml:space="preserve"> any payslips.  She understands that all wages she received were declared to the ATO in her tax returns</w:t>
      </w:r>
      <w:r w:rsidR="00454434">
        <w:t>.</w:t>
      </w:r>
    </w:p>
    <w:p w14:paraId="4A7AFE29" w14:textId="334E2F5F" w:rsidR="00844574" w:rsidRDefault="00D313AC" w:rsidP="00D313AC">
      <w:pPr>
        <w:pStyle w:val="ParaNumbering"/>
        <w:numPr>
          <w:ilvl w:val="0"/>
          <w:numId w:val="0"/>
        </w:numPr>
        <w:ind w:hanging="720"/>
      </w:pPr>
      <w:r>
        <w:rPr>
          <w:sz w:val="20"/>
        </w:rPr>
        <w:t>122</w:t>
      </w:r>
      <w:r>
        <w:rPr>
          <w:sz w:val="20"/>
        </w:rPr>
        <w:tab/>
      </w:r>
      <w:r w:rsidR="003E0076">
        <w:t xml:space="preserve">Mrs </w:t>
      </w:r>
      <w:proofErr w:type="spellStart"/>
      <w:r w:rsidR="003E0076">
        <w:t>Tabuso</w:t>
      </w:r>
      <w:proofErr w:type="spellEnd"/>
      <w:r w:rsidR="003E0076">
        <w:t xml:space="preserve"> was not requested at any time to preserve her records relating to the allegations made in the </w:t>
      </w:r>
      <w:proofErr w:type="spellStart"/>
      <w:r w:rsidR="003E0076">
        <w:t>Silverhills</w:t>
      </w:r>
      <w:proofErr w:type="spellEnd"/>
      <w:r w:rsidR="003E0076">
        <w:t xml:space="preserve"> Haulage Proceeding or the </w:t>
      </w:r>
      <w:proofErr w:type="spellStart"/>
      <w:r w:rsidR="003E0076">
        <w:t>Interfreight</w:t>
      </w:r>
      <w:proofErr w:type="spellEnd"/>
      <w:r w:rsidR="003E0076">
        <w:t xml:space="preserve"> Proceeding</w:t>
      </w:r>
      <w:r w:rsidR="00844574">
        <w:t>.  She has:</w:t>
      </w:r>
    </w:p>
    <w:p w14:paraId="2CBE9F09" w14:textId="63579DD0" w:rsidR="006F510B" w:rsidRDefault="00D313AC" w:rsidP="00D313AC">
      <w:pPr>
        <w:pStyle w:val="ListNo1"/>
        <w:numPr>
          <w:ilvl w:val="0"/>
          <w:numId w:val="0"/>
        </w:numPr>
        <w:tabs>
          <w:tab w:val="left" w:pos="720"/>
        </w:tabs>
        <w:ind w:left="720" w:hanging="720"/>
      </w:pPr>
      <w:r>
        <w:t>(1)</w:t>
      </w:r>
      <w:r>
        <w:tab/>
      </w:r>
      <w:r w:rsidR="006F510B">
        <w:t xml:space="preserve">reviewed all of her available records.  At about the time of service of the </w:t>
      </w:r>
      <w:proofErr w:type="spellStart"/>
      <w:r w:rsidR="006F510B">
        <w:t>Silverhills</w:t>
      </w:r>
      <w:proofErr w:type="spellEnd"/>
      <w:r w:rsidR="006F510B">
        <w:t xml:space="preserve"> Haulage </w:t>
      </w:r>
      <w:r w:rsidR="00C05A1A">
        <w:t>P</w:t>
      </w:r>
      <w:r w:rsidR="006F510B">
        <w:t xml:space="preserve">roceeding in September 2021, </w:t>
      </w:r>
      <w:r w:rsidR="00C05A1A">
        <w:t>she</w:t>
      </w:r>
      <w:r w:rsidR="006F510B">
        <w:t xml:space="preserve"> had a conversation with </w:t>
      </w:r>
      <w:r w:rsidR="00C05A1A">
        <w:t xml:space="preserve">Mr </w:t>
      </w:r>
      <w:proofErr w:type="spellStart"/>
      <w:r w:rsidR="00C05A1A">
        <w:t>Tabuso</w:t>
      </w:r>
      <w:proofErr w:type="spellEnd"/>
      <w:r w:rsidR="006F510B">
        <w:t xml:space="preserve"> who said to </w:t>
      </w:r>
      <w:r w:rsidR="00C05A1A">
        <w:t xml:space="preserve">her words </w:t>
      </w:r>
      <w:r w:rsidR="006F510B">
        <w:t xml:space="preserve">to the </w:t>
      </w:r>
      <w:r w:rsidR="00C05A1A">
        <w:t xml:space="preserve">following </w:t>
      </w:r>
      <w:r w:rsidR="006F510B">
        <w:t>effect:</w:t>
      </w:r>
    </w:p>
    <w:p w14:paraId="4C1125B0" w14:textId="63A8023C" w:rsidR="00C05A1A" w:rsidRDefault="006F510B" w:rsidP="000A4B26">
      <w:pPr>
        <w:pStyle w:val="Quote2"/>
        <w:spacing w:after="360"/>
      </w:pPr>
      <w:r>
        <w:t xml:space="preserve">All of the company records were either given to the liquidator or kept by </w:t>
      </w:r>
      <w:proofErr w:type="spellStart"/>
      <w:r>
        <w:t>Banq</w:t>
      </w:r>
      <w:proofErr w:type="spellEnd"/>
      <w:r w:rsidR="001F60D1">
        <w:t> </w:t>
      </w:r>
      <w:r>
        <w:t>Accountants under a claimed lien for made up account fees or were destroyed in the ordinary course of business. I have nothing going back to 2010-2013.</w:t>
      </w:r>
    </w:p>
    <w:p w14:paraId="04CC3A32" w14:textId="1C8632CD" w:rsidR="00DA6589" w:rsidRDefault="00D313AC" w:rsidP="00D313AC">
      <w:pPr>
        <w:pStyle w:val="ListNo1"/>
        <w:numPr>
          <w:ilvl w:val="0"/>
          <w:numId w:val="0"/>
        </w:numPr>
        <w:tabs>
          <w:tab w:val="left" w:pos="720"/>
        </w:tabs>
        <w:ind w:left="720" w:hanging="720"/>
      </w:pPr>
      <w:r>
        <w:t>(2)</w:t>
      </w:r>
      <w:r>
        <w:tab/>
      </w:r>
      <w:r w:rsidR="003C17C3">
        <w:t xml:space="preserve">contacted her tax agent, Mr Dunstan, and believes that he does not hold any of her records </w:t>
      </w:r>
      <w:r w:rsidR="00A46A2C">
        <w:t>for</w:t>
      </w:r>
      <w:r w:rsidR="003C17C3">
        <w:t xml:space="preserve"> </w:t>
      </w:r>
      <w:r w:rsidR="00BB1AB1">
        <w:t xml:space="preserve">the </w:t>
      </w:r>
      <w:r w:rsidR="003C17C3">
        <w:t>2011, 2012 or 2013</w:t>
      </w:r>
      <w:r w:rsidR="00E748A2">
        <w:t xml:space="preserve"> financial years</w:t>
      </w:r>
      <w:r w:rsidR="003C17C3">
        <w:t xml:space="preserve">; </w:t>
      </w:r>
    </w:p>
    <w:p w14:paraId="3FF72E6D" w14:textId="2E520B3F" w:rsidR="003C17C3" w:rsidRDefault="00D313AC" w:rsidP="00D313AC">
      <w:pPr>
        <w:pStyle w:val="ListNo1"/>
        <w:numPr>
          <w:ilvl w:val="0"/>
          <w:numId w:val="0"/>
        </w:numPr>
        <w:tabs>
          <w:tab w:val="left" w:pos="720"/>
        </w:tabs>
        <w:ind w:left="720" w:hanging="720"/>
      </w:pPr>
      <w:r>
        <w:t>(3)</w:t>
      </w:r>
      <w:r>
        <w:tab/>
      </w:r>
      <w:r w:rsidR="003C17C3">
        <w:t xml:space="preserve">contacted her bank </w:t>
      </w:r>
      <w:r w:rsidR="00A7544E">
        <w:t>to obtain records for the period 2011 to 2013; and</w:t>
      </w:r>
    </w:p>
    <w:p w14:paraId="3D37D421" w14:textId="4200A8A1" w:rsidR="00A7544E" w:rsidRDefault="00D313AC" w:rsidP="00D313AC">
      <w:pPr>
        <w:pStyle w:val="ListNo1"/>
        <w:numPr>
          <w:ilvl w:val="0"/>
          <w:numId w:val="0"/>
        </w:numPr>
        <w:tabs>
          <w:tab w:val="left" w:pos="720"/>
        </w:tabs>
        <w:ind w:left="720" w:hanging="720"/>
      </w:pPr>
      <w:r>
        <w:t>(4)</w:t>
      </w:r>
      <w:r>
        <w:tab/>
      </w:r>
      <w:r w:rsidR="00F30938">
        <w:t>undertaken a thorough examination of all of her records but has been unable to locate any records referring to the claims against her in the proceedings</w:t>
      </w:r>
      <w:r w:rsidR="00F5693A">
        <w:t>.</w:t>
      </w:r>
    </w:p>
    <w:p w14:paraId="21E2C5AA" w14:textId="4FBDDE29" w:rsidR="00F5693A" w:rsidRDefault="00D313AC" w:rsidP="00D313AC">
      <w:pPr>
        <w:pStyle w:val="ParaNumbering"/>
        <w:numPr>
          <w:ilvl w:val="0"/>
          <w:numId w:val="0"/>
        </w:numPr>
        <w:ind w:hanging="720"/>
      </w:pPr>
      <w:r>
        <w:rPr>
          <w:sz w:val="20"/>
        </w:rPr>
        <w:t>123</w:t>
      </w:r>
      <w:r>
        <w:rPr>
          <w:sz w:val="20"/>
        </w:rPr>
        <w:tab/>
      </w:r>
      <w:r w:rsidR="003C477E">
        <w:t>T</w:t>
      </w:r>
      <w:r w:rsidR="00F5693A">
        <w:t xml:space="preserve">he </w:t>
      </w:r>
      <w:proofErr w:type="spellStart"/>
      <w:r w:rsidR="00F5693A">
        <w:t>Silverhills</w:t>
      </w:r>
      <w:proofErr w:type="spellEnd"/>
      <w:r w:rsidR="00F5693A">
        <w:t xml:space="preserve"> Haulage Proceeding </w:t>
      </w:r>
      <w:r w:rsidR="001559A1">
        <w:t>and</w:t>
      </w:r>
      <w:r w:rsidR="00F5693A">
        <w:t xml:space="preserve"> the </w:t>
      </w:r>
      <w:proofErr w:type="spellStart"/>
      <w:r w:rsidR="00F5693A">
        <w:t>Interfreight</w:t>
      </w:r>
      <w:proofErr w:type="spellEnd"/>
      <w:r w:rsidR="00F5693A">
        <w:t xml:space="preserve"> Proceeding are causing </w:t>
      </w:r>
      <w:r w:rsidR="003C477E">
        <w:t>Mrs </w:t>
      </w:r>
      <w:proofErr w:type="spellStart"/>
      <w:r w:rsidR="003C477E">
        <w:t>Tabuso</w:t>
      </w:r>
      <w:proofErr w:type="spellEnd"/>
      <w:r w:rsidR="00F5693A">
        <w:t xml:space="preserve"> significant stress and anxiety.</w:t>
      </w:r>
    </w:p>
    <w:p w14:paraId="40A7AFE6" w14:textId="2DEA1773" w:rsidR="00477B4D" w:rsidRDefault="00477B4D" w:rsidP="00477B4D">
      <w:pPr>
        <w:pStyle w:val="Heading4"/>
      </w:pPr>
      <w:r>
        <w:t xml:space="preserve">Application for deregistration of </w:t>
      </w:r>
      <w:proofErr w:type="spellStart"/>
      <w:r>
        <w:t>Runcity</w:t>
      </w:r>
      <w:proofErr w:type="spellEnd"/>
      <w:r>
        <w:t xml:space="preserve"> </w:t>
      </w:r>
    </w:p>
    <w:p w14:paraId="378B9CBA" w14:textId="774290E7" w:rsidR="00230CD2" w:rsidRDefault="00D313AC" w:rsidP="00D313AC">
      <w:pPr>
        <w:pStyle w:val="ParaNumbering"/>
        <w:numPr>
          <w:ilvl w:val="0"/>
          <w:numId w:val="0"/>
        </w:numPr>
        <w:ind w:hanging="720"/>
      </w:pPr>
      <w:r>
        <w:rPr>
          <w:sz w:val="20"/>
        </w:rPr>
        <w:t>124</w:t>
      </w:r>
      <w:r>
        <w:rPr>
          <w:sz w:val="20"/>
        </w:rPr>
        <w:tab/>
      </w:r>
      <w:r w:rsidR="00230CD2">
        <w:t xml:space="preserve">In evidence was an “Application for voluntary deregistration of a company” for </w:t>
      </w:r>
      <w:proofErr w:type="spellStart"/>
      <w:r w:rsidR="00230CD2">
        <w:t>Runcity</w:t>
      </w:r>
      <w:proofErr w:type="spellEnd"/>
      <w:r w:rsidR="00230CD2">
        <w:t xml:space="preserve"> dated 23 May 20</w:t>
      </w:r>
      <w:r w:rsidR="00A63710">
        <w:t>2</w:t>
      </w:r>
      <w:r w:rsidR="00230CD2">
        <w:t>2 which was lodged by Strategic Accounting Advisers Pty Ltd and which named Mrs</w:t>
      </w:r>
      <w:r w:rsidR="00C3057F">
        <w:t> </w:t>
      </w:r>
      <w:proofErr w:type="spellStart"/>
      <w:r w:rsidR="00230CD2">
        <w:t>Tabuso</w:t>
      </w:r>
      <w:proofErr w:type="spellEnd"/>
      <w:r w:rsidR="00230CD2">
        <w:t xml:space="preserve"> as applicant and included Mrs </w:t>
      </w:r>
      <w:proofErr w:type="spellStart"/>
      <w:r w:rsidR="00230CD2">
        <w:t>Tabuso’s</w:t>
      </w:r>
      <w:proofErr w:type="spellEnd"/>
      <w:r w:rsidR="00230CD2">
        <w:t xml:space="preserve"> name as signatory, although the document was not signed (</w:t>
      </w:r>
      <w:proofErr w:type="spellStart"/>
      <w:r w:rsidR="00230CD2" w:rsidRPr="0030747A">
        <w:rPr>
          <w:b/>
          <w:bCs/>
        </w:rPr>
        <w:t>Runcity</w:t>
      </w:r>
      <w:proofErr w:type="spellEnd"/>
      <w:r w:rsidR="00230CD2" w:rsidRPr="0030747A">
        <w:rPr>
          <w:b/>
          <w:bCs/>
        </w:rPr>
        <w:t xml:space="preserve"> Deregistration Application</w:t>
      </w:r>
      <w:r w:rsidR="00230CD2" w:rsidRPr="00B67C66">
        <w:t>)</w:t>
      </w:r>
      <w:r w:rsidR="00230CD2">
        <w:t>.  It also include</w:t>
      </w:r>
      <w:r w:rsidR="003C59F8">
        <w:t>d</w:t>
      </w:r>
      <w:r w:rsidR="00230CD2">
        <w:t xml:space="preserve"> a declaration that, among other things, “</w:t>
      </w:r>
      <w:r w:rsidR="00230CD2" w:rsidRPr="001D3E83">
        <w:t>the company is not a party to any legal proceedings</w:t>
      </w:r>
      <w:r w:rsidR="00230CD2">
        <w:t>”</w:t>
      </w:r>
      <w:r w:rsidR="008A7D23">
        <w:t>.</w:t>
      </w:r>
    </w:p>
    <w:p w14:paraId="02085E72" w14:textId="3E58FF2F" w:rsidR="00230CD2" w:rsidRDefault="00D313AC" w:rsidP="00D313AC">
      <w:pPr>
        <w:pStyle w:val="ParaNumbering"/>
        <w:numPr>
          <w:ilvl w:val="0"/>
          <w:numId w:val="0"/>
        </w:numPr>
        <w:ind w:hanging="720"/>
      </w:pPr>
      <w:r>
        <w:rPr>
          <w:sz w:val="20"/>
        </w:rPr>
        <w:t>125</w:t>
      </w:r>
      <w:r>
        <w:rPr>
          <w:sz w:val="20"/>
        </w:rPr>
        <w:tab/>
      </w:r>
      <w:r w:rsidR="00230CD2">
        <w:t xml:space="preserve">Mrs </w:t>
      </w:r>
      <w:proofErr w:type="spellStart"/>
      <w:r w:rsidR="00230CD2">
        <w:t>Tabuso</w:t>
      </w:r>
      <w:proofErr w:type="spellEnd"/>
      <w:r w:rsidR="00230CD2">
        <w:t xml:space="preserve"> does not specifically recall signing the </w:t>
      </w:r>
      <w:proofErr w:type="spellStart"/>
      <w:r w:rsidR="00230CD2">
        <w:t>Runcity</w:t>
      </w:r>
      <w:proofErr w:type="spellEnd"/>
      <w:r w:rsidR="00230CD2">
        <w:t xml:space="preserve"> Deregistration Application.  She d</w:t>
      </w:r>
      <w:r w:rsidR="003C59F8">
        <w:t>i</w:t>
      </w:r>
      <w:r w:rsidR="00230CD2">
        <w:t xml:space="preserve">d not lodge any documents electronically with ASIC, as it appears was the case for that form, </w:t>
      </w:r>
      <w:r w:rsidR="00230CD2">
        <w:lastRenderedPageBreak/>
        <w:t xml:space="preserve">although she does recall signing some ASIC documents in early 2022 but cannot recall to what those documents related.  </w:t>
      </w:r>
      <w:r w:rsidR="003C59F8">
        <w:t xml:space="preserve">That said, </w:t>
      </w:r>
      <w:r w:rsidR="00230CD2">
        <w:t xml:space="preserve">Mrs </w:t>
      </w:r>
      <w:proofErr w:type="spellStart"/>
      <w:r w:rsidR="00230CD2">
        <w:t>Tabuso</w:t>
      </w:r>
      <w:proofErr w:type="spellEnd"/>
      <w:r w:rsidR="00230CD2">
        <w:t xml:space="preserve"> accepts that she may have signed or approved “deregistration paperwork” for </w:t>
      </w:r>
      <w:proofErr w:type="spellStart"/>
      <w:r w:rsidR="00230CD2">
        <w:t>Runcity</w:t>
      </w:r>
      <w:proofErr w:type="spellEnd"/>
      <w:r w:rsidR="00230CD2">
        <w:t xml:space="preserve"> but that would have occurred because Mr </w:t>
      </w:r>
      <w:proofErr w:type="spellStart"/>
      <w:r w:rsidR="00230CD2">
        <w:t>Tabuso</w:t>
      </w:r>
      <w:proofErr w:type="spellEnd"/>
      <w:r w:rsidR="00230CD2">
        <w:t xml:space="preserve"> first spoke to her about it.  Mrs </w:t>
      </w:r>
      <w:proofErr w:type="spellStart"/>
      <w:r w:rsidR="00230CD2">
        <w:t>Tabuso</w:t>
      </w:r>
      <w:proofErr w:type="spellEnd"/>
      <w:r w:rsidR="00230CD2">
        <w:t xml:space="preserve"> did not appreciate that she m</w:t>
      </w:r>
      <w:r w:rsidR="00E27B7E">
        <w:t>ay</w:t>
      </w:r>
      <w:r w:rsidR="00230CD2">
        <w:t xml:space="preserve"> have signed or approved any “paperwork” that m</w:t>
      </w:r>
      <w:r w:rsidR="00E27B7E">
        <w:t>ay</w:t>
      </w:r>
      <w:r w:rsidR="00230CD2">
        <w:t xml:space="preserve"> have impacted any of the Supreme Court proceedings to which </w:t>
      </w:r>
      <w:proofErr w:type="spellStart"/>
      <w:r w:rsidR="00230CD2">
        <w:t>Runcity</w:t>
      </w:r>
      <w:proofErr w:type="spellEnd"/>
      <w:r w:rsidR="00230CD2">
        <w:t xml:space="preserve"> is a party.</w:t>
      </w:r>
      <w:r w:rsidR="00AB0E66">
        <w:t xml:space="preserve">  She </w:t>
      </w:r>
      <w:r w:rsidR="00413695">
        <w:t>understands</w:t>
      </w:r>
      <w:r w:rsidR="00AB0E66">
        <w:t xml:space="preserve"> that </w:t>
      </w:r>
      <w:r w:rsidR="00413695">
        <w:t xml:space="preserve">her accountant has withdrawn the </w:t>
      </w:r>
      <w:proofErr w:type="spellStart"/>
      <w:r w:rsidR="00413695">
        <w:t>Runcity</w:t>
      </w:r>
      <w:proofErr w:type="spellEnd"/>
      <w:r w:rsidR="00413695">
        <w:t xml:space="preserve"> Deregistration Application and that </w:t>
      </w:r>
      <w:proofErr w:type="spellStart"/>
      <w:r w:rsidR="00413695">
        <w:t>Runcity</w:t>
      </w:r>
      <w:proofErr w:type="spellEnd"/>
      <w:r w:rsidR="00413695">
        <w:t xml:space="preserve"> remains registered.</w:t>
      </w:r>
      <w:r w:rsidR="00230CD2">
        <w:t xml:space="preserve">  </w:t>
      </w:r>
    </w:p>
    <w:p w14:paraId="161BEAD9" w14:textId="52F93AFE" w:rsidR="00230CD2" w:rsidRDefault="00D313AC" w:rsidP="00D313AC">
      <w:pPr>
        <w:pStyle w:val="ParaNumbering"/>
        <w:numPr>
          <w:ilvl w:val="0"/>
          <w:numId w:val="0"/>
        </w:numPr>
        <w:ind w:hanging="720"/>
      </w:pPr>
      <w:r>
        <w:rPr>
          <w:sz w:val="20"/>
        </w:rPr>
        <w:t>126</w:t>
      </w:r>
      <w:r>
        <w:rPr>
          <w:sz w:val="20"/>
        </w:rPr>
        <w:tab/>
      </w:r>
      <w:r w:rsidR="00230CD2">
        <w:t xml:space="preserve">In cross-examination, when taken to the </w:t>
      </w:r>
      <w:proofErr w:type="spellStart"/>
      <w:r w:rsidR="00230CD2">
        <w:t>Runcity</w:t>
      </w:r>
      <w:proofErr w:type="spellEnd"/>
      <w:r w:rsidR="00230CD2">
        <w:t xml:space="preserve"> Deregistration Application, Mrs </w:t>
      </w:r>
      <w:proofErr w:type="spellStart"/>
      <w:r w:rsidR="00230CD2">
        <w:t>Tabuso</w:t>
      </w:r>
      <w:proofErr w:type="spellEnd"/>
      <w:r w:rsidR="00230CD2">
        <w:t xml:space="preserve"> gave the same evidence.  She said that she did not know if she had signed a copy of that form on 23 May 2022</w:t>
      </w:r>
      <w:r w:rsidR="00E27B7E">
        <w:t xml:space="preserve"> and</w:t>
      </w:r>
      <w:r w:rsidR="00230CD2">
        <w:t xml:space="preserve"> that she “signed pretty much everything that everyone has asked [her] to” but she could not recall if she had signed this form.</w:t>
      </w:r>
    </w:p>
    <w:p w14:paraId="074BCADC" w14:textId="37F1D15A" w:rsidR="00387B13" w:rsidRDefault="00D313AC" w:rsidP="00D313AC">
      <w:pPr>
        <w:pStyle w:val="ParaNumbering"/>
        <w:numPr>
          <w:ilvl w:val="0"/>
          <w:numId w:val="0"/>
        </w:numPr>
        <w:ind w:hanging="720"/>
      </w:pPr>
      <w:r>
        <w:rPr>
          <w:sz w:val="20"/>
        </w:rPr>
        <w:t>127</w:t>
      </w:r>
      <w:r>
        <w:rPr>
          <w:sz w:val="20"/>
        </w:rPr>
        <w:tab/>
      </w:r>
      <w:r w:rsidR="00413695">
        <w:t xml:space="preserve">Mrs </w:t>
      </w:r>
      <w:proofErr w:type="spellStart"/>
      <w:r w:rsidR="00413695">
        <w:t>Tab</w:t>
      </w:r>
      <w:r w:rsidR="001529D7">
        <w:t>uso</w:t>
      </w:r>
      <w:proofErr w:type="spellEnd"/>
      <w:r w:rsidR="00413695">
        <w:t xml:space="preserve"> was </w:t>
      </w:r>
      <w:r w:rsidR="00066850">
        <w:t>also</w:t>
      </w:r>
      <w:r w:rsidR="00413695">
        <w:t xml:space="preserve"> taken to </w:t>
      </w:r>
      <w:r w:rsidR="00066850">
        <w:t>letters</w:t>
      </w:r>
      <w:r w:rsidR="00413695">
        <w:t xml:space="preserve"> dated </w:t>
      </w:r>
      <w:r w:rsidR="00066850">
        <w:t>5 October 2022 and 10</w:t>
      </w:r>
      <w:r w:rsidR="005A5E71">
        <w:t> </w:t>
      </w:r>
      <w:r w:rsidR="00066850">
        <w:t>November 2022 from Norton Rose Ful</w:t>
      </w:r>
      <w:r w:rsidR="00CB7263">
        <w:t xml:space="preserve">bright, </w:t>
      </w:r>
      <w:r w:rsidR="00066850">
        <w:t>the Liquidators’ solicitors</w:t>
      </w:r>
      <w:r w:rsidR="00CB7263">
        <w:t>,</w:t>
      </w:r>
      <w:r w:rsidR="00066850">
        <w:t xml:space="preserve"> to </w:t>
      </w:r>
      <w:r w:rsidR="00EA19AB">
        <w:t>Ms Perry</w:t>
      </w:r>
      <w:r w:rsidR="00066850">
        <w:t xml:space="preserve"> of Pure Legal, who</w:t>
      </w:r>
      <w:r w:rsidR="00CB7263">
        <w:t xml:space="preserve"> at the time </w:t>
      </w:r>
      <w:r w:rsidR="00066850">
        <w:t>was the solicitor for M</w:t>
      </w:r>
      <w:r w:rsidR="00CB7263">
        <w:t>r</w:t>
      </w:r>
      <w:r w:rsidR="00066850">
        <w:t xml:space="preserve">s </w:t>
      </w:r>
      <w:proofErr w:type="spellStart"/>
      <w:r w:rsidR="00066850">
        <w:t>Tabuso</w:t>
      </w:r>
      <w:proofErr w:type="spellEnd"/>
      <w:r w:rsidR="00066850">
        <w:t xml:space="preserve">. </w:t>
      </w:r>
      <w:r w:rsidR="00CB7263">
        <w:t xml:space="preserve"> In those letters Norton Rose Fulbright sought an explanation </w:t>
      </w:r>
      <w:r w:rsidR="007D0DF0">
        <w:t>f</w:t>
      </w:r>
      <w:r w:rsidR="00CB7263">
        <w:t xml:space="preserve">or the </w:t>
      </w:r>
      <w:r w:rsidR="007D0DF0">
        <w:t>lodgement</w:t>
      </w:r>
      <w:r w:rsidR="00CB7263">
        <w:t xml:space="preserve"> of the </w:t>
      </w:r>
      <w:proofErr w:type="spellStart"/>
      <w:r w:rsidR="00CB7263">
        <w:t>Runcity</w:t>
      </w:r>
      <w:proofErr w:type="spellEnd"/>
      <w:r w:rsidR="00CB7263">
        <w:t xml:space="preserve"> Deregistration Application </w:t>
      </w:r>
      <w:r w:rsidR="00FE730A">
        <w:t xml:space="preserve">given that it relied on “declarations that are </w:t>
      </w:r>
      <w:r w:rsidR="007D0DF0">
        <w:t xml:space="preserve">false” and sought to have that application withdrawn.  </w:t>
      </w:r>
      <w:r w:rsidR="00CD0729">
        <w:t>M</w:t>
      </w:r>
      <w:r w:rsidR="005A5E71">
        <w:t>r</w:t>
      </w:r>
      <w:r w:rsidR="00CD0729">
        <w:t xml:space="preserve">s </w:t>
      </w:r>
      <w:proofErr w:type="spellStart"/>
      <w:r w:rsidR="00CD0729">
        <w:t>Tabuso</w:t>
      </w:r>
      <w:proofErr w:type="spellEnd"/>
      <w:r w:rsidR="00CD0729">
        <w:t xml:space="preserve"> could not </w:t>
      </w:r>
      <w:r w:rsidR="005A5E71">
        <w:t>recall</w:t>
      </w:r>
      <w:r w:rsidR="00CD0729">
        <w:t xml:space="preserve"> seeing those l</w:t>
      </w:r>
      <w:r w:rsidR="005A5E71">
        <w:t>e</w:t>
      </w:r>
      <w:r w:rsidR="00CD0729">
        <w:t>tters</w:t>
      </w:r>
      <w:r w:rsidR="005A5E71">
        <w:t xml:space="preserve"> </w:t>
      </w:r>
      <w:r w:rsidR="003D4FCC">
        <w:t xml:space="preserve">prior to her cross-examination.  </w:t>
      </w:r>
    </w:p>
    <w:p w14:paraId="6089BEED" w14:textId="241E42B5" w:rsidR="00230CD2" w:rsidRPr="00640CAC" w:rsidRDefault="00D313AC" w:rsidP="00D313AC">
      <w:pPr>
        <w:pStyle w:val="ParaNumbering"/>
        <w:numPr>
          <w:ilvl w:val="0"/>
          <w:numId w:val="0"/>
        </w:numPr>
        <w:ind w:hanging="720"/>
      </w:pPr>
      <w:r w:rsidRPr="00640CAC">
        <w:rPr>
          <w:sz w:val="20"/>
        </w:rPr>
        <w:t>128</w:t>
      </w:r>
      <w:r w:rsidRPr="00640CAC">
        <w:rPr>
          <w:sz w:val="20"/>
        </w:rPr>
        <w:tab/>
      </w:r>
      <w:r w:rsidR="003D4FCC">
        <w:t xml:space="preserve">Nor could </w:t>
      </w:r>
      <w:r w:rsidR="005508DA" w:rsidRPr="005508DA">
        <w:t xml:space="preserve">Mrs </w:t>
      </w:r>
      <w:proofErr w:type="spellStart"/>
      <w:r w:rsidR="005508DA" w:rsidRPr="005508DA">
        <w:t>Tabuso</w:t>
      </w:r>
      <w:proofErr w:type="spellEnd"/>
      <w:r w:rsidR="003D4FCC">
        <w:t xml:space="preserve"> recall</w:t>
      </w:r>
      <w:r w:rsidR="00387B13">
        <w:t xml:space="preserve"> </w:t>
      </w:r>
      <w:r w:rsidR="003D4FCC">
        <w:t>s</w:t>
      </w:r>
      <w:r w:rsidR="00387B13">
        <w:t>e</w:t>
      </w:r>
      <w:r w:rsidR="003D4FCC">
        <w:t xml:space="preserve">eing the </w:t>
      </w:r>
      <w:r w:rsidR="00387B13">
        <w:t>response</w:t>
      </w:r>
      <w:r w:rsidR="003D4FCC">
        <w:t xml:space="preserve"> fr</w:t>
      </w:r>
      <w:r w:rsidR="00387B13">
        <w:t>o</w:t>
      </w:r>
      <w:r w:rsidR="003D4FCC">
        <w:t xml:space="preserve">m Ms Perry </w:t>
      </w:r>
      <w:r w:rsidR="00387B13">
        <w:t>s</w:t>
      </w:r>
      <w:r w:rsidR="003D4FCC">
        <w:t>ent by email dated 18</w:t>
      </w:r>
      <w:r w:rsidR="0001788F">
        <w:t> </w:t>
      </w:r>
      <w:r w:rsidR="00387B13">
        <w:t>November</w:t>
      </w:r>
      <w:r w:rsidR="003D4FCC">
        <w:t xml:space="preserve"> </w:t>
      </w:r>
      <w:r w:rsidR="00065111">
        <w:t xml:space="preserve">2022 </w:t>
      </w:r>
      <w:r w:rsidR="003D4FCC">
        <w:t xml:space="preserve">in which Ms Perry informed Norton Rose Fulbright that she </w:t>
      </w:r>
      <w:r w:rsidR="00387B13">
        <w:t>had spoken to her client who “</w:t>
      </w:r>
      <w:bookmarkStart w:id="37" w:name="PastedTemp53"/>
      <w:r w:rsidR="00387B13">
        <w:t xml:space="preserve">informs me </w:t>
      </w:r>
      <w:r w:rsidR="00F92FD2">
        <w:t>that there has been no steps taken nor is there any intention of deregistering [</w:t>
      </w:r>
      <w:proofErr w:type="spellStart"/>
      <w:r w:rsidR="00F92FD2">
        <w:t>Runcity</w:t>
      </w:r>
      <w:proofErr w:type="spellEnd"/>
      <w:r w:rsidR="00F92FD2">
        <w:t xml:space="preserve">]”. </w:t>
      </w:r>
      <w:r w:rsidR="00C6461B">
        <w:t xml:space="preserve"> Mrs </w:t>
      </w:r>
      <w:proofErr w:type="spellStart"/>
      <w:r w:rsidR="00C6461B">
        <w:t>Tabuso</w:t>
      </w:r>
      <w:proofErr w:type="spellEnd"/>
      <w:r w:rsidR="00C6461B">
        <w:t xml:space="preserve"> said that she did not tell Ms Perry in </w:t>
      </w:r>
      <w:r w:rsidR="00192170">
        <w:t>November</w:t>
      </w:r>
      <w:r w:rsidR="00C6461B">
        <w:t xml:space="preserve"> 2022 that no steps </w:t>
      </w:r>
      <w:r w:rsidR="00192170">
        <w:t>had</w:t>
      </w:r>
      <w:r w:rsidR="00C6461B">
        <w:t xml:space="preserve"> b</w:t>
      </w:r>
      <w:r w:rsidR="00DE352C">
        <w:t>e</w:t>
      </w:r>
      <w:r w:rsidR="00C6461B">
        <w:t xml:space="preserve">en taken to deregister </w:t>
      </w:r>
      <w:proofErr w:type="spellStart"/>
      <w:r w:rsidR="00C6461B">
        <w:t>Runcity</w:t>
      </w:r>
      <w:proofErr w:type="spellEnd"/>
      <w:r w:rsidR="00583F81">
        <w:t xml:space="preserve">, she did not </w:t>
      </w:r>
      <w:r w:rsidR="00C6461B">
        <w:t xml:space="preserve">discuss </w:t>
      </w:r>
      <w:r w:rsidR="00192170">
        <w:t>that matter with Mr</w:t>
      </w:r>
      <w:r w:rsidR="0036540E">
        <w:t> </w:t>
      </w:r>
      <w:proofErr w:type="spellStart"/>
      <w:r w:rsidR="00192170">
        <w:t>Tabuso</w:t>
      </w:r>
      <w:proofErr w:type="spellEnd"/>
      <w:r w:rsidR="00192170">
        <w:t xml:space="preserve"> at the time</w:t>
      </w:r>
      <w:r w:rsidR="00583F81">
        <w:t xml:space="preserve"> and she was not asked after 25 </w:t>
      </w:r>
      <w:r w:rsidR="003B7B90">
        <w:t>November</w:t>
      </w:r>
      <w:r w:rsidR="00583F81">
        <w:t xml:space="preserve"> 2022, when Norton Rose Fulbright sent a </w:t>
      </w:r>
      <w:r w:rsidR="003B7B90">
        <w:t>further</w:t>
      </w:r>
      <w:r w:rsidR="00583F81">
        <w:t xml:space="preserve"> letter </w:t>
      </w:r>
      <w:r w:rsidR="003B7B90">
        <w:t>to</w:t>
      </w:r>
      <w:r w:rsidR="00583F81">
        <w:t xml:space="preserve"> Ms</w:t>
      </w:r>
      <w:r w:rsidR="003B7B90">
        <w:t> </w:t>
      </w:r>
      <w:r w:rsidR="00583F81">
        <w:t>Perry</w:t>
      </w:r>
      <w:r w:rsidR="003B7B90">
        <w:t xml:space="preserve"> </w:t>
      </w:r>
      <w:r w:rsidR="00583F81">
        <w:t>s</w:t>
      </w:r>
      <w:r w:rsidR="003B7B90">
        <w:t>tating that her</w:t>
      </w:r>
      <w:r w:rsidR="00583F81">
        <w:t xml:space="preserve"> instructions </w:t>
      </w:r>
      <w:r w:rsidR="003B7B90">
        <w:t>were incorrect</w:t>
      </w:r>
      <w:r w:rsidR="00B968E4">
        <w:t xml:space="preserve">, to explain whether any steps had been taken to deregister </w:t>
      </w:r>
      <w:proofErr w:type="spellStart"/>
      <w:r w:rsidR="00B968E4">
        <w:t>Runcity</w:t>
      </w:r>
      <w:proofErr w:type="spellEnd"/>
      <w:r w:rsidR="00192170">
        <w:t xml:space="preserve">.  </w:t>
      </w:r>
      <w:r w:rsidR="00F92FD2">
        <w:t xml:space="preserve"> </w:t>
      </w:r>
      <w:bookmarkEnd w:id="37"/>
    </w:p>
    <w:p w14:paraId="2A6F1EFE" w14:textId="5ECAC7F3" w:rsidR="00C07F3C" w:rsidRDefault="00C07F3C" w:rsidP="00C07F3C">
      <w:pPr>
        <w:pStyle w:val="Heading3"/>
      </w:pPr>
      <w:r>
        <w:t>Mr Ligori</w:t>
      </w:r>
    </w:p>
    <w:p w14:paraId="38A788D9" w14:textId="0D4B7D9A" w:rsidR="008732E8" w:rsidRDefault="00D313AC" w:rsidP="00D313AC">
      <w:pPr>
        <w:pStyle w:val="ParaNumbering"/>
        <w:numPr>
          <w:ilvl w:val="0"/>
          <w:numId w:val="0"/>
        </w:numPr>
        <w:ind w:hanging="720"/>
      </w:pPr>
      <w:r>
        <w:rPr>
          <w:sz w:val="20"/>
        </w:rPr>
        <w:t>129</w:t>
      </w:r>
      <w:r>
        <w:rPr>
          <w:sz w:val="20"/>
        </w:rPr>
        <w:tab/>
      </w:r>
      <w:r w:rsidR="008732E8">
        <w:t>M</w:t>
      </w:r>
      <w:r w:rsidR="0052154A">
        <w:t>aurizio</w:t>
      </w:r>
      <w:r w:rsidR="008732E8">
        <w:t xml:space="preserve"> Ligori is</w:t>
      </w:r>
      <w:r w:rsidR="00E21110">
        <w:t xml:space="preserve"> a diesel motor mechanic</w:t>
      </w:r>
      <w:r w:rsidR="007A2E20">
        <w:t xml:space="preserve">, having </w:t>
      </w:r>
      <w:r w:rsidR="002903DA">
        <w:t>completed</w:t>
      </w:r>
      <w:r w:rsidR="007A2E20">
        <w:t xml:space="preserve"> an apprenticeship as a motor </w:t>
      </w:r>
      <w:r w:rsidR="002903DA">
        <w:t>mechanic</w:t>
      </w:r>
      <w:r w:rsidR="007A2E20">
        <w:t xml:space="preserve"> in about 1980,</w:t>
      </w:r>
      <w:r w:rsidR="00E21110">
        <w:t xml:space="preserve"> </w:t>
      </w:r>
      <w:r w:rsidR="007A2E20">
        <w:t>and</w:t>
      </w:r>
      <w:r w:rsidR="008732E8">
        <w:t xml:space="preserve"> the sixth defendant </w:t>
      </w:r>
      <w:r w:rsidR="002903DA">
        <w:t>to</w:t>
      </w:r>
      <w:r w:rsidR="008732E8">
        <w:t xml:space="preserve"> </w:t>
      </w:r>
      <w:r w:rsidR="002903DA">
        <w:t>the</w:t>
      </w:r>
      <w:r w:rsidR="008732E8">
        <w:t xml:space="preserve"> </w:t>
      </w:r>
      <w:proofErr w:type="spellStart"/>
      <w:r w:rsidR="008732E8">
        <w:t>Silverhills</w:t>
      </w:r>
      <w:proofErr w:type="spellEnd"/>
      <w:r w:rsidR="008732E8">
        <w:t xml:space="preserve"> Haulage Proceeding</w:t>
      </w:r>
      <w:r w:rsidR="002903DA">
        <w:t xml:space="preserve">.  From 2004 to 2021 he was employed by </w:t>
      </w:r>
      <w:proofErr w:type="spellStart"/>
      <w:r w:rsidR="002903DA">
        <w:t>Interfreight</w:t>
      </w:r>
      <w:proofErr w:type="spellEnd"/>
      <w:r w:rsidR="005508DA">
        <w:t> 1</w:t>
      </w:r>
      <w:r w:rsidR="002903DA">
        <w:t xml:space="preserve"> and from time to time other companies associated with Mr </w:t>
      </w:r>
      <w:proofErr w:type="spellStart"/>
      <w:r w:rsidR="002903DA">
        <w:t>Tabuso</w:t>
      </w:r>
      <w:proofErr w:type="spellEnd"/>
      <w:r w:rsidR="002903DA">
        <w:t xml:space="preserve">.  From about late 2014 Mr </w:t>
      </w:r>
      <w:r w:rsidR="00207A21">
        <w:t>L</w:t>
      </w:r>
      <w:r w:rsidR="002903DA">
        <w:t xml:space="preserve">igori’s wages were paid by </w:t>
      </w:r>
      <w:r w:rsidR="00207A21">
        <w:t>a labour</w:t>
      </w:r>
      <w:r w:rsidR="002903DA">
        <w:t xml:space="preserve"> hire company, RC</w:t>
      </w:r>
      <w:r w:rsidR="001A5FD4">
        <w:t> </w:t>
      </w:r>
      <w:r w:rsidR="002903DA">
        <w:t>Group</w:t>
      </w:r>
      <w:r w:rsidR="00207A21">
        <w:t>.</w:t>
      </w:r>
    </w:p>
    <w:p w14:paraId="3525078D" w14:textId="39A86C32" w:rsidR="002903DA" w:rsidRDefault="00D313AC" w:rsidP="00D313AC">
      <w:pPr>
        <w:pStyle w:val="ParaNumbering"/>
        <w:numPr>
          <w:ilvl w:val="0"/>
          <w:numId w:val="0"/>
        </w:numPr>
        <w:ind w:hanging="720"/>
      </w:pPr>
      <w:r>
        <w:rPr>
          <w:sz w:val="20"/>
        </w:rPr>
        <w:lastRenderedPageBreak/>
        <w:t>130</w:t>
      </w:r>
      <w:r>
        <w:rPr>
          <w:sz w:val="20"/>
        </w:rPr>
        <w:tab/>
      </w:r>
      <w:r w:rsidR="00207A21">
        <w:t>From about 2007 to 2013 Mr Ligori managed the operations of Diesel Dan</w:t>
      </w:r>
      <w:r w:rsidR="00F55B8E">
        <w:t> 1</w:t>
      </w:r>
      <w:r w:rsidR="00207A21">
        <w:t xml:space="preserve">, which </w:t>
      </w:r>
      <w:r w:rsidR="0019709A">
        <w:t xml:space="preserve">performed maintenance and mechanical work on </w:t>
      </w:r>
      <w:r w:rsidR="00D0632C">
        <w:t>trucks</w:t>
      </w:r>
      <w:r w:rsidR="0019709A">
        <w:t xml:space="preserve"> and </w:t>
      </w:r>
      <w:r w:rsidR="009025B8">
        <w:t xml:space="preserve">made </w:t>
      </w:r>
      <w:r w:rsidR="0019709A">
        <w:t xml:space="preserve">tyre sales.  </w:t>
      </w:r>
      <w:r w:rsidR="004E4E39">
        <w:t xml:space="preserve">His tasks involved mechanical repairs </w:t>
      </w:r>
      <w:r w:rsidR="007A2CA3">
        <w:t>to</w:t>
      </w:r>
      <w:r w:rsidR="009A5813">
        <w:t>,</w:t>
      </w:r>
      <w:r w:rsidR="007A2CA3">
        <w:t xml:space="preserve"> </w:t>
      </w:r>
      <w:r w:rsidR="004E4E39">
        <w:t xml:space="preserve">and maintenance </w:t>
      </w:r>
      <w:r w:rsidR="007A2CA3">
        <w:t>of</w:t>
      </w:r>
      <w:r w:rsidR="009A5813">
        <w:t>,</w:t>
      </w:r>
      <w:r w:rsidR="007A2CA3">
        <w:t xml:space="preserve"> </w:t>
      </w:r>
      <w:r w:rsidR="004E4E39">
        <w:t>trucks and equipment, trailers, forklifts, etc, purchas</w:t>
      </w:r>
      <w:r w:rsidR="00EC1EF4">
        <w:t>e</w:t>
      </w:r>
      <w:r w:rsidR="004E4E39">
        <w:t xml:space="preserve"> and sale of tyres and fuel, purchas</w:t>
      </w:r>
      <w:r w:rsidR="003B46CE">
        <w:t>e of</w:t>
      </w:r>
      <w:r w:rsidR="004E4E39">
        <w:t xml:space="preserve"> parts and consumables for repairs and maintenance and supervisi</w:t>
      </w:r>
      <w:r w:rsidR="00FE266C">
        <w:t>on of</w:t>
      </w:r>
      <w:r w:rsidR="004E4E39">
        <w:t xml:space="preserve"> staff.  </w:t>
      </w:r>
      <w:r w:rsidR="0019709A">
        <w:t>Fr</w:t>
      </w:r>
      <w:r w:rsidR="00D0632C">
        <w:t>o</w:t>
      </w:r>
      <w:r w:rsidR="0019709A">
        <w:t>m time to time Mr</w:t>
      </w:r>
      <w:r w:rsidR="00D0632C">
        <w:t> </w:t>
      </w:r>
      <w:r w:rsidR="0019709A">
        <w:t>Ligori paid expenses</w:t>
      </w:r>
      <w:r w:rsidR="00C07F3C">
        <w:t xml:space="preserve"> personally</w:t>
      </w:r>
      <w:r w:rsidR="0019709A">
        <w:t xml:space="preserve">, including </w:t>
      </w:r>
      <w:r w:rsidR="00D0632C">
        <w:t xml:space="preserve">with his </w:t>
      </w:r>
      <w:r w:rsidR="00C07F3C">
        <w:t>own</w:t>
      </w:r>
      <w:r w:rsidR="00D0632C">
        <w:t xml:space="preserve"> credit card, and </w:t>
      </w:r>
      <w:r w:rsidR="007C56CF">
        <w:t>was</w:t>
      </w:r>
      <w:r w:rsidR="00D0632C">
        <w:t xml:space="preserve"> reimbursed by Mr </w:t>
      </w:r>
      <w:proofErr w:type="spellStart"/>
      <w:r w:rsidR="00D0632C">
        <w:t>Tabuso</w:t>
      </w:r>
      <w:proofErr w:type="spellEnd"/>
      <w:r w:rsidR="00D0632C">
        <w:t xml:space="preserve"> or entities in the business including Diesel Dan</w:t>
      </w:r>
      <w:r w:rsidR="00966C14">
        <w:t> 1</w:t>
      </w:r>
      <w:r w:rsidR="00D0632C">
        <w:t xml:space="preserve">.  </w:t>
      </w:r>
    </w:p>
    <w:p w14:paraId="7F6C7961" w14:textId="2215CEBA" w:rsidR="00D0632C" w:rsidRDefault="00D313AC" w:rsidP="00D313AC">
      <w:pPr>
        <w:pStyle w:val="ParaNumbering"/>
        <w:numPr>
          <w:ilvl w:val="0"/>
          <w:numId w:val="0"/>
        </w:numPr>
        <w:ind w:hanging="720"/>
      </w:pPr>
      <w:r>
        <w:rPr>
          <w:sz w:val="20"/>
        </w:rPr>
        <w:t>131</w:t>
      </w:r>
      <w:r>
        <w:rPr>
          <w:sz w:val="20"/>
        </w:rPr>
        <w:tab/>
      </w:r>
      <w:r w:rsidR="00D0632C">
        <w:t>As far as Mr Ligori is concerned, he has never had possession, custody or control of Diesel</w:t>
      </w:r>
      <w:r w:rsidR="00B9717C">
        <w:t> </w:t>
      </w:r>
      <w:r w:rsidR="00D0632C">
        <w:t>Dan</w:t>
      </w:r>
      <w:r w:rsidR="00B9717C">
        <w:t> 1</w:t>
      </w:r>
      <w:r w:rsidR="00D0632C">
        <w:t>’s books and re</w:t>
      </w:r>
      <w:r w:rsidR="00963B97">
        <w:t>cords.  He understood that Diesel Dan</w:t>
      </w:r>
      <w:r w:rsidR="00C74AC9">
        <w:t> 1</w:t>
      </w:r>
      <w:r w:rsidR="00963B97">
        <w:t xml:space="preserve">’s financial records were kept </w:t>
      </w:r>
      <w:r w:rsidR="0090394B">
        <w:t>in the office on the premises occupied by administrative staff.</w:t>
      </w:r>
    </w:p>
    <w:p w14:paraId="2A9567FC" w14:textId="35589340" w:rsidR="00662628" w:rsidRDefault="00D313AC" w:rsidP="00D313AC">
      <w:pPr>
        <w:pStyle w:val="ParaNumbering"/>
        <w:numPr>
          <w:ilvl w:val="0"/>
          <w:numId w:val="0"/>
        </w:numPr>
        <w:ind w:hanging="720"/>
      </w:pPr>
      <w:r>
        <w:rPr>
          <w:sz w:val="20"/>
        </w:rPr>
        <w:t>132</w:t>
      </w:r>
      <w:r>
        <w:rPr>
          <w:sz w:val="20"/>
        </w:rPr>
        <w:tab/>
      </w:r>
      <w:r w:rsidR="00B1794F">
        <w:t xml:space="preserve">In about September 2020 Mr Ligori was served with </w:t>
      </w:r>
      <w:r w:rsidR="00E256CC">
        <w:t>a summons</w:t>
      </w:r>
      <w:r w:rsidR="00B1794F">
        <w:t xml:space="preserve"> for public examination</w:t>
      </w:r>
      <w:r w:rsidR="00E256CC">
        <w:t xml:space="preserve"> which also included a requirement that </w:t>
      </w:r>
      <w:r w:rsidR="000D1A33">
        <w:t>he</w:t>
      </w:r>
      <w:r w:rsidR="00E256CC">
        <w:t xml:space="preserve"> produce certain specified documents.  </w:t>
      </w:r>
      <w:r w:rsidR="000D1A33">
        <w:t>At the time</w:t>
      </w:r>
      <w:r w:rsidR="0067025E">
        <w:t>, at his own expense,</w:t>
      </w:r>
      <w:r w:rsidR="000D1A33">
        <w:t xml:space="preserve"> Mr Ligori undertook a review of all books and records in his possession and produced all records in his possession to the Court in answer to the summons</w:t>
      </w:r>
      <w:r w:rsidR="0041714A">
        <w:t xml:space="preserve">. </w:t>
      </w:r>
      <w:r w:rsidR="00A56533">
        <w:t xml:space="preserve"> </w:t>
      </w:r>
      <w:r w:rsidR="00662628">
        <w:t>In doing so Mr</w:t>
      </w:r>
      <w:r w:rsidR="00F82004">
        <w:t> </w:t>
      </w:r>
      <w:r w:rsidR="00662628">
        <w:t xml:space="preserve">Ligori </w:t>
      </w:r>
      <w:r w:rsidR="008229D8">
        <w:t>located what he described as a “small number of documents</w:t>
      </w:r>
      <w:r w:rsidR="00BA7F15">
        <w:t xml:space="preserve">” </w:t>
      </w:r>
      <w:r w:rsidR="00D647F3">
        <w:t>concerning his</w:t>
      </w:r>
      <w:r w:rsidR="00BA7F15">
        <w:t xml:space="preserve"> current assets, assets he </w:t>
      </w:r>
      <w:r w:rsidR="00D647F3">
        <w:t>had</w:t>
      </w:r>
      <w:r w:rsidR="00BA7F15">
        <w:t xml:space="preserve"> recently sold, some ASIC forms</w:t>
      </w:r>
      <w:r w:rsidR="0095344A">
        <w:t xml:space="preserve">, his tax return for the financial year ended 30 June 2019 and St George </w:t>
      </w:r>
      <w:r w:rsidR="00D647F3">
        <w:t>B</w:t>
      </w:r>
      <w:r w:rsidR="0095344A">
        <w:t xml:space="preserve">ank </w:t>
      </w:r>
      <w:r w:rsidR="00D647F3">
        <w:t>statements</w:t>
      </w:r>
      <w:r w:rsidR="0095344A">
        <w:t xml:space="preserve"> </w:t>
      </w:r>
      <w:r w:rsidR="002E0D65">
        <w:t xml:space="preserve">dating from </w:t>
      </w:r>
      <w:r w:rsidR="00D647F3">
        <w:t xml:space="preserve">November 2019 </w:t>
      </w:r>
      <w:r w:rsidR="002E0D65">
        <w:t>onward.</w:t>
      </w:r>
      <w:r w:rsidR="008229D8">
        <w:t xml:space="preserve"> </w:t>
      </w:r>
    </w:p>
    <w:p w14:paraId="34C74DA1" w14:textId="5732078D" w:rsidR="00B1794F" w:rsidRDefault="00D313AC" w:rsidP="00D313AC">
      <w:pPr>
        <w:pStyle w:val="ParaNumbering"/>
        <w:numPr>
          <w:ilvl w:val="0"/>
          <w:numId w:val="0"/>
        </w:numPr>
        <w:ind w:hanging="720"/>
      </w:pPr>
      <w:r>
        <w:rPr>
          <w:sz w:val="20"/>
        </w:rPr>
        <w:t>133</w:t>
      </w:r>
      <w:r>
        <w:rPr>
          <w:sz w:val="20"/>
        </w:rPr>
        <w:tab/>
      </w:r>
      <w:r w:rsidR="0041714A">
        <w:t>Mr Ligori</w:t>
      </w:r>
      <w:r w:rsidR="00A56533">
        <w:t xml:space="preserve"> </w:t>
      </w:r>
      <w:r w:rsidR="0041714A">
        <w:t>attended for public examination on 30 September 2020.</w:t>
      </w:r>
      <w:r w:rsidR="000D1A33">
        <w:t xml:space="preserve"> </w:t>
      </w:r>
    </w:p>
    <w:p w14:paraId="3E8840B2" w14:textId="7CB2173A" w:rsidR="002E0D65" w:rsidRDefault="00D313AC" w:rsidP="00D313AC">
      <w:pPr>
        <w:pStyle w:val="ParaNumbering"/>
        <w:numPr>
          <w:ilvl w:val="0"/>
          <w:numId w:val="0"/>
        </w:numPr>
        <w:ind w:hanging="720"/>
      </w:pPr>
      <w:r>
        <w:rPr>
          <w:sz w:val="20"/>
        </w:rPr>
        <w:t>134</w:t>
      </w:r>
      <w:r>
        <w:rPr>
          <w:sz w:val="20"/>
        </w:rPr>
        <w:tab/>
      </w:r>
      <w:r w:rsidR="00071511">
        <w:t xml:space="preserve">In November 2021, </w:t>
      </w:r>
      <w:r w:rsidR="009B71EE">
        <w:t>at</w:t>
      </w:r>
      <w:r w:rsidR="00863322">
        <w:t xml:space="preserve"> the time Mr Ligori was served with the statement of claim in the </w:t>
      </w:r>
      <w:proofErr w:type="spellStart"/>
      <w:r w:rsidR="00FC6321">
        <w:t>Silverhill</w:t>
      </w:r>
      <w:r w:rsidR="00691849">
        <w:t>s</w:t>
      </w:r>
      <w:proofErr w:type="spellEnd"/>
      <w:r w:rsidR="00863322">
        <w:t xml:space="preserve"> Haulage Proceeding</w:t>
      </w:r>
      <w:r w:rsidR="00FC6321">
        <w:t>, he also received a copy of the Reinstatement Orders</w:t>
      </w:r>
      <w:r w:rsidR="00BA72E9">
        <w:t>.  Mr</w:t>
      </w:r>
      <w:r w:rsidR="002E77C2">
        <w:t> </w:t>
      </w:r>
      <w:r w:rsidR="00BA72E9">
        <w:t xml:space="preserve">Ligori has filed a defence in the </w:t>
      </w:r>
      <w:proofErr w:type="spellStart"/>
      <w:r w:rsidR="00BA72E9">
        <w:t>Silverhills</w:t>
      </w:r>
      <w:proofErr w:type="spellEnd"/>
      <w:r w:rsidR="00BA72E9">
        <w:t xml:space="preserve"> Ha</w:t>
      </w:r>
      <w:r w:rsidR="00247C7E">
        <w:t>ulage Proceeding.</w:t>
      </w:r>
    </w:p>
    <w:p w14:paraId="43F6FCB9" w14:textId="4B905FA5" w:rsidR="005D366B" w:rsidRDefault="00D313AC" w:rsidP="00D313AC">
      <w:pPr>
        <w:pStyle w:val="ParaNumbering"/>
        <w:numPr>
          <w:ilvl w:val="0"/>
          <w:numId w:val="0"/>
        </w:numPr>
        <w:ind w:hanging="720"/>
      </w:pPr>
      <w:r>
        <w:rPr>
          <w:sz w:val="20"/>
        </w:rPr>
        <w:t>135</w:t>
      </w:r>
      <w:r>
        <w:rPr>
          <w:sz w:val="20"/>
        </w:rPr>
        <w:tab/>
      </w:r>
      <w:r w:rsidR="005D366B">
        <w:t xml:space="preserve">Mr Ligori explains </w:t>
      </w:r>
      <w:r w:rsidR="00CC6F5F">
        <w:t>that</w:t>
      </w:r>
      <w:r w:rsidR="005D366B">
        <w:t xml:space="preserve"> Sch 4 to the </w:t>
      </w:r>
      <w:r w:rsidR="00CC6F5F">
        <w:t>statement</w:t>
      </w:r>
      <w:r w:rsidR="005D366B">
        <w:t xml:space="preserve"> of claim </w:t>
      </w:r>
      <w:r w:rsidR="00CC6F5F">
        <w:t xml:space="preserve">filed in the </w:t>
      </w:r>
      <w:proofErr w:type="spellStart"/>
      <w:r w:rsidR="00CC6F5F">
        <w:t>Silverhills</w:t>
      </w:r>
      <w:proofErr w:type="spellEnd"/>
      <w:r w:rsidR="00CC6F5F">
        <w:t xml:space="preserve"> Haulage Proceeding </w:t>
      </w:r>
      <w:r w:rsidR="005D366B">
        <w:t>se</w:t>
      </w:r>
      <w:r w:rsidR="00CC6F5F">
        <w:t>ts out the payments alleged to have been made to him and which</w:t>
      </w:r>
      <w:r w:rsidR="001D17C2">
        <w:t>,</w:t>
      </w:r>
      <w:r w:rsidR="00CC6F5F">
        <w:t xml:space="preserve"> I infer</w:t>
      </w:r>
      <w:r w:rsidR="001D17C2">
        <w:t>,</w:t>
      </w:r>
      <w:r w:rsidR="00CC6F5F">
        <w:t xml:space="preserve"> the plaintiffs in that proceeding seek to impugn.  In relation to those payments Mr Ligori gives the following evidence:</w:t>
      </w:r>
    </w:p>
    <w:p w14:paraId="2263126E" w14:textId="28471F81" w:rsidR="009A2804" w:rsidRDefault="00D313AC" w:rsidP="00D313AC">
      <w:pPr>
        <w:pStyle w:val="ListNo1"/>
        <w:numPr>
          <w:ilvl w:val="0"/>
          <w:numId w:val="0"/>
        </w:numPr>
        <w:tabs>
          <w:tab w:val="left" w:pos="720"/>
        </w:tabs>
        <w:ind w:left="720" w:hanging="720"/>
      </w:pPr>
      <w:r>
        <w:t>(1)</w:t>
      </w:r>
      <w:r>
        <w:tab/>
      </w:r>
      <w:r w:rsidR="009A2804">
        <w:t>h</w:t>
      </w:r>
      <w:r w:rsidR="003E1E0A">
        <w:t>e believes that</w:t>
      </w:r>
      <w:r w:rsidR="00551F87">
        <w:t xml:space="preserve"> the </w:t>
      </w:r>
      <w:r w:rsidR="0038079D">
        <w:t>amounts</w:t>
      </w:r>
      <w:r w:rsidR="00551F87">
        <w:t xml:space="preserve"> </w:t>
      </w:r>
      <w:r w:rsidR="003E1E0A">
        <w:t>of</w:t>
      </w:r>
      <w:r w:rsidR="00551F87">
        <w:t xml:space="preserve"> $974, which he </w:t>
      </w:r>
      <w:r w:rsidR="003E1E0A">
        <w:t xml:space="preserve">says </w:t>
      </w:r>
      <w:r w:rsidR="0043614A">
        <w:t xml:space="preserve">comprise most of the payments listed in the schedule, </w:t>
      </w:r>
      <w:r w:rsidR="00AC386E">
        <w:t>a</w:t>
      </w:r>
      <w:r w:rsidR="00551F87">
        <w:t xml:space="preserve">re </w:t>
      </w:r>
      <w:r w:rsidR="0043614A">
        <w:t xml:space="preserve">for </w:t>
      </w:r>
      <w:r w:rsidR="00551F87">
        <w:t>wages</w:t>
      </w:r>
      <w:r w:rsidR="00AC386E">
        <w:t xml:space="preserve"> and t</w:t>
      </w:r>
      <w:r w:rsidR="00551F87">
        <w:t>he remaining payments</w:t>
      </w:r>
      <w:r w:rsidR="00AC386E">
        <w:t xml:space="preserve"> are </w:t>
      </w:r>
      <w:r w:rsidR="00551F87">
        <w:t xml:space="preserve">reimbursement of sundry expenses </w:t>
      </w:r>
      <w:r w:rsidR="0097515E">
        <w:t>which he had paid</w:t>
      </w:r>
      <w:r w:rsidR="009A2804">
        <w:t>;</w:t>
      </w:r>
    </w:p>
    <w:p w14:paraId="2543D9E6" w14:textId="2DB23279" w:rsidR="009A2804" w:rsidRDefault="00D313AC" w:rsidP="00D313AC">
      <w:pPr>
        <w:pStyle w:val="ListNo1"/>
        <w:numPr>
          <w:ilvl w:val="0"/>
          <w:numId w:val="0"/>
        </w:numPr>
        <w:tabs>
          <w:tab w:val="left" w:pos="720"/>
        </w:tabs>
        <w:ind w:left="720" w:hanging="720"/>
      </w:pPr>
      <w:r>
        <w:t>(2)</w:t>
      </w:r>
      <w:r>
        <w:tab/>
      </w:r>
      <w:r w:rsidR="009A2804">
        <w:t xml:space="preserve">his practice was that at the time of an expense being incurred he would provide all paperwork relating to any expense, including tax invoices, to Mr </w:t>
      </w:r>
      <w:proofErr w:type="spellStart"/>
      <w:r w:rsidR="009A2804">
        <w:t>Tabuso</w:t>
      </w:r>
      <w:proofErr w:type="spellEnd"/>
      <w:r w:rsidR="009A2804">
        <w:t xml:space="preserve"> or the then bookkeeper of the </w:t>
      </w:r>
      <w:proofErr w:type="spellStart"/>
      <w:r w:rsidR="009A2804">
        <w:t>Tabuso</w:t>
      </w:r>
      <w:proofErr w:type="spellEnd"/>
      <w:r w:rsidR="009A2804">
        <w:t xml:space="preserve"> Group; </w:t>
      </w:r>
    </w:p>
    <w:p w14:paraId="2B1DF26E" w14:textId="713C3460" w:rsidR="008658F5" w:rsidRDefault="00D313AC" w:rsidP="00D313AC">
      <w:pPr>
        <w:pStyle w:val="ListNo1"/>
        <w:numPr>
          <w:ilvl w:val="0"/>
          <w:numId w:val="0"/>
        </w:numPr>
        <w:tabs>
          <w:tab w:val="left" w:pos="720"/>
        </w:tabs>
        <w:ind w:left="720" w:hanging="720"/>
      </w:pPr>
      <w:r>
        <w:lastRenderedPageBreak/>
        <w:t>(3)</w:t>
      </w:r>
      <w:r>
        <w:tab/>
      </w:r>
      <w:r w:rsidR="00645574">
        <w:t>other than wages and reimbursement of expenses he paid to third parties, Mr Ligori has no recollection of receiving any other mon</w:t>
      </w:r>
      <w:r w:rsidR="00910929">
        <w:t>ey</w:t>
      </w:r>
      <w:r w:rsidR="00645574">
        <w:t>s from any of the companies associated with Diesel Dan</w:t>
      </w:r>
      <w:r w:rsidR="005136E9">
        <w:t> 1</w:t>
      </w:r>
      <w:r w:rsidR="00645574">
        <w:t xml:space="preserve"> or any of the companies named in </w:t>
      </w:r>
      <w:r w:rsidR="005136E9">
        <w:t>O</w:t>
      </w:r>
      <w:r w:rsidR="00645574">
        <w:t>rder 1 of the Reinstatement Orders</w:t>
      </w:r>
      <w:r w:rsidR="008658F5">
        <w:t>;</w:t>
      </w:r>
    </w:p>
    <w:p w14:paraId="1E5EC445" w14:textId="60928D1B" w:rsidR="00E811B9" w:rsidRDefault="00D313AC" w:rsidP="00D313AC">
      <w:pPr>
        <w:pStyle w:val="ListNo1"/>
        <w:numPr>
          <w:ilvl w:val="0"/>
          <w:numId w:val="0"/>
        </w:numPr>
        <w:tabs>
          <w:tab w:val="left" w:pos="720"/>
        </w:tabs>
        <w:ind w:left="720" w:hanging="720"/>
      </w:pPr>
      <w:r>
        <w:t>(4)</w:t>
      </w:r>
      <w:r>
        <w:tab/>
      </w:r>
      <w:r w:rsidR="00A97A15">
        <w:t xml:space="preserve">as best he can recall, </w:t>
      </w:r>
      <w:r w:rsidR="008658F5">
        <w:t xml:space="preserve">in the period 2011 to 2013 </w:t>
      </w:r>
      <w:r w:rsidR="00A97A15">
        <w:t>payslips were printed and handed to Mr</w:t>
      </w:r>
      <w:r w:rsidR="002D273F">
        <w:t> </w:t>
      </w:r>
      <w:r w:rsidR="00A97A15">
        <w:t>Ligori at work and wages and reimbursement of expenses were electronically transferred to his St George Bank account (number XXX</w:t>
      </w:r>
      <w:r w:rsidR="00E811B9">
        <w:t>XXX</w:t>
      </w:r>
      <w:r w:rsidR="00A97A15">
        <w:t>581</w:t>
      </w:r>
      <w:r w:rsidR="00E811B9">
        <w:t>).  Mr Ligori cannot recall</w:t>
      </w:r>
      <w:r w:rsidR="00A97A15">
        <w:t xml:space="preserve"> which of </w:t>
      </w:r>
      <w:r w:rsidR="00E811B9">
        <w:t>Mr</w:t>
      </w:r>
      <w:r w:rsidR="00A97A15">
        <w:t xml:space="preserve"> </w:t>
      </w:r>
      <w:proofErr w:type="spellStart"/>
      <w:r w:rsidR="00A97A15">
        <w:t>Tabuso</w:t>
      </w:r>
      <w:r w:rsidR="00C36D20">
        <w:t>’</w:t>
      </w:r>
      <w:r w:rsidR="00A97A15">
        <w:t>s</w:t>
      </w:r>
      <w:proofErr w:type="spellEnd"/>
      <w:r w:rsidR="00A97A15">
        <w:t xml:space="preserve"> entities paid </w:t>
      </w:r>
      <w:r w:rsidR="00E811B9">
        <w:t>his</w:t>
      </w:r>
      <w:r w:rsidR="00A97A15">
        <w:t xml:space="preserve"> wages</w:t>
      </w:r>
      <w:r w:rsidR="00E811B9">
        <w:t>; and</w:t>
      </w:r>
    </w:p>
    <w:p w14:paraId="5820B21C" w14:textId="5DD8C88C" w:rsidR="00CC6F5F" w:rsidRDefault="00D313AC" w:rsidP="00D313AC">
      <w:pPr>
        <w:pStyle w:val="ListNo1"/>
        <w:numPr>
          <w:ilvl w:val="0"/>
          <w:numId w:val="0"/>
        </w:numPr>
        <w:tabs>
          <w:tab w:val="left" w:pos="720"/>
        </w:tabs>
        <w:ind w:left="720" w:hanging="720"/>
      </w:pPr>
      <w:r>
        <w:t>(5)</w:t>
      </w:r>
      <w:r>
        <w:tab/>
      </w:r>
      <w:r w:rsidR="009A3F09">
        <w:t>Mr Ligori</w:t>
      </w:r>
      <w:r w:rsidR="00E811B9">
        <w:t xml:space="preserve"> was aware that from time to time Mr </w:t>
      </w:r>
      <w:proofErr w:type="spellStart"/>
      <w:r w:rsidR="00E811B9">
        <w:t>Tabuso</w:t>
      </w:r>
      <w:proofErr w:type="spellEnd"/>
      <w:r w:rsidR="00E811B9">
        <w:t xml:space="preserve"> cause</w:t>
      </w:r>
      <w:r w:rsidR="009A3F09">
        <w:t>d</w:t>
      </w:r>
      <w:r w:rsidR="00E811B9">
        <w:t xml:space="preserve"> </w:t>
      </w:r>
      <w:r w:rsidR="009A3F09">
        <w:t>his</w:t>
      </w:r>
      <w:r w:rsidR="00E811B9">
        <w:t xml:space="preserve"> wages to be paid by different companies</w:t>
      </w:r>
      <w:r w:rsidR="009A3F09">
        <w:t>, depending on the time he allocated in carrying out tasks for the various companies.</w:t>
      </w:r>
      <w:r w:rsidR="00A97A15">
        <w:t xml:space="preserve"> </w:t>
      </w:r>
      <w:r w:rsidR="009A2804">
        <w:t xml:space="preserve"> </w:t>
      </w:r>
      <w:r w:rsidR="00551F87">
        <w:t xml:space="preserve"> </w:t>
      </w:r>
    </w:p>
    <w:p w14:paraId="251FA3EA" w14:textId="040F666B" w:rsidR="00247C7E" w:rsidRDefault="00D313AC" w:rsidP="00D313AC">
      <w:pPr>
        <w:pStyle w:val="ParaNumbering"/>
        <w:numPr>
          <w:ilvl w:val="0"/>
          <w:numId w:val="0"/>
        </w:numPr>
        <w:ind w:hanging="720"/>
      </w:pPr>
      <w:r>
        <w:rPr>
          <w:sz w:val="20"/>
        </w:rPr>
        <w:t>136</w:t>
      </w:r>
      <w:r>
        <w:rPr>
          <w:sz w:val="20"/>
        </w:rPr>
        <w:tab/>
      </w:r>
      <w:r w:rsidR="00F06375">
        <w:t>Mr</w:t>
      </w:r>
      <w:r w:rsidR="009F7AAB">
        <w:t xml:space="preserve"> Ligori </w:t>
      </w:r>
      <w:r w:rsidR="00F06375">
        <w:t>says</w:t>
      </w:r>
      <w:r w:rsidR="009F7AAB">
        <w:t xml:space="preserve"> that at no time prior to or after the making of the Reinstatement Orders until the commencement of the </w:t>
      </w:r>
      <w:proofErr w:type="spellStart"/>
      <w:r w:rsidR="009F7AAB">
        <w:t>Silverhills</w:t>
      </w:r>
      <w:proofErr w:type="spellEnd"/>
      <w:r w:rsidR="009F7AAB">
        <w:t xml:space="preserve"> Haulage Proceeding was </w:t>
      </w:r>
      <w:r w:rsidR="00850630">
        <w:t>he</w:t>
      </w:r>
      <w:r w:rsidR="009F7AAB">
        <w:t xml:space="preserve"> directed by the </w:t>
      </w:r>
      <w:r w:rsidR="00850630">
        <w:t>p</w:t>
      </w:r>
      <w:r w:rsidR="009F7AAB">
        <w:t>laintiffs in th</w:t>
      </w:r>
      <w:r w:rsidR="00850630">
        <w:t>at</w:t>
      </w:r>
      <w:r w:rsidR="009F7AAB">
        <w:t xml:space="preserve"> proceeding to preserve </w:t>
      </w:r>
      <w:r w:rsidR="00850630">
        <w:t>his</w:t>
      </w:r>
      <w:r w:rsidR="009F7AAB">
        <w:t xml:space="preserve"> records </w:t>
      </w:r>
      <w:r w:rsidR="0029392E">
        <w:t>relating</w:t>
      </w:r>
      <w:r w:rsidR="00E01007">
        <w:t xml:space="preserve"> </w:t>
      </w:r>
      <w:r w:rsidR="009F7AAB">
        <w:t xml:space="preserve">to the allegations </w:t>
      </w:r>
      <w:r w:rsidR="00850630">
        <w:t>made against him.</w:t>
      </w:r>
      <w:r w:rsidR="003B6C03">
        <w:t xml:space="preserve"> </w:t>
      </w:r>
      <w:r w:rsidR="00067D28">
        <w:t xml:space="preserve"> Insofar as his records are concerned </w:t>
      </w:r>
      <w:r w:rsidR="00F06375">
        <w:t>Mr Ligori</w:t>
      </w:r>
      <w:r w:rsidR="00540670">
        <w:t>:</w:t>
      </w:r>
    </w:p>
    <w:p w14:paraId="17CB2009" w14:textId="72C17E18" w:rsidR="001460C3" w:rsidRDefault="00D313AC" w:rsidP="00D313AC">
      <w:pPr>
        <w:pStyle w:val="ListNo1"/>
        <w:numPr>
          <w:ilvl w:val="0"/>
          <w:numId w:val="0"/>
        </w:numPr>
        <w:tabs>
          <w:tab w:val="left" w:pos="720"/>
        </w:tabs>
        <w:ind w:left="720" w:hanging="720"/>
      </w:pPr>
      <w:r>
        <w:t>(1)</w:t>
      </w:r>
      <w:r>
        <w:tab/>
      </w:r>
      <w:r w:rsidR="00633333">
        <w:t xml:space="preserve">believes that he </w:t>
      </w:r>
      <w:r w:rsidR="00220F52">
        <w:t>reviewed all of his records and a</w:t>
      </w:r>
      <w:r w:rsidR="00130F06">
        <w:t xml:space="preserve">t about the time of service of the statement of claim in the </w:t>
      </w:r>
      <w:proofErr w:type="spellStart"/>
      <w:r w:rsidR="00130F06">
        <w:t>Silverhills</w:t>
      </w:r>
      <w:proofErr w:type="spellEnd"/>
      <w:r w:rsidR="00130F06">
        <w:t xml:space="preserve"> </w:t>
      </w:r>
      <w:r w:rsidR="0004292C">
        <w:t xml:space="preserve">Haulage </w:t>
      </w:r>
      <w:r w:rsidR="00130F06">
        <w:t xml:space="preserve">Proceeding </w:t>
      </w:r>
      <w:r w:rsidR="0004292C">
        <w:t xml:space="preserve">contacted Mr </w:t>
      </w:r>
      <w:proofErr w:type="spellStart"/>
      <w:r w:rsidR="00130F06">
        <w:t>Tabuso</w:t>
      </w:r>
      <w:proofErr w:type="spellEnd"/>
      <w:r w:rsidR="00130F06">
        <w:t xml:space="preserve"> who </w:t>
      </w:r>
      <w:r w:rsidR="0004292C">
        <w:t>informed him that he no longer had</w:t>
      </w:r>
      <w:r w:rsidR="00130F06">
        <w:t xml:space="preserve"> any of the wage or reimbursement of expense records in relation to Diesel</w:t>
      </w:r>
      <w:r w:rsidR="00AE1308">
        <w:t> </w:t>
      </w:r>
      <w:r w:rsidR="00130F06">
        <w:t>Dan</w:t>
      </w:r>
      <w:r w:rsidR="00AE1308">
        <w:t> 1</w:t>
      </w:r>
      <w:r w:rsidR="0004292C">
        <w:t>;</w:t>
      </w:r>
      <w:r w:rsidR="00130F06">
        <w:t xml:space="preserve"> </w:t>
      </w:r>
    </w:p>
    <w:p w14:paraId="213DA2A2" w14:textId="5AEDE044" w:rsidR="000A6722" w:rsidRDefault="00D313AC" w:rsidP="00D313AC">
      <w:pPr>
        <w:pStyle w:val="ListNo1"/>
        <w:numPr>
          <w:ilvl w:val="0"/>
          <w:numId w:val="0"/>
        </w:numPr>
        <w:tabs>
          <w:tab w:val="left" w:pos="720"/>
        </w:tabs>
        <w:ind w:left="720" w:hanging="720"/>
      </w:pPr>
      <w:r>
        <w:t>(2)</w:t>
      </w:r>
      <w:r>
        <w:tab/>
      </w:r>
      <w:r w:rsidR="00967311">
        <w:t xml:space="preserve">contacted his bank, St George Bank, to try to obtain banking records for the period 2011 to 2013 but was informed </w:t>
      </w:r>
      <w:r w:rsidR="004869FC">
        <w:t>by</w:t>
      </w:r>
      <w:r w:rsidR="00D2635C">
        <w:t xml:space="preserve"> </w:t>
      </w:r>
      <w:r w:rsidR="00967311">
        <w:t xml:space="preserve">St George </w:t>
      </w:r>
      <w:r w:rsidR="00D2635C">
        <w:t>Bank</w:t>
      </w:r>
      <w:r w:rsidR="00967311">
        <w:t xml:space="preserve"> </w:t>
      </w:r>
      <w:r w:rsidR="004869FC">
        <w:t xml:space="preserve">that it </w:t>
      </w:r>
      <w:r w:rsidR="00967311">
        <w:t>no longer hold</w:t>
      </w:r>
      <w:r w:rsidR="00AC718B">
        <w:t>s</w:t>
      </w:r>
      <w:r w:rsidR="00967311">
        <w:t xml:space="preserve"> any credit card or bank account statements </w:t>
      </w:r>
      <w:r w:rsidR="00D2635C">
        <w:t>for</w:t>
      </w:r>
      <w:r w:rsidR="00967311">
        <w:t xml:space="preserve"> the period covered by the </w:t>
      </w:r>
      <w:r w:rsidR="00D2635C">
        <w:t>s</w:t>
      </w:r>
      <w:r w:rsidR="00967311">
        <w:t xml:space="preserve">tatement of </w:t>
      </w:r>
      <w:r w:rsidR="00D2635C">
        <w:t>c</w:t>
      </w:r>
      <w:r w:rsidR="00967311">
        <w:t xml:space="preserve">laim in the </w:t>
      </w:r>
      <w:proofErr w:type="spellStart"/>
      <w:r w:rsidR="00D2635C">
        <w:t>Silverhills</w:t>
      </w:r>
      <w:proofErr w:type="spellEnd"/>
      <w:r w:rsidR="00D2635C">
        <w:t xml:space="preserve"> Haulage P</w:t>
      </w:r>
      <w:r w:rsidR="00967311">
        <w:t>roceeding</w:t>
      </w:r>
      <w:r w:rsidR="000A6722">
        <w:t>;</w:t>
      </w:r>
      <w:r w:rsidR="003B6C03">
        <w:t xml:space="preserve"> and</w:t>
      </w:r>
    </w:p>
    <w:p w14:paraId="3D743667" w14:textId="345278B7" w:rsidR="00967311" w:rsidRDefault="00D313AC" w:rsidP="00D313AC">
      <w:pPr>
        <w:pStyle w:val="ListNo1"/>
        <w:numPr>
          <w:ilvl w:val="0"/>
          <w:numId w:val="0"/>
        </w:numPr>
        <w:tabs>
          <w:tab w:val="left" w:pos="720"/>
        </w:tabs>
        <w:ind w:left="720" w:hanging="720"/>
      </w:pPr>
      <w:r>
        <w:t>(3)</w:t>
      </w:r>
      <w:r>
        <w:tab/>
      </w:r>
      <w:r w:rsidR="000A6722">
        <w:t>has examin</w:t>
      </w:r>
      <w:r w:rsidR="00BC2F06">
        <w:t>ed</w:t>
      </w:r>
      <w:r w:rsidR="000A6722">
        <w:t xml:space="preserve"> all of </w:t>
      </w:r>
      <w:r w:rsidR="00BC2F06">
        <w:t>his</w:t>
      </w:r>
      <w:r w:rsidR="000A6722">
        <w:t xml:space="preserve"> stored records but ha</w:t>
      </w:r>
      <w:r w:rsidR="00C70BAB">
        <w:t>s</w:t>
      </w:r>
      <w:r w:rsidR="000A6722">
        <w:t xml:space="preserve"> not been able to locate any wage or reimbursement expense records</w:t>
      </w:r>
      <w:r w:rsidR="00A202CE">
        <w:t>,</w:t>
      </w:r>
      <w:r w:rsidR="000A6722">
        <w:t xml:space="preserve"> including credit card statements</w:t>
      </w:r>
      <w:r w:rsidR="00A202CE">
        <w:t>,</w:t>
      </w:r>
      <w:r w:rsidR="000A6722">
        <w:t xml:space="preserve"> or any documents </w:t>
      </w:r>
      <w:r w:rsidR="003B6C03">
        <w:t>which on his understanding refer</w:t>
      </w:r>
      <w:r w:rsidR="000A6722">
        <w:t xml:space="preserve"> to the claims against </w:t>
      </w:r>
      <w:r w:rsidR="00C70BAB">
        <w:t xml:space="preserve">him </w:t>
      </w:r>
      <w:r w:rsidR="000A6722">
        <w:t xml:space="preserve">in the </w:t>
      </w:r>
      <w:proofErr w:type="spellStart"/>
      <w:r w:rsidR="00C70BAB">
        <w:t>Silverhills</w:t>
      </w:r>
      <w:proofErr w:type="spellEnd"/>
      <w:r w:rsidR="00C70BAB">
        <w:t xml:space="preserve"> Haulage P</w:t>
      </w:r>
      <w:r w:rsidR="000A6722">
        <w:t>roceeding</w:t>
      </w:r>
      <w:r w:rsidR="003B6C03">
        <w:t>.</w:t>
      </w:r>
      <w:r w:rsidR="000A6722">
        <w:t xml:space="preserve"> </w:t>
      </w:r>
      <w:r w:rsidR="00967311">
        <w:t xml:space="preserve"> </w:t>
      </w:r>
    </w:p>
    <w:p w14:paraId="024CEB99" w14:textId="17C67A67" w:rsidR="00691849" w:rsidRDefault="00D313AC" w:rsidP="00D313AC">
      <w:pPr>
        <w:pStyle w:val="ParaNumbering"/>
        <w:numPr>
          <w:ilvl w:val="0"/>
          <w:numId w:val="0"/>
        </w:numPr>
        <w:ind w:hanging="720"/>
      </w:pPr>
      <w:r>
        <w:rPr>
          <w:sz w:val="20"/>
        </w:rPr>
        <w:t>137</w:t>
      </w:r>
      <w:r>
        <w:rPr>
          <w:sz w:val="20"/>
        </w:rPr>
        <w:tab/>
      </w:r>
      <w:r w:rsidR="00BE227A">
        <w:t>T</w:t>
      </w:r>
      <w:r w:rsidR="00691849">
        <w:t xml:space="preserve">he </w:t>
      </w:r>
      <w:proofErr w:type="spellStart"/>
      <w:r w:rsidR="00691849">
        <w:t>Silverhills</w:t>
      </w:r>
      <w:proofErr w:type="spellEnd"/>
      <w:r w:rsidR="00691849">
        <w:t xml:space="preserve"> Haulage Proceeding is causing </w:t>
      </w:r>
      <w:r w:rsidR="0075351C">
        <w:t>Mr Ligori</w:t>
      </w:r>
      <w:r w:rsidR="00691849">
        <w:t xml:space="preserve"> significant stress and anxiety.</w:t>
      </w:r>
    </w:p>
    <w:p w14:paraId="71C2C2E6" w14:textId="1F8C45DD" w:rsidR="00A2782A" w:rsidRDefault="00D313AC" w:rsidP="00A2782A">
      <w:pPr>
        <w:pStyle w:val="Heading1"/>
      </w:pPr>
      <w:r>
        <w:rPr>
          <w:caps w:val="0"/>
        </w:rPr>
        <w:t>STATUTORY FRAMEWORK AND SOME LEGAL PRINCIPLES</w:t>
      </w:r>
    </w:p>
    <w:p w14:paraId="438744B7" w14:textId="1227B138" w:rsidR="00AA1965" w:rsidRDefault="00D313AC" w:rsidP="00D313AC">
      <w:pPr>
        <w:pStyle w:val="ParaNumbering"/>
        <w:numPr>
          <w:ilvl w:val="0"/>
          <w:numId w:val="0"/>
        </w:numPr>
        <w:ind w:hanging="720"/>
      </w:pPr>
      <w:r>
        <w:rPr>
          <w:sz w:val="20"/>
        </w:rPr>
        <w:t>138</w:t>
      </w:r>
      <w:r>
        <w:rPr>
          <w:sz w:val="20"/>
        </w:rPr>
        <w:tab/>
      </w:r>
      <w:r w:rsidR="00651273">
        <w:t xml:space="preserve">Chapter 5A of the </w:t>
      </w:r>
      <w:r w:rsidR="00945C9C">
        <w:t>Corporations</w:t>
      </w:r>
      <w:r w:rsidR="00651273">
        <w:t xml:space="preserve"> Act concerns</w:t>
      </w:r>
      <w:r w:rsidR="00945C9C">
        <w:t>, among other things,</w:t>
      </w:r>
      <w:r w:rsidR="00651273">
        <w:t xml:space="preserve"> deregistration</w:t>
      </w:r>
      <w:r w:rsidR="00EF76A4">
        <w:t xml:space="preserve"> of a company</w:t>
      </w:r>
      <w:r w:rsidR="00945C9C">
        <w:t xml:space="preserve">.  </w:t>
      </w:r>
      <w:r w:rsidR="00AA1965">
        <w:t xml:space="preserve">Sections </w:t>
      </w:r>
      <w:r w:rsidR="007C5ED7">
        <w:t xml:space="preserve">601AA, 601AB and 601AC </w:t>
      </w:r>
      <w:r w:rsidR="00EF76A4">
        <w:t>provide for</w:t>
      </w:r>
      <w:r w:rsidR="007C5ED7">
        <w:t xml:space="preserve"> </w:t>
      </w:r>
      <w:r w:rsidR="00F90879">
        <w:t>how a company may be deregister</w:t>
      </w:r>
      <w:r w:rsidR="00E46222">
        <w:t>ed</w:t>
      </w:r>
      <w:r w:rsidR="00F90879">
        <w:t xml:space="preserve">: either </w:t>
      </w:r>
      <w:r w:rsidR="00F90879">
        <w:lastRenderedPageBreak/>
        <w:t>voluntarily</w:t>
      </w:r>
      <w:r w:rsidR="00E46222">
        <w:t xml:space="preserve"> at the instigation of the company</w:t>
      </w:r>
      <w:r w:rsidR="007A0D5A">
        <w:t>;</w:t>
      </w:r>
      <w:r w:rsidR="00F90879">
        <w:t xml:space="preserve"> </w:t>
      </w:r>
      <w:r w:rsidR="008D045B">
        <w:t xml:space="preserve">initiated </w:t>
      </w:r>
      <w:r w:rsidR="00F90879">
        <w:t xml:space="preserve">by ASIC; or </w:t>
      </w:r>
      <w:r w:rsidR="009A0018">
        <w:t>following amalgamation o</w:t>
      </w:r>
      <w:r w:rsidR="006C7893">
        <w:t>r</w:t>
      </w:r>
      <w:r w:rsidR="00BD32ED">
        <w:t xml:space="preserve"> </w:t>
      </w:r>
      <w:r w:rsidR="00A31743">
        <w:t>completion</w:t>
      </w:r>
      <w:r w:rsidR="00BD32ED">
        <w:t xml:space="preserve"> of </w:t>
      </w:r>
      <w:r w:rsidR="00A31743">
        <w:t>a</w:t>
      </w:r>
      <w:r w:rsidR="009A0018">
        <w:t xml:space="preserve"> winding up.  </w:t>
      </w:r>
      <w:r w:rsidR="00F90879">
        <w:t xml:space="preserve"> </w:t>
      </w:r>
    </w:p>
    <w:p w14:paraId="2FA122B9" w14:textId="78DEB08B" w:rsidR="000C6015" w:rsidRDefault="00D313AC" w:rsidP="00D313AC">
      <w:pPr>
        <w:pStyle w:val="ParaNumbering"/>
        <w:numPr>
          <w:ilvl w:val="0"/>
          <w:numId w:val="0"/>
        </w:numPr>
        <w:ind w:hanging="720"/>
      </w:pPr>
      <w:r>
        <w:rPr>
          <w:sz w:val="20"/>
        </w:rPr>
        <w:t>139</w:t>
      </w:r>
      <w:r>
        <w:rPr>
          <w:sz w:val="20"/>
        </w:rPr>
        <w:tab/>
      </w:r>
      <w:r w:rsidR="00E46222">
        <w:t>Section 601AD</w:t>
      </w:r>
      <w:r w:rsidR="00310313">
        <w:t xml:space="preserve"> </w:t>
      </w:r>
      <w:r w:rsidR="0050441A">
        <w:t xml:space="preserve">of the Corporations Act </w:t>
      </w:r>
      <w:r w:rsidR="000C6015">
        <w:t xml:space="preserve">sets out the </w:t>
      </w:r>
      <w:r w:rsidR="0015639A">
        <w:t>effect of deregistration</w:t>
      </w:r>
      <w:r w:rsidR="00DF42B0">
        <w:t xml:space="preserve"> and relevantly</w:t>
      </w:r>
      <w:r w:rsidR="00310313">
        <w:t xml:space="preserve"> provides that a company ceases to exist on deregistration: see s </w:t>
      </w:r>
      <w:r w:rsidR="00C672EE">
        <w:t xml:space="preserve">601AD(1).  </w:t>
      </w:r>
    </w:p>
    <w:p w14:paraId="6D791AB2" w14:textId="735AAE54" w:rsidR="00C6230F" w:rsidRDefault="00D313AC" w:rsidP="00D313AC">
      <w:pPr>
        <w:pStyle w:val="ParaNumbering"/>
        <w:numPr>
          <w:ilvl w:val="0"/>
          <w:numId w:val="0"/>
        </w:numPr>
        <w:ind w:hanging="720"/>
      </w:pPr>
      <w:r>
        <w:rPr>
          <w:sz w:val="20"/>
        </w:rPr>
        <w:t>140</w:t>
      </w:r>
      <w:r>
        <w:rPr>
          <w:sz w:val="20"/>
        </w:rPr>
        <w:tab/>
      </w:r>
      <w:r w:rsidR="00C30651">
        <w:t xml:space="preserve">The </w:t>
      </w:r>
      <w:r w:rsidR="00C6230F">
        <w:t>Reinstatement</w:t>
      </w:r>
      <w:r w:rsidR="00C30651">
        <w:t xml:space="preserve"> Orders were made pursuant to s </w:t>
      </w:r>
      <w:r w:rsidR="00C6230F">
        <w:t xml:space="preserve">601AH </w:t>
      </w:r>
      <w:r w:rsidR="0050441A">
        <w:t xml:space="preserve">of the Corporations Act </w:t>
      </w:r>
      <w:r w:rsidR="00C6230F">
        <w:t xml:space="preserve">which </w:t>
      </w:r>
      <w:r w:rsidR="00882D7C">
        <w:t xml:space="preserve">concerns reinstatement of the registration of a company.  It </w:t>
      </w:r>
      <w:r w:rsidR="00C6230F">
        <w:t>provides:</w:t>
      </w:r>
    </w:p>
    <w:p w14:paraId="54BF8F29" w14:textId="77777777" w:rsidR="004C6C39" w:rsidRPr="004C6C39" w:rsidRDefault="004C6C39" w:rsidP="004C6C39">
      <w:pPr>
        <w:pStyle w:val="Quote1"/>
        <w:rPr>
          <w:i/>
          <w:iCs/>
        </w:rPr>
      </w:pPr>
      <w:r w:rsidRPr="004C6C39">
        <w:rPr>
          <w:i/>
          <w:iCs/>
        </w:rPr>
        <w:t>Reinstatement by ASIC</w:t>
      </w:r>
    </w:p>
    <w:p w14:paraId="6D2A6F08" w14:textId="1BD1EDAC" w:rsidR="004C6C39" w:rsidRDefault="004C6C39" w:rsidP="004C6C39">
      <w:pPr>
        <w:pStyle w:val="Quote1"/>
        <w:ind w:left="1440" w:hanging="703"/>
      </w:pPr>
      <w:r>
        <w:t>(1)</w:t>
      </w:r>
      <w:r>
        <w:tab/>
        <w:t>ASIC may reinstate the registration of a company if ASIC is satisfied that the company should not have been deregistered.</w:t>
      </w:r>
    </w:p>
    <w:p w14:paraId="64D38024" w14:textId="6EC1C64E" w:rsidR="004C6C39" w:rsidRDefault="004C6C39" w:rsidP="004C6C39">
      <w:pPr>
        <w:pStyle w:val="Quote1"/>
        <w:ind w:left="1440" w:hanging="703"/>
      </w:pPr>
      <w:r>
        <w:t>(1A)</w:t>
      </w:r>
      <w:r>
        <w:tab/>
        <w:t>ASIC may reinstate the registration of a company deregistered under subsection 601AB(1B) if:</w:t>
      </w:r>
    </w:p>
    <w:p w14:paraId="7B3FADBB" w14:textId="6C717C05" w:rsidR="004C6C39" w:rsidRDefault="004C6C39" w:rsidP="004C6C39">
      <w:pPr>
        <w:pStyle w:val="Quote1"/>
        <w:ind w:left="2143" w:hanging="703"/>
      </w:pPr>
      <w:r>
        <w:t>(a)</w:t>
      </w:r>
      <w:r>
        <w:tab/>
        <w:t>ASIC receives an application in relation to the reinstatement of the company’s registration; and</w:t>
      </w:r>
    </w:p>
    <w:p w14:paraId="6916C4BC" w14:textId="3D4466F7" w:rsidR="004C6C39" w:rsidRDefault="004C6C39" w:rsidP="004C6C39">
      <w:pPr>
        <w:pStyle w:val="Quote1"/>
        <w:ind w:left="2143" w:hanging="703"/>
      </w:pPr>
      <w:r>
        <w:t>(b)</w:t>
      </w:r>
      <w:r>
        <w:tab/>
        <w:t xml:space="preserve">the levy imposed on the company by the </w:t>
      </w:r>
      <w:r w:rsidRPr="00913AEF">
        <w:rPr>
          <w:i/>
          <w:iCs/>
        </w:rPr>
        <w:t>ASIC Supervisory Cost Recovery Levy Act 2017</w:t>
      </w:r>
      <w:r>
        <w:t xml:space="preserve"> is paid in full; and</w:t>
      </w:r>
    </w:p>
    <w:p w14:paraId="211D1819" w14:textId="2A7D8355" w:rsidR="004C6C39" w:rsidRDefault="004C6C39" w:rsidP="004C6C39">
      <w:pPr>
        <w:pStyle w:val="Quote1"/>
        <w:ind w:left="2143" w:hanging="703"/>
      </w:pPr>
      <w:r>
        <w:t>(c)</w:t>
      </w:r>
      <w:r>
        <w:tab/>
        <w:t>the amount of any late payment penalty payable in relation to the levy is paid in full; and</w:t>
      </w:r>
    </w:p>
    <w:p w14:paraId="15393BCD" w14:textId="30CC055D" w:rsidR="00AB621F" w:rsidRDefault="004C6C39" w:rsidP="004C6C39">
      <w:pPr>
        <w:pStyle w:val="Quote1"/>
        <w:ind w:left="2143" w:hanging="703"/>
      </w:pPr>
      <w:r>
        <w:t>(d)</w:t>
      </w:r>
      <w:r>
        <w:tab/>
        <w:t xml:space="preserve">the amount of any shortfall penalty payable in relation to the levy is paid in full. </w:t>
      </w:r>
    </w:p>
    <w:p w14:paraId="0E4CA46C" w14:textId="0B172E62" w:rsidR="00D56CEB" w:rsidRPr="00D56CEB" w:rsidRDefault="00D56CEB" w:rsidP="00D56CEB">
      <w:pPr>
        <w:pStyle w:val="Quote1"/>
        <w:rPr>
          <w:i/>
          <w:iCs/>
        </w:rPr>
      </w:pPr>
      <w:r w:rsidRPr="00D56CEB">
        <w:rPr>
          <w:i/>
          <w:iCs/>
        </w:rPr>
        <w:t>Reinstatement by Court</w:t>
      </w:r>
    </w:p>
    <w:p w14:paraId="6007D4B7" w14:textId="56908EC4" w:rsidR="00922DBB" w:rsidRDefault="00922DBB" w:rsidP="00234A7B">
      <w:pPr>
        <w:pStyle w:val="Quote1"/>
        <w:ind w:left="1440" w:hanging="703"/>
      </w:pPr>
      <w:r>
        <w:t>(2)</w:t>
      </w:r>
      <w:r>
        <w:tab/>
        <w:t>The Court may make an order that ASIC reinstate the registration of a company if:</w:t>
      </w:r>
    </w:p>
    <w:p w14:paraId="4F4340E1" w14:textId="6F1573C7" w:rsidR="00922DBB" w:rsidRDefault="00922DBB" w:rsidP="00234A7B">
      <w:pPr>
        <w:pStyle w:val="Quote2"/>
      </w:pPr>
      <w:r>
        <w:t>(a)</w:t>
      </w:r>
      <w:r>
        <w:tab/>
        <w:t>an application for reinstatement is made to the Court by:</w:t>
      </w:r>
    </w:p>
    <w:p w14:paraId="080DFC04" w14:textId="29F281B0" w:rsidR="00922DBB" w:rsidRDefault="00922DBB" w:rsidP="00234A7B">
      <w:pPr>
        <w:pStyle w:val="Quote3"/>
        <w:ind w:left="2880" w:hanging="720"/>
      </w:pPr>
      <w:r>
        <w:t>(</w:t>
      </w:r>
      <w:proofErr w:type="spellStart"/>
      <w:r>
        <w:t>i</w:t>
      </w:r>
      <w:proofErr w:type="spellEnd"/>
      <w:r>
        <w:t>)</w:t>
      </w:r>
      <w:r>
        <w:tab/>
        <w:t>a person aggrieved by the deregistration; or</w:t>
      </w:r>
    </w:p>
    <w:p w14:paraId="1450BD3F" w14:textId="332D9803" w:rsidR="00922DBB" w:rsidRDefault="00922DBB" w:rsidP="00234A7B">
      <w:pPr>
        <w:pStyle w:val="Quote3"/>
        <w:ind w:left="2880" w:hanging="720"/>
      </w:pPr>
      <w:r>
        <w:t>(ii)</w:t>
      </w:r>
      <w:r>
        <w:tab/>
        <w:t>a former liquidator of the company; and</w:t>
      </w:r>
    </w:p>
    <w:p w14:paraId="4D45DC23" w14:textId="70D9779C" w:rsidR="00922DBB" w:rsidRDefault="00922DBB" w:rsidP="00234A7B">
      <w:pPr>
        <w:pStyle w:val="Quote2"/>
        <w:ind w:left="2160" w:hanging="720"/>
      </w:pPr>
      <w:r>
        <w:t>(b)</w:t>
      </w:r>
      <w:r>
        <w:tab/>
        <w:t>the Court is satisfied that it is just that the company’s registration be reinstated.</w:t>
      </w:r>
    </w:p>
    <w:p w14:paraId="05C3B3A8" w14:textId="65CAE66E" w:rsidR="00922DBB" w:rsidRDefault="00922DBB" w:rsidP="00922DBB">
      <w:pPr>
        <w:pStyle w:val="Quote1"/>
      </w:pPr>
      <w:r>
        <w:t>(3)</w:t>
      </w:r>
      <w:r>
        <w:tab/>
        <w:t>If:</w:t>
      </w:r>
    </w:p>
    <w:p w14:paraId="24534A86" w14:textId="4F8A1C05" w:rsidR="00922DBB" w:rsidRDefault="00922DBB" w:rsidP="00234A7B">
      <w:pPr>
        <w:pStyle w:val="Quote2"/>
        <w:ind w:left="2160" w:hanging="720"/>
      </w:pPr>
      <w:r>
        <w:t>(a)</w:t>
      </w:r>
      <w:r>
        <w:tab/>
        <w:t>ASIC reinstates the registration of a company under subsection (1) or (1A); or</w:t>
      </w:r>
    </w:p>
    <w:p w14:paraId="0F5333F2" w14:textId="3E52A7D3" w:rsidR="00922DBB" w:rsidRDefault="00922DBB" w:rsidP="00234A7B">
      <w:pPr>
        <w:pStyle w:val="Quote2"/>
        <w:ind w:left="2160" w:hanging="720"/>
      </w:pPr>
      <w:r>
        <w:t>(b)</w:t>
      </w:r>
      <w:r>
        <w:tab/>
        <w:t>the Court makes an order under subsection (2);</w:t>
      </w:r>
    </w:p>
    <w:p w14:paraId="41AF1DD4" w14:textId="77777777" w:rsidR="00922DBB" w:rsidRDefault="00922DBB" w:rsidP="00234A7B">
      <w:pPr>
        <w:pStyle w:val="Quote2"/>
        <w:ind w:left="2880" w:hanging="1440"/>
      </w:pPr>
      <w:r>
        <w:t>the Court may:</w:t>
      </w:r>
    </w:p>
    <w:p w14:paraId="189E0425" w14:textId="1425C0D1" w:rsidR="00922DBB" w:rsidRDefault="00922DBB" w:rsidP="00234A7B">
      <w:pPr>
        <w:pStyle w:val="Quote2"/>
        <w:ind w:left="2160" w:hanging="720"/>
      </w:pPr>
      <w:r>
        <w:t>(c)</w:t>
      </w:r>
      <w:r w:rsidR="00234A7B">
        <w:tab/>
      </w:r>
      <w:r>
        <w:t>validate anything done during the period:</w:t>
      </w:r>
    </w:p>
    <w:p w14:paraId="228A8AB2" w14:textId="315B7CB2" w:rsidR="00922DBB" w:rsidRDefault="00922DBB" w:rsidP="00234A7B">
      <w:pPr>
        <w:pStyle w:val="Quote3"/>
      </w:pPr>
      <w:r>
        <w:t>(</w:t>
      </w:r>
      <w:proofErr w:type="spellStart"/>
      <w:r>
        <w:t>i</w:t>
      </w:r>
      <w:proofErr w:type="spellEnd"/>
      <w:r>
        <w:t>)</w:t>
      </w:r>
      <w:r w:rsidR="00234A7B">
        <w:tab/>
      </w:r>
      <w:r>
        <w:t>beginning when the company was deregistered; and</w:t>
      </w:r>
    </w:p>
    <w:p w14:paraId="30001CF5" w14:textId="1ED255FB" w:rsidR="00922DBB" w:rsidRDefault="00922DBB" w:rsidP="00234A7B">
      <w:pPr>
        <w:pStyle w:val="Quote3"/>
      </w:pPr>
      <w:r>
        <w:t>(ii)</w:t>
      </w:r>
      <w:r w:rsidR="00234A7B">
        <w:tab/>
      </w:r>
      <w:r>
        <w:t>ending when the company’s registration was reinstated; and</w:t>
      </w:r>
    </w:p>
    <w:p w14:paraId="7CB5C5A7" w14:textId="20D312A7" w:rsidR="00922DBB" w:rsidRDefault="00922DBB" w:rsidP="00234A7B">
      <w:pPr>
        <w:pStyle w:val="Quote2"/>
        <w:ind w:left="2160" w:hanging="720"/>
      </w:pPr>
      <w:r>
        <w:lastRenderedPageBreak/>
        <w:t>(d)</w:t>
      </w:r>
      <w:r w:rsidR="00234A7B">
        <w:tab/>
      </w:r>
      <w:r>
        <w:t>make any other order it considers appropriate.</w:t>
      </w:r>
    </w:p>
    <w:p w14:paraId="32001ABB" w14:textId="4D1D273D" w:rsidR="00922DBB" w:rsidRPr="009E724F" w:rsidRDefault="00922DBB" w:rsidP="00190A0A">
      <w:pPr>
        <w:pStyle w:val="Quote2"/>
        <w:ind w:left="2160" w:hanging="720"/>
        <w:rPr>
          <w:sz w:val="20"/>
          <w:szCs w:val="18"/>
        </w:rPr>
      </w:pPr>
      <w:r w:rsidRPr="009E724F">
        <w:rPr>
          <w:sz w:val="20"/>
          <w:szCs w:val="18"/>
        </w:rPr>
        <w:t>Note:</w:t>
      </w:r>
      <w:r w:rsidR="00190A0A" w:rsidRPr="009E724F">
        <w:rPr>
          <w:sz w:val="20"/>
          <w:szCs w:val="18"/>
        </w:rPr>
        <w:tab/>
      </w:r>
      <w:r w:rsidRPr="009E724F">
        <w:rPr>
          <w:sz w:val="20"/>
          <w:szCs w:val="18"/>
        </w:rPr>
        <w:t>For example, the Court may direct ASIC to transfer to another person property vested in ASIC under subsection 601AD(2).</w:t>
      </w:r>
    </w:p>
    <w:p w14:paraId="791F28F1" w14:textId="21A0681B" w:rsidR="00234A7B" w:rsidRPr="00234A7B" w:rsidRDefault="00234A7B" w:rsidP="00922DBB">
      <w:pPr>
        <w:pStyle w:val="Quote1"/>
      </w:pPr>
      <w:r w:rsidRPr="00234A7B">
        <w:t>…</w:t>
      </w:r>
    </w:p>
    <w:p w14:paraId="50786FBA" w14:textId="191C98D0" w:rsidR="00922DBB" w:rsidRPr="00234A7B" w:rsidRDefault="00922DBB" w:rsidP="00922DBB">
      <w:pPr>
        <w:pStyle w:val="Quote1"/>
        <w:rPr>
          <w:i/>
          <w:iCs/>
        </w:rPr>
      </w:pPr>
      <w:r w:rsidRPr="00234A7B">
        <w:rPr>
          <w:i/>
          <w:iCs/>
        </w:rPr>
        <w:t>Effect of reinstatement</w:t>
      </w:r>
    </w:p>
    <w:p w14:paraId="626E3D9B" w14:textId="076373FD" w:rsidR="00922DBB" w:rsidRDefault="00922DBB" w:rsidP="00724BF3">
      <w:pPr>
        <w:pStyle w:val="Quote1"/>
        <w:ind w:left="1440" w:hanging="703"/>
      </w:pPr>
      <w:r>
        <w:t>(5)</w:t>
      </w:r>
      <w:r w:rsidR="00234A7B">
        <w:tab/>
      </w:r>
      <w:r>
        <w:t>If a company is reinstated, the company is taken to have continued in existence as if it had not been deregistered. A person who was a director of the company immediately before deregistration becomes a director again as from the time when ASIC or the Court reinstates the company. Any property of the company that is still vested in the Commonwealth or ASIC revests in the company. If the company held particular property subject to a security or other interest or claim, the company takes the property subject to that interest or claim.</w:t>
      </w:r>
    </w:p>
    <w:p w14:paraId="31ADEB0F" w14:textId="27EF892C" w:rsidR="00724BF3" w:rsidRDefault="00724BF3" w:rsidP="00234A7B">
      <w:pPr>
        <w:pStyle w:val="Quote1"/>
        <w:spacing w:after="360"/>
        <w:ind w:left="1440" w:hanging="703"/>
      </w:pPr>
      <w:r>
        <w:t xml:space="preserve">… </w:t>
      </w:r>
    </w:p>
    <w:p w14:paraId="50C21726" w14:textId="22ECD957" w:rsidR="005407F6" w:rsidRDefault="00D313AC" w:rsidP="00D313AC">
      <w:pPr>
        <w:pStyle w:val="ParaNumbering"/>
        <w:numPr>
          <w:ilvl w:val="0"/>
          <w:numId w:val="0"/>
        </w:numPr>
        <w:ind w:hanging="720"/>
      </w:pPr>
      <w:r>
        <w:rPr>
          <w:sz w:val="20"/>
        </w:rPr>
        <w:t>141</w:t>
      </w:r>
      <w:r>
        <w:rPr>
          <w:sz w:val="20"/>
        </w:rPr>
        <w:tab/>
      </w:r>
      <w:r w:rsidR="003D293F">
        <w:t xml:space="preserve">As set out above, an </w:t>
      </w:r>
      <w:r w:rsidR="00E766FB">
        <w:t>application</w:t>
      </w:r>
      <w:r w:rsidR="003D293F">
        <w:t xml:space="preserve"> to the Court </w:t>
      </w:r>
      <w:r w:rsidR="0066202D">
        <w:t>under</w:t>
      </w:r>
      <w:r w:rsidR="00502B5D">
        <w:t xml:space="preserve"> s 601AH(2) </w:t>
      </w:r>
      <w:r w:rsidR="003D293F">
        <w:t xml:space="preserve">for an </w:t>
      </w:r>
      <w:r w:rsidR="00E766FB">
        <w:t>order</w:t>
      </w:r>
      <w:r w:rsidR="003D293F">
        <w:t xml:space="preserve"> to </w:t>
      </w:r>
      <w:r w:rsidR="00022CD3">
        <w:t>reinstate a company</w:t>
      </w:r>
      <w:r w:rsidR="00E766FB">
        <w:t xml:space="preserve">’s registration can only be made </w:t>
      </w:r>
      <w:r w:rsidR="00D22735">
        <w:t>by a</w:t>
      </w:r>
      <w:r w:rsidR="006B1CCC">
        <w:t xml:space="preserve"> </w:t>
      </w:r>
      <w:r w:rsidR="003D293F">
        <w:t>“person</w:t>
      </w:r>
      <w:r w:rsidR="006B1CCC" w:rsidRPr="006B1CCC">
        <w:t xml:space="preserve"> </w:t>
      </w:r>
      <w:r w:rsidR="006B1CCC">
        <w:t>aggrieved</w:t>
      </w:r>
      <w:r w:rsidR="003D293F">
        <w:t>”</w:t>
      </w:r>
      <w:r w:rsidR="00DA1C69">
        <w:t xml:space="preserve"> or a former liquidator of the company in question</w:t>
      </w:r>
      <w:r w:rsidR="003D293F">
        <w:t xml:space="preserve">.  </w:t>
      </w:r>
    </w:p>
    <w:p w14:paraId="7C0D0209" w14:textId="662E8D3A" w:rsidR="00AD2682" w:rsidRDefault="00D313AC" w:rsidP="00D313AC">
      <w:pPr>
        <w:pStyle w:val="ParaNumbering"/>
        <w:numPr>
          <w:ilvl w:val="0"/>
          <w:numId w:val="0"/>
        </w:numPr>
        <w:ind w:hanging="720"/>
      </w:pPr>
      <w:r>
        <w:rPr>
          <w:sz w:val="20"/>
        </w:rPr>
        <w:t>142</w:t>
      </w:r>
      <w:r>
        <w:rPr>
          <w:sz w:val="20"/>
        </w:rPr>
        <w:tab/>
      </w:r>
      <w:r w:rsidR="00F57A47" w:rsidRPr="00F57A47">
        <w:t xml:space="preserve">The expression </w:t>
      </w:r>
      <w:r w:rsidR="009E2C28">
        <w:t>“person</w:t>
      </w:r>
      <w:r w:rsidR="009E2C28" w:rsidRPr="006B1CCC">
        <w:t xml:space="preserve"> </w:t>
      </w:r>
      <w:r w:rsidR="009E2C28">
        <w:t xml:space="preserve">aggrieved” </w:t>
      </w:r>
      <w:r w:rsidR="00F57A47" w:rsidRPr="00F57A47">
        <w:t xml:space="preserve">is </w:t>
      </w:r>
      <w:r w:rsidR="00D22735">
        <w:t xml:space="preserve">said to be </w:t>
      </w:r>
      <w:r w:rsidR="00F57A47" w:rsidRPr="00F57A47">
        <w:t>of wide imp</w:t>
      </w:r>
      <w:r w:rsidR="00012020">
        <w:t>o</w:t>
      </w:r>
      <w:r w:rsidR="00F57A47" w:rsidRPr="00F57A47">
        <w:t xml:space="preserve">rt and </w:t>
      </w:r>
      <w:r w:rsidR="00D22735">
        <w:t xml:space="preserve">is to be </w:t>
      </w:r>
      <w:r w:rsidR="00F57A47" w:rsidRPr="00F57A47">
        <w:t>construed liberally</w:t>
      </w:r>
      <w:r w:rsidR="00F57A47">
        <w:t>.  It</w:t>
      </w:r>
      <w:r w:rsidR="00F57A47" w:rsidRPr="00F57A47">
        <w:t xml:space="preserve"> includes a person who has been damaged in a legal sense</w:t>
      </w:r>
      <w:r w:rsidR="00F57A47">
        <w:t xml:space="preserve">: see </w:t>
      </w:r>
      <w:r w:rsidR="00F57A47" w:rsidRPr="00CD11A3">
        <w:rPr>
          <w:i/>
          <w:iCs/>
        </w:rPr>
        <w:t xml:space="preserve">Re European Metal Recyclers Pty Ltd (in </w:t>
      </w:r>
      <w:proofErr w:type="spellStart"/>
      <w:r w:rsidR="00F57A47" w:rsidRPr="00CD11A3">
        <w:rPr>
          <w:i/>
          <w:iCs/>
        </w:rPr>
        <w:t>liq</w:t>
      </w:r>
      <w:proofErr w:type="spellEnd"/>
      <w:r w:rsidR="00F57A47" w:rsidRPr="00CD11A3">
        <w:rPr>
          <w:i/>
          <w:iCs/>
        </w:rPr>
        <w:t xml:space="preserve">) (deregistered) </w:t>
      </w:r>
      <w:r w:rsidR="00F57A47" w:rsidRPr="007132F6">
        <w:t xml:space="preserve">[2018] NSWSC </w:t>
      </w:r>
      <w:r w:rsidR="007132F6" w:rsidRPr="007132F6">
        <w:t xml:space="preserve">946 at [17]-[18].  </w:t>
      </w:r>
      <w:r w:rsidR="00CD11A3">
        <w:t xml:space="preserve">In </w:t>
      </w:r>
      <w:r w:rsidR="00CD11A3" w:rsidRPr="004A16D0">
        <w:rPr>
          <w:b/>
          <w:bCs/>
          <w:i/>
          <w:iCs/>
        </w:rPr>
        <w:t>Re Regional Planners</w:t>
      </w:r>
      <w:r w:rsidR="00CD11A3">
        <w:t xml:space="preserve"> </w:t>
      </w:r>
      <w:r w:rsidR="004F3BCF">
        <w:rPr>
          <w:i/>
          <w:iCs/>
        </w:rPr>
        <w:t>Developments</w:t>
      </w:r>
      <w:r w:rsidR="00AE000D">
        <w:rPr>
          <w:i/>
          <w:iCs/>
        </w:rPr>
        <w:t xml:space="preserve"> Co Pty Ltd </w:t>
      </w:r>
      <w:r w:rsidR="004F3BCF">
        <w:t>(2015) 110 ACSR 457</w:t>
      </w:r>
      <w:r w:rsidR="003519BF">
        <w:t xml:space="preserve">; [2015] </w:t>
      </w:r>
      <w:r w:rsidR="00DE1C78">
        <w:t>NSWSC 1996</w:t>
      </w:r>
      <w:r w:rsidR="004F3BCF">
        <w:t xml:space="preserve"> </w:t>
      </w:r>
      <w:r w:rsidR="00AE000D">
        <w:t xml:space="preserve">at [11] Brereton J held that </w:t>
      </w:r>
      <w:r w:rsidR="00CD11A3">
        <w:t>a person is aggrieved by the deregistration of a company if they are thereby precluded from suing the company and it may be just for the company’s registration to be reinstated for the purpose of enabling th</w:t>
      </w:r>
      <w:r w:rsidR="00012020">
        <w:t>at</w:t>
      </w:r>
      <w:r w:rsidR="00CD11A3">
        <w:t xml:space="preserve"> applicant to pursue its remedies</w:t>
      </w:r>
      <w:r w:rsidR="00AD2682">
        <w:t>.</w:t>
      </w:r>
    </w:p>
    <w:p w14:paraId="4C28E0FE" w14:textId="03D6E57D" w:rsidR="00F57A47" w:rsidRDefault="00D313AC" w:rsidP="00D313AC">
      <w:pPr>
        <w:pStyle w:val="ParaNumbering"/>
        <w:numPr>
          <w:ilvl w:val="0"/>
          <w:numId w:val="0"/>
        </w:numPr>
        <w:ind w:hanging="720"/>
      </w:pPr>
      <w:r>
        <w:rPr>
          <w:sz w:val="20"/>
        </w:rPr>
        <w:t>143</w:t>
      </w:r>
      <w:r>
        <w:rPr>
          <w:sz w:val="20"/>
        </w:rPr>
        <w:tab/>
      </w:r>
      <w:r w:rsidR="00DA1C69">
        <w:t xml:space="preserve">The second requirement </w:t>
      </w:r>
      <w:r w:rsidR="00357859">
        <w:t xml:space="preserve">for the Court to make an order </w:t>
      </w:r>
      <w:r w:rsidR="00902923">
        <w:t xml:space="preserve">directing </w:t>
      </w:r>
      <w:r w:rsidR="00012020">
        <w:t>ASIC</w:t>
      </w:r>
      <w:r w:rsidR="00902923">
        <w:t xml:space="preserve"> to reinstate</w:t>
      </w:r>
      <w:r w:rsidR="00357859">
        <w:t xml:space="preserve"> the registration of a deregistered company is</w:t>
      </w:r>
      <w:r w:rsidR="00FE246F">
        <w:t xml:space="preserve"> that the Court must be satisfied that </w:t>
      </w:r>
      <w:r w:rsidR="005D38C3">
        <w:t xml:space="preserve">the </w:t>
      </w:r>
      <w:r w:rsidR="00761793">
        <w:t>reinstatement</w:t>
      </w:r>
      <w:r w:rsidR="005D38C3">
        <w:t xml:space="preserve"> of the company’s registration is just.  In relation to that requirement </w:t>
      </w:r>
      <w:r w:rsidR="00761793">
        <w:t>i</w:t>
      </w:r>
      <w:r w:rsidR="00AD2682">
        <w:t xml:space="preserve">n </w:t>
      </w:r>
      <w:r w:rsidR="00413D9A" w:rsidRPr="00A562B5">
        <w:rPr>
          <w:b/>
          <w:bCs/>
          <w:i/>
          <w:iCs/>
        </w:rPr>
        <w:t>Re Austral Bronze</w:t>
      </w:r>
      <w:r w:rsidR="00413D9A">
        <w:rPr>
          <w:i/>
          <w:iCs/>
        </w:rPr>
        <w:t xml:space="preserve"> Co Pty Ltd (No 2) </w:t>
      </w:r>
      <w:r w:rsidR="00413D9A">
        <w:t>(2020) 149 ACSR 221</w:t>
      </w:r>
      <w:r w:rsidR="00106FF0">
        <w:t>; [2020] NSWSC 1633</w:t>
      </w:r>
      <w:r w:rsidR="00413D9A">
        <w:t xml:space="preserve"> a</w:t>
      </w:r>
      <w:r w:rsidR="00745817">
        <w:t xml:space="preserve">t [129] Rees J explained </w:t>
      </w:r>
      <w:r w:rsidR="00761793">
        <w:t>that</w:t>
      </w:r>
      <w:r w:rsidR="00CD11A3">
        <w:t xml:space="preserve">: </w:t>
      </w:r>
    </w:p>
    <w:p w14:paraId="3633D380" w14:textId="7483632A" w:rsidR="00F43DF4" w:rsidRDefault="00F43DF4" w:rsidP="00F43DF4">
      <w:pPr>
        <w:pStyle w:val="Quote1"/>
      </w:pPr>
      <w:r>
        <w:t xml:space="preserve">The second matter to consider is whether it is “just” that the company’s registration be reinstated. His Honour Austin J succinctly explained this requirement </w:t>
      </w:r>
      <w:r w:rsidRPr="00F32380">
        <w:t>in</w:t>
      </w:r>
      <w:r w:rsidRPr="00F43DF4">
        <w:rPr>
          <w:i/>
          <w:iCs/>
        </w:rPr>
        <w:t xml:space="preserve"> Australian Competition and Consumer Commission v Australian Securities and Investments Commission</w:t>
      </w:r>
      <w:r>
        <w:t xml:space="preserve"> (2000) 174 ALR 688; 34 ACSR 232; [2000] NSWSC 316 at [27]:</w:t>
      </w:r>
    </w:p>
    <w:p w14:paraId="7918E88E" w14:textId="0FE35F57" w:rsidR="00F43DF4" w:rsidRDefault="00F43DF4" w:rsidP="004C156C">
      <w:pPr>
        <w:pStyle w:val="Quote2"/>
        <w:spacing w:after="360"/>
      </w:pPr>
      <w:r>
        <w:t xml:space="preserve">The wording of the section is very broad, and the cases confirm that it gives the court a wide discretion. The court takes into account the circumstances in which the company came to be dissolved, whether, if the order were made, good use could be made of it, and whether any person is likely to be prejudiced by the reinstatement: </w:t>
      </w:r>
      <w:r w:rsidRPr="00F43DF4">
        <w:rPr>
          <w:i/>
          <w:iCs/>
        </w:rPr>
        <w:t xml:space="preserve">Re Kilkenny Engineering Pty Ltd (in </w:t>
      </w:r>
      <w:proofErr w:type="spellStart"/>
      <w:r w:rsidRPr="00F43DF4">
        <w:rPr>
          <w:i/>
          <w:iCs/>
        </w:rPr>
        <w:t>liq</w:t>
      </w:r>
      <w:proofErr w:type="spellEnd"/>
      <w:r w:rsidRPr="00F43DF4">
        <w:rPr>
          <w:i/>
          <w:iCs/>
        </w:rPr>
        <w:t>)</w:t>
      </w:r>
      <w:r>
        <w:t xml:space="preserve"> (1976) 13 SASR 258; 1 ACLR 285; </w:t>
      </w:r>
      <w:r w:rsidRPr="00F43DF4">
        <w:rPr>
          <w:i/>
          <w:iCs/>
        </w:rPr>
        <w:t>Drysdale v Australian Securities Commission</w:t>
      </w:r>
      <w:r>
        <w:t xml:space="preserve"> (1992) 8 ACSR 563; 10 ACLC 1427; </w:t>
      </w:r>
      <w:r w:rsidRPr="00F43DF4">
        <w:rPr>
          <w:i/>
          <w:iCs/>
        </w:rPr>
        <w:t xml:space="preserve">Re </w:t>
      </w:r>
      <w:proofErr w:type="spellStart"/>
      <w:r w:rsidRPr="00F43DF4">
        <w:rPr>
          <w:i/>
          <w:iCs/>
        </w:rPr>
        <w:t>Steelmaster</w:t>
      </w:r>
      <w:proofErr w:type="spellEnd"/>
      <w:r w:rsidRPr="00F43DF4">
        <w:rPr>
          <w:i/>
          <w:iCs/>
        </w:rPr>
        <w:t xml:space="preserve"> Pty Ltd (in </w:t>
      </w:r>
      <w:proofErr w:type="spellStart"/>
      <w:r w:rsidRPr="00F43DF4">
        <w:rPr>
          <w:i/>
          <w:iCs/>
        </w:rPr>
        <w:t>liq</w:t>
      </w:r>
      <w:proofErr w:type="spellEnd"/>
      <w:r w:rsidRPr="00F43DF4">
        <w:rPr>
          <w:i/>
          <w:iCs/>
        </w:rPr>
        <w:t>)</w:t>
      </w:r>
      <w:r>
        <w:t xml:space="preserve">; </w:t>
      </w:r>
      <w:r w:rsidRPr="00F43DF4">
        <w:rPr>
          <w:i/>
          <w:iCs/>
        </w:rPr>
        <w:t xml:space="preserve">Kenney v McCann </w:t>
      </w:r>
      <w:r w:rsidRPr="00F43DF4">
        <w:rPr>
          <w:i/>
          <w:iCs/>
        </w:rPr>
        <w:lastRenderedPageBreak/>
        <w:t xml:space="preserve">(as liquidator of </w:t>
      </w:r>
      <w:proofErr w:type="spellStart"/>
      <w:r w:rsidRPr="00F43DF4">
        <w:rPr>
          <w:i/>
          <w:iCs/>
        </w:rPr>
        <w:t>Steelmaster</w:t>
      </w:r>
      <w:proofErr w:type="spellEnd"/>
      <w:r w:rsidRPr="00F43DF4">
        <w:rPr>
          <w:i/>
          <w:iCs/>
        </w:rPr>
        <w:t xml:space="preserve"> Pty Ltd)</w:t>
      </w:r>
      <w:r>
        <w:t xml:space="preserve"> (1992) 6 ACSR 494. </w:t>
      </w:r>
    </w:p>
    <w:p w14:paraId="48485321" w14:textId="357FD338" w:rsidR="00562AF8" w:rsidRDefault="00D313AC" w:rsidP="00D313AC">
      <w:pPr>
        <w:pStyle w:val="ParaNumbering"/>
        <w:numPr>
          <w:ilvl w:val="0"/>
          <w:numId w:val="0"/>
        </w:numPr>
        <w:ind w:hanging="720"/>
      </w:pPr>
      <w:r>
        <w:rPr>
          <w:sz w:val="20"/>
        </w:rPr>
        <w:t>144</w:t>
      </w:r>
      <w:r>
        <w:rPr>
          <w:sz w:val="20"/>
        </w:rPr>
        <w:tab/>
      </w:r>
      <w:r w:rsidR="00562AF8">
        <w:t xml:space="preserve">In </w:t>
      </w:r>
      <w:r w:rsidR="00562AF8">
        <w:rPr>
          <w:i/>
          <w:iCs/>
        </w:rPr>
        <w:t xml:space="preserve">CGU </w:t>
      </w:r>
      <w:r w:rsidR="00194069">
        <w:rPr>
          <w:i/>
          <w:iCs/>
        </w:rPr>
        <w:t xml:space="preserve">Workers Compensation (NSW) Ltd v </w:t>
      </w:r>
      <w:r w:rsidR="00194069" w:rsidRPr="00BB37D6">
        <w:rPr>
          <w:b/>
          <w:bCs/>
          <w:i/>
          <w:iCs/>
        </w:rPr>
        <w:t>Rockwall Interiors</w:t>
      </w:r>
      <w:r w:rsidR="00194069">
        <w:rPr>
          <w:i/>
          <w:iCs/>
        </w:rPr>
        <w:t xml:space="preserve"> Pty Ltd </w:t>
      </w:r>
      <w:r w:rsidR="00E31ED9">
        <w:t xml:space="preserve">(2006) 201 FLR 296; [2006] NSWSC 690 </w:t>
      </w:r>
      <w:r w:rsidR="00194069">
        <w:t>at [6] Barrett J observed the following about the operation of s 601AH(2):</w:t>
      </w:r>
    </w:p>
    <w:p w14:paraId="62A4BCB1" w14:textId="1CBC0838" w:rsidR="00194069" w:rsidRDefault="00502B5D" w:rsidP="00BD7874">
      <w:pPr>
        <w:pStyle w:val="Quote1"/>
        <w:spacing w:after="360"/>
      </w:pPr>
      <w:r>
        <w:t xml:space="preserve">The court has little if any discretion when an application of this kind comes before it. Under s 601AH(2), it must inquire into whether the plaintiff is “a person aggrieved by the deregistration” and whether it is “just” that the registration be reinstated. If positive findings are made on those matters, it should normally follow that an order for reinstatement is made. That course is indicated by the decision of the Court of Appeal (Mason P, Sheller and </w:t>
      </w:r>
      <w:proofErr w:type="spellStart"/>
      <w:r>
        <w:t>Ipp</w:t>
      </w:r>
      <w:proofErr w:type="spellEnd"/>
      <w:r>
        <w:t xml:space="preserve"> JJA) in </w:t>
      </w:r>
      <w:proofErr w:type="spellStart"/>
      <w:r w:rsidRPr="00502B5D">
        <w:rPr>
          <w:i/>
          <w:iCs/>
        </w:rPr>
        <w:t>WorkCover</w:t>
      </w:r>
      <w:proofErr w:type="spellEnd"/>
      <w:r w:rsidRPr="00502B5D">
        <w:rPr>
          <w:i/>
          <w:iCs/>
        </w:rPr>
        <w:t xml:space="preserve"> Authority (NSW) v Picton Truck and Trailer Repairs Pty Ltd</w:t>
      </w:r>
      <w:r>
        <w:t xml:space="preserve"> (2004) 51 ACSR 102. </w:t>
      </w:r>
    </w:p>
    <w:p w14:paraId="2B21C030" w14:textId="71C1DE73" w:rsidR="00990B24" w:rsidRDefault="00D313AC" w:rsidP="00D313AC">
      <w:pPr>
        <w:pStyle w:val="ParaNumbering"/>
        <w:numPr>
          <w:ilvl w:val="0"/>
          <w:numId w:val="0"/>
        </w:numPr>
        <w:ind w:hanging="720"/>
      </w:pPr>
      <w:r>
        <w:rPr>
          <w:sz w:val="20"/>
        </w:rPr>
        <w:t>145</w:t>
      </w:r>
      <w:r>
        <w:rPr>
          <w:sz w:val="20"/>
        </w:rPr>
        <w:tab/>
      </w:r>
      <w:r w:rsidR="00990B24">
        <w:t xml:space="preserve">Section 601AH(5) </w:t>
      </w:r>
      <w:r w:rsidR="00361D41">
        <w:t xml:space="preserve">of the Corporations Act </w:t>
      </w:r>
      <w:r w:rsidR="004D29B8">
        <w:t xml:space="preserve">sets out the effect of an order reinstating the registration of a company.  </w:t>
      </w:r>
      <w:r w:rsidR="002A6B8A">
        <w:t>I</w:t>
      </w:r>
      <w:r w:rsidR="00A82DC3">
        <w:t>n</w:t>
      </w:r>
      <w:r w:rsidR="002A6B8A">
        <w:t xml:space="preserve"> </w:t>
      </w:r>
      <w:r w:rsidR="00141FDD" w:rsidRPr="00F63213">
        <w:rPr>
          <w:i/>
          <w:iCs/>
        </w:rPr>
        <w:t>Allianz</w:t>
      </w:r>
      <w:r w:rsidR="00141FDD">
        <w:rPr>
          <w:i/>
          <w:iCs/>
        </w:rPr>
        <w:t xml:space="preserve"> Australia Insurance </w:t>
      </w:r>
      <w:r w:rsidR="00141FDD" w:rsidRPr="00F63213">
        <w:rPr>
          <w:i/>
          <w:iCs/>
        </w:rPr>
        <w:t>Ltd v</w:t>
      </w:r>
      <w:r w:rsidR="00141FDD" w:rsidRPr="009821D7">
        <w:rPr>
          <w:i/>
          <w:iCs/>
        </w:rPr>
        <w:t xml:space="preserve"> </w:t>
      </w:r>
      <w:proofErr w:type="spellStart"/>
      <w:r w:rsidR="00141FDD" w:rsidRPr="00F63213">
        <w:rPr>
          <w:i/>
          <w:iCs/>
        </w:rPr>
        <w:t>Viksne</w:t>
      </w:r>
      <w:proofErr w:type="spellEnd"/>
      <w:r w:rsidR="00141FDD">
        <w:rPr>
          <w:i/>
          <w:iCs/>
        </w:rPr>
        <w:t xml:space="preserve"> </w:t>
      </w:r>
      <w:r w:rsidR="00141FDD">
        <w:t>(2021) 106 NSWLR</w:t>
      </w:r>
      <w:r w:rsidR="00A113AF">
        <w:t xml:space="preserve"> 306 Meagher JA (with </w:t>
      </w:r>
      <w:r w:rsidR="00EA10D2">
        <w:t>w</w:t>
      </w:r>
      <w:r w:rsidR="00A113AF">
        <w:t>hom White J</w:t>
      </w:r>
      <w:r w:rsidR="00EA10D2">
        <w:t>A</w:t>
      </w:r>
      <w:r w:rsidR="00A113AF">
        <w:t xml:space="preserve"> and Simpson AJA agreed) explained </w:t>
      </w:r>
      <w:r w:rsidR="00A9164D">
        <w:t>(</w:t>
      </w:r>
      <w:r w:rsidR="00EA10D2">
        <w:t>at [34]</w:t>
      </w:r>
      <w:r w:rsidR="00A9164D">
        <w:t>)</w:t>
      </w:r>
      <w:r w:rsidR="00EA10D2">
        <w:t xml:space="preserve"> </w:t>
      </w:r>
      <w:r w:rsidR="00A113AF">
        <w:t xml:space="preserve">that </w:t>
      </w:r>
      <w:r w:rsidR="00E61FBE">
        <w:t>by its use</w:t>
      </w:r>
      <w:r w:rsidR="00EA10D2">
        <w:t xml:space="preserve"> </w:t>
      </w:r>
      <w:r w:rsidR="00E61FBE">
        <w:t xml:space="preserve">of the expression “is taken to have” s 601AH(5) deems the reinstated company </w:t>
      </w:r>
      <w:r w:rsidR="00EA10D2">
        <w:t>to</w:t>
      </w:r>
      <w:r w:rsidR="00E61FBE">
        <w:t xml:space="preserve"> have </w:t>
      </w:r>
      <w:r w:rsidR="00EA10D2">
        <w:t>continued</w:t>
      </w:r>
      <w:r w:rsidR="00E61FBE">
        <w:t xml:space="preserve"> in existence, contrary to the fact</w:t>
      </w:r>
      <w:r w:rsidR="00A9164D">
        <w:t>,</w:t>
      </w:r>
      <w:r w:rsidR="0098651E">
        <w:t xml:space="preserve"> and thereby creates a statutory fiction which countermands the otherwise unqualified application of s 601AD(1) of the Corporations Act.  </w:t>
      </w:r>
    </w:p>
    <w:p w14:paraId="76108F25" w14:textId="1ECB211B" w:rsidR="00A9164D" w:rsidRPr="0073744C" w:rsidRDefault="00D313AC" w:rsidP="00D313AC">
      <w:pPr>
        <w:pStyle w:val="ParaNumbering"/>
        <w:numPr>
          <w:ilvl w:val="0"/>
          <w:numId w:val="0"/>
        </w:numPr>
        <w:ind w:hanging="720"/>
      </w:pPr>
      <w:r w:rsidRPr="0073744C">
        <w:rPr>
          <w:sz w:val="20"/>
        </w:rPr>
        <w:t>146</w:t>
      </w:r>
      <w:r w:rsidRPr="0073744C">
        <w:rPr>
          <w:sz w:val="20"/>
        </w:rPr>
        <w:tab/>
      </w:r>
      <w:r w:rsidR="00FD2569">
        <w:t xml:space="preserve">However, s 601AH(5) provides </w:t>
      </w:r>
      <w:r w:rsidR="00496C05">
        <w:t>“only a limited measure of retrospectivity</w:t>
      </w:r>
      <w:r w:rsidR="00A562B5">
        <w:t>”</w:t>
      </w:r>
      <w:r w:rsidR="00341A85">
        <w:t>:</w:t>
      </w:r>
      <w:r w:rsidR="005B3035">
        <w:t xml:space="preserve"> see</w:t>
      </w:r>
      <w:r w:rsidR="00341A85">
        <w:t xml:space="preserve"> </w:t>
      </w:r>
      <w:r w:rsidR="00341A85" w:rsidRPr="0073744C">
        <w:rPr>
          <w:b/>
          <w:bCs/>
          <w:i/>
          <w:iCs/>
        </w:rPr>
        <w:t xml:space="preserve">White v </w:t>
      </w:r>
      <w:proofErr w:type="spellStart"/>
      <w:r w:rsidR="00A562B5" w:rsidRPr="0073744C">
        <w:rPr>
          <w:b/>
          <w:bCs/>
          <w:i/>
          <w:iCs/>
        </w:rPr>
        <w:t>B</w:t>
      </w:r>
      <w:r w:rsidR="00341A85" w:rsidRPr="0073744C">
        <w:rPr>
          <w:b/>
          <w:bCs/>
          <w:i/>
          <w:iCs/>
        </w:rPr>
        <w:t>aycorp</w:t>
      </w:r>
      <w:proofErr w:type="spellEnd"/>
      <w:r w:rsidR="00341A85">
        <w:rPr>
          <w:i/>
          <w:iCs/>
        </w:rPr>
        <w:t xml:space="preserve"> Advantage Business Information Services Ltd </w:t>
      </w:r>
      <w:r w:rsidR="00BD7A7F">
        <w:t xml:space="preserve">(2006) 200 FLR 125; [2006] NSWSC 441 at </w:t>
      </w:r>
      <w:r w:rsidR="00A562B5">
        <w:t>[</w:t>
      </w:r>
      <w:r w:rsidR="00BD7A7F">
        <w:t>115</w:t>
      </w:r>
      <w:r w:rsidR="00A562B5">
        <w:t>]</w:t>
      </w:r>
      <w:r w:rsidR="00362F44">
        <w:t xml:space="preserve">; </w:t>
      </w:r>
      <w:r w:rsidR="00362F44" w:rsidRPr="00081B1C">
        <w:rPr>
          <w:i/>
          <w:iCs/>
        </w:rPr>
        <w:t>R</w:t>
      </w:r>
      <w:r w:rsidR="00081B1C" w:rsidRPr="00081B1C">
        <w:rPr>
          <w:i/>
          <w:iCs/>
        </w:rPr>
        <w:t>e</w:t>
      </w:r>
      <w:r w:rsidR="00362F44" w:rsidRPr="00081B1C">
        <w:rPr>
          <w:i/>
          <w:iCs/>
        </w:rPr>
        <w:t xml:space="preserve"> Austral Bronze</w:t>
      </w:r>
      <w:r w:rsidR="00362F44">
        <w:t xml:space="preserve"> </w:t>
      </w:r>
      <w:r w:rsidR="00081B1C">
        <w:t xml:space="preserve">at [64].  </w:t>
      </w:r>
      <w:r w:rsidR="0073744C">
        <w:t xml:space="preserve">In </w:t>
      </w:r>
      <w:r w:rsidR="0073744C">
        <w:rPr>
          <w:i/>
          <w:iCs/>
        </w:rPr>
        <w:t xml:space="preserve">White v </w:t>
      </w:r>
      <w:proofErr w:type="spellStart"/>
      <w:r w:rsidR="0073744C">
        <w:rPr>
          <w:i/>
          <w:iCs/>
        </w:rPr>
        <w:t>Baycorp</w:t>
      </w:r>
      <w:proofErr w:type="spellEnd"/>
      <w:r w:rsidR="0073744C">
        <w:rPr>
          <w:i/>
          <w:iCs/>
        </w:rPr>
        <w:t xml:space="preserve"> </w:t>
      </w:r>
      <w:r w:rsidR="0073744C" w:rsidRPr="00907269">
        <w:t>at [115] Campbell J said</w:t>
      </w:r>
      <w:r w:rsidR="00DC4EB3">
        <w:t xml:space="preserve"> the following about the operation of s 601AH(5)</w:t>
      </w:r>
      <w:r w:rsidR="0073744C">
        <w:rPr>
          <w:i/>
          <w:iCs/>
        </w:rPr>
        <w:t>:</w:t>
      </w:r>
    </w:p>
    <w:p w14:paraId="0F99E312" w14:textId="19F84537" w:rsidR="0073744C" w:rsidRDefault="00907269" w:rsidP="007F0599">
      <w:pPr>
        <w:pStyle w:val="Quote1"/>
        <w:spacing w:after="360"/>
      </w:pPr>
      <w:r>
        <w:t>Approaching the matter purely as one of statutory construction, the effect of s</w:t>
      </w:r>
      <w:r w:rsidR="005F4A8B">
        <w:t> </w:t>
      </w:r>
      <w:r>
        <w:t xml:space="preserve">601AH(5) is that, now, the statute requires everyone to treat Capital Corporate as though it had never been deregistered. However, that does not mean that anything which purported to be done on behalf of Capital Corporate during the period of its deregistration is thereby regarded as valid. If a director had purported to act on behalf of a deregistered company during the period of deregistration, mere reinstatement would not validate his action, because s 601AH(5) provides only a limited measure of retrospectivity, so that the director regains his office only from the time of reinstatement. Similarly, s 601AH(5) provides only a limited measure of retrospectivity concerning title to the property of the company, so that the property revests in it only from the time of reinstatement. </w:t>
      </w:r>
      <w:r w:rsidR="00F86613">
        <w:t xml:space="preserve"> …</w:t>
      </w:r>
    </w:p>
    <w:p w14:paraId="6D85CB32" w14:textId="4F12C98E" w:rsidR="00966C1C" w:rsidRDefault="00D313AC" w:rsidP="00D313AC">
      <w:pPr>
        <w:pStyle w:val="ParaNumbering"/>
        <w:numPr>
          <w:ilvl w:val="0"/>
          <w:numId w:val="0"/>
        </w:numPr>
        <w:ind w:hanging="720"/>
      </w:pPr>
      <w:r>
        <w:rPr>
          <w:sz w:val="20"/>
        </w:rPr>
        <w:t>147</w:t>
      </w:r>
      <w:r>
        <w:rPr>
          <w:sz w:val="20"/>
        </w:rPr>
        <w:tab/>
      </w:r>
      <w:r w:rsidR="00966C1C">
        <w:t xml:space="preserve">In </w:t>
      </w:r>
      <w:r w:rsidR="00966C1C" w:rsidRPr="00595127">
        <w:rPr>
          <w:i/>
          <w:iCs/>
        </w:rPr>
        <w:t xml:space="preserve">Rockwall </w:t>
      </w:r>
      <w:r w:rsidR="00595127" w:rsidRPr="00595127">
        <w:rPr>
          <w:i/>
          <w:iCs/>
        </w:rPr>
        <w:t>Interiors</w:t>
      </w:r>
      <w:r w:rsidR="00966C1C" w:rsidRPr="00595127">
        <w:rPr>
          <w:i/>
          <w:iCs/>
        </w:rPr>
        <w:t xml:space="preserve"> </w:t>
      </w:r>
      <w:r w:rsidR="000C686B" w:rsidRPr="002736C0">
        <w:t>a</w:t>
      </w:r>
      <w:r w:rsidR="00595127" w:rsidRPr="002736C0">
        <w:t>t</w:t>
      </w:r>
      <w:r w:rsidR="00595127">
        <w:t xml:space="preserve"> [16] </w:t>
      </w:r>
      <w:r w:rsidR="00966C1C">
        <w:t xml:space="preserve">Barrett J </w:t>
      </w:r>
      <w:r w:rsidR="00595127">
        <w:t>held that “[t]he deemed continuity created by s 601AH(5)” could not “support a fiction that, in the period after deregistration, there was both service of and non-compliance with a statutory demand”.  At [17]</w:t>
      </w:r>
      <w:r w:rsidR="00FE15E1">
        <w:t>, among other things,</w:t>
      </w:r>
      <w:r w:rsidR="00595127">
        <w:t xml:space="preserve"> his Honour said:</w:t>
      </w:r>
    </w:p>
    <w:p w14:paraId="4B005138" w14:textId="7EAD2D94" w:rsidR="00595127" w:rsidRDefault="00FE15E1" w:rsidP="00525640">
      <w:pPr>
        <w:pStyle w:val="Quote1"/>
        <w:spacing w:after="360"/>
      </w:pPr>
      <w:r>
        <w:t xml:space="preserve">…  Section 601AH(5) creates only a limited form of retrospectivity. It recognises expressly that the persons who were directors at the time of deregistration are not to be </w:t>
      </w:r>
      <w:r>
        <w:lastRenderedPageBreak/>
        <w:t>regarded as having continued as directors throughout the period of the company’s non-existence. It likewise recognises expressly that property of the company at the time of deregistration (which, by force of the Act, thereupon becomes vested in ASIC under s</w:t>
      </w:r>
      <w:r w:rsidR="00BB35AF">
        <w:t> </w:t>
      </w:r>
      <w:r>
        <w:t xml:space="preserve">601AD(2)) is not to be regarded as owned by the company throughout the period of the company’s non-existence. I adopt, in this respect, the thorough analysis appearing in the judgment of Campbell J in </w:t>
      </w:r>
      <w:r w:rsidRPr="00FE15E1">
        <w:rPr>
          <w:i/>
          <w:iCs/>
        </w:rPr>
        <w:t xml:space="preserve">White v </w:t>
      </w:r>
      <w:proofErr w:type="spellStart"/>
      <w:r w:rsidRPr="00FE15E1">
        <w:rPr>
          <w:i/>
          <w:iCs/>
        </w:rPr>
        <w:t>Baycorp</w:t>
      </w:r>
      <w:proofErr w:type="spellEnd"/>
      <w:r w:rsidRPr="00FE15E1">
        <w:rPr>
          <w:i/>
          <w:iCs/>
        </w:rPr>
        <w:t xml:space="preserve"> Advantage Business Information Services Ltd</w:t>
      </w:r>
      <w:r>
        <w:t xml:space="preserve"> [2006] NSWSC 441 at [115] and following. Section 601AH(5) cannot, in a retrospective way, give efficacy to active steps taken in relation to a company which, because of the company’s non-existence, were, when taken, simply devoid of legal effect. </w:t>
      </w:r>
    </w:p>
    <w:p w14:paraId="464899E2" w14:textId="26B0289D" w:rsidR="00996E76" w:rsidRDefault="00D313AC" w:rsidP="00D313AC">
      <w:pPr>
        <w:pStyle w:val="ParaNumbering"/>
        <w:numPr>
          <w:ilvl w:val="0"/>
          <w:numId w:val="0"/>
        </w:numPr>
        <w:ind w:hanging="720"/>
      </w:pPr>
      <w:r>
        <w:rPr>
          <w:sz w:val="20"/>
        </w:rPr>
        <w:t>148</w:t>
      </w:r>
      <w:r>
        <w:rPr>
          <w:sz w:val="20"/>
        </w:rPr>
        <w:tab/>
      </w:r>
      <w:r w:rsidR="00E3705F">
        <w:t xml:space="preserve">At the </w:t>
      </w:r>
      <w:r w:rsidR="00996E76">
        <w:t>heart</w:t>
      </w:r>
      <w:r w:rsidR="00E3705F">
        <w:t xml:space="preserve"> of the applications before </w:t>
      </w:r>
      <w:r w:rsidR="00996E76">
        <w:t>me</w:t>
      </w:r>
      <w:r w:rsidR="00E3705F">
        <w:t xml:space="preserve"> for consideration </w:t>
      </w:r>
      <w:r w:rsidR="00996E76">
        <w:t>is</w:t>
      </w:r>
      <w:r w:rsidR="00E3705F">
        <w:t xml:space="preserve"> the </w:t>
      </w:r>
      <w:r w:rsidR="00996E76">
        <w:t>operation</w:t>
      </w:r>
      <w:r w:rsidR="00E3705F">
        <w:t xml:space="preserve"> </w:t>
      </w:r>
      <w:r w:rsidR="00996E76">
        <w:t>of</w:t>
      </w:r>
      <w:r w:rsidR="00E3705F">
        <w:t xml:space="preserve"> s 601AH(3) of the </w:t>
      </w:r>
      <w:r w:rsidR="00996E76">
        <w:t>Corporations</w:t>
      </w:r>
      <w:r w:rsidR="00E3705F">
        <w:t xml:space="preserve"> </w:t>
      </w:r>
      <w:r w:rsidR="00996E76">
        <w:t>A</w:t>
      </w:r>
      <w:r w:rsidR="00E3705F">
        <w:t>ct which empowers the Court to make ancillary orders</w:t>
      </w:r>
      <w:r w:rsidR="00377610">
        <w:t>.  I consider th</w:t>
      </w:r>
      <w:r w:rsidR="008617B3">
        <w:t xml:space="preserve">at provision in </w:t>
      </w:r>
      <w:r w:rsidR="00E3705F">
        <w:t>detail below</w:t>
      </w:r>
      <w:r w:rsidR="00996E76">
        <w:t xml:space="preserve">.  </w:t>
      </w:r>
    </w:p>
    <w:p w14:paraId="051777DD" w14:textId="7787901A" w:rsidR="00012E3C" w:rsidRDefault="00D313AC" w:rsidP="00D313AC">
      <w:pPr>
        <w:pStyle w:val="ParaNumbering"/>
        <w:numPr>
          <w:ilvl w:val="0"/>
          <w:numId w:val="0"/>
        </w:numPr>
        <w:ind w:hanging="720"/>
      </w:pPr>
      <w:r>
        <w:rPr>
          <w:sz w:val="20"/>
        </w:rPr>
        <w:t>149</w:t>
      </w:r>
      <w:r>
        <w:rPr>
          <w:sz w:val="20"/>
        </w:rPr>
        <w:tab/>
      </w:r>
      <w:r w:rsidR="007B2528">
        <w:t>The</w:t>
      </w:r>
      <w:r w:rsidR="007C4866">
        <w:t xml:space="preserve"> </w:t>
      </w:r>
      <w:r w:rsidR="007C4866" w:rsidRPr="007B2528">
        <w:t>Supreme Court Proceedings</w:t>
      </w:r>
      <w:r w:rsidR="00810EFD">
        <w:t xml:space="preserve"> </w:t>
      </w:r>
      <w:r w:rsidR="00F03C48">
        <w:t xml:space="preserve">each </w:t>
      </w:r>
      <w:r w:rsidR="00E021E0">
        <w:t xml:space="preserve">make claims </w:t>
      </w:r>
      <w:r w:rsidR="00F03C48">
        <w:t xml:space="preserve">under </w:t>
      </w:r>
      <w:r w:rsidR="00456BAC">
        <w:t xml:space="preserve">Div 2 of </w:t>
      </w:r>
      <w:r w:rsidR="00F03C48">
        <w:t>Pt</w:t>
      </w:r>
      <w:r w:rsidR="00234A7B">
        <w:t> </w:t>
      </w:r>
      <w:r w:rsidR="00F03C48">
        <w:t>5.7B</w:t>
      </w:r>
      <w:r w:rsidR="00456BAC">
        <w:t xml:space="preserve"> of the Corporations</w:t>
      </w:r>
      <w:r w:rsidR="00EE6E33">
        <w:t> </w:t>
      </w:r>
      <w:r w:rsidR="00456BAC">
        <w:t xml:space="preserve">Act which concerns voidable transactions.  </w:t>
      </w:r>
      <w:r w:rsidR="00952925">
        <w:t>In</w:t>
      </w:r>
      <w:r w:rsidR="003F311E">
        <w:t xml:space="preserve"> each case the </w:t>
      </w:r>
      <w:r w:rsidR="00B52917">
        <w:t>Liquidators</w:t>
      </w:r>
      <w:r w:rsidR="003F311E">
        <w:t xml:space="preserve"> seek relief under s 588FF</w:t>
      </w:r>
      <w:r w:rsidR="00012E3C">
        <w:t>(1)</w:t>
      </w:r>
      <w:r w:rsidR="003F311E">
        <w:t xml:space="preserve"> of the Corporations Act</w:t>
      </w:r>
      <w:r w:rsidR="00012E3C">
        <w:t xml:space="preserve"> which provides:</w:t>
      </w:r>
    </w:p>
    <w:p w14:paraId="6916B84B" w14:textId="36176449" w:rsidR="0046163D" w:rsidRDefault="0046163D" w:rsidP="005B5A24">
      <w:pPr>
        <w:pStyle w:val="Quote1"/>
      </w:pPr>
      <w:r>
        <w:t>Where, on the application of a company’s liquidator, a court is satisfied that a transaction of the company is voidable because of section 588FE, the court may make one or more of the following orders:</w:t>
      </w:r>
    </w:p>
    <w:p w14:paraId="19197773" w14:textId="43F60488" w:rsidR="0046163D" w:rsidRDefault="0046163D" w:rsidP="005B5A24">
      <w:pPr>
        <w:pStyle w:val="Quote2"/>
        <w:ind w:left="1457" w:hanging="720"/>
      </w:pPr>
      <w:r>
        <w:t>(a)</w:t>
      </w:r>
      <w:r>
        <w:tab/>
        <w:t>an order directing a person to pay to the company an amount equal to some or all of the money that the company has paid under the transaction;</w:t>
      </w:r>
    </w:p>
    <w:p w14:paraId="31862E92" w14:textId="2E844A47" w:rsidR="0046163D" w:rsidRDefault="0046163D" w:rsidP="005B5A24">
      <w:pPr>
        <w:pStyle w:val="Quote2"/>
        <w:ind w:left="1457" w:hanging="720"/>
      </w:pPr>
      <w:r>
        <w:t>(b)</w:t>
      </w:r>
      <w:r>
        <w:tab/>
        <w:t>an order directing a person to transfer to the company property that the company has transferred under the transaction;</w:t>
      </w:r>
    </w:p>
    <w:p w14:paraId="612E76A1" w14:textId="4F3CB7CE" w:rsidR="0046163D" w:rsidRDefault="0046163D" w:rsidP="005B5A24">
      <w:pPr>
        <w:pStyle w:val="Quote2"/>
        <w:ind w:left="1457" w:hanging="720"/>
      </w:pPr>
      <w:r>
        <w:t>(c)</w:t>
      </w:r>
      <w:r>
        <w:tab/>
        <w:t>an order requiring a person to pay to the company an amount that, in the court’s opinion, fairly represents some or all of the benefits that the person has received because of the transaction;</w:t>
      </w:r>
    </w:p>
    <w:p w14:paraId="19BCCA66" w14:textId="3F26731C" w:rsidR="0046163D" w:rsidRDefault="0046163D" w:rsidP="005B5A24">
      <w:pPr>
        <w:pStyle w:val="Quote2"/>
        <w:ind w:left="1457" w:hanging="720"/>
      </w:pPr>
      <w:r>
        <w:t>(d)</w:t>
      </w:r>
      <w:r w:rsidR="003F38BF">
        <w:tab/>
      </w:r>
      <w:r>
        <w:t>an order requiring a person to transfer to the company property that, in the court’s opinion, fairly represents the application of either or both of the following:</w:t>
      </w:r>
    </w:p>
    <w:p w14:paraId="68BCD151" w14:textId="69920793" w:rsidR="0046163D" w:rsidRDefault="0046163D" w:rsidP="005B5A24">
      <w:pPr>
        <w:pStyle w:val="Quote3"/>
        <w:ind w:left="2177" w:hanging="720"/>
      </w:pPr>
      <w:r>
        <w:t>(</w:t>
      </w:r>
      <w:proofErr w:type="spellStart"/>
      <w:r>
        <w:t>i</w:t>
      </w:r>
      <w:proofErr w:type="spellEnd"/>
      <w:r>
        <w:t>)</w:t>
      </w:r>
      <w:r w:rsidR="003F38BF">
        <w:tab/>
      </w:r>
      <w:r>
        <w:t>money that the company has paid under the transaction;</w:t>
      </w:r>
    </w:p>
    <w:p w14:paraId="3D6AE02A" w14:textId="219DA590" w:rsidR="0046163D" w:rsidRDefault="0046163D" w:rsidP="005B5A24">
      <w:pPr>
        <w:pStyle w:val="Quote3"/>
        <w:ind w:left="2177" w:hanging="720"/>
      </w:pPr>
      <w:r>
        <w:t>(ii)</w:t>
      </w:r>
      <w:r w:rsidR="003F38BF">
        <w:tab/>
      </w:r>
      <w:r>
        <w:t>proceeds of property that the company has transferred under the transaction;</w:t>
      </w:r>
    </w:p>
    <w:p w14:paraId="0848A7B5" w14:textId="18BFD47C" w:rsidR="0046163D" w:rsidRDefault="0046163D" w:rsidP="005B5A24">
      <w:pPr>
        <w:pStyle w:val="Quote2"/>
        <w:ind w:left="1457" w:hanging="720"/>
      </w:pPr>
      <w:r>
        <w:t>(e)</w:t>
      </w:r>
      <w:r w:rsidR="002D1CCF">
        <w:tab/>
      </w:r>
      <w:r>
        <w:t>an order releasing or discharging, wholly or partly, a debt incurred, or a security or guarantee given, by the company under or in connection with the transaction;</w:t>
      </w:r>
    </w:p>
    <w:p w14:paraId="1ECDF3C3" w14:textId="0951A2E6" w:rsidR="0046163D" w:rsidRDefault="0046163D" w:rsidP="005B5A24">
      <w:pPr>
        <w:pStyle w:val="Quote2"/>
        <w:ind w:left="1457" w:hanging="720"/>
      </w:pPr>
      <w:r>
        <w:t>(f)</w:t>
      </w:r>
      <w:r w:rsidR="002D1CCF">
        <w:tab/>
      </w:r>
      <w:r>
        <w:t>if the transaction is an unfair loan and such a debt, security or guarantee has been assigned—an order directing a person to indemnify the company in respect of some or all of its liability to the assignee;</w:t>
      </w:r>
    </w:p>
    <w:p w14:paraId="40618374" w14:textId="4C6479CE" w:rsidR="0046163D" w:rsidRDefault="0046163D" w:rsidP="005B5A24">
      <w:pPr>
        <w:pStyle w:val="Quote2"/>
        <w:ind w:left="1457" w:hanging="720"/>
      </w:pPr>
      <w:r>
        <w:t>(g)</w:t>
      </w:r>
      <w:r w:rsidR="002D1CCF">
        <w:tab/>
      </w:r>
      <w:r>
        <w:t>an order providing for the extent to which, and the terms on which, a debt that arose under, or was released or discharged to any extent by or under, the transaction may be proved in a winding up of the company;</w:t>
      </w:r>
    </w:p>
    <w:p w14:paraId="38DABCFF" w14:textId="7E00DB7E" w:rsidR="0046163D" w:rsidRDefault="0046163D" w:rsidP="005B5A24">
      <w:pPr>
        <w:pStyle w:val="Quote2"/>
        <w:ind w:left="1457" w:hanging="720"/>
      </w:pPr>
      <w:r>
        <w:lastRenderedPageBreak/>
        <w:t>(h)</w:t>
      </w:r>
      <w:r w:rsidR="002D1CCF">
        <w:tab/>
      </w:r>
      <w:r>
        <w:t>an order declaring an agreement constituting, forming part of, or relating to, the transaction, or specified provisions of such an agreement, to have been void at and after the time when the agreement was made, or at and after a specified later time;</w:t>
      </w:r>
    </w:p>
    <w:p w14:paraId="724E2BC1" w14:textId="1ACBEE6D" w:rsidR="0046163D" w:rsidRDefault="002D1CCF" w:rsidP="005B5A24">
      <w:pPr>
        <w:pStyle w:val="Quote2"/>
        <w:ind w:left="1457" w:hanging="720"/>
      </w:pPr>
      <w:r>
        <w:t>(</w:t>
      </w:r>
      <w:proofErr w:type="spellStart"/>
      <w:r w:rsidR="0046163D">
        <w:t>i</w:t>
      </w:r>
      <w:proofErr w:type="spellEnd"/>
      <w:r w:rsidR="0046163D">
        <w:t>)</w:t>
      </w:r>
      <w:r>
        <w:tab/>
      </w:r>
      <w:r w:rsidR="0046163D">
        <w:t>an order varying such an agreement as specified in the order and, if the Court thinks fit, declaring the agreement to have had effect, as so varied, at and after the time when the agreement was made, or at and after a specified later time;</w:t>
      </w:r>
    </w:p>
    <w:p w14:paraId="17CBBD25" w14:textId="4DBF565A" w:rsidR="00354574" w:rsidRDefault="0046163D" w:rsidP="005B5A24">
      <w:pPr>
        <w:pStyle w:val="Quote2"/>
        <w:spacing w:after="360"/>
        <w:ind w:left="1457" w:hanging="720"/>
      </w:pPr>
      <w:r>
        <w:t>(j)</w:t>
      </w:r>
      <w:r w:rsidR="002D1CCF">
        <w:tab/>
      </w:r>
      <w:r>
        <w:t>an order declaring such an agreement, or specified provisions of such an agreement, to be unenforceable.</w:t>
      </w:r>
    </w:p>
    <w:p w14:paraId="2936FF7B" w14:textId="7A8F8319" w:rsidR="009B1880" w:rsidRDefault="00D313AC" w:rsidP="00D313AC">
      <w:pPr>
        <w:pStyle w:val="ParaNumbering"/>
        <w:numPr>
          <w:ilvl w:val="0"/>
          <w:numId w:val="0"/>
        </w:numPr>
        <w:ind w:hanging="720"/>
      </w:pPr>
      <w:bookmarkStart w:id="38" w:name="_Ref156836992"/>
      <w:r>
        <w:rPr>
          <w:sz w:val="20"/>
        </w:rPr>
        <w:t>150</w:t>
      </w:r>
      <w:r>
        <w:rPr>
          <w:sz w:val="20"/>
        </w:rPr>
        <w:tab/>
      </w:r>
      <w:r w:rsidR="00797B53">
        <w:t xml:space="preserve">Section 588FF(3) </w:t>
      </w:r>
      <w:r w:rsidR="00F40A57">
        <w:t xml:space="preserve">sets out </w:t>
      </w:r>
      <w:r w:rsidR="0080284D">
        <w:t xml:space="preserve">the </w:t>
      </w:r>
      <w:r w:rsidR="00797B53">
        <w:t>time</w:t>
      </w:r>
      <w:r w:rsidR="0080284D">
        <w:t xml:space="preserve"> in which an application </w:t>
      </w:r>
      <w:r w:rsidR="00797B53">
        <w:t>under s 588FF(1)</w:t>
      </w:r>
      <w:r w:rsidR="0080284D">
        <w:t xml:space="preserve"> is to be</w:t>
      </w:r>
      <w:r w:rsidR="009B1880">
        <w:t xml:space="preserve"> made</w:t>
      </w:r>
      <w:r w:rsidR="0080284D">
        <w:t>.  It provides:</w:t>
      </w:r>
      <w:bookmarkEnd w:id="38"/>
    </w:p>
    <w:p w14:paraId="40520821" w14:textId="28893431" w:rsidR="00613FF6" w:rsidRDefault="00613FF6" w:rsidP="00613FF6">
      <w:pPr>
        <w:pStyle w:val="Quote1"/>
      </w:pPr>
      <w:r>
        <w:t>An application under subsection (1) may only be made:</w:t>
      </w:r>
    </w:p>
    <w:p w14:paraId="1DCAB58B" w14:textId="7328971C" w:rsidR="00613FF6" w:rsidRDefault="00613FF6" w:rsidP="005B5A24">
      <w:pPr>
        <w:pStyle w:val="Quote2"/>
        <w:ind w:left="737"/>
      </w:pPr>
      <w:r>
        <w:t>(a)</w:t>
      </w:r>
      <w:r>
        <w:tab/>
        <w:t>during the period beginning on the relation‑back day and ending:</w:t>
      </w:r>
    </w:p>
    <w:p w14:paraId="08781B85" w14:textId="0ED11D08" w:rsidR="00613FF6" w:rsidRDefault="00613FF6" w:rsidP="005B5A24">
      <w:pPr>
        <w:pStyle w:val="Quote3"/>
        <w:ind w:left="2177" w:hanging="720"/>
      </w:pPr>
      <w:r>
        <w:t>(</w:t>
      </w:r>
      <w:proofErr w:type="spellStart"/>
      <w:r>
        <w:t>i</w:t>
      </w:r>
      <w:proofErr w:type="spellEnd"/>
      <w:r>
        <w:t>)</w:t>
      </w:r>
      <w:r>
        <w:tab/>
        <w:t>3 years after the relation‑back day; or</w:t>
      </w:r>
    </w:p>
    <w:p w14:paraId="444A9760" w14:textId="752903C6" w:rsidR="00613FF6" w:rsidRDefault="00613FF6" w:rsidP="005B5A24">
      <w:pPr>
        <w:pStyle w:val="Quote3"/>
        <w:ind w:left="2177" w:hanging="720"/>
      </w:pPr>
      <w:r>
        <w:t>(ii)</w:t>
      </w:r>
      <w:r>
        <w:tab/>
        <w:t>12 months after the first appointment of a liquidator in relation to the winding up of the company;</w:t>
      </w:r>
    </w:p>
    <w:p w14:paraId="597EFEF4" w14:textId="3F0B7B42" w:rsidR="00613FF6" w:rsidRDefault="00613FF6" w:rsidP="005B5A24">
      <w:pPr>
        <w:pStyle w:val="Quote3"/>
        <w:ind w:left="1457"/>
      </w:pPr>
      <w:r>
        <w:t>whichever is the later; or</w:t>
      </w:r>
    </w:p>
    <w:p w14:paraId="5210587E" w14:textId="331B2AE4" w:rsidR="00613FF6" w:rsidRDefault="00613FF6" w:rsidP="005B5A24">
      <w:pPr>
        <w:pStyle w:val="Quote1"/>
        <w:spacing w:after="360"/>
        <w:ind w:left="1457" w:hanging="703"/>
      </w:pPr>
      <w:r>
        <w:t>(b)</w:t>
      </w:r>
      <w:r>
        <w:tab/>
        <w:t>within such longer period as the Court orders on an application under this paragraph made by the liquidator during the paragraph (a) period.</w:t>
      </w:r>
    </w:p>
    <w:p w14:paraId="66AF9FF9" w14:textId="2038A2FF" w:rsidR="008714F4" w:rsidRDefault="008714F4" w:rsidP="00262A45">
      <w:pPr>
        <w:pStyle w:val="BodyText"/>
      </w:pPr>
      <w:r>
        <w:t>The “relation</w:t>
      </w:r>
      <w:r w:rsidR="009F6470">
        <w:t>-</w:t>
      </w:r>
      <w:r>
        <w:t xml:space="preserve">back day” is defined in </w:t>
      </w:r>
      <w:r w:rsidRPr="00DA28E4">
        <w:t>s</w:t>
      </w:r>
      <w:r w:rsidR="00DA28E4">
        <w:t> </w:t>
      </w:r>
      <w:r w:rsidRPr="00DA28E4">
        <w:t>9</w:t>
      </w:r>
      <w:r w:rsidR="00FA2CB0">
        <w:t>1</w:t>
      </w:r>
      <w:r>
        <w:t xml:space="preserve"> of the Corporations Act</w:t>
      </w:r>
      <w:r w:rsidR="00262A45">
        <w:t>.</w:t>
      </w:r>
      <w:r>
        <w:t xml:space="preserve"> </w:t>
      </w:r>
    </w:p>
    <w:p w14:paraId="16F1390C" w14:textId="16E544A5" w:rsidR="007B06B3" w:rsidRDefault="00D313AC" w:rsidP="00C44D0B">
      <w:pPr>
        <w:pStyle w:val="Heading1"/>
      </w:pPr>
      <w:r>
        <w:rPr>
          <w:caps w:val="0"/>
        </w:rPr>
        <w:t>APPROACH TO THE APPLICATIONS</w:t>
      </w:r>
    </w:p>
    <w:p w14:paraId="39807380" w14:textId="02AE7A1E" w:rsidR="007B06B3" w:rsidRDefault="00D313AC" w:rsidP="00D313AC">
      <w:pPr>
        <w:pStyle w:val="ParaNumbering"/>
        <w:numPr>
          <w:ilvl w:val="0"/>
          <w:numId w:val="0"/>
        </w:numPr>
        <w:ind w:hanging="720"/>
      </w:pPr>
      <w:r>
        <w:rPr>
          <w:sz w:val="20"/>
        </w:rPr>
        <w:t>151</w:t>
      </w:r>
      <w:r>
        <w:rPr>
          <w:sz w:val="20"/>
        </w:rPr>
        <w:tab/>
      </w:r>
      <w:r w:rsidR="00634FA9">
        <w:t xml:space="preserve">Before </w:t>
      </w:r>
      <w:r w:rsidR="00365728">
        <w:t>proceeding</w:t>
      </w:r>
      <w:r w:rsidR="00634FA9">
        <w:t xml:space="preserve"> to consider both the Applicants</w:t>
      </w:r>
      <w:r w:rsidR="00365728">
        <w:t>’</w:t>
      </w:r>
      <w:r w:rsidR="00634FA9">
        <w:t xml:space="preserve"> and the </w:t>
      </w:r>
      <w:r w:rsidR="00441C7A">
        <w:t>Commissioner’s</w:t>
      </w:r>
      <w:r w:rsidR="00634FA9">
        <w:t xml:space="preserve"> </w:t>
      </w:r>
      <w:r w:rsidR="00365728">
        <w:t xml:space="preserve">respective </w:t>
      </w:r>
      <w:r w:rsidR="00634FA9">
        <w:t xml:space="preserve">applications it is </w:t>
      </w:r>
      <w:r w:rsidR="00365728">
        <w:t>necessary</w:t>
      </w:r>
      <w:r w:rsidR="00634FA9">
        <w:t xml:space="preserve"> to say </w:t>
      </w:r>
      <w:r w:rsidR="00365728">
        <w:t>something</w:t>
      </w:r>
      <w:r w:rsidR="00634FA9">
        <w:t xml:space="preserve"> about the approach to them.</w:t>
      </w:r>
    </w:p>
    <w:p w14:paraId="730D4825" w14:textId="3C57784A" w:rsidR="00634FA9" w:rsidRDefault="00D313AC" w:rsidP="00D313AC">
      <w:pPr>
        <w:pStyle w:val="ParaNumbering"/>
        <w:numPr>
          <w:ilvl w:val="0"/>
          <w:numId w:val="0"/>
        </w:numPr>
        <w:ind w:hanging="720"/>
      </w:pPr>
      <w:r>
        <w:rPr>
          <w:sz w:val="20"/>
        </w:rPr>
        <w:t>152</w:t>
      </w:r>
      <w:r>
        <w:rPr>
          <w:sz w:val="20"/>
        </w:rPr>
        <w:tab/>
      </w:r>
      <w:r w:rsidR="00634FA9">
        <w:t>As set out above</w:t>
      </w:r>
      <w:r w:rsidR="00181FA0">
        <w:t>,</w:t>
      </w:r>
      <w:r w:rsidR="00634FA9">
        <w:t xml:space="preserve"> Order 4 of the </w:t>
      </w:r>
      <w:r w:rsidR="00365728">
        <w:t>Reinstatement</w:t>
      </w:r>
      <w:r w:rsidR="00634FA9">
        <w:t xml:space="preserve"> Orders provide</w:t>
      </w:r>
      <w:r w:rsidR="00B47C6A">
        <w:t>s</w:t>
      </w:r>
      <w:r w:rsidR="00634FA9">
        <w:t xml:space="preserve"> </w:t>
      </w:r>
      <w:r w:rsidR="00972328">
        <w:t>that</w:t>
      </w:r>
      <w:r w:rsidR="00814A10">
        <w:t>,</w:t>
      </w:r>
      <w:r w:rsidR="00972328">
        <w:t xml:space="preserve"> in the event that </w:t>
      </w:r>
      <w:r w:rsidR="00972328" w:rsidRPr="00972328">
        <w:t xml:space="preserve">proceedings </w:t>
      </w:r>
      <w:r w:rsidR="00D74132">
        <w:t>a</w:t>
      </w:r>
      <w:r w:rsidR="00972328">
        <w:t>re</w:t>
      </w:r>
      <w:r w:rsidR="00972328" w:rsidRPr="00972328">
        <w:t xml:space="preserve"> commenced by</w:t>
      </w:r>
      <w:r w:rsidR="00972328">
        <w:t xml:space="preserve"> the L</w:t>
      </w:r>
      <w:r w:rsidR="00972328" w:rsidRPr="00972328">
        <w:t xml:space="preserve">iquidators </w:t>
      </w:r>
      <w:r w:rsidR="00D079E3">
        <w:t xml:space="preserve">in their capacity as liquidators </w:t>
      </w:r>
      <w:r w:rsidR="00972328" w:rsidRPr="00972328">
        <w:t xml:space="preserve">of any of the Companies </w:t>
      </w:r>
      <w:r w:rsidR="00AB7B09">
        <w:t xml:space="preserve">(as defined in </w:t>
      </w:r>
      <w:r w:rsidR="002B5800">
        <w:t>Order 1</w:t>
      </w:r>
      <w:r w:rsidR="00AB7B09">
        <w:t xml:space="preserve">) </w:t>
      </w:r>
      <w:r w:rsidR="00972328" w:rsidRPr="00972328">
        <w:t>in reliance upon Order</w:t>
      </w:r>
      <w:r w:rsidR="002B5800">
        <w:t> </w:t>
      </w:r>
      <w:r w:rsidR="00972328" w:rsidRPr="00972328">
        <w:t>3</w:t>
      </w:r>
      <w:r w:rsidR="00776838">
        <w:t>, which h</w:t>
      </w:r>
      <w:r w:rsidR="007E6F8B">
        <w:t>as occurred</w:t>
      </w:r>
      <w:r w:rsidR="00972328" w:rsidRPr="00972328">
        <w:t>,</w:t>
      </w:r>
      <w:r w:rsidR="007E6F8B">
        <w:t xml:space="preserve"> among other things,</w:t>
      </w:r>
      <w:r w:rsidR="00196D26">
        <w:t xml:space="preserve"> each of</w:t>
      </w:r>
      <w:r w:rsidR="007E6F8B">
        <w:t xml:space="preserve"> </w:t>
      </w:r>
      <w:r w:rsidR="00972328" w:rsidRPr="00972328">
        <w:t>the defendant</w:t>
      </w:r>
      <w:r w:rsidR="007E6F8B">
        <w:t xml:space="preserve">s to those proceedings </w:t>
      </w:r>
      <w:r w:rsidR="00181FA0">
        <w:t>is</w:t>
      </w:r>
      <w:r w:rsidR="00600A78">
        <w:t xml:space="preserve"> granted </w:t>
      </w:r>
      <w:r w:rsidR="00972328" w:rsidRPr="00972328">
        <w:t xml:space="preserve">liberty to apply to vary or discharge </w:t>
      </w:r>
      <w:r w:rsidR="00972328" w:rsidRPr="002B5800">
        <w:t>Order</w:t>
      </w:r>
      <w:r w:rsidR="002B5800">
        <w:t> </w:t>
      </w:r>
      <w:r w:rsidR="00972328" w:rsidRPr="002B5800">
        <w:t>3</w:t>
      </w:r>
      <w:r w:rsidR="00972328" w:rsidRPr="00972328">
        <w:t xml:space="preserve"> in</w:t>
      </w:r>
      <w:r w:rsidR="00196D26">
        <w:t>sofar as it affect</w:t>
      </w:r>
      <w:r w:rsidR="00181FA0">
        <w:t>s</w:t>
      </w:r>
      <w:r w:rsidR="00196D26">
        <w:t xml:space="preserve"> that defendant.  </w:t>
      </w:r>
    </w:p>
    <w:p w14:paraId="7C68E24A" w14:textId="6D2FCA72" w:rsidR="00BC23FC" w:rsidRDefault="00D313AC" w:rsidP="00D313AC">
      <w:pPr>
        <w:pStyle w:val="ParaNumbering"/>
        <w:numPr>
          <w:ilvl w:val="0"/>
          <w:numId w:val="0"/>
        </w:numPr>
        <w:ind w:hanging="720"/>
      </w:pPr>
      <w:bookmarkStart w:id="39" w:name="_Ref156402355"/>
      <w:r>
        <w:rPr>
          <w:sz w:val="20"/>
        </w:rPr>
        <w:t>153</w:t>
      </w:r>
      <w:r>
        <w:rPr>
          <w:sz w:val="20"/>
        </w:rPr>
        <w:tab/>
      </w:r>
      <w:r w:rsidR="00BC23FC">
        <w:t xml:space="preserve">The Applicants </w:t>
      </w:r>
      <w:r w:rsidR="003D0DB0">
        <w:t xml:space="preserve">have each exercised that liberty to apply to seek a variation or discharge of </w:t>
      </w:r>
      <w:r w:rsidR="00BD281D">
        <w:t xml:space="preserve">Order 3.  </w:t>
      </w:r>
      <w:r w:rsidR="009C0119">
        <w:t>They put their respective application</w:t>
      </w:r>
      <w:r w:rsidR="00776838">
        <w:t>s</w:t>
      </w:r>
      <w:r w:rsidR="009C0119">
        <w:t xml:space="preserve"> on a number of different bases: first, they contend that </w:t>
      </w:r>
      <w:r w:rsidR="00686F9F">
        <w:t xml:space="preserve">because of the </w:t>
      </w:r>
      <w:r w:rsidR="00A0045B">
        <w:t>proper construction</w:t>
      </w:r>
      <w:r w:rsidR="00686F9F">
        <w:t xml:space="preserve"> of s 588FF of the </w:t>
      </w:r>
      <w:r w:rsidR="00A06AE4">
        <w:t>Corporations</w:t>
      </w:r>
      <w:r w:rsidR="00686F9F">
        <w:t xml:space="preserve"> Act</w:t>
      </w:r>
      <w:r w:rsidR="00682326">
        <w:t xml:space="preserve">, absent </w:t>
      </w:r>
      <w:r w:rsidR="00E743AB">
        <w:t xml:space="preserve">an </w:t>
      </w:r>
      <w:r w:rsidR="00682326">
        <w:t>application under s 588FF(3)(b),</w:t>
      </w:r>
      <w:r w:rsidR="00686F9F">
        <w:t xml:space="preserve"> </w:t>
      </w:r>
      <w:r w:rsidR="00DD20B8">
        <w:t xml:space="preserve">there was no power to make Order 3 </w:t>
      </w:r>
      <w:r w:rsidR="00A06AE4">
        <w:t xml:space="preserve">at all or pursuant to </w:t>
      </w:r>
      <w:r w:rsidR="009C0119">
        <w:t>s 601AH(3)(d) of the Corporations</w:t>
      </w:r>
      <w:r w:rsidR="00F13A32">
        <w:t xml:space="preserve"> Act</w:t>
      </w:r>
      <w:r w:rsidR="009C0119">
        <w:t xml:space="preserve">; secondly, </w:t>
      </w:r>
      <w:r w:rsidR="00E71CF8">
        <w:t xml:space="preserve">and in the alternative, </w:t>
      </w:r>
      <w:r w:rsidR="009C0119">
        <w:t xml:space="preserve">they contend that </w:t>
      </w:r>
      <w:r w:rsidR="009C0119">
        <w:lastRenderedPageBreak/>
        <w:t>s 601AH(3)(d) does not empower the Court to extend time for limitation purposes</w:t>
      </w:r>
      <w:r w:rsidR="00A370C0">
        <w:t>, whether in respect of a cause of action against or vested in the company</w:t>
      </w:r>
      <w:r w:rsidR="009C0119">
        <w:t xml:space="preserve">; </w:t>
      </w:r>
      <w:r w:rsidR="003D2E5F">
        <w:t xml:space="preserve">and </w:t>
      </w:r>
      <w:r w:rsidR="009C0119">
        <w:t>thirdly</w:t>
      </w:r>
      <w:r w:rsidR="00590CA9">
        <w:t>,</w:t>
      </w:r>
      <w:r w:rsidR="009C0119">
        <w:t xml:space="preserve"> </w:t>
      </w:r>
      <w:r w:rsidR="00E71CF8">
        <w:t xml:space="preserve">and further in the alternative, </w:t>
      </w:r>
      <w:r w:rsidR="009C0119">
        <w:t>they contend that, even if the Court had power to make Order 3 of the Reinstatement</w:t>
      </w:r>
      <w:r w:rsidR="00BB0C89">
        <w:t> </w:t>
      </w:r>
      <w:r w:rsidR="009C0119">
        <w:t xml:space="preserve">Orders, it was not within the proper exercise of discretion under </w:t>
      </w:r>
      <w:r w:rsidR="009C0119" w:rsidRPr="0081077F">
        <w:t>s</w:t>
      </w:r>
      <w:r w:rsidR="009C0119">
        <w:t> </w:t>
      </w:r>
      <w:r w:rsidR="009C0119" w:rsidRPr="0081077F">
        <w:t>601AH</w:t>
      </w:r>
      <w:r w:rsidR="009C0119">
        <w:t xml:space="preserve">(3) of the Corporations Act to make that </w:t>
      </w:r>
      <w:r w:rsidR="00A06AE4">
        <w:t>order</w:t>
      </w:r>
      <w:r w:rsidR="0075162A">
        <w:t>.</w:t>
      </w:r>
      <w:bookmarkEnd w:id="39"/>
    </w:p>
    <w:p w14:paraId="6F34DAC7" w14:textId="5D785A5F" w:rsidR="00656531" w:rsidRDefault="00D313AC" w:rsidP="00D313AC">
      <w:pPr>
        <w:pStyle w:val="ParaNumbering"/>
        <w:numPr>
          <w:ilvl w:val="0"/>
          <w:numId w:val="0"/>
        </w:numPr>
        <w:ind w:hanging="720"/>
      </w:pPr>
      <w:r>
        <w:rPr>
          <w:sz w:val="20"/>
        </w:rPr>
        <w:t>154</w:t>
      </w:r>
      <w:r>
        <w:rPr>
          <w:sz w:val="20"/>
        </w:rPr>
        <w:tab/>
      </w:r>
      <w:r w:rsidR="00C50860">
        <w:t xml:space="preserve">I also note as a preliminary matter that there was some debate between the parties as to who bears the onus on the Applicants’ </w:t>
      </w:r>
      <w:r w:rsidR="003979F9">
        <w:t>a</w:t>
      </w:r>
      <w:r w:rsidR="00C50860">
        <w:t xml:space="preserve">pplications, although the real focus of the Applicants’ argument was whether they were entitled to have Order 3 of the Reinstatement Orders set aside as of right.  It would follow that if they were, the Applicants’ contention that, despite the terms of Order 4 of the Reinstatement Orders granting them liberty to apply, it is the Commissioner and </w:t>
      </w:r>
      <w:r w:rsidR="00A066B8">
        <w:t xml:space="preserve">the </w:t>
      </w:r>
      <w:r w:rsidR="00C50860">
        <w:t>Liquidators who bear the onus of establishing that the Reinstatement Orders were appropriately, or should be, made.  As a practical matter and given my conclusion in relation to the Applicant</w:t>
      </w:r>
      <w:r w:rsidR="007F354D">
        <w:t>s</w:t>
      </w:r>
      <w:r w:rsidR="00C50860">
        <w:t>’ principal argument relating to whether the Court had power to make Order 3, the answer to that question may be of little consequence.  However, I consider it below.</w:t>
      </w:r>
      <w:r w:rsidR="00656531" w:rsidRPr="00656531">
        <w:rPr>
          <w:rStyle w:val="FootnoteReference"/>
        </w:rPr>
        <w:t xml:space="preserve"> </w:t>
      </w:r>
    </w:p>
    <w:p w14:paraId="0EA246A4" w14:textId="3FD15A0C" w:rsidR="0075162A" w:rsidRDefault="00D313AC" w:rsidP="00D313AC">
      <w:pPr>
        <w:pStyle w:val="ParaNumbering"/>
        <w:numPr>
          <w:ilvl w:val="0"/>
          <w:numId w:val="0"/>
        </w:numPr>
        <w:ind w:hanging="720"/>
      </w:pPr>
      <w:r>
        <w:rPr>
          <w:sz w:val="20"/>
        </w:rPr>
        <w:t>155</w:t>
      </w:r>
      <w:r>
        <w:rPr>
          <w:sz w:val="20"/>
        </w:rPr>
        <w:tab/>
      </w:r>
      <w:r w:rsidR="0075162A">
        <w:t xml:space="preserve">If, based on any of the above arguments, any of the </w:t>
      </w:r>
      <w:r w:rsidR="001E3C65">
        <w:t>A</w:t>
      </w:r>
      <w:r w:rsidR="0075162A">
        <w:t xml:space="preserve">pplicants are successful in </w:t>
      </w:r>
      <w:r w:rsidR="003A6AEA">
        <w:t>discharging</w:t>
      </w:r>
      <w:r w:rsidR="0075162A">
        <w:t xml:space="preserve"> </w:t>
      </w:r>
      <w:r w:rsidR="001E3C65">
        <w:t xml:space="preserve">or varying </w:t>
      </w:r>
      <w:r w:rsidR="0075162A">
        <w:t>Order 3, the Commissioner’s Application by which he seeks the relief s</w:t>
      </w:r>
      <w:r w:rsidR="00C3562C">
        <w:t xml:space="preserve">et out </w:t>
      </w:r>
      <w:r w:rsidR="0075162A">
        <w:t>at [</w:t>
      </w:r>
      <w:r w:rsidR="00357C4B">
        <w:fldChar w:fldCharType="begin"/>
      </w:r>
      <w:r w:rsidR="00357C4B">
        <w:instrText xml:space="preserve"> REF _Ref156295656 \r \h </w:instrText>
      </w:r>
      <w:r w:rsidR="00357C4B">
        <w:fldChar w:fldCharType="separate"/>
      </w:r>
      <w:r w:rsidR="002B21FE">
        <w:t>6</w:t>
      </w:r>
      <w:r w:rsidR="00357C4B">
        <w:fldChar w:fldCharType="end"/>
      </w:r>
      <w:r w:rsidR="0075162A">
        <w:t>] above will fall for consideration.</w:t>
      </w:r>
    </w:p>
    <w:p w14:paraId="2AF8ABED" w14:textId="24ED548D" w:rsidR="0075162A" w:rsidRDefault="00D313AC" w:rsidP="00D313AC">
      <w:pPr>
        <w:pStyle w:val="ParaNumbering"/>
        <w:numPr>
          <w:ilvl w:val="0"/>
          <w:numId w:val="0"/>
        </w:numPr>
        <w:ind w:hanging="720"/>
      </w:pPr>
      <w:r>
        <w:rPr>
          <w:sz w:val="20"/>
        </w:rPr>
        <w:t>156</w:t>
      </w:r>
      <w:r>
        <w:rPr>
          <w:sz w:val="20"/>
        </w:rPr>
        <w:tab/>
      </w:r>
      <w:r w:rsidR="008663B3">
        <w:t xml:space="preserve">Before turning to </w:t>
      </w:r>
      <w:r w:rsidR="009235F8">
        <w:t>consider</w:t>
      </w:r>
      <w:r w:rsidR="008663B3">
        <w:t xml:space="preserve"> the substance of </w:t>
      </w:r>
      <w:r w:rsidR="001E3C65">
        <w:t>the</w:t>
      </w:r>
      <w:r w:rsidR="008663B3">
        <w:t xml:space="preserve"> applications before </w:t>
      </w:r>
      <w:r w:rsidR="009235F8">
        <w:t xml:space="preserve">me I note that, in contrast to the position before Stewart J, I </w:t>
      </w:r>
      <w:r w:rsidR="00B41C3E">
        <w:t xml:space="preserve">have had the benefit of </w:t>
      </w:r>
      <w:r w:rsidR="00C3562C">
        <w:t xml:space="preserve">a significant </w:t>
      </w:r>
      <w:r w:rsidR="007D7BFD">
        <w:t>volume</w:t>
      </w:r>
      <w:r w:rsidR="00C3562C">
        <w:t xml:space="preserve"> of material going to the </w:t>
      </w:r>
      <w:r w:rsidR="007D7BFD">
        <w:t>issues</w:t>
      </w:r>
      <w:r w:rsidR="00C3562C">
        <w:t xml:space="preserve"> that arise </w:t>
      </w:r>
      <w:r w:rsidR="007D7BFD">
        <w:t>including</w:t>
      </w:r>
      <w:r w:rsidR="00C3562C">
        <w:t xml:space="preserve"> </w:t>
      </w:r>
      <w:r w:rsidR="003158BC">
        <w:t xml:space="preserve">detailed written </w:t>
      </w:r>
      <w:r w:rsidR="007D7BFD">
        <w:t xml:space="preserve">and oral </w:t>
      </w:r>
      <w:r w:rsidR="003158BC">
        <w:t xml:space="preserve">submissions about the </w:t>
      </w:r>
      <w:r w:rsidR="004D7BFD">
        <w:t>applicable legislative scheme, the Cour</w:t>
      </w:r>
      <w:r w:rsidR="007D7BFD">
        <w:t>t’</w:t>
      </w:r>
      <w:r w:rsidR="004D7BFD">
        <w:t xml:space="preserve">s powers and the approach to be taken to </w:t>
      </w:r>
      <w:r w:rsidR="007D7BFD">
        <w:t xml:space="preserve">the making </w:t>
      </w:r>
      <w:r w:rsidR="00745041">
        <w:t>o</w:t>
      </w:r>
      <w:r w:rsidR="007D7BFD">
        <w:t>f orders under s</w:t>
      </w:r>
      <w:r w:rsidR="00745041">
        <w:t> </w:t>
      </w:r>
      <w:r w:rsidR="007D7BFD">
        <w:t xml:space="preserve">601AH of the </w:t>
      </w:r>
      <w:r w:rsidR="00745041">
        <w:t xml:space="preserve">Corporations </w:t>
      </w:r>
      <w:r w:rsidR="00105B19">
        <w:t xml:space="preserve">Act, including discretionary considerations that may apply.  Justice Stewart </w:t>
      </w:r>
      <w:r w:rsidR="00D81C69">
        <w:t xml:space="preserve">did not have the benefit of </w:t>
      </w:r>
      <w:r w:rsidR="00A6636B">
        <w:t>such</w:t>
      </w:r>
      <w:r w:rsidR="00D81C69">
        <w:t xml:space="preserve"> material.  </w:t>
      </w:r>
      <w:r w:rsidR="00A6636B">
        <w:t>His Honour came to make the orders by consent in the circumstances described at [</w:t>
      </w:r>
      <w:r w:rsidR="005B77BC">
        <w:fldChar w:fldCharType="begin"/>
      </w:r>
      <w:r w:rsidR="005B77BC">
        <w:instrText xml:space="preserve"> REF _Ref156745870 \r \h </w:instrText>
      </w:r>
      <w:r w:rsidR="005B77BC">
        <w:fldChar w:fldCharType="separate"/>
      </w:r>
      <w:r w:rsidR="002B21FE">
        <w:t>32</w:t>
      </w:r>
      <w:r w:rsidR="005B77BC">
        <w:fldChar w:fldCharType="end"/>
      </w:r>
      <w:r w:rsidR="00A6636B">
        <w:t>]-[</w:t>
      </w:r>
      <w:r w:rsidR="005B77BC">
        <w:fldChar w:fldCharType="begin"/>
      </w:r>
      <w:r w:rsidR="005B77BC">
        <w:instrText xml:space="preserve"> REF _Ref156745875 \r \h </w:instrText>
      </w:r>
      <w:r w:rsidR="005B77BC">
        <w:fldChar w:fldCharType="separate"/>
      </w:r>
      <w:r w:rsidR="002B21FE">
        <w:t>36</w:t>
      </w:r>
      <w:r w:rsidR="005B77BC">
        <w:fldChar w:fldCharType="end"/>
      </w:r>
      <w:r w:rsidR="00A6636B">
        <w:t xml:space="preserve">] above with the assistance only of a three page submission which </w:t>
      </w:r>
      <w:r w:rsidR="00366CAF">
        <w:t xml:space="preserve">did not </w:t>
      </w:r>
      <w:r w:rsidR="00A6636B">
        <w:t>canvas</w:t>
      </w:r>
      <w:r w:rsidR="00366CAF">
        <w:t xml:space="preserve"> the issues</w:t>
      </w:r>
      <w:r w:rsidR="00A6636B">
        <w:t xml:space="preserve"> raised before me.    </w:t>
      </w:r>
    </w:p>
    <w:p w14:paraId="5F27A983" w14:textId="37A736C7" w:rsidR="00FD58DA" w:rsidRDefault="00D313AC" w:rsidP="00D313AC">
      <w:pPr>
        <w:pStyle w:val="ParaNumbering"/>
        <w:numPr>
          <w:ilvl w:val="0"/>
          <w:numId w:val="0"/>
        </w:numPr>
        <w:ind w:hanging="720"/>
      </w:pPr>
      <w:r>
        <w:rPr>
          <w:sz w:val="20"/>
        </w:rPr>
        <w:t>157</w:t>
      </w:r>
      <w:r>
        <w:rPr>
          <w:sz w:val="20"/>
        </w:rPr>
        <w:tab/>
      </w:r>
      <w:r w:rsidR="006430BE">
        <w:t xml:space="preserve">I make that observation simply </w:t>
      </w:r>
      <w:r w:rsidR="00E34E66">
        <w:t>to</w:t>
      </w:r>
      <w:r w:rsidR="00480DC8">
        <w:t xml:space="preserve"> explain the very different </w:t>
      </w:r>
      <w:r w:rsidR="00EA04CF">
        <w:t>context</w:t>
      </w:r>
      <w:r w:rsidR="00FF4A87">
        <w:t>s</w:t>
      </w:r>
      <w:r w:rsidR="00EA04CF">
        <w:t xml:space="preserve"> in</w:t>
      </w:r>
      <w:r w:rsidR="00480DC8">
        <w:t xml:space="preserve"> which</w:t>
      </w:r>
      <w:r w:rsidR="00FF4A87">
        <w:t>:</w:t>
      </w:r>
      <w:r w:rsidR="00480DC8">
        <w:t xml:space="preserve"> first</w:t>
      </w:r>
      <w:r w:rsidR="00FF4A87">
        <w:t>,</w:t>
      </w:r>
      <w:r w:rsidR="00480DC8">
        <w:t xml:space="preserve"> </w:t>
      </w:r>
      <w:r w:rsidR="00EA04CF">
        <w:t>Stewart</w:t>
      </w:r>
      <w:r w:rsidR="00301723">
        <w:t> </w:t>
      </w:r>
      <w:r w:rsidR="00480DC8">
        <w:t xml:space="preserve">J made the </w:t>
      </w:r>
      <w:r w:rsidR="00EA04CF">
        <w:t>Reinstatement</w:t>
      </w:r>
      <w:r w:rsidR="00480DC8">
        <w:t xml:space="preserve"> </w:t>
      </w:r>
      <w:r w:rsidR="00EA04CF">
        <w:t>O</w:t>
      </w:r>
      <w:r w:rsidR="00480DC8">
        <w:t>rder</w:t>
      </w:r>
      <w:r w:rsidR="00EA04CF">
        <w:t>s;</w:t>
      </w:r>
      <w:r w:rsidR="00480DC8">
        <w:t xml:space="preserve"> and secondly</w:t>
      </w:r>
      <w:r w:rsidR="00EA04CF">
        <w:t>,</w:t>
      </w:r>
      <w:r w:rsidR="00480DC8">
        <w:t xml:space="preserve"> I have come to reconsider </w:t>
      </w:r>
      <w:r w:rsidR="00C43529">
        <w:t>Order 3</w:t>
      </w:r>
      <w:r w:rsidR="00EA04CF">
        <w:t xml:space="preserve"> of those orders. </w:t>
      </w:r>
      <w:r w:rsidR="00E34E66">
        <w:t xml:space="preserve"> </w:t>
      </w:r>
      <w:r w:rsidR="001441F3">
        <w:t xml:space="preserve">The conclusions I have reached are based on </w:t>
      </w:r>
      <w:r w:rsidR="0038165D">
        <w:t xml:space="preserve">the detailed </w:t>
      </w:r>
      <w:r w:rsidR="006213DF">
        <w:t>submissions</w:t>
      </w:r>
      <w:r w:rsidR="00AC3494">
        <w:t>, both written and oral,</w:t>
      </w:r>
      <w:r w:rsidR="006213DF">
        <w:t xml:space="preserve"> </w:t>
      </w:r>
      <w:r w:rsidR="007260A9">
        <w:t>made by the parties</w:t>
      </w:r>
      <w:r w:rsidR="005D1D97">
        <w:t xml:space="preserve">, </w:t>
      </w:r>
      <w:r w:rsidR="0038165D">
        <w:t xml:space="preserve">a </w:t>
      </w:r>
      <w:r w:rsidR="00040D77">
        <w:t xml:space="preserve">factor which was absent when the Reinstatement Orders were sought before his Honour.   </w:t>
      </w:r>
    </w:p>
    <w:p w14:paraId="07EB4F40" w14:textId="4600BE4B" w:rsidR="00EA5A23" w:rsidRDefault="00D313AC" w:rsidP="00777A10">
      <w:pPr>
        <w:pStyle w:val="Heading1"/>
      </w:pPr>
      <w:r>
        <w:rPr>
          <w:caps w:val="0"/>
        </w:rPr>
        <w:lastRenderedPageBreak/>
        <w:t xml:space="preserve">THE APPLICANTS’ APPLICATIONS </w:t>
      </w:r>
    </w:p>
    <w:p w14:paraId="1FFF86CB" w14:textId="31878933" w:rsidR="002316AA" w:rsidRDefault="00D313AC" w:rsidP="00D313AC">
      <w:pPr>
        <w:pStyle w:val="ParaNumbering"/>
        <w:numPr>
          <w:ilvl w:val="0"/>
          <w:numId w:val="0"/>
        </w:numPr>
        <w:ind w:hanging="720"/>
      </w:pPr>
      <w:r>
        <w:rPr>
          <w:sz w:val="20"/>
        </w:rPr>
        <w:t>158</w:t>
      </w:r>
      <w:r>
        <w:rPr>
          <w:sz w:val="20"/>
        </w:rPr>
        <w:tab/>
      </w:r>
      <w:r w:rsidR="002316AA">
        <w:t xml:space="preserve">I address below each of the </w:t>
      </w:r>
      <w:r w:rsidR="00EF6FEC">
        <w:t xml:space="preserve">arguments </w:t>
      </w:r>
      <w:r w:rsidR="00E45270">
        <w:t xml:space="preserve">relied on </w:t>
      </w:r>
      <w:r w:rsidR="00EF6FEC">
        <w:t xml:space="preserve">by the </w:t>
      </w:r>
      <w:r w:rsidR="0039474E">
        <w:t>A</w:t>
      </w:r>
      <w:r w:rsidR="00EF6FEC">
        <w:t xml:space="preserve">pplicants </w:t>
      </w:r>
      <w:r w:rsidR="003C66FB">
        <w:t xml:space="preserve">on their respective </w:t>
      </w:r>
      <w:r w:rsidR="007B4231">
        <w:t>applications</w:t>
      </w:r>
      <w:r w:rsidR="00EF6FEC">
        <w:t>.</w:t>
      </w:r>
      <w:r w:rsidR="00E45270">
        <w:t xml:space="preserve">  In doing so I note </w:t>
      </w:r>
      <w:r w:rsidR="002440D0">
        <w:t>that</w:t>
      </w:r>
      <w:r w:rsidR="00E45270">
        <w:t xml:space="preserve"> </w:t>
      </w:r>
      <w:r w:rsidR="00DB2E0A">
        <w:t xml:space="preserve">while </w:t>
      </w:r>
      <w:r w:rsidR="00E45270">
        <w:t xml:space="preserve">each of the Borg &amp; </w:t>
      </w:r>
      <w:proofErr w:type="spellStart"/>
      <w:r w:rsidR="00E45270">
        <w:t>Givana</w:t>
      </w:r>
      <w:proofErr w:type="spellEnd"/>
      <w:r w:rsidR="00E45270">
        <w:t xml:space="preserve"> Applicants, </w:t>
      </w:r>
      <w:proofErr w:type="spellStart"/>
      <w:r w:rsidR="00E45270">
        <w:t>Tabuso</w:t>
      </w:r>
      <w:proofErr w:type="spellEnd"/>
      <w:r w:rsidR="00A81AB9">
        <w:t> </w:t>
      </w:r>
      <w:r w:rsidR="00E45270">
        <w:t xml:space="preserve">Applicants </w:t>
      </w:r>
      <w:r w:rsidR="0075162A">
        <w:t>and K</w:t>
      </w:r>
      <w:r w:rsidR="0086421C">
        <w:t>ito</w:t>
      </w:r>
      <w:r w:rsidR="00526941">
        <w:t> </w:t>
      </w:r>
      <w:r w:rsidR="009D671B">
        <w:t>Applicants</w:t>
      </w:r>
      <w:r w:rsidR="00391AF2">
        <w:t xml:space="preserve"> </w:t>
      </w:r>
      <w:r w:rsidR="009D671B">
        <w:t>made</w:t>
      </w:r>
      <w:r w:rsidR="00DB2E0A">
        <w:t xml:space="preserve"> submissions </w:t>
      </w:r>
      <w:r w:rsidR="008D5020">
        <w:t xml:space="preserve">on each </w:t>
      </w:r>
      <w:r w:rsidR="003B3454">
        <w:t>of</w:t>
      </w:r>
      <w:r w:rsidR="008D5020">
        <w:t xml:space="preserve"> the issues </w:t>
      </w:r>
      <w:r w:rsidR="003B3454">
        <w:t>raised</w:t>
      </w:r>
      <w:r w:rsidR="008D5020">
        <w:t xml:space="preserve"> </w:t>
      </w:r>
      <w:r w:rsidR="003B3454">
        <w:t>by</w:t>
      </w:r>
      <w:r w:rsidR="008D5020">
        <w:t xml:space="preserve"> th</w:t>
      </w:r>
      <w:r w:rsidR="00695066">
        <w:t xml:space="preserve">ose </w:t>
      </w:r>
      <w:r w:rsidR="003B3454">
        <w:t>applications</w:t>
      </w:r>
      <w:r w:rsidR="00391AF2">
        <w:t>,</w:t>
      </w:r>
      <w:r w:rsidR="003B3454">
        <w:t xml:space="preserve"> </w:t>
      </w:r>
      <w:r w:rsidR="00DB2E0A">
        <w:t>they also</w:t>
      </w:r>
      <w:r w:rsidR="00FA55DF">
        <w:t>, for the most part,</w:t>
      </w:r>
      <w:r w:rsidR="00DB2E0A">
        <w:t xml:space="preserve"> adopted each other’s </w:t>
      </w:r>
      <w:r w:rsidR="00D23BEB">
        <w:t>submissions</w:t>
      </w:r>
      <w:r w:rsidR="0010013E">
        <w:t xml:space="preserve">.  </w:t>
      </w:r>
      <w:r w:rsidR="004212CF">
        <w:t>Similarly,</w:t>
      </w:r>
      <w:r w:rsidR="00391AF2">
        <w:t xml:space="preserve"> the Commissioner and the Liquidators adopted each other’s submissions on those issues.  </w:t>
      </w:r>
      <w:r w:rsidR="007B4231">
        <w:t xml:space="preserve">Accordingly, </w:t>
      </w:r>
      <w:r w:rsidR="003C66FB">
        <w:t xml:space="preserve">I have </w:t>
      </w:r>
      <w:r w:rsidR="00861A73">
        <w:t>for the most part</w:t>
      </w:r>
      <w:r w:rsidR="00FC5063">
        <w:t xml:space="preserve"> to avoid repetition</w:t>
      </w:r>
      <w:r w:rsidR="0085799C">
        <w:t xml:space="preserve"> collectively</w:t>
      </w:r>
      <w:r w:rsidR="00FC5063">
        <w:t xml:space="preserve"> </w:t>
      </w:r>
      <w:r w:rsidR="0025250A">
        <w:t>re</w:t>
      </w:r>
      <w:r w:rsidR="003C66FB">
        <w:t xml:space="preserve">ferred to the </w:t>
      </w:r>
      <w:r w:rsidR="004212CF">
        <w:t>Applicant</w:t>
      </w:r>
      <w:r w:rsidR="00440395">
        <w:t>s</w:t>
      </w:r>
      <w:r w:rsidR="004212CF">
        <w:t xml:space="preserve">’ </w:t>
      </w:r>
      <w:r w:rsidR="003C66FB">
        <w:t>submission</w:t>
      </w:r>
      <w:r w:rsidR="0025250A">
        <w:t>s</w:t>
      </w:r>
      <w:r w:rsidR="004212CF">
        <w:t xml:space="preserve">, on the one hand, and the Commissioner’s and </w:t>
      </w:r>
      <w:r w:rsidR="00225749">
        <w:t xml:space="preserve">the </w:t>
      </w:r>
      <w:r w:rsidR="004212CF">
        <w:t>Liquidator’s submissions, on the other</w:t>
      </w:r>
      <w:r w:rsidR="008F44AA">
        <w:t xml:space="preserve">.  </w:t>
      </w:r>
      <w:r w:rsidR="00E45270">
        <w:t xml:space="preserve"> </w:t>
      </w:r>
    </w:p>
    <w:p w14:paraId="1462FB76" w14:textId="25840B6E" w:rsidR="00EF6FEC" w:rsidRDefault="00B13464" w:rsidP="00965BD3">
      <w:pPr>
        <w:pStyle w:val="Heading2"/>
      </w:pPr>
      <w:r>
        <w:t>D</w:t>
      </w:r>
      <w:r w:rsidR="009A7D06">
        <w:t>oes</w:t>
      </w:r>
      <w:r w:rsidR="00567057">
        <w:t xml:space="preserve"> the Court have power to make Order 3 of the Reinstatement Orders </w:t>
      </w:r>
      <w:r w:rsidR="005A4DFA">
        <w:t>other than by</w:t>
      </w:r>
      <w:r w:rsidR="00DC1CC7">
        <w:t xml:space="preserve"> s 588FF(3)</w:t>
      </w:r>
      <w:r w:rsidR="009A7D06">
        <w:t xml:space="preserve"> of the Corporations Act</w:t>
      </w:r>
      <w:r w:rsidR="00567057">
        <w:t>?</w:t>
      </w:r>
    </w:p>
    <w:p w14:paraId="4A90FD8A" w14:textId="7FA9D619" w:rsidR="00776838" w:rsidRPr="00776838" w:rsidRDefault="00D313AC" w:rsidP="00D313AC">
      <w:pPr>
        <w:pStyle w:val="ParaNumbering"/>
        <w:numPr>
          <w:ilvl w:val="0"/>
          <w:numId w:val="0"/>
        </w:numPr>
        <w:ind w:hanging="720"/>
      </w:pPr>
      <w:r w:rsidRPr="00776838">
        <w:rPr>
          <w:sz w:val="20"/>
        </w:rPr>
        <w:t>159</w:t>
      </w:r>
      <w:r w:rsidRPr="00776838">
        <w:rPr>
          <w:sz w:val="20"/>
        </w:rPr>
        <w:tab/>
      </w:r>
      <w:r w:rsidR="00776838">
        <w:t xml:space="preserve">The first </w:t>
      </w:r>
      <w:r w:rsidR="00DE60CF">
        <w:t xml:space="preserve">argument put by the </w:t>
      </w:r>
      <w:r w:rsidR="00776838">
        <w:t xml:space="preserve">Applicants </w:t>
      </w:r>
      <w:r w:rsidR="00DE60CF">
        <w:t>is</w:t>
      </w:r>
      <w:r w:rsidR="00776838">
        <w:t xml:space="preserve"> that Order 3 should be discharged because</w:t>
      </w:r>
      <w:r w:rsidR="00673A75">
        <w:t xml:space="preserve">, given </w:t>
      </w:r>
      <w:r w:rsidR="00C427EF">
        <w:t xml:space="preserve">the proper construction of </w:t>
      </w:r>
      <w:r w:rsidR="00673A75">
        <w:t>s 588FF</w:t>
      </w:r>
      <w:r w:rsidR="007073EA">
        <w:t xml:space="preserve"> </w:t>
      </w:r>
      <w:r w:rsidR="00673A75">
        <w:t xml:space="preserve">of the </w:t>
      </w:r>
      <w:r w:rsidR="00A01AFC">
        <w:t>Corporations</w:t>
      </w:r>
      <w:r w:rsidR="00673A75">
        <w:t xml:space="preserve"> Act, </w:t>
      </w:r>
      <w:r w:rsidR="00F70DF9">
        <w:t>t</w:t>
      </w:r>
      <w:r w:rsidR="00776838">
        <w:t>he</w:t>
      </w:r>
      <w:r w:rsidR="00F70DF9">
        <w:t xml:space="preserve"> Court had no </w:t>
      </w:r>
      <w:r w:rsidR="00673A75">
        <w:t>power</w:t>
      </w:r>
      <w:r w:rsidR="00F70DF9">
        <w:t xml:space="preserve"> to make </w:t>
      </w:r>
      <w:r w:rsidR="00776838">
        <w:t>Order</w:t>
      </w:r>
      <w:r w:rsidR="000E7D9B">
        <w:t> </w:t>
      </w:r>
      <w:r w:rsidR="00776838">
        <w:t>3</w:t>
      </w:r>
      <w:r w:rsidR="00606EF8">
        <w:t xml:space="preserve"> (or an order to the effect of Order 3)</w:t>
      </w:r>
      <w:r w:rsidR="00776838">
        <w:t xml:space="preserve"> </w:t>
      </w:r>
      <w:r w:rsidR="007073EA">
        <w:t xml:space="preserve">other than in accordance with the </w:t>
      </w:r>
      <w:r w:rsidR="00606EF8">
        <w:t>terms of s 588FF(3)</w:t>
      </w:r>
      <w:r w:rsidR="00B06B79">
        <w:t xml:space="preserve">.  The Applicants contend that s 601AH(3)(d) of the Corporations Act, properly construed, cannot </w:t>
      </w:r>
      <w:r w:rsidR="002A372A">
        <w:t xml:space="preserve">be utilised </w:t>
      </w:r>
      <w:r w:rsidR="006F0C03">
        <w:t xml:space="preserve">to augment the time </w:t>
      </w:r>
      <w:r w:rsidR="0025442B">
        <w:t>in which to bring a claim under s 588FF</w:t>
      </w:r>
      <w:r w:rsidR="00606EF8">
        <w:t xml:space="preserve"> </w:t>
      </w:r>
      <w:r w:rsidR="00450CC6">
        <w:t xml:space="preserve">and it follows that </w:t>
      </w:r>
      <w:r w:rsidR="004001B8">
        <w:t xml:space="preserve">the Court </w:t>
      </w:r>
      <w:r w:rsidR="00450CC6">
        <w:t xml:space="preserve">had no such power </w:t>
      </w:r>
      <w:r w:rsidR="00776838">
        <w:t xml:space="preserve">pursuant to s 601AH(3)(d) of the </w:t>
      </w:r>
      <w:r w:rsidR="00450CC6">
        <w:t xml:space="preserve">Corporations </w:t>
      </w:r>
      <w:r w:rsidR="00A01AFC">
        <w:t>Act</w:t>
      </w:r>
      <w:r w:rsidR="0025442B">
        <w:t xml:space="preserve"> to make Order 3</w:t>
      </w:r>
      <w:r w:rsidR="00450CC6">
        <w:t>.</w:t>
      </w:r>
    </w:p>
    <w:p w14:paraId="4B0C3CE6" w14:textId="79D0A000" w:rsidR="00FF0C56" w:rsidRPr="00FF0C56" w:rsidRDefault="00FF0C56" w:rsidP="00A204AC">
      <w:pPr>
        <w:pStyle w:val="Heading3"/>
      </w:pPr>
      <w:r>
        <w:t>The parties’ submissions</w:t>
      </w:r>
    </w:p>
    <w:p w14:paraId="4FD2DBB9" w14:textId="1919BC44" w:rsidR="004F55E8" w:rsidRDefault="00D313AC" w:rsidP="00D313AC">
      <w:pPr>
        <w:pStyle w:val="ParaNumbering"/>
        <w:numPr>
          <w:ilvl w:val="0"/>
          <w:numId w:val="0"/>
        </w:numPr>
        <w:ind w:hanging="720"/>
      </w:pPr>
      <w:bookmarkStart w:id="40" w:name="_Ref157678691"/>
      <w:r>
        <w:rPr>
          <w:sz w:val="20"/>
        </w:rPr>
        <w:t>160</w:t>
      </w:r>
      <w:r>
        <w:rPr>
          <w:sz w:val="20"/>
        </w:rPr>
        <w:tab/>
      </w:r>
      <w:r w:rsidR="004F55E8">
        <w:t xml:space="preserve">The Applicants submit that the Court does not have power to make Order 3 in reliance upon the ancillary power in s 601AH(3)(d) of the Corporations Act where the purpose and effect of the </w:t>
      </w:r>
      <w:r w:rsidR="00825A91">
        <w:t>O</w:t>
      </w:r>
      <w:r w:rsidR="004F55E8">
        <w:t>rder would be to override the specific limitation period in s 588FF(3)(a)(</w:t>
      </w:r>
      <w:proofErr w:type="spellStart"/>
      <w:r w:rsidR="004F55E8">
        <w:t>i</w:t>
      </w:r>
      <w:proofErr w:type="spellEnd"/>
      <w:r w:rsidR="004F55E8">
        <w:t>) of that Act</w:t>
      </w:r>
      <w:r w:rsidR="000E7D9B">
        <w:t xml:space="preserve">.  </w:t>
      </w:r>
      <w:r w:rsidR="00CD30DA">
        <w:t xml:space="preserve"> They contend that </w:t>
      </w:r>
      <w:r w:rsidR="00E251A9">
        <w:t xml:space="preserve">it is clear from </w:t>
      </w:r>
      <w:r w:rsidR="00CD30DA">
        <w:t xml:space="preserve">use of the words “may only” in </w:t>
      </w:r>
      <w:r w:rsidR="00CD30DA" w:rsidRPr="00F03D7F">
        <w:t>s</w:t>
      </w:r>
      <w:r w:rsidR="00CD30DA">
        <w:t> 588FF(3) that this is a jurisdictional gateway which tells against such a power being made available by the statutory sidewind of s 601AH</w:t>
      </w:r>
      <w:r w:rsidR="00495D1C">
        <w:t xml:space="preserve"> of the Corporations Act</w:t>
      </w:r>
      <w:r w:rsidR="00CD30DA">
        <w:t>.</w:t>
      </w:r>
      <w:bookmarkEnd w:id="40"/>
      <w:r w:rsidR="00CD30DA">
        <w:t xml:space="preserve">  </w:t>
      </w:r>
    </w:p>
    <w:p w14:paraId="4DB559F9" w14:textId="1C0C25FB" w:rsidR="00D26AA3" w:rsidRDefault="00D313AC" w:rsidP="00D313AC">
      <w:pPr>
        <w:pStyle w:val="ParaNumbering"/>
        <w:numPr>
          <w:ilvl w:val="0"/>
          <w:numId w:val="0"/>
        </w:numPr>
        <w:ind w:hanging="720"/>
      </w:pPr>
      <w:r>
        <w:rPr>
          <w:sz w:val="20"/>
        </w:rPr>
        <w:t>161</w:t>
      </w:r>
      <w:r>
        <w:rPr>
          <w:sz w:val="20"/>
        </w:rPr>
        <w:tab/>
      </w:r>
      <w:r w:rsidR="00B301D4">
        <w:t xml:space="preserve">The </w:t>
      </w:r>
      <w:r w:rsidR="00E40E90">
        <w:t>A</w:t>
      </w:r>
      <w:r w:rsidR="00B301D4">
        <w:t>pplicant</w:t>
      </w:r>
      <w:r w:rsidR="00073C91">
        <w:t xml:space="preserve">s </w:t>
      </w:r>
      <w:r w:rsidR="00B4003E">
        <w:t>rely on a series of decisions which considered s 588FF(3) of the Corporations Act, which I address below</w:t>
      </w:r>
      <w:r w:rsidR="000045D9">
        <w:t>,</w:t>
      </w:r>
      <w:r w:rsidR="00B4003E">
        <w:t xml:space="preserve"> and </w:t>
      </w:r>
      <w:r w:rsidR="00B301D4">
        <w:t>submit that</w:t>
      </w:r>
      <w:r w:rsidR="0048351E">
        <w:t xml:space="preserve">, while </w:t>
      </w:r>
      <w:r w:rsidR="00E256BF">
        <w:t xml:space="preserve">the </w:t>
      </w:r>
      <w:r w:rsidR="001475A6">
        <w:t>High</w:t>
      </w:r>
      <w:r w:rsidR="00E256BF">
        <w:t xml:space="preserve"> Court in </w:t>
      </w:r>
      <w:r w:rsidR="00B4003E" w:rsidRPr="005C076A">
        <w:rPr>
          <w:b/>
          <w:bCs/>
          <w:i/>
          <w:iCs/>
        </w:rPr>
        <w:t>Grant Samuel</w:t>
      </w:r>
      <w:r w:rsidR="00B4003E" w:rsidRPr="00536D05">
        <w:rPr>
          <w:i/>
          <w:iCs/>
        </w:rPr>
        <w:t xml:space="preserve"> Corporate Finance Pty Ltd v Fletcher </w:t>
      </w:r>
      <w:r w:rsidR="00B4003E">
        <w:t>(2015) 254 CLR 477</w:t>
      </w:r>
      <w:r w:rsidR="00FF0C56">
        <w:rPr>
          <w:i/>
          <w:iCs/>
        </w:rPr>
        <w:t xml:space="preserve"> </w:t>
      </w:r>
      <w:r w:rsidR="00E256BF">
        <w:t xml:space="preserve">was not concerned with </w:t>
      </w:r>
      <w:r w:rsidR="00F61848">
        <w:t xml:space="preserve">the question presently before the Court and whether s 601AH(3) </w:t>
      </w:r>
      <w:r w:rsidR="00E256BF">
        <w:t xml:space="preserve">could be used to extend </w:t>
      </w:r>
      <w:r w:rsidR="00F61848">
        <w:t>time</w:t>
      </w:r>
      <w:r w:rsidR="00E256BF">
        <w:t xml:space="preserve"> under s 588FF(3)</w:t>
      </w:r>
      <w:r w:rsidR="0048351E">
        <w:t>,</w:t>
      </w:r>
      <w:r w:rsidR="00DA3FB4">
        <w:t xml:space="preserve"> the </w:t>
      </w:r>
      <w:r w:rsidR="004F19CA">
        <w:t xml:space="preserve">High </w:t>
      </w:r>
      <w:r w:rsidR="00DA3FB4">
        <w:t xml:space="preserve">Court’s </w:t>
      </w:r>
      <w:r w:rsidR="003F4B01">
        <w:t>(</w:t>
      </w:r>
      <w:r w:rsidR="003F4B01" w:rsidRPr="009D646C">
        <w:t xml:space="preserve">French CJ, Hayne, Kiefel, Bell, </w:t>
      </w:r>
      <w:proofErr w:type="spellStart"/>
      <w:r w:rsidR="003F4B01" w:rsidRPr="009D646C">
        <w:t>Gageler</w:t>
      </w:r>
      <w:proofErr w:type="spellEnd"/>
      <w:r w:rsidR="003F4B01" w:rsidRPr="009D646C">
        <w:t xml:space="preserve"> and Keane JJ</w:t>
      </w:r>
      <w:r w:rsidR="003F4B01">
        <w:t xml:space="preserve">) </w:t>
      </w:r>
      <w:r w:rsidR="00DA3FB4">
        <w:t>dictum at [22]-[23] cannot be distinguished on that account</w:t>
      </w:r>
      <w:r w:rsidR="001D161E">
        <w:t xml:space="preserve">.  </w:t>
      </w:r>
      <w:r w:rsidR="0048351E">
        <w:t>They</w:t>
      </w:r>
      <w:r w:rsidR="001D161E">
        <w:t xml:space="preserve"> contend</w:t>
      </w:r>
      <w:r w:rsidR="00A204AC">
        <w:t xml:space="preserve"> </w:t>
      </w:r>
      <w:r w:rsidR="001D161E" w:rsidRPr="00667359">
        <w:t>that</w:t>
      </w:r>
      <w:r w:rsidR="001D161E">
        <w:t xml:space="preserve"> the </w:t>
      </w:r>
      <w:r w:rsidR="002A5916">
        <w:t>sole</w:t>
      </w:r>
      <w:r w:rsidR="001D161E">
        <w:t xml:space="preserve"> means of </w:t>
      </w:r>
      <w:r w:rsidR="0048351E">
        <w:t>extending</w:t>
      </w:r>
      <w:r w:rsidR="001D161E">
        <w:t xml:space="preserve"> time to commence </w:t>
      </w:r>
      <w:r w:rsidR="0048351E">
        <w:t>an</w:t>
      </w:r>
      <w:r w:rsidR="001D161E">
        <w:t xml:space="preserve"> action under s 588FF(1) of the </w:t>
      </w:r>
      <w:r w:rsidR="0048351E">
        <w:t>Corporations</w:t>
      </w:r>
      <w:r w:rsidR="001475A6">
        <w:t xml:space="preserve"> Act </w:t>
      </w:r>
      <w:r w:rsidR="000E7D9B">
        <w:t>is</w:t>
      </w:r>
      <w:r w:rsidR="001475A6">
        <w:t xml:space="preserve"> via the procedure set out </w:t>
      </w:r>
      <w:r w:rsidR="001475A6">
        <w:lastRenderedPageBreak/>
        <w:t xml:space="preserve">in s 588FF(3)(b), </w:t>
      </w:r>
      <w:r w:rsidR="0048351E">
        <w:t>which</w:t>
      </w:r>
      <w:r w:rsidR="001475A6">
        <w:t xml:space="preserve"> </w:t>
      </w:r>
      <w:r w:rsidR="0048351E">
        <w:t>is</w:t>
      </w:r>
      <w:r w:rsidR="001475A6">
        <w:t xml:space="preserve"> consistent with the u</w:t>
      </w:r>
      <w:r w:rsidR="0048351E">
        <w:t>s</w:t>
      </w:r>
      <w:r w:rsidR="001475A6">
        <w:t xml:space="preserve">e of the words “may only”.  </w:t>
      </w:r>
      <w:r w:rsidR="00A510EE">
        <w:t xml:space="preserve">The Applicants observe that in </w:t>
      </w:r>
      <w:r w:rsidR="00A510EE">
        <w:rPr>
          <w:i/>
          <w:iCs/>
        </w:rPr>
        <w:t xml:space="preserve">Grant Samuel </w:t>
      </w:r>
      <w:r w:rsidR="00A510EE">
        <w:t xml:space="preserve">the High Court referred (at [22]) to </w:t>
      </w:r>
      <w:r w:rsidR="00A510EE" w:rsidRPr="00A510EE">
        <w:rPr>
          <w:b/>
          <w:bCs/>
          <w:i/>
          <w:iCs/>
        </w:rPr>
        <w:t>David Grant &amp; Co</w:t>
      </w:r>
      <w:r w:rsidR="00A510EE">
        <w:rPr>
          <w:i/>
          <w:iCs/>
        </w:rPr>
        <w:t xml:space="preserve"> Pty Ltd v Westpac Banking Corporation </w:t>
      </w:r>
      <w:r w:rsidR="00A510EE">
        <w:t xml:space="preserve">(1995) 184 CLR 265 at 277 which reinforces their position and the absolute dictum of the High Court as to how s 588FF(3) of the Corporations </w:t>
      </w:r>
      <w:r w:rsidR="004C2048">
        <w:t>A</w:t>
      </w:r>
      <w:r w:rsidR="00A510EE">
        <w:t xml:space="preserve">ct is to be read.  </w:t>
      </w:r>
    </w:p>
    <w:p w14:paraId="377897A2" w14:textId="0ADBE703" w:rsidR="0048351E" w:rsidRDefault="00D313AC" w:rsidP="00D313AC">
      <w:pPr>
        <w:pStyle w:val="ParaNumbering"/>
        <w:numPr>
          <w:ilvl w:val="0"/>
          <w:numId w:val="0"/>
        </w:numPr>
        <w:ind w:hanging="720"/>
      </w:pPr>
      <w:bookmarkStart w:id="41" w:name="_Ref157678504"/>
      <w:r>
        <w:rPr>
          <w:sz w:val="20"/>
        </w:rPr>
        <w:t>162</w:t>
      </w:r>
      <w:r>
        <w:rPr>
          <w:sz w:val="20"/>
        </w:rPr>
        <w:tab/>
      </w:r>
      <w:r w:rsidR="0048351E">
        <w:t xml:space="preserve">The </w:t>
      </w:r>
      <w:r w:rsidR="00E40E90">
        <w:t>A</w:t>
      </w:r>
      <w:r w:rsidR="008728EE">
        <w:t>pplicants</w:t>
      </w:r>
      <w:r w:rsidR="0048351E">
        <w:t xml:space="preserve"> submit that </w:t>
      </w:r>
      <w:r w:rsidR="00203E01">
        <w:t xml:space="preserve">their conclusion accords with the </w:t>
      </w:r>
      <w:proofErr w:type="spellStart"/>
      <w:r w:rsidR="00203E01">
        <w:t>well established</w:t>
      </w:r>
      <w:proofErr w:type="spellEnd"/>
      <w:r w:rsidR="00203E01">
        <w:t xml:space="preserve"> principle </w:t>
      </w:r>
      <w:r w:rsidR="003C4DF3">
        <w:t>of</w:t>
      </w:r>
      <w:r w:rsidR="00203E01">
        <w:t xml:space="preserve"> statutory construction </w:t>
      </w:r>
      <w:r w:rsidR="008728EE">
        <w:t>espoused</w:t>
      </w:r>
      <w:r w:rsidR="00203E01">
        <w:t xml:space="preserve"> in </w:t>
      </w:r>
      <w:r w:rsidR="00203E01" w:rsidRPr="00AB1536">
        <w:rPr>
          <w:b/>
          <w:bCs/>
          <w:i/>
          <w:iCs/>
        </w:rPr>
        <w:t xml:space="preserve">Anthony Hordern </w:t>
      </w:r>
      <w:r w:rsidR="00203E01" w:rsidRPr="00AB1536">
        <w:rPr>
          <w:i/>
          <w:iCs/>
        </w:rPr>
        <w:t>&amp; Sons Ltd</w:t>
      </w:r>
      <w:r w:rsidR="005D32F7" w:rsidRPr="00AB1536">
        <w:rPr>
          <w:i/>
          <w:iCs/>
        </w:rPr>
        <w:t xml:space="preserve"> v Amalgamated Clothing and Allied Trades Union of Australia </w:t>
      </w:r>
      <w:r w:rsidR="005D32F7">
        <w:t>(1932) 47 CLR 1 at 7</w:t>
      </w:r>
      <w:r w:rsidR="007C1073">
        <w:t xml:space="preserve">.  </w:t>
      </w:r>
      <w:r w:rsidR="00EE5D5A">
        <w:t xml:space="preserve">Given its prominence in the </w:t>
      </w:r>
      <w:r w:rsidR="00AB1536">
        <w:t>parties’</w:t>
      </w:r>
      <w:r w:rsidR="00EE5D5A">
        <w:t xml:space="preserve"> submissions, it is convenient at this stage to set out that principle.  </w:t>
      </w:r>
      <w:r w:rsidR="00AB1536">
        <w:t xml:space="preserve">Relevantly, </w:t>
      </w:r>
      <w:r w:rsidR="00EE5D5A">
        <w:t>at 7 Gavan Duffy</w:t>
      </w:r>
      <w:r w:rsidR="00752443">
        <w:t> </w:t>
      </w:r>
      <w:r w:rsidR="00EE5D5A">
        <w:t>CJ and Dixon J observed that “[w]hen the Legislature explicitly gives a power by a particular provision which prescribes the mode in which it shall be exercised and the conditions and restrictions which must be observed, it excludes the operation of general expressions in the same instrument which might otherwise have been relied upon for the same power”.</w:t>
      </w:r>
      <w:bookmarkEnd w:id="41"/>
      <w:r w:rsidR="00EE5D5A">
        <w:t xml:space="preserve"> </w:t>
      </w:r>
    </w:p>
    <w:p w14:paraId="1B3C098B" w14:textId="60B13F72" w:rsidR="00D74612" w:rsidRDefault="00D313AC" w:rsidP="00D313AC">
      <w:pPr>
        <w:pStyle w:val="ParaNumbering"/>
        <w:numPr>
          <w:ilvl w:val="0"/>
          <w:numId w:val="0"/>
        </w:numPr>
        <w:ind w:hanging="720"/>
      </w:pPr>
      <w:r>
        <w:rPr>
          <w:sz w:val="20"/>
        </w:rPr>
        <w:t>163</w:t>
      </w:r>
      <w:r>
        <w:rPr>
          <w:sz w:val="20"/>
        </w:rPr>
        <w:tab/>
      </w:r>
      <w:r w:rsidR="009C6B2A">
        <w:t xml:space="preserve">The </w:t>
      </w:r>
      <w:r w:rsidR="005C13A2">
        <w:t>A</w:t>
      </w:r>
      <w:r w:rsidR="00FE518A">
        <w:t>pplicants</w:t>
      </w:r>
      <w:r w:rsidR="009C6B2A">
        <w:t xml:space="preserve"> </w:t>
      </w:r>
      <w:r w:rsidR="00904E90">
        <w:t xml:space="preserve">contend </w:t>
      </w:r>
      <w:r w:rsidR="009C6B2A">
        <w:t xml:space="preserve">that the person invested with the right to bring an action under s 588FF(1) or to seek an extension </w:t>
      </w:r>
      <w:r w:rsidR="00FE518A">
        <w:t>of</w:t>
      </w:r>
      <w:r w:rsidR="009C6B2A">
        <w:t xml:space="preserve"> time to do so under s 588FF(3) is the liquidator</w:t>
      </w:r>
      <w:r w:rsidR="00FE518A">
        <w:t>, not the company</w:t>
      </w:r>
      <w:r w:rsidR="00603DEB">
        <w:t xml:space="preserve">, that </w:t>
      </w:r>
      <w:r w:rsidR="007C2823">
        <w:t>the rights under s 588FF are statutory rights of the liquidator and not proprietary rights of the company</w:t>
      </w:r>
      <w:r w:rsidR="000E6A92">
        <w:t xml:space="preserve"> and that this f</w:t>
      </w:r>
      <w:r w:rsidR="00B43AC7">
        <w:t>actor further attenuat</w:t>
      </w:r>
      <w:r w:rsidR="00603DEB">
        <w:t xml:space="preserve">es </w:t>
      </w:r>
      <w:r w:rsidR="00B43AC7">
        <w:t>the purported use of s 601AH(3) to affect the time limit imposed under s 588FF(3)</w:t>
      </w:r>
      <w:r w:rsidR="009C0E05">
        <w:t xml:space="preserve">.  The </w:t>
      </w:r>
      <w:r w:rsidR="005C13A2">
        <w:t>A</w:t>
      </w:r>
      <w:r w:rsidR="009C0E05">
        <w:t xml:space="preserve">pplicants contend that what is occurring is </w:t>
      </w:r>
      <w:r w:rsidR="0024145C">
        <w:t>not</w:t>
      </w:r>
      <w:r w:rsidR="009C0E05">
        <w:t xml:space="preserve"> the augmentation or extension </w:t>
      </w:r>
      <w:r w:rsidR="0024145C">
        <w:t>of</w:t>
      </w:r>
      <w:r w:rsidR="009C0E05">
        <w:t xml:space="preserve"> </w:t>
      </w:r>
      <w:r w:rsidR="0024145C">
        <w:t>time</w:t>
      </w:r>
      <w:r w:rsidR="009C0E05">
        <w:t xml:space="preserve"> in which to allow the formerly deregistered company to </w:t>
      </w:r>
      <w:r w:rsidR="0024145C">
        <w:t>bring</w:t>
      </w:r>
      <w:r w:rsidR="009C0E05">
        <w:t xml:space="preserve"> </w:t>
      </w:r>
      <w:r w:rsidR="0024145C">
        <w:t xml:space="preserve">a claim; it is the extension of time for the liquidators to pursue a statutory right </w:t>
      </w:r>
      <w:r w:rsidR="00E84CDA">
        <w:t>inuring</w:t>
      </w:r>
      <w:r w:rsidR="0024145C">
        <w:t xml:space="preserve"> to their office.  </w:t>
      </w:r>
    </w:p>
    <w:p w14:paraId="122C8CF5" w14:textId="258454AD" w:rsidR="004F3D14" w:rsidRDefault="00D313AC" w:rsidP="00D313AC">
      <w:pPr>
        <w:pStyle w:val="ParaNumbering"/>
        <w:numPr>
          <w:ilvl w:val="0"/>
          <w:numId w:val="0"/>
        </w:numPr>
        <w:ind w:hanging="720"/>
      </w:pPr>
      <w:r>
        <w:rPr>
          <w:sz w:val="20"/>
        </w:rPr>
        <w:t>164</w:t>
      </w:r>
      <w:r>
        <w:rPr>
          <w:sz w:val="20"/>
        </w:rPr>
        <w:tab/>
      </w:r>
      <w:r w:rsidR="000564D2">
        <w:t>The</w:t>
      </w:r>
      <w:r w:rsidR="00AF1469">
        <w:t xml:space="preserve"> Applicants submit that limitation periods exist to bring finality and commercial certainty so people may conduct </w:t>
      </w:r>
      <w:r w:rsidR="00205268">
        <w:t>their</w:t>
      </w:r>
      <w:r w:rsidR="00AF1469">
        <w:t xml:space="preserve"> affairs with confidence</w:t>
      </w:r>
      <w:r w:rsidR="00205268">
        <w:t xml:space="preserve"> </w:t>
      </w:r>
      <w:r w:rsidR="007205EB">
        <w:t>and</w:t>
      </w:r>
      <w:r w:rsidR="008B143A">
        <w:t xml:space="preserve"> that this</w:t>
      </w:r>
      <w:r w:rsidR="007205EB">
        <w:t xml:space="preserve"> principle applies specifically to s</w:t>
      </w:r>
      <w:r w:rsidR="008B143A">
        <w:t> </w:t>
      </w:r>
      <w:r w:rsidR="007205EB">
        <w:t xml:space="preserve">588FF(3) </w:t>
      </w:r>
      <w:r w:rsidR="008B143A">
        <w:t>of</w:t>
      </w:r>
      <w:r w:rsidR="007205EB">
        <w:t xml:space="preserve"> the </w:t>
      </w:r>
      <w:r w:rsidR="008B143A">
        <w:t>C</w:t>
      </w:r>
      <w:r w:rsidR="007205EB">
        <w:t xml:space="preserve">orporations Act. </w:t>
      </w:r>
      <w:r w:rsidR="007406C9">
        <w:t xml:space="preserve"> </w:t>
      </w:r>
      <w:r w:rsidR="00130B83">
        <w:t xml:space="preserve">They </w:t>
      </w:r>
      <w:r w:rsidR="00623B6F">
        <w:t>submit</w:t>
      </w:r>
      <w:r w:rsidR="004F3D14">
        <w:t xml:space="preserve"> that the relevant context includes the provisions in Pt 5.7B of the </w:t>
      </w:r>
      <w:r w:rsidR="00623B6F">
        <w:t>Corporations</w:t>
      </w:r>
      <w:r w:rsidR="004F3D14">
        <w:t xml:space="preserve"> </w:t>
      </w:r>
      <w:r w:rsidR="00623B6F">
        <w:t>A</w:t>
      </w:r>
      <w:r w:rsidR="004F3D14">
        <w:t>ct</w:t>
      </w:r>
      <w:r w:rsidR="001159B1">
        <w:t xml:space="preserve"> governing the commencement of proceedings for orders under s</w:t>
      </w:r>
      <w:r w:rsidR="0054598A">
        <w:t> </w:t>
      </w:r>
      <w:r w:rsidR="001159B1">
        <w:t>588FF which reveal</w:t>
      </w:r>
      <w:r w:rsidR="00DB4531">
        <w:t>s</w:t>
      </w:r>
      <w:r w:rsidR="001159B1">
        <w:t xml:space="preserve"> a deliberate choice b</w:t>
      </w:r>
      <w:r w:rsidR="0054598A">
        <w:t>y</w:t>
      </w:r>
      <w:r w:rsidR="001159B1">
        <w:t xml:space="preserve"> the legislature </w:t>
      </w:r>
      <w:r w:rsidR="00CD30DA">
        <w:t xml:space="preserve">in relation to </w:t>
      </w:r>
      <w:r w:rsidR="001159B1">
        <w:t xml:space="preserve">time limits </w:t>
      </w:r>
      <w:r w:rsidR="0054598A">
        <w:t>and</w:t>
      </w:r>
      <w:r w:rsidR="001159B1">
        <w:t xml:space="preserve"> reflect</w:t>
      </w:r>
      <w:r w:rsidR="00DB4531">
        <w:t>s</w:t>
      </w:r>
      <w:r w:rsidR="001159B1">
        <w:t xml:space="preserve"> a considered balance between </w:t>
      </w:r>
      <w:r w:rsidR="00CD5FBF">
        <w:t xml:space="preserve">the interests </w:t>
      </w:r>
      <w:r w:rsidR="00DB4531">
        <w:t>of</w:t>
      </w:r>
      <w:r w:rsidR="00CD5FBF">
        <w:t xml:space="preserve"> companies and creditors, on the one hand, and putative defendants, on the other.  </w:t>
      </w:r>
      <w:r w:rsidR="00EA33A9">
        <w:t xml:space="preserve">Relevantly </w:t>
      </w:r>
      <w:r w:rsidR="00214DA4">
        <w:t xml:space="preserve">s 588FF contains its own mechanism for altering the limitation </w:t>
      </w:r>
      <w:r w:rsidR="00623B6F">
        <w:t>period</w:t>
      </w:r>
      <w:r w:rsidR="00214DA4">
        <w:t xml:space="preserve"> in</w:t>
      </w:r>
      <w:r w:rsidR="00623B6F">
        <w:t xml:space="preserve"> </w:t>
      </w:r>
      <w:r w:rsidR="00214DA4">
        <w:t>an appropriate case and is</w:t>
      </w:r>
      <w:r w:rsidR="00623B6F">
        <w:t>,</w:t>
      </w:r>
      <w:r w:rsidR="00214DA4">
        <w:t xml:space="preserve"> in that </w:t>
      </w:r>
      <w:r w:rsidR="00623B6F">
        <w:t>sense</w:t>
      </w:r>
      <w:r w:rsidR="00214DA4">
        <w:t xml:space="preserve">, </w:t>
      </w:r>
      <w:proofErr w:type="spellStart"/>
      <w:r w:rsidR="00214DA4">
        <w:t>self contained</w:t>
      </w:r>
      <w:proofErr w:type="spellEnd"/>
      <w:r w:rsidR="00214DA4">
        <w:t xml:space="preserve">.  </w:t>
      </w:r>
      <w:r w:rsidR="00B96176">
        <w:t>The Applicants submit that s 588FF(3) cannot be characterised merely as a procedural stipulation as to time</w:t>
      </w:r>
      <w:r w:rsidR="00275887">
        <w:t xml:space="preserve"> but instead provides a </w:t>
      </w:r>
      <w:r w:rsidR="00936B29">
        <w:t>“</w:t>
      </w:r>
      <w:r w:rsidR="00275887">
        <w:t xml:space="preserve">precondition to the </w:t>
      </w:r>
      <w:r w:rsidR="00826DA9">
        <w:t>[</w:t>
      </w:r>
      <w:r w:rsidR="007D2BC2">
        <w:t>Court’s</w:t>
      </w:r>
      <w:r w:rsidR="00826DA9">
        <w:t>]</w:t>
      </w:r>
      <w:r w:rsidR="007D2BC2">
        <w:t xml:space="preserve"> jurisdiction under s 588FF(1)”</w:t>
      </w:r>
      <w:r w:rsidR="00EB4DA5">
        <w:t>, citing</w:t>
      </w:r>
      <w:r w:rsidR="007D2BC2">
        <w:t xml:space="preserve"> </w:t>
      </w:r>
      <w:r w:rsidR="007D2BC2">
        <w:rPr>
          <w:i/>
          <w:iCs/>
        </w:rPr>
        <w:t xml:space="preserve">Grant Samuel </w:t>
      </w:r>
      <w:r w:rsidR="007D2BC2">
        <w:t>at [17]</w:t>
      </w:r>
      <w:r w:rsidR="00275887">
        <w:t xml:space="preserve">.  </w:t>
      </w:r>
    </w:p>
    <w:p w14:paraId="5902015C" w14:textId="5FC1B687" w:rsidR="00176A0F" w:rsidRDefault="00D313AC" w:rsidP="00D313AC">
      <w:pPr>
        <w:pStyle w:val="ParaNumbering"/>
        <w:numPr>
          <w:ilvl w:val="0"/>
          <w:numId w:val="0"/>
        </w:numPr>
        <w:ind w:hanging="720"/>
      </w:pPr>
      <w:r>
        <w:rPr>
          <w:sz w:val="20"/>
        </w:rPr>
        <w:lastRenderedPageBreak/>
        <w:t>165</w:t>
      </w:r>
      <w:r>
        <w:rPr>
          <w:sz w:val="20"/>
        </w:rPr>
        <w:tab/>
      </w:r>
      <w:r w:rsidR="00CF4EB6">
        <w:t xml:space="preserve">The </w:t>
      </w:r>
      <w:r w:rsidR="009F56DF">
        <w:t>Commissioner</w:t>
      </w:r>
      <w:r w:rsidR="00CF4EB6">
        <w:t xml:space="preserve"> </w:t>
      </w:r>
      <w:r w:rsidR="00B66D63">
        <w:t xml:space="preserve">and the Liquidators </w:t>
      </w:r>
      <w:r w:rsidR="00CF4EB6">
        <w:t>submit that</w:t>
      </w:r>
      <w:r w:rsidR="00886DED">
        <w:t xml:space="preserve"> s 588FF(3)(b) of the Corporations Act does not cover the field for time limits for </w:t>
      </w:r>
      <w:r w:rsidR="009F56DF">
        <w:t>bringing</w:t>
      </w:r>
      <w:r w:rsidR="00886DED">
        <w:t xml:space="preserve"> </w:t>
      </w:r>
      <w:r w:rsidR="009F56DF">
        <w:t>proceedings</w:t>
      </w:r>
      <w:r w:rsidR="00886DED">
        <w:t xml:space="preserve"> </w:t>
      </w:r>
      <w:r w:rsidR="003D5B36">
        <w:t>i</w:t>
      </w:r>
      <w:r w:rsidR="009F56DF">
        <w:t xml:space="preserve">n respect of voidable transactions to the exclusion of s 601AH(3)(d) in the case of reinstated companies.  </w:t>
      </w:r>
      <w:r w:rsidR="00B66D63">
        <w:t xml:space="preserve">They </w:t>
      </w:r>
      <w:r w:rsidR="00A26B0B">
        <w:t>contend that where a liquidator fails to commence proceedings prior to the deregistration of a company, and where claims were not statu</w:t>
      </w:r>
      <w:r w:rsidR="00D636DD">
        <w:t>t</w:t>
      </w:r>
      <w:r w:rsidR="00A26B0B">
        <w:t>e barred at the time of deregistration, the power in s 601AH(3)(d) to disregard a period of time for the purpose of calculating the period ending three years after the relation</w:t>
      </w:r>
      <w:r w:rsidR="00EC0660">
        <w:t>-</w:t>
      </w:r>
      <w:r w:rsidR="00A26B0B">
        <w:t>back day is available</w:t>
      </w:r>
      <w:r w:rsidR="00BE2725">
        <w:t xml:space="preserve">.  The Commissioner </w:t>
      </w:r>
      <w:r w:rsidR="00B66D63">
        <w:t xml:space="preserve">and </w:t>
      </w:r>
      <w:r w:rsidR="00257074">
        <w:t xml:space="preserve">the </w:t>
      </w:r>
      <w:r w:rsidR="00B66D63">
        <w:t xml:space="preserve">Liquidators </w:t>
      </w:r>
      <w:r w:rsidR="00BE2725">
        <w:t>say</w:t>
      </w:r>
      <w:r w:rsidR="00B66D63">
        <w:t xml:space="preserve"> </w:t>
      </w:r>
      <w:r w:rsidR="00BE2725">
        <w:t xml:space="preserve">that the exercise of that power is ultimately a matter for the Court’s discretion to be exercised in light of relevant considerations.  </w:t>
      </w:r>
    </w:p>
    <w:p w14:paraId="466D4A19" w14:textId="560A2F34" w:rsidR="00E55378" w:rsidRDefault="00D313AC" w:rsidP="00D313AC">
      <w:pPr>
        <w:pStyle w:val="ParaNumbering"/>
        <w:numPr>
          <w:ilvl w:val="0"/>
          <w:numId w:val="0"/>
        </w:numPr>
        <w:ind w:hanging="720"/>
      </w:pPr>
      <w:r>
        <w:rPr>
          <w:sz w:val="20"/>
        </w:rPr>
        <w:t>166</w:t>
      </w:r>
      <w:r>
        <w:rPr>
          <w:sz w:val="20"/>
        </w:rPr>
        <w:tab/>
      </w:r>
      <w:r w:rsidR="00B822EF">
        <w:t>The Commissioner</w:t>
      </w:r>
      <w:r w:rsidR="00B66D63">
        <w:t xml:space="preserve"> and </w:t>
      </w:r>
      <w:r w:rsidR="0059091F">
        <w:t xml:space="preserve">the </w:t>
      </w:r>
      <w:r w:rsidR="00440366">
        <w:t>Liquidators submit</w:t>
      </w:r>
      <w:r w:rsidR="00B822EF">
        <w:t xml:space="preserve"> that </w:t>
      </w:r>
      <w:r w:rsidR="00E00718" w:rsidRPr="00D00856">
        <w:rPr>
          <w:b/>
          <w:bCs/>
          <w:i/>
          <w:iCs/>
        </w:rPr>
        <w:t>BP Australia</w:t>
      </w:r>
      <w:r w:rsidR="00E00718">
        <w:rPr>
          <w:i/>
          <w:iCs/>
        </w:rPr>
        <w:t xml:space="preserve"> Ltd v Brown </w:t>
      </w:r>
      <w:r w:rsidR="00E00718">
        <w:t xml:space="preserve">(2003) 58 NSWLR 322 </w:t>
      </w:r>
      <w:r w:rsidR="00B822EF">
        <w:t>is authority for the specific proposition that former s </w:t>
      </w:r>
      <w:r w:rsidR="00F02DBB">
        <w:t>588FF(3) of the Corporations Act was intended to cover the field of extensions of time with respect to applications concerning voidable transactions under s 588FF(1) to the exclusion</w:t>
      </w:r>
      <w:r w:rsidR="00D265EA">
        <w:t xml:space="preserve"> of power conferred on the Court to extend time under s 1322(4)(d)</w:t>
      </w:r>
      <w:r w:rsidR="004C6162">
        <w:t xml:space="preserve">.  </w:t>
      </w:r>
      <w:r w:rsidR="00E45368">
        <w:t>It</w:t>
      </w:r>
      <w:r w:rsidR="00BB1839">
        <w:rPr>
          <w:i/>
          <w:iCs/>
        </w:rPr>
        <w:t xml:space="preserve"> </w:t>
      </w:r>
      <w:r w:rsidR="004C6162">
        <w:t xml:space="preserve">did not concern </w:t>
      </w:r>
      <w:r w:rsidR="00A96302">
        <w:t>s</w:t>
      </w:r>
      <w:r w:rsidR="004C6162">
        <w:t xml:space="preserve"> 601AH and </w:t>
      </w:r>
      <w:r w:rsidR="00A24371">
        <w:t xml:space="preserve">it </w:t>
      </w:r>
      <w:r w:rsidR="00E55378">
        <w:t xml:space="preserve">did not consider s 588FF(3) </w:t>
      </w:r>
      <w:r w:rsidR="002811C0">
        <w:t>in its current form, but its predecessor</w:t>
      </w:r>
      <w:r w:rsidR="00E55378">
        <w:t xml:space="preserve">.  </w:t>
      </w:r>
    </w:p>
    <w:p w14:paraId="3699CFA4" w14:textId="1B1D81D3" w:rsidR="00791BBE" w:rsidRDefault="00D313AC" w:rsidP="00D313AC">
      <w:pPr>
        <w:pStyle w:val="ParaNumbering"/>
        <w:numPr>
          <w:ilvl w:val="0"/>
          <w:numId w:val="0"/>
        </w:numPr>
        <w:ind w:hanging="720"/>
      </w:pPr>
      <w:r>
        <w:rPr>
          <w:sz w:val="20"/>
        </w:rPr>
        <w:t>167</w:t>
      </w:r>
      <w:r>
        <w:rPr>
          <w:sz w:val="20"/>
        </w:rPr>
        <w:tab/>
      </w:r>
      <w:r w:rsidR="00E55378">
        <w:t xml:space="preserve">The Commissioner </w:t>
      </w:r>
      <w:r w:rsidR="00440366">
        <w:t xml:space="preserve">and </w:t>
      </w:r>
      <w:r w:rsidR="00103F78">
        <w:t xml:space="preserve">the </w:t>
      </w:r>
      <w:r w:rsidR="00440366">
        <w:t xml:space="preserve">Liquidators </w:t>
      </w:r>
      <w:r w:rsidR="00E55378">
        <w:t>submit that in contrast to s 1322(4)(d)</w:t>
      </w:r>
      <w:r w:rsidR="00D36D36">
        <w:t xml:space="preserve"> of the Corporations Act</w:t>
      </w:r>
      <w:r w:rsidR="00E55378">
        <w:t>, which is a general provision, s 601AH(3)(d) is a specific provision</w:t>
      </w:r>
      <w:r w:rsidR="00CC40FC">
        <w:t xml:space="preserve">.  Section 601AH(3)(d) gives the Court power to make appropriate orders upon the reinstatement of a </w:t>
      </w:r>
      <w:r w:rsidR="00CD52C6">
        <w:t xml:space="preserve">formerly deregistered company and is not a </w:t>
      </w:r>
      <w:r w:rsidR="004E4227">
        <w:t xml:space="preserve">general source of power </w:t>
      </w:r>
      <w:r w:rsidR="002A567D">
        <w:t>as is the case for</w:t>
      </w:r>
      <w:r w:rsidR="004E4227">
        <w:t xml:space="preserve"> s 1322(4)(d)</w:t>
      </w:r>
      <w:r w:rsidR="00CE5859">
        <w:t>.  The</w:t>
      </w:r>
      <w:r w:rsidR="00440366">
        <w:t>y</w:t>
      </w:r>
      <w:r w:rsidR="00CE5859">
        <w:t xml:space="preserve"> submit that </w:t>
      </w:r>
      <w:r w:rsidR="00C67E93">
        <w:t xml:space="preserve">s 1322(4) confers an </w:t>
      </w:r>
      <w:r w:rsidR="009F6740">
        <w:t>unfettered</w:t>
      </w:r>
      <w:r w:rsidR="00C67E93">
        <w:t xml:space="preserve"> discretion upon the Court, subject to the requirements of s 1322(6)</w:t>
      </w:r>
      <w:r w:rsidR="002028D9">
        <w:t xml:space="preserve">.  </w:t>
      </w:r>
      <w:r w:rsidR="00B618F0">
        <w:t xml:space="preserve">The Commissioner </w:t>
      </w:r>
      <w:r w:rsidR="00440366">
        <w:t xml:space="preserve">and </w:t>
      </w:r>
      <w:r w:rsidR="00BD3E3A">
        <w:t xml:space="preserve">the </w:t>
      </w:r>
      <w:r w:rsidR="00440366">
        <w:t xml:space="preserve">Liquidators </w:t>
      </w:r>
      <w:r w:rsidR="00B618F0">
        <w:t xml:space="preserve">contend that each application for exercise of the </w:t>
      </w:r>
      <w:r w:rsidR="005C1AAB">
        <w:t>Court’s relieving</w:t>
      </w:r>
      <w:r w:rsidR="00B618F0">
        <w:t xml:space="preserve"> power requires consideration of all of the circumstances of the case to ensure that relief is granted where appropriate and not to undermine the requirements of the Corporations Act.  </w:t>
      </w:r>
      <w:r w:rsidR="00440366">
        <w:t>They</w:t>
      </w:r>
      <w:r w:rsidR="00B618F0">
        <w:t xml:space="preserve"> note that the heading of Ch 9 of the Corporations</w:t>
      </w:r>
      <w:r w:rsidR="00C16D18">
        <w:t> </w:t>
      </w:r>
      <w:r w:rsidR="00B618F0">
        <w:t xml:space="preserve">Act supports the construction of s 1322 </w:t>
      </w:r>
      <w:r w:rsidR="004E55C5">
        <w:t xml:space="preserve">as a general rather than a specific provision and that headings of a chapter, part, division or subdivision of an </w:t>
      </w:r>
      <w:r w:rsidR="005A6923">
        <w:t>a</w:t>
      </w:r>
      <w:r w:rsidR="004E55C5">
        <w:t>ct may be taken into account in construing the sections within it</w:t>
      </w:r>
      <w:r w:rsidR="00DE037C">
        <w:t xml:space="preserve"> and the </w:t>
      </w:r>
      <w:r w:rsidR="0003732D">
        <w:t>a</w:t>
      </w:r>
      <w:r w:rsidR="00DE037C">
        <w:t>ct generally</w:t>
      </w:r>
      <w:r w:rsidR="00B61A93">
        <w:t xml:space="preserve"> although </w:t>
      </w:r>
      <w:r w:rsidR="00877B9E">
        <w:t>they cannot support adoption of an interpretation which the operative words of the statu</w:t>
      </w:r>
      <w:r w:rsidR="00E45368">
        <w:t>t</w:t>
      </w:r>
      <w:r w:rsidR="00877B9E">
        <w:t>e cannot reasonably bear.</w:t>
      </w:r>
      <w:r w:rsidR="00ED48DD" w:rsidRPr="00ED48DD">
        <w:rPr>
          <w:rStyle w:val="FootnoteReference"/>
        </w:rPr>
        <w:t xml:space="preserve"> </w:t>
      </w:r>
      <w:r w:rsidR="00877B9E">
        <w:t xml:space="preserve">  </w:t>
      </w:r>
    </w:p>
    <w:p w14:paraId="4054DCB7" w14:textId="1194F8E7" w:rsidR="006D1FF0" w:rsidRDefault="00D313AC" w:rsidP="00D313AC">
      <w:pPr>
        <w:pStyle w:val="ParaNumbering"/>
        <w:numPr>
          <w:ilvl w:val="0"/>
          <w:numId w:val="0"/>
        </w:numPr>
        <w:ind w:hanging="720"/>
      </w:pPr>
      <w:r>
        <w:rPr>
          <w:sz w:val="20"/>
        </w:rPr>
        <w:t>168</w:t>
      </w:r>
      <w:r>
        <w:rPr>
          <w:sz w:val="20"/>
        </w:rPr>
        <w:tab/>
      </w:r>
      <w:r w:rsidR="00877B9E">
        <w:t>The Commissioner</w:t>
      </w:r>
      <w:r w:rsidR="00440366">
        <w:t xml:space="preserve"> and </w:t>
      </w:r>
      <w:r w:rsidR="003E69AE">
        <w:t xml:space="preserve">the </w:t>
      </w:r>
      <w:r w:rsidR="00440366">
        <w:t xml:space="preserve">Liquidators </w:t>
      </w:r>
      <w:r w:rsidR="00877B9E">
        <w:t xml:space="preserve">submit that the principle </w:t>
      </w:r>
      <w:r w:rsidR="00993F07">
        <w:t xml:space="preserve">in </w:t>
      </w:r>
      <w:r w:rsidR="00993F07" w:rsidRPr="004E40D0">
        <w:rPr>
          <w:i/>
          <w:iCs/>
        </w:rPr>
        <w:t>Anthony Horde</w:t>
      </w:r>
      <w:r w:rsidR="004E40D0" w:rsidRPr="004E40D0">
        <w:rPr>
          <w:i/>
          <w:iCs/>
        </w:rPr>
        <w:t>r</w:t>
      </w:r>
      <w:r w:rsidR="00993F07" w:rsidRPr="004E40D0">
        <w:rPr>
          <w:i/>
          <w:iCs/>
        </w:rPr>
        <w:t xml:space="preserve">n </w:t>
      </w:r>
      <w:r w:rsidR="00993F07">
        <w:t>depends upon the existence of two provisions which confer the same power arising under a statu</w:t>
      </w:r>
      <w:r w:rsidR="00E45368">
        <w:t>t</w:t>
      </w:r>
      <w:r w:rsidR="00993F07">
        <w:t xml:space="preserve">e, where only one is subject to conditions on its exercise.  </w:t>
      </w:r>
      <w:r w:rsidR="00440366">
        <w:t xml:space="preserve">Section </w:t>
      </w:r>
      <w:r w:rsidR="002F6596">
        <w:t xml:space="preserve">588FF(3)(b) and s 601AH(3)(d) </w:t>
      </w:r>
      <w:r w:rsidR="002F6596">
        <w:lastRenderedPageBreak/>
        <w:t>do not confer the same power, in the relevant sense; the former provision has a wider field of operation</w:t>
      </w:r>
      <w:r w:rsidR="00E82443">
        <w:t xml:space="preserve"> but confers a more specific power.  The</w:t>
      </w:r>
      <w:r w:rsidR="00440366">
        <w:t>y</w:t>
      </w:r>
      <w:r w:rsidR="00E82443">
        <w:t xml:space="preserve"> submit</w:t>
      </w:r>
      <w:r w:rsidR="006D1FF0">
        <w:t xml:space="preserve"> that:</w:t>
      </w:r>
    </w:p>
    <w:p w14:paraId="3039F07C" w14:textId="5C89126E" w:rsidR="006D1FF0" w:rsidRDefault="00D313AC" w:rsidP="00D313AC">
      <w:pPr>
        <w:pStyle w:val="ListNo1"/>
        <w:numPr>
          <w:ilvl w:val="0"/>
          <w:numId w:val="0"/>
        </w:numPr>
        <w:tabs>
          <w:tab w:val="left" w:pos="720"/>
        </w:tabs>
        <w:ind w:left="720" w:hanging="720"/>
      </w:pPr>
      <w:r>
        <w:t>(1)</w:t>
      </w:r>
      <w:r>
        <w:tab/>
      </w:r>
      <w:r w:rsidR="00E82443">
        <w:t>s</w:t>
      </w:r>
      <w:r w:rsidR="00C60AD6">
        <w:t>ection</w:t>
      </w:r>
      <w:r w:rsidR="00E82443">
        <w:t xml:space="preserve"> 588FF(3)(b) operates in relation to all companies regulated by the Corporations</w:t>
      </w:r>
      <w:r w:rsidR="00E577FB">
        <w:t> </w:t>
      </w:r>
      <w:r w:rsidR="00E82443">
        <w:t xml:space="preserve">Act </w:t>
      </w:r>
      <w:r w:rsidR="00F94CBE">
        <w:t xml:space="preserve">and permits the Court to order that an application in respect of a voidable transaction may be brought during a longer period than otherwise permitted under the Corporations Act, provided that the application </w:t>
      </w:r>
      <w:r w:rsidR="00E0019C">
        <w:t>is</w:t>
      </w:r>
      <w:r w:rsidR="00F94CBE">
        <w:t xml:space="preserve"> brought within the</w:t>
      </w:r>
      <w:r w:rsidR="006F2730">
        <w:t xml:space="preserve"> otherwise applicable limitation period.  </w:t>
      </w:r>
      <w:r w:rsidR="00E331B3">
        <w:t>Section</w:t>
      </w:r>
      <w:r w:rsidR="00537BDF">
        <w:t xml:space="preserve"> 588FF(3)(b) </w:t>
      </w:r>
      <w:r w:rsidR="006F2730">
        <w:t>is expressly concerned with circumstances where a company</w:t>
      </w:r>
      <w:r w:rsidR="00204A1A">
        <w:t>’s liquidator wishes to seek an extension of time and thus postpone the limitation date for any voidable transaction claims available</w:t>
      </w:r>
      <w:r w:rsidR="008602DB">
        <w:t xml:space="preserve"> to him or her</w:t>
      </w:r>
      <w:r w:rsidR="006D1FF0">
        <w:t xml:space="preserve">; </w:t>
      </w:r>
    </w:p>
    <w:p w14:paraId="3B23C1D8" w14:textId="173161FE" w:rsidR="00A10C2B" w:rsidRDefault="00D313AC" w:rsidP="00D313AC">
      <w:pPr>
        <w:pStyle w:val="ListNo1"/>
        <w:numPr>
          <w:ilvl w:val="0"/>
          <w:numId w:val="0"/>
        </w:numPr>
        <w:tabs>
          <w:tab w:val="left" w:pos="720"/>
        </w:tabs>
        <w:ind w:left="720" w:hanging="720"/>
      </w:pPr>
      <w:r>
        <w:t>(2)</w:t>
      </w:r>
      <w:r>
        <w:tab/>
      </w:r>
      <w:r w:rsidR="006D1FF0">
        <w:t>b</w:t>
      </w:r>
      <w:r w:rsidR="008602DB">
        <w:t xml:space="preserve">y contrast s 601AH is the only section in the Corporations Act </w:t>
      </w:r>
      <w:r w:rsidR="00B276DE">
        <w:t xml:space="preserve">which concerns the circumstances in which a company may be reinstated and, where reinstated, the types of orders which may be made.  </w:t>
      </w:r>
      <w:r w:rsidR="00A10C2B">
        <w:t>Section</w:t>
      </w:r>
      <w:r w:rsidR="00B276DE">
        <w:t xml:space="preserve"> 601AH(3)(d) operates only </w:t>
      </w:r>
      <w:r w:rsidR="007B05B5">
        <w:t>with respect to previously deregist</w:t>
      </w:r>
      <w:r w:rsidR="00B009FD">
        <w:t>er</w:t>
      </w:r>
      <w:r w:rsidR="007B05B5">
        <w:t>ed companies that are reins</w:t>
      </w:r>
      <w:r w:rsidR="00B009FD">
        <w:t xml:space="preserve">tated to the register under </w:t>
      </w:r>
      <w:proofErr w:type="spellStart"/>
      <w:r w:rsidR="00B009FD">
        <w:t>subs</w:t>
      </w:r>
      <w:r w:rsidR="00EA7D52">
        <w:t>s</w:t>
      </w:r>
      <w:proofErr w:type="spellEnd"/>
      <w:r w:rsidR="00B009FD">
        <w:t> (1), (1A) or (2) and not to companies at large and empowers t</w:t>
      </w:r>
      <w:r w:rsidR="002F4C25">
        <w:t>he</w:t>
      </w:r>
      <w:r w:rsidR="00B009FD">
        <w:t xml:space="preserve"> Court to make “any other order it considers appropriate” upon such reinstatement</w:t>
      </w:r>
      <w:r w:rsidR="006B0DCC">
        <w:t>.  It bears no express connection to extensions of time</w:t>
      </w:r>
      <w:r w:rsidR="00A10C2B">
        <w:t>; and</w:t>
      </w:r>
    </w:p>
    <w:p w14:paraId="6F688961" w14:textId="376ACC6E" w:rsidR="00877B9E" w:rsidRDefault="00D313AC" w:rsidP="00D313AC">
      <w:pPr>
        <w:pStyle w:val="ListNo1"/>
        <w:numPr>
          <w:ilvl w:val="0"/>
          <w:numId w:val="0"/>
        </w:numPr>
        <w:tabs>
          <w:tab w:val="left" w:pos="720"/>
        </w:tabs>
        <w:ind w:left="720" w:hanging="720"/>
      </w:pPr>
      <w:r>
        <w:t>(3)</w:t>
      </w:r>
      <w:r>
        <w:tab/>
      </w:r>
      <w:r w:rsidR="00A10C2B">
        <w:t>a</w:t>
      </w:r>
      <w:r w:rsidR="006B0DCC">
        <w:t>ccordingly, these provisions do not confer the same power</w:t>
      </w:r>
      <w:r w:rsidR="004E40D0">
        <w:t>, substantively or at all</w:t>
      </w:r>
      <w:r w:rsidR="002F4C25">
        <w:t>,</w:t>
      </w:r>
      <w:r w:rsidR="004E40D0">
        <w:t xml:space="preserve"> and the </w:t>
      </w:r>
      <w:r w:rsidR="004E40D0" w:rsidRPr="006D1FF0">
        <w:rPr>
          <w:i/>
          <w:iCs/>
        </w:rPr>
        <w:t>A</w:t>
      </w:r>
      <w:r w:rsidR="00B03505">
        <w:rPr>
          <w:i/>
          <w:iCs/>
        </w:rPr>
        <w:t>n</w:t>
      </w:r>
      <w:r w:rsidR="004E40D0" w:rsidRPr="006D1FF0">
        <w:rPr>
          <w:i/>
          <w:iCs/>
        </w:rPr>
        <w:t>thony Horde</w:t>
      </w:r>
      <w:r w:rsidR="00B03505">
        <w:rPr>
          <w:i/>
          <w:iCs/>
        </w:rPr>
        <w:t>r</w:t>
      </w:r>
      <w:r w:rsidR="004E40D0" w:rsidRPr="006D1FF0">
        <w:rPr>
          <w:i/>
          <w:iCs/>
        </w:rPr>
        <w:t xml:space="preserve">n </w:t>
      </w:r>
      <w:r w:rsidR="004E40D0">
        <w:t>principle does not apply</w:t>
      </w:r>
      <w:r w:rsidR="00354F26">
        <w:t xml:space="preserve">.  </w:t>
      </w:r>
    </w:p>
    <w:p w14:paraId="711009DA" w14:textId="6956864B" w:rsidR="001867E0" w:rsidRDefault="00D313AC" w:rsidP="00D313AC">
      <w:pPr>
        <w:pStyle w:val="ParaNumbering"/>
        <w:numPr>
          <w:ilvl w:val="0"/>
          <w:numId w:val="0"/>
        </w:numPr>
        <w:ind w:hanging="720"/>
      </w:pPr>
      <w:r>
        <w:rPr>
          <w:sz w:val="20"/>
        </w:rPr>
        <w:t>169</w:t>
      </w:r>
      <w:r>
        <w:rPr>
          <w:sz w:val="20"/>
        </w:rPr>
        <w:tab/>
      </w:r>
      <w:r w:rsidR="00055454">
        <w:t>The Commissioner</w:t>
      </w:r>
      <w:r w:rsidR="00440366">
        <w:t xml:space="preserve"> and </w:t>
      </w:r>
      <w:r w:rsidR="0052429D">
        <w:t xml:space="preserve">the </w:t>
      </w:r>
      <w:r w:rsidR="00440366">
        <w:t>Liquidators</w:t>
      </w:r>
      <w:r w:rsidR="00055454">
        <w:t xml:space="preserve"> submit that in </w:t>
      </w:r>
      <w:r w:rsidR="00055454" w:rsidRPr="00694515">
        <w:rPr>
          <w:i/>
          <w:iCs/>
        </w:rPr>
        <w:t>Minister for Immigration and Multicultural and Indigenous Affairs v N</w:t>
      </w:r>
      <w:r w:rsidR="00464C59" w:rsidRPr="00694515">
        <w:rPr>
          <w:i/>
          <w:iCs/>
        </w:rPr>
        <w:t>ystrom</w:t>
      </w:r>
      <w:r w:rsidR="00464C59">
        <w:t xml:space="preserve"> (2006) 228 CLR 566 at [61] Gummow and Hayne JJ recognise that, for the purpose of applying the </w:t>
      </w:r>
      <w:r w:rsidR="00464C59" w:rsidRPr="00464C59">
        <w:rPr>
          <w:i/>
          <w:iCs/>
        </w:rPr>
        <w:t xml:space="preserve">Anthony Hordern </w:t>
      </w:r>
      <w:r w:rsidR="00464C59">
        <w:t>principle, it is incorrect to fi</w:t>
      </w:r>
      <w:r w:rsidR="002A171D">
        <w:t>x upon the practica</w:t>
      </w:r>
      <w:r w:rsidR="00EC597D">
        <w:t>l</w:t>
      </w:r>
      <w:r w:rsidR="002A171D">
        <w:t xml:space="preserve"> consequences of the respective provisions; rather, one must consider whether the subject matter of the power is, in law, substantially the same.  The</w:t>
      </w:r>
      <w:r w:rsidR="007773F0">
        <w:t>y</w:t>
      </w:r>
      <w:r w:rsidR="002A171D">
        <w:t xml:space="preserve"> contend that applying </w:t>
      </w:r>
      <w:r w:rsidR="002F4C25">
        <w:t>that</w:t>
      </w:r>
      <w:r w:rsidR="002A171D">
        <w:t xml:space="preserve"> approach here leads to the conclusion that, although in some cases the exercise of the powers under s 588FF(3)(b) and s 601AH(3)(d) might produce a similar practical consequence</w:t>
      </w:r>
      <w:r w:rsidR="00682021">
        <w:t>,</w:t>
      </w:r>
      <w:r w:rsidR="002A171D">
        <w:t xml:space="preserve"> the subject matter of the two powers is not, in law, substantially the same.</w:t>
      </w:r>
      <w:r w:rsidR="004C329D" w:rsidRPr="004C329D">
        <w:rPr>
          <w:rStyle w:val="FootnoteReference"/>
        </w:rPr>
        <w:t xml:space="preserve"> </w:t>
      </w:r>
      <w:r w:rsidR="002A171D">
        <w:t xml:space="preserve">  </w:t>
      </w:r>
    </w:p>
    <w:p w14:paraId="252BB854" w14:textId="23400041" w:rsidR="00055454" w:rsidRDefault="00D313AC" w:rsidP="00D313AC">
      <w:pPr>
        <w:pStyle w:val="ParaNumbering"/>
        <w:numPr>
          <w:ilvl w:val="0"/>
          <w:numId w:val="0"/>
        </w:numPr>
        <w:ind w:hanging="720"/>
      </w:pPr>
      <w:r>
        <w:rPr>
          <w:sz w:val="20"/>
        </w:rPr>
        <w:t>170</w:t>
      </w:r>
      <w:r>
        <w:rPr>
          <w:sz w:val="20"/>
        </w:rPr>
        <w:tab/>
      </w:r>
      <w:r w:rsidR="002A171D">
        <w:t xml:space="preserve">The Commissioner </w:t>
      </w:r>
      <w:r w:rsidR="007773F0">
        <w:t xml:space="preserve">and </w:t>
      </w:r>
      <w:r w:rsidR="00F87531">
        <w:t xml:space="preserve">the </w:t>
      </w:r>
      <w:r w:rsidR="007773F0">
        <w:t xml:space="preserve">Liquidators </w:t>
      </w:r>
      <w:r w:rsidR="002A171D">
        <w:t xml:space="preserve">submit that it is </w:t>
      </w:r>
      <w:r w:rsidR="001C6665">
        <w:t>doubtful</w:t>
      </w:r>
      <w:r w:rsidR="002A171D">
        <w:t xml:space="preserve"> that Order 3 of the Reinsta</w:t>
      </w:r>
      <w:r w:rsidR="00A030D0">
        <w:t>tement</w:t>
      </w:r>
      <w:r w:rsidR="003F0A25">
        <w:t> </w:t>
      </w:r>
      <w:r w:rsidR="00A030D0">
        <w:t xml:space="preserve">Orders could have been made under s 588FF(3)(b) at all </w:t>
      </w:r>
      <w:r w:rsidR="002F334F">
        <w:t xml:space="preserve">as that section </w:t>
      </w:r>
      <w:r w:rsidR="00A030D0">
        <w:t xml:space="preserve">only confers a power to permit “such longer period as the Court orders” on an application made </w:t>
      </w:r>
      <w:r w:rsidR="001C6665">
        <w:t xml:space="preserve">during the </w:t>
      </w:r>
      <w:r w:rsidR="00322647">
        <w:t xml:space="preserve">period specified in </w:t>
      </w:r>
      <w:r w:rsidR="001C6665">
        <w:t>subs</w:t>
      </w:r>
      <w:r w:rsidR="00283F45">
        <w:t xml:space="preserve"> </w:t>
      </w:r>
      <w:r w:rsidR="001C6665">
        <w:t>(3)(</w:t>
      </w:r>
      <w:r w:rsidR="00C106B8">
        <w:t>a</w:t>
      </w:r>
      <w:r w:rsidR="001C6665">
        <w:t xml:space="preserve">) </w:t>
      </w:r>
      <w:r w:rsidR="00C106B8">
        <w:t xml:space="preserve">and does not confer a power to disregard a specified </w:t>
      </w:r>
      <w:r w:rsidR="00C106B8">
        <w:lastRenderedPageBreak/>
        <w:t>period when calculating the period ending three years after the relation</w:t>
      </w:r>
      <w:r w:rsidR="00974E98">
        <w:t>-</w:t>
      </w:r>
      <w:r w:rsidR="00C106B8">
        <w:t xml:space="preserve">back day.  The </w:t>
      </w:r>
      <w:r w:rsidR="00175723">
        <w:t>Commissioner</w:t>
      </w:r>
      <w:r w:rsidR="00C106B8">
        <w:t xml:space="preserve"> </w:t>
      </w:r>
      <w:r w:rsidR="007773F0">
        <w:t xml:space="preserve">and </w:t>
      </w:r>
      <w:r w:rsidR="00F87531">
        <w:t xml:space="preserve">the </w:t>
      </w:r>
      <w:r w:rsidR="007773F0">
        <w:t xml:space="preserve">Liquidators </w:t>
      </w:r>
      <w:r w:rsidR="00C106B8">
        <w:t xml:space="preserve">submit that this illustrates that, although capable of producing a similar practical </w:t>
      </w:r>
      <w:r w:rsidR="00175723">
        <w:t>consequence</w:t>
      </w:r>
      <w:r w:rsidR="002F334F">
        <w:t>,</w:t>
      </w:r>
      <w:r w:rsidR="00175723">
        <w:t xml:space="preserve"> s</w:t>
      </w:r>
      <w:r w:rsidR="00AD2EDA">
        <w:t> </w:t>
      </w:r>
      <w:r w:rsidR="00175723">
        <w:t xml:space="preserve">588FF(3)(b) and s 601AH(3)(d) </w:t>
      </w:r>
      <w:r w:rsidR="00974E98">
        <w:t xml:space="preserve">of the </w:t>
      </w:r>
      <w:r w:rsidR="00F01695">
        <w:t>Corporations</w:t>
      </w:r>
      <w:r w:rsidR="00974E98">
        <w:t xml:space="preserve"> Act </w:t>
      </w:r>
      <w:r w:rsidR="00175723">
        <w:t>do not confer a power that, in law, is substantially the same</w:t>
      </w:r>
      <w:r w:rsidR="007F1A1E">
        <w:t xml:space="preserve">.  </w:t>
      </w:r>
    </w:p>
    <w:p w14:paraId="73E2085A" w14:textId="269E556D" w:rsidR="00AD420D" w:rsidRDefault="00D313AC" w:rsidP="00D313AC">
      <w:pPr>
        <w:pStyle w:val="ParaNumbering"/>
        <w:numPr>
          <w:ilvl w:val="0"/>
          <w:numId w:val="0"/>
        </w:numPr>
        <w:ind w:hanging="720"/>
      </w:pPr>
      <w:r>
        <w:rPr>
          <w:sz w:val="20"/>
        </w:rPr>
        <w:t>171</w:t>
      </w:r>
      <w:r>
        <w:rPr>
          <w:sz w:val="20"/>
        </w:rPr>
        <w:tab/>
      </w:r>
      <w:r w:rsidR="007F1A1E">
        <w:t xml:space="preserve">The Commissioner </w:t>
      </w:r>
      <w:r w:rsidR="007773F0">
        <w:t xml:space="preserve">and </w:t>
      </w:r>
      <w:r w:rsidR="007776F7">
        <w:t xml:space="preserve">the </w:t>
      </w:r>
      <w:r w:rsidR="007773F0">
        <w:t xml:space="preserve">Liquidators contend </w:t>
      </w:r>
      <w:r w:rsidR="007F1A1E">
        <w:t xml:space="preserve">that where there is an apparent inconsistency </w:t>
      </w:r>
      <w:r w:rsidR="004F040B">
        <w:t xml:space="preserve">between provisions within an </w:t>
      </w:r>
      <w:r w:rsidR="007206AE">
        <w:t>a</w:t>
      </w:r>
      <w:r w:rsidR="004F040B">
        <w:t xml:space="preserve">ct, the conflict must be alleviated so far as possible, by adjusting the meaning of the competing provisions to achieve the result which will best give effect to the purpose and language of those provisions while maintaining the unity of all statutory provisions, </w:t>
      </w:r>
      <w:r w:rsidR="00AB1714">
        <w:t>referring to</w:t>
      </w:r>
      <w:r w:rsidR="003D7003">
        <w:t xml:space="preserve"> </w:t>
      </w:r>
      <w:r w:rsidR="003D7003" w:rsidRPr="00EC597D">
        <w:rPr>
          <w:b/>
          <w:bCs/>
          <w:i/>
          <w:iCs/>
        </w:rPr>
        <w:t>Project Blue Sky</w:t>
      </w:r>
      <w:r w:rsidR="003D7003" w:rsidRPr="003D7003">
        <w:rPr>
          <w:i/>
          <w:iCs/>
        </w:rPr>
        <w:t xml:space="preserve"> Inc </w:t>
      </w:r>
      <w:r w:rsidR="00B844C8">
        <w:rPr>
          <w:i/>
          <w:iCs/>
        </w:rPr>
        <w:t>v</w:t>
      </w:r>
      <w:r w:rsidR="003D7003" w:rsidRPr="003D7003">
        <w:rPr>
          <w:i/>
          <w:iCs/>
        </w:rPr>
        <w:t xml:space="preserve"> Australian Broadcasting Authority </w:t>
      </w:r>
      <w:r w:rsidR="003D7003">
        <w:t>(1998) 194 CLR 355 at [70].  The</w:t>
      </w:r>
      <w:r w:rsidR="007773F0">
        <w:t>y</w:t>
      </w:r>
      <w:r w:rsidR="003D7003">
        <w:t xml:space="preserve"> </w:t>
      </w:r>
      <w:r w:rsidR="002F334F">
        <w:t>observe</w:t>
      </w:r>
      <w:r w:rsidR="003D7003">
        <w:t xml:space="preserve"> that reconciling </w:t>
      </w:r>
      <w:r w:rsidR="00203972">
        <w:t xml:space="preserve">conflicting provisions will often require the Court to determine the leading </w:t>
      </w:r>
      <w:r w:rsidR="0068352F">
        <w:t xml:space="preserve">and subordinate </w:t>
      </w:r>
      <w:r w:rsidR="00203972">
        <w:t xml:space="preserve">provision, and which must yield to the other.  </w:t>
      </w:r>
      <w:r w:rsidR="00CC3831">
        <w:t>I</w:t>
      </w:r>
      <w:r w:rsidR="00203972">
        <w:t xml:space="preserve">n the circumstances of this case, </w:t>
      </w:r>
      <w:r w:rsidR="00CC3831">
        <w:t xml:space="preserve">they contend that </w:t>
      </w:r>
      <w:r w:rsidR="00203972">
        <w:t>s 601AH(3)(d) is the leading provision and s 588FF subordinate</w:t>
      </w:r>
      <w:r w:rsidR="00000A6F">
        <w:t xml:space="preserve">.  The Commissioner </w:t>
      </w:r>
      <w:r w:rsidR="007773F0">
        <w:t xml:space="preserve">and </w:t>
      </w:r>
      <w:r w:rsidR="001D78E9">
        <w:t xml:space="preserve">the </w:t>
      </w:r>
      <w:r w:rsidR="007773F0">
        <w:t>Liquidators</w:t>
      </w:r>
      <w:r w:rsidR="004C3B8B">
        <w:t xml:space="preserve"> </w:t>
      </w:r>
      <w:r w:rsidR="00FA64C0">
        <w:t xml:space="preserve">submit </w:t>
      </w:r>
      <w:r w:rsidR="00000A6F">
        <w:t>that the purpose of s 601A</w:t>
      </w:r>
      <w:r w:rsidR="0068352F">
        <w:t>H</w:t>
      </w:r>
      <w:r w:rsidR="00000A6F">
        <w:t xml:space="preserve">(3)(d) is to empower courts with the jurisdiction and flexibility to make appropriate orders, as required by the circumstances </w:t>
      </w:r>
      <w:r w:rsidR="00397318">
        <w:t xml:space="preserve">peculiar to the reinstatement, so as to bring the company to the position it was in at the point of </w:t>
      </w:r>
      <w:r w:rsidR="00AD420D">
        <w:t>de</w:t>
      </w:r>
      <w:r w:rsidR="00397318">
        <w:t>registration</w:t>
      </w:r>
      <w:r w:rsidR="00AD420D">
        <w:t>.</w:t>
      </w:r>
      <w:r w:rsidR="00970C37" w:rsidRPr="00970C37">
        <w:rPr>
          <w:rStyle w:val="FootnoteReference"/>
        </w:rPr>
        <w:t xml:space="preserve"> </w:t>
      </w:r>
      <w:r w:rsidR="00AD420D">
        <w:t xml:space="preserve">  </w:t>
      </w:r>
    </w:p>
    <w:p w14:paraId="427E8150" w14:textId="383A10AC" w:rsidR="00C749EA" w:rsidRDefault="00D313AC" w:rsidP="00D313AC">
      <w:pPr>
        <w:pStyle w:val="ParaNumbering"/>
        <w:numPr>
          <w:ilvl w:val="0"/>
          <w:numId w:val="0"/>
        </w:numPr>
        <w:ind w:hanging="720"/>
      </w:pPr>
      <w:r>
        <w:rPr>
          <w:sz w:val="20"/>
        </w:rPr>
        <w:t>172</w:t>
      </w:r>
      <w:r>
        <w:rPr>
          <w:sz w:val="20"/>
        </w:rPr>
        <w:tab/>
      </w:r>
      <w:r w:rsidR="00AD420D">
        <w:t xml:space="preserve">The Commissioner </w:t>
      </w:r>
      <w:r w:rsidR="004C3B8B">
        <w:t xml:space="preserve">and </w:t>
      </w:r>
      <w:r w:rsidR="006D002C">
        <w:t xml:space="preserve">the </w:t>
      </w:r>
      <w:r w:rsidR="004C3B8B">
        <w:t xml:space="preserve">Liquidators </w:t>
      </w:r>
      <w:r w:rsidR="00D1355E">
        <w:t xml:space="preserve">submit </w:t>
      </w:r>
      <w:r w:rsidR="00AD420D">
        <w:t xml:space="preserve">that the power </w:t>
      </w:r>
      <w:r w:rsidR="00B00084">
        <w:t>in s 601AH(3)</w:t>
      </w:r>
      <w:r w:rsidR="00890D6E">
        <w:t>(d)</w:t>
      </w:r>
      <w:r w:rsidR="00B00084">
        <w:t xml:space="preserve"> </w:t>
      </w:r>
      <w:r w:rsidR="00AD420D">
        <w:t>is used to address the peculiarity and injustice arising from the legal fiction caused by s 601AH(5)</w:t>
      </w:r>
      <w:r w:rsidR="00D1355E">
        <w:t xml:space="preserve"> and </w:t>
      </w:r>
      <w:r w:rsidR="00AD420D">
        <w:t>that</w:t>
      </w:r>
      <w:r w:rsidR="00F07DE9">
        <w:t>,</w:t>
      </w:r>
      <w:r w:rsidR="00AD420D">
        <w:t xml:space="preserve"> as the subordinate provision, s 588FF</w:t>
      </w:r>
      <w:r w:rsidR="00F07DE9">
        <w:t xml:space="preserve"> must be read as being “subject to any orders made upon the reinstatement of a deregistered company”.  </w:t>
      </w:r>
      <w:r w:rsidR="004C3B8B">
        <w:t>They say</w:t>
      </w:r>
      <w:r w:rsidR="00F07DE9">
        <w:t xml:space="preserve"> that this approach to statutory construction gives effect to the statutory purpose of 601AH(3)(d), being t</w:t>
      </w:r>
      <w:r w:rsidR="00890D6E">
        <w:t>o</w:t>
      </w:r>
      <w:r w:rsidR="0012298C">
        <w:t xml:space="preserve"> place the formerly deregistered company</w:t>
      </w:r>
      <w:r w:rsidR="00E05561">
        <w:t>,</w:t>
      </w:r>
      <w:r w:rsidR="0012298C">
        <w:t xml:space="preserve"> or others</w:t>
      </w:r>
      <w:r w:rsidR="00E05561">
        <w:t>,</w:t>
      </w:r>
      <w:r w:rsidR="0012298C">
        <w:t xml:space="preserve"> in the same position as if the company had not been deregistered and </w:t>
      </w:r>
      <w:r w:rsidR="005F3696">
        <w:t xml:space="preserve">that it also </w:t>
      </w:r>
      <w:r w:rsidR="0012298C">
        <w:t>allow</w:t>
      </w:r>
      <w:r w:rsidR="005F3696">
        <w:t>s</w:t>
      </w:r>
      <w:r w:rsidR="0012298C">
        <w:t xml:space="preserve"> s 588FF to continue to impose a three year limitation period calculable with time running while the company remained registered.  </w:t>
      </w:r>
    </w:p>
    <w:p w14:paraId="3A7A091D" w14:textId="7E98E732" w:rsidR="007F1A1E" w:rsidRDefault="00D313AC" w:rsidP="00D313AC">
      <w:pPr>
        <w:pStyle w:val="ParaNumbering"/>
        <w:numPr>
          <w:ilvl w:val="0"/>
          <w:numId w:val="0"/>
        </w:numPr>
        <w:ind w:hanging="720"/>
      </w:pPr>
      <w:bookmarkStart w:id="42" w:name="_Ref157678698"/>
      <w:r>
        <w:rPr>
          <w:sz w:val="20"/>
        </w:rPr>
        <w:t>173</w:t>
      </w:r>
      <w:r>
        <w:rPr>
          <w:sz w:val="20"/>
        </w:rPr>
        <w:tab/>
      </w:r>
      <w:r w:rsidR="0012298C">
        <w:t xml:space="preserve">The Commissioner </w:t>
      </w:r>
      <w:r w:rsidR="004C3B8B">
        <w:t xml:space="preserve">and </w:t>
      </w:r>
      <w:r w:rsidR="00863995">
        <w:t xml:space="preserve">the </w:t>
      </w:r>
      <w:r w:rsidR="004C3B8B">
        <w:t xml:space="preserve">Liquidators </w:t>
      </w:r>
      <w:r w:rsidR="00E05561">
        <w:t xml:space="preserve">contend </w:t>
      </w:r>
      <w:r w:rsidR="0012298C">
        <w:t xml:space="preserve">that if, alternatively, </w:t>
      </w:r>
      <w:r w:rsidR="00BE006C">
        <w:t>s </w:t>
      </w:r>
      <w:r w:rsidR="0012298C">
        <w:t>588</w:t>
      </w:r>
      <w:r w:rsidR="00EF41C3">
        <w:t>FF was given priority as the leading provision, s 601AH(3)(d) would be unable to fulfill its purpose in circumstances where a company had extant voidable transaction claims at the date of deregistration, but which would otherwise become time barred after the date of deregistration.</w:t>
      </w:r>
      <w:bookmarkEnd w:id="42"/>
    </w:p>
    <w:p w14:paraId="079B8888" w14:textId="559B9B11" w:rsidR="00F1740D" w:rsidRDefault="00747689" w:rsidP="00461F49">
      <w:pPr>
        <w:pStyle w:val="Heading3"/>
      </w:pPr>
      <w:r>
        <w:t>Consideration</w:t>
      </w:r>
    </w:p>
    <w:p w14:paraId="45AA699C" w14:textId="37316FC0" w:rsidR="00560542" w:rsidRDefault="00D313AC" w:rsidP="00D313AC">
      <w:pPr>
        <w:pStyle w:val="ParaNumbering"/>
        <w:numPr>
          <w:ilvl w:val="0"/>
          <w:numId w:val="0"/>
        </w:numPr>
        <w:ind w:hanging="720"/>
      </w:pPr>
      <w:r>
        <w:rPr>
          <w:sz w:val="20"/>
        </w:rPr>
        <w:t>174</w:t>
      </w:r>
      <w:r>
        <w:rPr>
          <w:sz w:val="20"/>
        </w:rPr>
        <w:tab/>
      </w:r>
      <w:r w:rsidR="00E746FE">
        <w:t xml:space="preserve">The </w:t>
      </w:r>
      <w:r w:rsidR="00170E29">
        <w:t xml:space="preserve">question to be determined is whether </w:t>
      </w:r>
      <w:r w:rsidR="00461F49">
        <w:t xml:space="preserve">the time within which </w:t>
      </w:r>
      <w:r w:rsidR="003222B5">
        <w:t xml:space="preserve">an application </w:t>
      </w:r>
      <w:r w:rsidR="000F38B5">
        <w:t xml:space="preserve">is to be </w:t>
      </w:r>
      <w:r w:rsidR="003222B5">
        <w:t>brought under s</w:t>
      </w:r>
      <w:r w:rsidR="001E5FCC">
        <w:t xml:space="preserve"> 588FF(1) </w:t>
      </w:r>
      <w:r w:rsidR="00754026">
        <w:t xml:space="preserve">of the Corporations Act </w:t>
      </w:r>
      <w:r w:rsidR="001E5FCC">
        <w:t xml:space="preserve">can be </w:t>
      </w:r>
      <w:r w:rsidR="00731BCB">
        <w:t xml:space="preserve">extended </w:t>
      </w:r>
      <w:r w:rsidR="001E5FCC">
        <w:t xml:space="preserve">other than in accordance with s 588FF(3)(b) and thus whether </w:t>
      </w:r>
      <w:r w:rsidR="00170E29">
        <w:t xml:space="preserve">s 601AH(3)(d) of the Corporations </w:t>
      </w:r>
      <w:r w:rsidR="003D009D">
        <w:t>A</w:t>
      </w:r>
      <w:r w:rsidR="00170E29">
        <w:t xml:space="preserve">ct </w:t>
      </w:r>
      <w:r w:rsidR="00D65065">
        <w:t xml:space="preserve">empowers the Court to </w:t>
      </w:r>
      <w:r w:rsidR="00D65065">
        <w:lastRenderedPageBreak/>
        <w:t xml:space="preserve">make an </w:t>
      </w:r>
      <w:r w:rsidR="001D3FFF">
        <w:t>order</w:t>
      </w:r>
      <w:r w:rsidR="00D65065">
        <w:t xml:space="preserve"> in the </w:t>
      </w:r>
      <w:r w:rsidR="001D3FFF">
        <w:t>form</w:t>
      </w:r>
      <w:r w:rsidR="00D65065">
        <w:t xml:space="preserve"> of Order 3 of the </w:t>
      </w:r>
      <w:r w:rsidR="001D3FFF">
        <w:t>Reinstatement</w:t>
      </w:r>
      <w:r w:rsidR="00D65065">
        <w:t xml:space="preserve"> O</w:t>
      </w:r>
      <w:r w:rsidR="00644786">
        <w:t>r</w:t>
      </w:r>
      <w:r w:rsidR="00D65065">
        <w:t>ders</w:t>
      </w:r>
      <w:r w:rsidR="003D43B3">
        <w:t xml:space="preserve">. </w:t>
      </w:r>
      <w:r w:rsidR="004917CD">
        <w:t xml:space="preserve"> </w:t>
      </w:r>
      <w:r w:rsidR="003D43B3">
        <w:t>T</w:t>
      </w:r>
      <w:r w:rsidR="00644786">
        <w:t>hat is</w:t>
      </w:r>
      <w:r w:rsidR="001D3FFF">
        <w:t>,</w:t>
      </w:r>
      <w:r w:rsidR="00644786">
        <w:t xml:space="preserve"> an order </w:t>
      </w:r>
      <w:r w:rsidR="00F55AF6">
        <w:t xml:space="preserve">which </w:t>
      </w:r>
      <w:r w:rsidR="00644786">
        <w:t>disregard</w:t>
      </w:r>
      <w:r w:rsidR="00F55AF6">
        <w:t xml:space="preserve">s </w:t>
      </w:r>
      <w:r w:rsidR="00644786">
        <w:t xml:space="preserve">the period in which a company was deregistered </w:t>
      </w:r>
      <w:r w:rsidR="00F55AF6">
        <w:t xml:space="preserve">and has the </w:t>
      </w:r>
      <w:r w:rsidR="00644786">
        <w:t xml:space="preserve">effect of extending </w:t>
      </w:r>
      <w:r w:rsidR="001D3FFF">
        <w:t>time</w:t>
      </w:r>
      <w:r w:rsidR="00644786">
        <w:t xml:space="preserve"> </w:t>
      </w:r>
      <w:r w:rsidR="001D3FFF">
        <w:t xml:space="preserve">for bringing a claim pursuant to s 588FF(1) of the Corporations Act </w:t>
      </w:r>
      <w:r w:rsidR="00560542">
        <w:t>beyond the periods specified in s 588FF(3)</w:t>
      </w:r>
      <w:r w:rsidR="00F42FEC">
        <w:t xml:space="preserve"> (see [</w:t>
      </w:r>
      <w:r w:rsidR="009370E3">
        <w:fldChar w:fldCharType="begin"/>
      </w:r>
      <w:r w:rsidR="009370E3">
        <w:instrText xml:space="preserve"> REF _Ref156836992 \r \h </w:instrText>
      </w:r>
      <w:r w:rsidR="009370E3">
        <w:fldChar w:fldCharType="separate"/>
      </w:r>
      <w:r w:rsidR="002B21FE">
        <w:t>150</w:t>
      </w:r>
      <w:r w:rsidR="009370E3">
        <w:fldChar w:fldCharType="end"/>
      </w:r>
      <w:r w:rsidR="00F42FEC">
        <w:t>] above)</w:t>
      </w:r>
      <w:r w:rsidR="00560542">
        <w:t>.</w:t>
      </w:r>
    </w:p>
    <w:p w14:paraId="3D42B801" w14:textId="692B24D8" w:rsidR="0057171B" w:rsidRDefault="00D313AC" w:rsidP="00D313AC">
      <w:pPr>
        <w:pStyle w:val="ParaNumbering"/>
        <w:numPr>
          <w:ilvl w:val="0"/>
          <w:numId w:val="0"/>
        </w:numPr>
        <w:ind w:hanging="720"/>
      </w:pPr>
      <w:r>
        <w:rPr>
          <w:sz w:val="20"/>
        </w:rPr>
        <w:t>175</w:t>
      </w:r>
      <w:r>
        <w:rPr>
          <w:sz w:val="20"/>
        </w:rPr>
        <w:tab/>
      </w:r>
      <w:r w:rsidR="00AB6FD6">
        <w:t xml:space="preserve">It is convenient to commence consideration </w:t>
      </w:r>
      <w:r w:rsidR="00C52320">
        <w:t>of</w:t>
      </w:r>
      <w:r w:rsidR="00AB6FD6">
        <w:t xml:space="preserve"> this question </w:t>
      </w:r>
      <w:r w:rsidR="00C52320">
        <w:t xml:space="preserve">by </w:t>
      </w:r>
      <w:r w:rsidR="00286D4E">
        <w:t xml:space="preserve">reference to </w:t>
      </w:r>
      <w:r w:rsidR="0057171B">
        <w:t xml:space="preserve">the cases that have </w:t>
      </w:r>
      <w:r w:rsidR="00473334">
        <w:t>addressed</w:t>
      </w:r>
      <w:r w:rsidR="0057171B">
        <w:t xml:space="preserve"> </w:t>
      </w:r>
      <w:r w:rsidR="00286D4E">
        <w:t xml:space="preserve">the </w:t>
      </w:r>
      <w:r w:rsidR="009914E6">
        <w:t xml:space="preserve">operation of </w:t>
      </w:r>
      <w:r w:rsidR="0057171B">
        <w:t>s 588FF(3) of the Corporations Act</w:t>
      </w:r>
      <w:r w:rsidR="009914E6">
        <w:t xml:space="preserve"> and, in particular, whether an order can be made extending </w:t>
      </w:r>
      <w:r w:rsidR="00473334">
        <w:t xml:space="preserve">the </w:t>
      </w:r>
      <w:r w:rsidR="009914E6">
        <w:t>time</w:t>
      </w:r>
      <w:r w:rsidR="00160248">
        <w:t xml:space="preserve"> specified in s 588FF(3)(a) to bring a claim under s</w:t>
      </w:r>
      <w:r w:rsidR="00F83CA2">
        <w:t> </w:t>
      </w:r>
      <w:r w:rsidR="00160248">
        <w:t xml:space="preserve">588FF(1) other than in accordance with the </w:t>
      </w:r>
      <w:r w:rsidR="00DC3517">
        <w:t>method prescribed in s 588FF(3)(b).</w:t>
      </w:r>
      <w:r w:rsidR="00160248">
        <w:t xml:space="preserve"> </w:t>
      </w:r>
    </w:p>
    <w:p w14:paraId="6F49B0EB" w14:textId="749CF56C" w:rsidR="00307FC1" w:rsidRDefault="00D313AC" w:rsidP="00D313AC">
      <w:pPr>
        <w:pStyle w:val="ParaNumbering"/>
        <w:numPr>
          <w:ilvl w:val="0"/>
          <w:numId w:val="0"/>
        </w:numPr>
        <w:ind w:hanging="720"/>
      </w:pPr>
      <w:bookmarkStart w:id="43" w:name="_Ref157678827"/>
      <w:r>
        <w:rPr>
          <w:sz w:val="20"/>
        </w:rPr>
        <w:t>176</w:t>
      </w:r>
      <w:r>
        <w:rPr>
          <w:sz w:val="20"/>
        </w:rPr>
        <w:tab/>
      </w:r>
      <w:r w:rsidR="00DC3517">
        <w:t>That an</w:t>
      </w:r>
      <w:r w:rsidR="00EE78D1">
        <w:t xml:space="preserve">alysis </w:t>
      </w:r>
      <w:r w:rsidR="003A27A5">
        <w:t>starts</w:t>
      </w:r>
      <w:r w:rsidR="00536D05">
        <w:t xml:space="preserve"> with </w:t>
      </w:r>
      <w:r w:rsidR="00EE78D1">
        <w:t>the decision i</w:t>
      </w:r>
      <w:r w:rsidR="00F53AB3">
        <w:t xml:space="preserve">n </w:t>
      </w:r>
      <w:r w:rsidR="00F53AB3" w:rsidRPr="00AE09F7">
        <w:rPr>
          <w:i/>
          <w:iCs/>
        </w:rPr>
        <w:t>Grant Samuel</w:t>
      </w:r>
      <w:r w:rsidR="00ED0045">
        <w:t>.</w:t>
      </w:r>
      <w:r w:rsidR="00F53AB3">
        <w:t xml:space="preserve">  </w:t>
      </w:r>
      <w:r w:rsidR="00536D05">
        <w:t>In that case o</w:t>
      </w:r>
      <w:r w:rsidR="00F53AB3">
        <w:t xml:space="preserve">n 4 June 2008 an application was made to wind up </w:t>
      </w:r>
      <w:proofErr w:type="spellStart"/>
      <w:r w:rsidR="00F53AB3" w:rsidRPr="00536D05">
        <w:rPr>
          <w:b/>
          <w:bCs/>
        </w:rPr>
        <w:t>Octaviar</w:t>
      </w:r>
      <w:proofErr w:type="spellEnd"/>
      <w:r w:rsidR="00F53AB3" w:rsidRPr="00536D05">
        <w:rPr>
          <w:b/>
          <w:bCs/>
        </w:rPr>
        <w:t xml:space="preserve"> </w:t>
      </w:r>
      <w:r w:rsidR="00F53AB3">
        <w:t>Ltd and subsequent</w:t>
      </w:r>
      <w:r w:rsidR="00286AB8">
        <w:t>ly a</w:t>
      </w:r>
      <w:r w:rsidR="00F53AB3">
        <w:t xml:space="preserve"> winding up order was made.  </w:t>
      </w:r>
      <w:r w:rsidR="00536D05">
        <w:t xml:space="preserve">It followed that </w:t>
      </w:r>
      <w:r w:rsidR="00F53AB3">
        <w:t>the relation</w:t>
      </w:r>
      <w:r w:rsidR="00CB58F3">
        <w:t>-</w:t>
      </w:r>
      <w:r w:rsidR="00F53AB3">
        <w:t xml:space="preserve">back day for the purposes of s 588FF of the Corporations Act was 4 June 2008.  On 30 May 2011, upon an application by the liquidators of </w:t>
      </w:r>
      <w:proofErr w:type="spellStart"/>
      <w:r w:rsidR="00F53AB3">
        <w:t>Octaviar</w:t>
      </w:r>
      <w:proofErr w:type="spellEnd"/>
      <w:r w:rsidR="00F53AB3">
        <w:t>, an order was made pursuant to s 588FF(3)(b) extending the time for the liquidators to make an application under s 588FF(1) to 3 October 2011 (</w:t>
      </w:r>
      <w:r w:rsidR="00F53AB3" w:rsidRPr="00536D05">
        <w:rPr>
          <w:b/>
          <w:bCs/>
        </w:rPr>
        <w:t>May 2011 Order</w:t>
      </w:r>
      <w:r w:rsidR="00F53AB3">
        <w:t>).</w:t>
      </w:r>
      <w:bookmarkEnd w:id="43"/>
      <w:r w:rsidR="00F53AB3">
        <w:t xml:space="preserve">  </w:t>
      </w:r>
    </w:p>
    <w:p w14:paraId="3D927C02" w14:textId="1345B77D" w:rsidR="00F53AB3" w:rsidRDefault="00D313AC" w:rsidP="00D313AC">
      <w:pPr>
        <w:pStyle w:val="ParaNumbering"/>
        <w:numPr>
          <w:ilvl w:val="0"/>
          <w:numId w:val="0"/>
        </w:numPr>
        <w:ind w:hanging="720"/>
      </w:pPr>
      <w:r>
        <w:rPr>
          <w:sz w:val="20"/>
        </w:rPr>
        <w:t>177</w:t>
      </w:r>
      <w:r>
        <w:rPr>
          <w:sz w:val="20"/>
        </w:rPr>
        <w:tab/>
      </w:r>
      <w:r w:rsidR="00F53AB3">
        <w:t xml:space="preserve">By an amended originating process dated 19 September 2011 the liquidators applied for a further order under s 588FF(3)(b) that the time for making an application under s 588FF(1) be further extended to 3 April 2012 or, in the alternative, an order that the May 2011 Order be varied under </w:t>
      </w:r>
      <w:r w:rsidR="00F53AB3" w:rsidRPr="005137CF">
        <w:t>r</w:t>
      </w:r>
      <w:r w:rsidR="00F53AB3">
        <w:t xml:space="preserve"> 36.16 of the </w:t>
      </w:r>
      <w:r w:rsidR="00F53AB3" w:rsidRPr="008C5103">
        <w:rPr>
          <w:i/>
          <w:iCs/>
        </w:rPr>
        <w:t>Uniform Civil Procedure Rules 2005</w:t>
      </w:r>
      <w:r w:rsidR="00F53AB3">
        <w:t xml:space="preserve"> (NSW) (</w:t>
      </w:r>
      <w:r w:rsidR="00F53AB3" w:rsidRPr="008C5103">
        <w:rPr>
          <w:b/>
          <w:bCs/>
        </w:rPr>
        <w:t>UCPR</w:t>
      </w:r>
      <w:r w:rsidR="00F53AB3">
        <w:t>) to insert 3</w:t>
      </w:r>
      <w:r w:rsidR="00EB7FBF">
        <w:t> </w:t>
      </w:r>
      <w:r w:rsidR="00F53AB3">
        <w:t xml:space="preserve">April 2012 </w:t>
      </w:r>
      <w:r w:rsidR="008B3CDC">
        <w:t>in</w:t>
      </w:r>
      <w:r w:rsidR="00F53AB3">
        <w:t xml:space="preserve"> lieu of 3 October 2011.  </w:t>
      </w:r>
      <w:r w:rsidR="005D32CB">
        <w:t xml:space="preserve">When the matter came on for hearing before </w:t>
      </w:r>
      <w:r w:rsidR="00D24BD1">
        <w:t xml:space="preserve">a judge of the Supreme Court, only the latter </w:t>
      </w:r>
      <w:r w:rsidR="003149A9">
        <w:t xml:space="preserve">application was pressed and an </w:t>
      </w:r>
      <w:r w:rsidR="00F53AB3">
        <w:t xml:space="preserve">order was made </w:t>
      </w:r>
      <w:r w:rsidR="005C67A1">
        <w:t>pursuant to r 36.16 of the UCPR varying the May 2011 Order in the manner sought</w:t>
      </w:r>
      <w:r w:rsidR="00AC0C93">
        <w:t xml:space="preserve"> (</w:t>
      </w:r>
      <w:r w:rsidR="00AC0C93">
        <w:rPr>
          <w:b/>
          <w:bCs/>
        </w:rPr>
        <w:t>Variation Order</w:t>
      </w:r>
      <w:r w:rsidR="00AC0C93">
        <w:t>)</w:t>
      </w:r>
      <w:r w:rsidR="005C67A1">
        <w:t>.</w:t>
      </w:r>
      <w:r w:rsidR="008C5103">
        <w:t xml:space="preserve">  </w:t>
      </w:r>
      <w:r w:rsidR="00F53AB3">
        <w:t>The appellants did not appear on that application</w:t>
      </w:r>
      <w:r w:rsidR="008C5103">
        <w:t>,</w:t>
      </w:r>
      <w:r w:rsidR="00F53AB3">
        <w:t xml:space="preserve"> despite </w:t>
      </w:r>
      <w:r w:rsidR="008C5103">
        <w:t xml:space="preserve">having been </w:t>
      </w:r>
      <w:r w:rsidR="00F53AB3">
        <w:t xml:space="preserve">given notice of it.  </w:t>
      </w:r>
      <w:r w:rsidR="00607AC1">
        <w:t>T</w:t>
      </w:r>
      <w:r w:rsidR="008C5103">
        <w:t>hey</w:t>
      </w:r>
      <w:r w:rsidR="00F53AB3">
        <w:t xml:space="preserve"> subsequently </w:t>
      </w:r>
      <w:r w:rsidR="008C5103">
        <w:t xml:space="preserve">applied </w:t>
      </w:r>
      <w:r w:rsidR="00F53AB3">
        <w:t>by interlocutory process for an order vacating the</w:t>
      </w:r>
      <w:r w:rsidR="001C2B5D">
        <w:t xml:space="preserve"> Variation</w:t>
      </w:r>
      <w:r w:rsidR="00F53AB3">
        <w:t xml:space="preserve"> </w:t>
      </w:r>
      <w:r w:rsidR="001C2B5D">
        <w:t>Order</w:t>
      </w:r>
      <w:r w:rsidR="00607AC1">
        <w:t xml:space="preserve"> but were unsuccessful in that application</w:t>
      </w:r>
      <w:r w:rsidR="00F53AB3">
        <w:t xml:space="preserve">. </w:t>
      </w:r>
    </w:p>
    <w:p w14:paraId="5D61C1F6" w14:textId="12DF156D" w:rsidR="00AD2BA7" w:rsidRDefault="00D313AC" w:rsidP="00D313AC">
      <w:pPr>
        <w:pStyle w:val="ParaNumbering"/>
        <w:numPr>
          <w:ilvl w:val="0"/>
          <w:numId w:val="0"/>
        </w:numPr>
        <w:ind w:hanging="720"/>
      </w:pPr>
      <w:r>
        <w:rPr>
          <w:sz w:val="20"/>
        </w:rPr>
        <w:t>178</w:t>
      </w:r>
      <w:r>
        <w:rPr>
          <w:sz w:val="20"/>
        </w:rPr>
        <w:tab/>
      </w:r>
      <w:r w:rsidR="00F53AB3">
        <w:t>The question before the High Court was whether a court, on an application made outside the period in s 588FF(3)(a) but within an extended period ordered under s 588FF(3)(b) on an application made in the period permitted by s 588FF(3)(a), may exercise power under the general rules of procedure</w:t>
      </w:r>
      <w:r w:rsidR="00817369">
        <w:t xml:space="preserve">, relevantly </w:t>
      </w:r>
      <w:r w:rsidR="00F53AB3">
        <w:t>the UCPR</w:t>
      </w:r>
      <w:r w:rsidR="00844E2A">
        <w:t>,</w:t>
      </w:r>
      <w:r w:rsidR="00F53AB3">
        <w:t xml:space="preserve"> to further extend time for the making of an application under s 588FF(1).  </w:t>
      </w:r>
      <w:r w:rsidR="004C66FA">
        <w:t xml:space="preserve">The </w:t>
      </w:r>
      <w:r w:rsidR="00B57DBD">
        <w:t xml:space="preserve">High </w:t>
      </w:r>
      <w:r w:rsidR="004C66FA">
        <w:t xml:space="preserve">Court’s attention was therefore directed to the relationship </w:t>
      </w:r>
      <w:r w:rsidR="00970B3A">
        <w:t>between the provisions of the Corporations Act and the general procedural rules of the UCPR.</w:t>
      </w:r>
      <w:r w:rsidR="00B67E82">
        <w:t xml:space="preserve">  </w:t>
      </w:r>
      <w:r w:rsidR="00844E2A">
        <w:t>In addressing that question a</w:t>
      </w:r>
      <w:r w:rsidR="00F53AB3">
        <w:t xml:space="preserve">t </w:t>
      </w:r>
      <w:r w:rsidR="00AD2BA7">
        <w:t xml:space="preserve">[7] </w:t>
      </w:r>
      <w:r w:rsidR="00616660">
        <w:t xml:space="preserve">the </w:t>
      </w:r>
      <w:r w:rsidR="00B57DBD">
        <w:t xml:space="preserve">High </w:t>
      </w:r>
      <w:r w:rsidR="00616660">
        <w:t>Court observed that:</w:t>
      </w:r>
    </w:p>
    <w:p w14:paraId="66AB38F3" w14:textId="4E398CBC" w:rsidR="00616660" w:rsidRDefault="0075134E" w:rsidP="0075134E">
      <w:pPr>
        <w:pStyle w:val="Quote1"/>
      </w:pPr>
      <w:r>
        <w:lastRenderedPageBreak/>
        <w:t xml:space="preserve">Section 79(1) of the </w:t>
      </w:r>
      <w:r w:rsidRPr="00B67E82">
        <w:rPr>
          <w:i/>
          <w:iCs/>
        </w:rPr>
        <w:t>Judiciary Act 1903</w:t>
      </w:r>
      <w:r>
        <w:t xml:space="preserve"> (</w:t>
      </w:r>
      <w:proofErr w:type="spellStart"/>
      <w:r>
        <w:t>Cth</w:t>
      </w:r>
      <w:proofErr w:type="spellEnd"/>
      <w:r>
        <w:t xml:space="preserve">) provides that the laws of each State or Territory, including the laws relating to procedure, shall, “except as otherwise provided by the Constitution or the laws of the Commonwealth”, be binding on all courts exercising federal jurisdiction in that State or Territory. It has been observed that the </w:t>
      </w:r>
      <w:r w:rsidRPr="009E72FC">
        <w:rPr>
          <w:i/>
          <w:iCs/>
        </w:rPr>
        <w:t>Corporations Act</w:t>
      </w:r>
      <w:r>
        <w:t xml:space="preserve"> does not directly impose a universal, federal procedural regime, but rather leaves s 79 of the </w:t>
      </w:r>
      <w:r w:rsidRPr="001A0311">
        <w:rPr>
          <w:i/>
          <w:iCs/>
        </w:rPr>
        <w:t>Judiciary Act</w:t>
      </w:r>
      <w:r>
        <w:t xml:space="preserve"> to operate according to its terms in the State or Territory concerned. The particular question on these appeals arises from those terms. It is whether s 588FF(3) “otherwise provides”, so that the UCPR are not picked up by s 79. </w:t>
      </w:r>
    </w:p>
    <w:p w14:paraId="5501DD7C" w14:textId="5A8ACFE6" w:rsidR="00C02092" w:rsidRDefault="00C02092" w:rsidP="00626341">
      <w:pPr>
        <w:pStyle w:val="BodyText"/>
        <w:ind w:firstLine="720"/>
      </w:pPr>
      <w:r>
        <w:t>(Footnote omitted.)</w:t>
      </w:r>
    </w:p>
    <w:p w14:paraId="37AC2CDF" w14:textId="65C6B372" w:rsidR="00F53AB3" w:rsidRDefault="00D313AC" w:rsidP="00D313AC">
      <w:pPr>
        <w:pStyle w:val="ParaNumbering"/>
        <w:numPr>
          <w:ilvl w:val="0"/>
          <w:numId w:val="0"/>
        </w:numPr>
        <w:ind w:hanging="720"/>
      </w:pPr>
      <w:r>
        <w:rPr>
          <w:sz w:val="20"/>
        </w:rPr>
        <w:t>179</w:t>
      </w:r>
      <w:r>
        <w:rPr>
          <w:sz w:val="20"/>
        </w:rPr>
        <w:tab/>
      </w:r>
      <w:r w:rsidR="00650039">
        <w:t xml:space="preserve">After </w:t>
      </w:r>
      <w:r w:rsidR="004016BA">
        <w:t>referring</w:t>
      </w:r>
      <w:r w:rsidR="00650039">
        <w:t xml:space="preserve"> </w:t>
      </w:r>
      <w:r w:rsidR="004016BA">
        <w:t>to</w:t>
      </w:r>
      <w:r w:rsidR="00650039">
        <w:t xml:space="preserve"> the</w:t>
      </w:r>
      <w:r w:rsidR="004016BA">
        <w:t xml:space="preserve"> reasoning of </w:t>
      </w:r>
      <w:r w:rsidR="009369BC">
        <w:t xml:space="preserve">both </w:t>
      </w:r>
      <w:r w:rsidR="004016BA">
        <w:t xml:space="preserve">the majority </w:t>
      </w:r>
      <w:r w:rsidR="009369BC">
        <w:t xml:space="preserve">of the New South Wales </w:t>
      </w:r>
      <w:r w:rsidR="009369BC" w:rsidRPr="00473334">
        <w:rPr>
          <w:b/>
          <w:bCs/>
        </w:rPr>
        <w:t>Court of Appeal</w:t>
      </w:r>
      <w:r w:rsidR="009369BC">
        <w:t xml:space="preserve"> </w:t>
      </w:r>
      <w:r w:rsidR="004016BA">
        <w:t>and Beazley P in dissent</w:t>
      </w:r>
      <w:r w:rsidR="00A8310B">
        <w:t xml:space="preserve"> </w:t>
      </w:r>
      <w:r w:rsidR="00EE370C">
        <w:t xml:space="preserve">in </w:t>
      </w:r>
      <w:r w:rsidR="00D61A82" w:rsidRPr="00D61A82">
        <w:rPr>
          <w:i/>
          <w:iCs/>
        </w:rPr>
        <w:t>JPMorgan Chase Bank, National Association v Fletcher</w:t>
      </w:r>
      <w:r w:rsidR="00D61A82" w:rsidRPr="00D61A82">
        <w:t xml:space="preserve"> (2014) 85 NSWLR 644 </w:t>
      </w:r>
      <w:r w:rsidR="009369BC">
        <w:t xml:space="preserve">and </w:t>
      </w:r>
      <w:r w:rsidR="00BC65A4">
        <w:t xml:space="preserve">summarising </w:t>
      </w:r>
      <w:r w:rsidR="0088670E">
        <w:t xml:space="preserve">the facts of </w:t>
      </w:r>
      <w:r w:rsidR="00FD205F">
        <w:t xml:space="preserve">and </w:t>
      </w:r>
      <w:r w:rsidR="0088670E">
        <w:t xml:space="preserve">analysis in </w:t>
      </w:r>
      <w:r w:rsidR="0088670E" w:rsidRPr="0088670E">
        <w:rPr>
          <w:i/>
          <w:iCs/>
        </w:rPr>
        <w:t xml:space="preserve">Gordon v </w:t>
      </w:r>
      <w:proofErr w:type="spellStart"/>
      <w:r w:rsidR="0088670E" w:rsidRPr="0088670E">
        <w:rPr>
          <w:i/>
          <w:iCs/>
        </w:rPr>
        <w:t>Tolcher</w:t>
      </w:r>
      <w:proofErr w:type="spellEnd"/>
      <w:r w:rsidR="0088670E" w:rsidRPr="0088670E">
        <w:t xml:space="preserve"> (2006) 231 CLR 334</w:t>
      </w:r>
      <w:r w:rsidR="00775A0E">
        <w:t>,</w:t>
      </w:r>
      <w:r w:rsidR="0088670E">
        <w:t xml:space="preserve"> </w:t>
      </w:r>
      <w:r w:rsidR="005A0870">
        <w:t>at</w:t>
      </w:r>
      <w:r w:rsidR="009369BC">
        <w:t xml:space="preserve"> </w:t>
      </w:r>
      <w:r w:rsidR="00F53AB3">
        <w:t xml:space="preserve">[17] the </w:t>
      </w:r>
      <w:r w:rsidR="005A0870">
        <w:t xml:space="preserve">High </w:t>
      </w:r>
      <w:r w:rsidR="00F53AB3">
        <w:t>Court said:</w:t>
      </w:r>
    </w:p>
    <w:p w14:paraId="6342402D" w14:textId="77777777" w:rsidR="00F53AB3" w:rsidRDefault="00F53AB3" w:rsidP="00F53AB3">
      <w:pPr>
        <w:pStyle w:val="Quote1"/>
      </w:pPr>
      <w:r>
        <w:t xml:space="preserve">The Court in </w:t>
      </w:r>
      <w:r w:rsidRPr="007035CA">
        <w:rPr>
          <w:i/>
          <w:iCs/>
        </w:rPr>
        <w:t xml:space="preserve">Gordon v </w:t>
      </w:r>
      <w:proofErr w:type="spellStart"/>
      <w:r w:rsidRPr="007035CA">
        <w:rPr>
          <w:i/>
          <w:iCs/>
        </w:rPr>
        <w:t>Tolcher</w:t>
      </w:r>
      <w:proofErr w:type="spellEnd"/>
      <w:r>
        <w:t xml:space="preserve"> said that s 588FF deals with the period within which an application under s 588FF(1) is to be made, as an essential aspect of the regime s 588FF creates. The provision in s 588FF(3), as to the time for the making of the application, is not to be characterised merely as a procedural stipulation as to time. It would follow that the bringing of an application within the time required by s 588FF(3)(a) or (b) is a precondition to the court’s jurisdiction under s 588FF(1). </w:t>
      </w:r>
    </w:p>
    <w:p w14:paraId="4EFDFF49" w14:textId="0C5BFFBE" w:rsidR="00AA6630" w:rsidRDefault="00AA6630" w:rsidP="00AA6630">
      <w:pPr>
        <w:pStyle w:val="BodyText"/>
        <w:ind w:firstLine="720"/>
      </w:pPr>
      <w:r>
        <w:t>(Footnotes omitted.)</w:t>
      </w:r>
    </w:p>
    <w:p w14:paraId="7FA4DE07" w14:textId="70CC397F" w:rsidR="00F53AB3" w:rsidRDefault="00D313AC" w:rsidP="00D313AC">
      <w:pPr>
        <w:pStyle w:val="ParaNumbering"/>
        <w:numPr>
          <w:ilvl w:val="0"/>
          <w:numId w:val="0"/>
        </w:numPr>
        <w:ind w:hanging="720"/>
      </w:pPr>
      <w:r>
        <w:rPr>
          <w:sz w:val="20"/>
        </w:rPr>
        <w:t>180</w:t>
      </w:r>
      <w:r>
        <w:rPr>
          <w:sz w:val="20"/>
        </w:rPr>
        <w:tab/>
      </w:r>
      <w:r w:rsidR="00F53AB3">
        <w:t>Relevantly</w:t>
      </w:r>
      <w:r w:rsidR="004424B5">
        <w:t>,</w:t>
      </w:r>
      <w:r w:rsidR="00F53AB3">
        <w:t xml:space="preserve"> in allowing the appeals</w:t>
      </w:r>
      <w:r w:rsidR="00C72503">
        <w:t>, at [19]-[23]</w:t>
      </w:r>
      <w:r w:rsidR="00F53AB3">
        <w:t xml:space="preserve"> the </w:t>
      </w:r>
      <w:r w:rsidR="00155DE8">
        <w:t xml:space="preserve">High </w:t>
      </w:r>
      <w:r w:rsidR="00F53AB3">
        <w:t>Court said:</w:t>
      </w:r>
    </w:p>
    <w:p w14:paraId="72E6B105" w14:textId="77777777" w:rsidR="00F53AB3" w:rsidRDefault="00F53AB3" w:rsidP="00F53AB3">
      <w:pPr>
        <w:pStyle w:val="Quote1"/>
        <w:ind w:left="1440" w:hanging="703"/>
      </w:pPr>
      <w:r>
        <w:t>19</w:t>
      </w:r>
      <w:r>
        <w:tab/>
        <w:t xml:space="preserve">In a passage from </w:t>
      </w:r>
      <w:r w:rsidRPr="008543DD">
        <w:rPr>
          <w:i/>
          <w:iCs/>
        </w:rPr>
        <w:t>BP Australia Ltd v Brown</w:t>
      </w:r>
      <w:r>
        <w:t xml:space="preserve"> which was cited in </w:t>
      </w:r>
      <w:r w:rsidRPr="008543DD">
        <w:rPr>
          <w:i/>
          <w:iCs/>
        </w:rPr>
        <w:t xml:space="preserve">Gordon v </w:t>
      </w:r>
      <w:proofErr w:type="spellStart"/>
      <w:r w:rsidRPr="008543DD">
        <w:rPr>
          <w:i/>
          <w:iCs/>
        </w:rPr>
        <w:t>Tolcher</w:t>
      </w:r>
      <w:proofErr w:type="spellEnd"/>
      <w:r>
        <w:t xml:space="preserve">, Spigelman CJ said that the legal policy which underlies s 588FF(3) is one which favours certainty. Whilst that provision does not have the effect of requiring all applications under s 588FF(1) to be brought within a short period of time, it does have the effect “of requiring those who wish to keep open the option to do so, to determine that they do wish to do so within the three year period and to seek a determinate extension of the period”. His Honour said that “Parliament has identified a reasonable time for such matters to occur, subject to a single determinate extension of time”. </w:t>
      </w:r>
    </w:p>
    <w:p w14:paraId="1721FE09" w14:textId="77777777" w:rsidR="00F53AB3" w:rsidRDefault="00F53AB3" w:rsidP="00F53AB3">
      <w:pPr>
        <w:pStyle w:val="Quote1"/>
        <w:ind w:left="1440" w:hanging="703"/>
      </w:pPr>
      <w:r>
        <w:t>20</w:t>
      </w:r>
      <w:r>
        <w:tab/>
        <w:t xml:space="preserve">At the time </w:t>
      </w:r>
      <w:r w:rsidRPr="003E276C">
        <w:rPr>
          <w:i/>
          <w:iCs/>
        </w:rPr>
        <w:t>BP Australia Ltd v Brown</w:t>
      </w:r>
      <w:r>
        <w:t xml:space="preserve"> was decided, s 588FF(3)(a) contained only the requirement now appearing in sub-para (</w:t>
      </w:r>
      <w:proofErr w:type="spellStart"/>
      <w:r>
        <w:t>i</w:t>
      </w:r>
      <w:proofErr w:type="spellEnd"/>
      <w:r>
        <w:t xml:space="preserve">), that proceedings be brought within three years of the relation-back day. Subsequently, in 2007, an alternative time limitation, that appearing now in sub-para (ii), was added whereby an application under s 588FF(1) may be brought twelve months after the first appointment of a liquidator in a winding up. The provision in s 588FF(3)(b), whereby the court may fix a further period, has remained throughout. </w:t>
      </w:r>
    </w:p>
    <w:p w14:paraId="0E1B646F" w14:textId="77777777" w:rsidR="00F53AB3" w:rsidRDefault="00F53AB3" w:rsidP="00F53AB3">
      <w:pPr>
        <w:pStyle w:val="Quote1"/>
        <w:ind w:left="1440" w:hanging="703"/>
      </w:pPr>
      <w:r>
        <w:t>21</w:t>
      </w:r>
      <w:r>
        <w:tab/>
        <w:t xml:space="preserve">The addition of the alternative time limitation in s 588FF(3)(a)(ii) does not detract from the force of what was said in </w:t>
      </w:r>
      <w:r w:rsidRPr="001054ED">
        <w:rPr>
          <w:i/>
          <w:iCs/>
        </w:rPr>
        <w:t>BP Australia Ltd v Brown</w:t>
      </w:r>
      <w:r>
        <w:t xml:space="preserve"> concerning the statutory aim of certainty which is evident in s 588FF(3). If anything, it tends to reinforce the decision of the legislature, in balancing in a liquidation the competing interests of creditors and those who have dealt with the company and might be the subject of s 588FF(1) proceedings, to limit the times within </w:t>
      </w:r>
      <w:r>
        <w:lastRenderedPageBreak/>
        <w:t xml:space="preserve">which such proceedings may be brought. Section 588FF(3) does so in language which may be described as “clear and emphatic”. </w:t>
      </w:r>
    </w:p>
    <w:p w14:paraId="4BE89C8A" w14:textId="77777777" w:rsidR="00F53AB3" w:rsidRDefault="00F53AB3" w:rsidP="00F53AB3">
      <w:pPr>
        <w:pStyle w:val="Quote1"/>
        <w:ind w:left="1440" w:hanging="703"/>
      </w:pPr>
      <w:r>
        <w:t>22</w:t>
      </w:r>
      <w:r>
        <w:tab/>
        <w:t xml:space="preserve">Section 588FF(3) provides that an application under s 588FF(1) “may only be made” within the periods set out in paras (a) and (b) of s 588FF(3). The phrase “may only be made” should be read with both paragraphs. </w:t>
      </w:r>
      <w:r w:rsidRPr="009B57BD">
        <w:rPr>
          <w:b/>
          <w:bCs/>
        </w:rPr>
        <w:t>So understood, the term “may only” has the effect of defining the jurisdiction of the court by imposing a requirement as to time as an essential condition of the right conferred by s 588FF(1) to bring proceedings for orders with respect to voidable transactions. An element of that right is that it must be exercised within the time specified.</w:t>
      </w:r>
      <w:r>
        <w:t xml:space="preserve"> This is what is conveyed by </w:t>
      </w:r>
      <w:r w:rsidRPr="002848A3">
        <w:rPr>
          <w:i/>
          <w:iCs/>
        </w:rPr>
        <w:t xml:space="preserve">Gordon v </w:t>
      </w:r>
      <w:proofErr w:type="spellStart"/>
      <w:r w:rsidRPr="002848A3">
        <w:rPr>
          <w:i/>
          <w:iCs/>
        </w:rPr>
        <w:t>Tolcher</w:t>
      </w:r>
      <w:proofErr w:type="spellEnd"/>
      <w:r>
        <w:t xml:space="preserve">. </w:t>
      </w:r>
    </w:p>
    <w:p w14:paraId="35CA2609" w14:textId="77777777" w:rsidR="00F53AB3" w:rsidRDefault="00F53AB3" w:rsidP="00F53AB3">
      <w:pPr>
        <w:pStyle w:val="Quote1"/>
        <w:ind w:left="1440" w:hanging="703"/>
      </w:pPr>
      <w:r>
        <w:t>23</w:t>
      </w:r>
      <w:r>
        <w:tab/>
        <w:t xml:space="preserve">The only power given to a court to vary the para (a) period is that given by s 588FF(3)(b). That power may not be supplemented, nor varied, by rules of procedure of the court to which an application for extension of time is made. The rules of courts of the States and Territories cannot apply so as to vary the time dictated by s 588FF(3) for the bringing of a proceeding under s 588FF(1), because s 588FF(3) otherwise provides. It provides otherwise in the sense that it is inconsistent with so much of those rules as would permit variation of the time fixed by the extension order. </w:t>
      </w:r>
    </w:p>
    <w:p w14:paraId="2722012F" w14:textId="2EE776E4" w:rsidR="00F53AB3" w:rsidRDefault="00F53AB3" w:rsidP="00F53AB3">
      <w:pPr>
        <w:pStyle w:val="BodyText"/>
      </w:pPr>
      <w:r>
        <w:tab/>
        <w:t>(Footnotes omitted.</w:t>
      </w:r>
      <w:r w:rsidR="00290345">
        <w:t xml:space="preserve"> Emphasis added.</w:t>
      </w:r>
      <w:r>
        <w:t>)</w:t>
      </w:r>
    </w:p>
    <w:p w14:paraId="540BAC23" w14:textId="7B7FCC44" w:rsidR="00E219D6" w:rsidRDefault="00D313AC" w:rsidP="00D313AC">
      <w:pPr>
        <w:pStyle w:val="ParaNumbering"/>
        <w:numPr>
          <w:ilvl w:val="0"/>
          <w:numId w:val="0"/>
        </w:numPr>
        <w:ind w:hanging="720"/>
      </w:pPr>
      <w:r>
        <w:rPr>
          <w:sz w:val="20"/>
        </w:rPr>
        <w:t>181</w:t>
      </w:r>
      <w:r>
        <w:rPr>
          <w:sz w:val="20"/>
        </w:rPr>
        <w:tab/>
      </w:r>
      <w:r w:rsidR="00991D40">
        <w:t xml:space="preserve">I pause to note that the </w:t>
      </w:r>
      <w:r w:rsidR="00B34F45">
        <w:t>Commissioner</w:t>
      </w:r>
      <w:r w:rsidR="00991D40">
        <w:t xml:space="preserve"> and the Liquidators do not </w:t>
      </w:r>
      <w:r w:rsidR="006E590F">
        <w:t>dispute that s 588FF</w:t>
      </w:r>
      <w:r w:rsidR="00B34F45">
        <w:t>(</w:t>
      </w:r>
      <w:r w:rsidR="006E590F">
        <w:t xml:space="preserve">3) of the Corporations Act </w:t>
      </w:r>
      <w:r w:rsidR="00FF55BD">
        <w:t>provides for</w:t>
      </w:r>
      <w:r w:rsidR="00766C14">
        <w:t xml:space="preserve"> a </w:t>
      </w:r>
      <w:r w:rsidR="00B34F45">
        <w:t>jurisdictional</w:t>
      </w:r>
      <w:r w:rsidR="00766C14">
        <w:t xml:space="preserve"> requirement</w:t>
      </w:r>
      <w:r w:rsidR="00E219D6">
        <w:t xml:space="preserve">.  They accept that </w:t>
      </w:r>
      <w:r w:rsidR="00766C14">
        <w:t xml:space="preserve">use of the phrase “may only </w:t>
      </w:r>
      <w:r w:rsidR="00B34F45">
        <w:t xml:space="preserve">be made” </w:t>
      </w:r>
      <w:r w:rsidR="00E219D6">
        <w:t>in s 5</w:t>
      </w:r>
      <w:r w:rsidR="008641CD">
        <w:t xml:space="preserve">88FF(3) </w:t>
      </w:r>
      <w:r w:rsidR="004F617D">
        <w:t>is</w:t>
      </w:r>
      <w:r w:rsidR="00AC7E8A">
        <w:t xml:space="preserve"> a timing requirement which is a jurisdictional precondition </w:t>
      </w:r>
      <w:r w:rsidR="008641CD">
        <w:t xml:space="preserve">and </w:t>
      </w:r>
      <w:r w:rsidR="00AC7E8A">
        <w:t xml:space="preserve">which must be satisfied before </w:t>
      </w:r>
      <w:r w:rsidR="00121108">
        <w:t>a liquidator has an entitlement to make an application under s 588FF(1).</w:t>
      </w:r>
      <w:r w:rsidR="000F08E0">
        <w:t xml:space="preserve">  However, they </w:t>
      </w:r>
      <w:r w:rsidR="00884062">
        <w:t>dispute</w:t>
      </w:r>
      <w:r w:rsidR="000F08E0">
        <w:t xml:space="preserve"> that s 588FF(3) covers the fie</w:t>
      </w:r>
      <w:r w:rsidR="00884062">
        <w:t>l</w:t>
      </w:r>
      <w:r w:rsidR="000F08E0">
        <w:t>d</w:t>
      </w:r>
      <w:r w:rsidR="00884062">
        <w:t xml:space="preserve"> for calculation of time orders</w:t>
      </w:r>
      <w:r w:rsidR="00D45D15">
        <w:t>,</w:t>
      </w:r>
      <w:r w:rsidR="00884062">
        <w:t xml:space="preserve"> to the exclusion of s 601AH of the Corporations Act in the case of reinstated companies.  </w:t>
      </w:r>
    </w:p>
    <w:p w14:paraId="5E9440B6" w14:textId="639EC035" w:rsidR="00F53AB3" w:rsidRDefault="00D313AC" w:rsidP="00D313AC">
      <w:pPr>
        <w:pStyle w:val="ParaNumbering"/>
        <w:numPr>
          <w:ilvl w:val="0"/>
          <w:numId w:val="0"/>
        </w:numPr>
        <w:ind w:hanging="720"/>
      </w:pPr>
      <w:bookmarkStart w:id="44" w:name="_Ref157678864"/>
      <w:r>
        <w:rPr>
          <w:sz w:val="20"/>
        </w:rPr>
        <w:t>182</w:t>
      </w:r>
      <w:r>
        <w:rPr>
          <w:sz w:val="20"/>
        </w:rPr>
        <w:tab/>
      </w:r>
      <w:r w:rsidR="00D45D15">
        <w:t xml:space="preserve">Bearing that in mind I return to the cases.  In </w:t>
      </w:r>
      <w:r w:rsidR="00D45D15">
        <w:rPr>
          <w:i/>
          <w:iCs/>
        </w:rPr>
        <w:t xml:space="preserve">Grant </w:t>
      </w:r>
      <w:r w:rsidR="00D45D15" w:rsidRPr="00C77B9C">
        <w:rPr>
          <w:i/>
          <w:iCs/>
        </w:rPr>
        <w:t>Samuel</w:t>
      </w:r>
      <w:r w:rsidR="00C77B9C">
        <w:t>, i</w:t>
      </w:r>
      <w:r w:rsidR="00F53AB3" w:rsidRPr="00C77B9C">
        <w:t>n</w:t>
      </w:r>
      <w:r w:rsidR="00F53AB3">
        <w:t xml:space="preserve"> observing </w:t>
      </w:r>
      <w:r w:rsidR="007F0910">
        <w:t xml:space="preserve">at [22] </w:t>
      </w:r>
      <w:r w:rsidR="00F53AB3">
        <w:t xml:space="preserve">that an element of the right conferred to bring proceedings under s 588FF(1) was that it must be exercised within the time specified, the </w:t>
      </w:r>
      <w:r w:rsidR="00C77B9C">
        <w:t xml:space="preserve">High </w:t>
      </w:r>
      <w:r w:rsidR="00F53AB3">
        <w:t xml:space="preserve">Court referred </w:t>
      </w:r>
      <w:r w:rsidR="00895827">
        <w:t xml:space="preserve">(at footnote 36) </w:t>
      </w:r>
      <w:r w:rsidR="00F53AB3">
        <w:t xml:space="preserve">to its earlier decision in </w:t>
      </w:r>
      <w:r w:rsidR="00F53AB3" w:rsidRPr="00576E44">
        <w:rPr>
          <w:i/>
          <w:iCs/>
        </w:rPr>
        <w:t>David Grant</w:t>
      </w:r>
      <w:r w:rsidR="00F53AB3" w:rsidRPr="000A3C74">
        <w:rPr>
          <w:i/>
          <w:iCs/>
        </w:rPr>
        <w:t xml:space="preserve"> &amp; Co </w:t>
      </w:r>
      <w:r w:rsidR="00F53AB3">
        <w:t xml:space="preserve">at 277 where Gummow J </w:t>
      </w:r>
      <w:r w:rsidR="00000434">
        <w:t xml:space="preserve">(with whom Brennan CJ, Dawson, </w:t>
      </w:r>
      <w:proofErr w:type="spellStart"/>
      <w:r w:rsidR="00000434">
        <w:t>Gaudron</w:t>
      </w:r>
      <w:proofErr w:type="spellEnd"/>
      <w:r w:rsidR="00000434">
        <w:t xml:space="preserve"> and McHugh JJ agreed) </w:t>
      </w:r>
      <w:r w:rsidR="00F53AB3">
        <w:t>said:</w:t>
      </w:r>
      <w:bookmarkEnd w:id="44"/>
    </w:p>
    <w:p w14:paraId="788381BF" w14:textId="5241AE10" w:rsidR="00F53AB3" w:rsidRDefault="00F53AB3" w:rsidP="00966420">
      <w:pPr>
        <w:pStyle w:val="Quote1"/>
        <w:spacing w:after="360"/>
      </w:pPr>
      <w:r>
        <w:t xml:space="preserve">The force of the term </w:t>
      </w:r>
      <w:r w:rsidR="00D31AC6">
        <w:t>“</w:t>
      </w:r>
      <w:r>
        <w:t>may only</w:t>
      </w:r>
      <w:r w:rsidR="00D31AC6">
        <w:t>”</w:t>
      </w:r>
      <w:r>
        <w:t xml:space="preserve"> is to define the jurisdiction of the court by imposing a requirement as to time as an essential condition of the new right conferred by s 459G. An integer or element of the right created by s 459G is its exercise by application made within the time specified. To adapt what was said by Isaacs J in </w:t>
      </w:r>
      <w:r w:rsidRPr="000A3691">
        <w:rPr>
          <w:i/>
          <w:iCs/>
        </w:rPr>
        <w:t>The Crown v McNeil</w:t>
      </w:r>
      <w:r>
        <w:t>, it is a condition of the gift in sub-s</w:t>
      </w:r>
      <w:r w:rsidR="0023772F">
        <w:t> </w:t>
      </w:r>
      <w:r>
        <w:t>(</w:t>
      </w:r>
      <w:r w:rsidR="0023772F">
        <w:t>1</w:t>
      </w:r>
      <w:r>
        <w:t>) of s 459G that sub-s</w:t>
      </w:r>
      <w:r w:rsidR="00576E44">
        <w:t> </w:t>
      </w:r>
      <w:r>
        <w:t>(2) be observed and, unless this is so, the gift can never take effect. The same is true of sub-s (3)</w:t>
      </w:r>
      <w:r w:rsidR="000E1D0A">
        <w:t>.</w:t>
      </w:r>
      <w:r>
        <w:t xml:space="preserve"> </w:t>
      </w:r>
    </w:p>
    <w:p w14:paraId="68157159" w14:textId="691EF4B5" w:rsidR="00F53AB3" w:rsidRDefault="00D313AC" w:rsidP="00D313AC">
      <w:pPr>
        <w:pStyle w:val="ParaNumbering"/>
        <w:numPr>
          <w:ilvl w:val="0"/>
          <w:numId w:val="0"/>
        </w:numPr>
        <w:ind w:hanging="720"/>
      </w:pPr>
      <w:r>
        <w:rPr>
          <w:sz w:val="20"/>
        </w:rPr>
        <w:t>183</w:t>
      </w:r>
      <w:r>
        <w:rPr>
          <w:sz w:val="20"/>
        </w:rPr>
        <w:tab/>
      </w:r>
      <w:r w:rsidR="00F53AB3" w:rsidRPr="00715A13">
        <w:rPr>
          <w:i/>
          <w:iCs/>
        </w:rPr>
        <w:t xml:space="preserve">David Grant </w:t>
      </w:r>
      <w:r w:rsidR="0083146C">
        <w:rPr>
          <w:i/>
          <w:iCs/>
        </w:rPr>
        <w:t xml:space="preserve">&amp; Co </w:t>
      </w:r>
      <w:r w:rsidR="00F53AB3">
        <w:t xml:space="preserve">concerned the statutory period imposed by s 459G of the then </w:t>
      </w:r>
      <w:r w:rsidR="00F53AB3" w:rsidRPr="00715A13">
        <w:rPr>
          <w:i/>
          <w:iCs/>
        </w:rPr>
        <w:t>Corporations Law</w:t>
      </w:r>
      <w:r w:rsidR="00F53AB3">
        <w:t xml:space="preserve"> to file an application to set aside a statutory demand.  That section provided that an </w:t>
      </w:r>
      <w:r w:rsidR="00F53AB3">
        <w:lastRenderedPageBreak/>
        <w:t xml:space="preserve">application for an order setting aside a statutory demand which had been served on the company </w:t>
      </w:r>
      <w:r w:rsidR="00DA7C43">
        <w:t>“</w:t>
      </w:r>
      <w:r w:rsidR="00F53AB3">
        <w:t>may only be made within 21 days after the demand is so served</w:t>
      </w:r>
      <w:r w:rsidR="00DA7C43">
        <w:t>”</w:t>
      </w:r>
      <w:r w:rsidR="00F53AB3">
        <w:t>.  The appellants</w:t>
      </w:r>
      <w:r w:rsidR="002E0686">
        <w:t xml:space="preserve">, who had filed their applications to set aside the statutory demands outside the 21 day period prescribed by s 459G, </w:t>
      </w:r>
      <w:r w:rsidR="00D7367A">
        <w:t xml:space="preserve">argued that </w:t>
      </w:r>
      <w:r w:rsidR="00686397">
        <w:t>s 1322</w:t>
      </w:r>
      <w:r w:rsidR="00F000CE">
        <w:t>(4)</w:t>
      </w:r>
      <w:r w:rsidR="00686397">
        <w:t xml:space="preserve"> of the </w:t>
      </w:r>
      <w:r w:rsidR="00BD5265" w:rsidRPr="006407B3">
        <w:rPr>
          <w:i/>
          <w:iCs/>
        </w:rPr>
        <w:t>Corporations Law</w:t>
      </w:r>
      <w:r w:rsidR="00686397">
        <w:t xml:space="preserve"> may be available </w:t>
      </w:r>
      <w:r w:rsidR="00FE1F7E">
        <w:t>to</w:t>
      </w:r>
      <w:r w:rsidR="006320F8">
        <w:t xml:space="preserve"> </w:t>
      </w:r>
      <w:r w:rsidR="00FE1F7E">
        <w:t>extend</w:t>
      </w:r>
      <w:r w:rsidR="006320F8">
        <w:t xml:space="preserve"> time.  That section </w:t>
      </w:r>
      <w:r w:rsidR="00FE1F7E">
        <w:t>relevantly</w:t>
      </w:r>
      <w:r w:rsidR="00F53AB3">
        <w:t xml:space="preserve"> provided:</w:t>
      </w:r>
    </w:p>
    <w:p w14:paraId="19AA5201" w14:textId="0FAFB7F8" w:rsidR="00F53AB3" w:rsidRDefault="00F53AB3" w:rsidP="00F000CE">
      <w:pPr>
        <w:pStyle w:val="Quote1"/>
      </w:pPr>
      <w:r>
        <w:t>Subject to the following provisions of this section but without limiting the generality of any other provision of this Law, the Court may, on application by any interested person, make all or any of the following orders, either unconditionally or subject to such conditions as the Court imposes:</w:t>
      </w:r>
    </w:p>
    <w:p w14:paraId="3618AEB4" w14:textId="77777777" w:rsidR="00F53AB3" w:rsidRDefault="00F53AB3" w:rsidP="00F000CE">
      <w:pPr>
        <w:pStyle w:val="Quote2"/>
        <w:ind w:left="1457" w:hanging="720"/>
      </w:pPr>
      <w:r>
        <w:t>(a)</w:t>
      </w:r>
      <w:r>
        <w:tab/>
        <w:t>an order declaring that any act, matter or thing purporting to have been done, or any proceeding purporting to have been instituted or taken, under this Law or in relation to a corporation is not invalid by reason of any contravention of a provision of this Law or a provision of the constitution of a corporation;</w:t>
      </w:r>
    </w:p>
    <w:p w14:paraId="6BF30E06" w14:textId="77777777" w:rsidR="00F53AB3" w:rsidRDefault="00F53AB3" w:rsidP="00F000CE">
      <w:pPr>
        <w:pStyle w:val="Quote2"/>
        <w:ind w:left="1457" w:hanging="720"/>
      </w:pPr>
      <w:r>
        <w:t>…</w:t>
      </w:r>
    </w:p>
    <w:p w14:paraId="666DE5D4" w14:textId="77777777" w:rsidR="00F53AB3" w:rsidRDefault="00F53AB3" w:rsidP="00F000CE">
      <w:pPr>
        <w:pStyle w:val="Quote2"/>
        <w:ind w:left="1457" w:hanging="720"/>
      </w:pPr>
      <w:r>
        <w:t>(d)</w:t>
      </w:r>
      <w:r>
        <w:tab/>
        <w:t>an order extending the period for doing any act, matter or thing or instituting or taking any proceeding under this Law or in relation to a corporation (including an order extending a period where the period concerned ended before the application for the order was made) or abridging the period for doing such an act, matter or thing or instituting or taking such a proceeding;</w:t>
      </w:r>
    </w:p>
    <w:p w14:paraId="2116D45A" w14:textId="48F4EDD0" w:rsidR="00F53AB3" w:rsidRDefault="00F53AB3" w:rsidP="00F000CE">
      <w:pPr>
        <w:pStyle w:val="Quote2"/>
        <w:spacing w:after="360"/>
        <w:ind w:left="737"/>
      </w:pPr>
      <w:r>
        <w:t>and may make such consequential or anci</w:t>
      </w:r>
      <w:r w:rsidR="00084264">
        <w:t>llary</w:t>
      </w:r>
      <w:r>
        <w:t xml:space="preserve"> orders as the Court thinks fit.  </w:t>
      </w:r>
    </w:p>
    <w:p w14:paraId="03DD4E7A" w14:textId="5E2FC17E" w:rsidR="00F53AB3" w:rsidRDefault="00D313AC" w:rsidP="00D313AC">
      <w:pPr>
        <w:pStyle w:val="ParaNumbering"/>
        <w:numPr>
          <w:ilvl w:val="0"/>
          <w:numId w:val="0"/>
        </w:numPr>
        <w:ind w:hanging="720"/>
      </w:pPr>
      <w:r>
        <w:rPr>
          <w:sz w:val="20"/>
        </w:rPr>
        <w:t>184</w:t>
      </w:r>
      <w:r>
        <w:rPr>
          <w:sz w:val="20"/>
        </w:rPr>
        <w:tab/>
      </w:r>
      <w:r w:rsidR="00F53AB3">
        <w:t>At 275 Gummow J observed that:</w:t>
      </w:r>
    </w:p>
    <w:p w14:paraId="5C184043" w14:textId="77777777" w:rsidR="00F53AB3" w:rsidRDefault="00F53AB3" w:rsidP="0010424A">
      <w:pPr>
        <w:pStyle w:val="Quote1"/>
        <w:spacing w:after="360"/>
      </w:pPr>
      <w:r>
        <w:t xml:space="preserve">On the present appeals, the difficulty in construction arises, perhaps not so much from the particular text of either s 459G or s 1322, as from the interrelation between the two provisions in circumstances where the enactment of s 1322 preceded that of s 459G, and the earlier section is general and the later section specific in its operation. </w:t>
      </w:r>
    </w:p>
    <w:p w14:paraId="2C2BEFC0" w14:textId="1C7561A5" w:rsidR="00E35483" w:rsidRDefault="00D313AC" w:rsidP="00D313AC">
      <w:pPr>
        <w:pStyle w:val="ParaNumbering"/>
        <w:numPr>
          <w:ilvl w:val="0"/>
          <w:numId w:val="0"/>
        </w:numPr>
        <w:ind w:hanging="720"/>
      </w:pPr>
      <w:r>
        <w:rPr>
          <w:sz w:val="20"/>
        </w:rPr>
        <w:t>185</w:t>
      </w:r>
      <w:r>
        <w:rPr>
          <w:sz w:val="20"/>
        </w:rPr>
        <w:tab/>
      </w:r>
      <w:r w:rsidR="00F53AB3">
        <w:t xml:space="preserve">At 276 his Honour </w:t>
      </w:r>
      <w:r w:rsidR="00AB26DF">
        <w:t xml:space="preserve">referred to the principle </w:t>
      </w:r>
      <w:r w:rsidR="00912690">
        <w:t xml:space="preserve">in </w:t>
      </w:r>
      <w:r w:rsidR="00F53AB3" w:rsidRPr="00B860A4">
        <w:rPr>
          <w:i/>
          <w:iCs/>
        </w:rPr>
        <w:t>Anthony Hordern</w:t>
      </w:r>
      <w:r w:rsidR="00F53AB3" w:rsidRPr="00AE3A64">
        <w:rPr>
          <w:i/>
          <w:iCs/>
        </w:rPr>
        <w:t xml:space="preserve"> </w:t>
      </w:r>
      <w:r w:rsidR="00912690">
        <w:t>(see [</w:t>
      </w:r>
      <w:r w:rsidR="00A655F6">
        <w:fldChar w:fldCharType="begin"/>
      </w:r>
      <w:r w:rsidR="00A655F6">
        <w:instrText xml:space="preserve"> REF _Ref157678504 \r \h </w:instrText>
      </w:r>
      <w:r w:rsidR="00A655F6">
        <w:fldChar w:fldCharType="separate"/>
      </w:r>
      <w:r w:rsidR="002B21FE">
        <w:t>162</w:t>
      </w:r>
      <w:r w:rsidR="00A655F6">
        <w:fldChar w:fldCharType="end"/>
      </w:r>
      <w:r w:rsidR="00912690">
        <w:t xml:space="preserve">] </w:t>
      </w:r>
      <w:r w:rsidR="0021487D">
        <w:t>above</w:t>
      </w:r>
      <w:r w:rsidR="00912690">
        <w:t>)</w:t>
      </w:r>
      <w:r w:rsidR="00F53AB3">
        <w:t xml:space="preserve"> </w:t>
      </w:r>
      <w:r w:rsidR="007B7D19">
        <w:t>which</w:t>
      </w:r>
      <w:r w:rsidR="00F0001F">
        <w:t xml:space="preserve"> </w:t>
      </w:r>
      <w:r w:rsidR="007B7D19">
        <w:t>he noted had</w:t>
      </w:r>
      <w:r w:rsidR="00F0001F">
        <w:t xml:space="preserve"> been </w:t>
      </w:r>
      <w:r w:rsidR="007B7D19">
        <w:t>applied</w:t>
      </w:r>
      <w:r w:rsidR="00F0001F">
        <w:t xml:space="preserve"> in subsequent decisions in </w:t>
      </w:r>
      <w:r w:rsidR="007B7D19">
        <w:t xml:space="preserve">the High Court and </w:t>
      </w:r>
      <w:r w:rsidR="004B4F49">
        <w:t xml:space="preserve">observed </w:t>
      </w:r>
      <w:r w:rsidR="007B7D19">
        <w:t xml:space="preserve">that </w:t>
      </w:r>
      <w:r w:rsidR="00AE3A64">
        <w:t>“[</w:t>
      </w:r>
      <w:proofErr w:type="spellStart"/>
      <w:r w:rsidR="00AE3A64">
        <w:t>i</w:t>
      </w:r>
      <w:proofErr w:type="spellEnd"/>
      <w:r w:rsidR="00AE3A64">
        <w:t>]</w:t>
      </w:r>
      <w:r w:rsidR="00F53AB3">
        <w:t>n addition, the temporal requirements in sub-ss (2) and (3) of s 459G operate to define the jurisdiction of the court in respect of an application to set aside a statutory demand</w:t>
      </w:r>
      <w:r w:rsidR="00AE3A64">
        <w:t>”</w:t>
      </w:r>
      <w:r w:rsidR="00F53AB3">
        <w:t xml:space="preserve">. </w:t>
      </w:r>
      <w:r w:rsidR="00AE3A64">
        <w:t xml:space="preserve"> </w:t>
      </w:r>
      <w:r w:rsidR="00B13502">
        <w:t>A</w:t>
      </w:r>
      <w:r w:rsidR="00610556">
        <w:t>t 277 Gummow</w:t>
      </w:r>
      <w:r w:rsidR="005C33BA">
        <w:t> </w:t>
      </w:r>
      <w:r w:rsidR="00610556">
        <w:t xml:space="preserve">J </w:t>
      </w:r>
      <w:r w:rsidR="008370F9">
        <w:t xml:space="preserve">addressed the </w:t>
      </w:r>
      <w:r w:rsidR="00F53AB3">
        <w:t xml:space="preserve">function of the </w:t>
      </w:r>
      <w:r w:rsidR="008370F9">
        <w:t xml:space="preserve">term “may </w:t>
      </w:r>
      <w:r w:rsidR="00F53AB3">
        <w:t>only</w:t>
      </w:r>
      <w:r w:rsidR="00E33805">
        <w:t>”</w:t>
      </w:r>
      <w:r w:rsidR="00F53AB3">
        <w:t xml:space="preserve"> in</w:t>
      </w:r>
      <w:r w:rsidR="00906855">
        <w:t xml:space="preserve"> </w:t>
      </w:r>
      <w:r w:rsidR="00E35483">
        <w:t>s 459</w:t>
      </w:r>
      <w:r w:rsidR="00F53AB3">
        <w:t>G</w:t>
      </w:r>
      <w:r w:rsidR="00E35483">
        <w:t xml:space="preserve"> stating that:</w:t>
      </w:r>
    </w:p>
    <w:p w14:paraId="15272408" w14:textId="34608D6E" w:rsidR="00E35483" w:rsidRDefault="00E35483" w:rsidP="00E35483">
      <w:pPr>
        <w:pStyle w:val="Quote1"/>
      </w:pPr>
      <w:r>
        <w:t xml:space="preserve">The force of the term </w:t>
      </w:r>
      <w:r w:rsidR="001453F3">
        <w:t>“</w:t>
      </w:r>
      <w:r>
        <w:t>may only</w:t>
      </w:r>
      <w:r w:rsidR="001453F3">
        <w:t>”</w:t>
      </w:r>
      <w:r>
        <w:t xml:space="preserve"> is to define the jurisdiction of the court by imposing a requirement as to time as an essential condition of the new right conferred by s 459G. An integer or element of the right created by s 459G is its exercise by application made within the time specified. To adapt what was said by Isaacs J in </w:t>
      </w:r>
      <w:r w:rsidRPr="00E35483">
        <w:rPr>
          <w:i/>
          <w:iCs/>
        </w:rPr>
        <w:t>The Crown v McNeil</w:t>
      </w:r>
      <w:r>
        <w:t>, it is a condition of the gift in sub-s (</w:t>
      </w:r>
      <w:r w:rsidR="005A0BD6">
        <w:t>1</w:t>
      </w:r>
      <w:r>
        <w:t>) of s 459G that sub-s (2) be observed and, unless this is so, the gift can never take effect. The same is true of sub-s (3)</w:t>
      </w:r>
      <w:r w:rsidR="00A24C64">
        <w:t>.</w:t>
      </w:r>
    </w:p>
    <w:p w14:paraId="1AA4B294" w14:textId="66355D2A" w:rsidR="007B4303" w:rsidRDefault="007B4303" w:rsidP="007B4303">
      <w:pPr>
        <w:pStyle w:val="Quote1"/>
      </w:pPr>
      <w:r>
        <w:t xml:space="preserve">This consideration gives added force to the proposition which has been accepted in some of the authorities that it is impossible to identify the function or utility of the word </w:t>
      </w:r>
      <w:r w:rsidR="00511DDF">
        <w:t>“</w:t>
      </w:r>
      <w:r>
        <w:t>only</w:t>
      </w:r>
      <w:r w:rsidR="00511DDF">
        <w:t>”</w:t>
      </w:r>
      <w:r>
        <w:t xml:space="preserve"> in s 459G(2) if it does not mean what it says, which is that the application </w:t>
      </w:r>
      <w:r>
        <w:lastRenderedPageBreak/>
        <w:t xml:space="preserve">is to be made within twenty-one days of service of the demand, and not at some time thereafter and that to treat s 1322 as authorising the court to extend the period of twenty-one days specified in s 459G would deprive the word </w:t>
      </w:r>
      <w:r w:rsidR="00695E66">
        <w:t>“</w:t>
      </w:r>
      <w:r>
        <w:t>only</w:t>
      </w:r>
      <w:r w:rsidR="00695E66">
        <w:t>”</w:t>
      </w:r>
      <w:r>
        <w:t xml:space="preserve"> of effect.</w:t>
      </w:r>
    </w:p>
    <w:p w14:paraId="157479DF" w14:textId="7C8E1296" w:rsidR="007B4303" w:rsidRDefault="007B4303" w:rsidP="009645F9">
      <w:pPr>
        <w:pStyle w:val="BodyText"/>
        <w:ind w:firstLine="720"/>
      </w:pPr>
      <w:r>
        <w:t>(Footnote</w:t>
      </w:r>
      <w:r w:rsidR="009645F9">
        <w:t xml:space="preserve"> omitted.)</w:t>
      </w:r>
      <w:r>
        <w:t xml:space="preserve"> </w:t>
      </w:r>
    </w:p>
    <w:p w14:paraId="5ED8C722" w14:textId="2FC46577" w:rsidR="00F53AB3" w:rsidRDefault="00D313AC" w:rsidP="00D313AC">
      <w:pPr>
        <w:pStyle w:val="ParaNumbering"/>
        <w:numPr>
          <w:ilvl w:val="0"/>
          <w:numId w:val="0"/>
        </w:numPr>
        <w:ind w:hanging="720"/>
      </w:pPr>
      <w:r>
        <w:rPr>
          <w:sz w:val="20"/>
        </w:rPr>
        <w:t>186</w:t>
      </w:r>
      <w:r>
        <w:rPr>
          <w:sz w:val="20"/>
        </w:rPr>
        <w:tab/>
      </w:r>
      <w:r w:rsidR="006E47E3">
        <w:t xml:space="preserve">His Honour </w:t>
      </w:r>
      <w:r w:rsidR="00F53AB3">
        <w:t xml:space="preserve">concluded </w:t>
      </w:r>
      <w:r w:rsidR="007B4303">
        <w:t xml:space="preserve">(at 278) </w:t>
      </w:r>
      <w:r w:rsidR="00F53AB3">
        <w:t>that the requirements in s 459G</w:t>
      </w:r>
      <w:r w:rsidR="009645F9">
        <w:t>,</w:t>
      </w:r>
      <w:r w:rsidR="00F53AB3">
        <w:t xml:space="preserve"> that the application for which that section provides may only be made within 21 days after service of the demand</w:t>
      </w:r>
      <w:r w:rsidR="00CE3A9A">
        <w:t>,</w:t>
      </w:r>
      <w:r w:rsidR="00F53AB3">
        <w:t xml:space="preserve"> could not be treated as supplemented or qualified by the operation of s 1322(4) of the </w:t>
      </w:r>
      <w:r w:rsidR="00F53AB3" w:rsidRPr="006407B3">
        <w:rPr>
          <w:i/>
          <w:iCs/>
        </w:rPr>
        <w:t>Corporations Law</w:t>
      </w:r>
      <w:r w:rsidR="00F53AB3">
        <w:t xml:space="preserve">. </w:t>
      </w:r>
    </w:p>
    <w:p w14:paraId="3D5C492E" w14:textId="3A1E197B" w:rsidR="00F53AB3" w:rsidRDefault="00D313AC" w:rsidP="00D313AC">
      <w:pPr>
        <w:pStyle w:val="ParaNumbering"/>
        <w:numPr>
          <w:ilvl w:val="0"/>
          <w:numId w:val="0"/>
        </w:numPr>
        <w:ind w:hanging="720"/>
      </w:pPr>
      <w:r>
        <w:rPr>
          <w:sz w:val="20"/>
        </w:rPr>
        <w:t>187</w:t>
      </w:r>
      <w:r>
        <w:rPr>
          <w:sz w:val="20"/>
        </w:rPr>
        <w:tab/>
      </w:r>
      <w:r w:rsidR="00F53AB3">
        <w:t xml:space="preserve">In </w:t>
      </w:r>
      <w:r w:rsidR="00E00718">
        <w:rPr>
          <w:i/>
          <w:iCs/>
        </w:rPr>
        <w:t>Grant</w:t>
      </w:r>
      <w:r w:rsidR="00CE3A9A">
        <w:rPr>
          <w:i/>
          <w:iCs/>
        </w:rPr>
        <w:t xml:space="preserve"> </w:t>
      </w:r>
      <w:r w:rsidR="00CE3A9A" w:rsidRPr="00E00718">
        <w:rPr>
          <w:i/>
          <w:iCs/>
        </w:rPr>
        <w:t>Samuel</w:t>
      </w:r>
      <w:r w:rsidR="00CE3A9A">
        <w:t xml:space="preserve">, the </w:t>
      </w:r>
      <w:r w:rsidR="00E00718">
        <w:t>High</w:t>
      </w:r>
      <w:r w:rsidR="00CE3A9A">
        <w:t xml:space="preserve"> Court also referred to </w:t>
      </w:r>
      <w:r w:rsidR="00F53AB3" w:rsidRPr="00E00718">
        <w:rPr>
          <w:i/>
          <w:iCs/>
        </w:rPr>
        <w:t>BP</w:t>
      </w:r>
      <w:r w:rsidR="00F53AB3">
        <w:rPr>
          <w:i/>
          <w:iCs/>
        </w:rPr>
        <w:t xml:space="preserve"> Australia</w:t>
      </w:r>
      <w:r w:rsidR="0036691E">
        <w:t xml:space="preserve">, </w:t>
      </w:r>
      <w:r w:rsidR="00365D9F">
        <w:t xml:space="preserve">an earlier case in which </w:t>
      </w:r>
      <w:r w:rsidR="00F53AB3">
        <w:t xml:space="preserve">the Court of Appeal </w:t>
      </w:r>
      <w:r w:rsidR="00365D9F">
        <w:t xml:space="preserve">considered </w:t>
      </w:r>
      <w:r w:rsidR="00F53AB3">
        <w:t>the interpretation of s 588FF(3) of the Corporations Act</w:t>
      </w:r>
      <w:r w:rsidR="00365D9F">
        <w:t>.  At the time s 588FF</w:t>
      </w:r>
      <w:r w:rsidR="00FE0B21">
        <w:t>(3)</w:t>
      </w:r>
      <w:r w:rsidR="00365D9F">
        <w:t xml:space="preserve"> was in slightly differen</w:t>
      </w:r>
      <w:r w:rsidR="00FE0B21">
        <w:t>t terms and</w:t>
      </w:r>
      <w:r w:rsidR="00F53AB3">
        <w:t xml:space="preserve"> provided:</w:t>
      </w:r>
    </w:p>
    <w:p w14:paraId="18703DC9" w14:textId="37F1B876" w:rsidR="00F53AB3" w:rsidRDefault="00F53AB3" w:rsidP="00F53AB3">
      <w:pPr>
        <w:pStyle w:val="Quote1"/>
      </w:pPr>
      <w:r>
        <w:t>An application under subsection (1) may only be made:</w:t>
      </w:r>
    </w:p>
    <w:p w14:paraId="24FEF3DB" w14:textId="77777777" w:rsidR="00F53AB3" w:rsidRDefault="00F53AB3" w:rsidP="00ED24E6">
      <w:pPr>
        <w:pStyle w:val="Quote2"/>
        <w:ind w:left="737"/>
      </w:pPr>
      <w:r>
        <w:t>(a)</w:t>
      </w:r>
      <w:r>
        <w:tab/>
        <w:t xml:space="preserve">within 3 years after the relation-back day; or </w:t>
      </w:r>
    </w:p>
    <w:p w14:paraId="63DDD5FF" w14:textId="77777777" w:rsidR="00F53AB3" w:rsidRDefault="00F53AB3" w:rsidP="00ED24E6">
      <w:pPr>
        <w:pStyle w:val="Quote2"/>
        <w:spacing w:after="360"/>
        <w:ind w:left="1457" w:hanging="720"/>
      </w:pPr>
      <w:r>
        <w:t>(b)</w:t>
      </w:r>
      <w:r>
        <w:tab/>
        <w:t>within such longer period as the Court orders on an application under this paragraph made by the liquidator within those 3 years.</w:t>
      </w:r>
    </w:p>
    <w:p w14:paraId="7850C207" w14:textId="42CFD4A8" w:rsidR="003A25E8" w:rsidRDefault="00D313AC" w:rsidP="00D313AC">
      <w:pPr>
        <w:pStyle w:val="ParaNumbering"/>
        <w:numPr>
          <w:ilvl w:val="0"/>
          <w:numId w:val="0"/>
        </w:numPr>
        <w:ind w:hanging="720"/>
      </w:pPr>
      <w:r>
        <w:rPr>
          <w:sz w:val="20"/>
        </w:rPr>
        <w:t>188</w:t>
      </w:r>
      <w:r>
        <w:rPr>
          <w:sz w:val="20"/>
        </w:rPr>
        <w:tab/>
      </w:r>
      <w:r w:rsidR="002E7059">
        <w:t xml:space="preserve">The facts of </w:t>
      </w:r>
      <w:r w:rsidR="00FE0B21" w:rsidRPr="00E8196D">
        <w:rPr>
          <w:i/>
          <w:iCs/>
        </w:rPr>
        <w:t xml:space="preserve">BP Australia </w:t>
      </w:r>
      <w:r w:rsidR="005976D7">
        <w:t>we</w:t>
      </w:r>
      <w:r w:rsidR="002E7059">
        <w:t xml:space="preserve">re somewhat complicated.  In summary, </w:t>
      </w:r>
      <w:r w:rsidR="00227626">
        <w:t xml:space="preserve">in late 1997 </w:t>
      </w:r>
      <w:r w:rsidR="0075238D">
        <w:t>DML Resources Pty Ltd (in liq</w:t>
      </w:r>
      <w:r w:rsidR="008405A6">
        <w:t>uidation</w:t>
      </w:r>
      <w:r w:rsidR="0075238D">
        <w:t>) and DML Resources (WA) Pty Ltd (in liq</w:t>
      </w:r>
      <w:r w:rsidR="008405A6">
        <w:t>uidation</w:t>
      </w:r>
      <w:r w:rsidR="0075238D">
        <w:t xml:space="preserve">) </w:t>
      </w:r>
      <w:r w:rsidR="002F7184">
        <w:t xml:space="preserve">(collectively, </w:t>
      </w:r>
      <w:r w:rsidR="002F7184" w:rsidRPr="002F7184">
        <w:rPr>
          <w:b/>
          <w:bCs/>
        </w:rPr>
        <w:t>DML</w:t>
      </w:r>
      <w:r w:rsidR="002F7184">
        <w:t xml:space="preserve"> </w:t>
      </w:r>
      <w:r w:rsidR="002F7184" w:rsidRPr="002F7184">
        <w:rPr>
          <w:b/>
          <w:bCs/>
        </w:rPr>
        <w:t>companies</w:t>
      </w:r>
      <w:r w:rsidR="002F7184">
        <w:t xml:space="preserve">) </w:t>
      </w:r>
      <w:r w:rsidR="00227626">
        <w:t>were</w:t>
      </w:r>
      <w:r w:rsidR="00896788">
        <w:t xml:space="preserve"> placed into </w:t>
      </w:r>
      <w:r w:rsidR="00227626">
        <w:t xml:space="preserve">liquidation.  </w:t>
      </w:r>
      <w:r w:rsidR="00E8196D">
        <w:t xml:space="preserve">The appellant, </w:t>
      </w:r>
      <w:r w:rsidR="00E8196D" w:rsidRPr="0021411F">
        <w:rPr>
          <w:b/>
          <w:bCs/>
        </w:rPr>
        <w:t>BP</w:t>
      </w:r>
      <w:r w:rsidR="00E8196D">
        <w:t xml:space="preserve"> Australia Ltd, was the recipient of over $5.7</w:t>
      </w:r>
      <w:r w:rsidR="00A24478">
        <w:t> </w:t>
      </w:r>
      <w:r w:rsidR="00E8196D">
        <w:t xml:space="preserve">million in payments from </w:t>
      </w:r>
      <w:r w:rsidR="002F7184">
        <w:t>the</w:t>
      </w:r>
      <w:r w:rsidR="00E8196D">
        <w:t xml:space="preserve"> DML companies which, the liquidators alleged, constituted voidable transactions under Pt 5.7B of the Corporations Act.  However, t</w:t>
      </w:r>
      <w:r w:rsidR="00F53AB3">
        <w:t xml:space="preserve">he liquidators </w:t>
      </w:r>
      <w:r w:rsidR="00B57A0F">
        <w:t>did not make</w:t>
      </w:r>
      <w:r w:rsidR="00F53AB3">
        <w:t xml:space="preserve"> an application under s 588FF(1) </w:t>
      </w:r>
      <w:r w:rsidR="004C2290">
        <w:t xml:space="preserve">of the Corporations Act </w:t>
      </w:r>
      <w:r w:rsidR="00F53AB3">
        <w:t xml:space="preserve">within three years </w:t>
      </w:r>
      <w:r w:rsidR="00DC2E03">
        <w:t>after the relation</w:t>
      </w:r>
      <w:r w:rsidR="003B08EF">
        <w:t>-</w:t>
      </w:r>
      <w:r w:rsidR="00DC2E03">
        <w:t>back day</w:t>
      </w:r>
      <w:r w:rsidR="003A25E8">
        <w:t xml:space="preserve">.  </w:t>
      </w:r>
    </w:p>
    <w:p w14:paraId="506795BE" w14:textId="569F92CE" w:rsidR="00F53AB3" w:rsidRDefault="00D313AC" w:rsidP="00D313AC">
      <w:pPr>
        <w:pStyle w:val="ParaNumbering"/>
        <w:numPr>
          <w:ilvl w:val="0"/>
          <w:numId w:val="0"/>
        </w:numPr>
        <w:ind w:hanging="720"/>
      </w:pPr>
      <w:r>
        <w:rPr>
          <w:sz w:val="20"/>
        </w:rPr>
        <w:t>189</w:t>
      </w:r>
      <w:r>
        <w:rPr>
          <w:sz w:val="20"/>
        </w:rPr>
        <w:tab/>
      </w:r>
      <w:r w:rsidR="003A25E8">
        <w:t>O</w:t>
      </w:r>
      <w:r w:rsidR="00217C96">
        <w:t xml:space="preserve">ver the course </w:t>
      </w:r>
      <w:r w:rsidR="001C1200">
        <w:t>of</w:t>
      </w:r>
      <w:r w:rsidR="00217C96">
        <w:t xml:space="preserve"> </w:t>
      </w:r>
      <w:r w:rsidR="001C1200">
        <w:t>seven</w:t>
      </w:r>
      <w:r w:rsidR="00217C96">
        <w:t xml:space="preserve"> </w:t>
      </w:r>
      <w:r w:rsidR="00D150C6">
        <w:t>judgments by</w:t>
      </w:r>
      <w:r w:rsidR="00217C96">
        <w:t xml:space="preserve"> a single judge of the Supreme </w:t>
      </w:r>
      <w:r w:rsidR="00D150C6">
        <w:t>Court</w:t>
      </w:r>
      <w:r w:rsidR="001C1200">
        <w:t>,</w:t>
      </w:r>
      <w:r w:rsidR="00D150C6">
        <w:t xml:space="preserve"> the</w:t>
      </w:r>
      <w:r w:rsidR="003A25E8">
        <w:t xml:space="preserve"> liquidators</w:t>
      </w:r>
      <w:r w:rsidR="00D150C6">
        <w:t xml:space="preserve"> received the requisite extension, then they </w:t>
      </w:r>
      <w:r w:rsidR="000125D4">
        <w:t>lost</w:t>
      </w:r>
      <w:r w:rsidR="00D150C6">
        <w:t xml:space="preserve"> it and finally</w:t>
      </w:r>
      <w:r w:rsidR="00327EAB">
        <w:t>, in the seventh judgment,</w:t>
      </w:r>
      <w:r w:rsidR="00D150C6">
        <w:t xml:space="preserve"> they r</w:t>
      </w:r>
      <w:r w:rsidR="000125D4">
        <w:t>egained</w:t>
      </w:r>
      <w:r w:rsidR="00D150C6">
        <w:t xml:space="preserve"> it</w:t>
      </w:r>
      <w:r w:rsidR="00DC2E03">
        <w:t xml:space="preserve">.  </w:t>
      </w:r>
      <w:r w:rsidR="00872076">
        <w:t>R</w:t>
      </w:r>
      <w:r w:rsidR="00CD0B19">
        <w:t xml:space="preserve">elevantly, </w:t>
      </w:r>
      <w:r w:rsidR="00F53AB3">
        <w:t>the primary judge held that s 1322(4)(d) of the Corporations Act was available to support an order extending the three year period</w:t>
      </w:r>
      <w:r w:rsidR="0093264E">
        <w:t>,</w:t>
      </w:r>
      <w:r w:rsidR="00F53AB3">
        <w:t xml:space="preserve"> </w:t>
      </w:r>
      <w:r w:rsidR="0093264E">
        <w:t xml:space="preserve">otherwise set by </w:t>
      </w:r>
      <w:r w:rsidR="00F53AB3">
        <w:t>s 588FF(3)</w:t>
      </w:r>
      <w:r w:rsidR="0093264E">
        <w:t>,</w:t>
      </w:r>
      <w:r w:rsidR="00F53AB3">
        <w:t xml:space="preserve"> for an application by liquidators seeking an extension of time to make a further application challenging voidable transactions</w:t>
      </w:r>
      <w:r w:rsidR="00D82218">
        <w:t>:</w:t>
      </w:r>
      <w:r w:rsidR="00AF6D67">
        <w:t xml:space="preserve"> see</w:t>
      </w:r>
      <w:r w:rsidR="00D82218">
        <w:t xml:space="preserve"> </w:t>
      </w:r>
      <w:r w:rsidR="00C80F1A">
        <w:rPr>
          <w:i/>
          <w:iCs/>
        </w:rPr>
        <w:t>B</w:t>
      </w:r>
      <w:r w:rsidR="00473691">
        <w:rPr>
          <w:i/>
          <w:iCs/>
        </w:rPr>
        <w:t>P</w:t>
      </w:r>
      <w:r w:rsidR="00C80F1A">
        <w:rPr>
          <w:i/>
          <w:iCs/>
        </w:rPr>
        <w:t xml:space="preserve"> Australia </w:t>
      </w:r>
      <w:r w:rsidR="00D82218">
        <w:t>at [9]-[10]</w:t>
      </w:r>
      <w:r w:rsidR="00F53AB3">
        <w:t xml:space="preserve">.  </w:t>
      </w:r>
      <w:r w:rsidR="0021411F">
        <w:t xml:space="preserve">BP appealed from </w:t>
      </w:r>
      <w:r w:rsidR="00327EAB">
        <w:t xml:space="preserve">that judgment.  </w:t>
      </w:r>
    </w:p>
    <w:p w14:paraId="30E86866" w14:textId="7D08D350" w:rsidR="00F53AB3" w:rsidRDefault="00D313AC" w:rsidP="00D313AC">
      <w:pPr>
        <w:pStyle w:val="ParaNumbering"/>
        <w:numPr>
          <w:ilvl w:val="0"/>
          <w:numId w:val="0"/>
        </w:numPr>
        <w:ind w:hanging="720"/>
      </w:pPr>
      <w:r>
        <w:rPr>
          <w:sz w:val="20"/>
        </w:rPr>
        <w:t>190</w:t>
      </w:r>
      <w:r>
        <w:rPr>
          <w:sz w:val="20"/>
        </w:rPr>
        <w:tab/>
      </w:r>
      <w:r w:rsidR="00F53AB3">
        <w:t>At [77] Spigelman CJ (with whom Mason P and Handley JA agreed) relevantly observed:</w:t>
      </w:r>
    </w:p>
    <w:p w14:paraId="5EF9EABE" w14:textId="77777777" w:rsidR="00F53AB3" w:rsidRDefault="00F53AB3" w:rsidP="00F005D5">
      <w:pPr>
        <w:pStyle w:val="Quote1"/>
        <w:spacing w:after="360"/>
      </w:pPr>
      <w:r>
        <w:t xml:space="preserve">In a sense, the section that falls to be construed on the appeal is not s 588FF(3) itself, but s 1322(4)(d). The issue that arises is whether or not any time period specified in s 588FF(3) is a “period for doing any act, manner or thing or instituting or taking any proceeding under this Act” within the meaning of s 1322(4)(d). </w:t>
      </w:r>
    </w:p>
    <w:p w14:paraId="244397CA" w14:textId="166D6001" w:rsidR="001A0E17" w:rsidRDefault="00D313AC" w:rsidP="00D313AC">
      <w:pPr>
        <w:pStyle w:val="ParaNumbering"/>
        <w:numPr>
          <w:ilvl w:val="0"/>
          <w:numId w:val="0"/>
        </w:numPr>
        <w:ind w:hanging="720"/>
      </w:pPr>
      <w:r>
        <w:rPr>
          <w:sz w:val="20"/>
        </w:rPr>
        <w:lastRenderedPageBreak/>
        <w:t>191</w:t>
      </w:r>
      <w:r>
        <w:rPr>
          <w:sz w:val="20"/>
        </w:rPr>
        <w:tab/>
      </w:r>
      <w:r w:rsidR="001A0E17">
        <w:t xml:space="preserve">At [78]-[79] his Honour </w:t>
      </w:r>
      <w:r w:rsidR="00E938D9">
        <w:t>referred to the purpose of s 1322 of the Corporations Act saying:</w:t>
      </w:r>
    </w:p>
    <w:p w14:paraId="69A07A7A" w14:textId="1087357F" w:rsidR="002860BF" w:rsidRDefault="002860BF" w:rsidP="002860BF">
      <w:pPr>
        <w:pStyle w:val="Quote1"/>
        <w:ind w:left="1440" w:hanging="703"/>
      </w:pPr>
      <w:r>
        <w:t>78</w:t>
      </w:r>
      <w:r>
        <w:tab/>
        <w:t xml:space="preserve">Section 1322 confers a series of powers designed to mitigate the strict application of the various kinds of provisions found elsewhere in the legislative scheme of the </w:t>
      </w:r>
      <w:r w:rsidRPr="00C03203">
        <w:rPr>
          <w:i/>
          <w:iCs/>
        </w:rPr>
        <w:t>Corporations Act</w:t>
      </w:r>
      <w:r>
        <w:t>. It constitutes a recognition by the legislature that, in the wide variety of unpredictable circumstances that arise in the conduct of the affairs of corporations, the precise rules for which the statute provides may operate unfairly or unjustly in some circumstances.</w:t>
      </w:r>
    </w:p>
    <w:p w14:paraId="72F0F689" w14:textId="42066074" w:rsidR="00E938D9" w:rsidRDefault="002860BF" w:rsidP="00C03203">
      <w:pPr>
        <w:pStyle w:val="Quote1"/>
        <w:spacing w:after="360"/>
        <w:ind w:left="1440" w:hanging="703"/>
      </w:pPr>
      <w:r>
        <w:t>79</w:t>
      </w:r>
      <w:r>
        <w:tab/>
        <w:t xml:space="preserve">Nevertheless the requirements of certainty or of deterrence or of other objectives performed by particular regulatory sub-regimes within the legislative scheme, may be such that the flexibility for which s 1322 makes provision is not appropriate. Such a conclusion is particularly likely where, as with respect to s 588FF, the sub-regime makes its own particular provision for flexibility. The general words found in s 1322 may need to be read down with respect to any section which is intended to operate to the exclusion of the general power. However, as a remedial provision, s 1322 is to be construed liberally and will be read down only where the specific power is intended to cover the field with regard to the sub-regime under consideration. </w:t>
      </w:r>
    </w:p>
    <w:p w14:paraId="34AF651F" w14:textId="48CA5D62" w:rsidR="00F53AB3" w:rsidRDefault="00D313AC" w:rsidP="00D313AC">
      <w:pPr>
        <w:pStyle w:val="ParaNumbering"/>
        <w:numPr>
          <w:ilvl w:val="0"/>
          <w:numId w:val="0"/>
        </w:numPr>
        <w:ind w:hanging="720"/>
      </w:pPr>
      <w:r>
        <w:rPr>
          <w:sz w:val="20"/>
        </w:rPr>
        <w:t>192</w:t>
      </w:r>
      <w:r>
        <w:rPr>
          <w:sz w:val="20"/>
        </w:rPr>
        <w:tab/>
      </w:r>
      <w:r w:rsidR="00F53AB3">
        <w:t>At [83]-[85]</w:t>
      </w:r>
      <w:r w:rsidR="00310830">
        <w:t xml:space="preserve"> in</w:t>
      </w:r>
      <w:r w:rsidR="0041398A">
        <w:t xml:space="preserve"> </w:t>
      </w:r>
      <w:r w:rsidR="00310830">
        <w:t>referring to the text of s 588FF</w:t>
      </w:r>
      <w:r w:rsidR="003A25E8">
        <w:t>(</w:t>
      </w:r>
      <w:r w:rsidR="00310830">
        <w:t>3) S</w:t>
      </w:r>
      <w:r w:rsidR="0041398A">
        <w:t>pigelman CJ</w:t>
      </w:r>
      <w:r w:rsidR="00F53AB3">
        <w:t xml:space="preserve"> said:</w:t>
      </w:r>
    </w:p>
    <w:p w14:paraId="47C737E5" w14:textId="77777777" w:rsidR="00F53AB3" w:rsidRDefault="00F53AB3" w:rsidP="00F53AB3">
      <w:pPr>
        <w:pStyle w:val="Quote1"/>
        <w:ind w:left="1440" w:hanging="703"/>
      </w:pPr>
      <w:r>
        <w:t>83</w:t>
      </w:r>
      <w:r>
        <w:tab/>
        <w:t>Insofar as the word “only” indicates a purpose to ensure that a particular procedure is observed, it has that effect in this context by reason of its combination with that part of par (b) that requires an application to be made within the original period of three years.</w:t>
      </w:r>
    </w:p>
    <w:p w14:paraId="40B819AB" w14:textId="77777777" w:rsidR="00F53AB3" w:rsidRDefault="00F53AB3" w:rsidP="00F53AB3">
      <w:pPr>
        <w:pStyle w:val="Quote1"/>
        <w:ind w:left="1440" w:hanging="703"/>
      </w:pPr>
      <w:r>
        <w:t>84</w:t>
      </w:r>
      <w:r>
        <w:tab/>
        <w:t xml:space="preserve">It is the combined effect of the word “only” and the express requirement that an application for an extension of the period must be made within the period, that gives the time limit force and indicates the significance for the legislative scheme of the three year period. </w:t>
      </w:r>
    </w:p>
    <w:p w14:paraId="71BD87EA" w14:textId="77777777" w:rsidR="00F53AB3" w:rsidRDefault="00F53AB3" w:rsidP="004F4D6B">
      <w:pPr>
        <w:pStyle w:val="Quote1"/>
        <w:spacing w:after="360"/>
        <w:ind w:left="1440" w:hanging="703"/>
      </w:pPr>
      <w:r>
        <w:t>85</w:t>
      </w:r>
      <w:r>
        <w:tab/>
        <w:t xml:space="preserve">The time period identified in par (a) is itself subject to a specific power of extension under par (b). That is a comprehensive provision for extension of time which, in my opinion, is intended to cover the relevant field to the exclusion of s 1322. This conclusion turns on the text of s 588FF(3) and the scope and purpose of Pt 5.7B. </w:t>
      </w:r>
    </w:p>
    <w:p w14:paraId="0F141133" w14:textId="70DA9C99" w:rsidR="00F53AB3" w:rsidRDefault="00D313AC" w:rsidP="00D313AC">
      <w:pPr>
        <w:pStyle w:val="ParaNumbering"/>
        <w:numPr>
          <w:ilvl w:val="0"/>
          <w:numId w:val="0"/>
        </w:numPr>
        <w:ind w:hanging="720"/>
      </w:pPr>
      <w:bookmarkStart w:id="45" w:name="_Ref157001856"/>
      <w:r>
        <w:rPr>
          <w:sz w:val="20"/>
        </w:rPr>
        <w:t>193</w:t>
      </w:r>
      <w:r>
        <w:rPr>
          <w:sz w:val="20"/>
        </w:rPr>
        <w:tab/>
      </w:r>
      <w:r w:rsidR="00232125">
        <w:t xml:space="preserve">After referring to the </w:t>
      </w:r>
      <w:r w:rsidR="00EB3936">
        <w:t>Harmer Report and the fact that in enacting s 588FF</w:t>
      </w:r>
      <w:r w:rsidR="00E21770">
        <w:t>(3)</w:t>
      </w:r>
      <w:r w:rsidR="00EB3936">
        <w:t xml:space="preserve"> the legislature went </w:t>
      </w:r>
      <w:r w:rsidR="00E65B0D">
        <w:t xml:space="preserve">further than the </w:t>
      </w:r>
      <w:r w:rsidR="00AD4D95">
        <w:t>Harmer</w:t>
      </w:r>
      <w:r w:rsidR="00E65B0D">
        <w:t xml:space="preserve"> </w:t>
      </w:r>
      <w:r w:rsidR="00BC21EB">
        <w:t>I</w:t>
      </w:r>
      <w:r w:rsidR="00E65B0D">
        <w:t>nquiry and subsequent report recommended,</w:t>
      </w:r>
      <w:r w:rsidR="002A39B8">
        <w:t xml:space="preserve"> </w:t>
      </w:r>
      <w:r w:rsidR="00AD4D95">
        <w:t xml:space="preserve">at </w:t>
      </w:r>
      <w:r w:rsidR="00F53AB3">
        <w:t>[11</w:t>
      </w:r>
      <w:r w:rsidR="00AD4D95">
        <w:t>2</w:t>
      </w:r>
      <w:r w:rsidR="00F53AB3">
        <w:t>]-[118] Spigelman CJ observed:</w:t>
      </w:r>
      <w:bookmarkEnd w:id="45"/>
    </w:p>
    <w:p w14:paraId="39317A0A" w14:textId="52C97879" w:rsidR="00AD4D95" w:rsidRDefault="00253FBD" w:rsidP="00253FBD">
      <w:pPr>
        <w:pStyle w:val="Quote1"/>
        <w:ind w:left="1440" w:hanging="703"/>
      </w:pPr>
      <w:r>
        <w:t>112</w:t>
      </w:r>
      <w:r>
        <w:tab/>
        <w:t xml:space="preserve">There is, in my opinion, a broader public interest to be served by allowing persons who have had dealings with companies which become insolvent to conduct their commercial affairs with a degree of certainty about their exposure to having past transactions unravelled. </w:t>
      </w:r>
    </w:p>
    <w:p w14:paraId="538455A5" w14:textId="168B535F" w:rsidR="00253FBD" w:rsidRDefault="00253FBD" w:rsidP="00D043F4">
      <w:pPr>
        <w:pStyle w:val="Quote1"/>
        <w:ind w:left="1440" w:hanging="703"/>
      </w:pPr>
      <w:r>
        <w:t>113</w:t>
      </w:r>
      <w:r>
        <w:tab/>
        <w:t xml:space="preserve">I note the traditional hostility of the common law to the exhumation of bodies which was once described as an “inhuman and barbarous felony”. … </w:t>
      </w:r>
      <w:r w:rsidR="00ED6DFE">
        <w:t xml:space="preserve">This </w:t>
      </w:r>
      <w:r w:rsidR="00D043F4" w:rsidRPr="00D043F4">
        <w:t>policy is informed by considerations of decency and human respect.</w:t>
      </w:r>
      <w:r w:rsidR="00D043F4">
        <w:t xml:space="preserve"> Nevertheless, in my opinion, there is also a public policy against the disinterring of corporate corpses. Commercial life must at some stage rule off the past and focus energy on the </w:t>
      </w:r>
      <w:r w:rsidR="00903048">
        <w:t>future.</w:t>
      </w:r>
    </w:p>
    <w:p w14:paraId="1E716439" w14:textId="622B2B9A" w:rsidR="005D50B3" w:rsidRDefault="005D50B3" w:rsidP="00D043F4">
      <w:pPr>
        <w:pStyle w:val="Quote1"/>
        <w:ind w:left="1440" w:hanging="703"/>
      </w:pPr>
      <w:r>
        <w:lastRenderedPageBreak/>
        <w:t>…</w:t>
      </w:r>
    </w:p>
    <w:p w14:paraId="0FE4884E" w14:textId="77777777" w:rsidR="00F53AB3" w:rsidRDefault="00F53AB3" w:rsidP="00F53AB3">
      <w:pPr>
        <w:pStyle w:val="Quote1"/>
        <w:ind w:left="1440" w:hanging="703"/>
      </w:pPr>
      <w:r>
        <w:t>115</w:t>
      </w:r>
      <w:r>
        <w:tab/>
        <w:t xml:space="preserve">A creditor or other person who has received the benefit of a voidable transaction is at risk of having to surrender it. The time limit in s 588FF(3) has the effect that at the end of the period of three years, such a person will know whether s/he remains at risk. In a legislative scheme which seeks to balance conflicting commercial interests of this character, that appears to me to be a perfectly reasonable requirement. Those who have an interest, or who represent those who have an interest, to disturb transactions must indicate, within three years, whether they wish to keep open the option of doing so. In this, as in other areas, legal policy favours certainty. </w:t>
      </w:r>
    </w:p>
    <w:p w14:paraId="4D4DC358" w14:textId="77777777" w:rsidR="00F53AB3" w:rsidRDefault="00F53AB3" w:rsidP="00F53AB3">
      <w:pPr>
        <w:pStyle w:val="Quote1"/>
        <w:ind w:left="1440" w:hanging="703"/>
      </w:pPr>
      <w:r>
        <w:t>116</w:t>
      </w:r>
      <w:r>
        <w:tab/>
        <w:t xml:space="preserve">As the House of Lords said in another context in </w:t>
      </w:r>
      <w:r w:rsidRPr="00411660">
        <w:rPr>
          <w:i/>
          <w:iCs/>
        </w:rPr>
        <w:t>R (Burkett) v Hammersmith and Fulham London Borough Council</w:t>
      </w:r>
      <w:r>
        <w:t xml:space="preserve"> [2002] 1 WLR 1593 at 1608 [46]; [2002] 3 All ER 97 at 112:</w:t>
      </w:r>
    </w:p>
    <w:p w14:paraId="3B4BEAD9" w14:textId="1965FFE2" w:rsidR="00F53AB3" w:rsidRDefault="00F53AB3" w:rsidP="00F53AB3">
      <w:pPr>
        <w:pStyle w:val="Quote3"/>
      </w:pPr>
      <w:r>
        <w:t>“</w:t>
      </w:r>
      <w:r w:rsidR="00525AC8">
        <w:t xml:space="preserve">… </w:t>
      </w:r>
      <w:r>
        <w:t>[L]egal policy favours simplicity and certainty rather than complexity and uncertainty. In the interpretation of legislation this factor is a commonplace consideration. In choosing between competing constructions a court may presume, in the absence of contrary indications, that the legislature intended to legislate for a certain and predictable regime.”</w:t>
      </w:r>
    </w:p>
    <w:p w14:paraId="6A7D658A" w14:textId="77777777" w:rsidR="00F53AB3" w:rsidRDefault="00F53AB3" w:rsidP="00F53AB3">
      <w:pPr>
        <w:pStyle w:val="Quote1"/>
        <w:ind w:left="1440" w:hanging="703"/>
      </w:pPr>
      <w:r>
        <w:t>117</w:t>
      </w:r>
      <w:r>
        <w:tab/>
        <w:t>While s 70 and s 1322 of the Act may constitute contrary indications for many purposes, the legal policy in favour of certainty is nevertheless manifest in the text of s 588FF(3).</w:t>
      </w:r>
    </w:p>
    <w:p w14:paraId="67AD4FBF" w14:textId="77777777" w:rsidR="00F53AB3" w:rsidRDefault="00F53AB3" w:rsidP="00F53AB3">
      <w:pPr>
        <w:pStyle w:val="Quote1"/>
        <w:ind w:left="1440" w:hanging="703"/>
      </w:pPr>
      <w:r>
        <w:t>118</w:t>
      </w:r>
      <w:r>
        <w:tab/>
        <w:t xml:space="preserve">Section 588FF(3) does not have the effect of requiring all applications to be brought within a short period of time. It does, however, have the effect of requiring those who wish to keep open the option to do so, to determine that they do wish to do so within the three year period and to seek a determinate extension of the period. One thing that must be decided within the three year period is how long the process of deciding whether to pursue voidable transactions will take. Eventually, investigations to overcome deficiencies of information or the pursuit of funding must cease. Parliament has identified a reasonable time for such matters to occur, subject to a single determinate extension of time.  </w:t>
      </w:r>
    </w:p>
    <w:p w14:paraId="7ED952CF" w14:textId="689BA844" w:rsidR="00F53AB3" w:rsidRDefault="00F53AB3" w:rsidP="00F53AB3">
      <w:pPr>
        <w:pStyle w:val="BodyText"/>
        <w:ind w:firstLine="720"/>
      </w:pPr>
      <w:r>
        <w:t>(</w:t>
      </w:r>
      <w:r w:rsidR="00043DC2">
        <w:t>Citation</w:t>
      </w:r>
      <w:r>
        <w:t xml:space="preserve"> omitted.)</w:t>
      </w:r>
    </w:p>
    <w:p w14:paraId="745092C0" w14:textId="715F5206" w:rsidR="00F53AB3" w:rsidRDefault="00D313AC" w:rsidP="00D313AC">
      <w:pPr>
        <w:pStyle w:val="ParaNumbering"/>
        <w:numPr>
          <w:ilvl w:val="0"/>
          <w:numId w:val="0"/>
        </w:numPr>
        <w:ind w:hanging="720"/>
      </w:pPr>
      <w:r>
        <w:rPr>
          <w:sz w:val="20"/>
        </w:rPr>
        <w:t>194</w:t>
      </w:r>
      <w:r>
        <w:rPr>
          <w:sz w:val="20"/>
        </w:rPr>
        <w:tab/>
      </w:r>
      <w:r w:rsidR="00DD2FC4">
        <w:t xml:space="preserve">Without grappling with them, </w:t>
      </w:r>
      <w:r w:rsidR="009C57CB">
        <w:t xml:space="preserve">the Commissioner and </w:t>
      </w:r>
      <w:r w:rsidR="0002664B">
        <w:t xml:space="preserve">the </w:t>
      </w:r>
      <w:r w:rsidR="009C57CB">
        <w:t>Liquidators observe</w:t>
      </w:r>
      <w:r w:rsidR="00DD2FC4">
        <w:t xml:space="preserve"> that</w:t>
      </w:r>
      <w:r w:rsidR="009C57CB">
        <w:t xml:space="preserve"> no</w:t>
      </w:r>
      <w:r w:rsidR="00BD077B">
        <w:t>n</w:t>
      </w:r>
      <w:r w:rsidR="009C57CB">
        <w:t xml:space="preserve">e of these cases concern </w:t>
      </w:r>
      <w:r w:rsidR="00BD077B">
        <w:t xml:space="preserve">the </w:t>
      </w:r>
      <w:r w:rsidR="00AF2870">
        <w:t>operation</w:t>
      </w:r>
      <w:r w:rsidR="00BD077B">
        <w:t xml:space="preserve"> of </w:t>
      </w:r>
      <w:r w:rsidR="00AF2870">
        <w:t>s </w:t>
      </w:r>
      <w:r w:rsidR="009C57CB">
        <w:t xml:space="preserve">601AH of the Corporations Act </w:t>
      </w:r>
      <w:r w:rsidR="00F74376">
        <w:t>and do not</w:t>
      </w:r>
      <w:r w:rsidR="00412F68">
        <w:t xml:space="preserve"> </w:t>
      </w:r>
      <w:r w:rsidR="00F15DCD">
        <w:t xml:space="preserve">consider </w:t>
      </w:r>
      <w:r w:rsidR="00AF2870">
        <w:t>whether that section empowers a court to make an order</w:t>
      </w:r>
      <w:r w:rsidR="00381B6C">
        <w:t>,</w:t>
      </w:r>
      <w:r w:rsidR="00AF2870">
        <w:t xml:space="preserve"> as was made here</w:t>
      </w:r>
      <w:r w:rsidR="00381B6C">
        <w:t>,</w:t>
      </w:r>
      <w:r w:rsidR="00AF2870">
        <w:t xml:space="preserve"> </w:t>
      </w:r>
      <w:r w:rsidR="00DA40C6">
        <w:t xml:space="preserve">providing that the period between </w:t>
      </w:r>
      <w:r w:rsidR="00F7281E">
        <w:t xml:space="preserve">date </w:t>
      </w:r>
      <w:r w:rsidR="00A21137">
        <w:t>of</w:t>
      </w:r>
      <w:r w:rsidR="00F7281E">
        <w:t xml:space="preserve"> registration and the date of </w:t>
      </w:r>
      <w:r w:rsidR="00A21137">
        <w:t>reinstatement</w:t>
      </w:r>
      <w:r w:rsidR="00F7281E">
        <w:t xml:space="preserve"> of each of the </w:t>
      </w:r>
      <w:r w:rsidR="00A21137">
        <w:t>relevant</w:t>
      </w:r>
      <w:r w:rsidR="00F7281E">
        <w:t xml:space="preserve"> companies is to be disregarded for the purposes of s 588FF(3)(a)</w:t>
      </w:r>
      <w:r w:rsidR="00DA7914">
        <w:t xml:space="preserve"> of the Corporations Act</w:t>
      </w:r>
      <w:r w:rsidR="00A21137">
        <w:t xml:space="preserve">.  </w:t>
      </w:r>
      <w:r w:rsidR="00F74376">
        <w:t>S</w:t>
      </w:r>
      <w:r w:rsidR="00DD2FC4">
        <w:t xml:space="preserve">o much is true.  </w:t>
      </w:r>
      <w:r w:rsidR="003E3720">
        <w:t>But</w:t>
      </w:r>
      <w:r w:rsidR="0025287B">
        <w:t>,</w:t>
      </w:r>
      <w:r w:rsidR="003E3720">
        <w:t xml:space="preserve"> it is</w:t>
      </w:r>
      <w:r w:rsidR="0025287B">
        <w:t>, as developed below,</w:t>
      </w:r>
      <w:r w:rsidR="003E3720">
        <w:t xml:space="preserve"> difficult to distinguish between s</w:t>
      </w:r>
      <w:r w:rsidR="00F063FF">
        <w:t> </w:t>
      </w:r>
      <w:r w:rsidR="003E3720">
        <w:t>1322</w:t>
      </w:r>
      <w:r w:rsidR="00F063FF">
        <w:t>,</w:t>
      </w:r>
      <w:r w:rsidR="003E3720">
        <w:t xml:space="preserve"> on the one hand</w:t>
      </w:r>
      <w:r w:rsidR="00F063FF">
        <w:t>,</w:t>
      </w:r>
      <w:r w:rsidR="003E3720">
        <w:t xml:space="preserve"> and s</w:t>
      </w:r>
      <w:r w:rsidR="00F063FF">
        <w:t> </w:t>
      </w:r>
      <w:r w:rsidR="003E3720">
        <w:t>601AH</w:t>
      </w:r>
      <w:r w:rsidR="00F063FF">
        <w:t>(3)(d)</w:t>
      </w:r>
      <w:r w:rsidR="003E3720">
        <w:t xml:space="preserve"> on the other.  Both </w:t>
      </w:r>
      <w:r w:rsidR="00F063FF">
        <w:t>are general powers designed to address or, to adopt Spigelman CJ’s description, mitigate</w:t>
      </w:r>
      <w:r w:rsidR="00D15180">
        <w:t>,</w:t>
      </w:r>
      <w:r w:rsidR="00F063FF">
        <w:t xml:space="preserve"> </w:t>
      </w:r>
      <w:r w:rsidR="00D15180">
        <w:t xml:space="preserve">in the case of s 1322, </w:t>
      </w:r>
      <w:r w:rsidR="00F063FF">
        <w:t xml:space="preserve">the application of other provisions </w:t>
      </w:r>
      <w:r w:rsidR="005C1514">
        <w:t>in the Corporations Act or</w:t>
      </w:r>
      <w:r w:rsidR="00921BBA">
        <w:t>,</w:t>
      </w:r>
      <w:r w:rsidR="005C1514">
        <w:t xml:space="preserve"> </w:t>
      </w:r>
      <w:r w:rsidR="00921BBA">
        <w:t xml:space="preserve">in the case of s 601AH(3), </w:t>
      </w:r>
      <w:r w:rsidR="005C1514">
        <w:t>the practical effect of deregistration</w:t>
      </w:r>
      <w:r w:rsidR="00D15180">
        <w:t xml:space="preserve">.  </w:t>
      </w:r>
    </w:p>
    <w:p w14:paraId="7EF701B4" w14:textId="3679953F" w:rsidR="00AD77CE" w:rsidRDefault="00D313AC" w:rsidP="00D313AC">
      <w:pPr>
        <w:pStyle w:val="ParaNumbering"/>
        <w:numPr>
          <w:ilvl w:val="0"/>
          <w:numId w:val="0"/>
        </w:numPr>
        <w:ind w:hanging="720"/>
      </w:pPr>
      <w:r>
        <w:rPr>
          <w:sz w:val="20"/>
        </w:rPr>
        <w:lastRenderedPageBreak/>
        <w:t>195</w:t>
      </w:r>
      <w:r>
        <w:rPr>
          <w:sz w:val="20"/>
        </w:rPr>
        <w:tab/>
      </w:r>
      <w:r w:rsidR="003A3CFD">
        <w:t xml:space="preserve">The Commissioner </w:t>
      </w:r>
      <w:r w:rsidR="00B621C7">
        <w:t xml:space="preserve">and the Liquidators </w:t>
      </w:r>
      <w:r w:rsidR="003A3CFD">
        <w:t xml:space="preserve">submit that </w:t>
      </w:r>
      <w:r w:rsidR="0057398F">
        <w:t xml:space="preserve">to understand </w:t>
      </w:r>
      <w:r w:rsidR="00433BA3">
        <w:t xml:space="preserve">the nature and content of the </w:t>
      </w:r>
      <w:r w:rsidR="0057398F">
        <w:t>jurisdictional requirement in s 588FF(3)</w:t>
      </w:r>
      <w:r w:rsidR="00433BA3">
        <w:t xml:space="preserve"> one needs to focus on the language of the subsection as well as the purpose of the provision</w:t>
      </w:r>
      <w:r w:rsidR="005C0BB2">
        <w:t xml:space="preserve"> and its interrelationship with other provisions in Ch</w:t>
      </w:r>
      <w:r w:rsidR="00F34869">
        <w:t> </w:t>
      </w:r>
      <w:r w:rsidR="005C0BB2">
        <w:t xml:space="preserve">5 and </w:t>
      </w:r>
      <w:r w:rsidR="00223117">
        <w:t>Ch </w:t>
      </w:r>
      <w:r w:rsidR="005C0BB2">
        <w:t xml:space="preserve">5A of the Corporations Act.  </w:t>
      </w:r>
    </w:p>
    <w:p w14:paraId="5F66068E" w14:textId="66E9E817" w:rsidR="00F53AB3" w:rsidRDefault="00D313AC" w:rsidP="00D313AC">
      <w:pPr>
        <w:pStyle w:val="ParaNumbering"/>
        <w:numPr>
          <w:ilvl w:val="0"/>
          <w:numId w:val="0"/>
        </w:numPr>
        <w:ind w:hanging="720"/>
      </w:pPr>
      <w:r>
        <w:rPr>
          <w:sz w:val="20"/>
        </w:rPr>
        <w:t>196</w:t>
      </w:r>
      <w:r>
        <w:rPr>
          <w:sz w:val="20"/>
        </w:rPr>
        <w:tab/>
      </w:r>
      <w:r w:rsidR="00AD77CE">
        <w:t>First, t</w:t>
      </w:r>
      <w:r w:rsidR="00D64EF8">
        <w:t xml:space="preserve">he Commissioner </w:t>
      </w:r>
      <w:r w:rsidR="0072027B">
        <w:t xml:space="preserve">and the Liquidators </w:t>
      </w:r>
      <w:r w:rsidR="00D64EF8">
        <w:t>say</w:t>
      </w:r>
      <w:r w:rsidR="00F55521">
        <w:t xml:space="preserve"> </w:t>
      </w:r>
      <w:r w:rsidR="00D64EF8">
        <w:t xml:space="preserve">that </w:t>
      </w:r>
      <w:r w:rsidR="009A4060">
        <w:t xml:space="preserve">s 588FF(3) </w:t>
      </w:r>
      <w:r w:rsidR="006F4B6D">
        <w:t>identifies a beginning date, the relation</w:t>
      </w:r>
      <w:r w:rsidR="008B441C">
        <w:t>-</w:t>
      </w:r>
      <w:r w:rsidR="006F4B6D">
        <w:t>back day, and an end date</w:t>
      </w:r>
      <w:r w:rsidR="003F4757">
        <w:t>.  However</w:t>
      </w:r>
      <w:r w:rsidR="00FF3F37">
        <w:t>, it</w:t>
      </w:r>
      <w:r w:rsidR="000E0CF0">
        <w:t xml:space="preserve"> says nothing</w:t>
      </w:r>
      <w:r w:rsidR="00175D57">
        <w:t xml:space="preserve"> about how time is calculated within</w:t>
      </w:r>
      <w:r w:rsidR="00EF5235">
        <w:t xml:space="preserve"> that period and is </w:t>
      </w:r>
      <w:r w:rsidR="00DE5F94">
        <w:t>silent</w:t>
      </w:r>
      <w:r w:rsidR="00EF5235">
        <w:t xml:space="preserve"> as to whether days can be disregarded.  </w:t>
      </w:r>
      <w:r w:rsidR="00FF3F37">
        <w:t>They</w:t>
      </w:r>
      <w:r w:rsidR="00EF5235">
        <w:t xml:space="preserve"> </w:t>
      </w:r>
      <w:r w:rsidR="00E65E29">
        <w:t>submit</w:t>
      </w:r>
      <w:r w:rsidR="00EF5235">
        <w:t xml:space="preserve"> that is significant because</w:t>
      </w:r>
      <w:r w:rsidR="00410F90">
        <w:t xml:space="preserve"> the language chosen by </w:t>
      </w:r>
      <w:r w:rsidR="006C49E4">
        <w:t>the legislature</w:t>
      </w:r>
      <w:r w:rsidR="00410F90">
        <w:t xml:space="preserve"> </w:t>
      </w:r>
      <w:r w:rsidR="00E65E29">
        <w:t xml:space="preserve">does not </w:t>
      </w:r>
      <w:r w:rsidR="00410F90">
        <w:t>exclude the potential for the period in s 588FF</w:t>
      </w:r>
      <w:r w:rsidR="00E65E29">
        <w:t>(</w:t>
      </w:r>
      <w:r w:rsidR="00410F90">
        <w:t>3)(a)</w:t>
      </w:r>
      <w:r w:rsidR="00E65E29">
        <w:t xml:space="preserve"> to be affected by an order as to how time is to be calculated</w:t>
      </w:r>
      <w:r w:rsidR="00DE5F94">
        <w:t xml:space="preserve"> within the period otherwise specified therein.  </w:t>
      </w:r>
      <w:r w:rsidR="005C30D9">
        <w:t xml:space="preserve">Put another way, the Commissioner </w:t>
      </w:r>
      <w:r w:rsidR="00906FBE">
        <w:t xml:space="preserve">and the Liquidators </w:t>
      </w:r>
      <w:r w:rsidR="005C30D9">
        <w:t xml:space="preserve">submit that </w:t>
      </w:r>
      <w:r w:rsidR="000D0AAB">
        <w:t xml:space="preserve">if there is a provision elsewhere in the Corporations Act that, on its proper </w:t>
      </w:r>
      <w:r w:rsidR="003C7A81">
        <w:t>construction in the circumstances it addresses, confers power on</w:t>
      </w:r>
      <w:r w:rsidR="00AD77CE">
        <w:t xml:space="preserve"> </w:t>
      </w:r>
      <w:r w:rsidR="003C7A81">
        <w:t xml:space="preserve">a court to disregard time, </w:t>
      </w:r>
      <w:r w:rsidR="00AD77CE">
        <w:t>there</w:t>
      </w:r>
      <w:r w:rsidR="003C7A81">
        <w:t xml:space="preserve"> is nothing in s </w:t>
      </w:r>
      <w:r w:rsidR="00AD77CE">
        <w:t>588FF(3) that prevents such an order fr</w:t>
      </w:r>
      <w:r w:rsidR="00D70166">
        <w:t>o</w:t>
      </w:r>
      <w:r w:rsidR="00AD77CE">
        <w:t>m operating.</w:t>
      </w:r>
    </w:p>
    <w:p w14:paraId="4465472D" w14:textId="1B42A613" w:rsidR="00F91315" w:rsidRDefault="00D313AC" w:rsidP="00D313AC">
      <w:pPr>
        <w:pStyle w:val="ParaNumbering"/>
        <w:numPr>
          <w:ilvl w:val="0"/>
          <w:numId w:val="0"/>
        </w:numPr>
        <w:ind w:hanging="720"/>
      </w:pPr>
      <w:r>
        <w:rPr>
          <w:sz w:val="20"/>
        </w:rPr>
        <w:t>197</w:t>
      </w:r>
      <w:r>
        <w:rPr>
          <w:sz w:val="20"/>
        </w:rPr>
        <w:tab/>
      </w:r>
      <w:r w:rsidR="00AD77CE">
        <w:t xml:space="preserve">Secondly, the Commissioner </w:t>
      </w:r>
      <w:r w:rsidR="00906FBE">
        <w:t xml:space="preserve">and the Liquidators </w:t>
      </w:r>
      <w:r w:rsidR="00AD77CE">
        <w:t>submit that</w:t>
      </w:r>
      <w:r w:rsidR="00946009">
        <w:t xml:space="preserve"> s 588FF(3)(b) provides an </w:t>
      </w:r>
      <w:r w:rsidR="00AD77CE">
        <w:t>a</w:t>
      </w:r>
      <w:r w:rsidR="00FF64D3">
        <w:t>l</w:t>
      </w:r>
      <w:r w:rsidR="00AD77CE">
        <w:t>t</w:t>
      </w:r>
      <w:r w:rsidR="00FF64D3">
        <w:t>e</w:t>
      </w:r>
      <w:r w:rsidR="00AD77CE">
        <w:t>rnative pathway</w:t>
      </w:r>
      <w:r w:rsidR="00B10301">
        <w:t xml:space="preserve">.  Having regard to </w:t>
      </w:r>
      <w:r w:rsidR="00F324DD">
        <w:t>its</w:t>
      </w:r>
      <w:r w:rsidR="00B10301">
        <w:t xml:space="preserve"> language</w:t>
      </w:r>
      <w:r w:rsidR="00F324DD">
        <w:t>,</w:t>
      </w:r>
      <w:r w:rsidR="007334BE">
        <w:t xml:space="preserve"> they</w:t>
      </w:r>
      <w:r w:rsidR="00B10301">
        <w:t xml:space="preserve"> submit that </w:t>
      </w:r>
      <w:r w:rsidR="007334BE">
        <w:t xml:space="preserve">s 588FF(3)(b) </w:t>
      </w:r>
      <w:r w:rsidR="00B10301">
        <w:t xml:space="preserve">only deals with </w:t>
      </w:r>
      <w:r w:rsidR="00D3091B">
        <w:t>the</w:t>
      </w:r>
      <w:r w:rsidR="00B10301">
        <w:t xml:space="preserve"> concept of </w:t>
      </w:r>
      <w:r w:rsidR="00AD72B3">
        <w:t>enlarging</w:t>
      </w:r>
      <w:r w:rsidR="00E12662">
        <w:t xml:space="preserve"> </w:t>
      </w:r>
      <w:r w:rsidR="0069533E">
        <w:t xml:space="preserve">or extending </w:t>
      </w:r>
      <w:r w:rsidR="00E12662">
        <w:t>time</w:t>
      </w:r>
      <w:r w:rsidR="00E867FE">
        <w:t>,</w:t>
      </w:r>
      <w:r w:rsidR="00E12662">
        <w:t xml:space="preserve"> but says nothing about </w:t>
      </w:r>
      <w:r w:rsidR="00AD72B3">
        <w:t xml:space="preserve">how </w:t>
      </w:r>
      <w:r w:rsidR="00E12662">
        <w:t xml:space="preserve">time is calculated </w:t>
      </w:r>
      <w:r w:rsidR="00AD72B3">
        <w:t>or</w:t>
      </w:r>
      <w:r w:rsidR="00E12662">
        <w:t xml:space="preserve"> </w:t>
      </w:r>
      <w:r w:rsidR="00AD72B3">
        <w:t>about</w:t>
      </w:r>
      <w:r w:rsidR="00E12662">
        <w:t xml:space="preserve"> whether</w:t>
      </w:r>
      <w:r w:rsidR="00AD72B3">
        <w:t xml:space="preserve"> or why</w:t>
      </w:r>
      <w:r w:rsidR="00E12662">
        <w:t xml:space="preserve"> time might be disregarded</w:t>
      </w:r>
      <w:r w:rsidR="00460822">
        <w:t xml:space="preserve">.  </w:t>
      </w:r>
      <w:r w:rsidR="00D025AF">
        <w:t>Subsection (3)(b) is expressly concerned with circumstance</w:t>
      </w:r>
      <w:r w:rsidR="00D33D8B">
        <w:t>s</w:t>
      </w:r>
      <w:r w:rsidR="00D025AF">
        <w:t xml:space="preserve"> where a liquidator wishes to seek an extension of time and thus </w:t>
      </w:r>
      <w:r w:rsidR="00D025AF" w:rsidRPr="00DA1210">
        <w:rPr>
          <w:i/>
          <w:iCs/>
        </w:rPr>
        <w:t>postpone</w:t>
      </w:r>
      <w:r w:rsidR="00D025AF">
        <w:t xml:space="preserve"> the limitation date for any voidable transaction </w:t>
      </w:r>
      <w:r w:rsidR="00D33D8B">
        <w:t xml:space="preserve">claims.  </w:t>
      </w:r>
      <w:r w:rsidR="00460822">
        <w:t xml:space="preserve">Subsection (3)(b) also says nothing about </w:t>
      </w:r>
      <w:r w:rsidR="007A7A77">
        <w:t xml:space="preserve">the circumstances </w:t>
      </w:r>
      <w:r w:rsidR="002516C0">
        <w:t>in</w:t>
      </w:r>
      <w:r w:rsidR="007A7A77">
        <w:t xml:space="preserve"> which a court might be entitled to make an order</w:t>
      </w:r>
      <w:r w:rsidR="00D3091B">
        <w:t>,</w:t>
      </w:r>
      <w:r w:rsidR="007A7A77">
        <w:t xml:space="preserve"> supported by another provision </w:t>
      </w:r>
      <w:r w:rsidR="002516C0">
        <w:t>in</w:t>
      </w:r>
      <w:r w:rsidR="007A7A77">
        <w:t xml:space="preserve"> the </w:t>
      </w:r>
      <w:r w:rsidR="002516C0">
        <w:t>Corporations</w:t>
      </w:r>
      <w:r w:rsidR="007A7A77">
        <w:t xml:space="preserve"> Act</w:t>
      </w:r>
      <w:r w:rsidR="002516C0">
        <w:t xml:space="preserve">, about disregarding time or reckoning time.  </w:t>
      </w:r>
      <w:r w:rsidR="004A231D">
        <w:t xml:space="preserve">Rather, s 588FF(3) is concerned only with the time within which a voidable transaction claim must be brought.  </w:t>
      </w:r>
      <w:r w:rsidR="00F91315">
        <w:t xml:space="preserve">The </w:t>
      </w:r>
      <w:r w:rsidR="0004707D">
        <w:t>Commissioner</w:t>
      </w:r>
      <w:r w:rsidR="00F91315">
        <w:t xml:space="preserve"> </w:t>
      </w:r>
      <w:r w:rsidR="00AA7775">
        <w:t xml:space="preserve">and the Liquidators </w:t>
      </w:r>
      <w:r w:rsidR="00F91315">
        <w:t xml:space="preserve">submit that Order 3 of the </w:t>
      </w:r>
      <w:r w:rsidR="0004707D">
        <w:t>Reinstatement</w:t>
      </w:r>
      <w:r w:rsidR="00F91315">
        <w:t xml:space="preserve"> Orders </w:t>
      </w:r>
      <w:r w:rsidR="00701C1D">
        <w:t>does not engage the terms of s 588FF(3)(b)</w:t>
      </w:r>
      <w:r w:rsidR="002B0929">
        <w:t xml:space="preserve"> and </w:t>
      </w:r>
      <w:r w:rsidR="00FB01B7">
        <w:t xml:space="preserve">further that the question </w:t>
      </w:r>
      <w:r w:rsidR="002725AB">
        <w:t>of</w:t>
      </w:r>
      <w:r w:rsidR="00FB01B7">
        <w:t xml:space="preserve"> whether the </w:t>
      </w:r>
      <w:r w:rsidR="000228AB">
        <w:t>C</w:t>
      </w:r>
      <w:r w:rsidR="00FB01B7">
        <w:t xml:space="preserve">ourt had </w:t>
      </w:r>
      <w:r w:rsidR="009F22C1">
        <w:t>power</w:t>
      </w:r>
      <w:r w:rsidR="00FB01B7">
        <w:t xml:space="preserve"> to make Order 3 </w:t>
      </w:r>
      <w:r w:rsidR="00F370F8">
        <w:t xml:space="preserve">is not answered by focussing on the practical effect of the order.  </w:t>
      </w:r>
    </w:p>
    <w:p w14:paraId="444E6B3C" w14:textId="4FE83B95" w:rsidR="002725AB" w:rsidRDefault="00D313AC" w:rsidP="00D313AC">
      <w:pPr>
        <w:pStyle w:val="ParaNumbering"/>
        <w:numPr>
          <w:ilvl w:val="0"/>
          <w:numId w:val="0"/>
        </w:numPr>
        <w:ind w:hanging="720"/>
      </w:pPr>
      <w:r>
        <w:rPr>
          <w:sz w:val="20"/>
        </w:rPr>
        <w:t>198</w:t>
      </w:r>
      <w:r>
        <w:rPr>
          <w:sz w:val="20"/>
        </w:rPr>
        <w:tab/>
      </w:r>
      <w:r w:rsidR="00FC75BA">
        <w:t>T</w:t>
      </w:r>
      <w:r w:rsidR="002725AB">
        <w:t xml:space="preserve">o </w:t>
      </w:r>
      <w:r w:rsidR="00E14196">
        <w:t>address</w:t>
      </w:r>
      <w:r w:rsidR="002725AB">
        <w:t xml:space="preserve"> these submissions and those recorded at [</w:t>
      </w:r>
      <w:r w:rsidR="008964E6">
        <w:fldChar w:fldCharType="begin"/>
      </w:r>
      <w:r w:rsidR="008964E6">
        <w:instrText xml:space="preserve"> REF _Ref157678691 \r \h </w:instrText>
      </w:r>
      <w:r w:rsidR="008964E6">
        <w:fldChar w:fldCharType="separate"/>
      </w:r>
      <w:r w:rsidR="002B21FE">
        <w:t>160</w:t>
      </w:r>
      <w:r w:rsidR="008964E6">
        <w:fldChar w:fldCharType="end"/>
      </w:r>
      <w:r w:rsidR="002725AB">
        <w:t>]-[</w:t>
      </w:r>
      <w:r w:rsidR="008964E6">
        <w:fldChar w:fldCharType="begin"/>
      </w:r>
      <w:r w:rsidR="008964E6">
        <w:instrText xml:space="preserve"> REF _Ref157678698 \r \h </w:instrText>
      </w:r>
      <w:r w:rsidR="008964E6">
        <w:fldChar w:fldCharType="separate"/>
      </w:r>
      <w:r w:rsidR="002B21FE">
        <w:t>173</w:t>
      </w:r>
      <w:r w:rsidR="008964E6">
        <w:fldChar w:fldCharType="end"/>
      </w:r>
      <w:r w:rsidR="00DD2FC4">
        <w:t>]</w:t>
      </w:r>
      <w:r w:rsidR="002725AB">
        <w:t xml:space="preserve"> above, it is </w:t>
      </w:r>
      <w:r w:rsidR="00EE2714">
        <w:t xml:space="preserve">next </w:t>
      </w:r>
      <w:r w:rsidR="002725AB">
        <w:t xml:space="preserve">necessary to </w:t>
      </w:r>
      <w:r w:rsidR="00DD2FC4">
        <w:t>consider the language of the relevant sections,</w:t>
      </w:r>
      <w:r w:rsidR="00515188">
        <w:t xml:space="preserve"> </w:t>
      </w:r>
      <w:r w:rsidR="00DD2FC4">
        <w:t xml:space="preserve">as the </w:t>
      </w:r>
      <w:r w:rsidR="00515188">
        <w:t>Commissioner</w:t>
      </w:r>
      <w:r w:rsidR="00DD2FC4">
        <w:t xml:space="preserve"> </w:t>
      </w:r>
      <w:r w:rsidR="00EF7D1F">
        <w:t xml:space="preserve">and the Liquidators </w:t>
      </w:r>
      <w:r w:rsidR="00DD2FC4">
        <w:t xml:space="preserve">urge, </w:t>
      </w:r>
      <w:r w:rsidR="00FC75BA">
        <w:t>having regard to</w:t>
      </w:r>
      <w:r w:rsidR="00515188">
        <w:t xml:space="preserve"> the applicable principles of statutory construction.  </w:t>
      </w:r>
    </w:p>
    <w:p w14:paraId="6B341FB7" w14:textId="0EF108B8" w:rsidR="009A01D4" w:rsidRDefault="00D313AC" w:rsidP="00D313AC">
      <w:pPr>
        <w:pStyle w:val="ParaNumbering"/>
        <w:numPr>
          <w:ilvl w:val="0"/>
          <w:numId w:val="0"/>
        </w:numPr>
        <w:ind w:hanging="720"/>
      </w:pPr>
      <w:r>
        <w:rPr>
          <w:sz w:val="20"/>
        </w:rPr>
        <w:t>199</w:t>
      </w:r>
      <w:r>
        <w:rPr>
          <w:sz w:val="20"/>
        </w:rPr>
        <w:tab/>
      </w:r>
      <w:r w:rsidR="009A01D4">
        <w:t xml:space="preserve">As to the latter </w:t>
      </w:r>
      <w:r w:rsidR="005D5338">
        <w:t>t</w:t>
      </w:r>
      <w:r w:rsidR="005D5338" w:rsidRPr="005D5338">
        <w:t xml:space="preserve">he starting point for the ascertainment of the meaning of a statutory provision is the text of the statute whilst, at the same time, regard is </w:t>
      </w:r>
      <w:proofErr w:type="spellStart"/>
      <w:r w:rsidR="005D5338" w:rsidRPr="005D5338">
        <w:t>had</w:t>
      </w:r>
      <w:proofErr w:type="spellEnd"/>
      <w:r w:rsidR="005D5338" w:rsidRPr="005D5338">
        <w:t xml:space="preserve"> to its context and purpose</w:t>
      </w:r>
      <w:r w:rsidR="004C0174">
        <w:t xml:space="preserve">: see </w:t>
      </w:r>
      <w:r w:rsidR="004C0174">
        <w:rPr>
          <w:i/>
          <w:iCs/>
        </w:rPr>
        <w:t xml:space="preserve">SZTAL v Minister for Immigration </w:t>
      </w:r>
      <w:r w:rsidR="0009424A">
        <w:rPr>
          <w:i/>
          <w:iCs/>
        </w:rPr>
        <w:t xml:space="preserve">and Border Protection </w:t>
      </w:r>
      <w:r w:rsidR="00D562F8">
        <w:t>(2017) 262 CLR 362 at [</w:t>
      </w:r>
      <w:r w:rsidR="00E50F61">
        <w:t xml:space="preserve">14].  </w:t>
      </w:r>
      <w:r w:rsidR="000331FB">
        <w:t xml:space="preserve">The </w:t>
      </w:r>
      <w:r w:rsidR="000331FB">
        <w:lastRenderedPageBreak/>
        <w:t xml:space="preserve">parties referred to </w:t>
      </w:r>
      <w:r w:rsidR="000331FB" w:rsidRPr="00BE5598">
        <w:rPr>
          <w:i/>
          <w:iCs/>
        </w:rPr>
        <w:t xml:space="preserve">Project Blue Sky </w:t>
      </w:r>
      <w:r w:rsidR="000331FB">
        <w:t>at [69</w:t>
      </w:r>
      <w:r w:rsidR="00BE5598">
        <w:t>]</w:t>
      </w:r>
      <w:r w:rsidR="000331FB">
        <w:t>-[71] where McHugh, Gummow, Kirby and Hayne</w:t>
      </w:r>
      <w:r w:rsidR="000705F2">
        <w:t> </w:t>
      </w:r>
      <w:r w:rsidR="000331FB">
        <w:t>J</w:t>
      </w:r>
      <w:r w:rsidR="00BE5598">
        <w:t>J</w:t>
      </w:r>
      <w:r w:rsidR="000331FB">
        <w:t xml:space="preserve"> said:</w:t>
      </w:r>
    </w:p>
    <w:p w14:paraId="3423C687" w14:textId="11CF0C13" w:rsidR="002A4150" w:rsidRDefault="002A4150" w:rsidP="002A4150">
      <w:pPr>
        <w:pStyle w:val="Quote1"/>
        <w:ind w:left="1440" w:hanging="703"/>
      </w:pPr>
      <w:r>
        <w:t>69</w:t>
      </w:r>
      <w:r>
        <w:tab/>
        <w:t xml:space="preserve">The primary object of statutory construction is to construe the relevant provision so that it is consistent with the language and purpose of all the provisions of the statute. The meaning of the provision must be determined </w:t>
      </w:r>
      <w:r w:rsidR="0066653B">
        <w:t>“</w:t>
      </w:r>
      <w:r>
        <w:t>by reference to the language of the instrument viewed as a whole</w:t>
      </w:r>
      <w:r w:rsidR="0066653B">
        <w:t>”</w:t>
      </w:r>
      <w:r>
        <w:t xml:space="preserve">. In </w:t>
      </w:r>
      <w:r w:rsidRPr="002A4150">
        <w:rPr>
          <w:i/>
          <w:iCs/>
        </w:rPr>
        <w:t>Commissioner for Railways (NSW) v Agalianos</w:t>
      </w:r>
      <w:r>
        <w:t xml:space="preserve">, Dixon CJ pointed out that </w:t>
      </w:r>
      <w:r w:rsidR="0066653B">
        <w:t>“</w:t>
      </w:r>
      <w:r>
        <w:t>the context, the general purpose and policy of a provision and its consistency and fairness are surer guides to its meaning than the logic with which it is constructed</w:t>
      </w:r>
      <w:r w:rsidR="0066653B">
        <w:t>”</w:t>
      </w:r>
      <w:r>
        <w:t>. Thus, the process of construction must always begin by examining the context of the provision that is being construed.</w:t>
      </w:r>
    </w:p>
    <w:p w14:paraId="0391143D" w14:textId="26C65B66" w:rsidR="00EC597D" w:rsidRDefault="002A4150" w:rsidP="009D21D4">
      <w:pPr>
        <w:pStyle w:val="Quote1"/>
        <w:ind w:left="1440" w:hanging="703"/>
      </w:pPr>
      <w:r>
        <w:t>70</w:t>
      </w:r>
      <w:r>
        <w:tab/>
        <w:t xml:space="preserve">A legislative instrument must be construed on the prima facie basis </w:t>
      </w:r>
      <w:r w:rsidR="009D21D4">
        <w:t xml:space="preserve">that its provisions are intended to give effect to harmonious goals. Where conflict appears to arise from the language of particular provisions, the conflict must be alleviated, so far as possible, by adjusting the meaning of the competing provisions to achieve that result which will best give effect to the purpose and language of those provisions while maintaining the unity of all the statutory provisions. Reconciling conflicting provisions will often require the court </w:t>
      </w:r>
      <w:r w:rsidR="00571E64">
        <w:t>“</w:t>
      </w:r>
      <w:r w:rsidR="009D21D4">
        <w:t>to determine which is the leading provision and which the subordinate provision, and which must give way to the other</w:t>
      </w:r>
      <w:r w:rsidR="00571E64">
        <w:t>”</w:t>
      </w:r>
      <w:r w:rsidR="009D21D4">
        <w:t>. Only by determining the hierarchy of the provisions will it be possible in many cases to give each provision the meaning which best gives effect to its purpose and language while maintaining the unity of the statutory scheme.</w:t>
      </w:r>
    </w:p>
    <w:p w14:paraId="2251A53C" w14:textId="1B5DA1AE" w:rsidR="009D21D4" w:rsidRDefault="00D46612" w:rsidP="00D46612">
      <w:pPr>
        <w:pStyle w:val="Quote1"/>
        <w:ind w:left="1440" w:hanging="703"/>
      </w:pPr>
      <w:r>
        <w:t>71</w:t>
      </w:r>
      <w:r>
        <w:tab/>
        <w:t xml:space="preserve">Furthermore, a court construing a statutory provision must strive to give meaning to every word of the provision. In </w:t>
      </w:r>
      <w:r w:rsidRPr="00D46612">
        <w:rPr>
          <w:i/>
          <w:iCs/>
        </w:rPr>
        <w:t>The Commonwealth v Baume</w:t>
      </w:r>
      <w:r>
        <w:t xml:space="preserve"> Griffith CJ cited </w:t>
      </w:r>
      <w:r w:rsidRPr="00D46612">
        <w:rPr>
          <w:i/>
          <w:iCs/>
        </w:rPr>
        <w:t xml:space="preserve">R v </w:t>
      </w:r>
      <w:proofErr w:type="spellStart"/>
      <w:r w:rsidRPr="00D46612">
        <w:rPr>
          <w:i/>
          <w:iCs/>
        </w:rPr>
        <w:t>Berchet</w:t>
      </w:r>
      <w:proofErr w:type="spellEnd"/>
      <w:r>
        <w:t xml:space="preserve"> to support the proposition that it was </w:t>
      </w:r>
      <w:r w:rsidR="00331859">
        <w:t>“</w:t>
      </w:r>
      <w:r>
        <w:t>a known rule in the interpretation of Statutes that such a sense is to be made upon the whole as that no clause,</w:t>
      </w:r>
      <w:r w:rsidR="007910B0">
        <w:t xml:space="preserve"> </w:t>
      </w:r>
      <w:r>
        <w:t>sentence, or word shall prove superfluous, void, or insignificant, if by any other construction they may all be made useful and pertinent</w:t>
      </w:r>
      <w:r w:rsidR="00331859">
        <w:t>”</w:t>
      </w:r>
      <w:r>
        <w:t xml:space="preserve">. </w:t>
      </w:r>
    </w:p>
    <w:p w14:paraId="0638BCDD" w14:textId="721A5C78" w:rsidR="00174A6F" w:rsidRDefault="00174A6F" w:rsidP="00174A6F">
      <w:pPr>
        <w:pStyle w:val="BodyText"/>
      </w:pPr>
      <w:r>
        <w:tab/>
        <w:t>(Footnotes omitted.)</w:t>
      </w:r>
    </w:p>
    <w:p w14:paraId="45E200E9" w14:textId="0193675D" w:rsidR="00014FEB" w:rsidRDefault="00D313AC" w:rsidP="00D313AC">
      <w:pPr>
        <w:pStyle w:val="ParaNumbering"/>
        <w:numPr>
          <w:ilvl w:val="0"/>
          <w:numId w:val="0"/>
        </w:numPr>
        <w:ind w:hanging="720"/>
      </w:pPr>
      <w:r>
        <w:rPr>
          <w:sz w:val="20"/>
        </w:rPr>
        <w:t>200</w:t>
      </w:r>
      <w:r>
        <w:rPr>
          <w:sz w:val="20"/>
        </w:rPr>
        <w:tab/>
      </w:r>
      <w:r w:rsidR="006D68A0">
        <w:t>Also relevant is the principle set out in</w:t>
      </w:r>
      <w:r w:rsidR="00622F1D">
        <w:t xml:space="preserve"> </w:t>
      </w:r>
      <w:r w:rsidR="00622F1D" w:rsidRPr="00014FEB">
        <w:rPr>
          <w:i/>
          <w:iCs/>
        </w:rPr>
        <w:t>Anthony Hordern</w:t>
      </w:r>
      <w:r w:rsidR="00285C42" w:rsidRPr="00014FEB">
        <w:rPr>
          <w:i/>
          <w:iCs/>
        </w:rPr>
        <w:t xml:space="preserve"> </w:t>
      </w:r>
      <w:r w:rsidR="00E514BE">
        <w:t>at 7</w:t>
      </w:r>
      <w:r w:rsidR="0021487D">
        <w:t xml:space="preserve"> (see [</w:t>
      </w:r>
      <w:r w:rsidR="0093343D">
        <w:fldChar w:fldCharType="begin"/>
      </w:r>
      <w:r w:rsidR="0093343D">
        <w:instrText xml:space="preserve"> REF _Ref157678504 \r \h </w:instrText>
      </w:r>
      <w:r w:rsidR="0093343D">
        <w:fldChar w:fldCharType="separate"/>
      </w:r>
      <w:r w:rsidR="002B21FE">
        <w:t>162</w:t>
      </w:r>
      <w:r w:rsidR="0093343D">
        <w:fldChar w:fldCharType="end"/>
      </w:r>
      <w:r w:rsidR="0021487D">
        <w:t>] above)</w:t>
      </w:r>
      <w:r w:rsidR="00014FEB">
        <w:t xml:space="preserve">. </w:t>
      </w:r>
    </w:p>
    <w:p w14:paraId="0A56EBFA" w14:textId="169231F6" w:rsidR="00506A35" w:rsidRDefault="00D313AC" w:rsidP="00D313AC">
      <w:pPr>
        <w:pStyle w:val="ParaNumbering"/>
        <w:numPr>
          <w:ilvl w:val="0"/>
          <w:numId w:val="0"/>
        </w:numPr>
        <w:ind w:hanging="720"/>
      </w:pPr>
      <w:r>
        <w:rPr>
          <w:sz w:val="20"/>
        </w:rPr>
        <w:t>201</w:t>
      </w:r>
      <w:r>
        <w:rPr>
          <w:sz w:val="20"/>
        </w:rPr>
        <w:tab/>
      </w:r>
      <w:r w:rsidR="00506A35">
        <w:t xml:space="preserve">In </w:t>
      </w:r>
      <w:r w:rsidR="00506A35" w:rsidRPr="00F71613">
        <w:rPr>
          <w:b/>
          <w:bCs/>
          <w:i/>
          <w:iCs/>
        </w:rPr>
        <w:t>Plaintiff M70</w:t>
      </w:r>
      <w:r w:rsidR="00924834">
        <w:rPr>
          <w:i/>
          <w:iCs/>
        </w:rPr>
        <w:t xml:space="preserve">/2011 v </w:t>
      </w:r>
      <w:r w:rsidR="00F71613">
        <w:rPr>
          <w:i/>
          <w:iCs/>
        </w:rPr>
        <w:t xml:space="preserve">Minister for Immigration and Citizenship </w:t>
      </w:r>
      <w:r w:rsidR="00F71613">
        <w:t>(2011)</w:t>
      </w:r>
      <w:r w:rsidR="0022545D">
        <w:rPr>
          <w:i/>
          <w:iCs/>
        </w:rPr>
        <w:t xml:space="preserve"> </w:t>
      </w:r>
      <w:r w:rsidR="0022545D">
        <w:t>244 CLR 144 at [84]</w:t>
      </w:r>
      <w:r w:rsidR="00CC2D08">
        <w:t xml:space="preserve">, </w:t>
      </w:r>
      <w:r w:rsidR="00026CEF">
        <w:t xml:space="preserve">in considering an argument made </w:t>
      </w:r>
      <w:r w:rsidR="00585B68">
        <w:t xml:space="preserve">by the plaintiffs </w:t>
      </w:r>
      <w:r w:rsidR="00026CEF">
        <w:t xml:space="preserve">in </w:t>
      </w:r>
      <w:r w:rsidR="00585B68">
        <w:t>that</w:t>
      </w:r>
      <w:r w:rsidR="00026CEF">
        <w:t xml:space="preserve"> case about </w:t>
      </w:r>
      <w:r w:rsidR="00585B68">
        <w:t xml:space="preserve">the power in the </w:t>
      </w:r>
      <w:r w:rsidR="00585B68" w:rsidRPr="00026CEF">
        <w:rPr>
          <w:i/>
          <w:iCs/>
        </w:rPr>
        <w:t>Migration Act 1958</w:t>
      </w:r>
      <w:r w:rsidR="00585B68">
        <w:t xml:space="preserve"> (</w:t>
      </w:r>
      <w:proofErr w:type="spellStart"/>
      <w:r w:rsidR="00585B68">
        <w:t>Cth</w:t>
      </w:r>
      <w:proofErr w:type="spellEnd"/>
      <w:r w:rsidR="00585B68">
        <w:t>) that could be engaged to remove them from Australia</w:t>
      </w:r>
      <w:r w:rsidR="009E77A5">
        <w:t>,</w:t>
      </w:r>
      <w:r w:rsidR="00585B68">
        <w:t xml:space="preserve"> </w:t>
      </w:r>
      <w:r w:rsidR="0022545D">
        <w:t xml:space="preserve">Gummow, Hayne, Crennan and Bell JJ referred to the </w:t>
      </w:r>
      <w:r w:rsidR="00DF3F25">
        <w:t xml:space="preserve">principle of statutory construction </w:t>
      </w:r>
      <w:r w:rsidR="00C71C5D">
        <w:t xml:space="preserve">in </w:t>
      </w:r>
      <w:r w:rsidR="00DF3F25">
        <w:rPr>
          <w:i/>
          <w:iCs/>
        </w:rPr>
        <w:t>Anthony</w:t>
      </w:r>
      <w:r w:rsidR="00F64DA7">
        <w:rPr>
          <w:i/>
          <w:iCs/>
        </w:rPr>
        <w:t> </w:t>
      </w:r>
      <w:r w:rsidR="00DF3F25">
        <w:rPr>
          <w:i/>
          <w:iCs/>
        </w:rPr>
        <w:t xml:space="preserve">Hordern </w:t>
      </w:r>
      <w:r w:rsidR="00DF3F25">
        <w:t>and continued:</w:t>
      </w:r>
    </w:p>
    <w:p w14:paraId="50CBA4EA" w14:textId="1CF05100" w:rsidR="00DF3F25" w:rsidRDefault="005B52DD" w:rsidP="00C96968">
      <w:pPr>
        <w:pStyle w:val="Quote1"/>
        <w:spacing w:after="360"/>
      </w:pPr>
      <w:r>
        <w:t xml:space="preserve">As was explained in </w:t>
      </w:r>
      <w:r w:rsidRPr="005B52DD">
        <w:rPr>
          <w:i/>
          <w:iCs/>
        </w:rPr>
        <w:t>Minister for Immigration and Multicultural and Indigenous Affairs v Nystrom</w:t>
      </w:r>
      <w:r>
        <w:t xml:space="preserve">, the relevant principle of construction has been identified by using a number of different terms. These have included whether the two powers are the “same power” or are with respect to the “same matter”, or whether the general power encroaches upon the same subject matter exhaustively governed by the special power. But </w:t>
      </w:r>
      <w:r w:rsidR="006D0FF0">
        <w:t xml:space="preserve">the central question is whether “the statute in question confers only one power to take the relevant action, necessitating the confinement of the generality of another </w:t>
      </w:r>
      <w:r w:rsidR="006D0FF0">
        <w:lastRenderedPageBreak/>
        <w:t xml:space="preserve">apparently applicable power by reference to the restrictions in the former power”. </w:t>
      </w:r>
    </w:p>
    <w:p w14:paraId="4637947F" w14:textId="6AB75704" w:rsidR="006D6E7A" w:rsidRDefault="00D313AC" w:rsidP="00D313AC">
      <w:pPr>
        <w:pStyle w:val="ParaNumbering"/>
        <w:numPr>
          <w:ilvl w:val="0"/>
          <w:numId w:val="0"/>
        </w:numPr>
        <w:ind w:hanging="720"/>
      </w:pPr>
      <w:r>
        <w:rPr>
          <w:sz w:val="20"/>
        </w:rPr>
        <w:t>202</w:t>
      </w:r>
      <w:r>
        <w:rPr>
          <w:sz w:val="20"/>
        </w:rPr>
        <w:tab/>
      </w:r>
      <w:r w:rsidR="0014253E">
        <w:t>Taken at face value t</w:t>
      </w:r>
      <w:r w:rsidR="002E7084">
        <w:t xml:space="preserve">he </w:t>
      </w:r>
      <w:r w:rsidR="0020402B">
        <w:t>Commissioner’s</w:t>
      </w:r>
      <w:r w:rsidR="00FF1656">
        <w:t xml:space="preserve"> and the Liquidators’</w:t>
      </w:r>
      <w:r w:rsidR="0020402B">
        <w:t xml:space="preserve"> submissions </w:t>
      </w:r>
      <w:r w:rsidR="0014253E">
        <w:t>have some attraction</w:t>
      </w:r>
      <w:r w:rsidR="008B5AC2">
        <w:t xml:space="preserve">, particularly given the </w:t>
      </w:r>
      <w:r w:rsidR="005D3A3F">
        <w:t xml:space="preserve">relevant </w:t>
      </w:r>
      <w:r w:rsidR="008B5AC2">
        <w:t>facts</w:t>
      </w:r>
      <w:r w:rsidR="005D3A3F">
        <w:t>,</w:t>
      </w:r>
      <w:r w:rsidR="008B5AC2">
        <w:t xml:space="preserve"> </w:t>
      </w:r>
      <w:r w:rsidR="00515D5F">
        <w:t xml:space="preserve">which </w:t>
      </w:r>
      <w:r w:rsidR="00752F4D">
        <w:t>the</w:t>
      </w:r>
      <w:r w:rsidR="00515D5F">
        <w:t xml:space="preserve"> Commissioner sought to emphasise</w:t>
      </w:r>
      <w:r w:rsidR="0014253E">
        <w:t xml:space="preserve">.  However, </w:t>
      </w:r>
      <w:r w:rsidR="00752F4D">
        <w:t xml:space="preserve">upon a considered </w:t>
      </w:r>
      <w:r w:rsidR="006D6E7A">
        <w:t>examination</w:t>
      </w:r>
      <w:r w:rsidR="007B578D">
        <w:t xml:space="preserve"> </w:t>
      </w:r>
      <w:r w:rsidR="006D6E7A">
        <w:t xml:space="preserve">and, </w:t>
      </w:r>
      <w:r w:rsidR="007B578D">
        <w:t>having regard to the text and context of the two statutory provisions in pl</w:t>
      </w:r>
      <w:r w:rsidR="006D6E7A">
        <w:t>a</w:t>
      </w:r>
      <w:r w:rsidR="007B578D">
        <w:t xml:space="preserve">y and the </w:t>
      </w:r>
      <w:r w:rsidR="006D6E7A">
        <w:t>decisions</w:t>
      </w:r>
      <w:r w:rsidR="007B578D">
        <w:t xml:space="preserve"> </w:t>
      </w:r>
      <w:r w:rsidR="006D6E7A">
        <w:t>summarised at [</w:t>
      </w:r>
      <w:r w:rsidR="001B40B0">
        <w:fldChar w:fldCharType="begin"/>
      </w:r>
      <w:r w:rsidR="001B40B0">
        <w:instrText xml:space="preserve"> REF _Ref157678827 \r \h </w:instrText>
      </w:r>
      <w:r w:rsidR="001B40B0">
        <w:fldChar w:fldCharType="separate"/>
      </w:r>
      <w:r w:rsidR="002B21FE">
        <w:t>176</w:t>
      </w:r>
      <w:r w:rsidR="001B40B0">
        <w:fldChar w:fldCharType="end"/>
      </w:r>
      <w:r w:rsidR="006D6E7A">
        <w:t>]-[</w:t>
      </w:r>
      <w:r w:rsidR="001B40B0">
        <w:fldChar w:fldCharType="begin"/>
      </w:r>
      <w:r w:rsidR="001B40B0">
        <w:instrText xml:space="preserve"> REF _Ref157001856 \r \h </w:instrText>
      </w:r>
      <w:r w:rsidR="001B40B0">
        <w:fldChar w:fldCharType="separate"/>
      </w:r>
      <w:r w:rsidR="002B21FE">
        <w:t>193</w:t>
      </w:r>
      <w:r w:rsidR="001B40B0">
        <w:fldChar w:fldCharType="end"/>
      </w:r>
      <w:r w:rsidR="006D6E7A">
        <w:t>] above</w:t>
      </w:r>
      <w:r w:rsidR="00A07E2D">
        <w:t>,</w:t>
      </w:r>
      <w:r w:rsidR="006D6E7A">
        <w:t xml:space="preserve"> they must be rejected.  That is for the following reasons.</w:t>
      </w:r>
    </w:p>
    <w:p w14:paraId="3480F7CA" w14:textId="629E372B" w:rsidR="0024575F" w:rsidRDefault="00D313AC" w:rsidP="00D313AC">
      <w:pPr>
        <w:pStyle w:val="ParaNumbering"/>
        <w:numPr>
          <w:ilvl w:val="0"/>
          <w:numId w:val="0"/>
        </w:numPr>
        <w:ind w:hanging="720"/>
      </w:pPr>
      <w:r>
        <w:rPr>
          <w:sz w:val="20"/>
        </w:rPr>
        <w:t>203</w:t>
      </w:r>
      <w:r>
        <w:rPr>
          <w:sz w:val="20"/>
        </w:rPr>
        <w:tab/>
      </w:r>
      <w:r w:rsidR="00C10070">
        <w:t xml:space="preserve">The two sections in issue are s 588FF(3) </w:t>
      </w:r>
      <w:r w:rsidR="0024575F">
        <w:t xml:space="preserve">and s 601AH(3)(d) </w:t>
      </w:r>
      <w:r w:rsidR="00C10070">
        <w:t xml:space="preserve">of the Corporations Act.  </w:t>
      </w:r>
    </w:p>
    <w:p w14:paraId="47D26A8C" w14:textId="12946974" w:rsidR="004E144B" w:rsidRDefault="00D313AC" w:rsidP="00D313AC">
      <w:pPr>
        <w:pStyle w:val="ParaNumbering"/>
        <w:numPr>
          <w:ilvl w:val="0"/>
          <w:numId w:val="0"/>
        </w:numPr>
        <w:ind w:hanging="720"/>
      </w:pPr>
      <w:r>
        <w:rPr>
          <w:sz w:val="20"/>
        </w:rPr>
        <w:t>204</w:t>
      </w:r>
      <w:r>
        <w:rPr>
          <w:sz w:val="20"/>
        </w:rPr>
        <w:tab/>
      </w:r>
      <w:r w:rsidR="00883662">
        <w:t>Section 588FF</w:t>
      </w:r>
      <w:r w:rsidR="0024575F">
        <w:t>(3)</w:t>
      </w:r>
      <w:r w:rsidR="00883662">
        <w:t xml:space="preserve"> </w:t>
      </w:r>
      <w:r w:rsidR="007D0227">
        <w:t xml:space="preserve">of the Corporations Act </w:t>
      </w:r>
      <w:r w:rsidR="00883662">
        <w:t xml:space="preserve">is a specific provision which dictates </w:t>
      </w:r>
      <w:r w:rsidR="0024575F">
        <w:t>the time in which a liquidator may bring an application under s 588FF(1)</w:t>
      </w:r>
      <w:r w:rsidR="00827FB9">
        <w:t xml:space="preserve">.  Namely, </w:t>
      </w:r>
      <w:r w:rsidR="00E336B8">
        <w:t xml:space="preserve">during the period beginning on the relation-back day and </w:t>
      </w:r>
      <w:r w:rsidR="005C2EE8">
        <w:t xml:space="preserve">ending on the later of: </w:t>
      </w:r>
      <w:r w:rsidR="000733B2">
        <w:t xml:space="preserve">(a) </w:t>
      </w:r>
      <w:r w:rsidR="005C2EE8">
        <w:t xml:space="preserve">three </w:t>
      </w:r>
      <w:r w:rsidR="00E336B8">
        <w:t>years after the relation-back day</w:t>
      </w:r>
      <w:r w:rsidR="005C2EE8">
        <w:t>;</w:t>
      </w:r>
      <w:r w:rsidR="00E336B8">
        <w:t xml:space="preserve"> or 12 months after the first appointment of a liquidator in relation to the winding up of the company;</w:t>
      </w:r>
      <w:r w:rsidR="005C2EE8">
        <w:t xml:space="preserve"> or</w:t>
      </w:r>
      <w:r w:rsidR="000733B2">
        <w:t xml:space="preserve"> (b) within such longer period as the Court orders on an application made by the liquidator during </w:t>
      </w:r>
      <w:r w:rsidR="007E2249">
        <w:t xml:space="preserve">the </w:t>
      </w:r>
      <w:r w:rsidR="000733B2">
        <w:t>period in (a)</w:t>
      </w:r>
      <w:r w:rsidR="009534AA">
        <w:t xml:space="preserve">.  True it is that s 588FF does not </w:t>
      </w:r>
      <w:r w:rsidR="002D33C9">
        <w:t xml:space="preserve">address how time is to be calculated between the </w:t>
      </w:r>
      <w:r w:rsidR="007B0E87">
        <w:t>relation</w:t>
      </w:r>
      <w:r w:rsidR="000B0CD1">
        <w:t>-</w:t>
      </w:r>
      <w:r w:rsidR="007B0E87">
        <w:t xml:space="preserve">back day and </w:t>
      </w:r>
      <w:r w:rsidR="00910F47">
        <w:t xml:space="preserve">the </w:t>
      </w:r>
      <w:r w:rsidR="007B0E87">
        <w:t xml:space="preserve">alternate </w:t>
      </w:r>
      <w:r w:rsidR="00910F47">
        <w:t xml:space="preserve">specified </w:t>
      </w:r>
      <w:r w:rsidR="007B0E87">
        <w:t xml:space="preserve">end dates within which any application under s 588FF(1) is to be made.  </w:t>
      </w:r>
      <w:r w:rsidR="001F3D71">
        <w:t>H</w:t>
      </w:r>
      <w:r w:rsidR="007B0E87">
        <w:t xml:space="preserve">owever, it does not follow that </w:t>
      </w:r>
      <w:r w:rsidR="001B71B5">
        <w:t xml:space="preserve">by another </w:t>
      </w:r>
      <w:r w:rsidR="001639B4">
        <w:t>route,</w:t>
      </w:r>
      <w:r w:rsidR="001B71B5">
        <w:t xml:space="preserve"> or the application of a different provision</w:t>
      </w:r>
      <w:r w:rsidR="00FF0C56">
        <w:t>,</w:t>
      </w:r>
      <w:r w:rsidR="001B71B5">
        <w:t xml:space="preserve"> time can be enlarged</w:t>
      </w:r>
      <w:r w:rsidR="004E144B">
        <w:t xml:space="preserve"> or extended other than in accordance with the method prescribed by s 588FF(3)(b) of the Corporations Act.</w:t>
      </w:r>
    </w:p>
    <w:p w14:paraId="75FBA2AF" w14:textId="5F24671B" w:rsidR="00E336B8" w:rsidRDefault="00D313AC" w:rsidP="00D313AC">
      <w:pPr>
        <w:pStyle w:val="ParaNumbering"/>
        <w:numPr>
          <w:ilvl w:val="0"/>
          <w:numId w:val="0"/>
        </w:numPr>
        <w:ind w:hanging="720"/>
      </w:pPr>
      <w:r>
        <w:rPr>
          <w:sz w:val="20"/>
        </w:rPr>
        <w:t>205</w:t>
      </w:r>
      <w:r>
        <w:rPr>
          <w:sz w:val="20"/>
        </w:rPr>
        <w:tab/>
      </w:r>
      <w:r w:rsidR="00484E20">
        <w:t>As set out at [</w:t>
      </w:r>
      <w:r w:rsidR="0023237D">
        <w:fldChar w:fldCharType="begin"/>
      </w:r>
      <w:r w:rsidR="0023237D">
        <w:instrText xml:space="preserve"> REF _Ref157678864 \r \h </w:instrText>
      </w:r>
      <w:r w:rsidR="0023237D">
        <w:fldChar w:fldCharType="separate"/>
      </w:r>
      <w:r w:rsidR="002B21FE">
        <w:t>182</w:t>
      </w:r>
      <w:r w:rsidR="0023237D">
        <w:fldChar w:fldCharType="end"/>
      </w:r>
      <w:r w:rsidR="00C2026F">
        <w:t>]</w:t>
      </w:r>
      <w:r w:rsidR="00484E20">
        <w:t xml:space="preserve"> above in </w:t>
      </w:r>
      <w:r w:rsidR="00484E20">
        <w:rPr>
          <w:i/>
          <w:iCs/>
        </w:rPr>
        <w:t>Gran</w:t>
      </w:r>
      <w:r w:rsidR="00A33676">
        <w:rPr>
          <w:i/>
          <w:iCs/>
        </w:rPr>
        <w:t>t</w:t>
      </w:r>
      <w:r w:rsidR="00484E20">
        <w:rPr>
          <w:i/>
          <w:iCs/>
        </w:rPr>
        <w:t xml:space="preserve"> Samuel</w:t>
      </w:r>
      <w:r w:rsidR="00484E20">
        <w:t xml:space="preserve">, in the context of an attempt to use court rules to amend an order made under s 588FF(3)(b) by extending its </w:t>
      </w:r>
      <w:r w:rsidR="00743B04">
        <w:t>operation</w:t>
      </w:r>
      <w:r w:rsidR="00484E20">
        <w:t xml:space="preserve"> after the </w:t>
      </w:r>
      <w:r w:rsidR="00743B04">
        <w:t>period</w:t>
      </w:r>
      <w:r w:rsidR="00484E20">
        <w:t xml:space="preserve"> in s 588F</w:t>
      </w:r>
      <w:r w:rsidR="00795843">
        <w:t>F</w:t>
      </w:r>
      <w:r w:rsidR="00484E20">
        <w:t xml:space="preserve">(3)(a) </w:t>
      </w:r>
      <w:r w:rsidR="00743B04">
        <w:t>had</w:t>
      </w:r>
      <w:r w:rsidR="00484E20">
        <w:t xml:space="preserve"> expired, </w:t>
      </w:r>
      <w:r w:rsidR="002B000B">
        <w:t xml:space="preserve">the High Court </w:t>
      </w:r>
      <w:r w:rsidR="00743B04">
        <w:t>held</w:t>
      </w:r>
      <w:r w:rsidR="002B000B">
        <w:t xml:space="preserve"> that </w:t>
      </w:r>
      <w:r w:rsidR="003B6626">
        <w:t xml:space="preserve">the </w:t>
      </w:r>
      <w:r w:rsidR="002B000B">
        <w:t>term “</w:t>
      </w:r>
      <w:r w:rsidR="00743B04">
        <w:t>may</w:t>
      </w:r>
      <w:r w:rsidR="002B000B">
        <w:t xml:space="preserve"> only” in s 588FF</w:t>
      </w:r>
      <w:r w:rsidR="00743B04">
        <w:t>(</w:t>
      </w:r>
      <w:r w:rsidR="002B000B">
        <w:t>3)</w:t>
      </w:r>
      <w:r w:rsidR="00743B04">
        <w:t xml:space="preserve"> had the effect of defining the jurisdiction of the court by imposing a requirement as to time as an essential condition </w:t>
      </w:r>
      <w:r w:rsidR="0030613E">
        <w:t>of the right under s 588</w:t>
      </w:r>
      <w:r w:rsidR="00472D0B">
        <w:t>FF</w:t>
      </w:r>
      <w:r w:rsidR="0030613E">
        <w:t>(1</w:t>
      </w:r>
      <w:r w:rsidR="00472D0B">
        <w:t>)</w:t>
      </w:r>
      <w:r w:rsidR="0030613E">
        <w:t xml:space="preserve"> to bring proceedings. </w:t>
      </w:r>
      <w:r w:rsidR="00013F73">
        <w:t xml:space="preserve"> </w:t>
      </w:r>
      <w:r w:rsidR="00C2026F">
        <w:t>As the High Court said “</w:t>
      </w:r>
      <w:r w:rsidR="00242285">
        <w:t>[</w:t>
      </w:r>
      <w:r w:rsidR="00C2026F">
        <w:t>a</w:t>
      </w:r>
      <w:r w:rsidR="00242285">
        <w:t>]</w:t>
      </w:r>
      <w:r w:rsidR="00C2026F">
        <w:t xml:space="preserve">n element of that right is that it must be exercised within the time specified”.  </w:t>
      </w:r>
      <w:r w:rsidR="00013F73">
        <w:t xml:space="preserve">In other words, s 588FF </w:t>
      </w:r>
      <w:r w:rsidR="00B153AC">
        <w:t>establishes</w:t>
      </w:r>
      <w:r w:rsidR="00013F73">
        <w:t xml:space="preserve"> a </w:t>
      </w:r>
      <w:r w:rsidR="00B153AC">
        <w:t>statutory scheme as to how and when a proceeding for relief under s 588FF(1) of the Corporations Act can be commenced</w:t>
      </w:r>
      <w:r w:rsidR="00C36CAB">
        <w:t>.</w:t>
      </w:r>
    </w:p>
    <w:p w14:paraId="373F5E3E" w14:textId="245800D3" w:rsidR="00C2026F" w:rsidRDefault="00D313AC" w:rsidP="00D313AC">
      <w:pPr>
        <w:pStyle w:val="ParaNumbering"/>
        <w:numPr>
          <w:ilvl w:val="0"/>
          <w:numId w:val="0"/>
        </w:numPr>
        <w:ind w:hanging="720"/>
      </w:pPr>
      <w:r>
        <w:rPr>
          <w:sz w:val="20"/>
        </w:rPr>
        <w:t>206</w:t>
      </w:r>
      <w:r>
        <w:rPr>
          <w:sz w:val="20"/>
        </w:rPr>
        <w:tab/>
      </w:r>
      <w:r w:rsidR="00C2026F">
        <w:t>Section 601AH</w:t>
      </w:r>
      <w:r w:rsidR="00C0337E">
        <w:t>(3)(d)</w:t>
      </w:r>
      <w:r w:rsidR="00C2026F">
        <w:t xml:space="preserve"> </w:t>
      </w:r>
      <w:r w:rsidR="000B00CA">
        <w:t xml:space="preserve">of the Corporations Act </w:t>
      </w:r>
      <w:r w:rsidR="00C2026F">
        <w:t>is a provision of general application.  It empowers the Court</w:t>
      </w:r>
      <w:r w:rsidR="00A03C7F">
        <w:t>,</w:t>
      </w:r>
      <w:r w:rsidR="00C2026F">
        <w:t xml:space="preserve"> </w:t>
      </w:r>
      <w:r w:rsidR="00D124F9">
        <w:t>where it makes an order reinstating the registration of a company</w:t>
      </w:r>
      <w:r w:rsidR="00A03C7F">
        <w:t>,</w:t>
      </w:r>
      <w:r w:rsidR="00D124F9">
        <w:t xml:space="preserve"> to “make any order it considers appropriate”.  </w:t>
      </w:r>
      <w:r w:rsidR="00C0337E">
        <w:t xml:space="preserve">What is </w:t>
      </w:r>
      <w:r w:rsidR="004332B9">
        <w:t>appropriate</w:t>
      </w:r>
      <w:r w:rsidR="00C0337E">
        <w:t xml:space="preserve"> will </w:t>
      </w:r>
      <w:r w:rsidR="004332B9">
        <w:t>depend</w:t>
      </w:r>
      <w:r w:rsidR="00C0337E">
        <w:t xml:space="preserve"> on the circumstances of each case.  But</w:t>
      </w:r>
      <w:r w:rsidR="004332B9">
        <w:t xml:space="preserve"> that general provision cannot, in my view, override the explicit power in s 588FF(3) of the Corporations Act.  </w:t>
      </w:r>
    </w:p>
    <w:p w14:paraId="1329A4AC" w14:textId="57E91859" w:rsidR="00761260" w:rsidRDefault="00D313AC" w:rsidP="00D313AC">
      <w:pPr>
        <w:pStyle w:val="ParaNumbering"/>
        <w:numPr>
          <w:ilvl w:val="0"/>
          <w:numId w:val="0"/>
        </w:numPr>
        <w:ind w:hanging="720"/>
      </w:pPr>
      <w:r>
        <w:rPr>
          <w:sz w:val="20"/>
        </w:rPr>
        <w:lastRenderedPageBreak/>
        <w:t>207</w:t>
      </w:r>
      <w:r>
        <w:rPr>
          <w:sz w:val="20"/>
        </w:rPr>
        <w:tab/>
      </w:r>
      <w:r w:rsidR="00A03C7F">
        <w:t>Contrary to the Commissioner’s</w:t>
      </w:r>
      <w:r w:rsidR="00856940">
        <w:t xml:space="preserve"> and the Liquidators’</w:t>
      </w:r>
      <w:r w:rsidR="00A03C7F">
        <w:t xml:space="preserve"> submissions, </w:t>
      </w:r>
      <w:r w:rsidR="00A136DC">
        <w:t>the</w:t>
      </w:r>
      <w:r w:rsidR="00E57815">
        <w:t xml:space="preserve"> two powers </w:t>
      </w:r>
      <w:r w:rsidR="00A136DC">
        <w:t>are with respect to the same matter</w:t>
      </w:r>
      <w:r w:rsidR="00E56EDD">
        <w:t xml:space="preserve">.  </w:t>
      </w:r>
      <w:r w:rsidR="00761260">
        <w:t xml:space="preserve">To adopt the characterisation in </w:t>
      </w:r>
      <w:r w:rsidR="00761260" w:rsidRPr="004E4E9E">
        <w:rPr>
          <w:i/>
          <w:iCs/>
        </w:rPr>
        <w:t>Plaintiff M70</w:t>
      </w:r>
      <w:r w:rsidR="00761260">
        <w:rPr>
          <w:i/>
          <w:iCs/>
        </w:rPr>
        <w:t xml:space="preserve"> </w:t>
      </w:r>
      <w:r w:rsidR="00761260">
        <w:t xml:space="preserve">at [84], the Corporations Act “confers only one power to take the relevant action”, namely to extend the time in which to bring a proceeding under s 588FF(1), “necessitating the confinement of the generality of another apparently applicable power”, s 601AH(3)(d), “by reference to the restrictions in” s 588FF(3).  </w:t>
      </w:r>
    </w:p>
    <w:p w14:paraId="56614675" w14:textId="20C2454B" w:rsidR="003649CD" w:rsidRDefault="00D313AC" w:rsidP="00D313AC">
      <w:pPr>
        <w:pStyle w:val="ParaNumbering"/>
        <w:numPr>
          <w:ilvl w:val="0"/>
          <w:numId w:val="0"/>
        </w:numPr>
        <w:ind w:hanging="720"/>
      </w:pPr>
      <w:r>
        <w:rPr>
          <w:sz w:val="20"/>
        </w:rPr>
        <w:t>208</w:t>
      </w:r>
      <w:r>
        <w:rPr>
          <w:sz w:val="20"/>
        </w:rPr>
        <w:tab/>
      </w:r>
      <w:r w:rsidR="00DB375C">
        <w:t>T</w:t>
      </w:r>
      <w:r w:rsidR="00E56EDD">
        <w:t xml:space="preserve">he Commissioner </w:t>
      </w:r>
      <w:r w:rsidR="00CB28B0">
        <w:t xml:space="preserve">and </w:t>
      </w:r>
      <w:r w:rsidR="00973234">
        <w:t xml:space="preserve">the </w:t>
      </w:r>
      <w:r w:rsidR="00CB28B0">
        <w:t xml:space="preserve">Liquidators </w:t>
      </w:r>
      <w:r w:rsidR="00E56EDD">
        <w:t>attempt to characterise Order 3</w:t>
      </w:r>
      <w:r w:rsidR="00DB375C">
        <w:t xml:space="preserve"> of the Reinstatement Orders</w:t>
      </w:r>
      <w:r w:rsidR="00E56EDD">
        <w:t xml:space="preserve">, made pursuant to the power in s 601AH(3)(d) of the Corporations Act, as one which goes only </w:t>
      </w:r>
      <w:r w:rsidR="00DB375C">
        <w:t>to</w:t>
      </w:r>
      <w:r w:rsidR="00E56EDD">
        <w:t xml:space="preserve"> the method of calculating time</w:t>
      </w:r>
      <w:r w:rsidR="008D5399">
        <w:t xml:space="preserve"> </w:t>
      </w:r>
      <w:r w:rsidR="008B39E6">
        <w:t xml:space="preserve">because </w:t>
      </w:r>
      <w:r w:rsidR="008D5399">
        <w:t>it merely suspends</w:t>
      </w:r>
      <w:r w:rsidR="002B3A01">
        <w:t>,</w:t>
      </w:r>
      <w:r w:rsidR="008D5399">
        <w:t xml:space="preserve"> </w:t>
      </w:r>
      <w:r w:rsidR="008B39E6">
        <w:t xml:space="preserve">or directs </w:t>
      </w:r>
      <w:r w:rsidR="00CF7115">
        <w:t xml:space="preserve">those affected by the Order to </w:t>
      </w:r>
      <w:r w:rsidR="002949DE">
        <w:t>exclude,</w:t>
      </w:r>
      <w:r w:rsidR="00CF7115">
        <w:t xml:space="preserve"> </w:t>
      </w:r>
      <w:r w:rsidR="008D5399">
        <w:t xml:space="preserve">the period between deregistration </w:t>
      </w:r>
      <w:r w:rsidR="009540E7">
        <w:t>and</w:t>
      </w:r>
      <w:r w:rsidR="008D5399">
        <w:t xml:space="preserve"> </w:t>
      </w:r>
      <w:r w:rsidR="009540E7">
        <w:t>reinstatement</w:t>
      </w:r>
      <w:r w:rsidR="008D5399">
        <w:t xml:space="preserve"> of the registration of the relevant companies </w:t>
      </w:r>
      <w:r w:rsidR="009540E7">
        <w:t>from the period in s 588FF(3)(a)(</w:t>
      </w:r>
      <w:proofErr w:type="spellStart"/>
      <w:r w:rsidR="009540E7">
        <w:t>i</w:t>
      </w:r>
      <w:proofErr w:type="spellEnd"/>
      <w:r w:rsidR="009540E7">
        <w:t xml:space="preserve">).  </w:t>
      </w:r>
      <w:r w:rsidR="004E0C67">
        <w:t xml:space="preserve">Order 3 is </w:t>
      </w:r>
      <w:r w:rsidR="009C5916">
        <w:t>ancillary to reinstatement</w:t>
      </w:r>
      <w:r w:rsidR="008037ED">
        <w:t xml:space="preserve"> </w:t>
      </w:r>
      <w:r w:rsidR="001275A1">
        <w:t xml:space="preserve">of </w:t>
      </w:r>
      <w:r w:rsidR="008037ED">
        <w:t xml:space="preserve">the </w:t>
      </w:r>
      <w:r w:rsidR="00914C88">
        <w:t xml:space="preserve">deregistered </w:t>
      </w:r>
      <w:r w:rsidR="008037ED">
        <w:t>companies, such that upon reinstatement, the new liquidators are given the power and time to exercise a power that would only be available during the period in which the company exists and the liquidator is in office</w:t>
      </w:r>
      <w:r w:rsidR="004E0C67">
        <w:t xml:space="preserve">.  </w:t>
      </w:r>
      <w:r w:rsidR="00EF02FB">
        <w:t xml:space="preserve">As </w:t>
      </w:r>
      <w:r w:rsidR="00F24A98">
        <w:t>s</w:t>
      </w:r>
      <w:r w:rsidR="00CB28B0">
        <w:t xml:space="preserve">et </w:t>
      </w:r>
      <w:r w:rsidR="003649CD">
        <w:t>out</w:t>
      </w:r>
      <w:r w:rsidR="00F24A98">
        <w:t xml:space="preserve"> above</w:t>
      </w:r>
      <w:r w:rsidR="00EF02FB">
        <w:t xml:space="preserve">, the Commissioner and the Liquidators </w:t>
      </w:r>
      <w:r w:rsidR="00857DF9">
        <w:t>highlight that</w:t>
      </w:r>
      <w:r w:rsidR="00A041DE">
        <w:t xml:space="preserve"> </w:t>
      </w:r>
      <w:r w:rsidR="00857DF9">
        <w:t xml:space="preserve">s 588FF(3)(b) does not </w:t>
      </w:r>
      <w:r w:rsidR="00A041DE">
        <w:t xml:space="preserve">address the subject matter in s 601AH(3)(d), that is, it does not </w:t>
      </w:r>
      <w:r w:rsidR="00857DF9">
        <w:t xml:space="preserve">confer power to make a calculation of time order nor does it confer power to disregard time.  </w:t>
      </w:r>
    </w:p>
    <w:p w14:paraId="2AC46493" w14:textId="434DA1A1" w:rsidR="00A03C7F" w:rsidRDefault="00D313AC" w:rsidP="00D313AC">
      <w:pPr>
        <w:pStyle w:val="ParaNumbering"/>
        <w:numPr>
          <w:ilvl w:val="0"/>
          <w:numId w:val="0"/>
        </w:numPr>
        <w:ind w:hanging="720"/>
      </w:pPr>
      <w:bookmarkStart w:id="46" w:name="_Ref157678608"/>
      <w:r>
        <w:rPr>
          <w:sz w:val="20"/>
        </w:rPr>
        <w:t>209</w:t>
      </w:r>
      <w:r>
        <w:rPr>
          <w:sz w:val="20"/>
        </w:rPr>
        <w:tab/>
      </w:r>
      <w:r w:rsidR="007C0D91">
        <w:t>B</w:t>
      </w:r>
      <w:r w:rsidR="009540E7">
        <w:t>ut t</w:t>
      </w:r>
      <w:r w:rsidR="007C0D91">
        <w:t>o</w:t>
      </w:r>
      <w:r w:rsidR="009540E7">
        <w:t xml:space="preserve"> characteris</w:t>
      </w:r>
      <w:r w:rsidR="007C0D91">
        <w:t xml:space="preserve">e Order 3 in </w:t>
      </w:r>
      <w:r w:rsidR="00F211E2">
        <w:t>that</w:t>
      </w:r>
      <w:r w:rsidR="007C0D91">
        <w:t xml:space="preserve"> way is to ignore its true </w:t>
      </w:r>
      <w:r w:rsidR="006B317A">
        <w:t>operation</w:t>
      </w:r>
      <w:r w:rsidR="007C0D91">
        <w:t xml:space="preserve">. </w:t>
      </w:r>
      <w:r w:rsidR="00D9541C">
        <w:t xml:space="preserve"> </w:t>
      </w:r>
      <w:r w:rsidR="00F31D4A">
        <w:t xml:space="preserve">As </w:t>
      </w:r>
      <w:r w:rsidR="00F02417">
        <w:t>the Applicants submit</w:t>
      </w:r>
      <w:r w:rsidR="000E56B5">
        <w:t xml:space="preserve">ted, the Commissioner’s and the Liquidators’ analysis incorrectly commences by </w:t>
      </w:r>
      <w:r w:rsidR="00D213A0">
        <w:t>reference to the deregistered companies</w:t>
      </w:r>
      <w:r w:rsidR="00E15874">
        <w:t xml:space="preserve"> the subject of the Reinstatement Orders</w:t>
      </w:r>
      <w:r w:rsidR="00D213A0">
        <w:t xml:space="preserve">.  </w:t>
      </w:r>
      <w:r w:rsidR="00E7300A">
        <w:t>However</w:t>
      </w:r>
      <w:r w:rsidR="00D213A0">
        <w:t xml:space="preserve">, the correct analysis is </w:t>
      </w:r>
      <w:r w:rsidR="000F1BD6">
        <w:t xml:space="preserve">to </w:t>
      </w:r>
      <w:r w:rsidR="00A17A95">
        <w:t>ask</w:t>
      </w:r>
      <w:r w:rsidR="009545C4">
        <w:t>,</w:t>
      </w:r>
      <w:r w:rsidR="00A17A95">
        <w:t xml:space="preserve"> with </w:t>
      </w:r>
      <w:r w:rsidR="00D213A0">
        <w:t>reference to the context</w:t>
      </w:r>
      <w:r w:rsidR="008C7710">
        <w:t xml:space="preserve">, </w:t>
      </w:r>
      <w:r w:rsidR="00A17A95">
        <w:t xml:space="preserve">what is </w:t>
      </w:r>
      <w:r w:rsidR="00D213A0">
        <w:t xml:space="preserve">the purpose </w:t>
      </w:r>
      <w:r w:rsidR="000F1BD6">
        <w:t>of</w:t>
      </w:r>
      <w:r w:rsidR="00D213A0">
        <w:t xml:space="preserve"> Order 3</w:t>
      </w:r>
      <w:r w:rsidR="00A17A95">
        <w:t>?</w:t>
      </w:r>
      <w:r w:rsidR="00252F55">
        <w:t xml:space="preserve">  The Applicants submit, and I accept, that </w:t>
      </w:r>
      <w:r w:rsidR="001415EA">
        <w:t xml:space="preserve">its </w:t>
      </w:r>
      <w:r w:rsidR="00252F55">
        <w:t xml:space="preserve">purpose is </w:t>
      </w:r>
      <w:r w:rsidR="003C0FE3">
        <w:t xml:space="preserve">to </w:t>
      </w:r>
      <w:r w:rsidR="00252F55">
        <w:t>ascertain the relevant</w:t>
      </w:r>
      <w:r w:rsidR="00E43F22">
        <w:t xml:space="preserve"> period in which a proceeding under s 588FF(1) can be brought.</w:t>
      </w:r>
      <w:r w:rsidR="00D213A0">
        <w:t xml:space="preserve">  </w:t>
      </w:r>
      <w:r w:rsidR="00E43F22">
        <w:t xml:space="preserve">Accordingly, </w:t>
      </w:r>
      <w:r w:rsidR="007C0D91">
        <w:t xml:space="preserve">Order 3 </w:t>
      </w:r>
      <w:r w:rsidR="0018543B">
        <w:t xml:space="preserve">is directly </w:t>
      </w:r>
      <w:r w:rsidR="002A3C25">
        <w:t>referrable</w:t>
      </w:r>
      <w:r w:rsidR="0018543B">
        <w:t xml:space="preserve"> to </w:t>
      </w:r>
      <w:r w:rsidR="005116EA">
        <w:t>s 588FF(3)</w:t>
      </w:r>
      <w:r w:rsidR="00F0770C">
        <w:t>(a)</w:t>
      </w:r>
      <w:r w:rsidR="005116EA">
        <w:t xml:space="preserve"> of the </w:t>
      </w:r>
      <w:r w:rsidR="006B317A">
        <w:t>Corporations</w:t>
      </w:r>
      <w:r w:rsidR="005116EA">
        <w:t xml:space="preserve"> Act.  It does not </w:t>
      </w:r>
      <w:r w:rsidR="006B317A">
        <w:t>merely</w:t>
      </w:r>
      <w:r w:rsidR="005116EA">
        <w:t xml:space="preserve"> go to the method of </w:t>
      </w:r>
      <w:r w:rsidR="006B317A">
        <w:t>calculation</w:t>
      </w:r>
      <w:r w:rsidR="005116EA">
        <w:t xml:space="preserve"> of time between the </w:t>
      </w:r>
      <w:r w:rsidR="00FC28FB">
        <w:t>two dates identified in s 588FF</w:t>
      </w:r>
      <w:r w:rsidR="00C83E32">
        <w:t>(</w:t>
      </w:r>
      <w:r w:rsidR="00FC28FB">
        <w:t>3)(a)(</w:t>
      </w:r>
      <w:proofErr w:type="spellStart"/>
      <w:r w:rsidR="00FC28FB">
        <w:t>i</w:t>
      </w:r>
      <w:proofErr w:type="spellEnd"/>
      <w:r w:rsidR="00FC28FB">
        <w:t>)</w:t>
      </w:r>
      <w:r w:rsidR="00C83E32">
        <w:t xml:space="preserve">.  </w:t>
      </w:r>
      <w:r w:rsidR="005D7CAB">
        <w:t>Rather,</w:t>
      </w:r>
      <w:r w:rsidR="00C83E32">
        <w:t xml:space="preserve"> it picks up the wording of s 588FF</w:t>
      </w:r>
      <w:r w:rsidR="002A3C25">
        <w:t>(3)</w:t>
      </w:r>
      <w:r w:rsidR="00C83E32">
        <w:t xml:space="preserve"> and </w:t>
      </w:r>
      <w:r w:rsidR="002A3C25">
        <w:t xml:space="preserve">extends the period within which a proceeding under s 588FF(1) of </w:t>
      </w:r>
      <w:r w:rsidR="00730320">
        <w:t>the</w:t>
      </w:r>
      <w:r w:rsidR="002A3C25">
        <w:t xml:space="preserve"> </w:t>
      </w:r>
      <w:r w:rsidR="00730320">
        <w:t>Corporations</w:t>
      </w:r>
      <w:r w:rsidR="002A3C25">
        <w:t xml:space="preserve"> Act can be brought </w:t>
      </w:r>
      <w:r w:rsidR="000F1DFE">
        <w:t xml:space="preserve">by a method which is other than </w:t>
      </w:r>
      <w:r w:rsidR="00730320">
        <w:t xml:space="preserve">that </w:t>
      </w:r>
      <w:r w:rsidR="000F1DFE">
        <w:t xml:space="preserve">prescribed by s 588FF(3)(b).  </w:t>
      </w:r>
      <w:r w:rsidR="00730320">
        <w:t>T</w:t>
      </w:r>
      <w:r w:rsidR="000F1DFE">
        <w:t>hat is</w:t>
      </w:r>
      <w:r w:rsidR="00730320">
        <w:t>,</w:t>
      </w:r>
      <w:r w:rsidR="000F1DFE">
        <w:t xml:space="preserve"> by </w:t>
      </w:r>
      <w:r w:rsidR="000552A5">
        <w:t>excluding fr</w:t>
      </w:r>
      <w:r w:rsidR="00730320">
        <w:t>o</w:t>
      </w:r>
      <w:r w:rsidR="000552A5">
        <w:t>m the period prescribed in s 588FF</w:t>
      </w:r>
      <w:r w:rsidR="001A3808">
        <w:t>(3</w:t>
      </w:r>
      <w:r w:rsidR="000552A5">
        <w:t xml:space="preserve">)(a) the time between </w:t>
      </w:r>
      <w:r w:rsidR="001A3808">
        <w:t>deregistration</w:t>
      </w:r>
      <w:r w:rsidR="000552A5">
        <w:t xml:space="preserve"> </w:t>
      </w:r>
      <w:r w:rsidR="001A3808">
        <w:t>and</w:t>
      </w:r>
      <w:r w:rsidR="000552A5">
        <w:t xml:space="preserve"> reinstatem</w:t>
      </w:r>
      <w:r w:rsidR="001A3808">
        <w:t>e</w:t>
      </w:r>
      <w:r w:rsidR="000552A5">
        <w:t>n</w:t>
      </w:r>
      <w:r w:rsidR="001A3808">
        <w:t>t</w:t>
      </w:r>
      <w:r w:rsidR="000552A5">
        <w:t xml:space="preserve"> of each of the companies the subject of the </w:t>
      </w:r>
      <w:r w:rsidR="001A3808">
        <w:t>Reinstatement</w:t>
      </w:r>
      <w:r w:rsidR="00FA3771">
        <w:t> </w:t>
      </w:r>
      <w:r w:rsidR="000552A5">
        <w:t>Orders.</w:t>
      </w:r>
      <w:bookmarkEnd w:id="46"/>
      <w:r w:rsidR="000552A5">
        <w:t xml:space="preserve">  </w:t>
      </w:r>
    </w:p>
    <w:p w14:paraId="758B7706" w14:textId="73DB68BA" w:rsidR="002E6C96" w:rsidRDefault="00D313AC" w:rsidP="00D313AC">
      <w:pPr>
        <w:pStyle w:val="ParaNumbering"/>
        <w:numPr>
          <w:ilvl w:val="0"/>
          <w:numId w:val="0"/>
        </w:numPr>
        <w:ind w:hanging="720"/>
      </w:pPr>
      <w:r>
        <w:rPr>
          <w:sz w:val="20"/>
        </w:rPr>
        <w:t>210</w:t>
      </w:r>
      <w:r>
        <w:rPr>
          <w:sz w:val="20"/>
        </w:rPr>
        <w:tab/>
      </w:r>
      <w:r w:rsidR="0096042F">
        <w:t xml:space="preserve">Turning to context, </w:t>
      </w:r>
      <w:r w:rsidR="001A2171">
        <w:t xml:space="preserve">relevantly </w:t>
      </w:r>
      <w:r w:rsidR="001A2171" w:rsidRPr="001A2171">
        <w:t>s</w:t>
      </w:r>
      <w:r w:rsidR="001A2171">
        <w:t xml:space="preserve"> 588FF is in </w:t>
      </w:r>
      <w:r w:rsidR="002543CC">
        <w:t xml:space="preserve">Pt 5.7B of the Corporations Act </w:t>
      </w:r>
      <w:r w:rsidR="00BA3747">
        <w:t xml:space="preserve">titled “Recovering property for the benefit of creditors of insolvent company”.  More </w:t>
      </w:r>
      <w:r w:rsidR="00DC220C">
        <w:t>particularly</w:t>
      </w:r>
      <w:r w:rsidR="00BA3747">
        <w:t xml:space="preserve"> it is in Div 2 of </w:t>
      </w:r>
      <w:r w:rsidR="00BA3747">
        <w:lastRenderedPageBreak/>
        <w:t xml:space="preserve">Pt 5.7B </w:t>
      </w:r>
      <w:r w:rsidR="00DC220C">
        <w:t>titled “</w:t>
      </w:r>
      <w:r w:rsidR="00247D0B">
        <w:t>V</w:t>
      </w:r>
      <w:r w:rsidR="00DC220C">
        <w:t xml:space="preserve">oidable transactions” </w:t>
      </w:r>
      <w:r w:rsidR="00BA3747">
        <w:t xml:space="preserve">which </w:t>
      </w:r>
      <w:r w:rsidR="00DC220C">
        <w:t>includes</w:t>
      </w:r>
      <w:r w:rsidR="003E143C">
        <w:t xml:space="preserve"> provisions </w:t>
      </w:r>
      <w:r w:rsidR="002543CC">
        <w:t>govern</w:t>
      </w:r>
      <w:r w:rsidR="003E143C">
        <w:t>ing</w:t>
      </w:r>
      <w:r w:rsidR="002543CC">
        <w:t xml:space="preserve"> the commencement of proceedings for orders under s 588FF</w:t>
      </w:r>
      <w:r w:rsidR="002E7628">
        <w:t xml:space="preserve">.  </w:t>
      </w:r>
      <w:r w:rsidR="002A591E">
        <w:t>T</w:t>
      </w:r>
      <w:r w:rsidR="00B929D3">
        <w:t xml:space="preserve">he </w:t>
      </w:r>
      <w:r w:rsidR="001E08AD">
        <w:t>scheme for</w:t>
      </w:r>
      <w:r w:rsidR="00E723BA">
        <w:t xml:space="preserve"> recovery of voidable transactions and s 588FF itself reflects </w:t>
      </w:r>
      <w:r w:rsidR="002543CC">
        <w:t xml:space="preserve">a deliberate choice by the legislature </w:t>
      </w:r>
      <w:r w:rsidR="00E723BA">
        <w:t xml:space="preserve">in relation to </w:t>
      </w:r>
      <w:r w:rsidR="00877A52">
        <w:t>the</w:t>
      </w:r>
      <w:r w:rsidR="002543CC">
        <w:t xml:space="preserve"> time </w:t>
      </w:r>
      <w:r w:rsidR="00877A52">
        <w:t xml:space="preserve">in which such a proceeding is to be brought by a liquidator.  </w:t>
      </w:r>
      <w:r w:rsidR="005E4D3F">
        <w:t>The scheme and s 5</w:t>
      </w:r>
      <w:r w:rsidR="002E6C96">
        <w:t xml:space="preserve">88FF itself </w:t>
      </w:r>
      <w:r w:rsidR="002543CC">
        <w:t xml:space="preserve">reflect a considered balance between the interests of companies and creditors, on the one hand, and putative defendants, on the other.  </w:t>
      </w:r>
      <w:r w:rsidR="002E6C96">
        <w:t xml:space="preserve">Relevantly s 588FF contains its own mechanism for </w:t>
      </w:r>
      <w:r w:rsidR="008779DB">
        <w:t xml:space="preserve">extending </w:t>
      </w:r>
      <w:r w:rsidR="002E6C96">
        <w:t xml:space="preserve">the limitation period in an appropriate case and is, in that sense, </w:t>
      </w:r>
      <w:r w:rsidR="00393774">
        <w:t>self-contained.</w:t>
      </w:r>
      <w:r w:rsidR="00DA1D83">
        <w:t xml:space="preserve">  </w:t>
      </w:r>
      <w:r w:rsidR="00072263">
        <w:t>As submitted by the App</w:t>
      </w:r>
      <w:r w:rsidR="004D49E7">
        <w:t>licants</w:t>
      </w:r>
      <w:r w:rsidR="00072263">
        <w:t xml:space="preserve">, the Court cannot change the jurisdictional requirements set by the legislature by </w:t>
      </w:r>
      <w:r w:rsidR="009149C5">
        <w:t xml:space="preserve">resorting to </w:t>
      </w:r>
      <w:r w:rsidR="00072263">
        <w:t xml:space="preserve">other powers.  </w:t>
      </w:r>
    </w:p>
    <w:p w14:paraId="18F97F1C" w14:textId="06D9FD69" w:rsidR="001E08AD" w:rsidRDefault="00D313AC" w:rsidP="00D313AC">
      <w:pPr>
        <w:pStyle w:val="ParaNumbering"/>
        <w:numPr>
          <w:ilvl w:val="0"/>
          <w:numId w:val="0"/>
        </w:numPr>
        <w:ind w:hanging="720"/>
      </w:pPr>
      <w:r>
        <w:rPr>
          <w:sz w:val="20"/>
        </w:rPr>
        <w:t>211</w:t>
      </w:r>
      <w:r>
        <w:rPr>
          <w:sz w:val="20"/>
        </w:rPr>
        <w:tab/>
      </w:r>
      <w:r w:rsidR="001E08AD">
        <w:t xml:space="preserve">As Spigelman CJ observed in </w:t>
      </w:r>
      <w:r w:rsidR="001E08AD">
        <w:rPr>
          <w:i/>
          <w:iCs/>
        </w:rPr>
        <w:t xml:space="preserve">BP Australia </w:t>
      </w:r>
      <w:r w:rsidR="00E85D3A">
        <w:t>at [11</w:t>
      </w:r>
      <w:r w:rsidR="00F23C1A">
        <w:t>5</w:t>
      </w:r>
      <w:r w:rsidR="00E85D3A">
        <w:t xml:space="preserve">] </w:t>
      </w:r>
      <w:r w:rsidR="00EF06B1">
        <w:t>(see [</w:t>
      </w:r>
      <w:r w:rsidR="00EF06B1">
        <w:fldChar w:fldCharType="begin"/>
      </w:r>
      <w:r w:rsidR="00EF06B1">
        <w:instrText xml:space="preserve"> REF _Ref157001856 \r \h </w:instrText>
      </w:r>
      <w:r w:rsidR="00EF06B1">
        <w:fldChar w:fldCharType="separate"/>
      </w:r>
      <w:r w:rsidR="002B21FE">
        <w:t>193</w:t>
      </w:r>
      <w:r w:rsidR="00EF06B1">
        <w:fldChar w:fldCharType="end"/>
      </w:r>
      <w:r w:rsidR="00EF06B1">
        <w:t xml:space="preserve">] above) </w:t>
      </w:r>
      <w:r w:rsidR="002C44C1">
        <w:t>the</w:t>
      </w:r>
      <w:r w:rsidR="00E71275">
        <w:t xml:space="preserve"> time limit in s 588FF</w:t>
      </w:r>
      <w:r w:rsidR="004559A6">
        <w:t>(3)</w:t>
      </w:r>
      <w:r w:rsidR="00E71275">
        <w:t xml:space="preserve"> </w:t>
      </w:r>
      <w:r w:rsidR="005E09DF">
        <w:t>serves</w:t>
      </w:r>
      <w:r w:rsidR="00E71275">
        <w:t xml:space="preserve"> </w:t>
      </w:r>
      <w:r w:rsidR="005E09DF">
        <w:t xml:space="preserve">a </w:t>
      </w:r>
      <w:r w:rsidR="00E71275">
        <w:t>purpose</w:t>
      </w:r>
      <w:r w:rsidR="009B5AF8">
        <w:t xml:space="preserve">. </w:t>
      </w:r>
      <w:r w:rsidR="008151F0">
        <w:t xml:space="preserve"> That is, a</w:t>
      </w:r>
      <w:r w:rsidR="00E71275">
        <w:t xml:space="preserve">t the end of the period of three years (or such further period as </w:t>
      </w:r>
      <w:r w:rsidR="00E82224">
        <w:t>ordered in accordance with the requirements of that subsection</w:t>
      </w:r>
      <w:r w:rsidR="005E09DF">
        <w:t>)</w:t>
      </w:r>
      <w:r w:rsidR="00E82224">
        <w:t xml:space="preserve"> a person who </w:t>
      </w:r>
      <w:r w:rsidR="005E09DF">
        <w:t>has</w:t>
      </w:r>
      <w:r w:rsidR="00E82224">
        <w:t xml:space="preserve"> received the benefit of a </w:t>
      </w:r>
      <w:r w:rsidR="005E09DF">
        <w:t>voidable</w:t>
      </w:r>
      <w:r w:rsidR="00E82224">
        <w:t xml:space="preserve"> transaction will know that he or she is </w:t>
      </w:r>
      <w:r w:rsidR="0014370E">
        <w:t xml:space="preserve">no longer at risk of having to surrender the moneys </w:t>
      </w:r>
      <w:r w:rsidR="00F327DC">
        <w:t>received.  As his Honour somewha</w:t>
      </w:r>
      <w:r w:rsidR="000E787D">
        <w:t>t</w:t>
      </w:r>
      <w:r w:rsidR="00F327DC">
        <w:t xml:space="preserve"> colourfully observed at [113] </w:t>
      </w:r>
      <w:r w:rsidR="00574E7F">
        <w:t>there</w:t>
      </w:r>
      <w:r w:rsidR="002C44C1">
        <w:t xml:space="preserve"> is a public policy against the “disinterring of corporate corpses</w:t>
      </w:r>
      <w:r w:rsidR="00574E7F">
        <w:t>” and commercial life must at some stage “rule off the past</w:t>
      </w:r>
      <w:r w:rsidR="005E09DF">
        <w:t xml:space="preserve">” and focus on the future.  </w:t>
      </w:r>
    </w:p>
    <w:p w14:paraId="31ABA510" w14:textId="098D253B" w:rsidR="003A2E57" w:rsidRDefault="00D313AC" w:rsidP="00D313AC">
      <w:pPr>
        <w:pStyle w:val="ParaNumbering"/>
        <w:numPr>
          <w:ilvl w:val="0"/>
          <w:numId w:val="0"/>
        </w:numPr>
        <w:ind w:hanging="720"/>
      </w:pPr>
      <w:r>
        <w:rPr>
          <w:sz w:val="20"/>
        </w:rPr>
        <w:t>212</w:t>
      </w:r>
      <w:r>
        <w:rPr>
          <w:sz w:val="20"/>
        </w:rPr>
        <w:tab/>
      </w:r>
      <w:r w:rsidR="00676E5D">
        <w:t xml:space="preserve">Section 601AH(3)(d) </w:t>
      </w:r>
      <w:r w:rsidR="00046585">
        <w:t xml:space="preserve">of the Corporations Act </w:t>
      </w:r>
      <w:r w:rsidR="00070EEA">
        <w:t>empowers a court</w:t>
      </w:r>
      <w:r w:rsidR="0043597B">
        <w:t xml:space="preserve">, upon reinstatement of a company, to make any order it considers appropriate.  </w:t>
      </w:r>
      <w:r w:rsidR="003A2E57">
        <w:t xml:space="preserve">In </w:t>
      </w:r>
      <w:r w:rsidR="003A2E57">
        <w:rPr>
          <w:i/>
          <w:iCs/>
        </w:rPr>
        <w:t xml:space="preserve">Re Bele &amp; Co Pty Ltd </w:t>
      </w:r>
      <w:r w:rsidR="003A2E57">
        <w:t xml:space="preserve">[2017] NSWSC 1824 at [6] Black J “read the power </w:t>
      </w:r>
      <w:r w:rsidR="00AF376B" w:rsidRPr="00AF376B">
        <w:t>to make any other order that the Court considers appropriate</w:t>
      </w:r>
      <w:r w:rsidR="00AF376B">
        <w:t xml:space="preserve"> </w:t>
      </w:r>
      <w:r w:rsidR="003A2E57">
        <w:t xml:space="preserve">in s 601AH(3)(d) of the Corporations Act as incidental to the Court’s power to reinstate a deregistered company, and not as independent of it”.  In </w:t>
      </w:r>
      <w:r w:rsidR="003A2E57" w:rsidRPr="00586E63">
        <w:rPr>
          <w:b/>
          <w:bCs/>
          <w:i/>
          <w:iCs/>
        </w:rPr>
        <w:t>Chalker v Clark</w:t>
      </w:r>
      <w:r w:rsidR="003A2E57">
        <w:rPr>
          <w:i/>
          <w:iCs/>
        </w:rPr>
        <w:t xml:space="preserve"> </w:t>
      </w:r>
      <w:r w:rsidR="00586E63" w:rsidRPr="00586E63">
        <w:t>[2008]</w:t>
      </w:r>
      <w:r w:rsidR="00586E63" w:rsidRPr="00586E63">
        <w:rPr>
          <w:i/>
          <w:iCs/>
        </w:rPr>
        <w:t xml:space="preserve"> </w:t>
      </w:r>
      <w:r w:rsidR="00586E63" w:rsidRPr="00586E63">
        <w:t>VSCA 92</w:t>
      </w:r>
      <w:r w:rsidR="00586E63">
        <w:rPr>
          <w:i/>
          <w:iCs/>
        </w:rPr>
        <w:t xml:space="preserve"> </w:t>
      </w:r>
      <w:r w:rsidR="003A2E57">
        <w:t>Osborn AJA (with whom Maxwell P and Dodds-Streeton JA agreed) observed at [39] that the power under s 601AH(3)(b) of the Corporations Act (which was in the same terms as s 601AH(3)(d)) “</w:t>
      </w:r>
      <w:r w:rsidR="003A2E57" w:rsidRPr="003A6A20">
        <w:t xml:space="preserve">is one which allows the court to make orders ancillary or complimentary </w:t>
      </w:r>
      <w:r w:rsidR="00D050B4">
        <w:t xml:space="preserve">(sic) </w:t>
      </w:r>
      <w:r w:rsidR="003A2E57" w:rsidRPr="003A6A20">
        <w:t>to the reinstatement of a company</w:t>
      </w:r>
      <w:r w:rsidR="003A2E57">
        <w:t>” and that it was “for the applicant to persuade the court that it was just to do so in all of the circumstances of the case”</w:t>
      </w:r>
      <w:r w:rsidR="003A2E57" w:rsidRPr="003A6A20">
        <w:t>.</w:t>
      </w:r>
    </w:p>
    <w:p w14:paraId="3B1B2F84" w14:textId="71D8143C" w:rsidR="00387E35" w:rsidRDefault="00D313AC" w:rsidP="00D313AC">
      <w:pPr>
        <w:pStyle w:val="ParaNumbering"/>
        <w:numPr>
          <w:ilvl w:val="0"/>
          <w:numId w:val="0"/>
        </w:numPr>
        <w:ind w:hanging="720"/>
      </w:pPr>
      <w:r>
        <w:rPr>
          <w:sz w:val="20"/>
        </w:rPr>
        <w:t>213</w:t>
      </w:r>
      <w:r>
        <w:rPr>
          <w:sz w:val="20"/>
        </w:rPr>
        <w:tab/>
      </w:r>
      <w:r w:rsidR="00D87E82">
        <w:t xml:space="preserve">In </w:t>
      </w:r>
      <w:r w:rsidR="00D87E82">
        <w:rPr>
          <w:i/>
          <w:iCs/>
        </w:rPr>
        <w:t>Rockwall Interiors</w:t>
      </w:r>
      <w:r w:rsidR="00E97421">
        <w:t xml:space="preserve"> </w:t>
      </w:r>
      <w:r w:rsidR="00F3699C">
        <w:t xml:space="preserve">at </w:t>
      </w:r>
      <w:r w:rsidR="00345194">
        <w:t xml:space="preserve">[18] </w:t>
      </w:r>
      <w:r w:rsidR="00E97421">
        <w:t xml:space="preserve">Barrett J said that the jurisdiction in s 601AH(3) </w:t>
      </w:r>
      <w:r w:rsidR="00552ADF">
        <w:t xml:space="preserve">of the Corporations Act </w:t>
      </w:r>
      <w:r w:rsidR="00E97421">
        <w:t xml:space="preserve">should </w:t>
      </w:r>
      <w:r w:rsidR="004E5515">
        <w:t>be u</w:t>
      </w:r>
      <w:r w:rsidR="00345194">
        <w:t>s</w:t>
      </w:r>
      <w:r w:rsidR="004E5515">
        <w:t xml:space="preserve">ed principally to remove anomalies or </w:t>
      </w:r>
      <w:r w:rsidR="00F3699C">
        <w:t>impediments</w:t>
      </w:r>
      <w:r w:rsidR="00345194">
        <w:t xml:space="preserve">.  </w:t>
      </w:r>
      <w:r w:rsidR="00CD5B5E">
        <w:t xml:space="preserve">In </w:t>
      </w:r>
      <w:r w:rsidR="00CD5B5E" w:rsidRPr="00C4394A">
        <w:rPr>
          <w:b/>
          <w:bCs/>
          <w:i/>
          <w:iCs/>
        </w:rPr>
        <w:t>Bell Group</w:t>
      </w:r>
      <w:r w:rsidR="00CD5B5E" w:rsidRPr="00892F6E">
        <w:rPr>
          <w:i/>
          <w:iCs/>
        </w:rPr>
        <w:t xml:space="preserve"> Ltd (in </w:t>
      </w:r>
      <w:proofErr w:type="spellStart"/>
      <w:r w:rsidR="00CD5B5E" w:rsidRPr="00892F6E">
        <w:rPr>
          <w:i/>
          <w:iCs/>
        </w:rPr>
        <w:t>liq</w:t>
      </w:r>
      <w:proofErr w:type="spellEnd"/>
      <w:r w:rsidR="00CD5B5E" w:rsidRPr="00892F6E">
        <w:rPr>
          <w:i/>
          <w:iCs/>
        </w:rPr>
        <w:t xml:space="preserve">) v Australian Securities and Investments Commission </w:t>
      </w:r>
      <w:r w:rsidR="00210748">
        <w:t xml:space="preserve">(2018) 358 ALR 624; </w:t>
      </w:r>
      <w:r w:rsidR="00CD5B5E">
        <w:t>[2018] FCA 884</w:t>
      </w:r>
      <w:r w:rsidR="00852329">
        <w:t>,</w:t>
      </w:r>
      <w:r w:rsidR="00CD5B5E">
        <w:t xml:space="preserve"> </w:t>
      </w:r>
      <w:r w:rsidR="00852329">
        <w:t xml:space="preserve">which is further discussed below, </w:t>
      </w:r>
      <w:r w:rsidR="00CD5B5E">
        <w:t>McKerracher J considered the</w:t>
      </w:r>
      <w:r w:rsidR="001E069B">
        <w:t xml:space="preserve"> </w:t>
      </w:r>
      <w:r w:rsidR="009216B3">
        <w:t xml:space="preserve">legislative history behind s 601AH(3)(d) concluding that </w:t>
      </w:r>
      <w:r w:rsidR="003E2B53">
        <w:t>on i</w:t>
      </w:r>
      <w:r w:rsidR="00504350">
        <w:t>t</w:t>
      </w:r>
      <w:r w:rsidR="003E2B53">
        <w:t xml:space="preserve">s face the provision was wide and wide enough to </w:t>
      </w:r>
      <w:r w:rsidR="00504350">
        <w:t>permit</w:t>
      </w:r>
      <w:r w:rsidR="003E2B53">
        <w:t xml:space="preserve"> the </w:t>
      </w:r>
      <w:r w:rsidR="00504350">
        <w:t>orders</w:t>
      </w:r>
      <w:r w:rsidR="003E2B53">
        <w:t xml:space="preserve"> </w:t>
      </w:r>
      <w:r w:rsidR="00504350">
        <w:t>sought</w:t>
      </w:r>
      <w:r w:rsidR="003E2B53">
        <w:t xml:space="preserve"> in that case.  </w:t>
      </w:r>
      <w:r w:rsidR="001C7654">
        <w:t xml:space="preserve">At </w:t>
      </w:r>
      <w:r w:rsidR="00387E35">
        <w:t>[115]</w:t>
      </w:r>
      <w:r w:rsidR="003D5F7D">
        <w:t>-[116]</w:t>
      </w:r>
      <w:r w:rsidR="00387E35">
        <w:t xml:space="preserve"> his </w:t>
      </w:r>
      <w:r w:rsidR="00404D8A">
        <w:t>Honour</w:t>
      </w:r>
      <w:r w:rsidR="00387E35">
        <w:t xml:space="preserve"> said that:</w:t>
      </w:r>
    </w:p>
    <w:p w14:paraId="50B8BA37" w14:textId="6362406D" w:rsidR="00F31EF4" w:rsidRDefault="001A7545" w:rsidP="001A7545">
      <w:pPr>
        <w:pStyle w:val="Quote1"/>
        <w:ind w:left="1440" w:hanging="703"/>
      </w:pPr>
      <w:r>
        <w:lastRenderedPageBreak/>
        <w:t>115</w:t>
      </w:r>
      <w:r>
        <w:tab/>
      </w:r>
      <w:r w:rsidR="00F31EF4">
        <w:t>Section 601AH(3)(d) of the Corporations Act, was inserted into the law following the Company Law Review Act 1998 (</w:t>
      </w:r>
      <w:proofErr w:type="spellStart"/>
      <w:r w:rsidR="00F31EF4">
        <w:t>Cth</w:t>
      </w:r>
      <w:proofErr w:type="spellEnd"/>
      <w:r w:rsidR="00F31EF4">
        <w:t xml:space="preserve">), when Pt 5A of the law replaced the old Div 8 of Pt 5.6. Unlike its predecessor, s 601AH(3)(d) no longer contained the wording that ancillary orders may be made that seem just for placing the company and all persons in the same position, so far as possible, as if the company’s registration had not been cancelled: see the recent discussion by Brereton J in </w:t>
      </w:r>
      <w:r w:rsidR="00F31EF4" w:rsidRPr="00404D8A">
        <w:rPr>
          <w:i/>
          <w:iCs/>
        </w:rPr>
        <w:t>Re Regional Planners Developments Co Pty Ltd</w:t>
      </w:r>
      <w:r w:rsidR="00F31EF4">
        <w:t xml:space="preserve"> (2015) 110 ACSR</w:t>
      </w:r>
      <w:r w:rsidR="00FF3516">
        <w:t xml:space="preserve"> </w:t>
      </w:r>
      <w:r w:rsidR="00F31EF4">
        <w:t>457; [2015] NSWSC 1996 (</w:t>
      </w:r>
      <w:r w:rsidR="00F31EF4" w:rsidRPr="00404D8A">
        <w:rPr>
          <w:i/>
          <w:iCs/>
        </w:rPr>
        <w:t>Re Regional Planners</w:t>
      </w:r>
      <w:r w:rsidR="00F31EF4">
        <w:t>) at [24]. His Honour said, and I would respectfully agree, that:</w:t>
      </w:r>
    </w:p>
    <w:p w14:paraId="57AEAB5E" w14:textId="09B17F2F" w:rsidR="00F31EF4" w:rsidRDefault="00F31EF4" w:rsidP="001A7545">
      <w:pPr>
        <w:pStyle w:val="Quote3"/>
      </w:pPr>
      <w:r w:rsidRPr="00404D8A">
        <w:rPr>
          <w:b/>
          <w:bCs/>
        </w:rPr>
        <w:t>The re-enacted section no longer contains the limitation</w:t>
      </w:r>
      <w:r>
        <w:t xml:space="preserve"> that appeared in its predecessors to the effect that the order be made for the purpose of placing the company and all other persons in the same position as nearly as may be as if the name of the company had not been struck off. That indicates </w:t>
      </w:r>
      <w:r w:rsidRPr="001E6C61">
        <w:rPr>
          <w:b/>
          <w:bCs/>
        </w:rPr>
        <w:t>an intention to remove what was seen in some of the cases as a constraint on the types of orders</w:t>
      </w:r>
      <w:r>
        <w:t xml:space="preserve"> that could be made [see in that respect, in particular, </w:t>
      </w:r>
      <w:r w:rsidRPr="00404D8A">
        <w:rPr>
          <w:i/>
          <w:iCs/>
        </w:rPr>
        <w:t>Re Huntington Poultry Ltd</w:t>
      </w:r>
      <w:r>
        <w:t xml:space="preserve"> [[1969] 1 All ER 328] (at 330–1); [</w:t>
      </w:r>
      <w:r w:rsidRPr="00404D8A">
        <w:rPr>
          <w:i/>
          <w:iCs/>
        </w:rPr>
        <w:t>Deputy Commissioner of Taxation v] Action Workwear [Pty Ltd (deregistered)</w:t>
      </w:r>
      <w:r w:rsidR="00FF3516">
        <w:t xml:space="preserve"> </w:t>
      </w:r>
      <w:r>
        <w:t>(1996) 20 ACSR 712] at 722–3]. Parliament, by re-enacting the section, should be taken to have intended to confirm the way in which it had been interpreted to that point, and to reduce the constraints which had been applied to its application. Nonetheless, I do not think the earlier cases, in directing attention to remediating any disadvantage that had been occasioned by the deregistration are irrelevant; they continue to give useful guidance as to the application of the provision, though they must be interpreted having regard to the wider power that now is available.</w:t>
      </w:r>
    </w:p>
    <w:p w14:paraId="557B8982" w14:textId="62F10C23" w:rsidR="00387E35" w:rsidRDefault="00F31EF4" w:rsidP="001A7545">
      <w:pPr>
        <w:pStyle w:val="Quote3"/>
      </w:pPr>
      <w:r>
        <w:t xml:space="preserve">(Emphasis added.) </w:t>
      </w:r>
    </w:p>
    <w:p w14:paraId="6C90705D" w14:textId="703BEB0E" w:rsidR="001A7545" w:rsidRDefault="001A7545" w:rsidP="001A7545">
      <w:pPr>
        <w:pStyle w:val="Quote1"/>
        <w:ind w:left="1440" w:hanging="703"/>
      </w:pPr>
      <w:r>
        <w:t>116</w:t>
      </w:r>
      <w:r>
        <w:tab/>
        <w:t xml:space="preserve">The exposure draft of the Second Corporate Law Simplification Bill in June 1995, which was accompanied by the ‘Report of the Simplification Taskforce’, which gave rise to the Bill, observed, as noted in </w:t>
      </w:r>
      <w:r w:rsidRPr="001A7545">
        <w:rPr>
          <w:i/>
          <w:iCs/>
        </w:rPr>
        <w:t xml:space="preserve">Foxman v </w:t>
      </w:r>
      <w:proofErr w:type="spellStart"/>
      <w:r w:rsidRPr="001A7545">
        <w:rPr>
          <w:i/>
          <w:iCs/>
        </w:rPr>
        <w:t>Credex</w:t>
      </w:r>
      <w:proofErr w:type="spellEnd"/>
      <w:r w:rsidRPr="001A7545">
        <w:rPr>
          <w:i/>
          <w:iCs/>
        </w:rPr>
        <w:t xml:space="preserve"> National Australian Trade Exchange Pty Ltd (in </w:t>
      </w:r>
      <w:proofErr w:type="spellStart"/>
      <w:r w:rsidRPr="001A7545">
        <w:rPr>
          <w:i/>
          <w:iCs/>
        </w:rPr>
        <w:t>liq</w:t>
      </w:r>
      <w:proofErr w:type="spellEnd"/>
      <w:r w:rsidRPr="001A7545">
        <w:rPr>
          <w:i/>
          <w:iCs/>
        </w:rPr>
        <w:t>)</w:t>
      </w:r>
      <w:r>
        <w:t xml:space="preserve"> (2007) 65 ACSR 476; 215 FLR 392; [2007] NSWSC 1422 (</w:t>
      </w:r>
      <w:r w:rsidRPr="001A7545">
        <w:rPr>
          <w:i/>
          <w:iCs/>
        </w:rPr>
        <w:t>Foxman</w:t>
      </w:r>
      <w:r>
        <w:t>) at [58] by White J, that the reinstatement power had been preserved by s 601AH(2), and in relation to s 601AH(3) that:</w:t>
      </w:r>
    </w:p>
    <w:p w14:paraId="37941E9C" w14:textId="25CD89E8" w:rsidR="003D5F7D" w:rsidRDefault="001A7545" w:rsidP="00D35B81">
      <w:pPr>
        <w:pStyle w:val="Quote3"/>
        <w:spacing w:after="360"/>
      </w:pPr>
      <w:r>
        <w:t xml:space="preserve">As under the current Law, the Court will be able to make such ancillary orders as are just for putting the company and any other person in the same position, so far as is possible, as if the company had not been deregistered (Bill subsection 601AH(3)). </w:t>
      </w:r>
    </w:p>
    <w:p w14:paraId="0E48BA82" w14:textId="218120E7" w:rsidR="002E6C96" w:rsidRDefault="00D313AC" w:rsidP="00D313AC">
      <w:pPr>
        <w:pStyle w:val="ParaNumbering"/>
        <w:numPr>
          <w:ilvl w:val="0"/>
          <w:numId w:val="0"/>
        </w:numPr>
        <w:ind w:hanging="720"/>
      </w:pPr>
      <w:r>
        <w:rPr>
          <w:sz w:val="20"/>
        </w:rPr>
        <w:t>214</w:t>
      </w:r>
      <w:r>
        <w:rPr>
          <w:sz w:val="20"/>
        </w:rPr>
        <w:tab/>
      </w:r>
      <w:r w:rsidR="00C23D82">
        <w:t>Section 601AH(3)(d)</w:t>
      </w:r>
      <w:r w:rsidR="00CA0F2B">
        <w:t xml:space="preserve"> is </w:t>
      </w:r>
      <w:r w:rsidR="003F398A">
        <w:t>a power</w:t>
      </w:r>
      <w:r w:rsidR="00CA0F2B">
        <w:t xml:space="preserve"> that enables a company upon </w:t>
      </w:r>
      <w:r w:rsidR="003F398A">
        <w:t>reinstatement</w:t>
      </w:r>
      <w:r w:rsidR="00CA0F2B">
        <w:t xml:space="preserve"> to be treated as though it had continued in existence </w:t>
      </w:r>
      <w:r w:rsidR="003F398A">
        <w:t>from the date of deregistration or</w:t>
      </w:r>
      <w:r w:rsidR="00504350">
        <w:t>,</w:t>
      </w:r>
      <w:r w:rsidR="003F398A">
        <w:t xml:space="preserve"> t</w:t>
      </w:r>
      <w:r w:rsidR="00784724">
        <w:t>o adopt McKerracher</w:t>
      </w:r>
      <w:r w:rsidR="003F398A">
        <w:t> J</w:t>
      </w:r>
      <w:r w:rsidR="00784724">
        <w:t>’s shorthand</w:t>
      </w:r>
      <w:r w:rsidR="00504350">
        <w:t>,</w:t>
      </w:r>
      <w:r w:rsidR="00784724">
        <w:t xml:space="preserve"> </w:t>
      </w:r>
      <w:r w:rsidR="003F398A">
        <w:t>it</w:t>
      </w:r>
      <w:r w:rsidR="00784724">
        <w:t xml:space="preserve"> is </w:t>
      </w:r>
      <w:r w:rsidR="00941143">
        <w:t xml:space="preserve">a provision </w:t>
      </w:r>
      <w:r w:rsidR="00504781">
        <w:t xml:space="preserve">that enables </w:t>
      </w:r>
      <w:r w:rsidR="00784724">
        <w:t>an “as</w:t>
      </w:r>
      <w:r w:rsidR="0051455B">
        <w:t>-</w:t>
      </w:r>
      <w:r w:rsidR="00784724">
        <w:t>you</w:t>
      </w:r>
      <w:r w:rsidR="0051455B">
        <w:t>-</w:t>
      </w:r>
      <w:r w:rsidR="00784724">
        <w:t xml:space="preserve">were” </w:t>
      </w:r>
      <w:r w:rsidR="00AA6BDE">
        <w:t>p</w:t>
      </w:r>
      <w:r w:rsidR="00504781">
        <w:t>osition</w:t>
      </w:r>
      <w:r w:rsidR="00181EC7">
        <w:t xml:space="preserve">: </w:t>
      </w:r>
      <w:r w:rsidR="00932B7F">
        <w:t xml:space="preserve">see </w:t>
      </w:r>
      <w:r w:rsidR="00181EC7">
        <w:rPr>
          <w:i/>
          <w:iCs/>
        </w:rPr>
        <w:t xml:space="preserve">Bell </w:t>
      </w:r>
      <w:r w:rsidR="00932B7F">
        <w:rPr>
          <w:i/>
          <w:iCs/>
        </w:rPr>
        <w:t xml:space="preserve">Group </w:t>
      </w:r>
      <w:r w:rsidR="00181EC7">
        <w:t xml:space="preserve">at </w:t>
      </w:r>
      <w:r w:rsidR="00915237">
        <w:t>[136]</w:t>
      </w:r>
      <w:r w:rsidR="00AA6BDE">
        <w:t xml:space="preserve">.  </w:t>
      </w:r>
      <w:r w:rsidR="00345194">
        <w:t>For example,</w:t>
      </w:r>
      <w:r w:rsidR="00BC5542">
        <w:t xml:space="preserve"> </w:t>
      </w:r>
      <w:r w:rsidR="00AA6BDE">
        <w:t>it could be used</w:t>
      </w:r>
      <w:r w:rsidR="00BF04C5">
        <w:t xml:space="preserve"> </w:t>
      </w:r>
      <w:r w:rsidR="005965E9">
        <w:t>to</w:t>
      </w:r>
      <w:r w:rsidR="00BF04C5">
        <w:t xml:space="preserve"> </w:t>
      </w:r>
      <w:r w:rsidR="005965E9">
        <w:t>put</w:t>
      </w:r>
      <w:r w:rsidR="00BF04C5">
        <w:t xml:space="preserve"> beyond doubt the </w:t>
      </w:r>
      <w:r w:rsidR="005965E9">
        <w:t>validity</w:t>
      </w:r>
      <w:r w:rsidR="00BF04C5">
        <w:t xml:space="preserve"> of transactions </w:t>
      </w:r>
      <w:r w:rsidR="006C5CF0">
        <w:t xml:space="preserve">apparently </w:t>
      </w:r>
      <w:r w:rsidR="00BF04C5">
        <w:t xml:space="preserve">undertaken </w:t>
      </w:r>
      <w:r w:rsidR="00E5145B">
        <w:t>by a company during it</w:t>
      </w:r>
      <w:r w:rsidR="005965E9">
        <w:t>s</w:t>
      </w:r>
      <w:r w:rsidR="00E5145B">
        <w:t xml:space="preserve"> period of </w:t>
      </w:r>
      <w:r w:rsidR="005965E9">
        <w:t>deregistration</w:t>
      </w:r>
      <w:r w:rsidR="00504350">
        <w:t xml:space="preserve"> (</w:t>
      </w:r>
      <w:r w:rsidR="001B7F62">
        <w:rPr>
          <w:i/>
          <w:iCs/>
        </w:rPr>
        <w:t>Re</w:t>
      </w:r>
      <w:r w:rsidR="00C16027">
        <w:rPr>
          <w:i/>
          <w:iCs/>
        </w:rPr>
        <w:t> </w:t>
      </w:r>
      <w:r w:rsidR="00504350">
        <w:rPr>
          <w:i/>
          <w:iCs/>
        </w:rPr>
        <w:t xml:space="preserve">Regional Planners </w:t>
      </w:r>
      <w:r w:rsidR="00504350">
        <w:t>at [18])</w:t>
      </w:r>
      <w:r w:rsidR="00377C4B">
        <w:t>,</w:t>
      </w:r>
      <w:r w:rsidR="00450A46">
        <w:t xml:space="preserve"> or</w:t>
      </w:r>
      <w:r w:rsidR="00243711">
        <w:t>, as was the case</w:t>
      </w:r>
      <w:r w:rsidR="00377C4B">
        <w:t xml:space="preserve"> i</w:t>
      </w:r>
      <w:r w:rsidR="00AA6BDE">
        <w:t xml:space="preserve">n </w:t>
      </w:r>
      <w:r w:rsidR="00AA6BDE">
        <w:rPr>
          <w:i/>
          <w:iCs/>
        </w:rPr>
        <w:t xml:space="preserve">Bell </w:t>
      </w:r>
      <w:r w:rsidR="008F5E3F">
        <w:rPr>
          <w:i/>
          <w:iCs/>
        </w:rPr>
        <w:t>Group</w:t>
      </w:r>
      <w:r w:rsidR="00AA6BDE">
        <w:rPr>
          <w:i/>
          <w:iCs/>
        </w:rPr>
        <w:t xml:space="preserve">, </w:t>
      </w:r>
      <w:r w:rsidR="00AA6BDE" w:rsidRPr="00941143">
        <w:t xml:space="preserve">to make orders </w:t>
      </w:r>
      <w:r w:rsidR="00FD3A93">
        <w:t xml:space="preserve">deeming that certain companies </w:t>
      </w:r>
      <w:r w:rsidR="000C618C">
        <w:t xml:space="preserve">held shares in </w:t>
      </w:r>
      <w:r w:rsidR="00A1650C">
        <w:t xml:space="preserve">other </w:t>
      </w:r>
      <w:r w:rsidR="000C618C">
        <w:t xml:space="preserve">companies on and from their respective dates of </w:t>
      </w:r>
      <w:r w:rsidR="00A1650C">
        <w:t>dissolution</w:t>
      </w:r>
      <w:r w:rsidR="00A1650C" w:rsidRPr="00941143">
        <w:t xml:space="preserve"> </w:t>
      </w:r>
      <w:r w:rsidR="00F37EB5">
        <w:t>or</w:t>
      </w:r>
      <w:r w:rsidR="00377C4B">
        <w:t xml:space="preserve">, </w:t>
      </w:r>
      <w:r w:rsidR="00EF4240">
        <w:t xml:space="preserve">as was the case </w:t>
      </w:r>
      <w:r w:rsidR="002A51A4">
        <w:t xml:space="preserve">in some </w:t>
      </w:r>
      <w:r w:rsidR="006A6C57">
        <w:t>instances</w:t>
      </w:r>
      <w:r w:rsidR="002A51A4">
        <w:t xml:space="preserve"> </w:t>
      </w:r>
      <w:r w:rsidR="00CD6ADA">
        <w:t>(discussed below)</w:t>
      </w:r>
      <w:r w:rsidR="00377C4B">
        <w:t>,</w:t>
      </w:r>
      <w:r w:rsidR="00CD6ADA">
        <w:t xml:space="preserve"> </w:t>
      </w:r>
      <w:r w:rsidR="002A51A4">
        <w:t xml:space="preserve">to </w:t>
      </w:r>
      <w:r w:rsidR="00291292">
        <w:t>exclude for the purposes of</w:t>
      </w:r>
      <w:r w:rsidR="00324D33">
        <w:t xml:space="preserve"> a</w:t>
      </w:r>
      <w:r w:rsidR="00291292">
        <w:t xml:space="preserve"> </w:t>
      </w:r>
      <w:r w:rsidR="00324D33">
        <w:t xml:space="preserve">limitation period, the </w:t>
      </w:r>
      <w:r w:rsidR="00324D33">
        <w:lastRenderedPageBreak/>
        <w:t>period of deregistration</w:t>
      </w:r>
      <w:r w:rsidR="00377C4B">
        <w:t xml:space="preserve"> of a company</w:t>
      </w:r>
      <w:r w:rsidR="00126AAE">
        <w:t xml:space="preserve">. </w:t>
      </w:r>
      <w:r w:rsidR="00377C4B">
        <w:t xml:space="preserve"> </w:t>
      </w:r>
      <w:r w:rsidR="00126AAE">
        <w:t>A</w:t>
      </w:r>
      <w:r w:rsidR="00377C4B">
        <w:t>lthough</w:t>
      </w:r>
      <w:r w:rsidR="00DE613B">
        <w:t>, as to the latter</w:t>
      </w:r>
      <w:r w:rsidR="00377C4B">
        <w:t xml:space="preserve"> that has not occurred</w:t>
      </w:r>
      <w:r w:rsidR="001F540B">
        <w:t xml:space="preserve"> where</w:t>
      </w:r>
      <w:r w:rsidR="00644BEC">
        <w:t xml:space="preserve">, as in this case, there is </w:t>
      </w:r>
      <w:r w:rsidR="000C09D9">
        <w:t xml:space="preserve">a specific provision in the Corporations Act dealing with the manner and time within which to bring the </w:t>
      </w:r>
      <w:r w:rsidR="00C63B11">
        <w:t xml:space="preserve">type of proceeding in question.  </w:t>
      </w:r>
    </w:p>
    <w:p w14:paraId="6E207A52" w14:textId="37D92C31" w:rsidR="00EE602E" w:rsidRDefault="00D313AC" w:rsidP="00D313AC">
      <w:pPr>
        <w:pStyle w:val="ParaNumbering"/>
        <w:numPr>
          <w:ilvl w:val="0"/>
          <w:numId w:val="0"/>
        </w:numPr>
        <w:ind w:hanging="720"/>
      </w:pPr>
      <w:r>
        <w:rPr>
          <w:sz w:val="20"/>
        </w:rPr>
        <w:t>215</w:t>
      </w:r>
      <w:r>
        <w:rPr>
          <w:sz w:val="20"/>
        </w:rPr>
        <w:tab/>
      </w:r>
      <w:r w:rsidR="00EE602E">
        <w:t>The</w:t>
      </w:r>
      <w:r w:rsidR="00AC380D">
        <w:t xml:space="preserve"> </w:t>
      </w:r>
      <w:r w:rsidR="00DA080A">
        <w:t xml:space="preserve">general and somewhat ample </w:t>
      </w:r>
      <w:r w:rsidR="00EE602E">
        <w:t>power under s </w:t>
      </w:r>
      <w:r w:rsidR="00AC380D">
        <w:t xml:space="preserve">601AH(3)(d) </w:t>
      </w:r>
      <w:r w:rsidR="00CC0266">
        <w:t xml:space="preserve">of the Corporations Act </w:t>
      </w:r>
      <w:r w:rsidR="00AC380D">
        <w:t>must however be exercised having regard to all of the circumstances of the particular c</w:t>
      </w:r>
      <w:r w:rsidR="00506CD0">
        <w:t xml:space="preserve">ase </w:t>
      </w:r>
      <w:r w:rsidR="00AC380D">
        <w:t xml:space="preserve">and the </w:t>
      </w:r>
      <w:r w:rsidR="00B90215">
        <w:t>broader</w:t>
      </w:r>
      <w:r w:rsidR="00AC380D">
        <w:t xml:space="preserve"> context of the </w:t>
      </w:r>
      <w:r w:rsidR="00B90215">
        <w:t>operation</w:t>
      </w:r>
      <w:r w:rsidR="00AC380D">
        <w:t xml:space="preserve"> </w:t>
      </w:r>
      <w:r w:rsidR="00B90215">
        <w:t>of</w:t>
      </w:r>
      <w:r w:rsidR="00AC380D">
        <w:t xml:space="preserve"> the </w:t>
      </w:r>
      <w:r w:rsidR="00B90215">
        <w:t>Corporations</w:t>
      </w:r>
      <w:r w:rsidR="00AC380D">
        <w:t xml:space="preserve"> </w:t>
      </w:r>
      <w:r w:rsidR="00B90215">
        <w:t>A</w:t>
      </w:r>
      <w:r w:rsidR="00AC380D">
        <w:t xml:space="preserve">ct.  In this case the exercise of the power in s 601AH(3)(d) </w:t>
      </w:r>
      <w:r w:rsidR="00B90215">
        <w:t>is</w:t>
      </w:r>
      <w:r w:rsidR="00AC380D">
        <w:t xml:space="preserve"> subordinate</w:t>
      </w:r>
      <w:r w:rsidR="00852D32">
        <w:t>, and must give way, to the specific power in</w:t>
      </w:r>
      <w:r w:rsidR="00B90215">
        <w:t xml:space="preserve"> </w:t>
      </w:r>
      <w:r w:rsidR="00852D32">
        <w:t xml:space="preserve">s 588FF(3) in relation to the question </w:t>
      </w:r>
      <w:r w:rsidR="00B90215">
        <w:t>of</w:t>
      </w:r>
      <w:r w:rsidR="00852D32">
        <w:t xml:space="preserve"> the time within which a </w:t>
      </w:r>
      <w:r w:rsidR="00B90215">
        <w:t xml:space="preserve">voidable transaction proceeding can be brought.  </w:t>
      </w:r>
      <w:r w:rsidR="00583963">
        <w:t xml:space="preserve">Put simply, in my opinion s 588FF(3) covers the field for extensions </w:t>
      </w:r>
      <w:r w:rsidR="0069696A">
        <w:t xml:space="preserve">of time to bring a claim under s 588FF(1) to the exclusion of s 601AH(3)(d). </w:t>
      </w:r>
    </w:p>
    <w:p w14:paraId="34B24B1B" w14:textId="20BE1931" w:rsidR="00C869F2" w:rsidRDefault="00D313AC" w:rsidP="00D313AC">
      <w:pPr>
        <w:pStyle w:val="ParaNumbering"/>
        <w:numPr>
          <w:ilvl w:val="0"/>
          <w:numId w:val="0"/>
        </w:numPr>
        <w:ind w:hanging="720"/>
      </w:pPr>
      <w:r>
        <w:rPr>
          <w:sz w:val="20"/>
        </w:rPr>
        <w:t>216</w:t>
      </w:r>
      <w:r>
        <w:rPr>
          <w:sz w:val="20"/>
        </w:rPr>
        <w:tab/>
      </w:r>
      <w:r w:rsidR="00C20105">
        <w:t>I</w:t>
      </w:r>
      <w:r w:rsidR="00C869F2">
        <w:t xml:space="preserve">n </w:t>
      </w:r>
      <w:r w:rsidR="00C869F2" w:rsidRPr="006474F6">
        <w:rPr>
          <w:b/>
          <w:bCs/>
          <w:i/>
          <w:iCs/>
        </w:rPr>
        <w:t>Saba Bros</w:t>
      </w:r>
      <w:r w:rsidR="00C869F2" w:rsidRPr="006474F6">
        <w:rPr>
          <w:b/>
          <w:bCs/>
        </w:rPr>
        <w:t xml:space="preserve"> </w:t>
      </w:r>
      <w:r w:rsidR="00C869F2" w:rsidRPr="006474F6">
        <w:rPr>
          <w:b/>
          <w:bCs/>
          <w:i/>
          <w:iCs/>
        </w:rPr>
        <w:t>Tiling (ACT)</w:t>
      </w:r>
      <w:r w:rsidR="002673FD">
        <w:rPr>
          <w:i/>
          <w:iCs/>
        </w:rPr>
        <w:t xml:space="preserve"> </w:t>
      </w:r>
      <w:r w:rsidR="002673FD" w:rsidRPr="00977112">
        <w:rPr>
          <w:i/>
          <w:iCs/>
        </w:rPr>
        <w:t xml:space="preserve">Pty Ltd v Australian Securities and </w:t>
      </w:r>
      <w:r w:rsidR="00181963">
        <w:rPr>
          <w:i/>
          <w:iCs/>
        </w:rPr>
        <w:t>I</w:t>
      </w:r>
      <w:r w:rsidR="002673FD" w:rsidRPr="00977112">
        <w:rPr>
          <w:i/>
          <w:iCs/>
        </w:rPr>
        <w:t xml:space="preserve">nvestments Commission </w:t>
      </w:r>
      <w:r w:rsidR="002673FD">
        <w:t>[2021] ACTSC 47</w:t>
      </w:r>
      <w:r w:rsidR="008C7C0E">
        <w:t>,</w:t>
      </w:r>
      <w:r w:rsidR="00C20105">
        <w:t xml:space="preserve"> </w:t>
      </w:r>
      <w:r w:rsidR="00C869F2">
        <w:t xml:space="preserve">albeit in </w:t>
      </w:r>
      <w:r w:rsidR="00C869F2" w:rsidRPr="00C869F2">
        <w:rPr>
          <w:i/>
          <w:iCs/>
        </w:rPr>
        <w:t>obiter</w:t>
      </w:r>
      <w:r w:rsidR="00C20105">
        <w:t xml:space="preserve">, Mossop J reached the same conclusion.  </w:t>
      </w:r>
    </w:p>
    <w:p w14:paraId="53FC13C3" w14:textId="4E72AF5B" w:rsidR="002673FD" w:rsidRDefault="00D313AC" w:rsidP="00D313AC">
      <w:pPr>
        <w:pStyle w:val="ParaNumbering"/>
        <w:numPr>
          <w:ilvl w:val="0"/>
          <w:numId w:val="0"/>
        </w:numPr>
        <w:ind w:hanging="720"/>
      </w:pPr>
      <w:r>
        <w:rPr>
          <w:sz w:val="20"/>
        </w:rPr>
        <w:t>217</w:t>
      </w:r>
      <w:r>
        <w:rPr>
          <w:sz w:val="20"/>
        </w:rPr>
        <w:tab/>
      </w:r>
      <w:r w:rsidR="002673FD">
        <w:t xml:space="preserve">That case concerned an application by </w:t>
      </w:r>
      <w:r w:rsidR="002673FD" w:rsidRPr="00977112">
        <w:rPr>
          <w:b/>
          <w:bCs/>
        </w:rPr>
        <w:t>Saba Bros</w:t>
      </w:r>
      <w:r w:rsidR="002673FD">
        <w:t xml:space="preserve"> Tiling (ACT) Pty Ltd for reinstatement of the registration of two companies, 113 134 964 Pty Ltd (formerly </w:t>
      </w:r>
      <w:r w:rsidR="002673FD" w:rsidRPr="00977112">
        <w:rPr>
          <w:b/>
          <w:bCs/>
        </w:rPr>
        <w:t xml:space="preserve">Chase </w:t>
      </w:r>
      <w:r w:rsidR="002673FD">
        <w:t>Building G</w:t>
      </w:r>
      <w:r w:rsidR="00761037">
        <w:t>r</w:t>
      </w:r>
      <w:r w:rsidR="002673FD">
        <w:t xml:space="preserve">oup Pty Ltd) and </w:t>
      </w:r>
      <w:r w:rsidR="002673FD" w:rsidRPr="00977112">
        <w:rPr>
          <w:b/>
          <w:bCs/>
        </w:rPr>
        <w:t>Manhattan</w:t>
      </w:r>
      <w:r w:rsidR="002673FD">
        <w:t xml:space="preserve"> Development Pty Ltd.  Saba Bros’ application was opposed by the former director of Chase, Andrew Jolley, who submitted</w:t>
      </w:r>
      <w:r w:rsidR="00CE0D5D">
        <w:t>, among other things,</w:t>
      </w:r>
      <w:r w:rsidR="002673FD">
        <w:t xml:space="preserve"> </w:t>
      </w:r>
      <w:r w:rsidR="00F865C4">
        <w:t xml:space="preserve">that </w:t>
      </w:r>
      <w:r w:rsidR="002673FD">
        <w:t xml:space="preserve">there would be no utility in reinstating the companies and that Saba Bros had delayed in bringing the application.  In considering whether it was “just” to reinstate the companies, Mossop J addressed Mr Jolley’s submission that there would be no utility in reinstatement because causes of action relating to voidable transactions were statute barred.  His Honour accepted (at [45(b)]) that there were “unavoidable time bars precluding a claim in relation to any voidable transactions” but noted that the making of an incorrect declaration of solvency under s 494 of the Corporations Act was directly related to the existence of the time bars.  </w:t>
      </w:r>
    </w:p>
    <w:p w14:paraId="088EFABB" w14:textId="6CCEA3E6" w:rsidR="002673FD" w:rsidRDefault="00D313AC" w:rsidP="00D313AC">
      <w:pPr>
        <w:pStyle w:val="ParaNumbering"/>
        <w:numPr>
          <w:ilvl w:val="0"/>
          <w:numId w:val="0"/>
        </w:numPr>
        <w:ind w:hanging="720"/>
      </w:pPr>
      <w:r>
        <w:rPr>
          <w:sz w:val="20"/>
        </w:rPr>
        <w:t>218</w:t>
      </w:r>
      <w:r>
        <w:rPr>
          <w:sz w:val="20"/>
        </w:rPr>
        <w:tab/>
      </w:r>
      <w:r w:rsidR="002673FD">
        <w:t xml:space="preserve">Relatedly, at [50] Mossop J considered a submission made by Saba Bros that the limitation bar applicable to any claim by the liquidator to recover a voidable transaction could be overcome by the making an order under s 601AH(3)(d) of the Corporations Act.  Relying on the decision in </w:t>
      </w:r>
      <w:proofErr w:type="spellStart"/>
      <w:r w:rsidR="002673FD" w:rsidRPr="004C1160">
        <w:rPr>
          <w:b/>
          <w:bCs/>
          <w:i/>
          <w:iCs/>
        </w:rPr>
        <w:t>Pagnon</w:t>
      </w:r>
      <w:proofErr w:type="spellEnd"/>
      <w:r w:rsidR="002673FD">
        <w:rPr>
          <w:i/>
          <w:iCs/>
        </w:rPr>
        <w:t xml:space="preserve"> v Workcover Queensland </w:t>
      </w:r>
      <w:r w:rsidR="002673FD">
        <w:t>[200</w:t>
      </w:r>
      <w:r w:rsidR="00A32D3A">
        <w:t>1</w:t>
      </w:r>
      <w:r w:rsidR="002673FD">
        <w:t xml:space="preserve">] </w:t>
      </w:r>
      <w:r w:rsidR="007500A3">
        <w:t xml:space="preserve">2 </w:t>
      </w:r>
      <w:proofErr w:type="spellStart"/>
      <w:r w:rsidR="007500A3">
        <w:t>Qd</w:t>
      </w:r>
      <w:proofErr w:type="spellEnd"/>
      <w:r w:rsidR="007500A3">
        <w:t xml:space="preserve"> R 492</w:t>
      </w:r>
      <w:r w:rsidR="002673FD">
        <w:t xml:space="preserve">, Saba Bros submitted that an order should be made to stop time counting against Chase in relation to any insolvent transactions arising from distributions to shareholders </w:t>
      </w:r>
      <w:r w:rsidR="002673FD" w:rsidRPr="00C82620">
        <w:t>or unreasonable director</w:t>
      </w:r>
      <w:r w:rsidR="00DD5EA2">
        <w:t>-</w:t>
      </w:r>
      <w:r w:rsidR="002673FD" w:rsidRPr="00C82620">
        <w:t>related transactions (s</w:t>
      </w:r>
      <w:r w:rsidR="00B714D0">
        <w:t> </w:t>
      </w:r>
      <w:r w:rsidR="002673FD">
        <w:t>588FC and</w:t>
      </w:r>
      <w:r w:rsidR="002673FD" w:rsidRPr="00C82620">
        <w:t xml:space="preserve"> </w:t>
      </w:r>
      <w:r w:rsidR="0043132E">
        <w:t>s </w:t>
      </w:r>
      <w:r w:rsidR="002673FD" w:rsidRPr="00C82620">
        <w:t>588FDA of the Corporations Act).</w:t>
      </w:r>
      <w:r w:rsidR="002673FD">
        <w:t xml:space="preserve">  After noting that </w:t>
      </w:r>
      <w:proofErr w:type="spellStart"/>
      <w:r w:rsidR="002673FD">
        <w:rPr>
          <w:i/>
          <w:iCs/>
        </w:rPr>
        <w:t>Pagnon</w:t>
      </w:r>
      <w:proofErr w:type="spellEnd"/>
      <w:r w:rsidR="002673FD">
        <w:t>, insofar as it permitted such an ancillary order, relates to claims against the company rather than by the company Mossop J continued:</w:t>
      </w:r>
    </w:p>
    <w:p w14:paraId="70359812" w14:textId="77777777" w:rsidR="002673FD" w:rsidRDefault="002673FD" w:rsidP="009D4808">
      <w:pPr>
        <w:pStyle w:val="Quote1"/>
        <w:spacing w:after="360"/>
      </w:pPr>
      <w:r>
        <w:lastRenderedPageBreak/>
        <w:t>Further, it cannot be said that any such actions are more than a possibility at this stage. Finally, because of the failure to seek such an order in the Originating Process, the persons against whom such actions might be brought, other than Mr Jolley, are not on notice of the possibility of such an order, have not been joined as parties to the proceedings and have not otherwise been given the opportunity to be heard. For those reasons, I would not in this case make such an order. I note also that the making of such an order would be contrary to the specific limitation provision in s 588FF(3) and it would not be usual to read that specific provision as subject to variation by a general power such as s 601AH(3)(d</w:t>
      </w:r>
      <w:r w:rsidRPr="00525283">
        <w:rPr>
          <w:i/>
          <w:iCs/>
        </w:rPr>
        <w:t>). David Grant &amp; Co Pty Ltd v Westpac Body Corporation</w:t>
      </w:r>
      <w:r>
        <w:t xml:space="preserve"> (1995) 184 CLR 265 is an example, in a corporations context, of the general principle in </w:t>
      </w:r>
      <w:r w:rsidRPr="00525283">
        <w:rPr>
          <w:i/>
          <w:iCs/>
        </w:rPr>
        <w:t>Anthony Hordern &amp; Sons Ltd v Amalgamated Clothing and Allied Trades Union of Australia</w:t>
      </w:r>
      <w:r>
        <w:t xml:space="preserve"> (1932) 47 CLR 1 at 7. </w:t>
      </w:r>
    </w:p>
    <w:p w14:paraId="5317D6F6" w14:textId="58DD830E" w:rsidR="002673FD" w:rsidRPr="00BC7843" w:rsidRDefault="00D313AC" w:rsidP="00D313AC">
      <w:pPr>
        <w:pStyle w:val="ParaNumbering"/>
        <w:numPr>
          <w:ilvl w:val="0"/>
          <w:numId w:val="0"/>
        </w:numPr>
        <w:ind w:hanging="720"/>
      </w:pPr>
      <w:bookmarkStart w:id="47" w:name="_Ref157089964"/>
      <w:r w:rsidRPr="00BC7843">
        <w:rPr>
          <w:sz w:val="20"/>
        </w:rPr>
        <w:t>219</w:t>
      </w:r>
      <w:r w:rsidRPr="00BC7843">
        <w:rPr>
          <w:sz w:val="20"/>
        </w:rPr>
        <w:tab/>
      </w:r>
      <w:r w:rsidR="001E31F2">
        <w:t>Finally</w:t>
      </w:r>
      <w:r w:rsidR="006B688A">
        <w:t xml:space="preserve"> </w:t>
      </w:r>
      <w:r w:rsidR="00C82A99">
        <w:t>and for completeness</w:t>
      </w:r>
      <w:r w:rsidR="001C5D6B">
        <w:t xml:space="preserve">, I note </w:t>
      </w:r>
      <w:r w:rsidR="000B7A54">
        <w:t xml:space="preserve">that in </w:t>
      </w:r>
      <w:r w:rsidR="002673FD" w:rsidRPr="00A3133D">
        <w:rPr>
          <w:b/>
          <w:bCs/>
          <w:i/>
          <w:iCs/>
        </w:rPr>
        <w:t xml:space="preserve">Morgan </w:t>
      </w:r>
      <w:r w:rsidR="002673FD">
        <w:rPr>
          <w:i/>
          <w:iCs/>
        </w:rPr>
        <w:t xml:space="preserve">v Sydney Allen Manufacturing Pty Limited (in Liquidation) </w:t>
      </w:r>
      <w:r w:rsidR="002673FD">
        <w:t>[2021] FCA 169</w:t>
      </w:r>
      <w:r w:rsidR="00226C6C">
        <w:t xml:space="preserve"> </w:t>
      </w:r>
      <w:r w:rsidR="002673FD">
        <w:t xml:space="preserve">Rares J touched upon the question of whether </w:t>
      </w:r>
      <w:r w:rsidR="004F6115">
        <w:t xml:space="preserve">an order could be made </w:t>
      </w:r>
      <w:r w:rsidR="0039289F">
        <w:t>under s</w:t>
      </w:r>
      <w:r w:rsidR="002673FD">
        <w:t xml:space="preserve"> 601AH(3)(d) of the Corporations Act to extend time under s 588FF(3).  However, his Honour did not resolve the issue.  After referring to the decisions in </w:t>
      </w:r>
      <w:proofErr w:type="spellStart"/>
      <w:r w:rsidR="002673FD">
        <w:rPr>
          <w:i/>
          <w:iCs/>
        </w:rPr>
        <w:t>Pagnon</w:t>
      </w:r>
      <w:proofErr w:type="spellEnd"/>
      <w:r w:rsidR="002673FD">
        <w:t xml:space="preserve">, </w:t>
      </w:r>
      <w:r w:rsidR="002673FD">
        <w:rPr>
          <w:rFonts w:ascii="TimesNewRomanPS-ItalicMT" w:hAnsi="TimesNewRomanPS-ItalicMT" w:cs="TimesNewRomanPS-ItalicMT"/>
          <w:i/>
          <w:iCs/>
          <w:szCs w:val="24"/>
          <w:lang w:eastAsia="en-AU"/>
        </w:rPr>
        <w:t xml:space="preserve">Chalker v Clark, </w:t>
      </w:r>
      <w:r w:rsidR="002673FD" w:rsidRPr="00BC7843">
        <w:rPr>
          <w:rFonts w:ascii="TimesNewRomanPS-ItalicMT" w:hAnsi="TimesNewRomanPS-ItalicMT" w:cs="TimesNewRomanPS-ItalicMT"/>
          <w:i/>
          <w:iCs/>
          <w:szCs w:val="24"/>
          <w:lang w:eastAsia="en-AU"/>
        </w:rPr>
        <w:t>Grant Samuel</w:t>
      </w:r>
      <w:r w:rsidR="002673FD">
        <w:rPr>
          <w:rFonts w:ascii="TimesNewRomanPS-ItalicMT" w:hAnsi="TimesNewRomanPS-ItalicMT" w:cs="TimesNewRomanPS-ItalicMT"/>
          <w:szCs w:val="24"/>
          <w:lang w:eastAsia="en-AU"/>
        </w:rPr>
        <w:t xml:space="preserve">, </w:t>
      </w:r>
      <w:r w:rsidR="002673FD">
        <w:rPr>
          <w:rFonts w:ascii="TimesNewRomanPS-ItalicMT" w:hAnsi="TimesNewRomanPS-ItalicMT" w:cs="TimesNewRomanPS-ItalicMT"/>
          <w:i/>
          <w:iCs/>
          <w:szCs w:val="24"/>
          <w:lang w:eastAsia="en-AU"/>
        </w:rPr>
        <w:t>Saba Bros</w:t>
      </w:r>
      <w:r w:rsidR="001F6002">
        <w:rPr>
          <w:rFonts w:ascii="TimesNewRomanPS-ItalicMT" w:hAnsi="TimesNewRomanPS-ItalicMT" w:cs="TimesNewRomanPS-ItalicMT"/>
          <w:i/>
          <w:iCs/>
          <w:szCs w:val="24"/>
          <w:lang w:eastAsia="en-AU"/>
        </w:rPr>
        <w:t xml:space="preserve"> Tiling (ACT)</w:t>
      </w:r>
      <w:r w:rsidR="002673FD">
        <w:rPr>
          <w:rFonts w:ascii="TimesNewRomanPS-ItalicMT" w:hAnsi="TimesNewRomanPS-ItalicMT" w:cs="TimesNewRomanPS-ItalicMT"/>
          <w:i/>
          <w:iCs/>
          <w:szCs w:val="24"/>
          <w:lang w:eastAsia="en-AU"/>
        </w:rPr>
        <w:t xml:space="preserve"> </w:t>
      </w:r>
      <w:r w:rsidR="002673FD">
        <w:rPr>
          <w:rFonts w:ascii="TimesNewRomanPS-ItalicMT" w:hAnsi="TimesNewRomanPS-ItalicMT" w:cs="TimesNewRomanPS-ItalicMT"/>
          <w:szCs w:val="24"/>
          <w:lang w:eastAsia="en-AU"/>
        </w:rPr>
        <w:t xml:space="preserve">and </w:t>
      </w:r>
      <w:r w:rsidR="002673FD">
        <w:rPr>
          <w:rFonts w:ascii="TimesNewRomanPS-ItalicMT" w:hAnsi="TimesNewRomanPS-ItalicMT" w:cs="TimesNewRomanPS-ItalicMT"/>
          <w:i/>
          <w:iCs/>
          <w:szCs w:val="24"/>
          <w:lang w:eastAsia="en-AU"/>
        </w:rPr>
        <w:t>David Grant</w:t>
      </w:r>
      <w:r w:rsidR="00B84345">
        <w:rPr>
          <w:rFonts w:ascii="TimesNewRomanPS-ItalicMT" w:hAnsi="TimesNewRomanPS-ItalicMT" w:cs="TimesNewRomanPS-ItalicMT"/>
          <w:i/>
          <w:iCs/>
          <w:szCs w:val="24"/>
          <w:lang w:eastAsia="en-AU"/>
        </w:rPr>
        <w:t xml:space="preserve"> &amp; Co</w:t>
      </w:r>
      <w:r w:rsidR="002673FD">
        <w:rPr>
          <w:rFonts w:ascii="TimesNewRomanPS-ItalicMT" w:hAnsi="TimesNewRomanPS-ItalicMT" w:cs="TimesNewRomanPS-ItalicMT"/>
          <w:szCs w:val="24"/>
          <w:lang w:eastAsia="en-AU"/>
        </w:rPr>
        <w:t>, at [76]-[78] his Honour said:</w:t>
      </w:r>
      <w:bookmarkEnd w:id="47"/>
    </w:p>
    <w:p w14:paraId="549E6EE9" w14:textId="77777777" w:rsidR="002673FD" w:rsidRDefault="002673FD" w:rsidP="002673FD">
      <w:pPr>
        <w:pStyle w:val="Quote1"/>
        <w:ind w:left="1440" w:hanging="703"/>
        <w:rPr>
          <w:lang w:eastAsia="en-AU"/>
        </w:rPr>
      </w:pPr>
      <w:r>
        <w:rPr>
          <w:lang w:eastAsia="en-AU"/>
        </w:rPr>
        <w:t>76</w:t>
      </w:r>
      <w:r>
        <w:rPr>
          <w:lang w:eastAsia="en-AU"/>
        </w:rPr>
        <w:tab/>
        <w:t xml:space="preserve">…The position here is slightly different from those cases. </w:t>
      </w:r>
      <w:r w:rsidRPr="00651F59">
        <w:rPr>
          <w:i/>
          <w:iCs/>
          <w:lang w:eastAsia="en-AU"/>
        </w:rPr>
        <w:t>First</w:t>
      </w:r>
      <w:r>
        <w:rPr>
          <w:lang w:eastAsia="en-AU"/>
        </w:rPr>
        <w:t xml:space="preserve">, s 601AH(3) has been amended several times since the decision in </w:t>
      </w:r>
      <w:proofErr w:type="spellStart"/>
      <w:r w:rsidRPr="005634E7">
        <w:rPr>
          <w:i/>
          <w:iCs/>
          <w:lang w:eastAsia="en-AU"/>
        </w:rPr>
        <w:t>Pagnon</w:t>
      </w:r>
      <w:proofErr w:type="spellEnd"/>
      <w:r>
        <w:rPr>
          <w:lang w:eastAsia="en-AU"/>
        </w:rPr>
        <w:t xml:space="preserve"> [2001] 2 </w:t>
      </w:r>
      <w:proofErr w:type="spellStart"/>
      <w:r>
        <w:rPr>
          <w:lang w:eastAsia="en-AU"/>
        </w:rPr>
        <w:t>Qd</w:t>
      </w:r>
      <w:proofErr w:type="spellEnd"/>
      <w:r>
        <w:rPr>
          <w:lang w:eastAsia="en-AU"/>
        </w:rPr>
        <w:t xml:space="preserve"> R 492 and a provision, now in the terms of s 601AH(3)(d), has been retained. That provision enables the Court to deal specifically with the situation of a company that, at relevant times, has not existed while a limitation period would be running.  It may well be possible for the Court to exercise the specific power in s 601AH(3)(d) to prevent a statutory limitation provision running where it would be just to do so. </w:t>
      </w:r>
    </w:p>
    <w:p w14:paraId="5D11CECA" w14:textId="77777777" w:rsidR="002673FD" w:rsidRDefault="002673FD" w:rsidP="002673FD">
      <w:pPr>
        <w:pStyle w:val="Quote1"/>
        <w:ind w:left="1440" w:hanging="703"/>
      </w:pPr>
      <w:r>
        <w:t>77</w:t>
      </w:r>
      <w:r>
        <w:tab/>
      </w:r>
      <w:r w:rsidRPr="007F42D7">
        <w:rPr>
          <w:i/>
          <w:iCs/>
        </w:rPr>
        <w:t>Secondly</w:t>
      </w:r>
      <w:r>
        <w:t xml:space="preserve">, as Mason CJ, Brennan, Deane, Dawson, Toohey, </w:t>
      </w:r>
      <w:proofErr w:type="spellStart"/>
      <w:r>
        <w:t>Gaudron</w:t>
      </w:r>
      <w:proofErr w:type="spellEnd"/>
      <w:r>
        <w:t xml:space="preserve"> and McHugh JJ said in </w:t>
      </w:r>
      <w:r w:rsidRPr="007F42D7">
        <w:rPr>
          <w:i/>
          <w:iCs/>
        </w:rPr>
        <w:t>T</w:t>
      </w:r>
      <w:r w:rsidRPr="006940E6">
        <w:rPr>
          <w:i/>
          <w:iCs/>
        </w:rPr>
        <w:t>he Owners of the Ship “Shin Kobe Maru” v Empire Shipping Company Inc</w:t>
      </w:r>
      <w:r>
        <w:t xml:space="preserve"> (1994) 181 CLR 404 at 421:</w:t>
      </w:r>
    </w:p>
    <w:p w14:paraId="0F36F5AD" w14:textId="77777777" w:rsidR="002673FD" w:rsidRDefault="002673FD" w:rsidP="002673FD">
      <w:pPr>
        <w:pStyle w:val="Quote3"/>
      </w:pPr>
      <w:r>
        <w:t>It is quite inappropriate to read provisions conferring jurisdiction or granting powers to a court by making implications or imposing limitations which are not found in the express words.</w:t>
      </w:r>
    </w:p>
    <w:p w14:paraId="4A7B9C9A" w14:textId="77777777" w:rsidR="002673FD" w:rsidRDefault="002673FD" w:rsidP="00D82089">
      <w:pPr>
        <w:pStyle w:val="Quote1"/>
        <w:spacing w:after="360"/>
        <w:ind w:left="1440" w:hanging="703"/>
      </w:pPr>
      <w:r>
        <w:t>78</w:t>
      </w:r>
      <w:r>
        <w:tab/>
        <w:t>It may be open to argue that the specific power in s 601AH(3)(d) is within that principle in its application to the similarly specific limitation period in s 588FF. However, it is not necessary for me to resolve this issue now.  …</w:t>
      </w:r>
    </w:p>
    <w:p w14:paraId="0333A6FA" w14:textId="1D8A2C98" w:rsidR="002673FD" w:rsidRDefault="00D313AC" w:rsidP="00D313AC">
      <w:pPr>
        <w:pStyle w:val="ParaNumbering"/>
        <w:numPr>
          <w:ilvl w:val="0"/>
          <w:numId w:val="0"/>
        </w:numPr>
        <w:ind w:hanging="720"/>
      </w:pPr>
      <w:r>
        <w:rPr>
          <w:sz w:val="20"/>
        </w:rPr>
        <w:t>220</w:t>
      </w:r>
      <w:r>
        <w:rPr>
          <w:sz w:val="20"/>
        </w:rPr>
        <w:tab/>
      </w:r>
      <w:r w:rsidR="002673FD">
        <w:t xml:space="preserve">I note that while </w:t>
      </w:r>
      <w:r w:rsidR="002673FD" w:rsidRPr="002D10D7">
        <w:rPr>
          <w:i/>
          <w:iCs/>
        </w:rPr>
        <w:t xml:space="preserve">Morgan </w:t>
      </w:r>
      <w:r w:rsidR="002673FD">
        <w:t xml:space="preserve">was overturned on appeal, this issue was not considered by the Full Court: see </w:t>
      </w:r>
      <w:r w:rsidR="002673FD" w:rsidRPr="002D10D7">
        <w:rPr>
          <w:i/>
          <w:iCs/>
        </w:rPr>
        <w:t>McMillan Investment Holdings Pty Ltd v Morgan</w:t>
      </w:r>
      <w:r w:rsidR="002673FD">
        <w:t xml:space="preserve"> (2023) 295 FCR 543.  </w:t>
      </w:r>
      <w:r w:rsidR="00C82A99">
        <w:t>In any event Rares J</w:t>
      </w:r>
      <w:r w:rsidR="00C12CD6">
        <w:t xml:space="preserve"> made no more than passing observations</w:t>
      </w:r>
      <w:r w:rsidR="00305C72">
        <w:t xml:space="preserve">, raised a </w:t>
      </w:r>
      <w:r w:rsidR="00BC60BE">
        <w:t>potential issue but</w:t>
      </w:r>
      <w:r w:rsidR="00C12CD6">
        <w:t xml:space="preserve"> </w:t>
      </w:r>
      <w:r w:rsidR="00C82A99">
        <w:t xml:space="preserve">did not determine the question </w:t>
      </w:r>
      <w:r w:rsidR="00C12CD6">
        <w:t xml:space="preserve">that has fallen to me to determine.  </w:t>
      </w:r>
    </w:p>
    <w:p w14:paraId="52CE6859" w14:textId="3003D188" w:rsidR="002673FD" w:rsidRDefault="00D313AC" w:rsidP="00D313AC">
      <w:pPr>
        <w:pStyle w:val="ParaNumbering"/>
        <w:numPr>
          <w:ilvl w:val="0"/>
          <w:numId w:val="0"/>
        </w:numPr>
        <w:ind w:hanging="720"/>
      </w:pPr>
      <w:r>
        <w:rPr>
          <w:sz w:val="20"/>
        </w:rPr>
        <w:t>221</w:t>
      </w:r>
      <w:r>
        <w:rPr>
          <w:sz w:val="20"/>
        </w:rPr>
        <w:tab/>
      </w:r>
      <w:r w:rsidR="00C12CD6">
        <w:t>For the reaso</w:t>
      </w:r>
      <w:r w:rsidR="00BC60BE">
        <w:t xml:space="preserve">ns set out above I am of the view that s 588FF(3) of the Corporations Act </w:t>
      </w:r>
      <w:r w:rsidR="00570717">
        <w:t>“</w:t>
      </w:r>
      <w:r w:rsidR="00BC60BE">
        <w:t>covers the fi</w:t>
      </w:r>
      <w:r w:rsidR="00342BF2">
        <w:t>eld</w:t>
      </w:r>
      <w:r w:rsidR="00570717">
        <w:t xml:space="preserve">”.  </w:t>
      </w:r>
      <w:r w:rsidR="00C96097">
        <w:t>A</w:t>
      </w:r>
      <w:r w:rsidR="00570717">
        <w:t xml:space="preserve">s the </w:t>
      </w:r>
      <w:r w:rsidR="00814C6B">
        <w:t xml:space="preserve">parties </w:t>
      </w:r>
      <w:r w:rsidR="00C242B8">
        <w:t>accept, s</w:t>
      </w:r>
      <w:r w:rsidR="00E03E77">
        <w:t xml:space="preserve"> 588FF is jurisdictional, that is the Court only has jurisdiction </w:t>
      </w:r>
      <w:r w:rsidR="00E03E77">
        <w:lastRenderedPageBreak/>
        <w:t>to he</w:t>
      </w:r>
      <w:r w:rsidR="0015106E">
        <w:t>a</w:t>
      </w:r>
      <w:r w:rsidR="00E03E77">
        <w:t xml:space="preserve">r a claim </w:t>
      </w:r>
      <w:r w:rsidR="003A1127">
        <w:t xml:space="preserve">under s 588FF(1) of the </w:t>
      </w:r>
      <w:r w:rsidR="0015106E">
        <w:t>C</w:t>
      </w:r>
      <w:r w:rsidR="008A34FA">
        <w:t>orporations</w:t>
      </w:r>
      <w:r w:rsidR="003A1127">
        <w:t xml:space="preserve"> Act if it </w:t>
      </w:r>
      <w:r w:rsidR="008A34FA">
        <w:t>is</w:t>
      </w:r>
      <w:r w:rsidR="003A1127">
        <w:t xml:space="preserve"> brought within the period </w:t>
      </w:r>
      <w:r w:rsidR="008A34FA">
        <w:t>specified</w:t>
      </w:r>
      <w:r w:rsidR="003A1127">
        <w:t xml:space="preserve"> in s 5</w:t>
      </w:r>
      <w:r w:rsidR="008A34FA">
        <w:t>88</w:t>
      </w:r>
      <w:r w:rsidR="003A1127">
        <w:t>FF(3)(a) or</w:t>
      </w:r>
      <w:r w:rsidR="008A34FA">
        <w:t xml:space="preserve"> that period extended by an order made in accordance with s 588FF</w:t>
      </w:r>
      <w:r w:rsidR="005A3F61">
        <w:t>(3</w:t>
      </w:r>
      <w:r w:rsidR="008A34FA">
        <w:t xml:space="preserve">)(b).  </w:t>
      </w:r>
      <w:r w:rsidR="002C2158">
        <w:t>T</w:t>
      </w:r>
      <w:r w:rsidR="005A3F61">
        <w:t xml:space="preserve">here is no power </w:t>
      </w:r>
      <w:r w:rsidR="002C2158">
        <w:t xml:space="preserve">to extend the period within which a liquidator can </w:t>
      </w:r>
      <w:r w:rsidR="00590994">
        <w:t>bring a</w:t>
      </w:r>
      <w:r w:rsidR="002C2158">
        <w:t>n application under s 588FF</w:t>
      </w:r>
      <w:r w:rsidR="00590994">
        <w:t xml:space="preserve">(1) </w:t>
      </w:r>
      <w:r w:rsidR="00F64794">
        <w:t xml:space="preserve">other than as specified in </w:t>
      </w:r>
      <w:r w:rsidR="0006665F">
        <w:t xml:space="preserve">the section.  </w:t>
      </w:r>
      <w:r w:rsidR="001F78A0">
        <w:t xml:space="preserve">More particularly, the </w:t>
      </w:r>
      <w:r w:rsidR="0006665F">
        <w:t xml:space="preserve">power in s 601AH(3)(d) of the </w:t>
      </w:r>
      <w:r w:rsidR="00F574A6">
        <w:t>Corporations</w:t>
      </w:r>
      <w:r w:rsidR="0006665F">
        <w:t xml:space="preserve"> Act </w:t>
      </w:r>
      <w:r w:rsidR="00A83122">
        <w:t xml:space="preserve">to make any other order the Court considers appropriate when reinstating the registration of a company </w:t>
      </w:r>
      <w:r w:rsidR="001F78A0">
        <w:t xml:space="preserve">cannot be used to </w:t>
      </w:r>
      <w:r w:rsidR="007A64E8">
        <w:t xml:space="preserve">extend the time </w:t>
      </w:r>
      <w:r w:rsidR="00A83122">
        <w:t>under s </w:t>
      </w:r>
      <w:r w:rsidR="00ED0E33">
        <w:t xml:space="preserve">588FF(3) </w:t>
      </w:r>
      <w:r w:rsidR="007A64E8">
        <w:t xml:space="preserve">for the purposes of bringing an application under s 588FF(1).  </w:t>
      </w:r>
    </w:p>
    <w:p w14:paraId="4E888F33" w14:textId="4A1C054A" w:rsidR="00ED0E33" w:rsidRDefault="00D313AC" w:rsidP="00D313AC">
      <w:pPr>
        <w:pStyle w:val="ParaNumbering"/>
        <w:numPr>
          <w:ilvl w:val="0"/>
          <w:numId w:val="0"/>
        </w:numPr>
        <w:ind w:hanging="720"/>
      </w:pPr>
      <w:r>
        <w:rPr>
          <w:sz w:val="20"/>
        </w:rPr>
        <w:t>222</w:t>
      </w:r>
      <w:r>
        <w:rPr>
          <w:sz w:val="20"/>
        </w:rPr>
        <w:tab/>
      </w:r>
      <w:r w:rsidR="00ED0E33">
        <w:t xml:space="preserve">It follows that in my view there was no power to make Order 3 of the Reinstatement Orders and for that reason Order </w:t>
      </w:r>
      <w:r w:rsidR="000D67F1">
        <w:t xml:space="preserve">3 </w:t>
      </w:r>
      <w:r w:rsidR="00ED0E33">
        <w:t>should be</w:t>
      </w:r>
      <w:r w:rsidR="00794F86">
        <w:t xml:space="preserve"> discharged</w:t>
      </w:r>
      <w:r w:rsidR="00ED0E33">
        <w:t xml:space="preserve">.  </w:t>
      </w:r>
    </w:p>
    <w:p w14:paraId="3AE9294E" w14:textId="67DDD364" w:rsidR="00130F2C" w:rsidRDefault="00BA02C8" w:rsidP="00266E73">
      <w:pPr>
        <w:pStyle w:val="Heading2"/>
      </w:pPr>
      <w:r>
        <w:t>Other grounds relied on by the Applicants</w:t>
      </w:r>
    </w:p>
    <w:p w14:paraId="15945026" w14:textId="0F8706C9" w:rsidR="008925F1" w:rsidRDefault="00D313AC" w:rsidP="00D313AC">
      <w:pPr>
        <w:pStyle w:val="ParaNumbering"/>
        <w:numPr>
          <w:ilvl w:val="0"/>
          <w:numId w:val="0"/>
        </w:numPr>
        <w:ind w:hanging="720"/>
      </w:pPr>
      <w:r>
        <w:rPr>
          <w:sz w:val="20"/>
        </w:rPr>
        <w:t>223</w:t>
      </w:r>
      <w:r>
        <w:rPr>
          <w:sz w:val="20"/>
        </w:rPr>
        <w:tab/>
      </w:r>
      <w:r w:rsidR="004E28E7">
        <w:t xml:space="preserve">As set out above, the </w:t>
      </w:r>
      <w:r w:rsidR="0066521B">
        <w:t>Applicants</w:t>
      </w:r>
      <w:r w:rsidR="004E28E7">
        <w:t xml:space="preserve"> raise other bases upon which they say Order 3 should be set aside or varied so that it does not </w:t>
      </w:r>
      <w:r w:rsidR="0066521B">
        <w:t>operate</w:t>
      </w:r>
      <w:r w:rsidR="004E28E7">
        <w:t xml:space="preserve"> against them.  </w:t>
      </w:r>
      <w:r w:rsidR="00390925">
        <w:t>Th</w:t>
      </w:r>
      <w:r w:rsidR="008925F1">
        <w:t xml:space="preserve">ey are: as a preliminary </w:t>
      </w:r>
      <w:r w:rsidR="00343987">
        <w:t xml:space="preserve">issue, whether Order 3 of the </w:t>
      </w:r>
      <w:r w:rsidR="00B44034">
        <w:t>R</w:t>
      </w:r>
      <w:r w:rsidR="00117F32">
        <w:t>einstatement</w:t>
      </w:r>
      <w:r w:rsidR="00343987">
        <w:t xml:space="preserve"> Orders should be set aside as of right</w:t>
      </w:r>
      <w:r w:rsidR="00117F32">
        <w:t xml:space="preserve">, an issue which in turn affects the question of onus; </w:t>
      </w:r>
      <w:r w:rsidR="008925F1">
        <w:t xml:space="preserve">that s 601AH(3)(d) does not empower the Court to extend time for limitation purposes; and, in the alternative, that, even if the Court had power to make Order 3 of the Reinstatement Orders, it was not within the proper exercise of discretion under </w:t>
      </w:r>
      <w:r w:rsidR="008925F1" w:rsidRPr="0081077F">
        <w:t>s</w:t>
      </w:r>
      <w:r w:rsidR="008925F1">
        <w:t> </w:t>
      </w:r>
      <w:r w:rsidR="008925F1" w:rsidRPr="0081077F">
        <w:t>601AH</w:t>
      </w:r>
      <w:r w:rsidR="008925F1">
        <w:t>(3) of the Corporations Act to make that order.</w:t>
      </w:r>
    </w:p>
    <w:p w14:paraId="40A292F3" w14:textId="57E1E124" w:rsidR="004E28E7" w:rsidRPr="004E28E7" w:rsidRDefault="00D313AC" w:rsidP="00D313AC">
      <w:pPr>
        <w:pStyle w:val="ParaNumbering"/>
        <w:numPr>
          <w:ilvl w:val="0"/>
          <w:numId w:val="0"/>
        </w:numPr>
        <w:ind w:hanging="720"/>
      </w:pPr>
      <w:r w:rsidRPr="004E28E7">
        <w:rPr>
          <w:sz w:val="20"/>
        </w:rPr>
        <w:t>224</w:t>
      </w:r>
      <w:r w:rsidRPr="004E28E7">
        <w:rPr>
          <w:sz w:val="20"/>
        </w:rPr>
        <w:tab/>
      </w:r>
      <w:r w:rsidR="00117F32">
        <w:t xml:space="preserve">Given my conclusion in relation to the Applicants’ primary argument </w:t>
      </w:r>
      <w:r w:rsidR="00266E73">
        <w:t>concerning</w:t>
      </w:r>
      <w:r w:rsidR="00117F32">
        <w:t xml:space="preserve"> the construction </w:t>
      </w:r>
      <w:r w:rsidR="00126019">
        <w:t>of</w:t>
      </w:r>
      <w:r w:rsidR="00117F32">
        <w:t xml:space="preserve"> s 588FF of the </w:t>
      </w:r>
      <w:r w:rsidR="00126019">
        <w:t>Corporations</w:t>
      </w:r>
      <w:r w:rsidR="00117F32">
        <w:t xml:space="preserve"> Act, it is not necessary for me to address any of these </w:t>
      </w:r>
      <w:r w:rsidR="00F50CC6">
        <w:t xml:space="preserve">alternate bases in detail or at all.  However, </w:t>
      </w:r>
      <w:r w:rsidR="003606EB">
        <w:t xml:space="preserve">against the possibility </w:t>
      </w:r>
      <w:r w:rsidR="004E28E7">
        <w:t xml:space="preserve">that I am </w:t>
      </w:r>
      <w:r w:rsidR="005018D9">
        <w:t xml:space="preserve">found to be </w:t>
      </w:r>
      <w:r w:rsidR="004E28E7">
        <w:t xml:space="preserve">wrong </w:t>
      </w:r>
      <w:r w:rsidR="0066521B">
        <w:t xml:space="preserve">in concluding that the Court had no power to make Order 3 I briefly address </w:t>
      </w:r>
      <w:r w:rsidR="00F50CC6">
        <w:t xml:space="preserve">the first two questions </w:t>
      </w:r>
      <w:r w:rsidR="00126019">
        <w:t>set out in the preceding paragraph.  I have not</w:t>
      </w:r>
      <w:r w:rsidR="00134274">
        <w:t xml:space="preserve">, in the </w:t>
      </w:r>
      <w:r w:rsidR="00160A7C">
        <w:t>circumstances</w:t>
      </w:r>
      <w:r w:rsidR="00134274">
        <w:t xml:space="preserve"> and having regard </w:t>
      </w:r>
      <w:r w:rsidR="00160A7C">
        <w:t>to</w:t>
      </w:r>
      <w:r w:rsidR="00134274">
        <w:t xml:space="preserve"> </w:t>
      </w:r>
      <w:r w:rsidR="00160A7C">
        <w:t xml:space="preserve">the </w:t>
      </w:r>
      <w:r w:rsidR="00660138">
        <w:t>reasons</w:t>
      </w:r>
      <w:r w:rsidR="00160A7C">
        <w:t xml:space="preserve"> why </w:t>
      </w:r>
      <w:r w:rsidR="00DC24F6">
        <w:t>in my view</w:t>
      </w:r>
      <w:r w:rsidR="00160A7C">
        <w:t xml:space="preserve"> Order 3 should be discharged</w:t>
      </w:r>
      <w:r w:rsidR="00660138">
        <w:t xml:space="preserve">, </w:t>
      </w:r>
      <w:r w:rsidR="00126019">
        <w:t>considered whether</w:t>
      </w:r>
      <w:r w:rsidR="00A959F5">
        <w:t xml:space="preserve">, assuming the power question in favour of the Commissioner, it was within the proper exercise of the Court’s discretion </w:t>
      </w:r>
      <w:r w:rsidR="00134274">
        <w:t>under s 601AH(3)(d) to make Order 3 (or</w:t>
      </w:r>
      <w:r w:rsidR="00126019">
        <w:t xml:space="preserve"> </w:t>
      </w:r>
      <w:r w:rsidR="001A336B">
        <w:t xml:space="preserve">undertaken a re-exercise of </w:t>
      </w:r>
      <w:r w:rsidR="00134274">
        <w:t>th</w:t>
      </w:r>
      <w:r w:rsidR="00644947">
        <w:t>at</w:t>
      </w:r>
      <w:r w:rsidR="00134274">
        <w:t xml:space="preserve"> discretion).</w:t>
      </w:r>
      <w:r w:rsidR="0066521B">
        <w:t xml:space="preserve">  </w:t>
      </w:r>
    </w:p>
    <w:p w14:paraId="4CCC6693" w14:textId="4DF04A41" w:rsidR="004B0E7F" w:rsidRDefault="004B0E7F" w:rsidP="00DA5A98">
      <w:pPr>
        <w:pStyle w:val="Heading3"/>
      </w:pPr>
      <w:r>
        <w:t>Should Order 3 of the Reinstatement Orders be set aside as of right?</w:t>
      </w:r>
    </w:p>
    <w:p w14:paraId="296533BE" w14:textId="392B9437" w:rsidR="00814A10" w:rsidRDefault="00D313AC" w:rsidP="00D313AC">
      <w:pPr>
        <w:pStyle w:val="ParaNumbering"/>
        <w:numPr>
          <w:ilvl w:val="0"/>
          <w:numId w:val="0"/>
        </w:numPr>
        <w:ind w:hanging="720"/>
      </w:pPr>
      <w:r>
        <w:rPr>
          <w:sz w:val="20"/>
        </w:rPr>
        <w:t>225</w:t>
      </w:r>
      <w:r>
        <w:rPr>
          <w:sz w:val="20"/>
        </w:rPr>
        <w:tab/>
      </w:r>
      <w:r w:rsidR="00113FAF">
        <w:t>Putting to one side the question of power addressed above, this</w:t>
      </w:r>
      <w:r w:rsidR="00D16D21">
        <w:t xml:space="preserve"> </w:t>
      </w:r>
      <w:r w:rsidR="008311A3">
        <w:t>is</w:t>
      </w:r>
      <w:r w:rsidR="00D16D21">
        <w:t xml:space="preserve"> the first question to be addressed.  </w:t>
      </w:r>
      <w:r w:rsidR="00814A10">
        <w:t>The Applicants submit that in circumstances where Order 3 was procured without notice to any debtor now sought to be sued it is liable to be set aside as of right.</w:t>
      </w:r>
      <w:r w:rsidR="00967B25">
        <w:t xml:space="preserve">  </w:t>
      </w:r>
    </w:p>
    <w:p w14:paraId="41F68550" w14:textId="45A47C91" w:rsidR="00814A10" w:rsidRDefault="00542214" w:rsidP="00542214">
      <w:pPr>
        <w:pStyle w:val="Heading4"/>
      </w:pPr>
      <w:r>
        <w:lastRenderedPageBreak/>
        <w:t xml:space="preserve">The parties’ submissions </w:t>
      </w:r>
    </w:p>
    <w:p w14:paraId="413FD046" w14:textId="022AA5E9" w:rsidR="000768F5" w:rsidRDefault="00D313AC" w:rsidP="00D313AC">
      <w:pPr>
        <w:pStyle w:val="ParaNumbering"/>
        <w:numPr>
          <w:ilvl w:val="0"/>
          <w:numId w:val="0"/>
        </w:numPr>
        <w:ind w:hanging="720"/>
      </w:pPr>
      <w:r>
        <w:rPr>
          <w:sz w:val="20"/>
        </w:rPr>
        <w:t>226</w:t>
      </w:r>
      <w:r>
        <w:rPr>
          <w:sz w:val="20"/>
        </w:rPr>
        <w:tab/>
      </w:r>
      <w:r w:rsidR="0013375F">
        <w:t xml:space="preserve">While each group of Applicants makes slightly different submissions as to why </w:t>
      </w:r>
      <w:r w:rsidR="00633443">
        <w:t xml:space="preserve">they are entitled </w:t>
      </w:r>
      <w:r w:rsidR="000768F5">
        <w:t>to</w:t>
      </w:r>
      <w:r w:rsidR="00633443">
        <w:t xml:space="preserve"> have Order 3 set aside as of right</w:t>
      </w:r>
      <w:r w:rsidR="000768F5">
        <w:t>, particularly given the different facts applying to each group, at a general level they put the arguments summarised below.</w:t>
      </w:r>
    </w:p>
    <w:p w14:paraId="116192DE" w14:textId="73759D91" w:rsidR="00542214" w:rsidRDefault="00D313AC" w:rsidP="00D313AC">
      <w:pPr>
        <w:pStyle w:val="ParaNumbering"/>
        <w:numPr>
          <w:ilvl w:val="0"/>
          <w:numId w:val="0"/>
        </w:numPr>
        <w:ind w:hanging="720"/>
      </w:pPr>
      <w:r>
        <w:rPr>
          <w:sz w:val="20"/>
        </w:rPr>
        <w:t>227</w:t>
      </w:r>
      <w:r>
        <w:rPr>
          <w:sz w:val="20"/>
        </w:rPr>
        <w:tab/>
      </w:r>
      <w:r w:rsidR="00EC1476">
        <w:t xml:space="preserve">The Applicants submit that </w:t>
      </w:r>
      <w:r w:rsidR="002D56EC">
        <w:t xml:space="preserve">they </w:t>
      </w:r>
      <w:r w:rsidR="00BD5E01">
        <w:t>had</w:t>
      </w:r>
      <w:r w:rsidR="002D56EC">
        <w:t xml:space="preserve"> </w:t>
      </w:r>
      <w:r w:rsidR="00BD5E01">
        <w:t>a material</w:t>
      </w:r>
      <w:r w:rsidR="002D56EC">
        <w:t xml:space="preserve"> interest in the matters giving rise to the </w:t>
      </w:r>
      <w:r w:rsidR="00BD5E01">
        <w:t>Reinstatement</w:t>
      </w:r>
      <w:r w:rsidR="002D56EC">
        <w:t xml:space="preserve"> Orders and the parties </w:t>
      </w:r>
      <w:r w:rsidR="00731616">
        <w:t xml:space="preserve">to the proceeding at the time </w:t>
      </w:r>
      <w:r w:rsidR="002D56EC">
        <w:t xml:space="preserve">either knew or should have known </w:t>
      </w:r>
      <w:r w:rsidR="00562B57">
        <w:t>that the</w:t>
      </w:r>
      <w:r w:rsidR="00BD5E01">
        <w:t xml:space="preserve"> Applicant</w:t>
      </w:r>
      <w:r w:rsidR="00A33C62">
        <w:t>s’</w:t>
      </w:r>
      <w:r w:rsidR="00562B57">
        <w:t xml:space="preserve"> rights or liabilities would be affected by those orders such that they should have been joined </w:t>
      </w:r>
      <w:r w:rsidR="00BD5E01">
        <w:t>to</w:t>
      </w:r>
      <w:r w:rsidR="00562B57">
        <w:t xml:space="preserve"> the interlocutory proceeding before the </w:t>
      </w:r>
      <w:r w:rsidR="00BD5E01">
        <w:t>Reinstatement</w:t>
      </w:r>
      <w:r w:rsidR="00562B57">
        <w:t xml:space="preserve"> Orders were </w:t>
      </w:r>
      <w:r w:rsidR="00BD5E01">
        <w:t xml:space="preserve">considered.  </w:t>
      </w:r>
    </w:p>
    <w:p w14:paraId="3B1B7295" w14:textId="7695FF72" w:rsidR="00BF7751" w:rsidRDefault="00D313AC" w:rsidP="00D313AC">
      <w:pPr>
        <w:pStyle w:val="ParaNumbering"/>
        <w:numPr>
          <w:ilvl w:val="0"/>
          <w:numId w:val="0"/>
        </w:numPr>
        <w:ind w:hanging="720"/>
      </w:pPr>
      <w:r>
        <w:rPr>
          <w:sz w:val="20"/>
        </w:rPr>
        <w:t>228</w:t>
      </w:r>
      <w:r>
        <w:rPr>
          <w:sz w:val="20"/>
        </w:rPr>
        <w:tab/>
      </w:r>
      <w:r w:rsidR="006614C5">
        <w:t xml:space="preserve">The Applicants submit that they were given no notice of the intention to seek the </w:t>
      </w:r>
      <w:r w:rsidR="00AE4F2B">
        <w:t>Reinstatement</w:t>
      </w:r>
      <w:r w:rsidR="00E9799C">
        <w:t> </w:t>
      </w:r>
      <w:r w:rsidR="006614C5">
        <w:t xml:space="preserve">Orders </w:t>
      </w:r>
      <w:r w:rsidR="00AE4F2B">
        <w:t>and</w:t>
      </w:r>
      <w:r w:rsidR="00AA02CE">
        <w:t xml:space="preserve">, in the case of the </w:t>
      </w:r>
      <w:proofErr w:type="spellStart"/>
      <w:r w:rsidR="00AA02CE">
        <w:t>Tabuso</w:t>
      </w:r>
      <w:proofErr w:type="spellEnd"/>
      <w:r w:rsidR="00AA02CE">
        <w:t xml:space="preserve"> Applicants, </w:t>
      </w:r>
      <w:r w:rsidR="00AE4F2B">
        <w:t>t</w:t>
      </w:r>
      <w:r w:rsidR="006614C5">
        <w:t xml:space="preserve">he failure to give notice occurred </w:t>
      </w:r>
      <w:r w:rsidR="00AE4F2B">
        <w:t>in</w:t>
      </w:r>
      <w:r w:rsidR="006614C5">
        <w:t xml:space="preserve"> circumstances where the evidence suggests the Co</w:t>
      </w:r>
      <w:r w:rsidR="00AE4F2B">
        <w:t>m</w:t>
      </w:r>
      <w:r w:rsidR="006614C5">
        <w:t>missioner and Mr Iannuzzi had the</w:t>
      </w:r>
      <w:r w:rsidR="00AA02CE">
        <w:t>m</w:t>
      </w:r>
      <w:r w:rsidR="006614C5">
        <w:t xml:space="preserve"> in mind as prospective defendants in proceedings under </w:t>
      </w:r>
      <w:r w:rsidR="00AA02CE">
        <w:t>Div</w:t>
      </w:r>
      <w:r w:rsidR="006614C5">
        <w:t xml:space="preserve"> </w:t>
      </w:r>
      <w:r w:rsidR="00331A4F">
        <w:t xml:space="preserve">2 </w:t>
      </w:r>
      <w:r w:rsidR="006614C5">
        <w:t>of P</w:t>
      </w:r>
      <w:r w:rsidR="00AA02CE">
        <w:t>t</w:t>
      </w:r>
      <w:r w:rsidR="006614C5">
        <w:t xml:space="preserve"> 5.7B of the</w:t>
      </w:r>
      <w:r w:rsidR="00FD479C">
        <w:t xml:space="preserve"> Corporations</w:t>
      </w:r>
      <w:r w:rsidR="006614C5">
        <w:t xml:space="preserve"> Act from around mid-2017.</w:t>
      </w:r>
      <w:r w:rsidR="00FD479C">
        <w:t xml:space="preserve"> </w:t>
      </w:r>
      <w:r w:rsidR="006614C5">
        <w:t xml:space="preserve"> Notably,</w:t>
      </w:r>
      <w:r w:rsidR="00AA02CE">
        <w:t xml:space="preserve"> that w</w:t>
      </w:r>
      <w:r w:rsidR="006614C5">
        <w:t xml:space="preserve">as within the </w:t>
      </w:r>
      <w:r w:rsidR="00A43E39">
        <w:t>three</w:t>
      </w:r>
      <w:r w:rsidR="00D46FB2">
        <w:t xml:space="preserve"> </w:t>
      </w:r>
      <w:r w:rsidR="006614C5">
        <w:t>year limitation period in s</w:t>
      </w:r>
      <w:r w:rsidR="00AA02CE">
        <w:t> </w:t>
      </w:r>
      <w:r w:rsidR="006614C5">
        <w:t>588FF(3)(a)(</w:t>
      </w:r>
      <w:proofErr w:type="spellStart"/>
      <w:r w:rsidR="006614C5">
        <w:t>i</w:t>
      </w:r>
      <w:proofErr w:type="spellEnd"/>
      <w:r w:rsidR="006614C5">
        <w:t>)</w:t>
      </w:r>
      <w:r w:rsidR="000A6D95">
        <w:t xml:space="preserve"> for those companies</w:t>
      </w:r>
      <w:r w:rsidR="006614C5">
        <w:t xml:space="preserve">. </w:t>
      </w:r>
      <w:r w:rsidR="000F3741">
        <w:t xml:space="preserve"> It was open to the Commissioner in mid-2017, on evidence he had available, to seek orders for reinstatement under s 601AH(2) and the appointment of new liquidators who would have been within time to seek an extension of the limitation period under s 588FF(3)(b) to allow for conduct of investigations, which is what is ordinarily done</w:t>
      </w:r>
      <w:r w:rsidR="005F017E">
        <w:t xml:space="preserve">.  </w:t>
      </w:r>
    </w:p>
    <w:p w14:paraId="691086B7" w14:textId="048B7F0E" w:rsidR="005F017E" w:rsidRPr="00542214" w:rsidRDefault="00D313AC" w:rsidP="00D313AC">
      <w:pPr>
        <w:pStyle w:val="ParaNumbering"/>
        <w:numPr>
          <w:ilvl w:val="0"/>
          <w:numId w:val="0"/>
        </w:numPr>
        <w:ind w:hanging="720"/>
      </w:pPr>
      <w:r w:rsidRPr="00542214">
        <w:rPr>
          <w:sz w:val="20"/>
        </w:rPr>
        <w:t>229</w:t>
      </w:r>
      <w:r w:rsidRPr="00542214">
        <w:rPr>
          <w:sz w:val="20"/>
        </w:rPr>
        <w:tab/>
      </w:r>
      <w:r w:rsidR="005F017E">
        <w:t>The Applicants submit that instead this proceeding, insofar as it led to the Reinstatement</w:t>
      </w:r>
      <w:r w:rsidR="004B148F">
        <w:t> </w:t>
      </w:r>
      <w:r w:rsidR="005F017E">
        <w:t>Orders</w:t>
      </w:r>
      <w:r w:rsidR="00EF438F">
        <w:t>,</w:t>
      </w:r>
      <w:r w:rsidR="005F017E">
        <w:t xml:space="preserve"> was heard, in effect, </w:t>
      </w:r>
      <w:r w:rsidR="005F017E" w:rsidRPr="00EE3C54">
        <w:rPr>
          <w:i/>
          <w:iCs/>
        </w:rPr>
        <w:t xml:space="preserve">ex </w:t>
      </w:r>
      <w:proofErr w:type="spellStart"/>
      <w:r w:rsidR="005F017E" w:rsidRPr="00EE3C54">
        <w:rPr>
          <w:i/>
          <w:iCs/>
        </w:rPr>
        <w:t>parte</w:t>
      </w:r>
      <w:proofErr w:type="spellEnd"/>
      <w:r w:rsidR="005F017E">
        <w:t xml:space="preserve">.  </w:t>
      </w:r>
      <w:r w:rsidR="004C23BF">
        <w:t>The Applicants contend that there was insufficient disclosure to the Court by the pa</w:t>
      </w:r>
      <w:r w:rsidR="00C74F30">
        <w:t>rties</w:t>
      </w:r>
      <w:r w:rsidR="004C23BF">
        <w:t xml:space="preserve"> prior to the making of the orders</w:t>
      </w:r>
      <w:r w:rsidR="001F2771">
        <w:t xml:space="preserve">. </w:t>
      </w:r>
      <w:r w:rsidR="00242EEC">
        <w:t xml:space="preserve"> </w:t>
      </w:r>
      <w:r w:rsidR="001A5F64">
        <w:t>The Applicants observe that this was in circumstances where the Commissioner and Mr Iannuzzi were represented</w:t>
      </w:r>
      <w:r w:rsidR="00FD7FE9">
        <w:t>.</w:t>
      </w:r>
      <w:r w:rsidR="001A5F64">
        <w:t xml:space="preserve"> </w:t>
      </w:r>
      <w:r w:rsidR="00FD7FE9">
        <w:t xml:space="preserve"> T</w:t>
      </w:r>
      <w:r w:rsidR="00B76C17">
        <w:t>++</w:t>
      </w:r>
      <w:r w:rsidR="004C23BF">
        <w:t>here is</w:t>
      </w:r>
      <w:r w:rsidR="001F2771">
        <w:t>:</w:t>
      </w:r>
      <w:r w:rsidR="004C23BF">
        <w:t xml:space="preserve"> no evidence of submissions being made about what prospective defendants (such as the Applicants) might say about the making of Order 3</w:t>
      </w:r>
      <w:r w:rsidR="001C16C3">
        <w:t xml:space="preserve"> of the Reinstatement</w:t>
      </w:r>
      <w:r w:rsidR="000950C8">
        <w:t> </w:t>
      </w:r>
      <w:r w:rsidR="001C16C3">
        <w:t>Orders</w:t>
      </w:r>
      <w:r w:rsidR="00242EEC">
        <w:t>;</w:t>
      </w:r>
      <w:r w:rsidR="004C23BF">
        <w:t xml:space="preserve"> no evidence of any party seeking to explain the absence of notice to prospective defendants before the Reinstatement</w:t>
      </w:r>
      <w:r w:rsidR="000950C8">
        <w:t> </w:t>
      </w:r>
      <w:r w:rsidR="004C23BF">
        <w:t>Orders were made</w:t>
      </w:r>
      <w:r w:rsidR="00242EEC">
        <w:t>;</w:t>
      </w:r>
      <w:r w:rsidR="004C23BF">
        <w:t xml:space="preserve"> no evidence which indicates that relevant authorities were supplied to the Court</w:t>
      </w:r>
      <w:r w:rsidR="00352D62">
        <w:t xml:space="preserve">, </w:t>
      </w:r>
      <w:r w:rsidR="004C23BF">
        <w:t>or argued or alluded to</w:t>
      </w:r>
      <w:r w:rsidR="00242EEC">
        <w:t>;</w:t>
      </w:r>
      <w:r w:rsidR="00EE5181">
        <w:t xml:space="preserve"> and</w:t>
      </w:r>
      <w:r w:rsidR="004C23BF">
        <w:t xml:space="preserve"> nothing in the </w:t>
      </w:r>
      <w:r w:rsidR="00352D62">
        <w:t xml:space="preserve">record from which the Court could be satisfied that the notion of expired substantive limitation periods was ever a subject of debate. </w:t>
      </w:r>
      <w:r w:rsidR="00EE5181">
        <w:t xml:space="preserve"> </w:t>
      </w:r>
      <w:r w:rsidR="00B10AE6">
        <w:t xml:space="preserve">The Applicants submit that in </w:t>
      </w:r>
      <w:r w:rsidR="00352D62">
        <w:t>2019</w:t>
      </w:r>
      <w:r w:rsidR="00B10AE6">
        <w:t>, a</w:t>
      </w:r>
      <w:r w:rsidR="00352D62">
        <w:t xml:space="preserve">s now, the authorities were far from clear as to whether orders like </w:t>
      </w:r>
      <w:r w:rsidR="00B10AE6">
        <w:t xml:space="preserve">Order 3 of the </w:t>
      </w:r>
      <w:r w:rsidR="00B10AE6">
        <w:lastRenderedPageBreak/>
        <w:t>Re</w:t>
      </w:r>
      <w:r w:rsidR="00C74F30">
        <w:t xml:space="preserve">instatement </w:t>
      </w:r>
      <w:r w:rsidR="00352D62">
        <w:t>Order</w:t>
      </w:r>
      <w:r w:rsidR="00C74F30">
        <w:t>s</w:t>
      </w:r>
      <w:r w:rsidR="00352D62">
        <w:t xml:space="preserve"> are possible as a matter of power or discretion</w:t>
      </w:r>
      <w:r w:rsidR="00C74F30">
        <w:t xml:space="preserve"> and it</w:t>
      </w:r>
      <w:r w:rsidR="00352D62">
        <w:t xml:space="preserve"> appears that none of this was brought to the attention of the Court. </w:t>
      </w:r>
    </w:p>
    <w:p w14:paraId="5342B376" w14:textId="18E0D657" w:rsidR="0060574E" w:rsidRDefault="00D313AC" w:rsidP="00D313AC">
      <w:pPr>
        <w:pStyle w:val="ParaNumbering"/>
        <w:numPr>
          <w:ilvl w:val="0"/>
          <w:numId w:val="0"/>
        </w:numPr>
        <w:ind w:hanging="720"/>
      </w:pPr>
      <w:r>
        <w:rPr>
          <w:sz w:val="20"/>
        </w:rPr>
        <w:t>230</w:t>
      </w:r>
      <w:r>
        <w:rPr>
          <w:sz w:val="20"/>
        </w:rPr>
        <w:tab/>
      </w:r>
      <w:r w:rsidR="0060574E">
        <w:t>The Applicants submit that while liberty to apply granted by Order 4 of the Reinstatement</w:t>
      </w:r>
      <w:r w:rsidR="00D43B13">
        <w:t> </w:t>
      </w:r>
      <w:r w:rsidR="0060574E">
        <w:t xml:space="preserve">Orders has now been exercised, they were deprived of the opportunity to make submissions on the application of </w:t>
      </w:r>
      <w:r w:rsidR="0060574E" w:rsidRPr="0060574E">
        <w:t>s</w:t>
      </w:r>
      <w:r w:rsidR="0060574E">
        <w:t> </w:t>
      </w:r>
      <w:r w:rsidR="0060574E" w:rsidRPr="0060574E">
        <w:t>601AH</w:t>
      </w:r>
      <w:r w:rsidR="0060574E">
        <w:t xml:space="preserve"> </w:t>
      </w:r>
      <w:r w:rsidR="00226CDA">
        <w:t xml:space="preserve">of the Corporations Act </w:t>
      </w:r>
      <w:r w:rsidR="0060574E">
        <w:t xml:space="preserve">concerning the issue of whether reinstatement of the registration of one or more of the </w:t>
      </w:r>
      <w:r w:rsidR="00625660">
        <w:t>deregistered c</w:t>
      </w:r>
      <w:r w:rsidR="0060574E">
        <w:t>ompanies was just, in the face of s</w:t>
      </w:r>
      <w:r w:rsidR="00226CDA">
        <w:t> </w:t>
      </w:r>
      <w:r w:rsidR="0060574E">
        <w:t>588FF(3)(a)(</w:t>
      </w:r>
      <w:proofErr w:type="spellStart"/>
      <w:r w:rsidR="0060574E">
        <w:t>i</w:t>
      </w:r>
      <w:proofErr w:type="spellEnd"/>
      <w:r w:rsidR="0060574E">
        <w:t>)</w:t>
      </w:r>
      <w:r w:rsidR="00226CDA">
        <w:t xml:space="preserve"> of the Corporations Act</w:t>
      </w:r>
      <w:r w:rsidR="008A36E0">
        <w:t xml:space="preserve">.  They say that </w:t>
      </w:r>
      <w:r w:rsidR="002423E0">
        <w:t xml:space="preserve">that if the Court had been taken to some of the relevant authorities </w:t>
      </w:r>
      <w:r w:rsidR="0060574E">
        <w:t xml:space="preserve">the Court may well have refused to reinstate the </w:t>
      </w:r>
      <w:r w:rsidR="00EB4BB1">
        <w:t>c</w:t>
      </w:r>
      <w:r w:rsidR="0060574E">
        <w:t xml:space="preserve">ompanies on the basis that the application was brought as a device to circumvent the limitation period </w:t>
      </w:r>
      <w:r w:rsidR="000117CB">
        <w:t>which</w:t>
      </w:r>
      <w:r w:rsidR="0060574E">
        <w:t xml:space="preserve"> could not be achieved by such a route. </w:t>
      </w:r>
      <w:r w:rsidR="000117CB">
        <w:t xml:space="preserve"> They contend that</w:t>
      </w:r>
      <w:r w:rsidR="008A36E0">
        <w:t>,</w:t>
      </w:r>
      <w:r w:rsidR="000117CB">
        <w:t xml:space="preserve"> a</w:t>
      </w:r>
      <w:r w:rsidR="0060574E">
        <w:t xml:space="preserve">t a minimum, the Court would have been alerted to the relevant authorities bearing on the exercise of the discretion to make </w:t>
      </w:r>
      <w:r w:rsidR="000117CB">
        <w:t>Order 3 of the Reinstatement Orders</w:t>
      </w:r>
      <w:r w:rsidR="0060574E">
        <w:t>.</w:t>
      </w:r>
      <w:r w:rsidR="003F5350" w:rsidRPr="003F5350">
        <w:rPr>
          <w:rStyle w:val="FootnoteReference"/>
        </w:rPr>
        <w:t xml:space="preserve"> </w:t>
      </w:r>
      <w:r w:rsidR="0060574E">
        <w:t xml:space="preserve"> </w:t>
      </w:r>
    </w:p>
    <w:p w14:paraId="10394F0D" w14:textId="4603BFC6" w:rsidR="00CE1D88" w:rsidRDefault="00D313AC" w:rsidP="00D313AC">
      <w:pPr>
        <w:pStyle w:val="ParaNumbering"/>
        <w:numPr>
          <w:ilvl w:val="0"/>
          <w:numId w:val="0"/>
        </w:numPr>
        <w:ind w:hanging="720"/>
      </w:pPr>
      <w:r>
        <w:rPr>
          <w:sz w:val="20"/>
        </w:rPr>
        <w:t>231</w:t>
      </w:r>
      <w:r>
        <w:rPr>
          <w:sz w:val="20"/>
        </w:rPr>
        <w:tab/>
      </w:r>
      <w:r w:rsidR="00A32AC8">
        <w:t>The Applicants submit that in his written submissions in support of the Reinstatement Orders, the Commissioner only identified Mr Iannuzzi as “the person likely to be prejudiced by the reinstatement of the companies” and relied upon his consent as a circumstance which supported reinstatement.  They contend that, whilst it was correct that Mr Iannuzzi was prejudiced by reinstatement of the companies,</w:t>
      </w:r>
      <w:r w:rsidR="00312BD9">
        <w:t xml:space="preserve"> as</w:t>
      </w:r>
      <w:r w:rsidR="00A32AC8">
        <w:t xml:space="preserve"> that would enable the Liquidators to bring claims against him for compensation in relation to his alleged negligence</w:t>
      </w:r>
      <w:r w:rsidR="00563260">
        <w:t xml:space="preserve">, </w:t>
      </w:r>
      <w:r w:rsidR="00A32AC8">
        <w:t xml:space="preserve">Mr Iannuzzi was </w:t>
      </w:r>
      <w:r w:rsidR="004E6CB0">
        <w:t xml:space="preserve">also </w:t>
      </w:r>
      <w:r w:rsidR="00A32AC8">
        <w:t>not prejudiced by, and in fact stood to benefit from, the making of Order 3</w:t>
      </w:r>
      <w:r w:rsidR="00BB25BC">
        <w:t xml:space="preserve"> of the Reinstatement</w:t>
      </w:r>
      <w:r w:rsidR="000E4242">
        <w:t> </w:t>
      </w:r>
      <w:r w:rsidR="00BB25BC">
        <w:t>Orders</w:t>
      </w:r>
      <w:r w:rsidR="00A32AC8">
        <w:t xml:space="preserve">. </w:t>
      </w:r>
      <w:r w:rsidR="008A408E">
        <w:t xml:space="preserve"> </w:t>
      </w:r>
      <w:r w:rsidR="00246418">
        <w:t xml:space="preserve">That was because </w:t>
      </w:r>
      <w:r w:rsidR="008A408E">
        <w:t xml:space="preserve">it was in Mr Iannuzzi’s interest </w:t>
      </w:r>
      <w:r w:rsidR="00DE59E5">
        <w:t xml:space="preserve">that </w:t>
      </w:r>
      <w:r w:rsidR="008A408E">
        <w:t>the period for a liquidator to bring s</w:t>
      </w:r>
      <w:r w:rsidR="00246418">
        <w:t> </w:t>
      </w:r>
      <w:r w:rsidR="008A408E">
        <w:t>588FF actions be extended because</w:t>
      </w:r>
      <w:r w:rsidR="00DD79DC">
        <w:t>,</w:t>
      </w:r>
      <w:r w:rsidR="008A408E">
        <w:t xml:space="preserve"> the more recovered by the </w:t>
      </w:r>
      <w:r w:rsidR="0063501A">
        <w:t>Li</w:t>
      </w:r>
      <w:r w:rsidR="008A408E">
        <w:t>quidators under s 588FF</w:t>
      </w:r>
      <w:r w:rsidR="0063501A">
        <w:t>(1)</w:t>
      </w:r>
      <w:r w:rsidR="008A408E">
        <w:t xml:space="preserve">, the lower his potential exposure to liability for damages or compensation </w:t>
      </w:r>
      <w:r w:rsidR="00DD79DC">
        <w:t>for</w:t>
      </w:r>
      <w:r w:rsidR="008A408E">
        <w:t xml:space="preserve"> his alleged negligence</w:t>
      </w:r>
      <w:r w:rsidR="0063501A">
        <w:t>.</w:t>
      </w:r>
    </w:p>
    <w:p w14:paraId="69DF7BB3" w14:textId="056670D8" w:rsidR="00175B10" w:rsidRDefault="00D313AC" w:rsidP="00D313AC">
      <w:pPr>
        <w:pStyle w:val="ParaNumbering"/>
        <w:numPr>
          <w:ilvl w:val="0"/>
          <w:numId w:val="0"/>
        </w:numPr>
        <w:ind w:hanging="720"/>
      </w:pPr>
      <w:r>
        <w:rPr>
          <w:sz w:val="20"/>
        </w:rPr>
        <w:t>232</w:t>
      </w:r>
      <w:r>
        <w:rPr>
          <w:sz w:val="20"/>
        </w:rPr>
        <w:tab/>
      </w:r>
      <w:r w:rsidR="00CE1D88">
        <w:t>The Applicants submit that there is no evidence from the Commissioner or Mr Iannuzzi of any exceptional circumstances which would have justified the making of Order 3 of the Reinstatement Orders in the absence of the persons affected by it</w:t>
      </w:r>
      <w:r w:rsidR="005849A5">
        <w:t xml:space="preserve"> and there </w:t>
      </w:r>
      <w:r w:rsidR="00CE1D88">
        <w:t xml:space="preserve">was no apparent urgency to the making of Order 3, given that </w:t>
      </w:r>
      <w:r w:rsidR="004C29BE">
        <w:t>as at the date it was made</w:t>
      </w:r>
      <w:r w:rsidR="00CE1D88">
        <w:t xml:space="preserve"> the proceeding had been on foot for over </w:t>
      </w:r>
      <w:r w:rsidR="00912F86">
        <w:t>two</w:t>
      </w:r>
      <w:r w:rsidR="00CE1D88">
        <w:t xml:space="preserve"> years</w:t>
      </w:r>
      <w:r w:rsidR="00CD2857">
        <w:t xml:space="preserve"> </w:t>
      </w:r>
      <w:r w:rsidR="00CE1D88">
        <w:t xml:space="preserve">and the s </w:t>
      </w:r>
      <w:r w:rsidR="00523CA1" w:rsidRPr="00523CA1">
        <w:t>588FF(3</w:t>
      </w:r>
      <w:r w:rsidR="00CD2857">
        <w:t>)</w:t>
      </w:r>
      <w:r w:rsidR="00523CA1" w:rsidRPr="00523CA1">
        <w:t xml:space="preserve"> period ending </w:t>
      </w:r>
      <w:r w:rsidR="004C5BF4">
        <w:t>three</w:t>
      </w:r>
      <w:r w:rsidR="00523CA1" w:rsidRPr="00523CA1">
        <w:t xml:space="preserve"> years after the relation-back day had already expired</w:t>
      </w:r>
      <w:r w:rsidR="00CD2857">
        <w:t xml:space="preserve"> for any claims to be brought by liquidators of RC Group </w:t>
      </w:r>
      <w:r w:rsidR="0013180B">
        <w:t xml:space="preserve">or any of the companies in the </w:t>
      </w:r>
      <w:proofErr w:type="spellStart"/>
      <w:r w:rsidR="0013180B">
        <w:t>Tabuso</w:t>
      </w:r>
      <w:proofErr w:type="spellEnd"/>
      <w:r w:rsidR="0013180B">
        <w:t> Group</w:t>
      </w:r>
      <w:r w:rsidR="00523CA1" w:rsidRPr="00523CA1">
        <w:t>.</w:t>
      </w:r>
    </w:p>
    <w:p w14:paraId="41297104" w14:textId="5333CDAE" w:rsidR="00175B10" w:rsidRDefault="00D313AC" w:rsidP="00D313AC">
      <w:pPr>
        <w:pStyle w:val="ParaNumbering"/>
        <w:numPr>
          <w:ilvl w:val="0"/>
          <w:numId w:val="0"/>
        </w:numPr>
        <w:ind w:hanging="720"/>
      </w:pPr>
      <w:r>
        <w:rPr>
          <w:sz w:val="20"/>
        </w:rPr>
        <w:t>233</w:t>
      </w:r>
      <w:r>
        <w:rPr>
          <w:sz w:val="20"/>
        </w:rPr>
        <w:tab/>
      </w:r>
      <w:r w:rsidR="00160D27">
        <w:t xml:space="preserve">The </w:t>
      </w:r>
      <w:r w:rsidR="001110C1">
        <w:t>Commissioner</w:t>
      </w:r>
      <w:r w:rsidR="00160D27">
        <w:t xml:space="preserve"> and the </w:t>
      </w:r>
      <w:r w:rsidR="001110C1">
        <w:t>Liquidators</w:t>
      </w:r>
      <w:r w:rsidR="00160D27">
        <w:t xml:space="preserve"> observe that </w:t>
      </w:r>
      <w:r w:rsidR="001110C1">
        <w:t>in the email from the Court covering the orders made on 2 September 2019 (se</w:t>
      </w:r>
      <w:r w:rsidR="00B96C17">
        <w:t>e</w:t>
      </w:r>
      <w:r w:rsidR="001110C1">
        <w:t xml:space="preserve"> [</w:t>
      </w:r>
      <w:r w:rsidR="007331CE">
        <w:fldChar w:fldCharType="begin"/>
      </w:r>
      <w:r w:rsidR="007331CE">
        <w:instrText xml:space="preserve"> REF _Ref157087612 \r \h </w:instrText>
      </w:r>
      <w:r w:rsidR="007331CE">
        <w:fldChar w:fldCharType="separate"/>
      </w:r>
      <w:r w:rsidR="002B21FE">
        <w:t>37</w:t>
      </w:r>
      <w:r w:rsidR="007331CE">
        <w:fldChar w:fldCharType="end"/>
      </w:r>
      <w:r w:rsidR="001110C1">
        <w:t>]</w:t>
      </w:r>
      <w:r w:rsidR="00B96C17">
        <w:t xml:space="preserve"> </w:t>
      </w:r>
      <w:r w:rsidR="001110C1">
        <w:t xml:space="preserve">above) </w:t>
      </w:r>
      <w:r w:rsidR="00677579">
        <w:t xml:space="preserve">Stewart J </w:t>
      </w:r>
      <w:r w:rsidR="001110C1">
        <w:t xml:space="preserve">gave reasons for making the </w:t>
      </w:r>
      <w:r w:rsidR="00677579">
        <w:lastRenderedPageBreak/>
        <w:t>Reinstatement</w:t>
      </w:r>
      <w:r w:rsidR="007331CE">
        <w:t> </w:t>
      </w:r>
      <w:r w:rsidR="00D51EFE">
        <w:t>Orders, noting</w:t>
      </w:r>
      <w:r w:rsidR="001110C1">
        <w:t xml:space="preserve"> that h</w:t>
      </w:r>
      <w:r w:rsidR="00D51EFE">
        <w:t>is Honour had</w:t>
      </w:r>
      <w:r w:rsidR="001110C1">
        <w:t xml:space="preserve"> reached a state of satisfaction,</w:t>
      </w:r>
      <w:r w:rsidR="00677579">
        <w:t xml:space="preserve"> </w:t>
      </w:r>
      <w:r w:rsidR="001110C1">
        <w:t xml:space="preserve">independent of the consent of the parties, that it was just that the </w:t>
      </w:r>
      <w:r w:rsidR="00255C1B">
        <w:t>c</w:t>
      </w:r>
      <w:r w:rsidR="001110C1">
        <w:t xml:space="preserve">ompanies’ registrations be reinstated and accordingly made </w:t>
      </w:r>
      <w:r w:rsidR="00200C60">
        <w:t>the Reinstatement O</w:t>
      </w:r>
      <w:r w:rsidR="001110C1">
        <w:t xml:space="preserve">rders. </w:t>
      </w:r>
      <w:r w:rsidR="00CC3A14">
        <w:t xml:space="preserve"> They submit that t</w:t>
      </w:r>
      <w:r w:rsidR="001110C1">
        <w:t>he making of Order 3, and the Court’s reasons for doing so, should be assessed by reference to the context supplied by the admissions made, the fact that it was common ground between the parties that it was just for the entities to be reinstated, and the reasons subsequently delivered by the Court.</w:t>
      </w:r>
      <w:r w:rsidR="00CC3A14">
        <w:t xml:space="preserve">  They contend that </w:t>
      </w:r>
      <w:r w:rsidR="001110C1">
        <w:t>in the specific context of this case it was open to the Court to be satisfied that it should exercise its discretion pursuant to s 601AH(3)(d) to make Order 3</w:t>
      </w:r>
      <w:r w:rsidR="00CC3A14">
        <w:t xml:space="preserve"> of the Reinstatement Orders.  </w:t>
      </w:r>
    </w:p>
    <w:p w14:paraId="5C14298E" w14:textId="233213F1" w:rsidR="00CC3A14" w:rsidRDefault="00D313AC" w:rsidP="00D313AC">
      <w:pPr>
        <w:pStyle w:val="ParaNumbering"/>
        <w:numPr>
          <w:ilvl w:val="0"/>
          <w:numId w:val="0"/>
        </w:numPr>
        <w:ind w:hanging="720"/>
      </w:pPr>
      <w:r>
        <w:rPr>
          <w:sz w:val="20"/>
        </w:rPr>
        <w:t>234</w:t>
      </w:r>
      <w:r>
        <w:rPr>
          <w:sz w:val="20"/>
        </w:rPr>
        <w:tab/>
      </w:r>
      <w:r w:rsidR="00080623">
        <w:t xml:space="preserve">The Commissioner and the Liquidators submit that this proceeding was not </w:t>
      </w:r>
      <w:r w:rsidR="00080623" w:rsidRPr="00080623">
        <w:rPr>
          <w:i/>
          <w:iCs/>
        </w:rPr>
        <w:t xml:space="preserve">ex </w:t>
      </w:r>
      <w:proofErr w:type="spellStart"/>
      <w:r w:rsidR="00080623" w:rsidRPr="00080623">
        <w:rPr>
          <w:i/>
          <w:iCs/>
        </w:rPr>
        <w:t>parte</w:t>
      </w:r>
      <w:proofErr w:type="spellEnd"/>
      <w:r w:rsidR="00080623">
        <w:t xml:space="preserve"> </w:t>
      </w:r>
      <w:r w:rsidR="00174067">
        <w:t>and t</w:t>
      </w:r>
      <w:r w:rsidR="00080623">
        <w:t xml:space="preserve">he fact that both parties consented to certain orders being made does not render them </w:t>
      </w:r>
      <w:r w:rsidR="00080623" w:rsidRPr="00174067">
        <w:rPr>
          <w:i/>
          <w:iCs/>
        </w:rPr>
        <w:t xml:space="preserve">ex </w:t>
      </w:r>
      <w:proofErr w:type="spellStart"/>
      <w:r w:rsidR="00080623" w:rsidRPr="00174067">
        <w:rPr>
          <w:i/>
          <w:iCs/>
        </w:rPr>
        <w:t>parte</w:t>
      </w:r>
      <w:proofErr w:type="spellEnd"/>
      <w:r w:rsidR="00080623">
        <w:t>.</w:t>
      </w:r>
      <w:r w:rsidR="0058130E" w:rsidRPr="0058130E">
        <w:rPr>
          <w:rStyle w:val="FootnoteReference"/>
        </w:rPr>
        <w:t xml:space="preserve"> </w:t>
      </w:r>
      <w:r w:rsidR="00080623">
        <w:t xml:space="preserve"> </w:t>
      </w:r>
    </w:p>
    <w:p w14:paraId="5F0AF681" w14:textId="44F5C276" w:rsidR="00174067" w:rsidRDefault="00D313AC" w:rsidP="00D313AC">
      <w:pPr>
        <w:pStyle w:val="ParaNumbering"/>
        <w:numPr>
          <w:ilvl w:val="0"/>
          <w:numId w:val="0"/>
        </w:numPr>
        <w:ind w:hanging="720"/>
      </w:pPr>
      <w:r>
        <w:rPr>
          <w:sz w:val="20"/>
        </w:rPr>
        <w:t>235</w:t>
      </w:r>
      <w:r>
        <w:rPr>
          <w:sz w:val="20"/>
        </w:rPr>
        <w:tab/>
      </w:r>
      <w:r w:rsidR="00174067">
        <w:t xml:space="preserve">The Commissioner and the Liquidators submit that the </w:t>
      </w:r>
      <w:r w:rsidR="009356B3">
        <w:t>Commissioner</w:t>
      </w:r>
      <w:r w:rsidR="00174067">
        <w:t xml:space="preserve"> </w:t>
      </w:r>
      <w:r w:rsidR="009356B3">
        <w:t xml:space="preserve">did not fail to disclose to the Court any matters which he was required to disclose. </w:t>
      </w:r>
      <w:r w:rsidR="00CF1BD6">
        <w:t xml:space="preserve"> They contend that</w:t>
      </w:r>
      <w:r w:rsidR="003F4D15">
        <w:t>:</w:t>
      </w:r>
      <w:r w:rsidR="00CF1BD6">
        <w:t xml:space="preserve"> n</w:t>
      </w:r>
      <w:r w:rsidR="009356B3">
        <w:t xml:space="preserve">o binding authority provides that s 588FF(3)(b) </w:t>
      </w:r>
      <w:r w:rsidR="00AD428F">
        <w:t xml:space="preserve">of the Corporations Act </w:t>
      </w:r>
      <w:r w:rsidR="009356B3">
        <w:t>covers the field with respect to time limits for bringing proceedings in respect of voidable transactions to the exclusion of s</w:t>
      </w:r>
      <w:r w:rsidR="00C478BB">
        <w:t> </w:t>
      </w:r>
      <w:r w:rsidR="009356B3">
        <w:t xml:space="preserve">601AH(3)(d) </w:t>
      </w:r>
      <w:r w:rsidR="006E4BB4">
        <w:t xml:space="preserve">of the Corporations Act </w:t>
      </w:r>
      <w:r w:rsidR="009356B3">
        <w:t>in the case of reinstated companies where a liquidator failed to commence proceedings prior to deregistration and where the claims were not statute barred at the time of deregistration</w:t>
      </w:r>
      <w:r w:rsidR="003F4D15">
        <w:t>;</w:t>
      </w:r>
      <w:r w:rsidR="00CF1BD6">
        <w:t xml:space="preserve"> t</w:t>
      </w:r>
      <w:r w:rsidR="009356B3">
        <w:t>here is authority that the Court has power to make a calculation of time order in favour of a creditor to permit the creditor to make a claim against a previously deregistered company in such circumstances</w:t>
      </w:r>
      <w:r w:rsidR="00175CC2">
        <w:t>;</w:t>
      </w:r>
      <w:r w:rsidR="009051C1">
        <w:t xml:space="preserve"> and, </w:t>
      </w:r>
      <w:r w:rsidR="003A4D60">
        <w:t>given</w:t>
      </w:r>
      <w:r w:rsidR="009356B3">
        <w:t xml:space="preserve"> the Court has this power, and in the absence of any contrary authority</w:t>
      </w:r>
      <w:r w:rsidR="009051C1">
        <w:t xml:space="preserve">, </w:t>
      </w:r>
      <w:r w:rsidR="009356B3">
        <w:t>in the ordinary course the Court would also hold the corresponding power, namely,</w:t>
      </w:r>
      <w:r w:rsidR="009051C1">
        <w:t xml:space="preserve"> </w:t>
      </w:r>
      <w:r w:rsidR="009356B3">
        <w:t>to make a calculation of time order in favour of a reinstated company against a third party</w:t>
      </w:r>
      <w:r w:rsidR="003A4D60">
        <w:t>.</w:t>
      </w:r>
      <w:r w:rsidR="00175CC2" w:rsidRPr="00175CC2">
        <w:rPr>
          <w:rStyle w:val="FootnoteReference"/>
        </w:rPr>
        <w:t xml:space="preserve"> </w:t>
      </w:r>
    </w:p>
    <w:p w14:paraId="718B32F7" w14:textId="3E00EFA1" w:rsidR="00C06191" w:rsidRDefault="00D313AC" w:rsidP="00D313AC">
      <w:pPr>
        <w:pStyle w:val="ParaNumbering"/>
        <w:numPr>
          <w:ilvl w:val="0"/>
          <w:numId w:val="0"/>
        </w:numPr>
        <w:ind w:hanging="720"/>
      </w:pPr>
      <w:r>
        <w:rPr>
          <w:sz w:val="20"/>
        </w:rPr>
        <w:t>236</w:t>
      </w:r>
      <w:r>
        <w:rPr>
          <w:sz w:val="20"/>
        </w:rPr>
        <w:tab/>
      </w:r>
      <w:r w:rsidR="00C06191">
        <w:t xml:space="preserve">The Commissioner and the Liquidators submit that because the initial liquidation was not conducted competently in compliance with the Corporations Act, it is not surprising that any potential defendants to recovery proceedings were not joined to this proceeding prior to the making of Order 3 of the Reinstatement Orders.  Without a competent liquidation having been undertaken, the identity of potential defendants to recovery proceedings, including any potential proceedings under Div 2 of Pt 5.7B of the Act, could not have been, and was not, known by Mr Iannuzzi, nor by any third party creditor, such as the Commissioner.  They contend that in these specific circumstances, it was not possible for unknown prospective defendants to be heard prior to the making of Order 3 and </w:t>
      </w:r>
      <w:r w:rsidR="00375AF7">
        <w:t>t</w:t>
      </w:r>
      <w:r w:rsidR="00C06191">
        <w:t xml:space="preserve">hat the Court had power to make the </w:t>
      </w:r>
      <w:r w:rsidR="00375AF7">
        <w:t>O</w:t>
      </w:r>
      <w:r w:rsidR="00C06191">
        <w:t>rder despite this.</w:t>
      </w:r>
      <w:r w:rsidR="005C71A5" w:rsidRPr="005C71A5">
        <w:rPr>
          <w:rStyle w:val="FootnoteReference"/>
        </w:rPr>
        <w:t xml:space="preserve"> </w:t>
      </w:r>
    </w:p>
    <w:p w14:paraId="40B25426" w14:textId="5D0C5AB6" w:rsidR="003E4223" w:rsidRDefault="00D313AC" w:rsidP="00D313AC">
      <w:pPr>
        <w:pStyle w:val="ParaNumbering"/>
        <w:numPr>
          <w:ilvl w:val="0"/>
          <w:numId w:val="0"/>
        </w:numPr>
        <w:ind w:hanging="720"/>
      </w:pPr>
      <w:r>
        <w:rPr>
          <w:sz w:val="20"/>
        </w:rPr>
        <w:lastRenderedPageBreak/>
        <w:t>237</w:t>
      </w:r>
      <w:r>
        <w:rPr>
          <w:sz w:val="20"/>
        </w:rPr>
        <w:tab/>
      </w:r>
      <w:r w:rsidR="0088697D">
        <w:t xml:space="preserve">The Commissioner and the Liquidators </w:t>
      </w:r>
      <w:r w:rsidR="00E01B78">
        <w:t xml:space="preserve">submit that the present applicants were not denied procedural fairness, nor a right to be heard and are not entitled to have Order 3 set aside as of right.  They contend that the liberty to apply granted by Order 4 specifically provided procedural fairness to all affected parties, including the present applicants. </w:t>
      </w:r>
      <w:r w:rsidR="00D40535">
        <w:t xml:space="preserve"> </w:t>
      </w:r>
      <w:r w:rsidR="00E01B78">
        <w:t>By that order, they were given a full opportunity now to be heard</w:t>
      </w:r>
      <w:r w:rsidR="00D40535">
        <w:t xml:space="preserve"> and that in </w:t>
      </w:r>
      <w:r w:rsidR="00E01B78">
        <w:t>circumstances of an unknown party, it is only where no such liberty to apply is granted that an entitlement arises to apply, as of right, to have the original order set aside</w:t>
      </w:r>
      <w:r w:rsidR="00D40535">
        <w:t>.</w:t>
      </w:r>
      <w:r w:rsidR="003B2BB1" w:rsidRPr="003B2BB1">
        <w:rPr>
          <w:rStyle w:val="FootnoteReference"/>
        </w:rPr>
        <w:t xml:space="preserve"> </w:t>
      </w:r>
    </w:p>
    <w:p w14:paraId="205883FA" w14:textId="2A821FD8" w:rsidR="00BE706D" w:rsidRDefault="00D313AC" w:rsidP="00D313AC">
      <w:pPr>
        <w:pStyle w:val="ParaNumbering"/>
        <w:numPr>
          <w:ilvl w:val="0"/>
          <w:numId w:val="0"/>
        </w:numPr>
        <w:ind w:hanging="720"/>
      </w:pPr>
      <w:r>
        <w:rPr>
          <w:sz w:val="20"/>
        </w:rPr>
        <w:t>238</w:t>
      </w:r>
      <w:r>
        <w:rPr>
          <w:sz w:val="20"/>
        </w:rPr>
        <w:tab/>
      </w:r>
      <w:r w:rsidR="003E4223">
        <w:t xml:space="preserve">After referring to the decision in </w:t>
      </w:r>
      <w:r w:rsidR="003E4223" w:rsidRPr="008C73DA">
        <w:rPr>
          <w:b/>
          <w:bCs/>
          <w:i/>
          <w:iCs/>
        </w:rPr>
        <w:t>Wallman</w:t>
      </w:r>
      <w:r w:rsidR="003E4223" w:rsidRPr="00627D28">
        <w:rPr>
          <w:i/>
          <w:iCs/>
        </w:rPr>
        <w:t xml:space="preserve"> v Milestone Enterprises Pty Ltd </w:t>
      </w:r>
      <w:r w:rsidR="003E4223">
        <w:t xml:space="preserve">(2006) 205 FLR 68; [2006] WASC 260, the Commissioner and the Liquidators submitted that Order 4 of the Reinstatement Orders expressly reserved to each of the Applicants the right to apply to have Order 3 set aside and that now they are before this Court and able to be heard on a </w:t>
      </w:r>
      <w:r w:rsidR="003E4223" w:rsidRPr="00627D28">
        <w:rPr>
          <w:i/>
          <w:iCs/>
        </w:rPr>
        <w:t>de novo</w:t>
      </w:r>
      <w:r w:rsidR="003E4223">
        <w:t xml:space="preserve"> application. </w:t>
      </w:r>
      <w:r w:rsidR="00627D28">
        <w:t xml:space="preserve"> </w:t>
      </w:r>
      <w:r w:rsidR="003E4223">
        <w:t xml:space="preserve">Accordingly, </w:t>
      </w:r>
      <w:r w:rsidR="00627D28">
        <w:t xml:space="preserve">they submit that </w:t>
      </w:r>
      <w:r w:rsidR="003E4223">
        <w:t>there is no entitlement for Order 3 to be set aside as of right</w:t>
      </w:r>
      <w:r w:rsidR="00627D28">
        <w:t xml:space="preserve"> and, a</w:t>
      </w:r>
      <w:r w:rsidR="003E4223">
        <w:t>bsent any right to have Order 3 set aside, the ordinary test for seeking to set aside an interlocutory order applies, namely, whether there has been a material change in circumstances since the original application was heard which warrants the setting aside of the order, or the discovery of new material which could not reasonably have been put before the Court on the hearing of the original application.</w:t>
      </w:r>
      <w:r w:rsidR="00627D28">
        <w:t xml:space="preserve">  They contend that no</w:t>
      </w:r>
      <w:r w:rsidR="003E4223">
        <w:t xml:space="preserve"> such material change or new material is evident, nor contended for by the </w:t>
      </w:r>
      <w:r w:rsidR="00627D28">
        <w:t>A</w:t>
      </w:r>
      <w:r w:rsidR="003E4223">
        <w:t>pplicants</w:t>
      </w:r>
      <w:r w:rsidR="009049E1">
        <w:t>.</w:t>
      </w:r>
      <w:r w:rsidR="007F46A9" w:rsidRPr="007F46A9">
        <w:rPr>
          <w:rStyle w:val="FootnoteReference"/>
        </w:rPr>
        <w:t xml:space="preserve"> </w:t>
      </w:r>
    </w:p>
    <w:p w14:paraId="6C6A3B89" w14:textId="4AA9C79E" w:rsidR="00D51EFE" w:rsidRDefault="00D51EFE" w:rsidP="00D51EFE">
      <w:pPr>
        <w:pStyle w:val="Heading4"/>
      </w:pPr>
      <w:r>
        <w:t>Consideration</w:t>
      </w:r>
    </w:p>
    <w:p w14:paraId="26D07746" w14:textId="1B230BA3" w:rsidR="00FF1A95" w:rsidRDefault="00D313AC" w:rsidP="00D313AC">
      <w:pPr>
        <w:pStyle w:val="ParaNumbering"/>
        <w:numPr>
          <w:ilvl w:val="0"/>
          <w:numId w:val="0"/>
        </w:numPr>
        <w:ind w:hanging="720"/>
      </w:pPr>
      <w:r>
        <w:rPr>
          <w:sz w:val="20"/>
        </w:rPr>
        <w:t>239</w:t>
      </w:r>
      <w:r>
        <w:rPr>
          <w:sz w:val="20"/>
        </w:rPr>
        <w:tab/>
      </w:r>
      <w:r w:rsidR="00D0012F">
        <w:t xml:space="preserve">The first </w:t>
      </w:r>
      <w:r w:rsidR="00FF1A95">
        <w:t>question</w:t>
      </w:r>
      <w:r w:rsidR="00D0012F">
        <w:t xml:space="preserve"> </w:t>
      </w:r>
      <w:r w:rsidR="00400863">
        <w:t>that arises i</w:t>
      </w:r>
      <w:r w:rsidR="00D0012F">
        <w:t xml:space="preserve">s whether the </w:t>
      </w:r>
      <w:r w:rsidR="00FF1A95">
        <w:t>Reinstatement</w:t>
      </w:r>
      <w:r w:rsidR="00D0012F">
        <w:t xml:space="preserve"> Orders were made </w:t>
      </w:r>
      <w:r w:rsidR="00D0012F">
        <w:rPr>
          <w:i/>
          <w:iCs/>
        </w:rPr>
        <w:t xml:space="preserve">ex </w:t>
      </w:r>
      <w:proofErr w:type="spellStart"/>
      <w:r w:rsidR="00D0012F">
        <w:rPr>
          <w:i/>
          <w:iCs/>
        </w:rPr>
        <w:t>parte</w:t>
      </w:r>
      <w:proofErr w:type="spellEnd"/>
      <w:r w:rsidR="00D0012F">
        <w:t xml:space="preserve">.  </w:t>
      </w:r>
    </w:p>
    <w:p w14:paraId="262ED106" w14:textId="66886F4F" w:rsidR="00D0012F" w:rsidRDefault="00D313AC" w:rsidP="00D313AC">
      <w:pPr>
        <w:pStyle w:val="ParaNumbering"/>
        <w:numPr>
          <w:ilvl w:val="0"/>
          <w:numId w:val="0"/>
        </w:numPr>
        <w:ind w:hanging="720"/>
      </w:pPr>
      <w:r>
        <w:rPr>
          <w:sz w:val="20"/>
        </w:rPr>
        <w:t>240</w:t>
      </w:r>
      <w:r>
        <w:rPr>
          <w:sz w:val="20"/>
        </w:rPr>
        <w:tab/>
      </w:r>
      <w:r w:rsidR="00D0012F">
        <w:t>Th</w:t>
      </w:r>
      <w:r w:rsidR="00D37A29">
        <w:t>e Reinstatement </w:t>
      </w:r>
      <w:r w:rsidR="00847297">
        <w:t>O</w:t>
      </w:r>
      <w:r w:rsidR="00D0012F">
        <w:t xml:space="preserve">rders were not </w:t>
      </w:r>
      <w:r w:rsidR="00FF1A95">
        <w:t>mad</w:t>
      </w:r>
      <w:r w:rsidR="00D0012F">
        <w:t>e</w:t>
      </w:r>
      <w:r w:rsidR="00FF1A95">
        <w:t xml:space="preserve"> </w:t>
      </w:r>
      <w:r w:rsidR="00D0012F" w:rsidRPr="00FF1A95">
        <w:rPr>
          <w:i/>
          <w:iCs/>
        </w:rPr>
        <w:t xml:space="preserve">ex </w:t>
      </w:r>
      <w:proofErr w:type="spellStart"/>
      <w:r w:rsidR="00D0012F" w:rsidRPr="00FF1A95">
        <w:rPr>
          <w:i/>
          <w:iCs/>
        </w:rPr>
        <w:t>parte</w:t>
      </w:r>
      <w:proofErr w:type="spellEnd"/>
      <w:r w:rsidR="00D0012F">
        <w:t xml:space="preserve"> in </w:t>
      </w:r>
      <w:r w:rsidR="00FF1A95">
        <w:t>the</w:t>
      </w:r>
      <w:r w:rsidR="00D0012F">
        <w:t xml:space="preserve"> </w:t>
      </w:r>
      <w:r w:rsidR="00FF1A95">
        <w:t>sense</w:t>
      </w:r>
      <w:r w:rsidR="00D0012F">
        <w:t xml:space="preserve"> that they were made </w:t>
      </w:r>
      <w:r w:rsidR="0091286F">
        <w:t xml:space="preserve">having </w:t>
      </w:r>
      <w:r w:rsidR="00FF1A95">
        <w:t>regard</w:t>
      </w:r>
      <w:r w:rsidR="0091286F">
        <w:t xml:space="preserve"> </w:t>
      </w:r>
      <w:r w:rsidR="00FF1A95">
        <w:t>to</w:t>
      </w:r>
      <w:r w:rsidR="0091286F">
        <w:t xml:space="preserve"> the fact that at the time the only parties </w:t>
      </w:r>
      <w:r w:rsidR="00FF1A95">
        <w:t>to</w:t>
      </w:r>
      <w:r w:rsidR="0091286F">
        <w:t xml:space="preserve"> the proceeding were the </w:t>
      </w:r>
      <w:r w:rsidR="00FF1A95">
        <w:t>Commissioner</w:t>
      </w:r>
      <w:r w:rsidR="0091286F">
        <w:t xml:space="preserve"> </w:t>
      </w:r>
      <w:r w:rsidR="00FF1A95">
        <w:t>and</w:t>
      </w:r>
      <w:r w:rsidR="0091286F">
        <w:t xml:space="preserve"> M</w:t>
      </w:r>
      <w:r w:rsidR="00FF1A95">
        <w:t>r I</w:t>
      </w:r>
      <w:r w:rsidR="0091286F">
        <w:t xml:space="preserve">annuzzi and both of those parties were given an opportunity to be heard in </w:t>
      </w:r>
      <w:r w:rsidR="00FF1A95">
        <w:t>relation</w:t>
      </w:r>
      <w:r w:rsidR="0091286F">
        <w:t xml:space="preserve"> to </w:t>
      </w:r>
      <w:r w:rsidR="00FF1A95">
        <w:t>th</w:t>
      </w:r>
      <w:r w:rsidR="00D37A29">
        <w:t>e</w:t>
      </w:r>
      <w:r w:rsidR="0091286F">
        <w:t xml:space="preserve"> proposed orders.  </w:t>
      </w:r>
      <w:r w:rsidR="00FF1A95">
        <w:t>Indeed,</w:t>
      </w:r>
      <w:r w:rsidR="0091286F">
        <w:t xml:space="preserve"> they</w:t>
      </w:r>
      <w:r w:rsidR="00FF1A95">
        <w:t xml:space="preserve"> were</w:t>
      </w:r>
      <w:r w:rsidR="0091286F">
        <w:t xml:space="preserve"> </w:t>
      </w:r>
      <w:r w:rsidR="00FF1A95">
        <w:t>made</w:t>
      </w:r>
      <w:r w:rsidR="0091286F">
        <w:t xml:space="preserve"> by consent </w:t>
      </w:r>
      <w:r w:rsidR="00FF1A95">
        <w:t>with only the Commissioner providing submissions.  At the time those submission</w:t>
      </w:r>
      <w:r w:rsidR="0015083D">
        <w:t>s</w:t>
      </w:r>
      <w:r w:rsidR="00FF1A95">
        <w:t xml:space="preserve"> only identified Mr Iannuzzi as a party potentially affected by the Reinstatement Orders.  This was so despite</w:t>
      </w:r>
      <w:r w:rsidR="00A75E0B">
        <w:t>, as I have found to be the case</w:t>
      </w:r>
      <w:r w:rsidR="009E0D3D">
        <w:t xml:space="preserve"> (see [</w:t>
      </w:r>
      <w:r w:rsidR="0093343D">
        <w:fldChar w:fldCharType="begin"/>
      </w:r>
      <w:r w:rsidR="0093343D">
        <w:instrText xml:space="preserve"> REF _Ref157678608 \r \h </w:instrText>
      </w:r>
      <w:r w:rsidR="0093343D">
        <w:fldChar w:fldCharType="separate"/>
      </w:r>
      <w:r w:rsidR="002B21FE">
        <w:t>209</w:t>
      </w:r>
      <w:r w:rsidR="0093343D">
        <w:fldChar w:fldCharType="end"/>
      </w:r>
      <w:r w:rsidR="009E0D3D">
        <w:t>] above),</w:t>
      </w:r>
      <w:r w:rsidR="00FF1A95">
        <w:t xml:space="preserve"> those </w:t>
      </w:r>
      <w:r w:rsidR="0015083D">
        <w:t>Orders</w:t>
      </w:r>
      <w:r w:rsidR="00FF1A95">
        <w:t xml:space="preserve"> contemplating that the period in s 588FF</w:t>
      </w:r>
      <w:r w:rsidR="00CF736E">
        <w:t xml:space="preserve"> </w:t>
      </w:r>
      <w:r w:rsidR="00FF1A95">
        <w:t xml:space="preserve">should, in effect, be extended to permit the bringing of claims in relation to alleged voidable transactions.  </w:t>
      </w:r>
    </w:p>
    <w:p w14:paraId="2E565935" w14:textId="0253DE6B" w:rsidR="003B52D5" w:rsidRDefault="00D313AC" w:rsidP="00D313AC">
      <w:pPr>
        <w:pStyle w:val="ParaNumbering"/>
        <w:numPr>
          <w:ilvl w:val="0"/>
          <w:numId w:val="0"/>
        </w:numPr>
        <w:ind w:hanging="720"/>
      </w:pPr>
      <w:r>
        <w:rPr>
          <w:sz w:val="20"/>
        </w:rPr>
        <w:t>241</w:t>
      </w:r>
      <w:r>
        <w:rPr>
          <w:sz w:val="20"/>
        </w:rPr>
        <w:tab/>
      </w:r>
      <w:r w:rsidR="009362D2">
        <w:t xml:space="preserve">The proposal to reinstate </w:t>
      </w:r>
      <w:r w:rsidR="0017431B">
        <w:t xml:space="preserve">the registration of </w:t>
      </w:r>
      <w:r w:rsidR="009362D2">
        <w:t xml:space="preserve">some </w:t>
      </w:r>
      <w:r w:rsidR="0017431B">
        <w:t>of</w:t>
      </w:r>
      <w:r w:rsidR="009362D2">
        <w:t xml:space="preserve"> the </w:t>
      </w:r>
      <w:r w:rsidR="008F771E">
        <w:t>c</w:t>
      </w:r>
      <w:r w:rsidR="009362D2">
        <w:t xml:space="preserve">ompanies </w:t>
      </w:r>
      <w:r w:rsidR="0017431B">
        <w:t xml:space="preserve">was in mind and discussed briefly at the </w:t>
      </w:r>
      <w:r w:rsidR="002B3210">
        <w:t>hearing</w:t>
      </w:r>
      <w:r w:rsidR="0017431B">
        <w:t xml:space="preserve"> on 1</w:t>
      </w:r>
      <w:r w:rsidR="002B3210">
        <w:t>7</w:t>
      </w:r>
      <w:r w:rsidR="0017431B">
        <w:t xml:space="preserve"> July 2019</w:t>
      </w:r>
      <w:r w:rsidR="00EB27AC">
        <w:t xml:space="preserve"> but seemingly in the context of those companies, once reinstated, seeking compensation from Mr Iannuzzi</w:t>
      </w:r>
      <w:r w:rsidR="0025631E">
        <w:t xml:space="preserve"> (see [</w:t>
      </w:r>
      <w:r w:rsidR="0025631E">
        <w:fldChar w:fldCharType="begin"/>
      </w:r>
      <w:r w:rsidR="0025631E">
        <w:instrText xml:space="preserve"> REF _Ref157088954 \r \h </w:instrText>
      </w:r>
      <w:r w:rsidR="0025631E">
        <w:fldChar w:fldCharType="separate"/>
      </w:r>
      <w:r w:rsidR="002B21FE">
        <w:t>30</w:t>
      </w:r>
      <w:r w:rsidR="0025631E">
        <w:fldChar w:fldCharType="end"/>
      </w:r>
      <w:r w:rsidR="0025631E">
        <w:t>] above)</w:t>
      </w:r>
      <w:r w:rsidR="0017431B">
        <w:t>.  At that time</w:t>
      </w:r>
      <w:r w:rsidR="00EB27AC">
        <w:t xml:space="preserve"> no response was given to Stewart J’s query as </w:t>
      </w:r>
      <w:r w:rsidR="002B09F5">
        <w:t xml:space="preserve">to whether </w:t>
      </w:r>
      <w:r w:rsidR="00EB27AC">
        <w:t>other parties needed to be notified of the</w:t>
      </w:r>
      <w:r w:rsidR="002B09F5">
        <w:t xml:space="preserve"> intention</w:t>
      </w:r>
      <w:r w:rsidR="003F0E2D">
        <w:t xml:space="preserve"> </w:t>
      </w:r>
      <w:r w:rsidR="002B09F5">
        <w:lastRenderedPageBreak/>
        <w:t>to</w:t>
      </w:r>
      <w:r w:rsidR="003F0E2D">
        <w:t xml:space="preserve"> </w:t>
      </w:r>
      <w:r w:rsidR="002B09F5">
        <w:t>seek</w:t>
      </w:r>
      <w:r w:rsidR="003F0E2D">
        <w:t xml:space="preserve"> orders for </w:t>
      </w:r>
      <w:r w:rsidR="002B09F5">
        <w:t>reinstatement</w:t>
      </w:r>
      <w:r w:rsidR="003F0E2D">
        <w:t xml:space="preserve"> </w:t>
      </w:r>
      <w:r w:rsidR="00146C9C">
        <w:t>of</w:t>
      </w:r>
      <w:r w:rsidR="003F0E2D">
        <w:t xml:space="preserve"> registration </w:t>
      </w:r>
      <w:r w:rsidR="002B09F5">
        <w:t>for</w:t>
      </w:r>
      <w:r w:rsidR="003F0E2D">
        <w:t xml:space="preserve"> some of the </w:t>
      </w:r>
      <w:r w:rsidR="002B09F5">
        <w:t>companies</w:t>
      </w:r>
      <w:r w:rsidR="003F0E2D">
        <w:t xml:space="preserve"> and the </w:t>
      </w:r>
      <w:r w:rsidR="002B09F5">
        <w:t>Commissioner</w:t>
      </w:r>
      <w:r w:rsidR="003F0E2D">
        <w:t xml:space="preserve"> suggested that the Court’s power </w:t>
      </w:r>
      <w:r w:rsidR="00FD5A7E">
        <w:t>to</w:t>
      </w:r>
      <w:r w:rsidR="003F0E2D">
        <w:t xml:space="preserve"> make the </w:t>
      </w:r>
      <w:r w:rsidR="00FD5A7E">
        <w:t xml:space="preserve">proposed order </w:t>
      </w:r>
      <w:r w:rsidR="003B52D5">
        <w:t>came fr</w:t>
      </w:r>
      <w:r w:rsidR="00233997">
        <w:t>o</w:t>
      </w:r>
      <w:r w:rsidR="003B52D5">
        <w:t>m s</w:t>
      </w:r>
      <w:r w:rsidR="0025631E">
        <w:t> </w:t>
      </w:r>
      <w:r w:rsidR="003B52D5">
        <w:t xml:space="preserve">536 of the </w:t>
      </w:r>
      <w:r w:rsidR="00233997">
        <w:t>Corporations</w:t>
      </w:r>
      <w:r w:rsidR="003B52D5">
        <w:t xml:space="preserve"> Act (now repealed).  That exchange </w:t>
      </w:r>
      <w:r w:rsidR="00B52436">
        <w:t xml:space="preserve">between his Honour and senior counsel for the Commissioner </w:t>
      </w:r>
      <w:r w:rsidR="003B52D5">
        <w:t>was focussed on recovery fr</w:t>
      </w:r>
      <w:r w:rsidR="00041BF7">
        <w:t>o</w:t>
      </w:r>
      <w:r w:rsidR="003B52D5">
        <w:t>m Mr Iannuzzi.</w:t>
      </w:r>
    </w:p>
    <w:p w14:paraId="6282EF3F" w14:textId="1050AEF0" w:rsidR="0070015A" w:rsidRPr="0070015A" w:rsidRDefault="00D313AC" w:rsidP="00D313AC">
      <w:pPr>
        <w:pStyle w:val="ParaNumbering"/>
        <w:numPr>
          <w:ilvl w:val="0"/>
          <w:numId w:val="0"/>
        </w:numPr>
        <w:ind w:hanging="720"/>
      </w:pPr>
      <w:r w:rsidRPr="0070015A">
        <w:rPr>
          <w:sz w:val="20"/>
        </w:rPr>
        <w:t>242</w:t>
      </w:r>
      <w:r w:rsidRPr="0070015A">
        <w:rPr>
          <w:sz w:val="20"/>
        </w:rPr>
        <w:tab/>
      </w:r>
      <w:r w:rsidR="003B52D5">
        <w:t xml:space="preserve">The </w:t>
      </w:r>
      <w:r w:rsidR="002E4263">
        <w:t>Reinstatement</w:t>
      </w:r>
      <w:r w:rsidR="003B52D5">
        <w:t xml:space="preserve"> Orders in </w:t>
      </w:r>
      <w:r w:rsidR="002E4263">
        <w:t>the</w:t>
      </w:r>
      <w:r w:rsidR="003B52D5">
        <w:t xml:space="preserve"> </w:t>
      </w:r>
      <w:r w:rsidR="002E4263">
        <w:t>form</w:t>
      </w:r>
      <w:r w:rsidR="003B52D5">
        <w:t xml:space="preserve"> made were</w:t>
      </w:r>
      <w:r w:rsidR="00233997">
        <w:t>,</w:t>
      </w:r>
      <w:r w:rsidR="003B52D5">
        <w:t xml:space="preserve"> it seems</w:t>
      </w:r>
      <w:r w:rsidR="00233997">
        <w:t>,</w:t>
      </w:r>
      <w:r w:rsidR="003B52D5">
        <w:t xml:space="preserve"> </w:t>
      </w:r>
      <w:r w:rsidR="00F66999">
        <w:t xml:space="preserve">raised </w:t>
      </w:r>
      <w:r w:rsidR="002E4263">
        <w:t>at the last minute.</w:t>
      </w:r>
      <w:r w:rsidR="00836B14">
        <w:t xml:space="preserve">  It is </w:t>
      </w:r>
      <w:r w:rsidR="007A6218">
        <w:t xml:space="preserve">conceivable, </w:t>
      </w:r>
      <w:r w:rsidR="00836B14">
        <w:t xml:space="preserve">given the </w:t>
      </w:r>
      <w:r w:rsidR="007A6218">
        <w:t>way</w:t>
      </w:r>
      <w:r w:rsidR="00836B14">
        <w:t xml:space="preserve"> in which they came about (see [</w:t>
      </w:r>
      <w:r w:rsidR="0098084D">
        <w:fldChar w:fldCharType="begin"/>
      </w:r>
      <w:r w:rsidR="0098084D">
        <w:instrText xml:space="preserve"> REF _Ref156745870 \r \h </w:instrText>
      </w:r>
      <w:r w:rsidR="0098084D">
        <w:fldChar w:fldCharType="separate"/>
      </w:r>
      <w:r w:rsidR="002B21FE">
        <w:t>32</w:t>
      </w:r>
      <w:r w:rsidR="0098084D">
        <w:fldChar w:fldCharType="end"/>
      </w:r>
      <w:r w:rsidR="00836B14">
        <w:t>]-[</w:t>
      </w:r>
      <w:r w:rsidR="0098084D">
        <w:fldChar w:fldCharType="begin"/>
      </w:r>
      <w:r w:rsidR="0098084D">
        <w:instrText xml:space="preserve"> REF _Ref157089388 \r \h </w:instrText>
      </w:r>
      <w:r w:rsidR="0098084D">
        <w:fldChar w:fldCharType="separate"/>
      </w:r>
      <w:r w:rsidR="002B21FE">
        <w:t>35</w:t>
      </w:r>
      <w:r w:rsidR="0098084D">
        <w:fldChar w:fldCharType="end"/>
      </w:r>
      <w:r w:rsidR="00703319">
        <w:t>]</w:t>
      </w:r>
      <w:r w:rsidR="00836B14">
        <w:t xml:space="preserve"> above)</w:t>
      </w:r>
      <w:r w:rsidR="007A6218">
        <w:t xml:space="preserve">, that neither the </w:t>
      </w:r>
      <w:r w:rsidR="00F66999">
        <w:t>Commissioner</w:t>
      </w:r>
      <w:r w:rsidR="007A6218">
        <w:t xml:space="preserve"> nor Mr </w:t>
      </w:r>
      <w:r w:rsidR="00F66999">
        <w:t>Iannuzzi</w:t>
      </w:r>
      <w:r w:rsidR="007A6218">
        <w:t xml:space="preserve"> </w:t>
      </w:r>
      <w:r w:rsidR="003009DB">
        <w:t xml:space="preserve">turned their minds </w:t>
      </w:r>
      <w:r w:rsidR="00F66999">
        <w:t>to</w:t>
      </w:r>
      <w:r w:rsidR="003009DB">
        <w:t xml:space="preserve"> the question </w:t>
      </w:r>
      <w:r w:rsidR="00F66999">
        <w:t>of</w:t>
      </w:r>
      <w:r w:rsidR="003009DB">
        <w:t xml:space="preserve"> whether potential defendants should be given notice</w:t>
      </w:r>
      <w:r w:rsidR="00F66999">
        <w:t>.  However, both the Commissioner and M</w:t>
      </w:r>
      <w:r w:rsidR="0070015A">
        <w:t>r</w:t>
      </w:r>
      <w:r w:rsidR="00F66999">
        <w:t xml:space="preserve"> Iannuzzi were aware of the </w:t>
      </w:r>
      <w:r w:rsidR="002219D3">
        <w:t>c</w:t>
      </w:r>
      <w:r w:rsidR="00F66999">
        <w:t xml:space="preserve">ompanies </w:t>
      </w:r>
      <w:r w:rsidR="0070015A">
        <w:t>to be reinstated</w:t>
      </w:r>
      <w:r w:rsidR="005972F1">
        <w:t xml:space="preserve"> and</w:t>
      </w:r>
      <w:r w:rsidR="0070015A">
        <w:t xml:space="preserve"> that an order was to be sought with </w:t>
      </w:r>
      <w:r w:rsidR="00394FF5">
        <w:t>t</w:t>
      </w:r>
      <w:r w:rsidR="0070015A">
        <w:t>he effect of extending time to bring proceedings under s 588FF(1) of the Corporations Act.  Those proceedings would not be against Mr Iannuzzi but against third parties.  The Reinstatement</w:t>
      </w:r>
      <w:r w:rsidR="00F30CAA">
        <w:t> </w:t>
      </w:r>
      <w:r w:rsidR="0070015A">
        <w:t>Orders were mad</w:t>
      </w:r>
      <w:r w:rsidR="00F30CAA">
        <w:t>e</w:t>
      </w:r>
      <w:r w:rsidR="0070015A">
        <w:t xml:space="preserve"> in the absence of those third parties including the Applicants.  To that extent they were made </w:t>
      </w:r>
      <w:r w:rsidR="0070015A">
        <w:rPr>
          <w:i/>
          <w:iCs/>
        </w:rPr>
        <w:t xml:space="preserve">ex </w:t>
      </w:r>
      <w:proofErr w:type="spellStart"/>
      <w:r w:rsidR="0070015A">
        <w:rPr>
          <w:i/>
          <w:iCs/>
        </w:rPr>
        <w:t>parte</w:t>
      </w:r>
      <w:proofErr w:type="spellEnd"/>
      <w:r w:rsidR="0070015A">
        <w:rPr>
          <w:i/>
          <w:iCs/>
        </w:rPr>
        <w:t>.</w:t>
      </w:r>
    </w:p>
    <w:p w14:paraId="5887ECC4" w14:textId="34EA01B8" w:rsidR="004B0E7F" w:rsidRDefault="00D313AC" w:rsidP="00D313AC">
      <w:pPr>
        <w:pStyle w:val="ParaNumbering"/>
        <w:numPr>
          <w:ilvl w:val="0"/>
          <w:numId w:val="0"/>
        </w:numPr>
        <w:ind w:hanging="720"/>
      </w:pPr>
      <w:r>
        <w:rPr>
          <w:sz w:val="20"/>
        </w:rPr>
        <w:t>243</w:t>
      </w:r>
      <w:r>
        <w:rPr>
          <w:sz w:val="20"/>
        </w:rPr>
        <w:tab/>
      </w:r>
      <w:r w:rsidR="004B0E7F">
        <w:t xml:space="preserve">In </w:t>
      </w:r>
      <w:r w:rsidR="004B0E7F" w:rsidRPr="00175B10">
        <w:rPr>
          <w:i/>
          <w:iCs/>
        </w:rPr>
        <w:t xml:space="preserve">BP Australia </w:t>
      </w:r>
      <w:r w:rsidR="004B0E7F" w:rsidRPr="00304857">
        <w:t>c</w:t>
      </w:r>
      <w:r w:rsidR="004B0E7F">
        <w:t>ommencing at [130] Spigelman CJ addressed the cross-appeal filed by the liquidators and the DML companies.  His Honour noted that the first issue that arose on the cross</w:t>
      </w:r>
      <w:r w:rsidR="0098217A">
        <w:t>-</w:t>
      </w:r>
      <w:r w:rsidR="004B0E7F">
        <w:t xml:space="preserve">appeal was the primary judge’s determination in the second judgment that he denied procedural fairness to BP by making </w:t>
      </w:r>
      <w:r w:rsidR="004B0E7F" w:rsidRPr="0055024C">
        <w:rPr>
          <w:i/>
          <w:iCs/>
        </w:rPr>
        <w:t xml:space="preserve">ex </w:t>
      </w:r>
      <w:proofErr w:type="spellStart"/>
      <w:r w:rsidR="004B0E7F" w:rsidRPr="0055024C">
        <w:rPr>
          <w:i/>
          <w:iCs/>
        </w:rPr>
        <w:t>parte</w:t>
      </w:r>
      <w:proofErr w:type="spellEnd"/>
      <w:r w:rsidR="004B0E7F">
        <w:t xml:space="preserve"> orders on 4 September 2000.  In relation to that issue at [133]-[136] his Honour relevantly said:</w:t>
      </w:r>
    </w:p>
    <w:p w14:paraId="71931376" w14:textId="77777777" w:rsidR="004B0E7F" w:rsidRDefault="004B0E7F" w:rsidP="004B0E7F">
      <w:pPr>
        <w:pStyle w:val="Quote1"/>
        <w:ind w:left="1440" w:hanging="703"/>
      </w:pPr>
      <w:r>
        <w:t>133</w:t>
      </w:r>
      <w:r>
        <w:tab/>
        <w:t xml:space="preserve">The power to make orders, and the power to extend time under s 588FF(1) and s 588FF(3) are conferred on a court. There can be no doubt that such a body must obey the rules of procedural fairness. An order of a superior court is not a nullity even if made in breach of this obligation. Nevertheless, a person affected is entitled </w:t>
      </w:r>
      <w:r w:rsidRPr="00D465E8">
        <w:rPr>
          <w:i/>
          <w:iCs/>
        </w:rPr>
        <w:t>as of right</w:t>
      </w:r>
      <w:r>
        <w:t xml:space="preserve"> to have any such order which affects that person set aside. …</w:t>
      </w:r>
    </w:p>
    <w:p w14:paraId="325E842A" w14:textId="77777777" w:rsidR="004B0E7F" w:rsidRDefault="004B0E7F" w:rsidP="004B0E7F">
      <w:pPr>
        <w:pStyle w:val="Quote1"/>
        <w:ind w:left="1440" w:hanging="703"/>
      </w:pPr>
      <w:r>
        <w:t>134</w:t>
      </w:r>
      <w:r>
        <w:tab/>
        <w:t xml:space="preserve">The obligation to comply with procedural fairness imports a higher level of content when imposed on a court than in decision-making processes conducted by administrators or tribunals. It requires, in my opinion, that a person likely to be adversely affected by the order of the court is given an opportunity of making submissions to the court </w:t>
      </w:r>
      <w:r>
        <w:rPr>
          <w:i/>
          <w:iCs/>
        </w:rPr>
        <w:t xml:space="preserve">before </w:t>
      </w:r>
      <w:r>
        <w:t xml:space="preserve">any such order is made or if, before exceptionally, an order is made without such an opportunity being given that, upon application, the person must be put in the same position as he or she would have been prior to the order being made. It is the inherent difficulty of achieving the latter that makes an ex </w:t>
      </w:r>
      <w:proofErr w:type="spellStart"/>
      <w:r>
        <w:t>parte</w:t>
      </w:r>
      <w:proofErr w:type="spellEnd"/>
      <w:r>
        <w:t xml:space="preserve"> order a course to be followed only in the case of necessity or other strong reason. </w:t>
      </w:r>
    </w:p>
    <w:p w14:paraId="6F01011E" w14:textId="77777777" w:rsidR="004B0E7F" w:rsidRDefault="004B0E7F" w:rsidP="004B0E7F">
      <w:pPr>
        <w:pStyle w:val="Quote1"/>
        <w:ind w:left="1440" w:hanging="703"/>
      </w:pPr>
      <w:r>
        <w:t>135</w:t>
      </w:r>
      <w:r>
        <w:tab/>
        <w:t>The creation of a situation in which a person must apply to vacate or vary an order after the order has been made is an exceptional situation. Nothing on the facts of the present case, as at the time of the first judgment, was such as to justify the exceptional course.</w:t>
      </w:r>
    </w:p>
    <w:p w14:paraId="1494CF24" w14:textId="77777777" w:rsidR="004B0E7F" w:rsidRDefault="004B0E7F" w:rsidP="009E38B3">
      <w:pPr>
        <w:pStyle w:val="Quote1"/>
        <w:spacing w:after="360"/>
        <w:ind w:left="1440" w:hanging="703"/>
      </w:pPr>
      <w:r>
        <w:t>136</w:t>
      </w:r>
      <w:r>
        <w:tab/>
        <w:t xml:space="preserve">Perhaps there will be circumstances in which it is not appropriate to give all </w:t>
      </w:r>
      <w:r>
        <w:lastRenderedPageBreak/>
        <w:t xml:space="preserve">who may be affected by an order under s 588FF(3)(b) an opportunity to make submissions prior to the order being made. It is not necessary to determine this question. Here there was a clearly identified party with a substantial interest in the question to be determined. Nothing appeared by way of urgency or otherwise to require an ex </w:t>
      </w:r>
      <w:proofErr w:type="spellStart"/>
      <w:r>
        <w:t>parte</w:t>
      </w:r>
      <w:proofErr w:type="spellEnd"/>
      <w:r>
        <w:t xml:space="preserve"> order to be made. The appellant was unnecessarily placed in the position of applying to the court, pursuant to leave reserved by order of the court, to have the order discharged. </w:t>
      </w:r>
    </w:p>
    <w:p w14:paraId="2BDB59A4" w14:textId="1B33FFD3" w:rsidR="004B0E7F" w:rsidRDefault="00D313AC" w:rsidP="00D313AC">
      <w:pPr>
        <w:pStyle w:val="ParaNumbering"/>
        <w:numPr>
          <w:ilvl w:val="0"/>
          <w:numId w:val="0"/>
        </w:numPr>
        <w:ind w:hanging="720"/>
      </w:pPr>
      <w:r>
        <w:rPr>
          <w:sz w:val="20"/>
        </w:rPr>
        <w:t>244</w:t>
      </w:r>
      <w:r>
        <w:rPr>
          <w:sz w:val="20"/>
        </w:rPr>
        <w:tab/>
      </w:r>
      <w:r w:rsidR="00537B70">
        <w:t xml:space="preserve">In </w:t>
      </w:r>
      <w:proofErr w:type="spellStart"/>
      <w:r w:rsidR="00537B70">
        <w:rPr>
          <w:i/>
          <w:iCs/>
        </w:rPr>
        <w:t>Miltonbrook</w:t>
      </w:r>
      <w:proofErr w:type="spellEnd"/>
      <w:r w:rsidR="00537B70">
        <w:rPr>
          <w:i/>
          <w:iCs/>
        </w:rPr>
        <w:t xml:space="preserve"> Pty Ltd v Westbury Holdings </w:t>
      </w:r>
      <w:r w:rsidR="0028540D">
        <w:rPr>
          <w:i/>
          <w:iCs/>
        </w:rPr>
        <w:t xml:space="preserve">Kiama Pty Ltd </w:t>
      </w:r>
      <w:r w:rsidR="0028540D">
        <w:t xml:space="preserve">(2008) 71 NSWLR 262 at [85] </w:t>
      </w:r>
      <w:r w:rsidR="00A96D85">
        <w:t>in relation to the Court’s exercise of the power under s 601AH(2)</w:t>
      </w:r>
      <w:r w:rsidR="00431086">
        <w:t xml:space="preserve"> of the Corporations Act</w:t>
      </w:r>
      <w:r w:rsidR="00A96D85">
        <w:t xml:space="preserve"> to reinstate the registration of a company Spigelman CJ said</w:t>
      </w:r>
      <w:r w:rsidR="00D0741B">
        <w:t xml:space="preserve"> (Tobias and Campbell JJA agreeing)</w:t>
      </w:r>
      <w:r w:rsidR="00A96D85">
        <w:t>:</w:t>
      </w:r>
    </w:p>
    <w:p w14:paraId="022AAF7C" w14:textId="180245F7" w:rsidR="00A96D85" w:rsidRPr="00356A08" w:rsidRDefault="00447E0D" w:rsidP="009E38B3">
      <w:pPr>
        <w:pStyle w:val="Quote1"/>
        <w:spacing w:after="360"/>
      </w:pPr>
      <w:r>
        <w:t>It is axiomatic that when a statutory power like s 601AH(2) is conferred on a court, the legislature intends that procedural fairness will be accorded to all who may be affected by the order, unless there is a clear statement to the contrary. The denial of procedural fairness by a court is a “fundamental irregularity” which would entitle a person aggrieved to set aside an order as a matter of unconditional right.</w:t>
      </w:r>
    </w:p>
    <w:p w14:paraId="111834B3" w14:textId="79E9D8ED" w:rsidR="004B2B71" w:rsidRDefault="00D313AC" w:rsidP="00D313AC">
      <w:pPr>
        <w:pStyle w:val="ParaNumbering"/>
        <w:numPr>
          <w:ilvl w:val="0"/>
          <w:numId w:val="0"/>
        </w:numPr>
        <w:ind w:hanging="720"/>
      </w:pPr>
      <w:r>
        <w:rPr>
          <w:sz w:val="20"/>
        </w:rPr>
        <w:t>245</w:t>
      </w:r>
      <w:r>
        <w:rPr>
          <w:sz w:val="20"/>
        </w:rPr>
        <w:tab/>
      </w:r>
      <w:r w:rsidR="006474F6">
        <w:t xml:space="preserve">In </w:t>
      </w:r>
      <w:r w:rsidR="006474F6" w:rsidRPr="003C35BE">
        <w:rPr>
          <w:i/>
          <w:iCs/>
        </w:rPr>
        <w:t>Saba Bros Tiling (ACT)</w:t>
      </w:r>
      <w:r w:rsidR="006474F6">
        <w:t xml:space="preserve"> Mossop J </w:t>
      </w:r>
      <w:r w:rsidR="0035471C">
        <w:t xml:space="preserve">observed </w:t>
      </w:r>
      <w:r w:rsidR="009A42B0">
        <w:t xml:space="preserve">(at [50]) </w:t>
      </w:r>
      <w:r w:rsidR="005155E5">
        <w:t xml:space="preserve">that </w:t>
      </w:r>
      <w:r w:rsidR="00A61FBF">
        <w:t>a reason</w:t>
      </w:r>
      <w:r w:rsidR="005155E5">
        <w:t xml:space="preserve"> why he would not </w:t>
      </w:r>
      <w:r w:rsidR="0035471C">
        <w:t xml:space="preserve">make an order under s 601AH(3)(d) </w:t>
      </w:r>
      <w:r w:rsidR="00F91C13">
        <w:t xml:space="preserve">of the Corporations Act </w:t>
      </w:r>
      <w:r w:rsidR="0035471C">
        <w:t>extending time for the purposes of bringing a claim under s 588FF(1) was</w:t>
      </w:r>
      <w:r w:rsidR="006474F6">
        <w:t xml:space="preserve"> because </w:t>
      </w:r>
      <w:r w:rsidR="0035471C">
        <w:t xml:space="preserve">such an </w:t>
      </w:r>
      <w:r w:rsidR="00BD6375">
        <w:t xml:space="preserve">order </w:t>
      </w:r>
      <w:r w:rsidR="0035471C">
        <w:t xml:space="preserve">was not included </w:t>
      </w:r>
      <w:r w:rsidR="00BD6375">
        <w:t>i</w:t>
      </w:r>
      <w:r w:rsidR="006474F6" w:rsidRPr="006474F6">
        <w:t xml:space="preserve">n the </w:t>
      </w:r>
      <w:r w:rsidR="00BD6375">
        <w:t>o</w:t>
      </w:r>
      <w:r w:rsidR="006474F6" w:rsidRPr="006474F6">
        <w:t xml:space="preserve">riginating </w:t>
      </w:r>
      <w:r w:rsidR="00BD6375">
        <w:t>p</w:t>
      </w:r>
      <w:r w:rsidR="006474F6" w:rsidRPr="006474F6">
        <w:t xml:space="preserve">rocess, the persons against whom </w:t>
      </w:r>
      <w:r w:rsidR="00BD6375">
        <w:t xml:space="preserve">any claims </w:t>
      </w:r>
      <w:r w:rsidR="006474F6" w:rsidRPr="006474F6">
        <w:t xml:space="preserve">might be brought, other than </w:t>
      </w:r>
      <w:r w:rsidR="005155E5">
        <w:t xml:space="preserve">the </w:t>
      </w:r>
      <w:r w:rsidR="0035471C">
        <w:t>former</w:t>
      </w:r>
      <w:r w:rsidR="005155E5">
        <w:t xml:space="preserve"> director, were </w:t>
      </w:r>
      <w:r w:rsidR="006474F6" w:rsidRPr="006474F6">
        <w:t xml:space="preserve">not on notice of the possibility of </w:t>
      </w:r>
      <w:r w:rsidR="0035471C">
        <w:t>it</w:t>
      </w:r>
      <w:r w:rsidR="006474F6" w:rsidRPr="006474F6">
        <w:t>, ha</w:t>
      </w:r>
      <w:r w:rsidR="005155E5">
        <w:t xml:space="preserve">d </w:t>
      </w:r>
      <w:r w:rsidR="006474F6" w:rsidRPr="006474F6">
        <w:t>not been joined as parties to the proceedings and ha</w:t>
      </w:r>
      <w:r w:rsidR="005155E5">
        <w:t>d</w:t>
      </w:r>
      <w:r w:rsidR="006474F6" w:rsidRPr="006474F6">
        <w:t xml:space="preserve"> not otherwise been given the opportunity to be heard. </w:t>
      </w:r>
      <w:r w:rsidR="0035471C">
        <w:t xml:space="preserve"> </w:t>
      </w:r>
    </w:p>
    <w:p w14:paraId="70BDFDCB" w14:textId="277CCDA4" w:rsidR="00BA02C8" w:rsidRDefault="00D313AC" w:rsidP="00D313AC">
      <w:pPr>
        <w:pStyle w:val="ParaNumbering"/>
        <w:numPr>
          <w:ilvl w:val="0"/>
          <w:numId w:val="0"/>
        </w:numPr>
        <w:ind w:hanging="720"/>
      </w:pPr>
      <w:r>
        <w:rPr>
          <w:sz w:val="20"/>
        </w:rPr>
        <w:t>246</w:t>
      </w:r>
      <w:r>
        <w:rPr>
          <w:sz w:val="20"/>
        </w:rPr>
        <w:tab/>
      </w:r>
      <w:r w:rsidR="00FD4F7B">
        <w:t>As set out at [</w:t>
      </w:r>
      <w:r w:rsidR="007070E1">
        <w:fldChar w:fldCharType="begin"/>
      </w:r>
      <w:r w:rsidR="007070E1">
        <w:instrText xml:space="preserve"> REF _Ref157089964 \r \h </w:instrText>
      </w:r>
      <w:r w:rsidR="007070E1">
        <w:fldChar w:fldCharType="separate"/>
      </w:r>
      <w:r w:rsidR="002B21FE">
        <w:t>219</w:t>
      </w:r>
      <w:r w:rsidR="007070E1">
        <w:fldChar w:fldCharType="end"/>
      </w:r>
      <w:r w:rsidR="00FD4F7B">
        <w:t xml:space="preserve">] above, </w:t>
      </w:r>
      <w:r w:rsidR="00A61FBF">
        <w:t xml:space="preserve">in </w:t>
      </w:r>
      <w:r w:rsidR="001B1B5D" w:rsidRPr="004B2B71">
        <w:rPr>
          <w:i/>
          <w:iCs/>
        </w:rPr>
        <w:t>Morgan</w:t>
      </w:r>
      <w:r w:rsidR="004E503C" w:rsidRPr="004B2B71">
        <w:rPr>
          <w:i/>
          <w:iCs/>
        </w:rPr>
        <w:t xml:space="preserve"> </w:t>
      </w:r>
      <w:r w:rsidR="00F5541C" w:rsidRPr="00F5541C">
        <w:t xml:space="preserve">Rares J </w:t>
      </w:r>
      <w:r w:rsidR="005E5E33">
        <w:t xml:space="preserve">did not </w:t>
      </w:r>
      <w:r w:rsidR="00552197">
        <w:t xml:space="preserve">resolve the question </w:t>
      </w:r>
      <w:r w:rsidR="002E3EF2">
        <w:t>of</w:t>
      </w:r>
      <w:r w:rsidR="00552197">
        <w:t xml:space="preserve"> the interplay between s 588FF and s 601AH(3)(d) of the </w:t>
      </w:r>
      <w:r w:rsidR="002E3EF2">
        <w:t>Corporations</w:t>
      </w:r>
      <w:r w:rsidR="00552197">
        <w:t xml:space="preserve"> Act, </w:t>
      </w:r>
      <w:r w:rsidR="002E3EF2">
        <w:t>but</w:t>
      </w:r>
      <w:r w:rsidR="00552197">
        <w:t xml:space="preserve"> </w:t>
      </w:r>
      <w:r w:rsidR="002E3EF2">
        <w:t xml:space="preserve">preferred to make </w:t>
      </w:r>
      <w:r w:rsidR="00F5541C" w:rsidRPr="00F5541C">
        <w:t xml:space="preserve">an order </w:t>
      </w:r>
      <w:r w:rsidR="00632D54">
        <w:t xml:space="preserve">that after </w:t>
      </w:r>
      <w:r w:rsidR="0048438A">
        <w:t>reinstatement</w:t>
      </w:r>
      <w:r w:rsidR="00632D54">
        <w:t xml:space="preserve"> the liquidator </w:t>
      </w:r>
      <w:r w:rsidR="0048438A">
        <w:t>may</w:t>
      </w:r>
      <w:r w:rsidR="00632D54">
        <w:t xml:space="preserve"> apply for an order </w:t>
      </w:r>
      <w:r w:rsidR="00F5541C" w:rsidRPr="00F5541C">
        <w:t xml:space="preserve">under s 601AH(3)(d) </w:t>
      </w:r>
      <w:r w:rsidR="0048438A">
        <w:t xml:space="preserve">“provided that he gives notice to any person against whom he seeks that a limitation period not run against him or </w:t>
      </w:r>
      <w:r w:rsidR="0025080E">
        <w:t>[the deregistered company]</w:t>
      </w:r>
      <w:r w:rsidR="0048438A">
        <w:t xml:space="preserve">, so that the matter can be fully argued on its merits at that time”: </w:t>
      </w:r>
      <w:r w:rsidR="000B6EC0">
        <w:t xml:space="preserve">see </w:t>
      </w:r>
      <w:r w:rsidR="0048438A" w:rsidRPr="004B2B71">
        <w:rPr>
          <w:i/>
          <w:iCs/>
        </w:rPr>
        <w:t xml:space="preserve">Morgan </w:t>
      </w:r>
      <w:r w:rsidR="0048438A">
        <w:t xml:space="preserve">at [78]. </w:t>
      </w:r>
      <w:r w:rsidR="00F5541C" w:rsidRPr="00F5541C">
        <w:t xml:space="preserve"> </w:t>
      </w:r>
    </w:p>
    <w:p w14:paraId="2E518891" w14:textId="0A2779EA" w:rsidR="000004E3" w:rsidRDefault="00D313AC" w:rsidP="00D313AC">
      <w:pPr>
        <w:pStyle w:val="ParaNumbering"/>
        <w:numPr>
          <w:ilvl w:val="0"/>
          <w:numId w:val="0"/>
        </w:numPr>
        <w:ind w:hanging="720"/>
      </w:pPr>
      <w:r>
        <w:rPr>
          <w:sz w:val="20"/>
        </w:rPr>
        <w:t>247</w:t>
      </w:r>
      <w:r>
        <w:rPr>
          <w:sz w:val="20"/>
        </w:rPr>
        <w:tab/>
      </w:r>
      <w:r w:rsidR="004B2B71">
        <w:t xml:space="preserve">Order 3 of the Reinstatement Orders was </w:t>
      </w:r>
      <w:r w:rsidR="004B2B71" w:rsidRPr="00C61ED9">
        <w:t xml:space="preserve">made </w:t>
      </w:r>
      <w:r w:rsidR="00C61ED9" w:rsidRPr="00C61ED9">
        <w:t>in the absence of the Applicants and, to that extent, as the Applicants submit, it was made</w:t>
      </w:r>
      <w:r w:rsidR="00C61ED9">
        <w:rPr>
          <w:i/>
          <w:iCs/>
        </w:rPr>
        <w:t xml:space="preserve"> ex </w:t>
      </w:r>
      <w:proofErr w:type="spellStart"/>
      <w:r w:rsidR="00C61ED9">
        <w:rPr>
          <w:i/>
          <w:iCs/>
        </w:rPr>
        <w:t>parte</w:t>
      </w:r>
      <w:proofErr w:type="spellEnd"/>
      <w:r w:rsidR="00FC16CF">
        <w:t>.  T</w:t>
      </w:r>
      <w:r w:rsidR="00BF5B6F">
        <w:t xml:space="preserve">here was no </w:t>
      </w:r>
      <w:r w:rsidR="004A25A2">
        <w:t>particular</w:t>
      </w:r>
      <w:r w:rsidR="00BF5B6F">
        <w:t xml:space="preserve"> urgency </w:t>
      </w:r>
      <w:r w:rsidR="004A25A2">
        <w:t>to</w:t>
      </w:r>
      <w:r w:rsidR="00BF5B6F">
        <w:t xml:space="preserve"> the making of Order 3 of the </w:t>
      </w:r>
      <w:r w:rsidR="004A25A2">
        <w:t>Reinstatement</w:t>
      </w:r>
      <w:r w:rsidR="00BF5B6F">
        <w:t xml:space="preserve"> Orders</w:t>
      </w:r>
      <w:r w:rsidR="001B2B22">
        <w:t>.  T</w:t>
      </w:r>
      <w:r w:rsidR="00BF5B6F">
        <w:t xml:space="preserve">he time prescribed by s 588FF(3) of the </w:t>
      </w:r>
      <w:r w:rsidR="004A25A2">
        <w:t>Corporations</w:t>
      </w:r>
      <w:r w:rsidR="00BF5B6F">
        <w:t xml:space="preserve"> Act for the bringing of an application under s </w:t>
      </w:r>
      <w:r w:rsidR="00084FE5">
        <w:t>588</w:t>
      </w:r>
      <w:r w:rsidR="004A25A2">
        <w:t>FF</w:t>
      </w:r>
      <w:r w:rsidR="00084FE5">
        <w:t xml:space="preserve">(1) had already expired and therefore </w:t>
      </w:r>
      <w:r w:rsidR="00173557">
        <w:t xml:space="preserve">there was </w:t>
      </w:r>
      <w:r w:rsidR="00084FE5">
        <w:t>no reason why steps could not have b</w:t>
      </w:r>
      <w:r w:rsidR="004A25A2">
        <w:t>e</w:t>
      </w:r>
      <w:r w:rsidR="00084FE5">
        <w:t xml:space="preserve">en taken </w:t>
      </w:r>
      <w:r w:rsidR="004A25A2">
        <w:t xml:space="preserve">by the Liquidators upon reinstatement </w:t>
      </w:r>
      <w:r w:rsidR="00084FE5">
        <w:t xml:space="preserve">to </w:t>
      </w:r>
      <w:r w:rsidR="004A25A2">
        <w:t>attempt to</w:t>
      </w:r>
      <w:r w:rsidR="00084FE5">
        <w:t xml:space="preserve"> identify the </w:t>
      </w:r>
      <w:r w:rsidR="004A25A2">
        <w:t>parties</w:t>
      </w:r>
      <w:r w:rsidR="00084FE5">
        <w:t xml:space="preserve"> likely </w:t>
      </w:r>
      <w:r w:rsidR="004A25A2">
        <w:t>to</w:t>
      </w:r>
      <w:r w:rsidR="00084FE5">
        <w:t xml:space="preserve"> be </w:t>
      </w:r>
      <w:r w:rsidR="004A25A2">
        <w:t>affected</w:t>
      </w:r>
      <w:r w:rsidR="00084FE5">
        <w:t xml:space="preserve"> by </w:t>
      </w:r>
      <w:r w:rsidR="004A25A2">
        <w:t>th</w:t>
      </w:r>
      <w:r w:rsidR="00FC16CF">
        <w:t xml:space="preserve">at </w:t>
      </w:r>
      <w:r w:rsidR="00B01735">
        <w:t>O</w:t>
      </w:r>
      <w:r w:rsidR="00FC16CF">
        <w:t>r</w:t>
      </w:r>
      <w:r w:rsidR="004A25A2">
        <w:t>der before making an</w:t>
      </w:r>
      <w:r w:rsidR="006E34A4">
        <w:t xml:space="preserve">y application for </w:t>
      </w:r>
      <w:r w:rsidR="00FC16CF">
        <w:t>it</w:t>
      </w:r>
      <w:r w:rsidR="006E34A4">
        <w:t xml:space="preserve"> to be made</w:t>
      </w:r>
      <w:r w:rsidR="001B2B22">
        <w:t>.  Se</w:t>
      </w:r>
      <w:r w:rsidR="006E34A4">
        <w:t xml:space="preserve">emingly </w:t>
      </w:r>
      <w:r w:rsidR="00D63FDD">
        <w:t>M</w:t>
      </w:r>
      <w:r w:rsidR="00FC16CF">
        <w:t>r </w:t>
      </w:r>
      <w:r w:rsidR="006E34A4">
        <w:t>Iannuzzi in fact benefitted from Order 3</w:t>
      </w:r>
      <w:r w:rsidR="00173557">
        <w:t>.  A</w:t>
      </w:r>
      <w:r w:rsidR="006E34A4">
        <w:t xml:space="preserve">ny funds recovered in </w:t>
      </w:r>
      <w:r w:rsidR="00D63FDD">
        <w:t>proceedings</w:t>
      </w:r>
      <w:r w:rsidR="006E34A4">
        <w:t xml:space="preserve"> brought under s 588FF(1) </w:t>
      </w:r>
      <w:r w:rsidR="005216C2">
        <w:t>w</w:t>
      </w:r>
      <w:r w:rsidR="009C7CB3">
        <w:t>ill</w:t>
      </w:r>
      <w:r w:rsidR="00FC16CF">
        <w:t xml:space="preserve"> reduce any amount for which </w:t>
      </w:r>
      <w:r w:rsidR="00FC16CF">
        <w:lastRenderedPageBreak/>
        <w:t xml:space="preserve">he is found to be liable in </w:t>
      </w:r>
      <w:r w:rsidR="00D63FDD">
        <w:t xml:space="preserve">the </w:t>
      </w:r>
      <w:r w:rsidR="00FC16CF">
        <w:t>Negligence</w:t>
      </w:r>
      <w:r w:rsidR="00CC5A51">
        <w:t> </w:t>
      </w:r>
      <w:r w:rsidR="00FC16CF">
        <w:t>Proceeding</w:t>
      </w:r>
      <w:r w:rsidR="00084FE5">
        <w:t>s</w:t>
      </w:r>
      <w:r w:rsidR="001B2B22">
        <w:t>.  T</w:t>
      </w:r>
      <w:r w:rsidR="00087A63">
        <w:t xml:space="preserve">here was no real contradictor to </w:t>
      </w:r>
      <w:r w:rsidR="000004E3">
        <w:t>assist</w:t>
      </w:r>
      <w:r w:rsidR="00087A63">
        <w:t xml:space="preserve"> the </w:t>
      </w:r>
      <w:r w:rsidR="000004E3">
        <w:t>Court</w:t>
      </w:r>
      <w:r w:rsidR="00087A63">
        <w:t xml:space="preserve"> </w:t>
      </w:r>
      <w:r w:rsidR="000004E3">
        <w:t>at</w:t>
      </w:r>
      <w:r w:rsidR="00087A63">
        <w:t xml:space="preserve"> the time the </w:t>
      </w:r>
      <w:r w:rsidR="00891057">
        <w:t>O</w:t>
      </w:r>
      <w:r w:rsidR="00087A63">
        <w:t xml:space="preserve">rders were made.  </w:t>
      </w:r>
    </w:p>
    <w:p w14:paraId="27CB4BCD" w14:textId="426A7C18" w:rsidR="000004E3" w:rsidRDefault="00D313AC" w:rsidP="00D313AC">
      <w:pPr>
        <w:pStyle w:val="ParaNumbering"/>
        <w:numPr>
          <w:ilvl w:val="0"/>
          <w:numId w:val="0"/>
        </w:numPr>
        <w:ind w:hanging="720"/>
      </w:pPr>
      <w:r>
        <w:rPr>
          <w:sz w:val="20"/>
        </w:rPr>
        <w:t>248</w:t>
      </w:r>
      <w:r>
        <w:rPr>
          <w:sz w:val="20"/>
        </w:rPr>
        <w:tab/>
      </w:r>
      <w:r w:rsidR="00E907B3">
        <w:t xml:space="preserve">While </w:t>
      </w:r>
      <w:r w:rsidR="001D32CA">
        <w:t xml:space="preserve">Stewart J </w:t>
      </w:r>
      <w:r w:rsidR="00E907B3">
        <w:t xml:space="preserve">was satisfied that the </w:t>
      </w:r>
      <w:r w:rsidR="000004E3">
        <w:t>Reinstatement</w:t>
      </w:r>
      <w:r w:rsidR="00E907B3">
        <w:t xml:space="preserve"> Orders could be made, that satisfaction was reached </w:t>
      </w:r>
      <w:r w:rsidR="000004E3">
        <w:t>based on</w:t>
      </w:r>
      <w:r w:rsidR="00E907B3">
        <w:t xml:space="preserve"> the </w:t>
      </w:r>
      <w:r w:rsidR="000004E3">
        <w:t>submission</w:t>
      </w:r>
      <w:r w:rsidR="00E907B3">
        <w:t xml:space="preserve"> provided by the </w:t>
      </w:r>
      <w:r w:rsidR="000004E3">
        <w:t>Commissioner</w:t>
      </w:r>
      <w:r w:rsidR="00E907B3">
        <w:t xml:space="preserve"> which addressed the question </w:t>
      </w:r>
      <w:r w:rsidR="000004E3">
        <w:t>of</w:t>
      </w:r>
      <w:r w:rsidR="00E907B3">
        <w:t xml:space="preserve"> “person aggrieved” </w:t>
      </w:r>
      <w:r w:rsidR="007C7470">
        <w:t xml:space="preserve">in s 601AH of the Corporations Act </w:t>
      </w:r>
      <w:r w:rsidR="00E907B3">
        <w:t>and whether it w</w:t>
      </w:r>
      <w:r w:rsidR="00033CB4">
        <w:t>a</w:t>
      </w:r>
      <w:r w:rsidR="00E907B3">
        <w:t xml:space="preserve">s just in circumstances where the only </w:t>
      </w:r>
      <w:r w:rsidR="000004E3">
        <w:t xml:space="preserve">person </w:t>
      </w:r>
      <w:r w:rsidR="00EF0F43">
        <w:t>s</w:t>
      </w:r>
      <w:r w:rsidR="000004E3">
        <w:t>aid t</w:t>
      </w:r>
      <w:r w:rsidR="00EF0F43">
        <w:t>o be</w:t>
      </w:r>
      <w:r w:rsidR="000004E3">
        <w:t xml:space="preserve"> affected by the proposed orders at the time was Mr Iannuzzi.  </w:t>
      </w:r>
      <w:r w:rsidR="001D32CA">
        <w:t>No submissions were made going to the issue</w:t>
      </w:r>
      <w:r w:rsidR="0026227A">
        <w:t>s</w:t>
      </w:r>
      <w:r w:rsidR="001D32CA">
        <w:t xml:space="preserve"> that were raised before me and in particular the question of whether </w:t>
      </w:r>
      <w:r w:rsidR="0026227A">
        <w:t>s</w:t>
      </w:r>
      <w:r w:rsidR="001D32CA">
        <w:t xml:space="preserve"> 601AH(3)(d) </w:t>
      </w:r>
      <w:r w:rsidR="0026227A">
        <w:t xml:space="preserve">of the Corporations Act </w:t>
      </w:r>
      <w:r w:rsidR="001D32CA">
        <w:t>empowered the Court t</w:t>
      </w:r>
      <w:r w:rsidR="0026227A">
        <w:t>o</w:t>
      </w:r>
      <w:r w:rsidR="001D32CA">
        <w:t xml:space="preserve"> make Order 3 of the Reinstatement Orders.   </w:t>
      </w:r>
    </w:p>
    <w:p w14:paraId="290DEDC0" w14:textId="2482A116" w:rsidR="00B80DEF" w:rsidRDefault="00D313AC" w:rsidP="00D313AC">
      <w:pPr>
        <w:pStyle w:val="ParaNumbering"/>
        <w:numPr>
          <w:ilvl w:val="0"/>
          <w:numId w:val="0"/>
        </w:numPr>
        <w:ind w:hanging="720"/>
      </w:pPr>
      <w:r>
        <w:rPr>
          <w:sz w:val="20"/>
        </w:rPr>
        <w:t>249</w:t>
      </w:r>
      <w:r>
        <w:rPr>
          <w:sz w:val="20"/>
        </w:rPr>
        <w:tab/>
      </w:r>
      <w:r w:rsidR="0028011C">
        <w:t xml:space="preserve">In my opinion the Applicants are entitled to have Order 3 set aside as of right.  It follows that the </w:t>
      </w:r>
      <w:r w:rsidR="00A66C1E">
        <w:t>Commissioner</w:t>
      </w:r>
      <w:r w:rsidR="0028011C">
        <w:t xml:space="preserve"> is left in the </w:t>
      </w:r>
      <w:r w:rsidR="00A66C1E">
        <w:t>position</w:t>
      </w:r>
      <w:r w:rsidR="0028011C">
        <w:t xml:space="preserve"> where he </w:t>
      </w:r>
      <w:r w:rsidR="00252818">
        <w:t xml:space="preserve">must establish on </w:t>
      </w:r>
      <w:r w:rsidR="00B80DEF">
        <w:t xml:space="preserve">this </w:t>
      </w:r>
      <w:r w:rsidR="003852B2">
        <w:t>application</w:t>
      </w:r>
      <w:r w:rsidR="00B80DEF">
        <w:t xml:space="preserve"> that an order in the form of Order 3 of the </w:t>
      </w:r>
      <w:r w:rsidR="003852B2">
        <w:t>Reinstatement</w:t>
      </w:r>
      <w:r w:rsidR="00B80DEF">
        <w:t xml:space="preserve"> Orders should be made.  </w:t>
      </w:r>
    </w:p>
    <w:p w14:paraId="6FCCC59D" w14:textId="3B40156C" w:rsidR="004B2B71" w:rsidRDefault="00D313AC" w:rsidP="00D313AC">
      <w:pPr>
        <w:pStyle w:val="ParaNumbering"/>
        <w:numPr>
          <w:ilvl w:val="0"/>
          <w:numId w:val="0"/>
        </w:numPr>
        <w:ind w:hanging="720"/>
      </w:pPr>
      <w:r>
        <w:rPr>
          <w:sz w:val="20"/>
        </w:rPr>
        <w:t>250</w:t>
      </w:r>
      <w:r>
        <w:rPr>
          <w:sz w:val="20"/>
        </w:rPr>
        <w:tab/>
      </w:r>
      <w:r w:rsidR="00B80DEF">
        <w:t xml:space="preserve">Even if that were not the </w:t>
      </w:r>
      <w:r w:rsidR="00A02165">
        <w:t>case</w:t>
      </w:r>
      <w:r w:rsidR="00B80DEF">
        <w:t xml:space="preserve">, the </w:t>
      </w:r>
      <w:r w:rsidR="00A02165">
        <w:t>Commissioner</w:t>
      </w:r>
      <w:r w:rsidR="00B80DEF">
        <w:t xml:space="preserve"> </w:t>
      </w:r>
      <w:r w:rsidR="005C33EA">
        <w:t xml:space="preserve">(and the Liquidators) </w:t>
      </w:r>
      <w:r w:rsidR="00B80DEF">
        <w:t>would bear that onus</w:t>
      </w:r>
      <w:r w:rsidR="001429B5">
        <w:t xml:space="preserve"> </w:t>
      </w:r>
      <w:r w:rsidR="006E1018">
        <w:t xml:space="preserve">in that they would need </w:t>
      </w:r>
      <w:r w:rsidR="001429B5">
        <w:t xml:space="preserve">to demonstrate that Order 3 </w:t>
      </w:r>
      <w:r w:rsidR="00756AB7">
        <w:t xml:space="preserve">of the Reinstatement Orders </w:t>
      </w:r>
      <w:r w:rsidR="001429B5">
        <w:t>should remain</w:t>
      </w:r>
      <w:r w:rsidR="00B80DEF">
        <w:t xml:space="preserve">.  That is </w:t>
      </w:r>
      <w:r w:rsidR="00A02165">
        <w:t>because</w:t>
      </w:r>
      <w:r w:rsidR="00D72CEB">
        <w:t>,</w:t>
      </w:r>
      <w:r w:rsidR="00B80DEF">
        <w:t xml:space="preserve"> as the Commissioner accepts, </w:t>
      </w:r>
      <w:r w:rsidR="001D32CA">
        <w:t xml:space="preserve">upon the Applicants exercising the liberty </w:t>
      </w:r>
      <w:r w:rsidR="005C1E84">
        <w:t xml:space="preserve">granted by Order 4 of the Reinstatement Orders </w:t>
      </w:r>
      <w:r w:rsidR="001D32CA">
        <w:t xml:space="preserve">to </w:t>
      </w:r>
      <w:r w:rsidR="005C1E84">
        <w:t xml:space="preserve">approach the Court to have Order 3 </w:t>
      </w:r>
      <w:r w:rsidR="00130C6C">
        <w:t xml:space="preserve">of </w:t>
      </w:r>
      <w:r w:rsidR="005C1E84">
        <w:t>those Orders discharged or varied</w:t>
      </w:r>
      <w:r w:rsidR="00130C6C">
        <w:t xml:space="preserve">, </w:t>
      </w:r>
      <w:r w:rsidR="00CE4E27">
        <w:t>the</w:t>
      </w:r>
      <w:r w:rsidR="002905A2">
        <w:t xml:space="preserve">ir applications are to </w:t>
      </w:r>
      <w:r w:rsidR="00EF6AD9">
        <w:t>be conducted</w:t>
      </w:r>
      <w:r w:rsidR="002905A2">
        <w:t xml:space="preserve"> on the basis of a </w:t>
      </w:r>
      <w:r w:rsidR="00941D88">
        <w:t xml:space="preserve">hearing </w:t>
      </w:r>
      <w:r w:rsidR="00CE4E27">
        <w:rPr>
          <w:i/>
          <w:iCs/>
        </w:rPr>
        <w:t>de novo</w:t>
      </w:r>
      <w:r w:rsidR="00941D88">
        <w:t xml:space="preserve">: see </w:t>
      </w:r>
      <w:r w:rsidR="00941D88">
        <w:rPr>
          <w:i/>
          <w:iCs/>
        </w:rPr>
        <w:t xml:space="preserve">Wallman </w:t>
      </w:r>
      <w:r w:rsidR="00941D88" w:rsidRPr="00EF6AD9">
        <w:t>at [34]</w:t>
      </w:r>
      <w:r w:rsidR="00EF6AD9" w:rsidRPr="00EF6AD9">
        <w:t>.</w:t>
      </w:r>
      <w:r w:rsidR="00EF6AD9">
        <w:rPr>
          <w:i/>
          <w:iCs/>
        </w:rPr>
        <w:t xml:space="preserve">  </w:t>
      </w:r>
      <w:r w:rsidR="00ED23B4" w:rsidRPr="00EF6AD9">
        <w:t>Similarly,</w:t>
      </w:r>
      <w:r w:rsidR="00EF6AD9" w:rsidRPr="00EF6AD9">
        <w:t xml:space="preserve"> as Spigelman </w:t>
      </w:r>
      <w:r w:rsidR="003C0F59">
        <w:t>C</w:t>
      </w:r>
      <w:r w:rsidR="00EF6AD9" w:rsidRPr="00EF6AD9">
        <w:t>J characterised</w:t>
      </w:r>
      <w:r w:rsidR="00EF6AD9">
        <w:t xml:space="preserve"> the position in </w:t>
      </w:r>
      <w:r w:rsidR="00EF6AD9" w:rsidRPr="00EF6AD9">
        <w:rPr>
          <w:i/>
          <w:iCs/>
        </w:rPr>
        <w:t>B</w:t>
      </w:r>
      <w:r w:rsidR="00EF6AD9">
        <w:rPr>
          <w:i/>
          <w:iCs/>
        </w:rPr>
        <w:t>P</w:t>
      </w:r>
      <w:r w:rsidR="009D1645">
        <w:rPr>
          <w:i/>
          <w:iCs/>
        </w:rPr>
        <w:t> </w:t>
      </w:r>
      <w:r w:rsidR="00EF6AD9" w:rsidRPr="00EF6AD9">
        <w:rPr>
          <w:i/>
          <w:iCs/>
        </w:rPr>
        <w:t xml:space="preserve">Australia </w:t>
      </w:r>
      <w:r w:rsidR="00FD7A84">
        <w:t>at [134]</w:t>
      </w:r>
      <w:r w:rsidR="00ED23B4">
        <w:t>,</w:t>
      </w:r>
      <w:r w:rsidR="00FD7A84">
        <w:t xml:space="preserve"> the applicant </w:t>
      </w:r>
      <w:r w:rsidR="00EF6AD9">
        <w:t xml:space="preserve">affected by the order made in his </w:t>
      </w:r>
      <w:r w:rsidR="00FD7A84">
        <w:t>or</w:t>
      </w:r>
      <w:r w:rsidR="00EF6AD9">
        <w:t xml:space="preserve"> her absence and seeking </w:t>
      </w:r>
      <w:r w:rsidR="00FD7A84">
        <w:t xml:space="preserve">that it be set aside or varied </w:t>
      </w:r>
      <w:r w:rsidR="00EF6AD9">
        <w:t>“must be put in the same position as he or she would have been prior to the order being made”</w:t>
      </w:r>
      <w:r w:rsidR="00552BD5">
        <w:t xml:space="preserve">.  </w:t>
      </w:r>
    </w:p>
    <w:p w14:paraId="31B4ACD9" w14:textId="359F4C54" w:rsidR="00FF6FF9" w:rsidRDefault="00D313AC" w:rsidP="00D313AC">
      <w:pPr>
        <w:pStyle w:val="ParaNumbering"/>
        <w:numPr>
          <w:ilvl w:val="0"/>
          <w:numId w:val="0"/>
        </w:numPr>
        <w:ind w:hanging="720"/>
      </w:pPr>
      <w:r>
        <w:rPr>
          <w:sz w:val="20"/>
        </w:rPr>
        <w:t>251</w:t>
      </w:r>
      <w:r>
        <w:rPr>
          <w:sz w:val="20"/>
        </w:rPr>
        <w:tab/>
      </w:r>
      <w:r w:rsidR="008C73DA">
        <w:t xml:space="preserve">Finally, </w:t>
      </w:r>
      <w:r w:rsidR="00B06FB2">
        <w:t xml:space="preserve">contrary </w:t>
      </w:r>
      <w:r w:rsidR="001A6681">
        <w:t>to</w:t>
      </w:r>
      <w:r w:rsidR="00B06FB2">
        <w:t xml:space="preserve"> the Commissioner’s and the Liquidator</w:t>
      </w:r>
      <w:r w:rsidR="00AE144B">
        <w:t>s</w:t>
      </w:r>
      <w:r w:rsidR="00B06FB2">
        <w:t xml:space="preserve">’ </w:t>
      </w:r>
      <w:r w:rsidR="001A6681">
        <w:t>submissions</w:t>
      </w:r>
      <w:r w:rsidR="00B06FB2">
        <w:t xml:space="preserve">, </w:t>
      </w:r>
      <w:r w:rsidR="001A6681">
        <w:t xml:space="preserve">the principle in </w:t>
      </w:r>
      <w:proofErr w:type="spellStart"/>
      <w:r w:rsidR="00B06FB2" w:rsidRPr="00C01F8E">
        <w:rPr>
          <w:i/>
          <w:iCs/>
        </w:rPr>
        <w:t>Brimaud</w:t>
      </w:r>
      <w:proofErr w:type="spellEnd"/>
      <w:r w:rsidR="00B06FB2" w:rsidRPr="00C01F8E">
        <w:rPr>
          <w:i/>
          <w:iCs/>
        </w:rPr>
        <w:t xml:space="preserve"> v Honeysett </w:t>
      </w:r>
      <w:r w:rsidR="001A6681" w:rsidRPr="00C01F8E">
        <w:rPr>
          <w:i/>
          <w:iCs/>
        </w:rPr>
        <w:t>Instant</w:t>
      </w:r>
      <w:r w:rsidR="00B06FB2" w:rsidRPr="00C01F8E">
        <w:rPr>
          <w:i/>
          <w:iCs/>
        </w:rPr>
        <w:t xml:space="preserve"> Print Pty Ltd</w:t>
      </w:r>
      <w:r w:rsidR="001A6681" w:rsidRPr="00C01F8E">
        <w:rPr>
          <w:i/>
          <w:iCs/>
        </w:rPr>
        <w:t xml:space="preserve"> </w:t>
      </w:r>
      <w:r w:rsidR="00A85374">
        <w:t xml:space="preserve">(1988) 217 ALR 44 that </w:t>
      </w:r>
      <w:r w:rsidR="00FC341A">
        <w:t>“</w:t>
      </w:r>
      <w:r w:rsidR="005B625A">
        <w:t>an application to set aside, vary or discharge [an interlocutory] order must be founded on a material change of circumstances since the original application was heard, or the discovery of new material which could not reasonably have been put before the court on the hearing of the original application”</w:t>
      </w:r>
      <w:r w:rsidR="00B06FB2" w:rsidRPr="00C01F8E">
        <w:rPr>
          <w:i/>
          <w:iCs/>
        </w:rPr>
        <w:t xml:space="preserve"> </w:t>
      </w:r>
      <w:r w:rsidR="001A6681" w:rsidRPr="001A6681">
        <w:t>has no role to play here</w:t>
      </w:r>
      <w:r w:rsidR="001A6681" w:rsidRPr="00C01F8E">
        <w:rPr>
          <w:i/>
          <w:iCs/>
        </w:rPr>
        <w:t xml:space="preserve">.  </w:t>
      </w:r>
      <w:r w:rsidR="005B625A">
        <w:t xml:space="preserve">In that case McLelland J was considering an application to </w:t>
      </w:r>
      <w:r w:rsidR="00103D7F">
        <w:t xml:space="preserve">vary an interlocutory order of a substantive nature </w:t>
      </w:r>
      <w:r w:rsidR="00C01F8E">
        <w:t xml:space="preserve">“made after a contested hearing in contemplation that it would operate until the final disposition of the proceedings”: at 46.  </w:t>
      </w:r>
    </w:p>
    <w:p w14:paraId="3FF1F7A3" w14:textId="1988F157" w:rsidR="0028011C" w:rsidRDefault="00D313AC" w:rsidP="00D313AC">
      <w:pPr>
        <w:pStyle w:val="ParaNumbering"/>
        <w:numPr>
          <w:ilvl w:val="0"/>
          <w:numId w:val="0"/>
        </w:numPr>
        <w:ind w:hanging="720"/>
      </w:pPr>
      <w:r>
        <w:rPr>
          <w:sz w:val="20"/>
        </w:rPr>
        <w:t>252</w:t>
      </w:r>
      <w:r>
        <w:rPr>
          <w:sz w:val="20"/>
        </w:rPr>
        <w:tab/>
      </w:r>
      <w:r w:rsidR="00C01F8E">
        <w:t>That is not the case here</w:t>
      </w:r>
      <w:r w:rsidR="00FF6FF9">
        <w:t>.  T</w:t>
      </w:r>
      <w:r w:rsidR="00C01F8E">
        <w:t xml:space="preserve">he order in question was effectively made by consent with the Court being asked </w:t>
      </w:r>
      <w:r w:rsidR="00CC6CB7">
        <w:t>to</w:t>
      </w:r>
      <w:r w:rsidR="00C01F8E">
        <w:t xml:space="preserve"> satisfy itself </w:t>
      </w:r>
      <w:r w:rsidR="00F42D3D">
        <w:t xml:space="preserve">that the order should be </w:t>
      </w:r>
      <w:r w:rsidR="00DB5D83">
        <w:t>made</w:t>
      </w:r>
      <w:r w:rsidR="00F42D3D">
        <w:t xml:space="preserve"> on the barest of </w:t>
      </w:r>
      <w:r w:rsidR="00FA1C11">
        <w:t>submissions</w:t>
      </w:r>
      <w:r w:rsidR="00F42D3D">
        <w:t xml:space="preserve">, without </w:t>
      </w:r>
      <w:r w:rsidR="00F42D3D">
        <w:lastRenderedPageBreak/>
        <w:t xml:space="preserve">identification </w:t>
      </w:r>
      <w:r w:rsidR="00FA1C11">
        <w:t>of</w:t>
      </w:r>
      <w:r w:rsidR="00F42D3D">
        <w:t xml:space="preserve"> the </w:t>
      </w:r>
      <w:r w:rsidR="00FA1C11">
        <w:t>Applicants</w:t>
      </w:r>
      <w:r w:rsidR="00F42D3D">
        <w:t xml:space="preserve"> as persons who might be affected by the order and without </w:t>
      </w:r>
      <w:r w:rsidR="00CC6CB7">
        <w:t>raising</w:t>
      </w:r>
      <w:r w:rsidR="00FA1C11">
        <w:t xml:space="preserve"> with the </w:t>
      </w:r>
      <w:r w:rsidR="00CC6CB7">
        <w:t>Court</w:t>
      </w:r>
      <w:r w:rsidR="00FA1C11">
        <w:t xml:space="preserve"> those </w:t>
      </w:r>
      <w:r w:rsidR="00F42D3D">
        <w:t xml:space="preserve">authorities </w:t>
      </w:r>
      <w:r w:rsidR="00CC6CB7">
        <w:t xml:space="preserve">of most relevance to </w:t>
      </w:r>
      <w:r w:rsidR="00DB5D83">
        <w:t>Order 3 of the Reinstatement</w:t>
      </w:r>
      <w:r w:rsidR="00763BC3">
        <w:t> </w:t>
      </w:r>
      <w:r w:rsidR="00DB5D83">
        <w:t xml:space="preserve">Orders.  </w:t>
      </w:r>
      <w:r w:rsidR="00C01F8E">
        <w:t xml:space="preserve"> </w:t>
      </w:r>
    </w:p>
    <w:p w14:paraId="4011FB22" w14:textId="408C3348" w:rsidR="009B4C1A" w:rsidRPr="00BA02C8" w:rsidRDefault="00217231" w:rsidP="00041BF7">
      <w:pPr>
        <w:pStyle w:val="Heading3"/>
      </w:pPr>
      <w:r>
        <w:t>The construction of s </w:t>
      </w:r>
      <w:r w:rsidR="00AC6679">
        <w:t xml:space="preserve">601AH </w:t>
      </w:r>
      <w:r>
        <w:t xml:space="preserve">of the Corporations Act </w:t>
      </w:r>
    </w:p>
    <w:p w14:paraId="6E44BFB8" w14:textId="186FF14E" w:rsidR="00C23D38" w:rsidRDefault="00D313AC" w:rsidP="00D313AC">
      <w:pPr>
        <w:pStyle w:val="ParaNumbering"/>
        <w:numPr>
          <w:ilvl w:val="0"/>
          <w:numId w:val="0"/>
        </w:numPr>
        <w:ind w:hanging="720"/>
      </w:pPr>
      <w:r>
        <w:rPr>
          <w:sz w:val="20"/>
        </w:rPr>
        <w:t>253</w:t>
      </w:r>
      <w:r>
        <w:rPr>
          <w:sz w:val="20"/>
        </w:rPr>
        <w:tab/>
      </w:r>
      <w:r w:rsidR="00443357">
        <w:t xml:space="preserve">As an alternative argument and in the </w:t>
      </w:r>
      <w:r w:rsidR="004716C8">
        <w:t>event</w:t>
      </w:r>
      <w:r w:rsidR="00443357">
        <w:t xml:space="preserve"> </w:t>
      </w:r>
      <w:r w:rsidR="004716C8">
        <w:t>that</w:t>
      </w:r>
      <w:r w:rsidR="00443357">
        <w:t xml:space="preserve"> I am </w:t>
      </w:r>
      <w:r w:rsidR="0051440F">
        <w:t xml:space="preserve">found to be </w:t>
      </w:r>
      <w:r w:rsidR="00443357">
        <w:t xml:space="preserve">wrong in </w:t>
      </w:r>
      <w:r w:rsidR="004716C8">
        <w:t xml:space="preserve">concluding that s 588FF(3) of the Corporations </w:t>
      </w:r>
      <w:r w:rsidR="003D555F">
        <w:t>Act covers the field in relation to the time in which a claim unde</w:t>
      </w:r>
      <w:r w:rsidR="00B8568E">
        <w:t xml:space="preserve">r s 588FF(1) can be brought, </w:t>
      </w:r>
      <w:r w:rsidR="004716C8">
        <w:t>t</w:t>
      </w:r>
      <w:r w:rsidR="00C23D38">
        <w:t xml:space="preserve">he Applicants </w:t>
      </w:r>
      <w:r w:rsidR="00443357">
        <w:t>contend</w:t>
      </w:r>
      <w:r w:rsidR="00C23D38">
        <w:t xml:space="preserve"> </w:t>
      </w:r>
      <w:r w:rsidR="00443357">
        <w:t>that</w:t>
      </w:r>
      <w:r w:rsidR="00C23D38">
        <w:t xml:space="preserve"> s 601AH(3)(d) of the Corporations </w:t>
      </w:r>
      <w:r w:rsidR="004716C8">
        <w:t>A</w:t>
      </w:r>
      <w:r w:rsidR="00C23D38">
        <w:t xml:space="preserve">ct </w:t>
      </w:r>
      <w:r w:rsidR="00443357">
        <w:t>cannot</w:t>
      </w:r>
      <w:r w:rsidR="008C630B">
        <w:t xml:space="preserve"> in any event</w:t>
      </w:r>
      <w:r w:rsidR="00C23D38">
        <w:t xml:space="preserve"> </w:t>
      </w:r>
      <w:r w:rsidR="00443357">
        <w:t xml:space="preserve">be used to augment the reckoning of time for limitation </w:t>
      </w:r>
      <w:r w:rsidR="008C630B">
        <w:t>purposes</w:t>
      </w:r>
      <w:r w:rsidR="00443357">
        <w:t xml:space="preserve">.  </w:t>
      </w:r>
    </w:p>
    <w:p w14:paraId="67062072" w14:textId="586DF634" w:rsidR="009A30CA" w:rsidRDefault="003E7FD1" w:rsidP="003E7FD1">
      <w:pPr>
        <w:pStyle w:val="Heading4"/>
      </w:pPr>
      <w:r>
        <w:t xml:space="preserve">The parties’ submissions </w:t>
      </w:r>
    </w:p>
    <w:p w14:paraId="3097F69E" w14:textId="5ACD7E37" w:rsidR="004D711E" w:rsidRDefault="00D313AC" w:rsidP="00D313AC">
      <w:pPr>
        <w:pStyle w:val="ParaNumbering"/>
        <w:numPr>
          <w:ilvl w:val="0"/>
          <w:numId w:val="0"/>
        </w:numPr>
        <w:ind w:hanging="720"/>
      </w:pPr>
      <w:r>
        <w:rPr>
          <w:sz w:val="20"/>
        </w:rPr>
        <w:t>254</w:t>
      </w:r>
      <w:r>
        <w:rPr>
          <w:sz w:val="20"/>
        </w:rPr>
        <w:tab/>
      </w:r>
      <w:r w:rsidR="004D711E">
        <w:t xml:space="preserve">The </w:t>
      </w:r>
      <w:r w:rsidR="009A30CA">
        <w:t>Applicants</w:t>
      </w:r>
      <w:r w:rsidR="004D711E">
        <w:t xml:space="preserve"> submit that appellate authority, and first instance judgments of significant weight, have singularly decried </w:t>
      </w:r>
      <w:r w:rsidR="00AD268A">
        <w:t xml:space="preserve">the use </w:t>
      </w:r>
      <w:r w:rsidR="004D711E">
        <w:t>of s 601AH(3) to augment the running of time in respect of any cause of action vested in the company</w:t>
      </w:r>
      <w:r w:rsidR="00941671">
        <w:t>,</w:t>
      </w:r>
      <w:r w:rsidR="004D711E">
        <w:t xml:space="preserve"> referring by way of example to </w:t>
      </w:r>
      <w:r w:rsidR="004D711E" w:rsidRPr="00247073">
        <w:rPr>
          <w:i/>
          <w:iCs/>
        </w:rPr>
        <w:t xml:space="preserve">Chalker v Clark </w:t>
      </w:r>
      <w:r w:rsidR="00247073">
        <w:t xml:space="preserve">at [37] </w:t>
      </w:r>
      <w:r w:rsidR="007A6E7C">
        <w:t xml:space="preserve">(Osborn AJA) </w:t>
      </w:r>
      <w:r w:rsidR="00247073">
        <w:t xml:space="preserve">and [45] </w:t>
      </w:r>
      <w:r w:rsidR="007A6E7C">
        <w:t xml:space="preserve">(Maxwell P) </w:t>
      </w:r>
      <w:r w:rsidR="00247073">
        <w:t xml:space="preserve">and </w:t>
      </w:r>
      <w:r w:rsidR="00247073" w:rsidRPr="00247073">
        <w:rPr>
          <w:b/>
          <w:bCs/>
          <w:i/>
          <w:iCs/>
        </w:rPr>
        <w:t xml:space="preserve">Re </w:t>
      </w:r>
      <w:proofErr w:type="spellStart"/>
      <w:r w:rsidR="00247073" w:rsidRPr="00247073">
        <w:rPr>
          <w:b/>
          <w:bCs/>
          <w:i/>
          <w:iCs/>
        </w:rPr>
        <w:t>Auzhair</w:t>
      </w:r>
      <w:proofErr w:type="spellEnd"/>
      <w:r w:rsidR="00247073" w:rsidRPr="00247073">
        <w:rPr>
          <w:i/>
          <w:iCs/>
        </w:rPr>
        <w:t xml:space="preserve"> Supplies Pty Ltd (in </w:t>
      </w:r>
      <w:proofErr w:type="spellStart"/>
      <w:r w:rsidR="00247073" w:rsidRPr="00247073">
        <w:rPr>
          <w:i/>
          <w:iCs/>
        </w:rPr>
        <w:t>liq</w:t>
      </w:r>
      <w:proofErr w:type="spellEnd"/>
      <w:r w:rsidR="00247073" w:rsidRPr="00247073">
        <w:rPr>
          <w:i/>
          <w:iCs/>
        </w:rPr>
        <w:t>)</w:t>
      </w:r>
      <w:r w:rsidR="00247073">
        <w:t xml:space="preserve"> (2013) 92 ACSR 554</w:t>
      </w:r>
      <w:r w:rsidR="00FA2717">
        <w:t>;</w:t>
      </w:r>
      <w:r w:rsidR="000F1A5A" w:rsidRPr="000F1A5A">
        <w:t xml:space="preserve"> [2013] NSWSC 1</w:t>
      </w:r>
      <w:r w:rsidR="00247073">
        <w:t xml:space="preserve"> at [21].</w:t>
      </w:r>
      <w:r w:rsidR="009A30CA">
        <w:t xml:space="preserve">  </w:t>
      </w:r>
    </w:p>
    <w:p w14:paraId="43114DCB" w14:textId="19187858" w:rsidR="0028326D" w:rsidRDefault="00D313AC" w:rsidP="00D313AC">
      <w:pPr>
        <w:pStyle w:val="ParaNumbering"/>
        <w:numPr>
          <w:ilvl w:val="0"/>
          <w:numId w:val="0"/>
        </w:numPr>
        <w:ind w:hanging="720"/>
      </w:pPr>
      <w:r>
        <w:rPr>
          <w:sz w:val="20"/>
        </w:rPr>
        <w:t>255</w:t>
      </w:r>
      <w:r>
        <w:rPr>
          <w:sz w:val="20"/>
        </w:rPr>
        <w:tab/>
      </w:r>
      <w:r w:rsidR="00BE6031">
        <w:t xml:space="preserve">The Applicants submit that the issue is not one about an order not being “appropriate” or a lack of “sufficient nexus”, as was the case in </w:t>
      </w:r>
      <w:r w:rsidR="00BE6031" w:rsidRPr="00B4529E">
        <w:rPr>
          <w:i/>
          <w:iCs/>
        </w:rPr>
        <w:t xml:space="preserve">Re </w:t>
      </w:r>
      <w:proofErr w:type="spellStart"/>
      <w:r w:rsidR="00BE6031" w:rsidRPr="00B4529E">
        <w:rPr>
          <w:i/>
          <w:iCs/>
        </w:rPr>
        <w:t>Auzhair</w:t>
      </w:r>
      <w:proofErr w:type="spellEnd"/>
      <w:r w:rsidR="00BE6031">
        <w:t>,</w:t>
      </w:r>
      <w:r w:rsidR="00BE6031" w:rsidRPr="00B4529E">
        <w:rPr>
          <w:i/>
          <w:iCs/>
        </w:rPr>
        <w:t xml:space="preserve"> </w:t>
      </w:r>
      <w:r w:rsidR="00BE6031">
        <w:t>but is one squarely of power.</w:t>
      </w:r>
      <w:r w:rsidR="00604261">
        <w:t xml:space="preserve"> </w:t>
      </w:r>
      <w:r w:rsidR="00E54F52">
        <w:t xml:space="preserve"> </w:t>
      </w:r>
      <w:r w:rsidR="00604261">
        <w:t>They contend that s </w:t>
      </w:r>
      <w:r w:rsidR="00BE6031">
        <w:t xml:space="preserve">601AH(3) </w:t>
      </w:r>
      <w:r w:rsidR="00DB244E">
        <w:t xml:space="preserve">of the Corporations Act </w:t>
      </w:r>
      <w:r w:rsidR="00BE6031">
        <w:t>cannot be exercised to “deny…the retrospective effect provided for in s</w:t>
      </w:r>
      <w:r w:rsidR="00FD19D8">
        <w:t> </w:t>
      </w:r>
      <w:r w:rsidR="00BE6031">
        <w:t xml:space="preserve">601AH(5)”, by treating the company as not in existence for the purposes of calculating the period in which a cause of action can be commenced by or against the company. </w:t>
      </w:r>
      <w:r w:rsidR="00FD19D8">
        <w:t xml:space="preserve"> </w:t>
      </w:r>
    </w:p>
    <w:p w14:paraId="39859CFF" w14:textId="055E98CC" w:rsidR="00BE6031" w:rsidRDefault="00D313AC" w:rsidP="00D313AC">
      <w:pPr>
        <w:pStyle w:val="ParaNumbering"/>
        <w:numPr>
          <w:ilvl w:val="0"/>
          <w:numId w:val="0"/>
        </w:numPr>
        <w:ind w:hanging="720"/>
      </w:pPr>
      <w:r>
        <w:rPr>
          <w:sz w:val="20"/>
        </w:rPr>
        <w:t>256</w:t>
      </w:r>
      <w:r>
        <w:rPr>
          <w:sz w:val="20"/>
        </w:rPr>
        <w:tab/>
      </w:r>
      <w:r w:rsidR="00FD19D8">
        <w:t xml:space="preserve">The Applicants recognise that </w:t>
      </w:r>
      <w:r w:rsidR="00B4529E">
        <w:t>this submission faces the problem that courts have been prepared to recognise s 601AH(3) as permitting a court to augment the running of time in respect of causes of action where the company is the proposed defendant</w:t>
      </w:r>
      <w:r w:rsidR="0028326D">
        <w:t>.  They submit that th</w:t>
      </w:r>
      <w:r w:rsidR="004D0BB2">
        <w:t>os</w:t>
      </w:r>
      <w:r w:rsidR="0028326D">
        <w:t xml:space="preserve">e decisions </w:t>
      </w:r>
      <w:r w:rsidR="00E867E9">
        <w:t xml:space="preserve">include the appellate decision in </w:t>
      </w:r>
      <w:proofErr w:type="spellStart"/>
      <w:r w:rsidR="00E867E9" w:rsidRPr="004D0BB2">
        <w:rPr>
          <w:i/>
          <w:iCs/>
        </w:rPr>
        <w:t>Pagnon</w:t>
      </w:r>
      <w:proofErr w:type="spellEnd"/>
      <w:r w:rsidR="00E867E9" w:rsidRPr="004D0BB2">
        <w:rPr>
          <w:i/>
          <w:iCs/>
        </w:rPr>
        <w:t xml:space="preserve"> </w:t>
      </w:r>
      <w:r w:rsidR="004D0BB2">
        <w:t xml:space="preserve">but that </w:t>
      </w:r>
      <w:r w:rsidR="00E867E9">
        <w:t>the dictum in that case concerning s 601AH(3)</w:t>
      </w:r>
      <w:r w:rsidR="004D0BB2">
        <w:t xml:space="preserve"> </w:t>
      </w:r>
      <w:r w:rsidR="00E867E9">
        <w:t xml:space="preserve">of the </w:t>
      </w:r>
      <w:r w:rsidR="00FF5413">
        <w:rPr>
          <w:i/>
          <w:iCs/>
        </w:rPr>
        <w:t>Corporations Law</w:t>
      </w:r>
      <w:r w:rsidR="00E867E9">
        <w:t xml:space="preserve"> did not form part of the </w:t>
      </w:r>
      <w:r w:rsidR="00E867E9" w:rsidRPr="00084AFA">
        <w:rPr>
          <w:i/>
          <w:iCs/>
        </w:rPr>
        <w:t>ratio decidendi</w:t>
      </w:r>
      <w:r w:rsidR="00E867E9">
        <w:t xml:space="preserve">. </w:t>
      </w:r>
      <w:r w:rsidR="00084AFA">
        <w:t xml:space="preserve"> </w:t>
      </w:r>
      <w:r w:rsidR="00E867E9">
        <w:t>Instead, the decision concerned the interpretation of s</w:t>
      </w:r>
      <w:r w:rsidR="00955E81">
        <w:t> </w:t>
      </w:r>
      <w:r w:rsidR="00E867E9">
        <w:t xml:space="preserve">186 of the </w:t>
      </w:r>
      <w:r w:rsidR="00E867E9" w:rsidRPr="00FF6FF9">
        <w:rPr>
          <w:b/>
          <w:bCs/>
          <w:i/>
          <w:iCs/>
        </w:rPr>
        <w:t>Workers</w:t>
      </w:r>
      <w:r w:rsidR="00274952">
        <w:rPr>
          <w:b/>
          <w:bCs/>
          <w:i/>
          <w:iCs/>
        </w:rPr>
        <w:t>’</w:t>
      </w:r>
      <w:r w:rsidR="00E867E9" w:rsidRPr="00FF6FF9">
        <w:rPr>
          <w:b/>
          <w:bCs/>
          <w:i/>
          <w:iCs/>
        </w:rPr>
        <w:t xml:space="preserve"> Compensation Act</w:t>
      </w:r>
      <w:r w:rsidR="00E867E9" w:rsidRPr="00084AFA">
        <w:rPr>
          <w:i/>
          <w:iCs/>
        </w:rPr>
        <w:t xml:space="preserve"> 1990</w:t>
      </w:r>
      <w:r w:rsidR="00E867E9">
        <w:t xml:space="preserve"> (Qld)</w:t>
      </w:r>
      <w:r w:rsidR="00084AFA">
        <w:t xml:space="preserve"> </w:t>
      </w:r>
      <w:r w:rsidR="00AA2BDD">
        <w:t xml:space="preserve">(now repealed) </w:t>
      </w:r>
      <w:r w:rsidR="00084AFA">
        <w:t>and, f</w:t>
      </w:r>
      <w:r w:rsidR="00E867E9">
        <w:t xml:space="preserve">urther, the reasoning is scant, with s 601AG of the </w:t>
      </w:r>
      <w:r w:rsidR="00F72D57">
        <w:rPr>
          <w:i/>
          <w:iCs/>
        </w:rPr>
        <w:t xml:space="preserve">Corporations Law </w:t>
      </w:r>
      <w:r w:rsidR="00E867E9">
        <w:t>said to “put to rest” any “remaining doubt about the correctness of [the] conclusion” reached</w:t>
      </w:r>
      <w:r w:rsidR="00CC6820">
        <w:t xml:space="preserve">: </w:t>
      </w:r>
      <w:r w:rsidR="00040761">
        <w:t xml:space="preserve">see </w:t>
      </w:r>
      <w:proofErr w:type="spellStart"/>
      <w:r w:rsidR="00040761">
        <w:rPr>
          <w:i/>
          <w:iCs/>
        </w:rPr>
        <w:t>Pagnon</w:t>
      </w:r>
      <w:proofErr w:type="spellEnd"/>
      <w:r w:rsidR="00040761">
        <w:rPr>
          <w:i/>
          <w:iCs/>
        </w:rPr>
        <w:t xml:space="preserve"> </w:t>
      </w:r>
      <w:r w:rsidR="00E867E9">
        <w:t xml:space="preserve">at [16]. </w:t>
      </w:r>
      <w:r w:rsidR="00CC6820">
        <w:t xml:space="preserve"> The Applicants submit that </w:t>
      </w:r>
      <w:r w:rsidR="00E867E9">
        <w:t xml:space="preserve">s 601AG concerns actions against an insurer of the deregistered company and permits such an action to be pursued without first reinstating the </w:t>
      </w:r>
      <w:r w:rsidR="00E867E9">
        <w:lastRenderedPageBreak/>
        <w:t xml:space="preserve">company: </w:t>
      </w:r>
      <w:r w:rsidR="00040761">
        <w:t xml:space="preserve">see </w:t>
      </w:r>
      <w:proofErr w:type="spellStart"/>
      <w:r w:rsidR="00E867E9" w:rsidRPr="00BF627F">
        <w:rPr>
          <w:i/>
          <w:iCs/>
        </w:rPr>
        <w:t>Pagnon</w:t>
      </w:r>
      <w:proofErr w:type="spellEnd"/>
      <w:r w:rsidR="00E867E9" w:rsidRPr="00BF627F">
        <w:rPr>
          <w:i/>
          <w:iCs/>
        </w:rPr>
        <w:t xml:space="preserve"> </w:t>
      </w:r>
      <w:r w:rsidR="00E867E9">
        <w:t xml:space="preserve">at [17]. </w:t>
      </w:r>
      <w:r w:rsidR="00BF627F">
        <w:t xml:space="preserve"> They say that </w:t>
      </w:r>
      <w:r w:rsidR="003C211A">
        <w:t>s 601AG</w:t>
      </w:r>
      <w:r w:rsidR="00E867E9">
        <w:t xml:space="preserve"> does not bolster or assist the conclusion embraced by the court about the breadth of power conferred under s 601AH(3)(d)</w:t>
      </w:r>
      <w:r w:rsidR="00A12278">
        <w:t xml:space="preserve"> and, </w:t>
      </w:r>
      <w:r w:rsidR="006E195C">
        <w:t xml:space="preserve">while it is true that </w:t>
      </w:r>
      <w:r w:rsidR="00E867E9">
        <w:t>s</w:t>
      </w:r>
      <w:r w:rsidR="005B0326">
        <w:t> </w:t>
      </w:r>
      <w:r w:rsidR="00E867E9">
        <w:t>601AH is a “wider remedy” than s</w:t>
      </w:r>
      <w:r w:rsidR="003277E1">
        <w:t> </w:t>
      </w:r>
      <w:r w:rsidR="00E867E9">
        <w:t>601AG</w:t>
      </w:r>
      <w:r w:rsidR="005B0326">
        <w:t xml:space="preserve">, this does not advance matters.  </w:t>
      </w:r>
    </w:p>
    <w:p w14:paraId="7F810472" w14:textId="1DEC17ED" w:rsidR="005B0326" w:rsidRDefault="00D313AC" w:rsidP="00D313AC">
      <w:pPr>
        <w:pStyle w:val="ParaNumbering"/>
        <w:numPr>
          <w:ilvl w:val="0"/>
          <w:numId w:val="0"/>
        </w:numPr>
        <w:ind w:hanging="720"/>
      </w:pPr>
      <w:r>
        <w:rPr>
          <w:sz w:val="20"/>
        </w:rPr>
        <w:t>257</w:t>
      </w:r>
      <w:r>
        <w:rPr>
          <w:sz w:val="20"/>
        </w:rPr>
        <w:tab/>
      </w:r>
      <w:r w:rsidR="002334A4">
        <w:t xml:space="preserve">The </w:t>
      </w:r>
      <w:r w:rsidR="00CD65F2">
        <w:t>Applicants</w:t>
      </w:r>
      <w:r w:rsidR="002334A4">
        <w:t xml:space="preserve"> </w:t>
      </w:r>
      <w:r w:rsidR="00CD65F2">
        <w:t>recognise</w:t>
      </w:r>
      <w:r w:rsidR="002334A4">
        <w:t xml:space="preserve"> that the Court would feel </w:t>
      </w:r>
      <w:r w:rsidR="00CD65F2">
        <w:t>constrained</w:t>
      </w:r>
      <w:r w:rsidR="002334A4">
        <w:t xml:space="preserve"> to follow these decision</w:t>
      </w:r>
      <w:r w:rsidR="00D51385">
        <w:t>s</w:t>
      </w:r>
      <w:r w:rsidR="002334A4">
        <w:t xml:space="preserve"> unless plainly wrong </w:t>
      </w:r>
      <w:r w:rsidR="00CD65F2">
        <w:t>but</w:t>
      </w:r>
      <w:r w:rsidR="00D51385">
        <w:t xml:space="preserve"> submit</w:t>
      </w:r>
      <w:r w:rsidR="00CD65F2">
        <w:t xml:space="preserve"> that it should reach that </w:t>
      </w:r>
      <w:r w:rsidR="003055AF">
        <w:t xml:space="preserve">state of satisfaction </w:t>
      </w:r>
      <w:r w:rsidR="00CD65F2">
        <w:t>because:</w:t>
      </w:r>
    </w:p>
    <w:p w14:paraId="00A80C30" w14:textId="37283E55" w:rsidR="001579DA" w:rsidRDefault="00D313AC" w:rsidP="00D313AC">
      <w:pPr>
        <w:pStyle w:val="ListNo1"/>
        <w:numPr>
          <w:ilvl w:val="0"/>
          <w:numId w:val="0"/>
        </w:numPr>
        <w:tabs>
          <w:tab w:val="left" w:pos="720"/>
        </w:tabs>
        <w:ind w:left="720" w:hanging="720"/>
      </w:pPr>
      <w:r>
        <w:t>(1)</w:t>
      </w:r>
      <w:r>
        <w:tab/>
      </w:r>
      <w:r w:rsidR="00885AA0">
        <w:t xml:space="preserve">it </w:t>
      </w:r>
      <w:r w:rsidR="008A055A" w:rsidRPr="008A055A">
        <w:t xml:space="preserve">accords with the </w:t>
      </w:r>
      <w:r w:rsidR="001579DA">
        <w:t xml:space="preserve">proper </w:t>
      </w:r>
      <w:r w:rsidR="008A055A" w:rsidRPr="008A055A">
        <w:t>construction</w:t>
      </w:r>
      <w:r w:rsidR="001579DA">
        <w:t xml:space="preserve"> of s 601AH(3)</w:t>
      </w:r>
      <w:r w:rsidR="00824A0A">
        <w:t>.  Augmenting the running of time for any limitation period (whether in respect of a cause of action against or vested in the company) countermands the retrospective effect provided for in s 601AH(5)</w:t>
      </w:r>
      <w:r w:rsidR="00A12238">
        <w:t xml:space="preserve"> of the Corporations Act</w:t>
      </w:r>
      <w:r w:rsidR="001579DA">
        <w:t>;</w:t>
      </w:r>
    </w:p>
    <w:p w14:paraId="640DAB5A" w14:textId="67154C98" w:rsidR="00CD65F2" w:rsidRDefault="00D313AC" w:rsidP="00D313AC">
      <w:pPr>
        <w:pStyle w:val="ListNo1"/>
        <w:numPr>
          <w:ilvl w:val="0"/>
          <w:numId w:val="0"/>
        </w:numPr>
        <w:tabs>
          <w:tab w:val="left" w:pos="720"/>
        </w:tabs>
        <w:ind w:left="720" w:hanging="720"/>
      </w:pPr>
      <w:r>
        <w:t>(2)</w:t>
      </w:r>
      <w:r>
        <w:tab/>
      </w:r>
      <w:r w:rsidR="00DE398E">
        <w:t>issues presented by limitation periods, and the running of time during the period when a company is deregistered, are either already dealt with by the automatic effects of reinstatement or can be addressed under s 601AH(3)(a)</w:t>
      </w:r>
      <w:r w:rsidR="0089783F">
        <w:t xml:space="preserve"> of the Corporations Act</w:t>
      </w:r>
      <w:r w:rsidR="00DE398E">
        <w:t>.  There is accordingly no room, nor permissible need (it not being “appropriate”), for an order under s 601AH(3)(d) to exclude days in reckoning the period in which an action can be brought against (or indeed by) the deregistered company;</w:t>
      </w:r>
      <w:r w:rsidR="00C32BA7">
        <w:t xml:space="preserve"> and </w:t>
      </w:r>
    </w:p>
    <w:p w14:paraId="76FA2870" w14:textId="4C6C0554" w:rsidR="00967476" w:rsidRDefault="00D313AC" w:rsidP="00D313AC">
      <w:pPr>
        <w:pStyle w:val="ListNo1"/>
        <w:numPr>
          <w:ilvl w:val="0"/>
          <w:numId w:val="0"/>
        </w:numPr>
        <w:tabs>
          <w:tab w:val="left" w:pos="720"/>
        </w:tabs>
        <w:ind w:left="720" w:hanging="720"/>
      </w:pPr>
      <w:r>
        <w:t>(3)</w:t>
      </w:r>
      <w:r>
        <w:tab/>
      </w:r>
      <w:r w:rsidR="00967476">
        <w:t xml:space="preserve">the contended for construction avoids the curiosity of a “court exercising federal jurisdiction under the Corporations Act, which would alter the effect of the </w:t>
      </w:r>
      <w:r w:rsidR="008C6917">
        <w:t>[</w:t>
      </w:r>
      <w:r w:rsidR="00967476" w:rsidRPr="00351C82">
        <w:rPr>
          <w:i/>
          <w:iCs/>
        </w:rPr>
        <w:t>Limitation</w:t>
      </w:r>
      <w:r w:rsidR="00B44446" w:rsidRPr="00351C82">
        <w:rPr>
          <w:i/>
          <w:iCs/>
        </w:rPr>
        <w:t> </w:t>
      </w:r>
      <w:r w:rsidR="00967476" w:rsidRPr="00351C82">
        <w:rPr>
          <w:i/>
          <w:iCs/>
        </w:rPr>
        <w:t>Act</w:t>
      </w:r>
      <w:r w:rsidR="008C6917">
        <w:rPr>
          <w:i/>
          <w:iCs/>
        </w:rPr>
        <w:t xml:space="preserve"> 1963 </w:t>
      </w:r>
      <w:r w:rsidR="008C6917">
        <w:t>(NSW)]</w:t>
      </w:r>
      <w:r w:rsidR="00967476">
        <w:t xml:space="preserve"> (and in particular s 63) for the purposes of State law generally”</w:t>
      </w:r>
      <w:r w:rsidR="00355EF5">
        <w:t xml:space="preserve">: see </w:t>
      </w:r>
      <w:r w:rsidR="00355EF5" w:rsidRPr="00355EF5">
        <w:rPr>
          <w:i/>
          <w:iCs/>
        </w:rPr>
        <w:t>Smith v Australian Securities and Investments</w:t>
      </w:r>
      <w:r w:rsidR="00355EF5" w:rsidRPr="00355EF5">
        <w:t xml:space="preserve"> [2018] NSWSC 1695 at [21]</w:t>
      </w:r>
      <w:r w:rsidR="00355EF5">
        <w:t xml:space="preserve"> (Parker J)</w:t>
      </w:r>
      <w:r w:rsidR="00967476">
        <w:t xml:space="preserve">.  While that is not the present case, given the relevant limitation period arises under s 588FF(3) of the Corporations Act, the same principle must operate across the reckoning of all limitation periods. As a matter of power, it should not matter whether the relevant limitation period is one based in state law or federal law, the constraint is the same. </w:t>
      </w:r>
    </w:p>
    <w:p w14:paraId="3F924322" w14:textId="3BEB4969" w:rsidR="00437B8D" w:rsidRDefault="00D313AC" w:rsidP="00D313AC">
      <w:pPr>
        <w:pStyle w:val="ParaNumbering"/>
        <w:numPr>
          <w:ilvl w:val="0"/>
          <w:numId w:val="0"/>
        </w:numPr>
        <w:ind w:hanging="720"/>
      </w:pPr>
      <w:r>
        <w:rPr>
          <w:sz w:val="20"/>
        </w:rPr>
        <w:t>258</w:t>
      </w:r>
      <w:r>
        <w:rPr>
          <w:sz w:val="20"/>
        </w:rPr>
        <w:tab/>
      </w:r>
      <w:r w:rsidR="00B559A1">
        <w:t>T</w:t>
      </w:r>
      <w:r w:rsidR="00437B8D">
        <w:t xml:space="preserve">he Applicants submit that their construction avoids the potentially artificial distinction between s 601AH(3)(d) </w:t>
      </w:r>
      <w:r w:rsidR="00ED2BBB">
        <w:t xml:space="preserve">of the Corporations Act </w:t>
      </w:r>
      <w:r w:rsidR="00437B8D">
        <w:t>being used to augment the running of time where the company is the proposed defendant to an action, but not where it is the proposed plaintiff</w:t>
      </w:r>
      <w:r w:rsidR="00016D90">
        <w:t>,</w:t>
      </w:r>
      <w:r w:rsidR="008D5AE8">
        <w:t xml:space="preserve"> and l</w:t>
      </w:r>
      <w:r w:rsidR="00437B8D">
        <w:t xml:space="preserve">eaves unaugmented the running of time under all limitation periods for all causes of action (whether against or vested in the company), which are the periods prescribed by </w:t>
      </w:r>
      <w:r w:rsidR="00B559A1">
        <w:t>the legislature</w:t>
      </w:r>
      <w:r w:rsidR="00437B8D">
        <w:t xml:space="preserve"> in which actions are to be brought, having regard to a broad array of economic and societal considerations</w:t>
      </w:r>
      <w:r w:rsidR="008D5AE8">
        <w:t>.</w:t>
      </w:r>
      <w:r w:rsidR="00437B8D">
        <w:t xml:space="preserve"> </w:t>
      </w:r>
    </w:p>
    <w:p w14:paraId="7A8433F0" w14:textId="270668B2" w:rsidR="00214DC3" w:rsidRDefault="00D313AC" w:rsidP="00D313AC">
      <w:pPr>
        <w:pStyle w:val="ParaNumbering"/>
        <w:numPr>
          <w:ilvl w:val="0"/>
          <w:numId w:val="0"/>
        </w:numPr>
        <w:ind w:hanging="720"/>
      </w:pPr>
      <w:r>
        <w:rPr>
          <w:sz w:val="20"/>
        </w:rPr>
        <w:lastRenderedPageBreak/>
        <w:t>259</w:t>
      </w:r>
      <w:r>
        <w:rPr>
          <w:sz w:val="20"/>
        </w:rPr>
        <w:tab/>
      </w:r>
      <w:r w:rsidR="00214DC3">
        <w:t>The Commissioner and the Liquidators submit that upon reinstatement pursuant to the limited fiction created by s 601AH(5), the company does not come back into existence in the same form</w:t>
      </w:r>
      <w:r w:rsidR="00573B1D">
        <w:t xml:space="preserve"> nor are all incidents or attributes of the company taken to have continued.  </w:t>
      </w:r>
      <w:r w:rsidR="00363668">
        <w:t xml:space="preserve">The Commissioner and the Liquidators contend that in the broader legislative framework, s 601AH(3)(d) empowers a Court, upon reinstatement of a company, to make any other order it considers appropriate. </w:t>
      </w:r>
      <w:r w:rsidR="00B40D03">
        <w:t xml:space="preserve"> </w:t>
      </w:r>
      <w:r w:rsidR="00363668">
        <w:t>The objective of this broad power includes to place the company or others in the same position (or such position as the Court considers appropriate) as if the company had not been dissolved,</w:t>
      </w:r>
      <w:r w:rsidR="001C54BE">
        <w:t xml:space="preserve"> </w:t>
      </w:r>
      <w:r w:rsidR="00363668">
        <w:t>subject to the interests of affected third parties</w:t>
      </w:r>
      <w:r w:rsidR="001C54BE">
        <w:t xml:space="preserve">.  </w:t>
      </w:r>
    </w:p>
    <w:p w14:paraId="0C409528" w14:textId="175B5CDE" w:rsidR="001C54BE" w:rsidRDefault="00D313AC" w:rsidP="00D313AC">
      <w:pPr>
        <w:pStyle w:val="ParaNumbering"/>
        <w:numPr>
          <w:ilvl w:val="0"/>
          <w:numId w:val="0"/>
        </w:numPr>
        <w:ind w:hanging="720"/>
      </w:pPr>
      <w:r>
        <w:rPr>
          <w:sz w:val="20"/>
        </w:rPr>
        <w:t>260</w:t>
      </w:r>
      <w:r>
        <w:rPr>
          <w:sz w:val="20"/>
        </w:rPr>
        <w:tab/>
      </w:r>
      <w:r w:rsidR="001C54BE">
        <w:t xml:space="preserve">After referring to </w:t>
      </w:r>
      <w:r w:rsidR="001C54BE" w:rsidRPr="009E5AB4">
        <w:rPr>
          <w:i/>
          <w:iCs/>
        </w:rPr>
        <w:t xml:space="preserve">Rockwall </w:t>
      </w:r>
      <w:r w:rsidR="00953B40" w:rsidRPr="009E5AB4">
        <w:rPr>
          <w:i/>
          <w:iCs/>
        </w:rPr>
        <w:t>Interiors</w:t>
      </w:r>
      <w:r w:rsidR="002A2137" w:rsidRPr="009E5AB4">
        <w:rPr>
          <w:i/>
          <w:iCs/>
        </w:rPr>
        <w:t xml:space="preserve"> </w:t>
      </w:r>
      <w:r w:rsidR="002A2137">
        <w:t xml:space="preserve">at </w:t>
      </w:r>
      <w:r w:rsidR="00953B40">
        <w:t>[19]</w:t>
      </w:r>
      <w:r w:rsidR="000D701C">
        <w:t xml:space="preserve"> the Commissioner and </w:t>
      </w:r>
      <w:r w:rsidR="00C67149">
        <w:t xml:space="preserve">the </w:t>
      </w:r>
      <w:r w:rsidR="000D701C">
        <w:t xml:space="preserve">Liquidators submit that </w:t>
      </w:r>
      <w:r w:rsidR="009E5AB4">
        <w:t>in circumstances where no proper or competent liquidation occurred pursuant to the Corporations</w:t>
      </w:r>
      <w:r w:rsidR="00A77228">
        <w:t> </w:t>
      </w:r>
      <w:r w:rsidR="009E5AB4">
        <w:t>Act prior to premature deregistration, and where causes of action had not expired at the time of deregistration, it would not be appropriate to visit any adverse effects by reason of inactivity during the period of deregistration on the availability of those causes of action.  They contend that the period of non-existence of a company is a time in which it is impossible for any potential voidable transactions to be investigated or pursued</w:t>
      </w:r>
      <w:r w:rsidR="002A02D1">
        <w:t xml:space="preserve"> and i</w:t>
      </w:r>
      <w:r w:rsidR="009E5AB4">
        <w:t xml:space="preserve">n these circumstances, a calculation of time order under s 601AH(3)(d) can appropriately be made to remedy any adverse effects of s 601AH(5). </w:t>
      </w:r>
    </w:p>
    <w:p w14:paraId="1A0D3126" w14:textId="325F9171" w:rsidR="00536EB6" w:rsidRDefault="00D313AC" w:rsidP="00D313AC">
      <w:pPr>
        <w:pStyle w:val="ParaNumbering"/>
        <w:numPr>
          <w:ilvl w:val="0"/>
          <w:numId w:val="0"/>
        </w:numPr>
        <w:ind w:hanging="720"/>
      </w:pPr>
      <w:r>
        <w:rPr>
          <w:sz w:val="20"/>
        </w:rPr>
        <w:t>261</w:t>
      </w:r>
      <w:r>
        <w:rPr>
          <w:sz w:val="20"/>
        </w:rPr>
        <w:tab/>
      </w:r>
      <w:r w:rsidR="00536EB6">
        <w:t xml:space="preserve">The </w:t>
      </w:r>
      <w:r w:rsidR="00033967">
        <w:t>Commissioner</w:t>
      </w:r>
      <w:r w:rsidR="00536EB6">
        <w:t xml:space="preserve"> and </w:t>
      </w:r>
      <w:r w:rsidR="00DD41A3">
        <w:t xml:space="preserve">the </w:t>
      </w:r>
      <w:r w:rsidR="00033967">
        <w:t>Liquidators</w:t>
      </w:r>
      <w:r w:rsidR="00536EB6">
        <w:t xml:space="preserve"> submit </w:t>
      </w:r>
      <w:r w:rsidR="006F6B5A">
        <w:t xml:space="preserve">the starting point in construing s 601AH(3)(d) of the </w:t>
      </w:r>
      <w:r w:rsidR="00033967">
        <w:t>Corporations</w:t>
      </w:r>
      <w:r w:rsidR="006F6B5A">
        <w:t xml:space="preserve"> Act is </w:t>
      </w:r>
      <w:r w:rsidR="00033967">
        <w:t>that</w:t>
      </w:r>
      <w:r w:rsidR="006F6B5A">
        <w:t xml:space="preserve"> </w:t>
      </w:r>
      <w:r w:rsidR="00033967">
        <w:t>it</w:t>
      </w:r>
      <w:r w:rsidR="006F6B5A">
        <w:t xml:space="preserve"> is </w:t>
      </w:r>
      <w:r w:rsidR="00506699">
        <w:t xml:space="preserve">a </w:t>
      </w:r>
      <w:r w:rsidR="006F6B5A">
        <w:t>power conferred on</w:t>
      </w:r>
      <w:r w:rsidR="00033967">
        <w:t xml:space="preserve"> </w:t>
      </w:r>
      <w:r w:rsidR="006F6B5A">
        <w:t xml:space="preserve">a court and that such a provision </w:t>
      </w:r>
      <w:r w:rsidR="00033967">
        <w:t>is not to be construed narrowly</w:t>
      </w:r>
      <w:r w:rsidR="00AC1C55">
        <w:t>.  They contend that there is nothing inconsistent between a calculation of time order being made and the operation of s 601AH(5)</w:t>
      </w:r>
      <w:r w:rsidR="0005537A">
        <w:t xml:space="preserve">.  They do </w:t>
      </w:r>
      <w:r w:rsidR="00AC1C55">
        <w:t>not seek to deny the operation of s 601AH(5)</w:t>
      </w:r>
      <w:r w:rsidR="0005537A">
        <w:t xml:space="preserve"> but note that </w:t>
      </w:r>
      <w:r w:rsidR="0005537A" w:rsidRPr="0005537A">
        <w:t>s</w:t>
      </w:r>
      <w:r w:rsidR="0005537A">
        <w:t> </w:t>
      </w:r>
      <w:r w:rsidR="00AC1C55">
        <w:t xml:space="preserve">601AH(3)(d) is unconfined by any express requirement for any particular purpose, other than the Court considering the subject order appropriate. </w:t>
      </w:r>
    </w:p>
    <w:p w14:paraId="37D33313" w14:textId="1F26E658" w:rsidR="00DC7107" w:rsidRDefault="00D313AC" w:rsidP="00D313AC">
      <w:pPr>
        <w:pStyle w:val="ParaNumbering"/>
        <w:numPr>
          <w:ilvl w:val="0"/>
          <w:numId w:val="0"/>
        </w:numPr>
        <w:ind w:hanging="720"/>
      </w:pPr>
      <w:r>
        <w:rPr>
          <w:sz w:val="20"/>
        </w:rPr>
        <w:t>262</w:t>
      </w:r>
      <w:r>
        <w:rPr>
          <w:sz w:val="20"/>
        </w:rPr>
        <w:tab/>
      </w:r>
      <w:r w:rsidR="00DC7107">
        <w:t xml:space="preserve">The Commissioner and </w:t>
      </w:r>
      <w:r w:rsidR="00641AB3">
        <w:t xml:space="preserve">the </w:t>
      </w:r>
      <w:r w:rsidR="00DC7107">
        <w:t>Liquidators submit that the Court’s power under s</w:t>
      </w:r>
      <w:r w:rsidR="00C24832">
        <w:t> </w:t>
      </w:r>
      <w:r w:rsidR="00DC7107">
        <w:t xml:space="preserve">601AH(3)(d) extends to making adjustments or qualifications to what the effect of s 601AH(5) otherwise would be and, in particular, enables the Court to makes orders if the Court considers it appropriate to do so.  This does not in any way deny the operation of s 601AH(5).  The Commissioner and </w:t>
      </w:r>
      <w:r w:rsidR="001A19BD">
        <w:t xml:space="preserve">the </w:t>
      </w:r>
      <w:r w:rsidR="00DC7107">
        <w:t xml:space="preserve">Liquidators contend that, rather, it empowers the Court, in the exercise of its discretion, to make appropriate orders in the circumstance of the particular case so as to address or modify the practical consequences that otherwise would flow from s 601AH(5). </w:t>
      </w:r>
    </w:p>
    <w:p w14:paraId="57242ACC" w14:textId="0608EADD" w:rsidR="000C6D75" w:rsidRDefault="00D313AC" w:rsidP="00D313AC">
      <w:pPr>
        <w:pStyle w:val="ParaNumbering"/>
        <w:numPr>
          <w:ilvl w:val="0"/>
          <w:numId w:val="0"/>
        </w:numPr>
        <w:ind w:hanging="720"/>
      </w:pPr>
      <w:r>
        <w:rPr>
          <w:sz w:val="20"/>
        </w:rPr>
        <w:lastRenderedPageBreak/>
        <w:t>263</w:t>
      </w:r>
      <w:r>
        <w:rPr>
          <w:sz w:val="20"/>
        </w:rPr>
        <w:tab/>
      </w:r>
      <w:r w:rsidR="000C6D75">
        <w:t xml:space="preserve">The Commissioner and </w:t>
      </w:r>
      <w:r w:rsidR="00AA34CD">
        <w:t xml:space="preserve">the </w:t>
      </w:r>
      <w:r w:rsidR="000C6D75">
        <w:t>Liquidators submit that the cases in which a calculation of time order has been made, or where the jurisdiction to make such an order was accepted, demonstrate that there is no inconsistency between s</w:t>
      </w:r>
      <w:r w:rsidR="00E14919">
        <w:t> </w:t>
      </w:r>
      <w:r w:rsidR="000C6D75">
        <w:t xml:space="preserve">601AH(5) and the making of such an order, where considered appropriate in the circumstances revealed by the evidence in the particular case. </w:t>
      </w:r>
    </w:p>
    <w:p w14:paraId="34D17715" w14:textId="2B8480F1" w:rsidR="00D232E3" w:rsidRDefault="00D232E3" w:rsidP="00D232E3">
      <w:pPr>
        <w:pStyle w:val="Heading4"/>
      </w:pPr>
      <w:r>
        <w:t>Consideration</w:t>
      </w:r>
    </w:p>
    <w:p w14:paraId="3DD474F5" w14:textId="78A5A71D" w:rsidR="00B80419" w:rsidRDefault="00D313AC" w:rsidP="00D313AC">
      <w:pPr>
        <w:pStyle w:val="ParaNumbering"/>
        <w:numPr>
          <w:ilvl w:val="0"/>
          <w:numId w:val="0"/>
        </w:numPr>
        <w:ind w:hanging="720"/>
      </w:pPr>
      <w:r>
        <w:rPr>
          <w:sz w:val="20"/>
        </w:rPr>
        <w:t>264</w:t>
      </w:r>
      <w:r>
        <w:rPr>
          <w:sz w:val="20"/>
        </w:rPr>
        <w:tab/>
      </w:r>
      <w:r w:rsidR="00EA5ECF">
        <w:t xml:space="preserve">The </w:t>
      </w:r>
      <w:r w:rsidR="00526568">
        <w:t>Applicants</w:t>
      </w:r>
      <w:r w:rsidR="00EA5ECF">
        <w:t xml:space="preserve">’ submissions in relation to </w:t>
      </w:r>
      <w:r w:rsidR="00C42477">
        <w:t xml:space="preserve">the power in </w:t>
      </w:r>
      <w:r w:rsidR="00EA5ECF">
        <w:t xml:space="preserve">s 601AH(3)(d) </w:t>
      </w:r>
      <w:r w:rsidR="00C42477">
        <w:t>generally are of some complexity</w:t>
      </w:r>
      <w:r w:rsidR="00526568">
        <w:t xml:space="preserve"> as are the arguments made in response</w:t>
      </w:r>
      <w:r w:rsidR="00C42477">
        <w:t xml:space="preserve">.  Given the conclusion which I have </w:t>
      </w:r>
      <w:r w:rsidR="00526568">
        <w:t>reached</w:t>
      </w:r>
      <w:r w:rsidR="00C42477">
        <w:t xml:space="preserve"> in relation to s 588FF of the </w:t>
      </w:r>
      <w:r w:rsidR="00526568">
        <w:t>Corporations</w:t>
      </w:r>
      <w:r w:rsidR="00C42477">
        <w:t xml:space="preserve"> Act I </w:t>
      </w:r>
      <w:r w:rsidR="00526568">
        <w:t xml:space="preserve">only </w:t>
      </w:r>
      <w:r w:rsidR="00A03458">
        <w:t>intend to addres</w:t>
      </w:r>
      <w:r w:rsidR="00B80419">
        <w:t>s the Applicants’ contention briefly.</w:t>
      </w:r>
    </w:p>
    <w:p w14:paraId="1BC682FF" w14:textId="4B50DFC7" w:rsidR="00116703" w:rsidRDefault="00D313AC" w:rsidP="00D313AC">
      <w:pPr>
        <w:pStyle w:val="ParaNumbering"/>
        <w:numPr>
          <w:ilvl w:val="0"/>
          <w:numId w:val="0"/>
        </w:numPr>
        <w:ind w:hanging="720"/>
      </w:pPr>
      <w:r>
        <w:rPr>
          <w:sz w:val="20"/>
        </w:rPr>
        <w:t>265</w:t>
      </w:r>
      <w:r>
        <w:rPr>
          <w:sz w:val="20"/>
        </w:rPr>
        <w:tab/>
      </w:r>
      <w:r w:rsidR="00F25C96">
        <w:t xml:space="preserve">I accept the </w:t>
      </w:r>
      <w:r w:rsidR="009B7B6B">
        <w:t>Commissioner</w:t>
      </w:r>
      <w:r w:rsidR="00F25C96">
        <w:t>’s</w:t>
      </w:r>
      <w:r w:rsidR="009B7B6B">
        <w:t xml:space="preserve"> and the </w:t>
      </w:r>
      <w:r w:rsidR="00F25C96">
        <w:t>Liquidators</w:t>
      </w:r>
      <w:r w:rsidR="006D0802">
        <w:t>’</w:t>
      </w:r>
      <w:r w:rsidR="009B7B6B">
        <w:t xml:space="preserve"> submi</w:t>
      </w:r>
      <w:r w:rsidR="00F25C96">
        <w:t>ssion that there is</w:t>
      </w:r>
      <w:r w:rsidR="009B7B6B">
        <w:t xml:space="preserve"> nothing </w:t>
      </w:r>
      <w:r w:rsidR="00F25C96">
        <w:t>inconsistent</w:t>
      </w:r>
      <w:r w:rsidR="00E91516">
        <w:t xml:space="preserve"> between an order augmenting </w:t>
      </w:r>
      <w:r w:rsidR="00F25C96">
        <w:t>time</w:t>
      </w:r>
      <w:r w:rsidR="00E91516">
        <w:t xml:space="preserve"> </w:t>
      </w:r>
      <w:r w:rsidR="00F25C96">
        <w:t xml:space="preserve">for the purposes of </w:t>
      </w:r>
      <w:r w:rsidR="00AB2A40">
        <w:t xml:space="preserve">a </w:t>
      </w:r>
      <w:r w:rsidR="00262427">
        <w:t>l</w:t>
      </w:r>
      <w:r w:rsidR="00AB2A40">
        <w:t>imitation</w:t>
      </w:r>
      <w:r w:rsidR="00F25C96">
        <w:t xml:space="preserve"> </w:t>
      </w:r>
      <w:r w:rsidR="00AB2A40">
        <w:t xml:space="preserve">period </w:t>
      </w:r>
      <w:r w:rsidR="000038E8">
        <w:t xml:space="preserve">under s 601AH(3)(d) and the </w:t>
      </w:r>
      <w:r w:rsidR="00AB2A40">
        <w:t>operation</w:t>
      </w:r>
      <w:r w:rsidR="000038E8">
        <w:t xml:space="preserve"> of s 601AH(5) of the </w:t>
      </w:r>
      <w:r w:rsidR="00AB2A40">
        <w:t>Corporations</w:t>
      </w:r>
      <w:r w:rsidR="000038E8">
        <w:t xml:space="preserve"> Act.  </w:t>
      </w:r>
      <w:r w:rsidR="00781AF8">
        <w:t xml:space="preserve">The terms of s 601AH(3)(d) permit the </w:t>
      </w:r>
      <w:r w:rsidR="007E4222">
        <w:t>Court</w:t>
      </w:r>
      <w:r w:rsidR="00262427">
        <w:t xml:space="preserve"> upon reinstating the registration for a company</w:t>
      </w:r>
      <w:r w:rsidR="00781AF8">
        <w:t xml:space="preserve"> to make any order it considers appropriate</w:t>
      </w:r>
      <w:r w:rsidR="00262427">
        <w:t xml:space="preserve">.  </w:t>
      </w:r>
    </w:p>
    <w:p w14:paraId="4180B0BB" w14:textId="387DC08E" w:rsidR="00527809" w:rsidRDefault="00D313AC" w:rsidP="00D313AC">
      <w:pPr>
        <w:pStyle w:val="ParaNumbering"/>
        <w:numPr>
          <w:ilvl w:val="0"/>
          <w:numId w:val="0"/>
        </w:numPr>
        <w:ind w:hanging="720"/>
      </w:pPr>
      <w:r>
        <w:rPr>
          <w:sz w:val="20"/>
        </w:rPr>
        <w:t>266</w:t>
      </w:r>
      <w:r>
        <w:rPr>
          <w:sz w:val="20"/>
        </w:rPr>
        <w:tab/>
      </w:r>
      <w:r w:rsidR="0014722B">
        <w:t xml:space="preserve">In </w:t>
      </w:r>
      <w:r w:rsidR="00527809" w:rsidRPr="00722189">
        <w:rPr>
          <w:i/>
          <w:iCs/>
        </w:rPr>
        <w:t xml:space="preserve">Bell Group </w:t>
      </w:r>
      <w:r w:rsidR="00527809">
        <w:t xml:space="preserve">McKerracher J considered an application made by the liquidator of Bell Group Ltd (in </w:t>
      </w:r>
      <w:proofErr w:type="spellStart"/>
      <w:r w:rsidR="00527809">
        <w:t>liq</w:t>
      </w:r>
      <w:proofErr w:type="spellEnd"/>
      <w:r w:rsidR="00527809">
        <w:t xml:space="preserve">) pursuant to s 601AH(2) of the Corporations Act on its behalf and other companies in the group for reinstatement of certain subsidiary companies that had been deregistered between 1992 and 1994.  </w:t>
      </w:r>
      <w:r w:rsidR="00875472">
        <w:t>T</w:t>
      </w:r>
      <w:r w:rsidR="00527809">
        <w:t>he liquidator also sought orders that the reinstated companies be wound up upon reinstatement pursuant to s 461</w:t>
      </w:r>
      <w:r w:rsidR="00E87906">
        <w:t>(1)(k)</w:t>
      </w:r>
      <w:r w:rsidR="00527809">
        <w:t xml:space="preserve"> of the Corporations Act and orders pursuant to s 601AH(3) of the Corporations Act the effect of which was that certain of the companies were deemed to have beneficially held shares in other companies from and including the date of those companies’ dissolution.  That relief was refer</w:t>
      </w:r>
      <w:r w:rsidR="00496D3A">
        <w:t>r</w:t>
      </w:r>
      <w:r w:rsidR="00527809">
        <w:t xml:space="preserve">able to income tax relief which the liquidator sought to obtain for the Bell Group companies.  </w:t>
      </w:r>
    </w:p>
    <w:p w14:paraId="0108DE63" w14:textId="53DBF61E" w:rsidR="00527809" w:rsidRDefault="00D313AC" w:rsidP="00D313AC">
      <w:pPr>
        <w:pStyle w:val="ParaNumbering"/>
        <w:numPr>
          <w:ilvl w:val="0"/>
          <w:numId w:val="0"/>
        </w:numPr>
        <w:ind w:hanging="720"/>
      </w:pPr>
      <w:r>
        <w:rPr>
          <w:sz w:val="20"/>
        </w:rPr>
        <w:t>267</w:t>
      </w:r>
      <w:r>
        <w:rPr>
          <w:sz w:val="20"/>
        </w:rPr>
        <w:tab/>
      </w:r>
      <w:r w:rsidR="00527809">
        <w:t xml:space="preserve">The Commissioner opposed the application.  </w:t>
      </w:r>
      <w:r w:rsidR="0060384A">
        <w:t xml:space="preserve">Relevantly, </w:t>
      </w:r>
      <w:r w:rsidR="00527809">
        <w:t xml:space="preserve">he contended that the Court was not empowered to make </w:t>
      </w:r>
      <w:r w:rsidR="007A6465">
        <w:t>the order sought pursuant to s 601AH(3)</w:t>
      </w:r>
      <w:r w:rsidR="00527809">
        <w:t xml:space="preserve"> because it would be contrary to the proper construction of s 601AH(5) of the Corporations Act</w:t>
      </w:r>
      <w:r w:rsidR="00F52076">
        <w:t>.</w:t>
      </w:r>
      <w:r w:rsidR="00527809">
        <w:t xml:space="preserve"> </w:t>
      </w:r>
    </w:p>
    <w:p w14:paraId="4C483762" w14:textId="00583AFF" w:rsidR="00527809" w:rsidRDefault="00D313AC" w:rsidP="00D313AC">
      <w:pPr>
        <w:pStyle w:val="ParaNumbering"/>
        <w:numPr>
          <w:ilvl w:val="0"/>
          <w:numId w:val="0"/>
        </w:numPr>
        <w:ind w:hanging="720"/>
      </w:pPr>
      <w:r>
        <w:rPr>
          <w:sz w:val="20"/>
        </w:rPr>
        <w:t>268</w:t>
      </w:r>
      <w:r>
        <w:rPr>
          <w:sz w:val="20"/>
        </w:rPr>
        <w:tab/>
      </w:r>
      <w:r w:rsidR="00527809">
        <w:t>At [104]-[105] McKerracher J referred to the final contested issue to be resolved which concerned the deregistered companies and other affected Bell Group companies joining the Bell Group tax consolidated group with effect from 1 July 2002</w:t>
      </w:r>
      <w:r w:rsidR="00012E5A">
        <w:t xml:space="preserve">.  </w:t>
      </w:r>
      <w:r w:rsidR="00527809">
        <w:t xml:space="preserve">At [106] his Honour noted that the main issue was whether making the order sought was within the Court’s power.  The </w:t>
      </w:r>
      <w:r w:rsidR="00527809">
        <w:lastRenderedPageBreak/>
        <w:t xml:space="preserve">Commissioner contended that none of the </w:t>
      </w:r>
      <w:r w:rsidR="00591D18">
        <w:t xml:space="preserve">three </w:t>
      </w:r>
      <w:r w:rsidR="00527809">
        <w:t xml:space="preserve">alternative forms of order </w:t>
      </w:r>
      <w:r w:rsidR="00591D18">
        <w:t xml:space="preserve">proposed by the </w:t>
      </w:r>
      <w:r w:rsidR="00012E5A">
        <w:t>plaintiffs</w:t>
      </w:r>
      <w:r w:rsidR="00591D18">
        <w:t xml:space="preserve"> </w:t>
      </w:r>
      <w:r w:rsidR="00012E5A">
        <w:t>were</w:t>
      </w:r>
      <w:r w:rsidR="00527809">
        <w:t xml:space="preserve"> within power.  </w:t>
      </w:r>
      <w:r w:rsidR="004E29CA">
        <w:t>Among other things the Commissioner argued that the plaintiffs’ proposed orders were inconsistent with the “limited” form of retrospectivity provided by s 601AH(5) of the Corporations Act because they sought to restore beneficial ownership</w:t>
      </w:r>
      <w:r w:rsidR="00085622">
        <w:t xml:space="preserve"> </w:t>
      </w:r>
      <w:r w:rsidR="004E29CA">
        <w:t xml:space="preserve">of the property </w:t>
      </w:r>
      <w:r w:rsidR="00085622">
        <w:t xml:space="preserve">(i.e. the shares) </w:t>
      </w:r>
      <w:r w:rsidR="004E29CA">
        <w:t xml:space="preserve">to the deregistered companies during the period of deregistration.  </w:t>
      </w:r>
    </w:p>
    <w:p w14:paraId="09818605" w14:textId="0809F066" w:rsidR="00527809" w:rsidRDefault="00D313AC" w:rsidP="00D313AC">
      <w:pPr>
        <w:pStyle w:val="ParaNumbering"/>
        <w:numPr>
          <w:ilvl w:val="0"/>
          <w:numId w:val="0"/>
        </w:numPr>
        <w:ind w:hanging="720"/>
      </w:pPr>
      <w:r>
        <w:rPr>
          <w:sz w:val="20"/>
        </w:rPr>
        <w:t>269</w:t>
      </w:r>
      <w:r>
        <w:rPr>
          <w:sz w:val="20"/>
        </w:rPr>
        <w:tab/>
      </w:r>
      <w:r w:rsidR="00527809">
        <w:t>At [119] his Honour set out the two principles which the Commissioner contended were central to the operation of Pt 5A.1 of the Corporations Act as follows:</w:t>
      </w:r>
    </w:p>
    <w:p w14:paraId="48FF1D78" w14:textId="77777777" w:rsidR="00527809" w:rsidRDefault="00527809" w:rsidP="00527809">
      <w:pPr>
        <w:pStyle w:val="Quote1"/>
        <w:ind w:left="1440" w:hanging="703"/>
      </w:pPr>
      <w:r>
        <w:t>(a)</w:t>
      </w:r>
      <w:r>
        <w:tab/>
        <w:t xml:space="preserve">section 601AH(5) provides only a ‘limited form’ of retrospectivity upon the reinstatement of a deregistered company; and </w:t>
      </w:r>
    </w:p>
    <w:p w14:paraId="7E1A7283" w14:textId="77777777" w:rsidR="00527809" w:rsidRDefault="00527809" w:rsidP="00C33416">
      <w:pPr>
        <w:pStyle w:val="Quote1"/>
        <w:spacing w:after="360"/>
        <w:ind w:left="1440" w:hanging="703"/>
      </w:pPr>
      <w:r>
        <w:t>(b)</w:t>
      </w:r>
      <w:r>
        <w:tab/>
        <w:t xml:space="preserve">on deregistration, the property of the company vests in ASIC by operation of s 601AD and if an order is made to reinstate the company pursuant to s 601AH(2), the property of the company re-vests only from the time of reinstatement, not from the time of deregistration. </w:t>
      </w:r>
    </w:p>
    <w:p w14:paraId="61C87FDF" w14:textId="22F765D2" w:rsidR="00527809" w:rsidRDefault="00D313AC" w:rsidP="00D313AC">
      <w:pPr>
        <w:pStyle w:val="ParaNumbering"/>
        <w:numPr>
          <w:ilvl w:val="0"/>
          <w:numId w:val="0"/>
        </w:numPr>
        <w:ind w:hanging="720"/>
      </w:pPr>
      <w:r>
        <w:rPr>
          <w:sz w:val="20"/>
        </w:rPr>
        <w:t>270</w:t>
      </w:r>
      <w:r>
        <w:rPr>
          <w:sz w:val="20"/>
        </w:rPr>
        <w:tab/>
      </w:r>
      <w:r w:rsidR="00527809">
        <w:t xml:space="preserve">At [122] McKerracher J </w:t>
      </w:r>
      <w:r w:rsidR="00E5453B">
        <w:t xml:space="preserve">referred to the decision in </w:t>
      </w:r>
      <w:r w:rsidR="00E5453B" w:rsidRPr="00E5453B">
        <w:rPr>
          <w:i/>
          <w:iCs/>
        </w:rPr>
        <w:t>Stork ICM Australia Pty Ltd v SFS 007.298.633 Pty Ltd (formerly Stork Food Systems Australasia Pty Ltd)</w:t>
      </w:r>
      <w:r w:rsidR="00E5453B">
        <w:t xml:space="preserve"> (2010)</w:t>
      </w:r>
      <w:r w:rsidR="000E3A34">
        <w:t xml:space="preserve"> </w:t>
      </w:r>
      <w:r w:rsidR="00D7729D">
        <w:t xml:space="preserve">77 ACSR 517; [2010] FCA 53 </w:t>
      </w:r>
      <w:r w:rsidR="000E3A34">
        <w:t>in which Lindgren J considered s 601AH(3)(b) (now s 601AH(3)(d))</w:t>
      </w:r>
      <w:r w:rsidR="00872D87">
        <w:t xml:space="preserve"> </w:t>
      </w:r>
      <w:r w:rsidR="000E3A34">
        <w:t>of the Corporations Act</w:t>
      </w:r>
      <w:r w:rsidR="00224BA0">
        <w:t xml:space="preserve"> (emphasis in original)</w:t>
      </w:r>
      <w:r w:rsidR="00527809">
        <w:t>:</w:t>
      </w:r>
    </w:p>
    <w:p w14:paraId="63DE81D9" w14:textId="72F084FC" w:rsidR="00527809" w:rsidRDefault="00527809" w:rsidP="0097576F">
      <w:pPr>
        <w:pStyle w:val="Quote1"/>
      </w:pPr>
      <w:r>
        <w:t xml:space="preserve">In </w:t>
      </w:r>
      <w:r w:rsidRPr="00881046">
        <w:rPr>
          <w:i/>
          <w:iCs/>
        </w:rPr>
        <w:t>Stork</w:t>
      </w:r>
      <w:r>
        <w:t>, the applicant sought to have the reinstatement operate from the date of the reinstatement orders, rather than the period spelt out in the first sentence of s</w:t>
      </w:r>
      <w:r w:rsidR="00BB704E">
        <w:t> </w:t>
      </w:r>
      <w:r>
        <w:t>601AH(5). As noted, Lindgren J held that s 601AH(3) cannot be used for such purpose, saying (at [27]):</w:t>
      </w:r>
    </w:p>
    <w:p w14:paraId="6A285AFD" w14:textId="77777777" w:rsidR="00527809" w:rsidRDefault="00527809" w:rsidP="0097576F">
      <w:pPr>
        <w:pStyle w:val="Quote1"/>
        <w:ind w:left="1440"/>
      </w:pPr>
      <w:r>
        <w:t xml:space="preserve">I do not think, however, that s 601AH(3)(b) empowers the court to make an order </w:t>
      </w:r>
      <w:r w:rsidRPr="00B04B7F">
        <w:rPr>
          <w:b/>
          <w:bCs/>
        </w:rPr>
        <w:t>denying to a reinstatement the retrospective effect provided for in s 601AH(5)</w:t>
      </w:r>
      <w:r>
        <w:t xml:space="preserve">. Subsection (3) assumes that an order has been made under subs (2), and in my view </w:t>
      </w:r>
      <w:r w:rsidRPr="003F3FE5">
        <w:rPr>
          <w:b/>
          <w:bCs/>
        </w:rPr>
        <w:t>the only order that the court is able to make under subs (2) is one having the retrospective effect provided for in subs (5)</w:t>
      </w:r>
      <w:r>
        <w:t>. There is a question, however, precisely what that retrospective effect is.</w:t>
      </w:r>
    </w:p>
    <w:p w14:paraId="2937911A" w14:textId="77777777" w:rsidR="00527809" w:rsidRDefault="00527809" w:rsidP="00872D87">
      <w:pPr>
        <w:pStyle w:val="Quote1"/>
        <w:spacing w:after="360"/>
        <w:ind w:left="1440"/>
      </w:pPr>
      <w:r>
        <w:t>(Emphasis added.)</w:t>
      </w:r>
    </w:p>
    <w:p w14:paraId="53C64938" w14:textId="18D0F298" w:rsidR="00527809" w:rsidRDefault="00D313AC" w:rsidP="00D313AC">
      <w:pPr>
        <w:pStyle w:val="ParaNumbering"/>
        <w:numPr>
          <w:ilvl w:val="0"/>
          <w:numId w:val="0"/>
        </w:numPr>
        <w:ind w:hanging="720"/>
      </w:pPr>
      <w:r>
        <w:rPr>
          <w:sz w:val="20"/>
        </w:rPr>
        <w:t>271</w:t>
      </w:r>
      <w:r>
        <w:rPr>
          <w:sz w:val="20"/>
        </w:rPr>
        <w:tab/>
      </w:r>
      <w:r w:rsidR="00CE7843">
        <w:t xml:space="preserve">At </w:t>
      </w:r>
      <w:r w:rsidR="00527809">
        <w:t>[123]</w:t>
      </w:r>
      <w:r w:rsidR="00CE7843">
        <w:t xml:space="preserve"> his Honour expressed his agreement with Lindgren J’s </w:t>
      </w:r>
      <w:r w:rsidR="00737D27">
        <w:t xml:space="preserve">observations </w:t>
      </w:r>
      <w:r w:rsidR="002E7046">
        <w:t>that</w:t>
      </w:r>
      <w:r w:rsidR="00737D27">
        <w:t xml:space="preserve"> it was not possible</w:t>
      </w:r>
      <w:r w:rsidR="007F06D2">
        <w:t xml:space="preserve"> to make an order under the equivalent of s 601AH(3)(d)</w:t>
      </w:r>
      <w:r w:rsidR="00284052">
        <w:t xml:space="preserve"> </w:t>
      </w:r>
      <w:r w:rsidR="007730C7">
        <w:t xml:space="preserve">of the Corporations Act </w:t>
      </w:r>
      <w:r w:rsidR="00284052">
        <w:t xml:space="preserve">to the effect </w:t>
      </w:r>
      <w:r w:rsidR="002E7046">
        <w:t>that</w:t>
      </w:r>
      <w:r w:rsidR="00284052">
        <w:t xml:space="preserve"> the </w:t>
      </w:r>
      <w:r w:rsidR="002E7046">
        <w:t>reinstatement</w:t>
      </w:r>
      <w:r w:rsidR="00284052">
        <w:t xml:space="preserve"> of the registration of a company only took effect from the date of the </w:t>
      </w:r>
      <w:r w:rsidR="002E7046">
        <w:t xml:space="preserve">order but went on to observe that </w:t>
      </w:r>
      <w:r w:rsidR="00527809">
        <w:t>the ancillary orders sought ha</w:t>
      </w:r>
      <w:r w:rsidR="00DA3DE0">
        <w:t>d</w:t>
      </w:r>
      <w:r w:rsidR="00527809">
        <w:t xml:space="preserve"> the retrospective effect provided for in subs (5).</w:t>
      </w:r>
    </w:p>
    <w:p w14:paraId="78F3BAB6" w14:textId="2F1A2382" w:rsidR="00527809" w:rsidRDefault="00D313AC" w:rsidP="00D313AC">
      <w:pPr>
        <w:pStyle w:val="ParaNumbering"/>
        <w:numPr>
          <w:ilvl w:val="0"/>
          <w:numId w:val="0"/>
        </w:numPr>
        <w:ind w:hanging="720"/>
      </w:pPr>
      <w:r>
        <w:rPr>
          <w:sz w:val="20"/>
        </w:rPr>
        <w:t>272</w:t>
      </w:r>
      <w:r>
        <w:rPr>
          <w:sz w:val="20"/>
        </w:rPr>
        <w:tab/>
      </w:r>
      <w:r w:rsidR="00527809">
        <w:t xml:space="preserve">At [136] </w:t>
      </w:r>
      <w:r w:rsidR="00DA3DE0">
        <w:t xml:space="preserve">of </w:t>
      </w:r>
      <w:r w:rsidR="00DA3DE0">
        <w:rPr>
          <w:i/>
          <w:iCs/>
        </w:rPr>
        <w:t xml:space="preserve">Bell Group </w:t>
      </w:r>
      <w:r w:rsidR="0047075B">
        <w:t xml:space="preserve">McKerracher J </w:t>
      </w:r>
      <w:r w:rsidR="00527809">
        <w:t>said that there was no reason to limit the power in s</w:t>
      </w:r>
      <w:r w:rsidR="0047075B">
        <w:t> </w:t>
      </w:r>
      <w:r w:rsidR="00527809">
        <w:t xml:space="preserve">601AH(3)(d) of the Corporations Act in the manner contended for by the Commissioner and </w:t>
      </w:r>
      <w:r w:rsidR="00527809">
        <w:lastRenderedPageBreak/>
        <w:t xml:space="preserve">that there was nothing </w:t>
      </w:r>
      <w:r w:rsidR="00017F72">
        <w:t xml:space="preserve">in </w:t>
      </w:r>
      <w:r w:rsidR="00527809">
        <w:t>the extrinsic materials to support a suggestion that there was a legislative intention to diminish or limit the purpose of the power.  His Honour continued:</w:t>
      </w:r>
    </w:p>
    <w:p w14:paraId="394EE25C" w14:textId="77777777" w:rsidR="00527809" w:rsidRDefault="00527809" w:rsidP="006268BC">
      <w:pPr>
        <w:pStyle w:val="Quote1"/>
        <w:spacing w:after="360"/>
      </w:pPr>
      <w:r>
        <w:t xml:space="preserve">The power has always existed to achieve the primary purpose of treating a company upon reinstatement as though it had continued in existence from the date of deregistration, that is to say, the ‘as-you-were’ position. </w:t>
      </w:r>
    </w:p>
    <w:p w14:paraId="224EC235" w14:textId="7B98C713" w:rsidR="00527809" w:rsidRDefault="00D313AC" w:rsidP="00D313AC">
      <w:pPr>
        <w:pStyle w:val="ParaNumbering"/>
        <w:numPr>
          <w:ilvl w:val="0"/>
          <w:numId w:val="0"/>
        </w:numPr>
        <w:ind w:hanging="720"/>
      </w:pPr>
      <w:r>
        <w:rPr>
          <w:sz w:val="20"/>
        </w:rPr>
        <w:t>273</w:t>
      </w:r>
      <w:r>
        <w:rPr>
          <w:sz w:val="20"/>
        </w:rPr>
        <w:tab/>
      </w:r>
      <w:r w:rsidR="00527809">
        <w:t>At [137] McKerracher J addressed the Commissioner’s submission that any of the plaintiffs’ proposed orders would be inconsistent with the limited form of retrospectivity provided for by s</w:t>
      </w:r>
      <w:r w:rsidR="0047075B">
        <w:t> </w:t>
      </w:r>
      <w:r w:rsidR="00527809">
        <w:t>601AH(5) because th</w:t>
      </w:r>
      <w:r w:rsidR="001570F8">
        <w:t>e</w:t>
      </w:r>
      <w:r w:rsidR="00527809">
        <w:t>y sought to restore beneficial ownership of the shares to the deregistered companies during the period of deregistration.  His Honour said:</w:t>
      </w:r>
    </w:p>
    <w:p w14:paraId="427D3C7A" w14:textId="77777777" w:rsidR="00527809" w:rsidRDefault="00527809" w:rsidP="00D54AF2">
      <w:pPr>
        <w:pStyle w:val="Quote1"/>
        <w:spacing w:after="360"/>
      </w:pPr>
      <w:r>
        <w:t xml:space="preserve">It is true that the adjective ‘limited’ has been used by the courts in relation to the retrospectivity described in the first sentence of s 601AH(5), but in my view, that retrospectivity underlies the whole purpose of reinstatement. Section 601AH(5) provides for a fictional deemed continuation of the company‘s corporate existence during the period of deregistration. There are no other automatic retrospective legal consequences, but that is why there is the facility within the Corporations Act to make both validating provisions and </w:t>
      </w:r>
      <w:r w:rsidRPr="00D54AF2">
        <w:rPr>
          <w:i/>
          <w:iCs/>
        </w:rPr>
        <w:t>any</w:t>
      </w:r>
      <w:r>
        <w:t xml:space="preserve"> other orders considered appropriate in the circumstances in conjunction with the reinstatement. Section 601AH(3)(d) clearly permits an ancillary order which has significant, not merely incidental, retrospective consequences. </w:t>
      </w:r>
    </w:p>
    <w:p w14:paraId="2945CB9C" w14:textId="5AE0C2A9" w:rsidR="00CB46DC" w:rsidRDefault="00D313AC" w:rsidP="00D313AC">
      <w:pPr>
        <w:pStyle w:val="ParaNumbering"/>
        <w:numPr>
          <w:ilvl w:val="0"/>
          <w:numId w:val="0"/>
        </w:numPr>
        <w:ind w:hanging="720"/>
      </w:pPr>
      <w:r>
        <w:rPr>
          <w:sz w:val="20"/>
        </w:rPr>
        <w:t>274</w:t>
      </w:r>
      <w:r>
        <w:rPr>
          <w:sz w:val="20"/>
        </w:rPr>
        <w:tab/>
      </w:r>
      <w:r w:rsidR="00F7734D">
        <w:t xml:space="preserve">There have been </w:t>
      </w:r>
      <w:r w:rsidR="00776457">
        <w:t>several</w:t>
      </w:r>
      <w:r w:rsidR="00F7734D">
        <w:t xml:space="preserve"> cases in which a calculation of time order has been made, or where the jurisdiction to make such an order was accepted</w:t>
      </w:r>
      <w:r w:rsidR="00CB46DC">
        <w:t xml:space="preserve">.  As the Commissioner and </w:t>
      </w:r>
      <w:r w:rsidR="000A0225">
        <w:t xml:space="preserve">the </w:t>
      </w:r>
      <w:r w:rsidR="00CB46DC">
        <w:t>Liquidators submit those cases</w:t>
      </w:r>
      <w:r w:rsidR="00F7734D">
        <w:t xml:space="preserve"> demonstrate that there is no inconsistency between s 601AH(5) and the making of such an order, where considered appropriate in the circumstances </w:t>
      </w:r>
      <w:r w:rsidR="00CB46DC">
        <w:t xml:space="preserve">of </w:t>
      </w:r>
      <w:r w:rsidR="00F7734D">
        <w:t xml:space="preserve">the particular case. </w:t>
      </w:r>
      <w:r w:rsidR="00C94542">
        <w:t xml:space="preserve"> </w:t>
      </w:r>
      <w:r w:rsidR="0014722B">
        <w:t xml:space="preserve">In order </w:t>
      </w:r>
      <w:r w:rsidR="000462D9">
        <w:t xml:space="preserve">for the Applicants to </w:t>
      </w:r>
      <w:r w:rsidR="0014722B">
        <w:t xml:space="preserve">succeed in their general contention that s 601AH(3)(d) cannot be used to “deny…the retrospective effect provided for in s 601AH(5)”, by treating the company as not in existence for the purposes of calculating the period in which a cause of action can be commenced </w:t>
      </w:r>
      <w:r w:rsidR="0014722B" w:rsidRPr="00F7734D">
        <w:rPr>
          <w:i/>
          <w:iCs/>
        </w:rPr>
        <w:t>by or against the company</w:t>
      </w:r>
      <w:r w:rsidR="0014722B">
        <w:t xml:space="preserve">, I must find </w:t>
      </w:r>
      <w:r w:rsidR="00CB46DC">
        <w:t xml:space="preserve">that those decisions </w:t>
      </w:r>
      <w:r w:rsidR="0014722B">
        <w:t xml:space="preserve">are plainly wrong. </w:t>
      </w:r>
    </w:p>
    <w:p w14:paraId="64C4270D" w14:textId="15D9AD79" w:rsidR="00FE24E9" w:rsidRDefault="00D313AC" w:rsidP="00D313AC">
      <w:pPr>
        <w:pStyle w:val="ParaNumbering"/>
        <w:numPr>
          <w:ilvl w:val="0"/>
          <w:numId w:val="0"/>
        </w:numPr>
        <w:ind w:hanging="720"/>
      </w:pPr>
      <w:r>
        <w:rPr>
          <w:sz w:val="20"/>
        </w:rPr>
        <w:t>275</w:t>
      </w:r>
      <w:r>
        <w:rPr>
          <w:sz w:val="20"/>
        </w:rPr>
        <w:tab/>
      </w:r>
      <w:r w:rsidR="00CB46DC">
        <w:t>The decision</w:t>
      </w:r>
      <w:r w:rsidR="00387B50">
        <w:t>s</w:t>
      </w:r>
      <w:r w:rsidR="00CB46DC">
        <w:t xml:space="preserve"> </w:t>
      </w:r>
      <w:r w:rsidR="00CE7F0E">
        <w:t>identified by the Applicants are</w:t>
      </w:r>
      <w:r w:rsidR="00CB46DC">
        <w:t>:</w:t>
      </w:r>
      <w:r w:rsidR="0014722B">
        <w:t xml:space="preserve"> </w:t>
      </w:r>
      <w:r w:rsidR="00387B50" w:rsidRPr="00F7040B">
        <w:rPr>
          <w:i/>
          <w:iCs/>
        </w:rPr>
        <w:t xml:space="preserve">Re </w:t>
      </w:r>
      <w:proofErr w:type="spellStart"/>
      <w:r w:rsidR="00387B50" w:rsidRPr="00F7040B">
        <w:rPr>
          <w:i/>
          <w:iCs/>
        </w:rPr>
        <w:t>Harule</w:t>
      </w:r>
      <w:proofErr w:type="spellEnd"/>
      <w:r w:rsidR="00387B50" w:rsidRPr="00F7040B">
        <w:rPr>
          <w:i/>
          <w:iCs/>
        </w:rPr>
        <w:t xml:space="preserve"> Pty Ltd; Ex </w:t>
      </w:r>
      <w:proofErr w:type="spellStart"/>
      <w:r w:rsidR="00387B50" w:rsidRPr="00F7040B">
        <w:rPr>
          <w:i/>
          <w:iCs/>
        </w:rPr>
        <w:t>parte</w:t>
      </w:r>
      <w:proofErr w:type="spellEnd"/>
      <w:r w:rsidR="00387B50" w:rsidRPr="00F7040B">
        <w:rPr>
          <w:i/>
          <w:iCs/>
        </w:rPr>
        <w:t xml:space="preserve"> Olita Super </w:t>
      </w:r>
      <w:proofErr w:type="spellStart"/>
      <w:r w:rsidR="00387B50" w:rsidRPr="00F7040B">
        <w:rPr>
          <w:i/>
          <w:iCs/>
        </w:rPr>
        <w:t>Readymixed</w:t>
      </w:r>
      <w:proofErr w:type="spellEnd"/>
      <w:r w:rsidR="00387B50" w:rsidRPr="00F7040B">
        <w:rPr>
          <w:i/>
          <w:iCs/>
        </w:rPr>
        <w:t xml:space="preserve"> Concrete Pty Ltd (in </w:t>
      </w:r>
      <w:proofErr w:type="spellStart"/>
      <w:r w:rsidR="00387B50" w:rsidRPr="00F7040B">
        <w:rPr>
          <w:i/>
          <w:iCs/>
        </w:rPr>
        <w:t>liq</w:t>
      </w:r>
      <w:proofErr w:type="spellEnd"/>
      <w:r w:rsidR="00387B50" w:rsidRPr="00F7040B">
        <w:rPr>
          <w:i/>
          <w:iCs/>
        </w:rPr>
        <w:t>)</w:t>
      </w:r>
      <w:r w:rsidR="00387B50" w:rsidRPr="00387B50">
        <w:t xml:space="preserve"> (1994) 13 ACSR 500</w:t>
      </w:r>
      <w:r w:rsidR="009E1565">
        <w:t>;</w:t>
      </w:r>
      <w:r w:rsidR="00CB46DC">
        <w:t xml:space="preserve"> </w:t>
      </w:r>
      <w:r w:rsidR="00C16027">
        <w:rPr>
          <w:i/>
          <w:iCs/>
        </w:rPr>
        <w:t>R</w:t>
      </w:r>
      <w:r w:rsidR="00C16027" w:rsidRPr="00776457">
        <w:rPr>
          <w:i/>
          <w:iCs/>
          <w:sz w:val="22"/>
        </w:rPr>
        <w:t>e</w:t>
      </w:r>
      <w:r w:rsidR="00C16027">
        <w:rPr>
          <w:sz w:val="22"/>
        </w:rPr>
        <w:t xml:space="preserve"> </w:t>
      </w:r>
      <w:r w:rsidR="00CB46DC" w:rsidRPr="00F7040B">
        <w:rPr>
          <w:i/>
          <w:iCs/>
        </w:rPr>
        <w:t>Regional Planners</w:t>
      </w:r>
      <w:r w:rsidR="00C16027" w:rsidRPr="00CB36D5">
        <w:t>;</w:t>
      </w:r>
      <w:r w:rsidR="00CB46DC">
        <w:t xml:space="preserve"> </w:t>
      </w:r>
      <w:r w:rsidR="00191ABD" w:rsidRPr="00F7040B">
        <w:rPr>
          <w:i/>
          <w:iCs/>
        </w:rPr>
        <w:t>Re Austral Bronze</w:t>
      </w:r>
      <w:r w:rsidR="00C16027" w:rsidRPr="00CB36D5">
        <w:t>;</w:t>
      </w:r>
      <w:r w:rsidR="00547255" w:rsidRPr="00387B50">
        <w:t xml:space="preserve"> </w:t>
      </w:r>
      <w:proofErr w:type="spellStart"/>
      <w:r w:rsidR="00547255" w:rsidRPr="00F7040B">
        <w:rPr>
          <w:i/>
          <w:iCs/>
        </w:rPr>
        <w:t>Pagnon</w:t>
      </w:r>
      <w:proofErr w:type="spellEnd"/>
      <w:r w:rsidR="00C16027" w:rsidRPr="00E34040">
        <w:t>;</w:t>
      </w:r>
      <w:r w:rsidR="00547255">
        <w:t xml:space="preserve"> </w:t>
      </w:r>
      <w:r w:rsidR="00F7040B">
        <w:t xml:space="preserve">and </w:t>
      </w:r>
      <w:r w:rsidR="00547255" w:rsidRPr="00F7040B">
        <w:rPr>
          <w:i/>
          <w:iCs/>
        </w:rPr>
        <w:t>Del Borrello</w:t>
      </w:r>
      <w:r w:rsidR="009E1565" w:rsidRPr="00F7040B">
        <w:rPr>
          <w:i/>
          <w:iCs/>
        </w:rPr>
        <w:t xml:space="preserve"> v Australian Securities and Investments Commission</w:t>
      </w:r>
      <w:r w:rsidR="009E1565">
        <w:t xml:space="preserve"> [2008] WASC 48</w:t>
      </w:r>
      <w:r w:rsidR="00336142">
        <w:t>.</w:t>
      </w:r>
    </w:p>
    <w:p w14:paraId="006A940A" w14:textId="782746F2" w:rsidR="0014722B" w:rsidRDefault="00D313AC" w:rsidP="00D313AC">
      <w:pPr>
        <w:pStyle w:val="ParaNumbering"/>
        <w:numPr>
          <w:ilvl w:val="0"/>
          <w:numId w:val="0"/>
        </w:numPr>
        <w:ind w:hanging="720"/>
      </w:pPr>
      <w:r>
        <w:rPr>
          <w:sz w:val="20"/>
        </w:rPr>
        <w:t>276</w:t>
      </w:r>
      <w:r>
        <w:rPr>
          <w:sz w:val="20"/>
        </w:rPr>
        <w:tab/>
      </w:r>
      <w:r w:rsidR="00A00AA5">
        <w:t>O</w:t>
      </w:r>
      <w:r w:rsidR="003E5392">
        <w:t>ne</w:t>
      </w:r>
      <w:r w:rsidR="004061FD">
        <w:t xml:space="preserve"> of th</w:t>
      </w:r>
      <w:r w:rsidR="00A00AA5">
        <w:t>e</w:t>
      </w:r>
      <w:r w:rsidR="004061FD">
        <w:t xml:space="preserve"> decisions</w:t>
      </w:r>
      <w:r w:rsidR="00A00AA5">
        <w:t xml:space="preserve"> referred to in the preceding paragraph</w:t>
      </w:r>
      <w:r w:rsidR="004061FD">
        <w:t xml:space="preserve">, </w:t>
      </w:r>
      <w:proofErr w:type="spellStart"/>
      <w:r w:rsidR="004061FD">
        <w:rPr>
          <w:i/>
          <w:iCs/>
        </w:rPr>
        <w:t>Pagnon</w:t>
      </w:r>
      <w:proofErr w:type="spellEnd"/>
      <w:r w:rsidR="00C966C2">
        <w:t xml:space="preserve">, </w:t>
      </w:r>
      <w:r w:rsidR="00255CB6">
        <w:t xml:space="preserve">is </w:t>
      </w:r>
      <w:r w:rsidR="003E5392">
        <w:t>a</w:t>
      </w:r>
      <w:r w:rsidR="00C966C2">
        <w:t xml:space="preserve"> decision </w:t>
      </w:r>
      <w:r w:rsidR="003E5392">
        <w:t>of</w:t>
      </w:r>
      <w:r w:rsidR="00C966C2">
        <w:t xml:space="preserve"> </w:t>
      </w:r>
      <w:r w:rsidR="003E5392">
        <w:t>an</w:t>
      </w:r>
      <w:r w:rsidR="00C966C2">
        <w:t xml:space="preserve"> intermediate court </w:t>
      </w:r>
      <w:r w:rsidR="003E5392">
        <w:t>of</w:t>
      </w:r>
      <w:r w:rsidR="00C966C2">
        <w:t xml:space="preserve"> appeal in</w:t>
      </w:r>
      <w:r w:rsidR="003E5392">
        <w:t xml:space="preserve"> </w:t>
      </w:r>
      <w:r w:rsidR="00C966C2">
        <w:t xml:space="preserve">relation to Commonwealth legislation. </w:t>
      </w:r>
      <w:r w:rsidR="005B6578">
        <w:t xml:space="preserve"> I would not depart from a decision of an intermediate appellate court in another jurisdiction on the </w:t>
      </w:r>
      <w:r w:rsidR="00B30DC4">
        <w:t>interpretation</w:t>
      </w:r>
      <w:r w:rsidR="005B6578">
        <w:t xml:space="preserve"> of </w:t>
      </w:r>
      <w:r w:rsidR="00B30DC4">
        <w:lastRenderedPageBreak/>
        <w:t>Commonwealth</w:t>
      </w:r>
      <w:r w:rsidR="005B6578">
        <w:t xml:space="preserve"> legislation </w:t>
      </w:r>
      <w:r w:rsidR="00B30DC4">
        <w:t>unless satisfied it was plainly wrong</w:t>
      </w:r>
      <w:r w:rsidR="00994B75">
        <w:t xml:space="preserve">: </w:t>
      </w:r>
      <w:r w:rsidR="006F6A30">
        <w:t xml:space="preserve">see </w:t>
      </w:r>
      <w:r w:rsidR="00994B75" w:rsidRPr="00994B75">
        <w:rPr>
          <w:i/>
          <w:iCs/>
        </w:rPr>
        <w:t>Farah Constructions Pty Ltd v Say-Dee Pty Ltd</w:t>
      </w:r>
      <w:r w:rsidR="00994B75" w:rsidRPr="00994B75">
        <w:t xml:space="preserve"> (2007) 230 CLR 89</w:t>
      </w:r>
      <w:r w:rsidR="00994B75">
        <w:t xml:space="preserve"> at [135]</w:t>
      </w:r>
      <w:r w:rsidR="00B30DC4">
        <w:t xml:space="preserve">.  </w:t>
      </w:r>
      <w:r w:rsidR="00A10CE8">
        <w:t xml:space="preserve">In </w:t>
      </w:r>
      <w:proofErr w:type="spellStart"/>
      <w:r w:rsidR="00A753A9">
        <w:rPr>
          <w:i/>
          <w:iCs/>
        </w:rPr>
        <w:t>Pagnon</w:t>
      </w:r>
      <w:proofErr w:type="spellEnd"/>
      <w:r w:rsidR="00A753A9">
        <w:rPr>
          <w:i/>
          <w:iCs/>
        </w:rPr>
        <w:t xml:space="preserve"> </w:t>
      </w:r>
      <w:r w:rsidR="00A10CE8">
        <w:t xml:space="preserve">the plaintiff had been employed by </w:t>
      </w:r>
      <w:proofErr w:type="spellStart"/>
      <w:r w:rsidR="00A10CE8" w:rsidRPr="00753EFA">
        <w:rPr>
          <w:b/>
          <w:bCs/>
        </w:rPr>
        <w:t>Croway</w:t>
      </w:r>
      <w:proofErr w:type="spellEnd"/>
      <w:r w:rsidR="00A10CE8">
        <w:t xml:space="preserve"> Pty Ltd</w:t>
      </w:r>
      <w:r w:rsidR="00153E27">
        <w:t xml:space="preserve"> and </w:t>
      </w:r>
      <w:r w:rsidR="00753EFA">
        <w:t xml:space="preserve">in the course of his employment, </w:t>
      </w:r>
      <w:r w:rsidR="00153E27">
        <w:t>prior to 19 June 1996</w:t>
      </w:r>
      <w:r w:rsidR="00753EFA">
        <w:t xml:space="preserve">, alleged that he </w:t>
      </w:r>
      <w:r w:rsidR="00153E27">
        <w:t xml:space="preserve">injured his </w:t>
      </w:r>
      <w:r w:rsidR="00753EFA">
        <w:t>back</w:t>
      </w:r>
      <w:r w:rsidR="00F7734D">
        <w:t>.</w:t>
      </w:r>
      <w:r w:rsidR="00753EFA">
        <w:t xml:space="preserve">  </w:t>
      </w:r>
      <w:proofErr w:type="spellStart"/>
      <w:r w:rsidR="00753EFA">
        <w:t>Croway</w:t>
      </w:r>
      <w:proofErr w:type="spellEnd"/>
      <w:r w:rsidR="00753EFA">
        <w:t xml:space="preserve"> was deregistered on 11</w:t>
      </w:r>
      <w:r w:rsidR="006F32E1">
        <w:t> </w:t>
      </w:r>
      <w:r w:rsidR="006410E7">
        <w:t>December</w:t>
      </w:r>
      <w:r w:rsidR="006F32E1">
        <w:t> </w:t>
      </w:r>
      <w:r w:rsidR="00753EFA">
        <w:t>1998</w:t>
      </w:r>
      <w:r w:rsidR="00CC65DD">
        <w:t xml:space="preserve"> and on 22</w:t>
      </w:r>
      <w:r w:rsidR="00121B30">
        <w:t> </w:t>
      </w:r>
      <w:r w:rsidR="00CC65DD">
        <w:t>June</w:t>
      </w:r>
      <w:r w:rsidR="006F32E1">
        <w:t> </w:t>
      </w:r>
      <w:r w:rsidR="00CC65DD">
        <w:t>199</w:t>
      </w:r>
      <w:r w:rsidR="006410E7">
        <w:t>9 Mr</w:t>
      </w:r>
      <w:r w:rsidR="006F32E1">
        <w:t> </w:t>
      </w:r>
      <w:proofErr w:type="spellStart"/>
      <w:r w:rsidR="006410E7">
        <w:t>P</w:t>
      </w:r>
      <w:r w:rsidR="0094559A">
        <w:t>a</w:t>
      </w:r>
      <w:r w:rsidR="006410E7">
        <w:t>gnon</w:t>
      </w:r>
      <w:proofErr w:type="spellEnd"/>
      <w:r w:rsidR="006410E7">
        <w:t xml:space="preserve"> gave notice to the defendant under s 186 of the </w:t>
      </w:r>
      <w:r w:rsidR="0094559A" w:rsidRPr="00776457">
        <w:t>Workers’ Compensation Act</w:t>
      </w:r>
      <w:r w:rsidR="0094559A" w:rsidRPr="0094559A">
        <w:rPr>
          <w:i/>
          <w:iCs/>
        </w:rPr>
        <w:t xml:space="preserve"> </w:t>
      </w:r>
      <w:r w:rsidR="00976953">
        <w:t xml:space="preserve">(now repealed) </w:t>
      </w:r>
      <w:r w:rsidR="00EB6B3A">
        <w:t>by the service of a</w:t>
      </w:r>
      <w:r w:rsidR="005C7B9D">
        <w:t xml:space="preserve"> </w:t>
      </w:r>
      <w:r w:rsidR="00EB6B3A">
        <w:t xml:space="preserve">draft claim to be filed in the </w:t>
      </w:r>
      <w:r w:rsidR="00121B30">
        <w:t>District</w:t>
      </w:r>
      <w:r w:rsidR="00EB6B3A">
        <w:t xml:space="preserve"> Court of Queensland which was filed </w:t>
      </w:r>
      <w:r w:rsidR="00E468F8">
        <w:t xml:space="preserve">on the following day.  </w:t>
      </w:r>
    </w:p>
    <w:p w14:paraId="6506446F" w14:textId="58CAD3AC" w:rsidR="00F25050" w:rsidRDefault="00D313AC" w:rsidP="00D313AC">
      <w:pPr>
        <w:pStyle w:val="ParaNumbering"/>
        <w:numPr>
          <w:ilvl w:val="0"/>
          <w:numId w:val="0"/>
        </w:numPr>
        <w:ind w:hanging="720"/>
      </w:pPr>
      <w:r>
        <w:rPr>
          <w:sz w:val="20"/>
        </w:rPr>
        <w:t>277</w:t>
      </w:r>
      <w:r>
        <w:rPr>
          <w:sz w:val="20"/>
        </w:rPr>
        <w:tab/>
      </w:r>
      <w:r w:rsidR="005C7B9D">
        <w:t xml:space="preserve">The </w:t>
      </w:r>
      <w:r w:rsidR="003C1F61">
        <w:t xml:space="preserve">proceeding before the </w:t>
      </w:r>
      <w:r w:rsidR="002F48FD">
        <w:t xml:space="preserve">Queensland </w:t>
      </w:r>
      <w:r w:rsidR="003C1F61">
        <w:t>Court of Appeal was for leave to appeal from a</w:t>
      </w:r>
      <w:r w:rsidR="00BC62E5">
        <w:t xml:space="preserve">n answer given </w:t>
      </w:r>
      <w:r w:rsidR="008C1846">
        <w:t xml:space="preserve">by the District Court of </w:t>
      </w:r>
      <w:r w:rsidR="00BC62E5">
        <w:t>Queensland</w:t>
      </w:r>
      <w:r w:rsidR="008C1846">
        <w:t xml:space="preserve"> on </w:t>
      </w:r>
      <w:r w:rsidR="00016600">
        <w:t xml:space="preserve">the following </w:t>
      </w:r>
      <w:r w:rsidR="003C1F61">
        <w:t xml:space="preserve">question </w:t>
      </w:r>
      <w:r w:rsidR="008C1846">
        <w:t>of</w:t>
      </w:r>
      <w:r w:rsidR="003C1F61">
        <w:t xml:space="preserve"> </w:t>
      </w:r>
      <w:r w:rsidR="008C1846">
        <w:t>law</w:t>
      </w:r>
      <w:r w:rsidR="00016600">
        <w:t>: whether s</w:t>
      </w:r>
      <w:r w:rsidR="006D2E10">
        <w:t> </w:t>
      </w:r>
      <w:r w:rsidR="00016600">
        <w:t xml:space="preserve">11 of the </w:t>
      </w:r>
      <w:r w:rsidR="00016600" w:rsidRPr="00385D18">
        <w:rPr>
          <w:b/>
          <w:bCs/>
          <w:i/>
          <w:iCs/>
        </w:rPr>
        <w:t>Limitation of Actions Act</w:t>
      </w:r>
      <w:r w:rsidR="00016600" w:rsidRPr="00016600">
        <w:rPr>
          <w:i/>
          <w:iCs/>
        </w:rPr>
        <w:t xml:space="preserve"> 1974</w:t>
      </w:r>
      <w:r w:rsidR="00016600">
        <w:t xml:space="preserve"> </w:t>
      </w:r>
      <w:r w:rsidR="002A512D">
        <w:t>(Q</w:t>
      </w:r>
      <w:r w:rsidR="00DD195E">
        <w:t>ld</w:t>
      </w:r>
      <w:r w:rsidR="002A512D">
        <w:t xml:space="preserve">), </w:t>
      </w:r>
      <w:r w:rsidR="00016600">
        <w:t>imposing a three</w:t>
      </w:r>
      <w:r w:rsidR="007A7CD0">
        <w:t xml:space="preserve"> </w:t>
      </w:r>
      <w:r w:rsidR="00016600">
        <w:t>year limitation on the bringing of an action in negligence for damages for personal injury</w:t>
      </w:r>
      <w:r w:rsidR="00121B30">
        <w:t>,</w:t>
      </w:r>
      <w:r w:rsidR="00016600">
        <w:t xml:space="preserve"> applied</w:t>
      </w:r>
      <w:r w:rsidR="002A512D">
        <w:t xml:space="preserve">.  The primary judge found that it did not.  </w:t>
      </w:r>
      <w:r w:rsidR="00F25050">
        <w:t xml:space="preserve">Section 186 of the Workers’ Compensation Act </w:t>
      </w:r>
      <w:r w:rsidR="00976953">
        <w:t xml:space="preserve">(now repealed) </w:t>
      </w:r>
      <w:r w:rsidR="00F25050">
        <w:t>relevantly provided</w:t>
      </w:r>
      <w:r w:rsidR="00A627AD">
        <w:t>:</w:t>
      </w:r>
    </w:p>
    <w:p w14:paraId="30C67533" w14:textId="49821575" w:rsidR="0074655A" w:rsidRDefault="0091087B" w:rsidP="0074655A">
      <w:pPr>
        <w:pStyle w:val="Quote1"/>
        <w:ind w:left="1440" w:hanging="703"/>
      </w:pPr>
      <w:r>
        <w:t>(1)</w:t>
      </w:r>
      <w:r>
        <w:tab/>
      </w:r>
      <w:r w:rsidR="0074655A">
        <w:t xml:space="preserve">If a worker suffers injury in respect of which compensation under this Act is payable in circumstances conferring a right of action for damages in respect of the injury against the worker’s employer who </w:t>
      </w:r>
      <w:r w:rsidR="00331CA5">
        <w:t>–</w:t>
      </w:r>
    </w:p>
    <w:p w14:paraId="7CBE7652" w14:textId="7C48C663" w:rsidR="0074655A" w:rsidRDefault="0074655A" w:rsidP="0074655A">
      <w:pPr>
        <w:pStyle w:val="Quote2"/>
      </w:pPr>
      <w:r>
        <w:t>(a)</w:t>
      </w:r>
      <w:r w:rsidR="00F73D02">
        <w:tab/>
      </w:r>
      <w:r>
        <w:t>has died; or</w:t>
      </w:r>
    </w:p>
    <w:p w14:paraId="35ABF692" w14:textId="7E15E41F" w:rsidR="003173EE" w:rsidRDefault="0074655A" w:rsidP="0074655A">
      <w:pPr>
        <w:pStyle w:val="Quote2"/>
      </w:pPr>
      <w:r>
        <w:t>(b)</w:t>
      </w:r>
      <w:r w:rsidR="00F73D02">
        <w:tab/>
      </w:r>
      <w:r>
        <w:t xml:space="preserve">being a corporation, has ceased to exist; or </w:t>
      </w:r>
    </w:p>
    <w:p w14:paraId="7DF35448" w14:textId="2E58303E" w:rsidR="0074655A" w:rsidRDefault="0074655A" w:rsidP="0074655A">
      <w:pPr>
        <w:pStyle w:val="Quote2"/>
      </w:pPr>
      <w:r>
        <w:t>(c)</w:t>
      </w:r>
      <w:r w:rsidR="00F73D02">
        <w:tab/>
      </w:r>
      <w:r>
        <w:t>cannot be served with process;</w:t>
      </w:r>
    </w:p>
    <w:p w14:paraId="0ADEB191" w14:textId="26E5DC9A" w:rsidR="00A627AD" w:rsidRDefault="0074655A" w:rsidP="003173EE">
      <w:pPr>
        <w:pStyle w:val="Quote2"/>
      </w:pPr>
      <w:r>
        <w:t xml:space="preserve">a person who might have obtained judgment for damages against the employer in respect of the injury may recover by action against the board, as if the board were the employer, the sum that would have been payable by way of damages to that person by the board under section 183(1) had judgment been given against the employer. </w:t>
      </w:r>
    </w:p>
    <w:p w14:paraId="430F394C" w14:textId="5A158820" w:rsidR="003B2F51" w:rsidRDefault="003B2F51" w:rsidP="003B2F51">
      <w:pPr>
        <w:pStyle w:val="Quote1"/>
      </w:pPr>
      <w:r>
        <w:t>…</w:t>
      </w:r>
    </w:p>
    <w:p w14:paraId="2A913AA8" w14:textId="114F3854" w:rsidR="003B2F51" w:rsidRDefault="0091087B" w:rsidP="00F73D02">
      <w:pPr>
        <w:pStyle w:val="Quote1"/>
        <w:spacing w:after="360"/>
        <w:ind w:left="1440" w:hanging="703"/>
      </w:pPr>
      <w:r>
        <w:t>(3)</w:t>
      </w:r>
      <w:r w:rsidR="00634974">
        <w:tab/>
      </w:r>
      <w:r w:rsidR="003B2F51">
        <w:t xml:space="preserve">Subsection (1) does not confer on a person any right or advantage that the person would not have had if action had been brought or pursued against the employer of the worker who has suffered injury </w:t>
      </w:r>
    </w:p>
    <w:p w14:paraId="1953FCE7" w14:textId="03BBDAF0" w:rsidR="000B01B7" w:rsidRDefault="00D313AC" w:rsidP="00D313AC">
      <w:pPr>
        <w:pStyle w:val="ParaNumbering"/>
        <w:numPr>
          <w:ilvl w:val="0"/>
          <w:numId w:val="0"/>
        </w:numPr>
        <w:ind w:hanging="720"/>
      </w:pPr>
      <w:r>
        <w:rPr>
          <w:sz w:val="20"/>
        </w:rPr>
        <w:t>278</w:t>
      </w:r>
      <w:r>
        <w:rPr>
          <w:sz w:val="20"/>
        </w:rPr>
        <w:tab/>
      </w:r>
      <w:r w:rsidR="00121B30">
        <w:t xml:space="preserve">In </w:t>
      </w:r>
      <w:r w:rsidR="00CA1F56">
        <w:t>considering</w:t>
      </w:r>
      <w:r w:rsidR="00121B30">
        <w:t xml:space="preserve"> the application before the Court McPherson JA </w:t>
      </w:r>
      <w:r w:rsidR="00634974">
        <w:t xml:space="preserve">observed at [3] that there </w:t>
      </w:r>
      <w:r w:rsidR="00571505">
        <w:t>was a consistent line of authority in relation to statutory provisions like s</w:t>
      </w:r>
      <w:r w:rsidR="00EB0521">
        <w:t> </w:t>
      </w:r>
      <w:r w:rsidR="00571505">
        <w:t>186 holding that they create a new cause of action that is not complete until all the requirements for bringing the action are complied with</w:t>
      </w:r>
      <w:r w:rsidR="00936E05">
        <w:t xml:space="preserve"> at which time the cause of </w:t>
      </w:r>
      <w:r w:rsidR="00D762CA">
        <w:t>action</w:t>
      </w:r>
      <w:r w:rsidR="00936E05">
        <w:t xml:space="preserve"> then accrues.  At </w:t>
      </w:r>
      <w:r w:rsidR="003E62D9">
        <w:t xml:space="preserve">[7] his </w:t>
      </w:r>
      <w:r w:rsidR="00D762CA">
        <w:t>Ho</w:t>
      </w:r>
      <w:r w:rsidR="003E62D9">
        <w:t>nour concluded that the right conferred was a new right or cause of action a</w:t>
      </w:r>
      <w:r w:rsidR="00D762CA">
        <w:t xml:space="preserve">gainst the substituted defendant subject to the unexpired duration of the limitation period fixed by s 11 of the Limitation </w:t>
      </w:r>
      <w:r w:rsidR="005B04D9">
        <w:t xml:space="preserve">of Actions </w:t>
      </w:r>
      <w:r w:rsidR="00D762CA">
        <w:t xml:space="preserve">Act.  </w:t>
      </w:r>
      <w:r w:rsidR="00D91ACD">
        <w:t xml:space="preserve">McPherson JA then </w:t>
      </w:r>
      <w:r w:rsidR="003D0729">
        <w:t>turned</w:t>
      </w:r>
      <w:r w:rsidR="00D91ACD">
        <w:t xml:space="preserve"> </w:t>
      </w:r>
      <w:r w:rsidR="008B43D2">
        <w:t>to</w:t>
      </w:r>
      <w:r w:rsidR="00D91ACD">
        <w:t xml:space="preserve"> consider the effect of s 186(3) of the Worker</w:t>
      </w:r>
      <w:r w:rsidR="00D55BFF">
        <w:t>s</w:t>
      </w:r>
      <w:r w:rsidR="00D91ACD">
        <w:t xml:space="preserve">’ </w:t>
      </w:r>
      <w:r w:rsidR="008B43D2">
        <w:t>Compensation</w:t>
      </w:r>
      <w:r w:rsidR="00D91ACD">
        <w:t xml:space="preserve"> Act</w:t>
      </w:r>
      <w:r w:rsidR="000B01B7">
        <w:t xml:space="preserve"> observing, among other things, </w:t>
      </w:r>
      <w:r w:rsidR="002A499B">
        <w:t xml:space="preserve">at [8] </w:t>
      </w:r>
      <w:r w:rsidR="000B01B7">
        <w:t>that:</w:t>
      </w:r>
    </w:p>
    <w:p w14:paraId="303C110E" w14:textId="00E2DC22" w:rsidR="00016600" w:rsidRDefault="000B01B7" w:rsidP="0076700B">
      <w:pPr>
        <w:pStyle w:val="Quote1"/>
        <w:spacing w:after="360"/>
      </w:pPr>
      <w:r>
        <w:lastRenderedPageBreak/>
        <w:t xml:space="preserve">A plaintiff who sues under s. 186(1) may still be liable to be defeated by a defence under s. 11 of the </w:t>
      </w:r>
      <w:r w:rsidRPr="00721B6C">
        <w:rPr>
          <w:i/>
          <w:iCs/>
        </w:rPr>
        <w:t>Limitation of Actions Act</w:t>
      </w:r>
      <w:r>
        <w:t xml:space="preserve"> after the lapse of three years from the date on which the cause of action against the board accrued under s. 186(1). It is true that, if only because of the need to give notice under s. 186(2), the date of accrual of the statutory cause of action under s. 186(1) would invariably be later than that of the common law action; but that is an inevitable incident of creating or characterising it as a new cause of action. It is a consequence of imposing the additional requirement of notice under s. 186(1) rather than of anything in subs. (2) of s. 186. It is, moreover, in my opinion a right or advantage which, quite apart from s. 186, the plaintiff already enjoyed and enjoys in an action for damages against a corporate employer that has been dissolved.</w:t>
      </w:r>
      <w:r w:rsidR="008B43D2">
        <w:t xml:space="preserve">  </w:t>
      </w:r>
      <w:r w:rsidR="00D91ACD">
        <w:t xml:space="preserve"> </w:t>
      </w:r>
      <w:r w:rsidR="00571505">
        <w:t xml:space="preserve">  </w:t>
      </w:r>
    </w:p>
    <w:p w14:paraId="77146A18" w14:textId="7EB869B2" w:rsidR="005760B6" w:rsidRDefault="00D313AC" w:rsidP="00D313AC">
      <w:pPr>
        <w:pStyle w:val="ParaNumbering"/>
        <w:numPr>
          <w:ilvl w:val="0"/>
          <w:numId w:val="0"/>
        </w:numPr>
        <w:ind w:hanging="720"/>
      </w:pPr>
      <w:r>
        <w:rPr>
          <w:sz w:val="20"/>
        </w:rPr>
        <w:t>279</w:t>
      </w:r>
      <w:r>
        <w:rPr>
          <w:sz w:val="20"/>
        </w:rPr>
        <w:tab/>
      </w:r>
      <w:r w:rsidR="0004772B">
        <w:t>McPherson JA</w:t>
      </w:r>
      <w:r w:rsidR="00121314">
        <w:t xml:space="preserve"> </w:t>
      </w:r>
      <w:r w:rsidR="0004772B">
        <w:t>set out his reasons for reaching that conclusion.  I</w:t>
      </w:r>
      <w:r w:rsidR="00121314">
        <w:t>n</w:t>
      </w:r>
      <w:r w:rsidR="0004772B">
        <w:t xml:space="preserve"> doing so his Honour considered the </w:t>
      </w:r>
      <w:r w:rsidR="00121314">
        <w:t xml:space="preserve">effect of dissolution </w:t>
      </w:r>
      <w:r w:rsidR="00DE6EE4">
        <w:t>of</w:t>
      </w:r>
      <w:r w:rsidR="00121314">
        <w:t xml:space="preserve"> a company </w:t>
      </w:r>
      <w:r w:rsidR="00DE6EE4">
        <w:t xml:space="preserve">on time running under a limitation period.  In </w:t>
      </w:r>
      <w:r w:rsidR="005760B6">
        <w:t>that</w:t>
      </w:r>
      <w:r w:rsidR="00DE6EE4">
        <w:t xml:space="preserve"> context his Honour </w:t>
      </w:r>
      <w:r w:rsidR="005760B6">
        <w:t>considered</w:t>
      </w:r>
      <w:r w:rsidR="00095459">
        <w:t xml:space="preserve"> the </w:t>
      </w:r>
      <w:r w:rsidR="005760B6">
        <w:t>provisions</w:t>
      </w:r>
      <w:r w:rsidR="00095459">
        <w:t xml:space="preserve"> of Pt 5A of the </w:t>
      </w:r>
      <w:r w:rsidR="00095459" w:rsidRPr="00385D18">
        <w:rPr>
          <w:i/>
          <w:iCs/>
        </w:rPr>
        <w:t xml:space="preserve">Corporations </w:t>
      </w:r>
      <w:r w:rsidR="005760B6" w:rsidRPr="00385D18">
        <w:rPr>
          <w:i/>
          <w:iCs/>
        </w:rPr>
        <w:t>Law</w:t>
      </w:r>
      <w:r w:rsidR="00095459">
        <w:t xml:space="preserve"> (</w:t>
      </w:r>
      <w:r w:rsidR="005760B6">
        <w:t>which</w:t>
      </w:r>
      <w:r w:rsidR="00095459">
        <w:t xml:space="preserve"> </w:t>
      </w:r>
      <w:r w:rsidR="005760B6">
        <w:t>a</w:t>
      </w:r>
      <w:r w:rsidR="00095459">
        <w:t xml:space="preserve">t the time was in </w:t>
      </w:r>
      <w:r w:rsidR="005760B6">
        <w:t>force</w:t>
      </w:r>
      <w:r w:rsidR="00095459">
        <w:t>)</w:t>
      </w:r>
      <w:r w:rsidR="005760B6">
        <w:t>.  At [14]-[15] his Honour relevantly said:</w:t>
      </w:r>
    </w:p>
    <w:p w14:paraId="0C62B947" w14:textId="7F6B15C3" w:rsidR="005C7B9D" w:rsidRDefault="00670B72" w:rsidP="007A5B3D">
      <w:pPr>
        <w:pStyle w:val="Quote1"/>
        <w:ind w:left="1440" w:hanging="703"/>
      </w:pPr>
      <w:r>
        <w:t>[</w:t>
      </w:r>
      <w:r w:rsidR="007A5B3D">
        <w:t>14</w:t>
      </w:r>
      <w:r>
        <w:t>]</w:t>
      </w:r>
      <w:r w:rsidR="007A5B3D">
        <w:tab/>
      </w:r>
      <w:r w:rsidR="00EA2D13">
        <w:t>The same policy is now manifest in the provisions of Part 5A of the</w:t>
      </w:r>
      <w:r w:rsidR="00B12C96">
        <w:t xml:space="preserve"> </w:t>
      </w:r>
      <w:r w:rsidR="00B12C96" w:rsidRPr="00B12C96">
        <w:rPr>
          <w:i/>
          <w:iCs/>
        </w:rPr>
        <w:t>Corporations</w:t>
      </w:r>
      <w:r w:rsidR="00EA2D13" w:rsidRPr="00B12C96">
        <w:rPr>
          <w:i/>
          <w:iCs/>
        </w:rPr>
        <w:t xml:space="preserve"> Law, </w:t>
      </w:r>
      <w:r w:rsidR="00EA2D13">
        <w:t>which took effect on or from 1 July 1998. On deregistration, as it is now called, a company ceases to exist: s. 601AD(1). However, under s. 601AH(1), ASIC may reinstate the registration of a company if satisfied that it ought not to have been deregistered</w:t>
      </w:r>
      <w:r w:rsidR="005473D7">
        <w:t>.  Section 601AH then proceeds:</w:t>
      </w:r>
    </w:p>
    <w:p w14:paraId="4441470F" w14:textId="0D722FF6" w:rsidR="005473D7" w:rsidRDefault="005473D7" w:rsidP="007A5B3D">
      <w:pPr>
        <w:pStyle w:val="Quote1"/>
        <w:ind w:left="1440"/>
      </w:pPr>
      <w:r>
        <w:t>….</w:t>
      </w:r>
    </w:p>
    <w:p w14:paraId="23D6CCF4" w14:textId="62B2E24D" w:rsidR="007A5B3D" w:rsidRDefault="007A5B3D" w:rsidP="007A5B3D">
      <w:pPr>
        <w:pStyle w:val="Quote1"/>
        <w:ind w:left="1440"/>
      </w:pPr>
      <w:r>
        <w:t>When reinstated, the company is taken to have continued in existence as if it had not been deregistered: s. 601AH(5).</w:t>
      </w:r>
    </w:p>
    <w:p w14:paraId="7F984B56" w14:textId="07CDBE1E" w:rsidR="007A5B3D" w:rsidRDefault="007A5B3D" w:rsidP="00FC12C3">
      <w:pPr>
        <w:pStyle w:val="Quote1"/>
        <w:spacing w:after="360"/>
        <w:ind w:left="1440" w:hanging="703"/>
      </w:pPr>
      <w:r>
        <w:t>[15]</w:t>
      </w:r>
      <w:r>
        <w:tab/>
        <w:t xml:space="preserve">It will be seen that the Court’s power to order reinstatement under s. 601AH(2) is predicated only on the need to be satisfied that it would be ‘‘just’’ to do so. That is the criterion which the courts have applied in the past in cases of this kind: see, for example, </w:t>
      </w:r>
      <w:r w:rsidR="00670B72">
        <w:t>..</w:t>
      </w:r>
      <w:r>
        <w:t>. Furthermore, the power conferred by s. 601AH(3)(b)</w:t>
      </w:r>
      <w:r w:rsidR="00670B72">
        <w:t xml:space="preserve"> </w:t>
      </w:r>
      <w:r>
        <w:t>is now very wide, and extends to making ‘‘any other order’’ that the Court ‘‘considers appropriate’’. I would have no doubt that under this provision the court could, and in a case like the present would if asked to do so,</w:t>
      </w:r>
      <w:r w:rsidR="00670B72">
        <w:t xml:space="preserve"> </w:t>
      </w:r>
      <w:r>
        <w:t xml:space="preserve">exercise the power under s. 601AH(3)(b) to order that the time between dissolution of the company on 11 December 1998 and the expiration of the limitation period under s. 11 of </w:t>
      </w:r>
      <w:r w:rsidRPr="00835E11">
        <w:t>the</w:t>
      </w:r>
      <w:r w:rsidRPr="00670B72">
        <w:rPr>
          <w:i/>
          <w:iCs/>
        </w:rPr>
        <w:t xml:space="preserve"> Limitation of Actions Act </w:t>
      </w:r>
      <w:r w:rsidRPr="00670B72">
        <w:t>1974</w:t>
      </w:r>
      <w:r>
        <w:t xml:space="preserve"> should not be counted against the plaintiff here. There is every reason why it would be</w:t>
      </w:r>
      <w:r w:rsidR="00670B72">
        <w:t xml:space="preserve"> </w:t>
      </w:r>
      <w:r>
        <w:t>‘‘just’’ to adopt that course</w:t>
      </w:r>
      <w:r w:rsidR="0082345C">
        <w:t>.</w:t>
      </w:r>
    </w:p>
    <w:p w14:paraId="52C4DF11" w14:textId="5A6C1041" w:rsidR="00F7734D" w:rsidRDefault="00D313AC" w:rsidP="00D313AC">
      <w:pPr>
        <w:pStyle w:val="ParaNumbering"/>
        <w:numPr>
          <w:ilvl w:val="0"/>
          <w:numId w:val="0"/>
        </w:numPr>
        <w:ind w:hanging="720"/>
      </w:pPr>
      <w:r>
        <w:rPr>
          <w:sz w:val="20"/>
        </w:rPr>
        <w:t>280</w:t>
      </w:r>
      <w:r>
        <w:rPr>
          <w:sz w:val="20"/>
        </w:rPr>
        <w:tab/>
      </w:r>
      <w:r w:rsidR="00C16C9B">
        <w:t xml:space="preserve">At [16] </w:t>
      </w:r>
      <w:r w:rsidR="00E54DA7">
        <w:t>McPherson</w:t>
      </w:r>
      <w:r w:rsidR="00C16C9B">
        <w:t xml:space="preserve"> JA </w:t>
      </w:r>
      <w:r w:rsidR="00B11233">
        <w:t>referred</w:t>
      </w:r>
      <w:r w:rsidR="00C16C9B">
        <w:t xml:space="preserve"> to</w:t>
      </w:r>
      <w:r w:rsidR="00B11233">
        <w:t xml:space="preserve"> </w:t>
      </w:r>
      <w:proofErr w:type="spellStart"/>
      <w:r w:rsidR="00B11233">
        <w:t>s</w:t>
      </w:r>
      <w:proofErr w:type="spellEnd"/>
      <w:r w:rsidR="00B11233">
        <w:t xml:space="preserve"> 601AG of the </w:t>
      </w:r>
      <w:r w:rsidR="00B11233" w:rsidRPr="0076700B">
        <w:rPr>
          <w:i/>
          <w:iCs/>
        </w:rPr>
        <w:t>Corporations Law</w:t>
      </w:r>
      <w:r w:rsidR="00B11233">
        <w:t xml:space="preserve"> by way </w:t>
      </w:r>
      <w:r w:rsidR="00FC12C3">
        <w:t xml:space="preserve">of </w:t>
      </w:r>
      <w:r w:rsidR="00E54DA7">
        <w:t xml:space="preserve">reinforcing the conclusion his Honour had reached.  Relevantly in that case the defendant to the action was an insurer.  </w:t>
      </w:r>
    </w:p>
    <w:p w14:paraId="599197FD" w14:textId="7DDE7644" w:rsidR="00527809" w:rsidRDefault="00D313AC" w:rsidP="00D313AC">
      <w:pPr>
        <w:pStyle w:val="ParaNumbering"/>
        <w:numPr>
          <w:ilvl w:val="0"/>
          <w:numId w:val="0"/>
        </w:numPr>
        <w:ind w:hanging="720"/>
      </w:pPr>
      <w:r>
        <w:rPr>
          <w:sz w:val="20"/>
        </w:rPr>
        <w:t>281</w:t>
      </w:r>
      <w:r>
        <w:rPr>
          <w:sz w:val="20"/>
        </w:rPr>
        <w:tab/>
      </w:r>
      <w:proofErr w:type="spellStart"/>
      <w:r w:rsidR="00D84EA5" w:rsidRPr="000D2BF9">
        <w:rPr>
          <w:i/>
          <w:iCs/>
        </w:rPr>
        <w:t>Pagnon</w:t>
      </w:r>
      <w:proofErr w:type="spellEnd"/>
      <w:r w:rsidR="00D84EA5">
        <w:t xml:space="preserve"> </w:t>
      </w:r>
      <w:r w:rsidR="00B61D35">
        <w:t xml:space="preserve">has been considered and applied </w:t>
      </w:r>
      <w:r w:rsidR="005D22DB">
        <w:t xml:space="preserve">on </w:t>
      </w:r>
      <w:r w:rsidR="004336BF">
        <w:t>a</w:t>
      </w:r>
      <w:r w:rsidR="00B61D35">
        <w:t xml:space="preserve"> number </w:t>
      </w:r>
      <w:r w:rsidR="004336BF">
        <w:t>of</w:t>
      </w:r>
      <w:r w:rsidR="00B61D35">
        <w:t xml:space="preserve"> occasions.  </w:t>
      </w:r>
      <w:r w:rsidR="004336BF">
        <w:t xml:space="preserve">In </w:t>
      </w:r>
      <w:r w:rsidR="004336BF" w:rsidRPr="000D2BF9">
        <w:rPr>
          <w:i/>
          <w:iCs/>
        </w:rPr>
        <w:t xml:space="preserve">Re Regional Planners </w:t>
      </w:r>
      <w:r w:rsidR="004336BF">
        <w:t>at [</w:t>
      </w:r>
      <w:r w:rsidR="006A6C61">
        <w:t>15]-[28] Brereton J undertook a detailed analysis of the relevant cases</w:t>
      </w:r>
      <w:r w:rsidR="007275D5">
        <w:t>,</w:t>
      </w:r>
      <w:r w:rsidR="006A6C61">
        <w:t xml:space="preserve"> including </w:t>
      </w:r>
      <w:proofErr w:type="spellStart"/>
      <w:r w:rsidR="006A6C61" w:rsidRPr="000D2BF9">
        <w:rPr>
          <w:i/>
          <w:iCs/>
        </w:rPr>
        <w:t>P</w:t>
      </w:r>
      <w:r w:rsidR="000D2BF9">
        <w:rPr>
          <w:i/>
          <w:iCs/>
        </w:rPr>
        <w:t>a</w:t>
      </w:r>
      <w:r w:rsidR="006A6C61" w:rsidRPr="000D2BF9">
        <w:rPr>
          <w:i/>
          <w:iCs/>
        </w:rPr>
        <w:t>gnon</w:t>
      </w:r>
      <w:proofErr w:type="spellEnd"/>
      <w:r w:rsidR="007275D5">
        <w:t xml:space="preserve">, </w:t>
      </w:r>
      <w:r w:rsidR="006A6C61">
        <w:t xml:space="preserve">and was satisfied that there was jurisdiction under s 601AH(3)(d) to make </w:t>
      </w:r>
      <w:r w:rsidR="000D2BF9">
        <w:t xml:space="preserve">an </w:t>
      </w:r>
      <w:r w:rsidR="006A6C61">
        <w:t>order</w:t>
      </w:r>
      <w:r w:rsidR="00A00AA5">
        <w:t xml:space="preserve"> which</w:t>
      </w:r>
      <w:r w:rsidR="000D2BF9">
        <w:t xml:space="preserve"> </w:t>
      </w:r>
      <w:r w:rsidR="000D2BF9">
        <w:lastRenderedPageBreak/>
        <w:t>would have the effect of suspending the limitation period in respect of any action that the plaintiff might have against the company</w:t>
      </w:r>
      <w:r w:rsidR="00A00AA5">
        <w:t xml:space="preserve">.  </w:t>
      </w:r>
      <w:r w:rsidR="00DE2BE7">
        <w:t xml:space="preserve">There is nothing that the Applicants point to in that analysis </w:t>
      </w:r>
      <w:r w:rsidR="00481772">
        <w:t>that lead</w:t>
      </w:r>
      <w:r w:rsidR="00CB36D5">
        <w:t>s</w:t>
      </w:r>
      <w:r w:rsidR="00481772">
        <w:t xml:space="preserve"> me to conclude that it or the decision</w:t>
      </w:r>
      <w:r w:rsidR="00ED2A9D">
        <w:t>s</w:t>
      </w:r>
      <w:r w:rsidR="00481772">
        <w:t xml:space="preserve"> upon which it is based are plainly wrong.  </w:t>
      </w:r>
    </w:p>
    <w:p w14:paraId="31B14A64" w14:textId="73D6433D" w:rsidR="00735DAB" w:rsidRDefault="00D313AC" w:rsidP="00D313AC">
      <w:pPr>
        <w:pStyle w:val="ParaNumbering"/>
        <w:numPr>
          <w:ilvl w:val="0"/>
          <w:numId w:val="0"/>
        </w:numPr>
        <w:ind w:hanging="720"/>
      </w:pPr>
      <w:r>
        <w:rPr>
          <w:sz w:val="20"/>
        </w:rPr>
        <w:t>282</w:t>
      </w:r>
      <w:r>
        <w:rPr>
          <w:sz w:val="20"/>
        </w:rPr>
        <w:tab/>
      </w:r>
      <w:r w:rsidR="00B40DBD">
        <w:t xml:space="preserve">I am not satisfied that </w:t>
      </w:r>
      <w:r w:rsidR="00006965">
        <w:t>there</w:t>
      </w:r>
      <w:r w:rsidR="00B40DBD">
        <w:t xml:space="preserve"> </w:t>
      </w:r>
      <w:r w:rsidR="00581305">
        <w:t xml:space="preserve">is </w:t>
      </w:r>
      <w:r w:rsidR="00B40DBD">
        <w:t xml:space="preserve">any </w:t>
      </w:r>
      <w:r w:rsidR="000879DF">
        <w:t>inconsistency</w:t>
      </w:r>
      <w:r w:rsidR="00425C88">
        <w:t>,</w:t>
      </w:r>
      <w:r w:rsidR="000879DF">
        <w:t xml:space="preserve"> </w:t>
      </w:r>
      <w:r w:rsidR="00EF6B3A">
        <w:t>as contended by the Applicants</w:t>
      </w:r>
      <w:r w:rsidR="00BD5E28">
        <w:t>,</w:t>
      </w:r>
      <w:r w:rsidR="00EF6B3A">
        <w:t xml:space="preserve"> between the making of an order to </w:t>
      </w:r>
      <w:r w:rsidR="00006965">
        <w:t>suspend</w:t>
      </w:r>
      <w:r w:rsidR="00EF6B3A">
        <w:t xml:space="preserve"> time for the purposes</w:t>
      </w:r>
      <w:r w:rsidR="00006965">
        <w:t xml:space="preserve"> </w:t>
      </w:r>
      <w:r w:rsidR="00EF6B3A">
        <w:t xml:space="preserve">of a limitation period on </w:t>
      </w:r>
      <w:r w:rsidR="00006965">
        <w:t>reinstatement</w:t>
      </w:r>
      <w:r w:rsidR="00EF6B3A">
        <w:t xml:space="preserve"> </w:t>
      </w:r>
      <w:r w:rsidR="00006965">
        <w:t xml:space="preserve">of a company </w:t>
      </w:r>
      <w:r w:rsidR="00EF6B3A">
        <w:t xml:space="preserve">and </w:t>
      </w:r>
      <w:r w:rsidR="00006965">
        <w:t>the</w:t>
      </w:r>
      <w:r w:rsidR="00EF6B3A">
        <w:t xml:space="preserve"> </w:t>
      </w:r>
      <w:r w:rsidR="00006965">
        <w:t>statutory</w:t>
      </w:r>
      <w:r w:rsidR="00EF6B3A">
        <w:t xml:space="preserve"> fiction in s 601AH(5) of the Corporations Act.  </w:t>
      </w:r>
      <w:r w:rsidR="00006965">
        <w:t>As Brereton</w:t>
      </w:r>
      <w:r w:rsidR="009A0C6E">
        <w:t> </w:t>
      </w:r>
      <w:r w:rsidR="00006965">
        <w:t xml:space="preserve">J found to be the case in </w:t>
      </w:r>
      <w:r w:rsidR="00006965">
        <w:rPr>
          <w:i/>
          <w:iCs/>
        </w:rPr>
        <w:t xml:space="preserve">Re Regional </w:t>
      </w:r>
      <w:r w:rsidR="00006965" w:rsidRPr="00006965">
        <w:rPr>
          <w:i/>
          <w:iCs/>
        </w:rPr>
        <w:t>Planners</w:t>
      </w:r>
      <w:r w:rsidR="00006965">
        <w:t>, s 601AH(3)(d) empowers the Court in an appropriate case to make such an order.  However, whether such</w:t>
      </w:r>
      <w:r w:rsidR="004361CF">
        <w:t xml:space="preserve"> </w:t>
      </w:r>
      <w:r w:rsidR="00006965">
        <w:t xml:space="preserve">an order should be made </w:t>
      </w:r>
      <w:r w:rsidR="00493A4D">
        <w:t>will be</w:t>
      </w:r>
      <w:r w:rsidR="00006965">
        <w:t xml:space="preserve"> </w:t>
      </w:r>
      <w:r w:rsidR="004361CF">
        <w:t xml:space="preserve">a </w:t>
      </w:r>
      <w:r w:rsidR="00006965">
        <w:t>matter for the Court’s discretion</w:t>
      </w:r>
      <w:r w:rsidR="004361CF">
        <w:t>.</w:t>
      </w:r>
    </w:p>
    <w:p w14:paraId="3FCF2654" w14:textId="4D6E6BA2" w:rsidR="00DB6E63" w:rsidRDefault="00D313AC" w:rsidP="00DB6E63">
      <w:pPr>
        <w:pStyle w:val="Heading1"/>
      </w:pPr>
      <w:r>
        <w:rPr>
          <w:caps w:val="0"/>
        </w:rPr>
        <w:t>THE COMMISSIONER’S APPLICATION</w:t>
      </w:r>
    </w:p>
    <w:p w14:paraId="03CB8805" w14:textId="02FE60DA" w:rsidR="00CB74C4" w:rsidRDefault="00D313AC" w:rsidP="00D313AC">
      <w:pPr>
        <w:pStyle w:val="ParaNumbering"/>
        <w:numPr>
          <w:ilvl w:val="0"/>
          <w:numId w:val="0"/>
        </w:numPr>
        <w:ind w:hanging="720"/>
      </w:pPr>
      <w:r>
        <w:rPr>
          <w:sz w:val="20"/>
        </w:rPr>
        <w:t>283</w:t>
      </w:r>
      <w:r>
        <w:rPr>
          <w:sz w:val="20"/>
        </w:rPr>
        <w:tab/>
      </w:r>
      <w:r w:rsidR="00DB6E63">
        <w:t>As I have determined that an order should be made discharging Order 3 of the Reinstatement</w:t>
      </w:r>
      <w:r w:rsidR="009B04C3">
        <w:t> </w:t>
      </w:r>
      <w:r w:rsidR="00DB6E63">
        <w:t xml:space="preserve">Orders, the Commissioner’s Application arises for determination.  </w:t>
      </w:r>
      <w:r w:rsidR="00127935">
        <w:t>That application relies on</w:t>
      </w:r>
      <w:r w:rsidR="00CE6E7C">
        <w:t xml:space="preserve"> s 601AH(3)(d) or, in the alternative, </w:t>
      </w:r>
      <w:r w:rsidR="00127935">
        <w:t>s 536 of the Corporations Act (now repealed)</w:t>
      </w:r>
      <w:r w:rsidR="00CB74C4">
        <w:t>.</w:t>
      </w:r>
    </w:p>
    <w:p w14:paraId="4B0209F0" w14:textId="244EED9D" w:rsidR="00CE6E7C" w:rsidRDefault="00D313AC" w:rsidP="00D313AC">
      <w:pPr>
        <w:pStyle w:val="ParaNumbering"/>
        <w:numPr>
          <w:ilvl w:val="0"/>
          <w:numId w:val="0"/>
        </w:numPr>
        <w:ind w:hanging="720"/>
      </w:pPr>
      <w:r>
        <w:rPr>
          <w:sz w:val="20"/>
        </w:rPr>
        <w:t>284</w:t>
      </w:r>
      <w:r>
        <w:rPr>
          <w:sz w:val="20"/>
        </w:rPr>
        <w:tab/>
      </w:r>
      <w:r w:rsidR="00CE6E7C">
        <w:t xml:space="preserve">I can deal briefly </w:t>
      </w:r>
      <w:r w:rsidR="00D864C6">
        <w:t>with the</w:t>
      </w:r>
      <w:r w:rsidR="00CE6E7C">
        <w:t xml:space="preserve"> Commissioner’s </w:t>
      </w:r>
      <w:r w:rsidR="00D864C6">
        <w:t>Application</w:t>
      </w:r>
      <w:r w:rsidR="00CE6E7C">
        <w:t xml:space="preserve"> </w:t>
      </w:r>
      <w:r w:rsidR="00D864C6">
        <w:t>insofar</w:t>
      </w:r>
      <w:r w:rsidR="00CE6E7C">
        <w:t xml:space="preserve"> as it relies on s 601AH(3)(d)</w:t>
      </w:r>
      <w:r w:rsidR="00D864C6">
        <w:t xml:space="preserve"> of the Corporations Act</w:t>
      </w:r>
      <w:r w:rsidR="00CE6E7C">
        <w:t xml:space="preserve">.  </w:t>
      </w:r>
      <w:r w:rsidR="00D864C6">
        <w:t>A</w:t>
      </w:r>
      <w:r w:rsidR="00CE6E7C">
        <w:t xml:space="preserve">n order cannot be made afresh under </w:t>
      </w:r>
      <w:r w:rsidR="00D864C6">
        <w:t>that section</w:t>
      </w:r>
      <w:r w:rsidR="00CE6E7C">
        <w:t xml:space="preserve"> </w:t>
      </w:r>
      <w:proofErr w:type="spellStart"/>
      <w:r w:rsidR="00CE6E7C">
        <w:rPr>
          <w:i/>
          <w:iCs/>
        </w:rPr>
        <w:t>nunc</w:t>
      </w:r>
      <w:proofErr w:type="spellEnd"/>
      <w:r w:rsidR="00CE6E7C">
        <w:rPr>
          <w:i/>
          <w:iCs/>
        </w:rPr>
        <w:t xml:space="preserve"> pro </w:t>
      </w:r>
      <w:proofErr w:type="spellStart"/>
      <w:r w:rsidR="00CE6E7C">
        <w:rPr>
          <w:i/>
          <w:iCs/>
        </w:rPr>
        <w:t>tunc</w:t>
      </w:r>
      <w:proofErr w:type="spellEnd"/>
      <w:r w:rsidR="00CE6E7C">
        <w:rPr>
          <w:i/>
          <w:iCs/>
        </w:rPr>
        <w:t xml:space="preserve"> </w:t>
      </w:r>
      <w:r w:rsidR="00CE6E7C">
        <w:t>for the same reasons as I have concluded that Order 3 should be discharged, namely because s 588FF(3) of the Corporations Act is a jurisdictional gateway and provides for the only means by which the period in s 588FF(1) can be extended.  Section 601AH(3)(d) does not empower the Court to make an order extending time (or suspending time) for the purposes of s 588FF(1).</w:t>
      </w:r>
    </w:p>
    <w:p w14:paraId="00DB0C9B" w14:textId="12781875" w:rsidR="00CE6E7C" w:rsidRDefault="00D313AC" w:rsidP="00D313AC">
      <w:pPr>
        <w:pStyle w:val="ParaNumbering"/>
        <w:numPr>
          <w:ilvl w:val="0"/>
          <w:numId w:val="0"/>
        </w:numPr>
        <w:ind w:hanging="720"/>
      </w:pPr>
      <w:r>
        <w:rPr>
          <w:sz w:val="20"/>
        </w:rPr>
        <w:t>285</w:t>
      </w:r>
      <w:r>
        <w:rPr>
          <w:sz w:val="20"/>
        </w:rPr>
        <w:tab/>
      </w:r>
      <w:r w:rsidR="00D864C6">
        <w:t>I turn to consider former s</w:t>
      </w:r>
      <w:r w:rsidR="006247DE">
        <w:t> </w:t>
      </w:r>
      <w:r w:rsidR="00D864C6">
        <w:t>536 of the Corporations Act as an alternate source of power.</w:t>
      </w:r>
    </w:p>
    <w:p w14:paraId="341CD15D" w14:textId="199C0BA9" w:rsidR="00D864C6" w:rsidRDefault="00D313AC" w:rsidP="00D313AC">
      <w:pPr>
        <w:pStyle w:val="ParaNumbering"/>
        <w:numPr>
          <w:ilvl w:val="0"/>
          <w:numId w:val="0"/>
        </w:numPr>
        <w:ind w:hanging="720"/>
      </w:pPr>
      <w:r>
        <w:rPr>
          <w:sz w:val="20"/>
        </w:rPr>
        <w:t>286</w:t>
      </w:r>
      <w:r>
        <w:rPr>
          <w:sz w:val="20"/>
        </w:rPr>
        <w:tab/>
      </w:r>
      <w:r w:rsidR="00D864C6">
        <w:t>Section 536 was headed “Supervision of liquidators” and provided:</w:t>
      </w:r>
    </w:p>
    <w:p w14:paraId="5098B1E7" w14:textId="77777777" w:rsidR="00D864C6" w:rsidRDefault="00D864C6" w:rsidP="00D864C6">
      <w:pPr>
        <w:pStyle w:val="Quote1"/>
      </w:pPr>
      <w:r>
        <w:t>(1A)</w:t>
      </w:r>
      <w:r>
        <w:tab/>
        <w:t>In this section:</w:t>
      </w:r>
    </w:p>
    <w:p w14:paraId="0CEDD1F3" w14:textId="77777777" w:rsidR="00D864C6" w:rsidRDefault="00D864C6" w:rsidP="00D864C6">
      <w:pPr>
        <w:pStyle w:val="Quote1"/>
        <w:ind w:left="1440"/>
      </w:pPr>
      <w:r w:rsidRPr="00C03839">
        <w:rPr>
          <w:b/>
          <w:i/>
        </w:rPr>
        <w:t>liquidator</w:t>
      </w:r>
      <w:r>
        <w:t xml:space="preserve"> includes a provisional liquidator.</w:t>
      </w:r>
    </w:p>
    <w:p w14:paraId="1A9C0164" w14:textId="77777777" w:rsidR="00D864C6" w:rsidRDefault="00D864C6" w:rsidP="00D864C6">
      <w:pPr>
        <w:pStyle w:val="Quote1"/>
      </w:pPr>
      <w:r>
        <w:t>(1)</w:t>
      </w:r>
      <w:r>
        <w:tab/>
        <w:t>Where:</w:t>
      </w:r>
    </w:p>
    <w:p w14:paraId="6DEE0FF3" w14:textId="77777777" w:rsidR="00D864C6" w:rsidRDefault="00D864C6" w:rsidP="00D864C6">
      <w:pPr>
        <w:pStyle w:val="Quote2"/>
        <w:ind w:left="2160" w:hanging="720"/>
      </w:pPr>
      <w:r>
        <w:t>(a)</w:t>
      </w:r>
      <w:r>
        <w:tab/>
        <w:t>it appears to the Court or to ASIC that a liquidator has not faithfully performed or is not faithfully performing his or her duties or has not observed or is not observing:</w:t>
      </w:r>
    </w:p>
    <w:p w14:paraId="60E6C713" w14:textId="77777777" w:rsidR="00D864C6" w:rsidRDefault="00D864C6" w:rsidP="00D864C6">
      <w:pPr>
        <w:pStyle w:val="Quote3"/>
      </w:pPr>
      <w:r>
        <w:t>(</w:t>
      </w:r>
      <w:proofErr w:type="spellStart"/>
      <w:r>
        <w:t>i</w:t>
      </w:r>
      <w:proofErr w:type="spellEnd"/>
      <w:r>
        <w:t>)</w:t>
      </w:r>
      <w:r>
        <w:tab/>
        <w:t>a requirement of the Court; or</w:t>
      </w:r>
    </w:p>
    <w:p w14:paraId="10701007" w14:textId="77777777" w:rsidR="00D864C6" w:rsidRDefault="00D864C6" w:rsidP="00D864C6">
      <w:pPr>
        <w:pStyle w:val="Quote3"/>
      </w:pPr>
      <w:r>
        <w:t>(ii)</w:t>
      </w:r>
      <w:r>
        <w:tab/>
        <w:t xml:space="preserve">a requirement of this Act, of the regulations or of the rules; or </w:t>
      </w:r>
    </w:p>
    <w:p w14:paraId="36239424" w14:textId="77777777" w:rsidR="00D864C6" w:rsidRDefault="00D864C6" w:rsidP="00D864C6">
      <w:pPr>
        <w:pStyle w:val="Quote2"/>
        <w:ind w:left="2160" w:hanging="720"/>
      </w:pPr>
      <w:r>
        <w:lastRenderedPageBreak/>
        <w:t>(b)</w:t>
      </w:r>
      <w:r>
        <w:tab/>
        <w:t>a complaint is made to the Court or to ASIC by any person with respect to the conduct of a liquidator in connection with the performance of his or her duties;</w:t>
      </w:r>
    </w:p>
    <w:p w14:paraId="0DF6FA61" w14:textId="77777777" w:rsidR="00D864C6" w:rsidRDefault="00D864C6" w:rsidP="00D864C6">
      <w:pPr>
        <w:pStyle w:val="Quote2"/>
      </w:pPr>
      <w:r>
        <w:t>the Court or ASIC, as the case may be, may inquire into the matter and, where the Court or ASIC so inquires, the Court may take such action as it thinks fit.</w:t>
      </w:r>
    </w:p>
    <w:p w14:paraId="56F011C9" w14:textId="77777777" w:rsidR="00D864C6" w:rsidRDefault="00D864C6" w:rsidP="00D864C6">
      <w:pPr>
        <w:pStyle w:val="Quote1"/>
        <w:ind w:left="1440" w:hanging="703"/>
      </w:pPr>
      <w:r>
        <w:t>(2)</w:t>
      </w:r>
      <w:r>
        <w:tab/>
        <w:t>ASIC may report to the Court any matter that in its opinion is a misfeasance, neglect or omission on the part of the liquidator and the Court may order the liquidator to make good any loss that the estate of the company has sustained thereby and may make such other order or orders as it thinks fit.</w:t>
      </w:r>
    </w:p>
    <w:p w14:paraId="52E72ED9" w14:textId="77777777" w:rsidR="00D864C6" w:rsidRDefault="00D864C6" w:rsidP="00D864C6">
      <w:pPr>
        <w:pStyle w:val="Quote1"/>
        <w:spacing w:after="360"/>
        <w:ind w:left="1440" w:hanging="703"/>
      </w:pPr>
      <w:r>
        <w:t>(3)</w:t>
      </w:r>
      <w:r>
        <w:tab/>
        <w:t xml:space="preserve">The Court may at any time require a liquidator to answer any inquiry in relation to the winding up and may examine the liquidator or any other person on oath concerning the winding up and may direct an investigation to be made of the books of the liquidator.   </w:t>
      </w:r>
    </w:p>
    <w:p w14:paraId="7E6B1D0D" w14:textId="4CAE3149" w:rsidR="00CB74C4" w:rsidRDefault="00CB74C4" w:rsidP="00CB74C4">
      <w:pPr>
        <w:pStyle w:val="Heading2"/>
      </w:pPr>
      <w:r>
        <w:t>The Commissioner’s submissions</w:t>
      </w:r>
    </w:p>
    <w:p w14:paraId="0416983B" w14:textId="523A1748" w:rsidR="00DB6E63" w:rsidRDefault="00D313AC" w:rsidP="00D313AC">
      <w:pPr>
        <w:pStyle w:val="ParaNumbering"/>
        <w:numPr>
          <w:ilvl w:val="0"/>
          <w:numId w:val="0"/>
        </w:numPr>
        <w:ind w:hanging="720"/>
      </w:pPr>
      <w:r>
        <w:rPr>
          <w:sz w:val="20"/>
        </w:rPr>
        <w:t>287</w:t>
      </w:r>
      <w:r>
        <w:rPr>
          <w:sz w:val="20"/>
        </w:rPr>
        <w:tab/>
      </w:r>
      <w:r w:rsidR="00DB6E63">
        <w:t>The Commissioner submits, having regard to the relevant transitional provisions, that because this proceeding was commenced by originating process filed on 25</w:t>
      </w:r>
      <w:r w:rsidR="00880051">
        <w:t> </w:t>
      </w:r>
      <w:r w:rsidR="00DB6E63">
        <w:t xml:space="preserve">August 2017, repealed s 536 of the Corporations Act continues to apply.  He submits that in order to determine the scope of the Court’s power under former s 536(1) of the Corporations Act it is necessary first to consider the process and purpose of an application under </w:t>
      </w:r>
      <w:r w:rsidR="000E1711">
        <w:t xml:space="preserve">former </w:t>
      </w:r>
      <w:r w:rsidR="00DB6E63">
        <w:t xml:space="preserve">s 536. </w:t>
      </w:r>
    </w:p>
    <w:p w14:paraId="71DAB8A4" w14:textId="2F32FDA9" w:rsidR="00DB6E63" w:rsidRDefault="00D313AC" w:rsidP="00D313AC">
      <w:pPr>
        <w:pStyle w:val="ParaNumbering"/>
        <w:numPr>
          <w:ilvl w:val="0"/>
          <w:numId w:val="0"/>
        </w:numPr>
        <w:ind w:hanging="720"/>
      </w:pPr>
      <w:r>
        <w:rPr>
          <w:sz w:val="20"/>
        </w:rPr>
        <w:t>288</w:t>
      </w:r>
      <w:r>
        <w:rPr>
          <w:sz w:val="20"/>
        </w:rPr>
        <w:tab/>
      </w:r>
      <w:r w:rsidR="00DB6E63">
        <w:t xml:space="preserve">As to process, the Commissioner submits that an application under </w:t>
      </w:r>
      <w:r w:rsidR="000E1711">
        <w:t xml:space="preserve">former </w:t>
      </w:r>
      <w:r w:rsidR="00DB6E63">
        <w:t xml:space="preserve">s 536 involves a three step process: first, the </w:t>
      </w:r>
      <w:r w:rsidR="006603E4">
        <w:t>C</w:t>
      </w:r>
      <w:r w:rsidR="00DB6E63">
        <w:t xml:space="preserve">ourt determines whether an inquiry into the liquidator’s conduct is warranted.  The applicant must establish something about the liquidator’s conduct constituting a sufficient basis for ordering an inquiry; secondly, if the </w:t>
      </w:r>
      <w:r w:rsidR="005B7083">
        <w:t>C</w:t>
      </w:r>
      <w:r w:rsidR="00DB6E63">
        <w:t xml:space="preserve">ourt orders an inquiry it is conducted in the nature of an adversarial proceeding and the </w:t>
      </w:r>
      <w:r w:rsidR="000439EB">
        <w:t>C</w:t>
      </w:r>
      <w:r w:rsidR="00DB6E63">
        <w:t xml:space="preserve">ourt must make a judgment in relation to the liquidator’s conduct; and thirdly, if the </w:t>
      </w:r>
      <w:r w:rsidR="00713DD4">
        <w:t>C</w:t>
      </w:r>
      <w:r w:rsidR="00DB6E63">
        <w:t xml:space="preserve">ourt decides from the inquiry that the liquidator’s conduct was deficient, then the </w:t>
      </w:r>
      <w:r w:rsidR="00AC6DD1">
        <w:t>C</w:t>
      </w:r>
      <w:r w:rsidR="00DB6E63">
        <w:t xml:space="preserve">ourt can make appropriate orders.  </w:t>
      </w:r>
    </w:p>
    <w:p w14:paraId="6EEA6808" w14:textId="2C2554CD" w:rsidR="00DB6E63" w:rsidRDefault="00D313AC" w:rsidP="00D313AC">
      <w:pPr>
        <w:pStyle w:val="ParaNumbering"/>
        <w:numPr>
          <w:ilvl w:val="0"/>
          <w:numId w:val="0"/>
        </w:numPr>
        <w:ind w:hanging="720"/>
      </w:pPr>
      <w:r>
        <w:rPr>
          <w:sz w:val="20"/>
        </w:rPr>
        <w:t>289</w:t>
      </w:r>
      <w:r>
        <w:rPr>
          <w:sz w:val="20"/>
        </w:rPr>
        <w:tab/>
      </w:r>
      <w:r w:rsidR="00DB6E63">
        <w:t>As to purpose, the</w:t>
      </w:r>
      <w:r w:rsidR="00EC3536">
        <w:t xml:space="preserve"> Commissioner</w:t>
      </w:r>
      <w:r w:rsidR="00DB6E63">
        <w:t xml:space="preserve"> submits that the purpose of an inquiry under </w:t>
      </w:r>
      <w:r w:rsidR="0079385B">
        <w:t xml:space="preserve">former </w:t>
      </w:r>
      <w:r w:rsidR="00DB6E63">
        <w:t xml:space="preserve">s 536 is for the regulation, supervision, discipline and correction of liquidators in upholding the public interest in honest and efficient administration of liquidations.  He says that the predominant </w:t>
      </w:r>
      <w:r w:rsidR="005D1C6E">
        <w:t>factor</w:t>
      </w:r>
      <w:r w:rsidR="00DB6E63">
        <w:t xml:space="preserve"> is to consider what is needed by way of regulation, supervision, discipline and correction for the due administration of the winding up in the public interest and, given this, the action which the </w:t>
      </w:r>
      <w:r w:rsidR="001C4D7F">
        <w:t>C</w:t>
      </w:r>
      <w:r w:rsidR="00DB6E63">
        <w:t>ourt considers fit to take pursuant to s 536(1) of the Corporations</w:t>
      </w:r>
      <w:r w:rsidR="00245AFC">
        <w:t> </w:t>
      </w:r>
      <w:r w:rsidR="00DB6E63">
        <w:t xml:space="preserve">Act necessarily depends upon the nature of the deficiency found at the enquiry stage, referring to </w:t>
      </w:r>
      <w:r w:rsidR="00DB6E63" w:rsidRPr="00D50115">
        <w:rPr>
          <w:i/>
          <w:iCs/>
        </w:rPr>
        <w:t xml:space="preserve">BL &amp; GY International Co Ltd v </w:t>
      </w:r>
      <w:proofErr w:type="spellStart"/>
      <w:r w:rsidR="00DB6E63" w:rsidRPr="00D50115">
        <w:rPr>
          <w:b/>
          <w:bCs/>
          <w:i/>
          <w:iCs/>
        </w:rPr>
        <w:t>Hypec</w:t>
      </w:r>
      <w:proofErr w:type="spellEnd"/>
      <w:r w:rsidR="00DB6E63" w:rsidRPr="00D50115">
        <w:rPr>
          <w:i/>
          <w:iCs/>
        </w:rPr>
        <w:t xml:space="preserve"> Electronics Pty Ltd</w:t>
      </w:r>
      <w:r w:rsidR="00DB6E63">
        <w:t xml:space="preserve"> </w:t>
      </w:r>
      <w:r w:rsidR="00C87AFD">
        <w:t xml:space="preserve">(2010) 79 ACSR 558; </w:t>
      </w:r>
      <w:r w:rsidR="00DB6E63" w:rsidRPr="00D50115">
        <w:t>[2010] NSWSC 959</w:t>
      </w:r>
      <w:r w:rsidR="00DB6E63">
        <w:t xml:space="preserve"> at [45].  </w:t>
      </w:r>
    </w:p>
    <w:p w14:paraId="31A5EFDF" w14:textId="1ABEFE0F" w:rsidR="00DB6E63" w:rsidRDefault="00D313AC" w:rsidP="00D313AC">
      <w:pPr>
        <w:pStyle w:val="ParaNumbering"/>
        <w:numPr>
          <w:ilvl w:val="0"/>
          <w:numId w:val="0"/>
        </w:numPr>
        <w:ind w:hanging="720"/>
      </w:pPr>
      <w:r>
        <w:rPr>
          <w:sz w:val="20"/>
        </w:rPr>
        <w:lastRenderedPageBreak/>
        <w:t>290</w:t>
      </w:r>
      <w:r>
        <w:rPr>
          <w:sz w:val="20"/>
        </w:rPr>
        <w:tab/>
      </w:r>
      <w:r w:rsidR="00DB6E63">
        <w:t xml:space="preserve">The Commissioner submits that former s 536 </w:t>
      </w:r>
      <w:r w:rsidR="00E715BF">
        <w:t>of the Corporations</w:t>
      </w:r>
      <w:r w:rsidR="005F0D70">
        <w:t> </w:t>
      </w:r>
      <w:r w:rsidR="00E715BF">
        <w:t xml:space="preserve">Act </w:t>
      </w:r>
      <w:r w:rsidR="00DB6E63">
        <w:t xml:space="preserve">was directed to the supervision of liquidators by the </w:t>
      </w:r>
      <w:r w:rsidR="001F1310">
        <w:t>C</w:t>
      </w:r>
      <w:r w:rsidR="00DB6E63">
        <w:t>ourt and ASIC and, in that context, s 536(1) empowered the Court to “take such action as it thinks fit”.  He contends that this broad power encompasses the ability for the Court to make any consequential orders necessary to remedy delinquent conduct of a liquidator, including where that liquidator has not faithfully performed his or her duties or not observed a requirement of the Corporations</w:t>
      </w:r>
      <w:r w:rsidR="00E717D4">
        <w:t> </w:t>
      </w:r>
      <w:r w:rsidR="00DB6E63">
        <w:t>Act.  The Commissioner submits that former s 536(1) supplies ample power for upholding Order 3 of the Reinstatement Orders in the present circumstances and that this is particularly so in circumstances where:</w:t>
      </w:r>
    </w:p>
    <w:p w14:paraId="45F00651" w14:textId="39E4D4A8" w:rsidR="00DB6E63" w:rsidRDefault="00D313AC" w:rsidP="00D313AC">
      <w:pPr>
        <w:pStyle w:val="ListNo1"/>
        <w:numPr>
          <w:ilvl w:val="0"/>
          <w:numId w:val="0"/>
        </w:numPr>
        <w:tabs>
          <w:tab w:val="left" w:pos="720"/>
        </w:tabs>
        <w:ind w:left="720" w:hanging="720"/>
      </w:pPr>
      <w:r>
        <w:t>(1)</w:t>
      </w:r>
      <w:r>
        <w:tab/>
      </w:r>
      <w:r w:rsidR="00DB6E63">
        <w:t>the companies were deregistered prior to a competent liquidator undertaking necessary investigations in compliance with the Corporations Act;</w:t>
      </w:r>
    </w:p>
    <w:p w14:paraId="242F3622" w14:textId="28C21D25" w:rsidR="00DB6E63" w:rsidRDefault="00D313AC" w:rsidP="00D313AC">
      <w:pPr>
        <w:pStyle w:val="ListNo1"/>
        <w:numPr>
          <w:ilvl w:val="0"/>
          <w:numId w:val="0"/>
        </w:numPr>
        <w:tabs>
          <w:tab w:val="left" w:pos="720"/>
        </w:tabs>
        <w:ind w:left="720" w:hanging="720"/>
      </w:pPr>
      <w:r>
        <w:t>(2)</w:t>
      </w:r>
      <w:r>
        <w:tab/>
      </w:r>
      <w:r w:rsidR="00DB6E63">
        <w:t xml:space="preserve">the companies were deregistered prior to a competent liquidator commencing proceedings in respect of viable claims or seeking, within time, an extension of time under s 588FF(3)(b) of the Corporations Act; and </w:t>
      </w:r>
    </w:p>
    <w:p w14:paraId="423C6E9F" w14:textId="09F57625" w:rsidR="00DB6E63" w:rsidRDefault="00D313AC" w:rsidP="00D313AC">
      <w:pPr>
        <w:pStyle w:val="ListNo1"/>
        <w:numPr>
          <w:ilvl w:val="0"/>
          <w:numId w:val="0"/>
        </w:numPr>
        <w:tabs>
          <w:tab w:val="left" w:pos="720"/>
        </w:tabs>
        <w:ind w:left="720" w:hanging="720"/>
      </w:pPr>
      <w:r>
        <w:t>(3)</w:t>
      </w:r>
      <w:r>
        <w:tab/>
      </w:r>
      <w:r w:rsidR="00DB6E63">
        <w:t>the causes of action now pursued were not statute barred at the time of deregistration.</w:t>
      </w:r>
    </w:p>
    <w:p w14:paraId="236CB36A" w14:textId="2C92773F" w:rsidR="00DB6E63" w:rsidRDefault="00D313AC" w:rsidP="00D313AC">
      <w:pPr>
        <w:pStyle w:val="ParaNumbering"/>
        <w:numPr>
          <w:ilvl w:val="0"/>
          <w:numId w:val="0"/>
        </w:numPr>
        <w:ind w:hanging="720"/>
      </w:pPr>
      <w:r>
        <w:rPr>
          <w:sz w:val="20"/>
        </w:rPr>
        <w:t>291</w:t>
      </w:r>
      <w:r>
        <w:rPr>
          <w:sz w:val="20"/>
        </w:rPr>
        <w:tab/>
      </w:r>
      <w:r w:rsidR="00DB6E63">
        <w:t xml:space="preserve">The Commissioner submits that </w:t>
      </w:r>
      <w:r w:rsidR="003F1627">
        <w:t xml:space="preserve">former </w:t>
      </w:r>
      <w:r w:rsidR="00DB6E63">
        <w:t>s 536 does not expressly limit the person</w:t>
      </w:r>
      <w:r w:rsidR="00894443">
        <w:t>s</w:t>
      </w:r>
      <w:r w:rsidR="00DB6E63">
        <w:t xml:space="preserve"> against whom an order may be made or the types of orders which may be made.  He contends that it is quite inappropriate to read provisions conferring jurisdiction or granting powers to a court by making implications or imposing limitations which are not found in the express words, referring to </w:t>
      </w:r>
      <w:r w:rsidR="00EF261D">
        <w:rPr>
          <w:i/>
          <w:iCs/>
        </w:rPr>
        <w:t>The Owners of the Ship “</w:t>
      </w:r>
      <w:r w:rsidR="00DB6E63" w:rsidRPr="004D13A0">
        <w:rPr>
          <w:i/>
          <w:iCs/>
        </w:rPr>
        <w:t xml:space="preserve">Shin </w:t>
      </w:r>
      <w:r w:rsidR="005B4FA7">
        <w:rPr>
          <w:i/>
          <w:iCs/>
        </w:rPr>
        <w:t>K</w:t>
      </w:r>
      <w:r w:rsidR="00DB6E63" w:rsidRPr="004D13A0">
        <w:rPr>
          <w:i/>
          <w:iCs/>
        </w:rPr>
        <w:t>obe Maru</w:t>
      </w:r>
      <w:r w:rsidR="008100AE">
        <w:rPr>
          <w:i/>
          <w:iCs/>
        </w:rPr>
        <w:t xml:space="preserve">” v Empire Shipping Co Inc </w:t>
      </w:r>
      <w:r w:rsidR="008100AE">
        <w:t>(1994) 181 CLR 404</w:t>
      </w:r>
      <w:r w:rsidR="00DB6E63" w:rsidRPr="004D13A0">
        <w:rPr>
          <w:i/>
          <w:iCs/>
        </w:rPr>
        <w:t xml:space="preserve"> </w:t>
      </w:r>
      <w:r w:rsidR="00DB6E63">
        <w:t xml:space="preserve">at 421.  The Commissioner submits accordingly that the omission of such qualifications supports the </w:t>
      </w:r>
      <w:r w:rsidR="009B622B">
        <w:t>C</w:t>
      </w:r>
      <w:r w:rsidR="00DB6E63">
        <w:t xml:space="preserve">ourt’s power under </w:t>
      </w:r>
      <w:r w:rsidR="001F379B">
        <w:t xml:space="preserve">former </w:t>
      </w:r>
      <w:r w:rsidR="00DB6E63">
        <w:t xml:space="preserve">s 536 extending to the making of declarations, orders or directions in favour of or against persons other than the relevant liquidator.  </w:t>
      </w:r>
    </w:p>
    <w:p w14:paraId="1C2BA155" w14:textId="14F2401E" w:rsidR="00DB6E63" w:rsidRDefault="00D313AC" w:rsidP="00D313AC">
      <w:pPr>
        <w:pStyle w:val="ParaNumbering"/>
        <w:numPr>
          <w:ilvl w:val="0"/>
          <w:numId w:val="0"/>
        </w:numPr>
        <w:ind w:hanging="720"/>
      </w:pPr>
      <w:r>
        <w:rPr>
          <w:sz w:val="20"/>
        </w:rPr>
        <w:t>292</w:t>
      </w:r>
      <w:r>
        <w:rPr>
          <w:sz w:val="20"/>
        </w:rPr>
        <w:tab/>
      </w:r>
      <w:r w:rsidR="00DB6E63">
        <w:t xml:space="preserve">The Commissioner submits that the word “action” may be understood to encompass the full gamut of powers available to the </w:t>
      </w:r>
      <w:r w:rsidR="00821EC9">
        <w:t>C</w:t>
      </w:r>
      <w:r w:rsidR="00DB6E63">
        <w:t xml:space="preserve">ourt such as the making of declarations, orders or directions and that it is consistent with an interpretation that the legislature intended to confer on the Court a full range of options subject to the </w:t>
      </w:r>
      <w:r w:rsidR="006D1911">
        <w:t>C</w:t>
      </w:r>
      <w:r w:rsidR="00DB6E63">
        <w:t>ourt’s own powers and what it “thinks fit”.  The Commissioner submits that th</w:t>
      </w:r>
      <w:r w:rsidR="00990571">
        <w:t>is</w:t>
      </w:r>
      <w:r w:rsidR="00DB6E63">
        <w:t xml:space="preserve"> interpretation is supported by </w:t>
      </w:r>
      <w:r w:rsidR="00F33C6F">
        <w:t xml:space="preserve">former </w:t>
      </w:r>
      <w:r w:rsidR="00DB6E63">
        <w:t xml:space="preserve">s 536(2) of the Corporations Act and that the other order or orders which the Court may make under the provision are unconstrained, other than by reference to the Court thinking the order fit.  </w:t>
      </w:r>
    </w:p>
    <w:p w14:paraId="50D8F9B8" w14:textId="4E685E30" w:rsidR="00DB6E63" w:rsidRDefault="00D313AC" w:rsidP="00D313AC">
      <w:pPr>
        <w:pStyle w:val="ParaNumbering"/>
        <w:numPr>
          <w:ilvl w:val="0"/>
          <w:numId w:val="0"/>
        </w:numPr>
        <w:ind w:hanging="720"/>
      </w:pPr>
      <w:r>
        <w:rPr>
          <w:sz w:val="20"/>
        </w:rPr>
        <w:t>293</w:t>
      </w:r>
      <w:r>
        <w:rPr>
          <w:sz w:val="20"/>
        </w:rPr>
        <w:tab/>
      </w:r>
      <w:r w:rsidR="00DB6E63">
        <w:t xml:space="preserve">The Commissioner also submits that </w:t>
      </w:r>
      <w:r w:rsidR="009115E5">
        <w:t xml:space="preserve">former </w:t>
      </w:r>
      <w:r w:rsidR="00DB6E63">
        <w:t xml:space="preserve">s 536 does not expressly limit the </w:t>
      </w:r>
      <w:r w:rsidR="00302403">
        <w:t>C</w:t>
      </w:r>
      <w:r w:rsidR="00DB6E63">
        <w:t xml:space="preserve">ourt’s power except by what the </w:t>
      </w:r>
      <w:r w:rsidR="00D37814">
        <w:t>C</w:t>
      </w:r>
      <w:r w:rsidR="00DB6E63">
        <w:t xml:space="preserve">ourt “thinks fit” to give effect to the purpose of the section and the matters </w:t>
      </w:r>
      <w:r w:rsidR="00DB6E63">
        <w:lastRenderedPageBreak/>
        <w:t xml:space="preserve">arising from the enquiry and that there is no reason to read down the breadth of the </w:t>
      </w:r>
      <w:r w:rsidR="001509F1">
        <w:t>C</w:t>
      </w:r>
      <w:r w:rsidR="00DB6E63">
        <w:t xml:space="preserve">ourt’s power subject to the express qualification of what the </w:t>
      </w:r>
      <w:r w:rsidR="00F95C49">
        <w:t>C</w:t>
      </w:r>
      <w:r w:rsidR="00DB6E63">
        <w:t>ourt “thinks fit”.</w:t>
      </w:r>
    </w:p>
    <w:p w14:paraId="2EF0D865" w14:textId="005B6CC4" w:rsidR="00DB6E63" w:rsidRDefault="00D313AC" w:rsidP="00D313AC">
      <w:pPr>
        <w:pStyle w:val="ParaNumbering"/>
        <w:numPr>
          <w:ilvl w:val="0"/>
          <w:numId w:val="0"/>
        </w:numPr>
        <w:ind w:hanging="720"/>
      </w:pPr>
      <w:r>
        <w:rPr>
          <w:sz w:val="20"/>
        </w:rPr>
        <w:t>294</w:t>
      </w:r>
      <w:r>
        <w:rPr>
          <w:sz w:val="20"/>
        </w:rPr>
        <w:tab/>
      </w:r>
      <w:r w:rsidR="00DB6E63">
        <w:t xml:space="preserve">The Commissioner submits that the effect of Order 3, or a </w:t>
      </w:r>
      <w:proofErr w:type="spellStart"/>
      <w:r w:rsidR="00DB6E63" w:rsidRPr="00002E5F">
        <w:rPr>
          <w:i/>
          <w:iCs/>
        </w:rPr>
        <w:t>nunc</w:t>
      </w:r>
      <w:proofErr w:type="spellEnd"/>
      <w:r w:rsidR="00DB6E63" w:rsidRPr="00002E5F">
        <w:rPr>
          <w:i/>
          <w:iCs/>
        </w:rPr>
        <w:t xml:space="preserve"> pro </w:t>
      </w:r>
      <w:proofErr w:type="spellStart"/>
      <w:r w:rsidR="00DB6E63" w:rsidRPr="00002E5F">
        <w:rPr>
          <w:i/>
          <w:iCs/>
        </w:rPr>
        <w:t>tunc</w:t>
      </w:r>
      <w:proofErr w:type="spellEnd"/>
      <w:r w:rsidR="00DB6E63" w:rsidRPr="00002E5F">
        <w:rPr>
          <w:i/>
          <w:iCs/>
        </w:rPr>
        <w:t xml:space="preserve"> </w:t>
      </w:r>
      <w:r w:rsidR="00DB6E63">
        <w:t>order to the same effect, would ameliorate harm to the reinstated companies resulting from Mr Iannuzzi’s breaches of duty so as to preserve the companies’ otherwise statute barred potential claims under s 588FF(1)</w:t>
      </w:r>
      <w:r w:rsidR="0083676D">
        <w:t xml:space="preserve"> of the Corporations Act</w:t>
      </w:r>
      <w:r w:rsidR="00DB6E63">
        <w:t xml:space="preserve">.  Such an order would put those companies back to the position they would have been in, but for Mr Iannuzzi’s deregistration of them, and is analogous to a compensation order made in favour of an applicant against a liquidator.  The Commissioner contends that both Order 3 of the Reinstatement Orders and a compensation order would, in practicable terms, help put the applicant or the relevant company back to its former position had the breach of duty or misfeasance not occurred.  </w:t>
      </w:r>
    </w:p>
    <w:p w14:paraId="68AA5848" w14:textId="5639BED9" w:rsidR="00DB6E63" w:rsidRDefault="00D313AC" w:rsidP="00D313AC">
      <w:pPr>
        <w:pStyle w:val="ParaNumbering"/>
        <w:numPr>
          <w:ilvl w:val="0"/>
          <w:numId w:val="0"/>
        </w:numPr>
        <w:ind w:hanging="720"/>
      </w:pPr>
      <w:r>
        <w:rPr>
          <w:sz w:val="20"/>
        </w:rPr>
        <w:t>295</w:t>
      </w:r>
      <w:r>
        <w:rPr>
          <w:sz w:val="20"/>
        </w:rPr>
        <w:tab/>
      </w:r>
      <w:r w:rsidR="00DB6E63">
        <w:t xml:space="preserve">The Commissioner submits that the practical effect of Order 3 would, to the extent possible, restore the proper conduct of the external administration of the companies and would ensure that potential claims which the companies may have against third parties are duly investigated and appropriately pursued for the benefit of creditors.  He contends that in that sense </w:t>
      </w:r>
      <w:r w:rsidR="00D201A0">
        <w:t>former</w:t>
      </w:r>
      <w:r w:rsidR="00DB6E63">
        <w:t xml:space="preserve"> s 536 is sufficiently broad and flexible to support orders, such as Order 3, which seek to realise such an objective.  </w:t>
      </w:r>
    </w:p>
    <w:p w14:paraId="6A09A7D5" w14:textId="7BCF2E8D" w:rsidR="00DB6E63" w:rsidRDefault="00D313AC" w:rsidP="00D313AC">
      <w:pPr>
        <w:pStyle w:val="ParaNumbering"/>
        <w:numPr>
          <w:ilvl w:val="0"/>
          <w:numId w:val="0"/>
        </w:numPr>
        <w:ind w:hanging="720"/>
      </w:pPr>
      <w:r>
        <w:rPr>
          <w:sz w:val="20"/>
        </w:rPr>
        <w:t>296</w:t>
      </w:r>
      <w:r>
        <w:rPr>
          <w:sz w:val="20"/>
        </w:rPr>
        <w:tab/>
      </w:r>
      <w:r w:rsidR="00DB6E63">
        <w:t xml:space="preserve">The Commissioner denies that the Court lacks power to make Order 3 pursuant to s 601AH(3)(d) of the Corporations Act but submits that if the Court decides otherwise the absence of a more appropriate remedy would weigh in favour of the Court exercising its discretion to make an order pursuant to </w:t>
      </w:r>
      <w:r w:rsidR="009E04FF">
        <w:t xml:space="preserve">former </w:t>
      </w:r>
      <w:r w:rsidR="00DB6E63">
        <w:t xml:space="preserve">s 536(1). </w:t>
      </w:r>
    </w:p>
    <w:p w14:paraId="0F7882E1" w14:textId="6EE900C3" w:rsidR="00DB6E63" w:rsidRDefault="00D313AC" w:rsidP="00D313AC">
      <w:pPr>
        <w:pStyle w:val="ParaNumbering"/>
        <w:numPr>
          <w:ilvl w:val="0"/>
          <w:numId w:val="0"/>
        </w:numPr>
        <w:ind w:hanging="720"/>
      </w:pPr>
      <w:r>
        <w:rPr>
          <w:sz w:val="20"/>
        </w:rPr>
        <w:t>297</w:t>
      </w:r>
      <w:r>
        <w:rPr>
          <w:sz w:val="20"/>
        </w:rPr>
        <w:tab/>
      </w:r>
      <w:r w:rsidR="00BF694D">
        <w:t>For completeness I note that t</w:t>
      </w:r>
      <w:r w:rsidR="00DB6E63">
        <w:t>he Liquidators</w:t>
      </w:r>
      <w:r w:rsidR="00BF694D">
        <w:t xml:space="preserve"> make no </w:t>
      </w:r>
      <w:r w:rsidR="00950BD5">
        <w:t>application.  I</w:t>
      </w:r>
      <w:r w:rsidR="00384C6C">
        <w:t>n</w:t>
      </w:r>
      <w:r w:rsidR="00950BD5">
        <w:t xml:space="preserve"> their written submissions they sought to adopt the </w:t>
      </w:r>
      <w:r w:rsidR="00921443">
        <w:t xml:space="preserve">Commissioner’s submissions in relation to the </w:t>
      </w:r>
      <w:r w:rsidR="00CE6E7C">
        <w:t>availability</w:t>
      </w:r>
      <w:r w:rsidR="00921443">
        <w:t xml:space="preserve"> of former s 536 of the </w:t>
      </w:r>
      <w:r w:rsidR="00CE6E7C">
        <w:t>Corporations</w:t>
      </w:r>
      <w:r w:rsidR="00921443">
        <w:t xml:space="preserve"> Act as a source </w:t>
      </w:r>
      <w:r w:rsidR="00CE6E7C">
        <w:t>of</w:t>
      </w:r>
      <w:r w:rsidR="00921443">
        <w:t xml:space="preserve"> power to make the orders sought.  </w:t>
      </w:r>
      <w:r w:rsidR="00CE6E7C">
        <w:t>However,</w:t>
      </w:r>
      <w:r w:rsidR="00921443">
        <w:t xml:space="preserve"> in </w:t>
      </w:r>
      <w:r w:rsidR="00CE6E7C">
        <w:t>oral</w:t>
      </w:r>
      <w:r w:rsidR="00921443">
        <w:t xml:space="preserve"> submissions (at T</w:t>
      </w:r>
      <w:r w:rsidR="00E1613E">
        <w:t xml:space="preserve"> 244) Mr McInerney SC, senior counsel for the Liquidators</w:t>
      </w:r>
      <w:r w:rsidR="00CE6E7C">
        <w:t>,</w:t>
      </w:r>
      <w:r w:rsidR="00E1613E">
        <w:t xml:space="preserve"> informed the Court that </w:t>
      </w:r>
      <w:r w:rsidR="00CE6E7C">
        <w:t xml:space="preserve">it was not a matter for the Liquidators to make any submissions about the operation of former s 536.  I will in the circumstances treat the Liquidators’ position on the </w:t>
      </w:r>
      <w:r w:rsidR="00DB6E63">
        <w:t xml:space="preserve">Commissioner’s </w:t>
      </w:r>
      <w:r w:rsidR="00CE6E7C">
        <w:t xml:space="preserve">Application as neutral.  </w:t>
      </w:r>
      <w:r w:rsidR="00DB6E63">
        <w:t xml:space="preserve">  </w:t>
      </w:r>
    </w:p>
    <w:p w14:paraId="1B8290C5" w14:textId="0B98931B" w:rsidR="00CE6E7C" w:rsidRDefault="00CE6E7C" w:rsidP="00CE6E7C">
      <w:pPr>
        <w:pStyle w:val="Heading2"/>
      </w:pPr>
      <w:r>
        <w:t>Consideration</w:t>
      </w:r>
    </w:p>
    <w:p w14:paraId="7BDE8E3C" w14:textId="775ABBF1" w:rsidR="00D864C6" w:rsidRDefault="00D313AC" w:rsidP="00D313AC">
      <w:pPr>
        <w:pStyle w:val="ParaNumbering"/>
        <w:numPr>
          <w:ilvl w:val="0"/>
          <w:numId w:val="0"/>
        </w:numPr>
        <w:ind w:hanging="720"/>
      </w:pPr>
      <w:r>
        <w:rPr>
          <w:sz w:val="20"/>
        </w:rPr>
        <w:t>298</w:t>
      </w:r>
      <w:r>
        <w:rPr>
          <w:sz w:val="20"/>
        </w:rPr>
        <w:tab/>
      </w:r>
      <w:r w:rsidR="00D864C6">
        <w:t xml:space="preserve">Section </w:t>
      </w:r>
      <w:r w:rsidR="00CB74C4">
        <w:t xml:space="preserve">536 does not provide an alternate source of power.  </w:t>
      </w:r>
    </w:p>
    <w:p w14:paraId="6B5B98F4" w14:textId="0C1AB33C" w:rsidR="00CB74C4" w:rsidRDefault="00D313AC" w:rsidP="00D313AC">
      <w:pPr>
        <w:pStyle w:val="ParaNumbering"/>
        <w:numPr>
          <w:ilvl w:val="0"/>
          <w:numId w:val="0"/>
        </w:numPr>
        <w:ind w:hanging="720"/>
      </w:pPr>
      <w:r>
        <w:rPr>
          <w:sz w:val="20"/>
        </w:rPr>
        <w:lastRenderedPageBreak/>
        <w:t>299</w:t>
      </w:r>
      <w:r>
        <w:rPr>
          <w:sz w:val="20"/>
        </w:rPr>
        <w:tab/>
      </w:r>
      <w:r w:rsidR="00CB74C4">
        <w:t xml:space="preserve">It confers only broad or general powers which cannot be used to circumvent the jurisdictional requirement set out in s 588FF(3) of the Corporations Act.  </w:t>
      </w:r>
      <w:r w:rsidR="00625BB1">
        <w:t>My reasons set out above apply equally here.</w:t>
      </w:r>
    </w:p>
    <w:p w14:paraId="7AD76FFD" w14:textId="57B31432" w:rsidR="00CE6E7C" w:rsidRDefault="00D313AC" w:rsidP="00D313AC">
      <w:pPr>
        <w:pStyle w:val="ParaNumbering"/>
        <w:numPr>
          <w:ilvl w:val="0"/>
          <w:numId w:val="0"/>
        </w:numPr>
        <w:ind w:hanging="720"/>
      </w:pPr>
      <w:r>
        <w:rPr>
          <w:sz w:val="20"/>
        </w:rPr>
        <w:t>300</w:t>
      </w:r>
      <w:r>
        <w:rPr>
          <w:sz w:val="20"/>
        </w:rPr>
        <w:tab/>
      </w:r>
      <w:r w:rsidR="00625BB1">
        <w:t>Further, in the event I am found to be wrong about the operation of s 588FF of the Corporations</w:t>
      </w:r>
      <w:r w:rsidR="004261A4">
        <w:t> </w:t>
      </w:r>
      <w:r w:rsidR="00625BB1">
        <w:t>Act for the reasons that follow in my opinion former</w:t>
      </w:r>
      <w:r w:rsidR="00CE6E7C">
        <w:t xml:space="preserve"> s 536 </w:t>
      </w:r>
      <w:r w:rsidR="00625BB1">
        <w:t xml:space="preserve">does </w:t>
      </w:r>
      <w:r w:rsidR="00F918DF">
        <w:t xml:space="preserve">not </w:t>
      </w:r>
      <w:r w:rsidR="00625BB1">
        <w:t xml:space="preserve">empower the Court to make an order in the </w:t>
      </w:r>
      <w:r w:rsidR="00F4145C">
        <w:t>form</w:t>
      </w:r>
      <w:r w:rsidR="00625BB1">
        <w:t xml:space="preserve"> of Order 3 of the Reinstatement Orders.</w:t>
      </w:r>
      <w:r w:rsidR="00CE6E7C">
        <w:t xml:space="preserve">  </w:t>
      </w:r>
    </w:p>
    <w:p w14:paraId="1D41A5D1" w14:textId="6416BF3B" w:rsidR="00DB6E63" w:rsidRDefault="00D313AC" w:rsidP="00D313AC">
      <w:pPr>
        <w:pStyle w:val="ParaNumbering"/>
        <w:numPr>
          <w:ilvl w:val="0"/>
          <w:numId w:val="0"/>
        </w:numPr>
        <w:ind w:hanging="720"/>
      </w:pPr>
      <w:r>
        <w:rPr>
          <w:sz w:val="20"/>
        </w:rPr>
        <w:t>301</w:t>
      </w:r>
      <w:r>
        <w:rPr>
          <w:sz w:val="20"/>
        </w:rPr>
        <w:tab/>
      </w:r>
      <w:r w:rsidR="00DB6E63">
        <w:t xml:space="preserve">There was no dispute that, despite its repeal with effect from 1 March 2017, s 536 continues to apply to this proceeding.  That is because of the operation of s 1617 of the Corporations Act.  </w:t>
      </w:r>
      <w:r w:rsidR="005858A3">
        <w:t>T</w:t>
      </w:r>
      <w:r w:rsidR="00DB6E63">
        <w:t>he Commissioner submits and the Applicants accept that:</w:t>
      </w:r>
    </w:p>
    <w:p w14:paraId="7A82FF9D" w14:textId="50158186" w:rsidR="00DB6E63" w:rsidRDefault="00D313AC" w:rsidP="00D313AC">
      <w:pPr>
        <w:pStyle w:val="ListNo1"/>
        <w:numPr>
          <w:ilvl w:val="0"/>
          <w:numId w:val="0"/>
        </w:numPr>
        <w:tabs>
          <w:tab w:val="left" w:pos="720"/>
        </w:tabs>
        <w:ind w:left="720" w:hanging="720"/>
      </w:pPr>
      <w:r>
        <w:t>(1)</w:t>
      </w:r>
      <w:r>
        <w:tab/>
      </w:r>
      <w:r w:rsidR="00DB6E63">
        <w:t>with effect from 1 March 2017 s 536 was replaced by s 90-10 of the</w:t>
      </w:r>
      <w:r w:rsidR="002934D0">
        <w:t xml:space="preserve"> IPS</w:t>
      </w:r>
      <w:r w:rsidR="00DB6E63">
        <w:t>;</w:t>
      </w:r>
    </w:p>
    <w:p w14:paraId="0E952F30" w14:textId="49D6CA23" w:rsidR="00DB6E63" w:rsidRDefault="00D313AC" w:rsidP="00D313AC">
      <w:pPr>
        <w:pStyle w:val="ListNo1"/>
        <w:numPr>
          <w:ilvl w:val="0"/>
          <w:numId w:val="0"/>
        </w:numPr>
        <w:tabs>
          <w:tab w:val="left" w:pos="720"/>
        </w:tabs>
        <w:ind w:left="720" w:hanging="720"/>
      </w:pPr>
      <w:r>
        <w:t>(2)</w:t>
      </w:r>
      <w:r>
        <w:tab/>
      </w:r>
      <w:r w:rsidR="00DB6E63">
        <w:t xml:space="preserve">section 90-10 of the IPS applies in relation to an “ongoing external administration”, whether or not the matter to be reviewed occurred before, on or after the “commencement day”: </w:t>
      </w:r>
      <w:r w:rsidR="00A51135">
        <w:t xml:space="preserve">see </w:t>
      </w:r>
      <w:r w:rsidR="00DB6E63">
        <w:t xml:space="preserve">s 1615 </w:t>
      </w:r>
      <w:r w:rsidR="007A389D">
        <w:t xml:space="preserve">of the </w:t>
      </w:r>
      <w:r w:rsidR="00DB6E63">
        <w:t xml:space="preserve">Corporations Act.  Pursuant to </w:t>
      </w:r>
      <w:proofErr w:type="spellStart"/>
      <w:r w:rsidR="00DB6E63">
        <w:t>rr</w:t>
      </w:r>
      <w:proofErr w:type="spellEnd"/>
      <w:r w:rsidR="00DB6E63">
        <w:t xml:space="preserve"> 10.25.01(1) and (2) of the </w:t>
      </w:r>
      <w:r w:rsidR="00DB6E63" w:rsidRPr="004852BF">
        <w:rPr>
          <w:b/>
          <w:bCs/>
          <w:i/>
          <w:iCs/>
        </w:rPr>
        <w:t>Corporations Regulations</w:t>
      </w:r>
      <w:r w:rsidR="00DB6E63" w:rsidRPr="00AB68A2">
        <w:rPr>
          <w:i/>
          <w:iCs/>
        </w:rPr>
        <w:t xml:space="preserve"> 2001</w:t>
      </w:r>
      <w:r w:rsidR="00DB6E63">
        <w:t xml:space="preserve"> (</w:t>
      </w:r>
      <w:proofErr w:type="spellStart"/>
      <w:r w:rsidR="00DB6E63">
        <w:t>Cth</w:t>
      </w:r>
      <w:proofErr w:type="spellEnd"/>
      <w:r w:rsidR="00DB6E63">
        <w:t xml:space="preserve">) “commencement day” is defined to be 1 September 2017 and an “ongoing external administration” is defined to mean an external administration of a company that started before 1 September 2017 and ends after that day; </w:t>
      </w:r>
    </w:p>
    <w:p w14:paraId="0C3FEF60" w14:textId="3198B14E" w:rsidR="00DB6E63" w:rsidRDefault="00D313AC" w:rsidP="00D313AC">
      <w:pPr>
        <w:pStyle w:val="ListNo1"/>
        <w:numPr>
          <w:ilvl w:val="0"/>
          <w:numId w:val="0"/>
        </w:numPr>
        <w:tabs>
          <w:tab w:val="left" w:pos="720"/>
        </w:tabs>
        <w:ind w:left="720" w:hanging="720"/>
      </w:pPr>
      <w:r>
        <w:t>(3)</w:t>
      </w:r>
      <w:r>
        <w:tab/>
      </w:r>
      <w:r w:rsidR="00DB6E63">
        <w:t xml:space="preserve">the general rule set out in the preceding subparagraph is subject to s 1617 of the Corporations Act which relevantly provides that if a proceeding is brought under the “old Act” before the “commencement day” (as defined in </w:t>
      </w:r>
      <w:r w:rsidR="00756465">
        <w:t>r</w:t>
      </w:r>
      <w:r w:rsidR="00DB6E63">
        <w:t xml:space="preserve"> 10.25.01(1) of the Corporations Regulations) the “old Act” continues to apply to the proceeding despite the amendments and repeals made by Sch 2 to the </w:t>
      </w:r>
      <w:r w:rsidR="00552EBB">
        <w:rPr>
          <w:i/>
          <w:iCs/>
        </w:rPr>
        <w:t>I</w:t>
      </w:r>
      <w:r w:rsidR="00DB6E63">
        <w:rPr>
          <w:i/>
          <w:iCs/>
        </w:rPr>
        <w:t>nsolvency Law Reform Act 2016</w:t>
      </w:r>
      <w:r w:rsidR="00015BE4">
        <w:rPr>
          <w:i/>
          <w:iCs/>
        </w:rPr>
        <w:t> </w:t>
      </w:r>
      <w:r w:rsidR="00DB6E63">
        <w:t>(</w:t>
      </w:r>
      <w:proofErr w:type="spellStart"/>
      <w:r w:rsidR="00DB6E63">
        <w:t>Cth</w:t>
      </w:r>
      <w:proofErr w:type="spellEnd"/>
      <w:r w:rsidR="00DB6E63">
        <w:t>) i.e. the IPS; and</w:t>
      </w:r>
    </w:p>
    <w:p w14:paraId="0BCEEC6D" w14:textId="53C7C335" w:rsidR="00DB6E63" w:rsidRDefault="00D313AC" w:rsidP="00D313AC">
      <w:pPr>
        <w:pStyle w:val="ListNo1"/>
        <w:numPr>
          <w:ilvl w:val="0"/>
          <w:numId w:val="0"/>
        </w:numPr>
        <w:tabs>
          <w:tab w:val="left" w:pos="720"/>
        </w:tabs>
        <w:ind w:left="720" w:hanging="720"/>
      </w:pPr>
      <w:r>
        <w:t>(4)</w:t>
      </w:r>
      <w:r>
        <w:tab/>
      </w:r>
      <w:r w:rsidR="00DB6E63">
        <w:t>relevantly the “old Act” means the Corporations Act as in force immediately before 1</w:t>
      </w:r>
      <w:r w:rsidR="002D03CC">
        <w:t> </w:t>
      </w:r>
      <w:r w:rsidR="00DB6E63">
        <w:t xml:space="preserve">March 2017 (see s 1551 </w:t>
      </w:r>
      <w:r w:rsidR="002D03CC">
        <w:t xml:space="preserve">of the </w:t>
      </w:r>
      <w:r w:rsidR="00DB6E63">
        <w:t>Corporations Act) and “proceedings” for the purpose of s 1617 of the Corporations Act is defined to include “civil and criminal proceedings, inquiries by the court, enforcement processes and any other processes”</w:t>
      </w:r>
      <w:r w:rsidR="006445A5">
        <w:t xml:space="preserve">: </w:t>
      </w:r>
      <w:r w:rsidR="00DB6E63">
        <w:t>see s</w:t>
      </w:r>
      <w:r w:rsidR="009B6652">
        <w:t> </w:t>
      </w:r>
      <w:r w:rsidR="00DB6E63">
        <w:t xml:space="preserve">1617(4) </w:t>
      </w:r>
      <w:r w:rsidR="009B6652">
        <w:t xml:space="preserve">of the </w:t>
      </w:r>
      <w:r w:rsidR="00DB6E63">
        <w:t>Corporations Act.</w:t>
      </w:r>
    </w:p>
    <w:p w14:paraId="1C50CE11" w14:textId="17132038" w:rsidR="00DB6E63" w:rsidRDefault="00D313AC" w:rsidP="00D313AC">
      <w:pPr>
        <w:pStyle w:val="ParaNumbering"/>
        <w:numPr>
          <w:ilvl w:val="0"/>
          <w:numId w:val="0"/>
        </w:numPr>
        <w:ind w:hanging="720"/>
      </w:pPr>
      <w:r>
        <w:rPr>
          <w:sz w:val="20"/>
        </w:rPr>
        <w:t>302</w:t>
      </w:r>
      <w:r>
        <w:rPr>
          <w:sz w:val="20"/>
        </w:rPr>
        <w:tab/>
      </w:r>
      <w:r w:rsidR="00DB6E63">
        <w:t>However, that s 536 continues to apply to the proceeding is not sufficient.  The question is whether it empowers the Court to make an order in terms of Order 3 of the Reinstatement</w:t>
      </w:r>
      <w:r w:rsidR="003C335C">
        <w:t> </w:t>
      </w:r>
      <w:r w:rsidR="00DB6E63">
        <w:t xml:space="preserve">Orders.  </w:t>
      </w:r>
    </w:p>
    <w:p w14:paraId="62FE2C0E" w14:textId="70E4DD85" w:rsidR="00DB6E63" w:rsidRDefault="00D313AC" w:rsidP="00D313AC">
      <w:pPr>
        <w:pStyle w:val="ParaNumbering"/>
        <w:numPr>
          <w:ilvl w:val="0"/>
          <w:numId w:val="0"/>
        </w:numPr>
        <w:ind w:hanging="720"/>
      </w:pPr>
      <w:r>
        <w:rPr>
          <w:sz w:val="20"/>
        </w:rPr>
        <w:lastRenderedPageBreak/>
        <w:t>303</w:t>
      </w:r>
      <w:r>
        <w:rPr>
          <w:sz w:val="20"/>
        </w:rPr>
        <w:tab/>
      </w:r>
      <w:r w:rsidR="00DB6E63">
        <w:t xml:space="preserve">The Court’s jurisdiction to undertake an inquiry under former s 536 of the Corporations Act is supervisory with the </w:t>
      </w:r>
      <w:r w:rsidR="003478A3">
        <w:t>C</w:t>
      </w:r>
      <w:r w:rsidR="00DB6E63">
        <w:t xml:space="preserve">ourt performing a regulatory role.  </w:t>
      </w:r>
    </w:p>
    <w:p w14:paraId="4BECF2AC" w14:textId="5DA07CE9" w:rsidR="00DB6E63" w:rsidRDefault="00D313AC" w:rsidP="00D313AC">
      <w:pPr>
        <w:pStyle w:val="ParaNumbering"/>
        <w:numPr>
          <w:ilvl w:val="0"/>
          <w:numId w:val="0"/>
        </w:numPr>
        <w:ind w:hanging="720"/>
      </w:pPr>
      <w:r>
        <w:rPr>
          <w:sz w:val="20"/>
        </w:rPr>
        <w:t>304</w:t>
      </w:r>
      <w:r>
        <w:rPr>
          <w:sz w:val="20"/>
        </w:rPr>
        <w:tab/>
      </w:r>
      <w:r w:rsidR="00DB6E63" w:rsidRPr="007A29FB">
        <w:rPr>
          <w:b/>
          <w:bCs/>
          <w:i/>
          <w:iCs/>
        </w:rPr>
        <w:t>Hall v Poolman</w:t>
      </w:r>
      <w:r w:rsidR="00DB6E63" w:rsidRPr="00492936">
        <w:rPr>
          <w:i/>
          <w:iCs/>
        </w:rPr>
        <w:t xml:space="preserve"> </w:t>
      </w:r>
      <w:r w:rsidR="00DB6E63">
        <w:t xml:space="preserve">(2009) 75 NSWLR 99 concerned the operation of repealed </w:t>
      </w:r>
      <w:r w:rsidR="00DB6E63" w:rsidRPr="00275F29">
        <w:t>s</w:t>
      </w:r>
      <w:r w:rsidR="00DB6E63">
        <w:t> 536.  The applicants were the liquidators of companies in the Reynolds Wine</w:t>
      </w:r>
      <w:r w:rsidR="00037F8F">
        <w:t>s</w:t>
      </w:r>
      <w:r w:rsidR="00DB6E63">
        <w:t xml:space="preserve"> Group, Messrs Hall and Carter.  They sought leave to appeal from an order that there be an inquiry into their conduct pursuant to s 536 of the Corporations Act and, if leave was granted, they sought on appeal to set aside that order.  The relevant conduct related to legal proceedings commenced and prosecuted by the liquidators with the assistance of a litigation funder.</w:t>
      </w:r>
    </w:p>
    <w:p w14:paraId="5C26854D" w14:textId="3340F269" w:rsidR="00DB6E63" w:rsidRDefault="00D313AC" w:rsidP="00D313AC">
      <w:pPr>
        <w:pStyle w:val="ParaNumbering"/>
        <w:numPr>
          <w:ilvl w:val="0"/>
          <w:numId w:val="0"/>
        </w:numPr>
        <w:ind w:hanging="720"/>
      </w:pPr>
      <w:r>
        <w:rPr>
          <w:sz w:val="20"/>
        </w:rPr>
        <w:t>305</w:t>
      </w:r>
      <w:r>
        <w:rPr>
          <w:sz w:val="20"/>
        </w:rPr>
        <w:tab/>
      </w:r>
      <w:r w:rsidR="00DB6E63">
        <w:t>Commencing at [52] the Court of Appeal (Spigelman CJ, Hodgson JA and Austin J) considered the interpretation of s 536.  At [53]-[55] the Court of Appeal relevantly observed that:</w:t>
      </w:r>
    </w:p>
    <w:p w14:paraId="4CD4CC7D" w14:textId="77777777" w:rsidR="00DB6E63" w:rsidRDefault="00DB6E63" w:rsidP="00DB6E63">
      <w:pPr>
        <w:pStyle w:val="Quote1"/>
        <w:ind w:left="1440" w:hanging="703"/>
      </w:pPr>
      <w:r>
        <w:t>53</w:t>
      </w:r>
      <w:r>
        <w:tab/>
        <w:t xml:space="preserve">The court must bear in mind the place of s 536 in the regulatory system established under Australia’s corporations legislation when construing the section. It must be recognised that this section, together with the virtually identical provision applicable to controllers of the property of a corporation in s 423, is a broadly expressed supervisory jurisdiction over the conduct of persons in control of the affairs of a corporation, in circumstances where normal market forces and the exercise by shareholders of their rights to control are attenuated or non-existent. These powers are one part of a range of regulatory powers conferred on the court and/or ASIC to ensure the lawful, orderly and efficient conduct of the affairs of corporations during such a period. The detailed regulatory scheme found in the </w:t>
      </w:r>
      <w:r w:rsidRPr="00515479">
        <w:rPr>
          <w:i/>
          <w:iCs/>
        </w:rPr>
        <w:t xml:space="preserve">Corporations Act </w:t>
      </w:r>
      <w:r w:rsidRPr="009311E7">
        <w:t>(</w:t>
      </w:r>
      <w:proofErr w:type="spellStart"/>
      <w:r w:rsidRPr="009311E7">
        <w:t>Cth</w:t>
      </w:r>
      <w:proofErr w:type="spellEnd"/>
      <w:r w:rsidRPr="009311E7">
        <w:t>)</w:t>
      </w:r>
      <w:r>
        <w:t xml:space="preserve"> manifests in this, as in so many other respects, the central significance of corporate conduct for the economic and social life of the nation. </w:t>
      </w:r>
    </w:p>
    <w:p w14:paraId="1AB5B85F" w14:textId="77777777" w:rsidR="00DB6E63" w:rsidRDefault="00DB6E63" w:rsidP="00DB6E63">
      <w:pPr>
        <w:pStyle w:val="Quote1"/>
        <w:ind w:left="1440" w:hanging="703"/>
      </w:pPr>
      <w:r>
        <w:t>54</w:t>
      </w:r>
      <w:r>
        <w:tab/>
        <w:t xml:space="preserve">Powers that can be characterised in this way are not to be narrowly construed, nor confined by fine distinctions. Where a statute grants a power to a superior court to deploy as the circumstances of the case necessitate, it is a basic rule of statutory interpretation that the grant should not be narrowly construed or cut back unless there are very clear reasons for doing so: … </w:t>
      </w:r>
    </w:p>
    <w:p w14:paraId="486EC9A3" w14:textId="77777777" w:rsidR="00DB6E63" w:rsidRDefault="00DB6E63" w:rsidP="00DB6E63">
      <w:pPr>
        <w:pStyle w:val="Quote1"/>
        <w:ind w:left="1440" w:hanging="703"/>
      </w:pPr>
      <w:r>
        <w:t>55</w:t>
      </w:r>
      <w:r>
        <w:tab/>
        <w:t>Notwithstanding the plenary nature of the powers conferred by s 536, the case law has developed a number of principles bearing on the exercise of the court’s discretion to order an inquiry. It is pertinent to mention four matters in the present context, which we shall address under the headings:</w:t>
      </w:r>
    </w:p>
    <w:p w14:paraId="5D3A43BC" w14:textId="3771C98D" w:rsidR="00DB6E63" w:rsidRDefault="00DB6E63" w:rsidP="00145990">
      <w:pPr>
        <w:pStyle w:val="Quote2Bullet"/>
      </w:pPr>
      <w:r>
        <w:t>the “prima facie case” submission;</w:t>
      </w:r>
    </w:p>
    <w:p w14:paraId="1F45751E" w14:textId="010F26E1" w:rsidR="00DB6E63" w:rsidRDefault="00DB6E63" w:rsidP="00145990">
      <w:pPr>
        <w:pStyle w:val="Quote2Bullet"/>
      </w:pPr>
      <w:r>
        <w:t>the court’s supervisory role over the conduct of liquidators;</w:t>
      </w:r>
    </w:p>
    <w:p w14:paraId="46AAB001" w14:textId="3B7673C9" w:rsidR="00DB6E63" w:rsidRDefault="00DB6E63" w:rsidP="00145990">
      <w:pPr>
        <w:pStyle w:val="Quote2Bullet"/>
      </w:pPr>
      <w:r>
        <w:t>the relevance of alternative remedies;</w:t>
      </w:r>
    </w:p>
    <w:p w14:paraId="1D2EE15E" w14:textId="49AC762A" w:rsidR="00DB6E63" w:rsidRDefault="00DB6E63" w:rsidP="00145990">
      <w:pPr>
        <w:pStyle w:val="Quote2Bullet"/>
      </w:pPr>
      <w:r>
        <w:t>the analogy with inquiries into the conduct of trustees in bankruptcy.</w:t>
      </w:r>
    </w:p>
    <w:p w14:paraId="2A88A62C" w14:textId="68878D34" w:rsidR="00DB6E63" w:rsidRDefault="00D313AC" w:rsidP="00D313AC">
      <w:pPr>
        <w:pStyle w:val="ParaNumbering"/>
        <w:numPr>
          <w:ilvl w:val="0"/>
          <w:numId w:val="0"/>
        </w:numPr>
        <w:ind w:hanging="720"/>
      </w:pPr>
      <w:r>
        <w:rPr>
          <w:sz w:val="20"/>
        </w:rPr>
        <w:t>306</w:t>
      </w:r>
      <w:r>
        <w:rPr>
          <w:sz w:val="20"/>
        </w:rPr>
        <w:tab/>
      </w:r>
      <w:r w:rsidR="00DB6E63">
        <w:t>At [61]-[68] the Court of Appeal considered the second of those principles, namely the court’s supervisory role over the conduct of liquidators including at [61] and [66]-[67] that:</w:t>
      </w:r>
    </w:p>
    <w:p w14:paraId="575BA359" w14:textId="77777777" w:rsidR="00DB6E63" w:rsidRDefault="00DB6E63" w:rsidP="00DB6E63">
      <w:pPr>
        <w:pStyle w:val="Quote1"/>
        <w:ind w:left="1440" w:hanging="703"/>
      </w:pPr>
      <w:r>
        <w:t>61</w:t>
      </w:r>
      <w:r>
        <w:tab/>
        <w:t xml:space="preserve">The powers conferred by s 536 have a common element, namely that they are </w:t>
      </w:r>
      <w:r>
        <w:lastRenderedPageBreak/>
        <w:t xml:space="preserve">powers of a regulatory nature concerned with the supervision of liquidators of all kinds. The court has a long-established role in the supervision of court appointed liquidators, and s 536 confers a statutory supervisory jurisdiction in respect of liquidators of all kinds. </w:t>
      </w:r>
    </w:p>
    <w:p w14:paraId="71968477" w14:textId="77777777" w:rsidR="00DB6E63" w:rsidRDefault="00DB6E63" w:rsidP="00DB6E63">
      <w:pPr>
        <w:pStyle w:val="Quote1"/>
        <w:ind w:left="1440" w:hanging="703"/>
      </w:pPr>
      <w:r>
        <w:t>…</w:t>
      </w:r>
    </w:p>
    <w:p w14:paraId="3664C217" w14:textId="77777777" w:rsidR="00DB6E63" w:rsidRDefault="00DB6E63" w:rsidP="00DB6E63">
      <w:pPr>
        <w:pStyle w:val="Quote1"/>
        <w:ind w:left="1440" w:hanging="703"/>
      </w:pPr>
      <w:r>
        <w:t>66</w:t>
      </w:r>
      <w:r>
        <w:tab/>
        <w:t xml:space="preserve">It is pertinent to recognise that the powers conferred by s 536(1) are vested in </w:t>
      </w:r>
      <w:r w:rsidRPr="009C35F5">
        <w:rPr>
          <w:i/>
          <w:iCs/>
        </w:rPr>
        <w:t>both</w:t>
      </w:r>
      <w:r>
        <w:t xml:space="preserve"> the court and the regulator, and therefore that the court is performing a regulatory role, in the sense that its function under s 536, like the function of ASIC under the section, is supervisory. …</w:t>
      </w:r>
    </w:p>
    <w:p w14:paraId="5276C5BE" w14:textId="77777777" w:rsidR="00DB6E63" w:rsidRDefault="00DB6E63" w:rsidP="00A35213">
      <w:pPr>
        <w:pStyle w:val="Quote1"/>
        <w:spacing w:after="360"/>
        <w:ind w:left="1440" w:hanging="703"/>
      </w:pPr>
      <w:r>
        <w:t>67</w:t>
      </w:r>
      <w:r>
        <w:tab/>
        <w:t xml:space="preserve">The court’s supervisory role is recognised in the frequently cited observations of McLelland J in </w:t>
      </w:r>
      <w:r w:rsidRPr="00BD4E29">
        <w:rPr>
          <w:i/>
          <w:iCs/>
        </w:rPr>
        <w:t>Northbourne Developments</w:t>
      </w:r>
      <w:r>
        <w:t xml:space="preserve"> (at 438), where his Honour said of the predecessor to s 536 that it “is concerned with aspects of the conduct of liquidators which are liable to attract sanctions or control for what might broadly be described as disciplinary reasons.” For subsequent applications of this approach, see, for example, </w:t>
      </w:r>
      <w:r w:rsidRPr="00BD4E29">
        <w:rPr>
          <w:i/>
          <w:iCs/>
        </w:rPr>
        <w:t xml:space="preserve">Re </w:t>
      </w:r>
      <w:proofErr w:type="spellStart"/>
      <w:r w:rsidRPr="00BD4E29">
        <w:rPr>
          <w:i/>
          <w:iCs/>
        </w:rPr>
        <w:t>Glowbind</w:t>
      </w:r>
      <w:proofErr w:type="spellEnd"/>
      <w:r w:rsidRPr="00BD4E29">
        <w:rPr>
          <w:i/>
          <w:iCs/>
        </w:rPr>
        <w:t xml:space="preserve"> Pty Ltd (In </w:t>
      </w:r>
      <w:proofErr w:type="spellStart"/>
      <w:r w:rsidRPr="00BD4E29">
        <w:rPr>
          <w:i/>
          <w:iCs/>
        </w:rPr>
        <w:t>Liq</w:t>
      </w:r>
      <w:proofErr w:type="spellEnd"/>
      <w:r w:rsidRPr="00BD4E29">
        <w:rPr>
          <w:i/>
          <w:iCs/>
        </w:rPr>
        <w:t>)</w:t>
      </w:r>
      <w:r>
        <w:t xml:space="preserve">; </w:t>
      </w:r>
      <w:proofErr w:type="spellStart"/>
      <w:r w:rsidRPr="00BD4E29">
        <w:rPr>
          <w:i/>
          <w:iCs/>
        </w:rPr>
        <w:t>Takchi</w:t>
      </w:r>
      <w:proofErr w:type="spellEnd"/>
      <w:r w:rsidRPr="00BD4E29">
        <w:rPr>
          <w:i/>
          <w:iCs/>
        </w:rPr>
        <w:t xml:space="preserve"> v </w:t>
      </w:r>
      <w:proofErr w:type="spellStart"/>
      <w:r w:rsidRPr="00BD4E29">
        <w:rPr>
          <w:i/>
          <w:iCs/>
        </w:rPr>
        <w:t>Parbery</w:t>
      </w:r>
      <w:proofErr w:type="spellEnd"/>
      <w:r>
        <w:t xml:space="preserve"> (at 217 [21]; 465 [21]), per Burchett AJ; </w:t>
      </w:r>
      <w:r w:rsidRPr="00BD4E29">
        <w:rPr>
          <w:i/>
          <w:iCs/>
        </w:rPr>
        <w:t>Australian Securities and Investments Commission v Forestview Nominees Pty Ltd (Receivers and Managers Appointed)</w:t>
      </w:r>
      <w:r w:rsidRPr="00BD4E29">
        <w:t xml:space="preserve"> </w:t>
      </w:r>
      <w:r>
        <w:t xml:space="preserve">(2006) 236 ALR 652 at 656 [15]; 24 ACLC 1567 at 1570 [15]; </w:t>
      </w:r>
      <w:r w:rsidRPr="00BD4E29">
        <w:rPr>
          <w:i/>
          <w:iCs/>
        </w:rPr>
        <w:t>Leslie v Hennessy</w:t>
      </w:r>
      <w:r>
        <w:t xml:space="preserve"> (at 656 [4]); </w:t>
      </w:r>
      <w:r w:rsidRPr="00BD4E29">
        <w:rPr>
          <w:i/>
          <w:iCs/>
        </w:rPr>
        <w:t>Australian Securities and Investments Commission v Edge</w:t>
      </w:r>
      <w:r>
        <w:t xml:space="preserve"> (2007) 211 FLR 137 at 152 [48], per Dodds-Streeton J; </w:t>
      </w:r>
      <w:r w:rsidRPr="00BD4E29">
        <w:rPr>
          <w:i/>
          <w:iCs/>
        </w:rPr>
        <w:t>Vink v Tuckwell</w:t>
      </w:r>
      <w:r>
        <w:t xml:space="preserve">, per Robson J. </w:t>
      </w:r>
    </w:p>
    <w:p w14:paraId="318CFE9D" w14:textId="41154868" w:rsidR="00DB6E63" w:rsidRDefault="00D313AC" w:rsidP="00D313AC">
      <w:pPr>
        <w:pStyle w:val="ParaNumbering"/>
        <w:numPr>
          <w:ilvl w:val="0"/>
          <w:numId w:val="0"/>
        </w:numPr>
        <w:ind w:hanging="720"/>
      </w:pPr>
      <w:r>
        <w:rPr>
          <w:sz w:val="20"/>
        </w:rPr>
        <w:t>307</w:t>
      </w:r>
      <w:r>
        <w:rPr>
          <w:sz w:val="20"/>
        </w:rPr>
        <w:tab/>
      </w:r>
      <w:r w:rsidR="00DB6E63">
        <w:t xml:space="preserve">In </w:t>
      </w:r>
      <w:proofErr w:type="spellStart"/>
      <w:r w:rsidR="00DB6E63" w:rsidRPr="005872DC">
        <w:rPr>
          <w:i/>
          <w:iCs/>
        </w:rPr>
        <w:t>Hypec</w:t>
      </w:r>
      <w:proofErr w:type="spellEnd"/>
      <w:r w:rsidR="00DB6E63" w:rsidRPr="005872DC">
        <w:rPr>
          <w:i/>
          <w:iCs/>
        </w:rPr>
        <w:t xml:space="preserve"> </w:t>
      </w:r>
      <w:r w:rsidR="00DB6E63">
        <w:t xml:space="preserve">there were two applications before the </w:t>
      </w:r>
      <w:r w:rsidR="00E94ED0">
        <w:t xml:space="preserve">Supreme </w:t>
      </w:r>
      <w:r w:rsidR="00DB6E63">
        <w:t xml:space="preserve">Court in relation to orders that had previously been made for an inquiry to be undertaken pursuant to former s 536(1)(b) of the Corporations Act.  By one of those applications the new liquidator of the company, </w:t>
      </w:r>
      <w:proofErr w:type="spellStart"/>
      <w:r w:rsidR="00DB6E63" w:rsidRPr="00E039A1">
        <w:rPr>
          <w:b/>
          <w:bCs/>
        </w:rPr>
        <w:t>Hypec</w:t>
      </w:r>
      <w:proofErr w:type="spellEnd"/>
      <w:r w:rsidR="006E12F3">
        <w:t> Electronics Pty Ltd</w:t>
      </w:r>
      <w:r w:rsidR="00DB6E63">
        <w:t>, sought to expand the description of the inquiry which had been previously ordered so as to include “an inquiry as to damages, as to the amount of loss incurred or suffered by [</w:t>
      </w:r>
      <w:proofErr w:type="spellStart"/>
      <w:r w:rsidR="00DB6E63">
        <w:t>Hypec</w:t>
      </w:r>
      <w:proofErr w:type="spellEnd"/>
      <w:r w:rsidR="00DB6E63">
        <w:t>] by reason of misconduct of the former liquidator of [</w:t>
      </w:r>
      <w:proofErr w:type="spellStart"/>
      <w:r w:rsidR="00DB6E63">
        <w:t>Hypec</w:t>
      </w:r>
      <w:proofErr w:type="spellEnd"/>
      <w:r w:rsidR="00DB6E63">
        <w:t xml:space="preserve">], David Patrick Watson”: at [8].     </w:t>
      </w:r>
    </w:p>
    <w:p w14:paraId="091098CB" w14:textId="3F0BC1C4" w:rsidR="00DB6E63" w:rsidRDefault="00D313AC" w:rsidP="00D313AC">
      <w:pPr>
        <w:pStyle w:val="ParaNumbering"/>
        <w:numPr>
          <w:ilvl w:val="0"/>
          <w:numId w:val="0"/>
        </w:numPr>
        <w:ind w:hanging="720"/>
      </w:pPr>
      <w:r>
        <w:rPr>
          <w:sz w:val="20"/>
        </w:rPr>
        <w:t>308</w:t>
      </w:r>
      <w:r>
        <w:rPr>
          <w:sz w:val="20"/>
        </w:rPr>
        <w:tab/>
      </w:r>
      <w:r w:rsidR="00DB6E63">
        <w:t>In considering the scope of s 536, Barrett J considered whether s 536(1) was capable of supporting an order for compensation by a derelict liquidator.  After tracing the history of the provision and relevant authorities</w:t>
      </w:r>
      <w:r w:rsidR="00636639">
        <w:t>,</w:t>
      </w:r>
      <w:r w:rsidR="00DB6E63">
        <w:t xml:space="preserve"> his Honour concluded that it was</w:t>
      </w:r>
      <w:r w:rsidR="00AE1D56">
        <w:t>,</w:t>
      </w:r>
      <w:r w:rsidR="00DB6E63">
        <w:t xml:space="preserve"> stating at [36] that:</w:t>
      </w:r>
    </w:p>
    <w:p w14:paraId="5CC2495C" w14:textId="77777777" w:rsidR="00DB6E63" w:rsidRDefault="00DB6E63" w:rsidP="00224DA7">
      <w:pPr>
        <w:pStyle w:val="Quote1"/>
        <w:spacing w:after="360"/>
      </w:pPr>
      <w:r>
        <w:t xml:space="preserve">In summary, s 536 appears capable of supporting a compensatory order where the court finds, upon inquiry, that an order of that kind is necessary to the effectuation of the section’s purpose; and, while the court’s power in that respect is not otherwise subject to limitation and a s 536 inquiry is not the occasion for trying an action for negligence or breach of duty, general law concepts will necessarily inform the decision whether such an order should be made and the basis on which it should be made. </w:t>
      </w:r>
    </w:p>
    <w:p w14:paraId="24852F4E" w14:textId="2882DAAC" w:rsidR="00DB6E63" w:rsidRDefault="00D313AC" w:rsidP="00D313AC">
      <w:pPr>
        <w:pStyle w:val="ParaNumbering"/>
        <w:numPr>
          <w:ilvl w:val="0"/>
          <w:numId w:val="0"/>
        </w:numPr>
        <w:ind w:hanging="720"/>
      </w:pPr>
      <w:r>
        <w:rPr>
          <w:sz w:val="20"/>
        </w:rPr>
        <w:t>309</w:t>
      </w:r>
      <w:r>
        <w:rPr>
          <w:sz w:val="20"/>
        </w:rPr>
        <w:tab/>
      </w:r>
      <w:r w:rsidR="00DB6E63">
        <w:t>Justice Barrett then considered the purpose of former s 536 of the Corporations Act observing first at [37] that:</w:t>
      </w:r>
    </w:p>
    <w:p w14:paraId="247497DB" w14:textId="386DE136" w:rsidR="00DB6E63" w:rsidRDefault="00DB6E63" w:rsidP="00224DA7">
      <w:pPr>
        <w:pStyle w:val="Quote1"/>
        <w:spacing w:after="360"/>
      </w:pPr>
      <w:r>
        <w:t xml:space="preserve">While it may thus be open to the court, in a s 536(1) case, to order that loss to the estate </w:t>
      </w:r>
      <w:r>
        <w:lastRenderedPageBreak/>
        <w:t>be made good by the liquidator, the order the court makes in a particular instance will be determined by the whole of the circumstances. What the court “thinks fit”, in s</w:t>
      </w:r>
      <w:r w:rsidR="009354D6">
        <w:t> </w:t>
      </w:r>
      <w:r>
        <w:t xml:space="preserve">536(1) terms, will be judged according to what is best calculated to achieve the purpose for which s 536 exists. </w:t>
      </w:r>
    </w:p>
    <w:p w14:paraId="27F28234" w14:textId="2882444C" w:rsidR="00DB6E63" w:rsidRDefault="00D313AC" w:rsidP="00D313AC">
      <w:pPr>
        <w:pStyle w:val="ParaNumbering"/>
        <w:numPr>
          <w:ilvl w:val="0"/>
          <w:numId w:val="0"/>
        </w:numPr>
        <w:ind w:hanging="720"/>
      </w:pPr>
      <w:r>
        <w:rPr>
          <w:sz w:val="20"/>
        </w:rPr>
        <w:t>310</w:t>
      </w:r>
      <w:r>
        <w:rPr>
          <w:sz w:val="20"/>
        </w:rPr>
        <w:tab/>
      </w:r>
      <w:r w:rsidR="00DB6E63">
        <w:t>Again, after surveying the relevant authorities at [41] his Honour said:</w:t>
      </w:r>
    </w:p>
    <w:p w14:paraId="1D79CFF9" w14:textId="4F2985EC" w:rsidR="00DB6E63" w:rsidRDefault="00DB6E63" w:rsidP="00B75002">
      <w:pPr>
        <w:pStyle w:val="Quote1"/>
        <w:spacing w:after="360"/>
      </w:pPr>
      <w:r>
        <w:t xml:space="preserve">As the several judicial statements about s 536 make clear, the emphasis is on regulation, supervision, discipline and correction of liquidators in the interests of honest and efficient administration of the estates of companies subject to winding-up. The interest to be served is a public interest. The section is not concerned in any direct way with vindication of private rights. Rather and as Steytler J said in </w:t>
      </w:r>
      <w:r w:rsidRPr="00C6043F">
        <w:rPr>
          <w:i/>
          <w:iCs/>
        </w:rPr>
        <w:t>GIS Electrical Pty Ltd v Melsom</w:t>
      </w:r>
      <w:r>
        <w:t xml:space="preserve"> (2002) 43 ACSR 481;</w:t>
      </w:r>
      <w:r w:rsidR="0014209D">
        <w:t xml:space="preserve"> </w:t>
      </w:r>
      <w:r>
        <w:t xml:space="preserve">172 FLR 218; [2002] WASCA 302 at [49] echoing an observation of McLelland CJ in Eq in </w:t>
      </w:r>
      <w:r w:rsidRPr="00C6043F">
        <w:rPr>
          <w:i/>
          <w:iCs/>
        </w:rPr>
        <w:t xml:space="preserve">Northbourne Developments Pty Ltd v </w:t>
      </w:r>
      <w:proofErr w:type="spellStart"/>
      <w:r w:rsidRPr="00C6043F">
        <w:rPr>
          <w:i/>
          <w:iCs/>
        </w:rPr>
        <w:t>Reiby</w:t>
      </w:r>
      <w:proofErr w:type="spellEnd"/>
      <w:r w:rsidRPr="00C6043F">
        <w:rPr>
          <w:i/>
          <w:iCs/>
        </w:rPr>
        <w:t xml:space="preserve"> Chambers Pty Ltd</w:t>
      </w:r>
      <w:r>
        <w:t xml:space="preserve"> (1989) 19 NSWLR 434 at 438; 1 ACSR 79 at 83, it “is concerned with aspects of the conduct of liquidators which are liable to attract sanctions or control for what might be broadly described as disciplinary reasons”. The preoccupation is, as I put it in </w:t>
      </w:r>
      <w:r w:rsidRPr="00C6043F">
        <w:rPr>
          <w:i/>
          <w:iCs/>
        </w:rPr>
        <w:t>Re Bauhaus Pyrmont Pty Ltd</w:t>
      </w:r>
      <w:r>
        <w:t xml:space="preserve"> [2006] NSWSC 742 at [4], with “the broader question of due administration of the winding up in the public interest”. </w:t>
      </w:r>
    </w:p>
    <w:p w14:paraId="652C3715" w14:textId="75285CEF" w:rsidR="00DB6E63" w:rsidRDefault="00D313AC" w:rsidP="00D313AC">
      <w:pPr>
        <w:pStyle w:val="ParaNumbering"/>
        <w:numPr>
          <w:ilvl w:val="0"/>
          <w:numId w:val="0"/>
        </w:numPr>
        <w:ind w:hanging="720"/>
      </w:pPr>
      <w:r>
        <w:rPr>
          <w:sz w:val="20"/>
        </w:rPr>
        <w:t>311</w:t>
      </w:r>
      <w:r>
        <w:rPr>
          <w:sz w:val="20"/>
        </w:rPr>
        <w:tab/>
      </w:r>
      <w:r w:rsidR="00DB6E63">
        <w:t>Commencing at [42] Barrett J set out the process to be followed in undertaking a proceeding under former s 536 of the Corporations Act noting it involved three stages.  His Honour described the third stage at [45]-[46] as follows:</w:t>
      </w:r>
    </w:p>
    <w:p w14:paraId="6C4A003C" w14:textId="6A65B679" w:rsidR="00DB6E63" w:rsidRDefault="00DB6E63" w:rsidP="00DB6E63">
      <w:pPr>
        <w:pStyle w:val="Quote1"/>
        <w:ind w:left="1440" w:hanging="703"/>
      </w:pPr>
      <w:r>
        <w:t>[45]</w:t>
      </w:r>
      <w:r>
        <w:tab/>
        <w:t xml:space="preserve">If, having heard the competing submissions at the second stage, the court decides that the liquidator’s conduct was in some way deficient, it embarks upon </w:t>
      </w:r>
      <w:r w:rsidR="009354D6">
        <w:t>t</w:t>
      </w:r>
      <w:r>
        <w:t>he third stage and decides whether or not to make an order. The nature of the order will depend on the nature of the deficiency found. As noted above, the orders at the court’s disposal include an order that the liquidator make good loss occasioned by the liquidator’s deficient conduct. The predominant consideration, however, is effectuation of the purpose for which s 536 exists and, therefore, what is needed by way of regulation, supervision, discipline and correction for the due administration of the winding-up in the public interest.</w:t>
      </w:r>
    </w:p>
    <w:p w14:paraId="6DF7F54E" w14:textId="5B162256" w:rsidR="00DB6E63" w:rsidRDefault="00DB6E63" w:rsidP="00B75002">
      <w:pPr>
        <w:pStyle w:val="Quote1"/>
        <w:spacing w:after="360"/>
        <w:ind w:left="1440" w:hanging="703"/>
      </w:pPr>
      <w:r>
        <w:t>[46]</w:t>
      </w:r>
      <w:r>
        <w:tab/>
        <w:t xml:space="preserve">The power of the court at the third stage is the power to “take such actions it thinks fit”.  But that power is not exercisable unless and until the second stage as been completed by means of an inquiry. This is the effect of the statutory language: “and </w:t>
      </w:r>
      <w:r w:rsidRPr="00422C53">
        <w:rPr>
          <w:i/>
          <w:iCs/>
        </w:rPr>
        <w:t>where the court … so inquires</w:t>
      </w:r>
      <w:r>
        <w:t xml:space="preserve">, the court may take such action as </w:t>
      </w:r>
      <w:r w:rsidR="009354D6">
        <w:t>i</w:t>
      </w:r>
      <w:r>
        <w:t xml:space="preserve">t thinks fit” [emphasis added]. The court cannot take substantive action except as a consequence of an inquiry. It follows that it is not open to the court, as a matter of jurisdiction, to make an order simply on the basis that relevant parties consent to the making of the order. </w:t>
      </w:r>
    </w:p>
    <w:p w14:paraId="5C8AA6BF" w14:textId="1C39EC3B" w:rsidR="00DB6E63" w:rsidRDefault="00D313AC" w:rsidP="00D313AC">
      <w:pPr>
        <w:pStyle w:val="ParaNumbering"/>
        <w:numPr>
          <w:ilvl w:val="0"/>
          <w:numId w:val="0"/>
        </w:numPr>
        <w:ind w:hanging="720"/>
      </w:pPr>
      <w:r>
        <w:rPr>
          <w:sz w:val="20"/>
        </w:rPr>
        <w:t>312</w:t>
      </w:r>
      <w:r>
        <w:rPr>
          <w:sz w:val="20"/>
        </w:rPr>
        <w:tab/>
      </w:r>
      <w:r w:rsidR="00DB6E63">
        <w:t xml:space="preserve">It is clear from the authorities that </w:t>
      </w:r>
      <w:r w:rsidR="009912F0">
        <w:t xml:space="preserve">former </w:t>
      </w:r>
      <w:r w:rsidR="00DB6E63">
        <w:t xml:space="preserve">s 536 </w:t>
      </w:r>
      <w:r w:rsidR="00674E6A">
        <w:t xml:space="preserve">of the Corporations Act </w:t>
      </w:r>
      <w:r w:rsidR="00DB6E63">
        <w:t xml:space="preserve">confers a supervisory jurisdiction on the Court and that its purpose is to discipline, correct and supervise the conduct of liquidators.  It is with regard to that purpose that the power in </w:t>
      </w:r>
      <w:r w:rsidR="0013796A">
        <w:t xml:space="preserve">former </w:t>
      </w:r>
      <w:r w:rsidR="00DB6E63">
        <w:t xml:space="preserve">s 536(1) to take such action as the </w:t>
      </w:r>
      <w:r w:rsidR="006576DB">
        <w:t>C</w:t>
      </w:r>
      <w:r w:rsidR="00DB6E63">
        <w:t xml:space="preserve">ourt sees fit must be construed.  The Commissioner points to no authority which </w:t>
      </w:r>
      <w:r w:rsidR="00DB6E63">
        <w:lastRenderedPageBreak/>
        <w:t xml:space="preserve">supports his construction of </w:t>
      </w:r>
      <w:r w:rsidR="0028138B">
        <w:t xml:space="preserve">former </w:t>
      </w:r>
      <w:r w:rsidR="00DB6E63">
        <w:t xml:space="preserve">s 536 as permitting an order that by reason of a liquidator’s dereliction of duty the </w:t>
      </w:r>
      <w:r w:rsidR="00575916">
        <w:t>C</w:t>
      </w:r>
      <w:r w:rsidR="00DB6E63">
        <w:t xml:space="preserve">ourt can exclude days for the purpose of calculating a period in which an action vested in the office of liquidator can be commenced.  </w:t>
      </w:r>
    </w:p>
    <w:p w14:paraId="4E2BDF81" w14:textId="260B57F4" w:rsidR="00DB6E63" w:rsidRDefault="00D313AC" w:rsidP="00D313AC">
      <w:pPr>
        <w:pStyle w:val="ParaNumbering"/>
        <w:numPr>
          <w:ilvl w:val="0"/>
          <w:numId w:val="0"/>
        </w:numPr>
        <w:ind w:hanging="720"/>
      </w:pPr>
      <w:r>
        <w:rPr>
          <w:sz w:val="20"/>
        </w:rPr>
        <w:t>313</w:t>
      </w:r>
      <w:r>
        <w:rPr>
          <w:sz w:val="20"/>
        </w:rPr>
        <w:tab/>
      </w:r>
      <w:r w:rsidR="00DB6E63">
        <w:t xml:space="preserve">It would be odd, if not perverse, if former s 536 of the Corporations Act permitted the </w:t>
      </w:r>
      <w:r w:rsidR="008D1D6D">
        <w:t>C</w:t>
      </w:r>
      <w:r w:rsidR="00DB6E63">
        <w:t xml:space="preserve">ourt, after concluding that a liquidator had not faithfully performed his or her duties, to make an order in terms of Order 3 of the Reinstatement Orders or to the effect of that sought by the Commissioner in paragraph 2 of his application.  Such an order does not have as its purpose the disciplining, correction or supervision of the delinquent liquidator or for the “due administration of the winding up”.  The section is concerned with the conduct of liquidators which is liable to attract sanctions or control for broadly disciplinary reasons.  Any action taken as a result or as the Court sees fit must reflect that purpose.  </w:t>
      </w:r>
    </w:p>
    <w:p w14:paraId="042A23D8" w14:textId="259025EA" w:rsidR="00DB6E63" w:rsidRDefault="00D313AC" w:rsidP="00D313AC">
      <w:pPr>
        <w:pStyle w:val="ParaNumbering"/>
        <w:numPr>
          <w:ilvl w:val="0"/>
          <w:numId w:val="0"/>
        </w:numPr>
        <w:ind w:hanging="720"/>
      </w:pPr>
      <w:r>
        <w:rPr>
          <w:sz w:val="20"/>
        </w:rPr>
        <w:t>314</w:t>
      </w:r>
      <w:r>
        <w:rPr>
          <w:sz w:val="20"/>
        </w:rPr>
        <w:tab/>
      </w:r>
      <w:r w:rsidR="00DB6E63">
        <w:t xml:space="preserve">By contrast such an order if made would have the effect of reducing the delinquent liquidator’s liability for compensation or damages, which seems </w:t>
      </w:r>
      <w:r w:rsidR="006F2712">
        <w:t xml:space="preserve">to </w:t>
      </w:r>
      <w:r w:rsidR="00DB6E63">
        <w:t xml:space="preserve">run counter to the purpose of </w:t>
      </w:r>
      <w:r w:rsidR="00687322">
        <w:t xml:space="preserve">former </w:t>
      </w:r>
      <w:r w:rsidR="00DB6E63">
        <w:t xml:space="preserve">s 536, and would require third parties to defend claims made after the expiry of the period in which to bring such a claim prescribed by s 588FF of the Corporations Act, again to </w:t>
      </w:r>
      <w:r w:rsidR="00C27B62">
        <w:t>th</w:t>
      </w:r>
      <w:r w:rsidR="00DB6E63">
        <w:t xml:space="preserve">e financial benefit of the wrongdoer.  </w:t>
      </w:r>
    </w:p>
    <w:p w14:paraId="5FADCFFC" w14:textId="232B7769" w:rsidR="00DB6E63" w:rsidRDefault="00D313AC" w:rsidP="00DB6E63">
      <w:pPr>
        <w:pStyle w:val="Heading1"/>
      </w:pPr>
      <w:r>
        <w:rPr>
          <w:caps w:val="0"/>
        </w:rPr>
        <w:t>CONCLUSION</w:t>
      </w:r>
    </w:p>
    <w:p w14:paraId="479E41D8" w14:textId="7C09F886" w:rsidR="005771FF" w:rsidRDefault="00D313AC" w:rsidP="00D313AC">
      <w:pPr>
        <w:pStyle w:val="ParaNumbering"/>
        <w:numPr>
          <w:ilvl w:val="0"/>
          <w:numId w:val="0"/>
        </w:numPr>
        <w:ind w:hanging="720"/>
      </w:pPr>
      <w:r>
        <w:rPr>
          <w:sz w:val="20"/>
        </w:rPr>
        <w:t>315</w:t>
      </w:r>
      <w:r>
        <w:rPr>
          <w:sz w:val="20"/>
        </w:rPr>
        <w:tab/>
      </w:r>
      <w:r w:rsidR="00DB6E63">
        <w:t>The Applicants have been successful in their applications to have Order 3 of the Reinstatement</w:t>
      </w:r>
      <w:r w:rsidR="00A74EA6">
        <w:t> </w:t>
      </w:r>
      <w:r w:rsidR="00DB6E63">
        <w:t xml:space="preserve">Orders discharged.  The Commissioner has been unsuccessful in the Commissioner’s Application.  The Liquidators sought no relief but adopted the Commissioner’s submissions in opposition to the Applicants’ </w:t>
      </w:r>
      <w:r w:rsidR="005771FF">
        <w:t>a</w:t>
      </w:r>
      <w:r w:rsidR="00DB6E63">
        <w:t xml:space="preserve">pplications.  </w:t>
      </w:r>
    </w:p>
    <w:p w14:paraId="37EAE51D" w14:textId="110B5D60" w:rsidR="001D7B87" w:rsidRDefault="00D313AC" w:rsidP="00D313AC">
      <w:pPr>
        <w:pStyle w:val="ParaNumbering"/>
        <w:numPr>
          <w:ilvl w:val="0"/>
          <w:numId w:val="0"/>
        </w:numPr>
        <w:ind w:hanging="720"/>
      </w:pPr>
      <w:r>
        <w:rPr>
          <w:sz w:val="20"/>
        </w:rPr>
        <w:t>316</w:t>
      </w:r>
      <w:r>
        <w:rPr>
          <w:sz w:val="20"/>
        </w:rPr>
        <w:tab/>
      </w:r>
      <w:r w:rsidR="00DB6E63">
        <w:t>In th</w:t>
      </w:r>
      <w:r w:rsidR="000458ED">
        <w:t>e</w:t>
      </w:r>
      <w:r w:rsidR="00DB6E63">
        <w:t xml:space="preserve"> circumstances, costs would ordinarily follow the event with the Commissioner and the</w:t>
      </w:r>
      <w:r w:rsidR="005A0D97">
        <w:t> </w:t>
      </w:r>
      <w:r w:rsidR="00DB6E63">
        <w:t>Liquidators paying the Applicants’ costs</w:t>
      </w:r>
      <w:r w:rsidR="00243983">
        <w:t xml:space="preserve"> of the </w:t>
      </w:r>
      <w:r w:rsidR="001D7B87">
        <w:t>Applicants</w:t>
      </w:r>
      <w:r w:rsidR="00243983">
        <w:t xml:space="preserve">’ applications and the Commissioner paying the Applicants’ costs of the Commissioner’s </w:t>
      </w:r>
      <w:r w:rsidR="001D7B87">
        <w:t>Application</w:t>
      </w:r>
      <w:r w:rsidR="00DB6E63">
        <w:t xml:space="preserve">.  </w:t>
      </w:r>
    </w:p>
    <w:p w14:paraId="670ADE9A" w14:textId="76901891" w:rsidR="00DB6E63" w:rsidRDefault="00D313AC" w:rsidP="00D313AC">
      <w:pPr>
        <w:pStyle w:val="ParaNumbering"/>
        <w:numPr>
          <w:ilvl w:val="0"/>
          <w:numId w:val="0"/>
        </w:numPr>
        <w:ind w:hanging="720"/>
      </w:pPr>
      <w:r>
        <w:rPr>
          <w:sz w:val="20"/>
        </w:rPr>
        <w:t>317</w:t>
      </w:r>
      <w:r>
        <w:rPr>
          <w:sz w:val="20"/>
        </w:rPr>
        <w:tab/>
      </w:r>
      <w:r w:rsidR="00DB6E63">
        <w:t xml:space="preserve">However, </w:t>
      </w:r>
      <w:r w:rsidR="000458ED">
        <w:t>given the variations in costs orders sought by the parties</w:t>
      </w:r>
      <w:r w:rsidR="00E9027F">
        <w:t>, including</w:t>
      </w:r>
      <w:r w:rsidR="00D74F55">
        <w:t xml:space="preserve"> that the Kito</w:t>
      </w:r>
      <w:r w:rsidR="00540091">
        <w:t> </w:t>
      </w:r>
      <w:r w:rsidR="00D74F55">
        <w:t xml:space="preserve">Applicants and the Borg &amp; </w:t>
      </w:r>
      <w:proofErr w:type="spellStart"/>
      <w:r w:rsidR="00D74F55">
        <w:t>Givana</w:t>
      </w:r>
      <w:proofErr w:type="spellEnd"/>
      <w:r w:rsidR="00D74F55">
        <w:t xml:space="preserve"> Applicants</w:t>
      </w:r>
      <w:r w:rsidR="00E9027F">
        <w:t xml:space="preserve"> </w:t>
      </w:r>
      <w:r w:rsidR="001D7B87">
        <w:t xml:space="preserve">seek orders </w:t>
      </w:r>
      <w:r w:rsidR="00E9027F">
        <w:t>for indemnity costs fr</w:t>
      </w:r>
      <w:r w:rsidR="00516735">
        <w:t>o</w:t>
      </w:r>
      <w:r w:rsidR="00E9027F">
        <w:t>m Mr</w:t>
      </w:r>
      <w:r w:rsidR="00D74F55">
        <w:t> </w:t>
      </w:r>
      <w:r w:rsidR="00E9027F">
        <w:t>Iannuzzi</w:t>
      </w:r>
      <w:r w:rsidR="001D7B87">
        <w:t xml:space="preserve"> and the Commissioner</w:t>
      </w:r>
      <w:r w:rsidR="00516735">
        <w:t xml:space="preserve">, I </w:t>
      </w:r>
      <w:r w:rsidR="00BA5DBD">
        <w:t xml:space="preserve">indicated during </w:t>
      </w:r>
      <w:r w:rsidR="00516735">
        <w:t xml:space="preserve">the hearing that I would reserve on the question of costs.   </w:t>
      </w:r>
    </w:p>
    <w:p w14:paraId="7E055862" w14:textId="31F3F1CD" w:rsidR="00E56FE0" w:rsidRDefault="00D313AC" w:rsidP="00D313AC">
      <w:pPr>
        <w:pStyle w:val="ParaNumbering"/>
        <w:numPr>
          <w:ilvl w:val="0"/>
          <w:numId w:val="0"/>
        </w:numPr>
        <w:ind w:hanging="720"/>
      </w:pPr>
      <w:r>
        <w:rPr>
          <w:sz w:val="20"/>
        </w:rPr>
        <w:t>318</w:t>
      </w:r>
      <w:r>
        <w:rPr>
          <w:sz w:val="20"/>
        </w:rPr>
        <w:tab/>
      </w:r>
      <w:r w:rsidR="001A5829">
        <w:t xml:space="preserve">I will make orders requiring the parties to </w:t>
      </w:r>
      <w:r w:rsidR="00B0116C">
        <w:t xml:space="preserve">confer and to provide within </w:t>
      </w:r>
      <w:r w:rsidR="00B61987">
        <w:t xml:space="preserve">14 days of the </w:t>
      </w:r>
      <w:r w:rsidR="00E56FE0">
        <w:t>date of publication of these reasons</w:t>
      </w:r>
      <w:r w:rsidR="00B61987">
        <w:t>:</w:t>
      </w:r>
    </w:p>
    <w:p w14:paraId="0221A642" w14:textId="582C2E2A" w:rsidR="00DD72C6" w:rsidRDefault="00D313AC" w:rsidP="00D313AC">
      <w:pPr>
        <w:pStyle w:val="ListNo1"/>
        <w:numPr>
          <w:ilvl w:val="0"/>
          <w:numId w:val="0"/>
        </w:numPr>
        <w:tabs>
          <w:tab w:val="left" w:pos="720"/>
        </w:tabs>
        <w:ind w:left="720" w:hanging="720"/>
      </w:pPr>
      <w:r>
        <w:lastRenderedPageBreak/>
        <w:t>(1)</w:t>
      </w:r>
      <w:r>
        <w:tab/>
      </w:r>
      <w:r w:rsidR="003F1B9D">
        <w:t>i</w:t>
      </w:r>
      <w:r w:rsidR="00B61987">
        <w:t>f the</w:t>
      </w:r>
      <w:r w:rsidR="00F0697B">
        <w:t>y</w:t>
      </w:r>
      <w:r w:rsidR="00B61987">
        <w:t xml:space="preserve"> can agree</w:t>
      </w:r>
      <w:r w:rsidR="003F1B9D">
        <w:t xml:space="preserve"> </w:t>
      </w:r>
      <w:r w:rsidR="00311B64">
        <w:t xml:space="preserve">on their form, </w:t>
      </w:r>
      <w:r w:rsidR="00A43DFB">
        <w:t>draft orders which</w:t>
      </w:r>
      <w:r w:rsidR="001D60D7">
        <w:t xml:space="preserve"> </w:t>
      </w:r>
      <w:r w:rsidR="00DD72C6">
        <w:t>g</w:t>
      </w:r>
      <w:r w:rsidR="00E56FE0">
        <w:t xml:space="preserve">ive </w:t>
      </w:r>
      <w:r w:rsidR="00DD72C6">
        <w:t>effect</w:t>
      </w:r>
      <w:r w:rsidR="00E56FE0">
        <w:t xml:space="preserve"> to </w:t>
      </w:r>
      <w:r w:rsidR="00DD72C6">
        <w:t>my reasons</w:t>
      </w:r>
      <w:r w:rsidR="00A43DFB">
        <w:t>, including</w:t>
      </w:r>
      <w:r w:rsidR="003F1B9D">
        <w:t>, if agreement can be reached,</w:t>
      </w:r>
      <w:r w:rsidR="00A43DFB">
        <w:t xml:space="preserve"> on the question of costs</w:t>
      </w:r>
      <w:r w:rsidR="002B21FE">
        <w:t xml:space="preserve"> or the manner in which any </w:t>
      </w:r>
      <w:r w:rsidR="002379A0">
        <w:t>dispute as to costs is to be resolved</w:t>
      </w:r>
      <w:r w:rsidR="0052186C">
        <w:t xml:space="preserve"> with an appropriate timetable for the filing and service of affidavits and </w:t>
      </w:r>
      <w:r w:rsidR="00394728">
        <w:t>submissions</w:t>
      </w:r>
      <w:r w:rsidR="0052186C">
        <w:t>, not exceeding eight pages in length</w:t>
      </w:r>
      <w:r w:rsidR="00394728">
        <w:t xml:space="preserve"> in each case</w:t>
      </w:r>
      <w:r w:rsidR="00DD72C6">
        <w:t>;</w:t>
      </w:r>
      <w:r w:rsidR="00B40C3D">
        <w:t xml:space="preserve"> </w:t>
      </w:r>
      <w:r w:rsidR="00C94229">
        <w:t>or</w:t>
      </w:r>
    </w:p>
    <w:p w14:paraId="4F6210EB" w14:textId="283A1B0B" w:rsidR="00BB07BA" w:rsidRDefault="00D313AC" w:rsidP="00D313AC">
      <w:pPr>
        <w:pStyle w:val="ListNo1"/>
        <w:numPr>
          <w:ilvl w:val="0"/>
          <w:numId w:val="0"/>
        </w:numPr>
        <w:tabs>
          <w:tab w:val="left" w:pos="720"/>
        </w:tabs>
        <w:ind w:left="720" w:hanging="720"/>
      </w:pPr>
      <w:r>
        <w:t>(2)</w:t>
      </w:r>
      <w:r>
        <w:tab/>
      </w:r>
      <w:r w:rsidR="00EF3AB2">
        <w:t>if the</w:t>
      </w:r>
      <w:r w:rsidR="00C94229">
        <w:t>y</w:t>
      </w:r>
      <w:r w:rsidR="00EF3AB2">
        <w:t xml:space="preserve"> cannot agree on the</w:t>
      </w:r>
      <w:r w:rsidR="00311B64">
        <w:t>ir</w:t>
      </w:r>
      <w:r w:rsidR="00EF3AB2">
        <w:t xml:space="preserve"> form:</w:t>
      </w:r>
      <w:r w:rsidR="00B40C3D">
        <w:t xml:space="preserve">  </w:t>
      </w:r>
    </w:p>
    <w:p w14:paraId="1144FFCA" w14:textId="6DBA8981" w:rsidR="00EF3AB2" w:rsidRDefault="00D313AC" w:rsidP="00D313AC">
      <w:pPr>
        <w:pStyle w:val="ListNo2"/>
        <w:numPr>
          <w:ilvl w:val="0"/>
          <w:numId w:val="0"/>
        </w:numPr>
        <w:tabs>
          <w:tab w:val="left" w:pos="1428"/>
        </w:tabs>
        <w:ind w:left="1428" w:hanging="720"/>
      </w:pPr>
      <w:r>
        <w:t>(a)</w:t>
      </w:r>
      <w:r>
        <w:tab/>
      </w:r>
      <w:r w:rsidR="00311B64">
        <w:t xml:space="preserve">each party is to provide </w:t>
      </w:r>
      <w:r w:rsidR="00DD152C">
        <w:t>their proposed draft orders including on the question of costs</w:t>
      </w:r>
      <w:r w:rsidR="00CE159D">
        <w:t>,</w:t>
      </w:r>
      <w:r w:rsidR="00DD152C">
        <w:t xml:space="preserve"> the manner in which any extant applications for costs are to be dealt with</w:t>
      </w:r>
      <w:r w:rsidR="00C62543">
        <w:t xml:space="preserve"> </w:t>
      </w:r>
      <w:r w:rsidR="00534DCB">
        <w:t xml:space="preserve">and </w:t>
      </w:r>
      <w:r w:rsidR="00C94229">
        <w:t>for</w:t>
      </w:r>
      <w:r w:rsidR="00534DCB">
        <w:t xml:space="preserve"> a timetable for the filing and service of affidavits and submissions, </w:t>
      </w:r>
      <w:r w:rsidR="00D44A6F">
        <w:t xml:space="preserve">not exceeding </w:t>
      </w:r>
      <w:r w:rsidR="00534DCB">
        <w:t>eight pages in length, in support of and in response to any application for indemnity costs by any of the Applicants</w:t>
      </w:r>
      <w:r w:rsidR="00DD152C">
        <w:t>; and</w:t>
      </w:r>
    </w:p>
    <w:p w14:paraId="4196E948" w14:textId="29278F8B" w:rsidR="00DD152C" w:rsidRDefault="00D313AC" w:rsidP="00D313AC">
      <w:pPr>
        <w:pStyle w:val="ListNo2"/>
        <w:numPr>
          <w:ilvl w:val="0"/>
          <w:numId w:val="0"/>
        </w:numPr>
        <w:tabs>
          <w:tab w:val="left" w:pos="1428"/>
        </w:tabs>
        <w:ind w:left="1428" w:hanging="720"/>
      </w:pPr>
      <w:r>
        <w:t>(b)</w:t>
      </w:r>
      <w:r>
        <w:tab/>
      </w:r>
      <w:r w:rsidR="00DD152C">
        <w:t xml:space="preserve">the proceeding will be listed for case management hearing on </w:t>
      </w:r>
      <w:r w:rsidR="00372D82">
        <w:t>23</w:t>
      </w:r>
      <w:r w:rsidR="006B7E47">
        <w:t xml:space="preserve"> February </w:t>
      </w:r>
      <w:r w:rsidR="00372D82">
        <w:t xml:space="preserve">2024 at 9.30 am to resolve </w:t>
      </w:r>
      <w:r w:rsidR="00276853">
        <w:t>the form of orders to be made.</w:t>
      </w:r>
      <w:r w:rsidR="00DD152C">
        <w:t xml:space="preserve"> </w:t>
      </w:r>
    </w:p>
    <w:p w14:paraId="532C0108" w14:textId="68629629" w:rsidR="001D60D7" w:rsidRDefault="00D313AC" w:rsidP="00D313AC">
      <w:pPr>
        <w:pStyle w:val="ParaNumbering"/>
        <w:numPr>
          <w:ilvl w:val="0"/>
          <w:numId w:val="0"/>
        </w:numPr>
        <w:ind w:hanging="720"/>
      </w:pPr>
      <w:r>
        <w:rPr>
          <w:sz w:val="20"/>
        </w:rPr>
        <w:t>319</w:t>
      </w:r>
      <w:r>
        <w:rPr>
          <w:sz w:val="20"/>
        </w:rPr>
        <w:tab/>
      </w:r>
      <w:r w:rsidR="002A4CE1">
        <w:t>T</w:t>
      </w:r>
      <w:r w:rsidR="00595178">
        <w:t xml:space="preserve">o the extent there are any </w:t>
      </w:r>
      <w:r w:rsidR="00686A86">
        <w:t xml:space="preserve">issues to be resolved in relation to the question of costs of the various applications, </w:t>
      </w:r>
      <w:r w:rsidR="00595178">
        <w:t xml:space="preserve">unless any party requests an oral hearing </w:t>
      </w:r>
      <w:r w:rsidR="00686A86">
        <w:t xml:space="preserve">they </w:t>
      </w:r>
      <w:r w:rsidR="00595178">
        <w:t>will be dealt with on the papers</w:t>
      </w:r>
      <w:r w:rsidR="002A4CE1">
        <w:t>.</w:t>
      </w:r>
    </w:p>
    <w:p w14:paraId="7692DACE" w14:textId="77777777" w:rsidR="00A67A12" w:rsidRDefault="00A67A12" w:rsidP="00A67A12">
      <w:pPr>
        <w:pStyle w:val="ListNo1"/>
        <w:numPr>
          <w:ilvl w:val="0"/>
          <w:numId w:val="0"/>
        </w:numPr>
      </w:pPr>
    </w:p>
    <w:tbl>
      <w:tblPr>
        <w:tblW w:w="0" w:type="auto"/>
        <w:tblLook w:val="04A0" w:firstRow="1" w:lastRow="0" w:firstColumn="1" w:lastColumn="0" w:noHBand="0" w:noVBand="1"/>
      </w:tblPr>
      <w:tblGrid>
        <w:gridCol w:w="3794"/>
      </w:tblGrid>
      <w:tr w:rsidR="00A67A12" w:rsidRPr="00B35061" w14:paraId="27156148" w14:textId="77777777" w:rsidTr="005721AD">
        <w:tc>
          <w:tcPr>
            <w:tcW w:w="3794" w:type="dxa"/>
            <w:shd w:val="clear" w:color="auto" w:fill="auto"/>
          </w:tcPr>
          <w:p w14:paraId="7AE10F50" w14:textId="64D07DC8" w:rsidR="00A67A12" w:rsidRPr="00B35061" w:rsidRDefault="00A67A12" w:rsidP="005721AD">
            <w:pPr>
              <w:pStyle w:val="Normal1linespace"/>
            </w:pPr>
            <w:r w:rsidRPr="00B35061">
              <w:t xml:space="preserve">I certify that the preceding </w:t>
            </w:r>
            <w:bookmarkStart w:id="48" w:name="NumberWord"/>
            <w:r>
              <w:t>three hundred and</w:t>
            </w:r>
            <w:r w:rsidR="0019367A">
              <w:t xml:space="preserve"> nineteen</w:t>
            </w:r>
            <w:bookmarkEnd w:id="48"/>
            <w:r w:rsidRPr="00B35061">
              <w:t xml:space="preserve"> (</w:t>
            </w:r>
            <w:bookmarkStart w:id="49" w:name="NumberNumeral"/>
            <w:r w:rsidR="0019367A">
              <w:t>319</w:t>
            </w:r>
            <w:bookmarkEnd w:id="49"/>
            <w:r w:rsidRPr="00B35061">
              <w:t xml:space="preserve">) numbered </w:t>
            </w:r>
            <w:bookmarkStart w:id="50" w:name="CertPara"/>
            <w:r>
              <w:t>paragraphs are</w:t>
            </w:r>
            <w:bookmarkEnd w:id="50"/>
            <w:r w:rsidRPr="00B35061">
              <w:t xml:space="preserve"> a true copy of the Reasons for Judgment of </w:t>
            </w:r>
            <w:bookmarkStart w:id="51" w:name="bkHonourable"/>
            <w:r w:rsidRPr="00B35061">
              <w:t xml:space="preserve">the Honourable </w:t>
            </w:r>
            <w:bookmarkStart w:id="52" w:name="Justice"/>
            <w:bookmarkEnd w:id="51"/>
            <w:r>
              <w:t>Justice Markovic</w:t>
            </w:r>
            <w:bookmarkEnd w:id="52"/>
            <w:r w:rsidRPr="00B35061">
              <w:t>.</w:t>
            </w:r>
          </w:p>
        </w:tc>
      </w:tr>
    </w:tbl>
    <w:p w14:paraId="6C014E6A" w14:textId="77777777" w:rsidR="00A67A12" w:rsidRDefault="00A67A12" w:rsidP="00A67A12">
      <w:pPr>
        <w:pStyle w:val="BodyText"/>
      </w:pPr>
    </w:p>
    <w:p w14:paraId="092A205D" w14:textId="6682BDBD" w:rsidR="00A67A12" w:rsidRDefault="00A67A12" w:rsidP="00A67A12">
      <w:pPr>
        <w:pStyle w:val="BodyText"/>
      </w:pPr>
      <w:r>
        <w:t>Associate</w:t>
      </w:r>
    </w:p>
    <w:p w14:paraId="302839F9" w14:textId="77777777" w:rsidR="00A67A12" w:rsidRDefault="00A67A12" w:rsidP="00A67A12">
      <w:pPr>
        <w:pStyle w:val="BodyText"/>
      </w:pPr>
    </w:p>
    <w:p w14:paraId="1244C30D" w14:textId="77777777" w:rsidR="00A67A12" w:rsidRDefault="00A67A12" w:rsidP="00A67A12">
      <w:pPr>
        <w:pStyle w:val="BodyText"/>
      </w:pPr>
      <w:r>
        <w:t>Dated:</w:t>
      </w:r>
      <w:r>
        <w:tab/>
      </w:r>
      <w:bookmarkStart w:id="53" w:name="CertifyDated"/>
      <w:r>
        <w:t>2 February 2024</w:t>
      </w:r>
      <w:bookmarkEnd w:id="53"/>
    </w:p>
    <w:p w14:paraId="2C1F1A5E" w14:textId="2DBE0034" w:rsidR="00AA3B53" w:rsidRPr="00946D5E" w:rsidRDefault="00AA3B53" w:rsidP="00AA3B53">
      <w:pPr>
        <w:pStyle w:val="ParaNumbering"/>
        <w:numPr>
          <w:ilvl w:val="0"/>
          <w:numId w:val="0"/>
        </w:numPr>
      </w:pPr>
    </w:p>
    <w:p w14:paraId="5C560E1B" w14:textId="77777777" w:rsidR="00330CA8" w:rsidRDefault="00330CA8">
      <w:pPr>
        <w:spacing w:line="240" w:lineRule="auto"/>
        <w:jc w:val="left"/>
        <w:rPr>
          <w:highlight w:val="yellow"/>
        </w:rPr>
      </w:pPr>
      <w:r>
        <w:rPr>
          <w:highlight w:val="yellow"/>
        </w:rPr>
        <w:br w:type="page"/>
      </w:r>
    </w:p>
    <w:p w14:paraId="108BB7DD" w14:textId="77777777" w:rsidR="00D73447" w:rsidRDefault="00D73447" w:rsidP="00D73447">
      <w:pPr>
        <w:spacing w:line="240" w:lineRule="auto"/>
        <w:jc w:val="left"/>
      </w:pPr>
    </w:p>
    <w:p w14:paraId="5B1949FD" w14:textId="77777777" w:rsidR="00D73447" w:rsidRDefault="00D73447" w:rsidP="00D73447">
      <w:pPr>
        <w:spacing w:line="240" w:lineRule="auto"/>
        <w:jc w:val="left"/>
      </w:pPr>
    </w:p>
    <w:p w14:paraId="74384B4B" w14:textId="0F9D8724" w:rsidR="00D73447" w:rsidRPr="00696524" w:rsidRDefault="00D313AC" w:rsidP="002233A1">
      <w:pPr>
        <w:pStyle w:val="Heading1"/>
        <w:jc w:val="center"/>
      </w:pPr>
      <w:r w:rsidRPr="00696524">
        <w:rPr>
          <w:caps w:val="0"/>
        </w:rPr>
        <w:t>SCHEDULE</w:t>
      </w:r>
      <w:r>
        <w:rPr>
          <w:caps w:val="0"/>
        </w:rPr>
        <w:t xml:space="preserve"> OF PARTIES</w:t>
      </w:r>
    </w:p>
    <w:p w14:paraId="2EAD7B07" w14:textId="77777777" w:rsidR="00D73447" w:rsidRPr="00696524" w:rsidRDefault="00D73447" w:rsidP="00D73447">
      <w:pPr>
        <w:spacing w:line="240" w:lineRule="auto"/>
        <w:jc w:val="left"/>
        <w:rPr>
          <w:rFonts w:eastAsia="Times New Roman"/>
          <w:szCs w:val="24"/>
        </w:rPr>
      </w:pPr>
    </w:p>
    <w:p w14:paraId="50557BE8" w14:textId="52671BFE" w:rsidR="00D73447" w:rsidRPr="00696524" w:rsidRDefault="00D73447" w:rsidP="00D73447">
      <w:pPr>
        <w:suppressAutoHyphens/>
        <w:spacing w:before="120" w:after="120" w:line="240" w:lineRule="auto"/>
        <w:ind w:left="4320" w:right="-46" w:firstLine="720"/>
        <w:jc w:val="center"/>
        <w:rPr>
          <w:rFonts w:eastAsia="Times New Roman"/>
          <w:szCs w:val="24"/>
        </w:rPr>
      </w:pPr>
      <w:r w:rsidRPr="00696524">
        <w:rPr>
          <w:rFonts w:eastAsia="Times New Roman"/>
          <w:szCs w:val="24"/>
        </w:rPr>
        <w:t xml:space="preserve">No: </w:t>
      </w:r>
      <w:r>
        <w:rPr>
          <w:rFonts w:eastAsia="Times New Roman"/>
          <w:szCs w:val="24"/>
        </w:rPr>
        <w:t>NSD</w:t>
      </w:r>
      <w:r w:rsidR="0019367A">
        <w:rPr>
          <w:rFonts w:eastAsia="Times New Roman"/>
          <w:szCs w:val="24"/>
        </w:rPr>
        <w:t xml:space="preserve"> </w:t>
      </w:r>
      <w:r>
        <w:rPr>
          <w:rFonts w:eastAsia="Times New Roman"/>
          <w:szCs w:val="24"/>
        </w:rPr>
        <w:t>1510</w:t>
      </w:r>
      <w:r w:rsidR="0019367A">
        <w:rPr>
          <w:rFonts w:eastAsia="Times New Roman"/>
          <w:szCs w:val="24"/>
        </w:rPr>
        <w:t xml:space="preserve"> of </w:t>
      </w:r>
      <w:r>
        <w:rPr>
          <w:rFonts w:eastAsia="Times New Roman"/>
          <w:szCs w:val="24"/>
        </w:rPr>
        <w:t>2017</w:t>
      </w:r>
    </w:p>
    <w:p w14:paraId="64F2881E" w14:textId="77777777" w:rsidR="00D73447" w:rsidRPr="00696524" w:rsidRDefault="00D73447" w:rsidP="00D73447">
      <w:pPr>
        <w:tabs>
          <w:tab w:val="left" w:pos="284"/>
        </w:tabs>
        <w:spacing w:line="240" w:lineRule="auto"/>
        <w:jc w:val="left"/>
        <w:rPr>
          <w:rFonts w:eastAsia="Times New Roman"/>
          <w:spacing w:val="-3"/>
          <w:szCs w:val="24"/>
        </w:rPr>
      </w:pPr>
    </w:p>
    <w:tbl>
      <w:tblPr>
        <w:tblW w:w="5000" w:type="pct"/>
        <w:tblLook w:val="04A0" w:firstRow="1" w:lastRow="0" w:firstColumn="1" w:lastColumn="0" w:noHBand="0" w:noVBand="1"/>
      </w:tblPr>
      <w:tblGrid>
        <w:gridCol w:w="2448"/>
        <w:gridCol w:w="6579"/>
      </w:tblGrid>
      <w:tr w:rsidR="00D73447" w:rsidRPr="00696524" w14:paraId="3217C81D" w14:textId="77777777" w:rsidTr="00E61A18">
        <w:tc>
          <w:tcPr>
            <w:tcW w:w="1356" w:type="pct"/>
          </w:tcPr>
          <w:p w14:paraId="475CD1EF" w14:textId="791CC3EF" w:rsidR="00D73447" w:rsidRPr="0068492A" w:rsidRDefault="0068492A" w:rsidP="00E61A18">
            <w:pPr>
              <w:spacing w:before="120" w:after="120" w:line="240" w:lineRule="auto"/>
              <w:jc w:val="left"/>
              <w:rPr>
                <w:rFonts w:eastAsia="Times New Roman"/>
                <w:b/>
                <w:bCs/>
                <w:szCs w:val="24"/>
              </w:rPr>
            </w:pPr>
            <w:r>
              <w:rPr>
                <w:rFonts w:eastAsia="Times New Roman"/>
                <w:b/>
                <w:bCs/>
                <w:szCs w:val="24"/>
              </w:rPr>
              <w:t>Applicants</w:t>
            </w:r>
          </w:p>
        </w:tc>
        <w:tc>
          <w:tcPr>
            <w:tcW w:w="3644" w:type="pct"/>
          </w:tcPr>
          <w:p w14:paraId="4EEE96B0" w14:textId="193B0A2E" w:rsidR="00D73447" w:rsidRPr="00696524" w:rsidRDefault="00D73447" w:rsidP="00E61A18">
            <w:pPr>
              <w:spacing w:before="120" w:after="120" w:line="240" w:lineRule="auto"/>
              <w:jc w:val="left"/>
              <w:rPr>
                <w:rFonts w:eastAsia="Times New Roman"/>
                <w:szCs w:val="24"/>
              </w:rPr>
            </w:pPr>
          </w:p>
        </w:tc>
      </w:tr>
      <w:tr w:rsidR="00D73447" w:rsidRPr="00696524" w14:paraId="39808A3B" w14:textId="77777777" w:rsidTr="00E61A18">
        <w:tc>
          <w:tcPr>
            <w:tcW w:w="1356" w:type="pct"/>
          </w:tcPr>
          <w:p w14:paraId="27274082" w14:textId="73547AE8" w:rsidR="00D73447" w:rsidRPr="00696524" w:rsidRDefault="001F6BA0" w:rsidP="00E61A18">
            <w:pPr>
              <w:spacing w:before="120" w:after="120" w:line="240" w:lineRule="auto"/>
              <w:jc w:val="left"/>
              <w:rPr>
                <w:rFonts w:eastAsia="Times New Roman"/>
                <w:szCs w:val="24"/>
              </w:rPr>
            </w:pPr>
            <w:r>
              <w:rPr>
                <w:rFonts w:eastAsia="Times New Roman"/>
                <w:szCs w:val="24"/>
              </w:rPr>
              <w:t>Fourth Applicant:</w:t>
            </w:r>
          </w:p>
        </w:tc>
        <w:tc>
          <w:tcPr>
            <w:tcW w:w="3644" w:type="pct"/>
          </w:tcPr>
          <w:p w14:paraId="27E28E79" w14:textId="7E0074A9" w:rsidR="00D73447" w:rsidRPr="00696524" w:rsidRDefault="000C74A4" w:rsidP="00E61A18">
            <w:pPr>
              <w:spacing w:before="120" w:after="120" w:line="240" w:lineRule="auto"/>
              <w:jc w:val="left"/>
              <w:rPr>
                <w:rFonts w:eastAsia="Times New Roman"/>
                <w:szCs w:val="24"/>
              </w:rPr>
            </w:pPr>
            <w:r w:rsidRPr="002B079D">
              <w:rPr>
                <w:rFonts w:eastAsia="Times New Roman"/>
                <w:szCs w:val="24"/>
              </w:rPr>
              <w:t>DIESEL DAN</w:t>
            </w:r>
            <w:r w:rsidR="002B079D" w:rsidRPr="002B079D">
              <w:rPr>
                <w:rFonts w:eastAsia="Times New Roman"/>
                <w:szCs w:val="24"/>
              </w:rPr>
              <w:t xml:space="preserve"> (NSW) </w:t>
            </w:r>
            <w:r w:rsidRPr="002B079D">
              <w:rPr>
                <w:rFonts w:eastAsia="Times New Roman"/>
                <w:szCs w:val="24"/>
              </w:rPr>
              <w:t>PTY LTD</w:t>
            </w:r>
            <w:r w:rsidR="002B079D" w:rsidRPr="002B079D">
              <w:rPr>
                <w:rFonts w:eastAsia="Times New Roman"/>
                <w:szCs w:val="24"/>
              </w:rPr>
              <w:t xml:space="preserve"> ACN 165 673 101</w:t>
            </w:r>
          </w:p>
        </w:tc>
      </w:tr>
      <w:tr w:rsidR="00D73447" w:rsidRPr="00696524" w14:paraId="7ECF4978" w14:textId="77777777" w:rsidTr="00E61A18">
        <w:tc>
          <w:tcPr>
            <w:tcW w:w="1356" w:type="pct"/>
          </w:tcPr>
          <w:p w14:paraId="334DBDC7" w14:textId="7D9A255F" w:rsidR="00D73447" w:rsidRPr="00696524" w:rsidRDefault="001F6BA0" w:rsidP="00E61A18">
            <w:pPr>
              <w:spacing w:before="120" w:after="120" w:line="240" w:lineRule="auto"/>
              <w:jc w:val="left"/>
              <w:rPr>
                <w:rFonts w:eastAsia="Times New Roman"/>
                <w:szCs w:val="24"/>
              </w:rPr>
            </w:pPr>
            <w:r>
              <w:rPr>
                <w:rFonts w:eastAsia="Times New Roman"/>
                <w:szCs w:val="24"/>
              </w:rPr>
              <w:t xml:space="preserve">Fifth Applicant: </w:t>
            </w:r>
          </w:p>
        </w:tc>
        <w:tc>
          <w:tcPr>
            <w:tcW w:w="3644" w:type="pct"/>
          </w:tcPr>
          <w:p w14:paraId="48765608" w14:textId="766CD0D4" w:rsidR="00D73447" w:rsidRPr="00696524" w:rsidRDefault="000C74A4" w:rsidP="00E61A18">
            <w:pPr>
              <w:spacing w:before="120" w:after="120" w:line="240" w:lineRule="auto"/>
              <w:jc w:val="left"/>
              <w:rPr>
                <w:rFonts w:eastAsia="Times New Roman"/>
                <w:szCs w:val="24"/>
              </w:rPr>
            </w:pPr>
            <w:r w:rsidRPr="002B079D">
              <w:rPr>
                <w:rFonts w:eastAsia="Times New Roman"/>
                <w:szCs w:val="24"/>
              </w:rPr>
              <w:t>JOHN TABUSO</w:t>
            </w:r>
          </w:p>
        </w:tc>
      </w:tr>
      <w:tr w:rsidR="00D73447" w:rsidRPr="00696524" w14:paraId="027EDECF" w14:textId="77777777" w:rsidTr="00E61A18">
        <w:tc>
          <w:tcPr>
            <w:tcW w:w="1356" w:type="pct"/>
          </w:tcPr>
          <w:p w14:paraId="6DC2B483" w14:textId="6FCC0394" w:rsidR="00D73447" w:rsidRPr="00696524" w:rsidRDefault="001F6BA0" w:rsidP="00E61A18">
            <w:pPr>
              <w:spacing w:before="120" w:after="120" w:line="240" w:lineRule="auto"/>
              <w:jc w:val="left"/>
              <w:rPr>
                <w:rFonts w:eastAsia="Times New Roman"/>
                <w:szCs w:val="24"/>
              </w:rPr>
            </w:pPr>
            <w:r>
              <w:rPr>
                <w:rFonts w:eastAsia="Times New Roman"/>
                <w:szCs w:val="24"/>
              </w:rPr>
              <w:t>Sixth Applicant:</w:t>
            </w:r>
          </w:p>
        </w:tc>
        <w:tc>
          <w:tcPr>
            <w:tcW w:w="3644" w:type="pct"/>
          </w:tcPr>
          <w:p w14:paraId="6193E9D8" w14:textId="1FCCE025" w:rsidR="00D73447" w:rsidRPr="00696524" w:rsidRDefault="000C74A4" w:rsidP="00E61A18">
            <w:pPr>
              <w:spacing w:before="120" w:after="120" w:line="240" w:lineRule="auto"/>
              <w:jc w:val="left"/>
              <w:rPr>
                <w:rFonts w:eastAsia="Times New Roman"/>
                <w:szCs w:val="24"/>
              </w:rPr>
            </w:pPr>
            <w:r w:rsidRPr="002B079D">
              <w:rPr>
                <w:rFonts w:eastAsia="Times New Roman"/>
                <w:szCs w:val="24"/>
              </w:rPr>
              <w:t>MIRJANA TABUSO</w:t>
            </w:r>
          </w:p>
        </w:tc>
      </w:tr>
      <w:tr w:rsidR="00D73447" w:rsidRPr="00696524" w14:paraId="53425E80" w14:textId="77777777" w:rsidTr="00E61A18">
        <w:tc>
          <w:tcPr>
            <w:tcW w:w="1356" w:type="pct"/>
          </w:tcPr>
          <w:p w14:paraId="387511B4" w14:textId="741B6E35" w:rsidR="00D73447" w:rsidRPr="00696524" w:rsidRDefault="001F6BA0" w:rsidP="00E61A18">
            <w:pPr>
              <w:spacing w:before="120" w:after="120" w:line="240" w:lineRule="auto"/>
              <w:jc w:val="left"/>
              <w:rPr>
                <w:rFonts w:eastAsia="Times New Roman"/>
                <w:szCs w:val="24"/>
              </w:rPr>
            </w:pPr>
            <w:r>
              <w:rPr>
                <w:rFonts w:eastAsia="Times New Roman"/>
                <w:szCs w:val="24"/>
              </w:rPr>
              <w:t xml:space="preserve">Seventh Applicant: </w:t>
            </w:r>
          </w:p>
        </w:tc>
        <w:tc>
          <w:tcPr>
            <w:tcW w:w="3644" w:type="pct"/>
          </w:tcPr>
          <w:p w14:paraId="7E35065F" w14:textId="03372165" w:rsidR="00D73447" w:rsidRPr="00696524" w:rsidRDefault="000C74A4" w:rsidP="00E61A18">
            <w:pPr>
              <w:spacing w:before="120" w:after="120" w:line="240" w:lineRule="auto"/>
              <w:jc w:val="left"/>
              <w:rPr>
                <w:rFonts w:eastAsia="Times New Roman"/>
                <w:szCs w:val="24"/>
              </w:rPr>
            </w:pPr>
            <w:r w:rsidRPr="002B079D">
              <w:rPr>
                <w:rFonts w:eastAsia="Times New Roman"/>
                <w:szCs w:val="24"/>
              </w:rPr>
              <w:t>MAURIZIO LIGORI</w:t>
            </w:r>
          </w:p>
        </w:tc>
      </w:tr>
      <w:tr w:rsidR="00D73447" w:rsidRPr="00696524" w14:paraId="0CD92CD3" w14:textId="77777777" w:rsidTr="00E61A18">
        <w:tc>
          <w:tcPr>
            <w:tcW w:w="1356" w:type="pct"/>
          </w:tcPr>
          <w:p w14:paraId="1E7C8AAD" w14:textId="77777777" w:rsidR="00D73447" w:rsidRPr="00696524" w:rsidRDefault="00D73447" w:rsidP="00E61A18">
            <w:pPr>
              <w:spacing w:before="120" w:after="120" w:line="240" w:lineRule="auto"/>
              <w:jc w:val="left"/>
              <w:rPr>
                <w:rFonts w:eastAsia="Times New Roman"/>
                <w:szCs w:val="24"/>
              </w:rPr>
            </w:pPr>
          </w:p>
        </w:tc>
        <w:tc>
          <w:tcPr>
            <w:tcW w:w="3644" w:type="pct"/>
          </w:tcPr>
          <w:p w14:paraId="2AE0CB04" w14:textId="77777777" w:rsidR="00D73447" w:rsidRPr="00696524" w:rsidRDefault="00D73447" w:rsidP="00E61A18">
            <w:pPr>
              <w:spacing w:before="120" w:after="120" w:line="240" w:lineRule="auto"/>
              <w:jc w:val="left"/>
              <w:rPr>
                <w:rFonts w:eastAsia="Times New Roman"/>
                <w:szCs w:val="24"/>
              </w:rPr>
            </w:pPr>
          </w:p>
        </w:tc>
      </w:tr>
      <w:tr w:rsidR="00D73447" w:rsidRPr="00696524" w14:paraId="177C189D" w14:textId="77777777" w:rsidTr="00E61A18">
        <w:tc>
          <w:tcPr>
            <w:tcW w:w="1356" w:type="pct"/>
          </w:tcPr>
          <w:p w14:paraId="23D2516C" w14:textId="5591EFC1" w:rsidR="00D73447" w:rsidRPr="009B762C" w:rsidRDefault="009B762C" w:rsidP="00E61A18">
            <w:pPr>
              <w:spacing w:before="120" w:after="120" w:line="240" w:lineRule="auto"/>
              <w:jc w:val="left"/>
              <w:rPr>
                <w:rFonts w:eastAsia="Times New Roman"/>
                <w:b/>
                <w:bCs/>
                <w:szCs w:val="24"/>
              </w:rPr>
            </w:pPr>
            <w:r>
              <w:rPr>
                <w:rFonts w:eastAsia="Times New Roman"/>
                <w:b/>
                <w:bCs/>
                <w:szCs w:val="24"/>
              </w:rPr>
              <w:t xml:space="preserve">Respondents </w:t>
            </w:r>
          </w:p>
        </w:tc>
        <w:tc>
          <w:tcPr>
            <w:tcW w:w="3644" w:type="pct"/>
          </w:tcPr>
          <w:p w14:paraId="568A6CC8" w14:textId="77777777" w:rsidR="00D73447" w:rsidRPr="00696524" w:rsidRDefault="00D73447" w:rsidP="00E61A18">
            <w:pPr>
              <w:spacing w:before="120" w:after="120" w:line="240" w:lineRule="auto"/>
              <w:jc w:val="left"/>
              <w:rPr>
                <w:rFonts w:eastAsia="Times New Roman"/>
                <w:szCs w:val="24"/>
              </w:rPr>
            </w:pPr>
          </w:p>
        </w:tc>
      </w:tr>
      <w:tr w:rsidR="00D73447" w:rsidRPr="00696524" w14:paraId="3B5ABF72" w14:textId="77777777" w:rsidTr="00E61A18">
        <w:tc>
          <w:tcPr>
            <w:tcW w:w="1356" w:type="pct"/>
          </w:tcPr>
          <w:p w14:paraId="7D19ECF2" w14:textId="78608F2E" w:rsidR="00D73447" w:rsidRPr="00696524" w:rsidRDefault="00504924" w:rsidP="00E61A18">
            <w:pPr>
              <w:spacing w:before="120" w:after="120" w:line="240" w:lineRule="auto"/>
              <w:jc w:val="left"/>
              <w:rPr>
                <w:rFonts w:eastAsia="Times New Roman"/>
                <w:szCs w:val="24"/>
              </w:rPr>
            </w:pPr>
            <w:r w:rsidRPr="00504924">
              <w:rPr>
                <w:rFonts w:eastAsia="Times New Roman"/>
                <w:szCs w:val="24"/>
              </w:rPr>
              <w:t>Third Respondent</w:t>
            </w:r>
            <w:r w:rsidR="00F74719">
              <w:rPr>
                <w:rFonts w:eastAsia="Times New Roman"/>
                <w:szCs w:val="24"/>
              </w:rPr>
              <w:t>:</w:t>
            </w:r>
          </w:p>
        </w:tc>
        <w:tc>
          <w:tcPr>
            <w:tcW w:w="3644" w:type="pct"/>
          </w:tcPr>
          <w:p w14:paraId="66A3F77F" w14:textId="6EFE85C4" w:rsidR="00D73447" w:rsidRPr="00696524" w:rsidRDefault="000C74A4" w:rsidP="00E61A18">
            <w:pPr>
              <w:spacing w:before="120" w:after="120" w:line="240" w:lineRule="auto"/>
              <w:jc w:val="left"/>
              <w:rPr>
                <w:rFonts w:eastAsia="Times New Roman"/>
                <w:szCs w:val="24"/>
              </w:rPr>
            </w:pPr>
            <w:r w:rsidRPr="00504924">
              <w:rPr>
                <w:rFonts w:eastAsia="Times New Roman"/>
                <w:szCs w:val="24"/>
              </w:rPr>
              <w:t>GAYLE DICKERSON AND STEPHEN ERNST VAUGHAN IN THEIR CAPACITY AS THE JOINT AND SEVERAL LIQUIDATORS OF RC GROUP AUSTRALIA PTY LTD (IN LIQUIDATION) ACN 164 000 462</w:t>
            </w:r>
          </w:p>
        </w:tc>
      </w:tr>
      <w:tr w:rsidR="00803860" w:rsidRPr="00696524" w14:paraId="1600AC49" w14:textId="77777777" w:rsidTr="00E61A18">
        <w:tc>
          <w:tcPr>
            <w:tcW w:w="1356" w:type="pct"/>
          </w:tcPr>
          <w:p w14:paraId="1F33196A" w14:textId="7C00DE7C" w:rsidR="00803860" w:rsidRPr="00696524" w:rsidRDefault="00047C6B" w:rsidP="00803860">
            <w:pPr>
              <w:spacing w:before="120" w:after="120" w:line="240" w:lineRule="auto"/>
              <w:jc w:val="left"/>
              <w:rPr>
                <w:rFonts w:eastAsia="Times New Roman"/>
                <w:szCs w:val="24"/>
              </w:rPr>
            </w:pPr>
            <w:r w:rsidRPr="00047C6B">
              <w:rPr>
                <w:rFonts w:eastAsia="Times New Roman"/>
                <w:szCs w:val="24"/>
              </w:rPr>
              <w:t xml:space="preserve">Fourth </w:t>
            </w:r>
            <w:r w:rsidR="00803860" w:rsidRPr="00047C6B">
              <w:rPr>
                <w:rFonts w:eastAsia="Times New Roman"/>
                <w:szCs w:val="24"/>
              </w:rPr>
              <w:t>Respondent</w:t>
            </w:r>
            <w:r w:rsidR="00BF514E">
              <w:rPr>
                <w:rFonts w:eastAsia="Times New Roman"/>
                <w:szCs w:val="24"/>
              </w:rPr>
              <w:t>:</w:t>
            </w:r>
          </w:p>
        </w:tc>
        <w:tc>
          <w:tcPr>
            <w:tcW w:w="3644" w:type="pct"/>
          </w:tcPr>
          <w:p w14:paraId="0662C3DD" w14:textId="0BA562EA" w:rsidR="00803860" w:rsidRPr="00696524" w:rsidRDefault="000C74A4" w:rsidP="00803860">
            <w:pPr>
              <w:spacing w:before="120" w:after="120" w:line="240" w:lineRule="auto"/>
              <w:jc w:val="left"/>
              <w:rPr>
                <w:rFonts w:eastAsia="Times New Roman"/>
                <w:szCs w:val="24"/>
              </w:rPr>
            </w:pPr>
            <w:r w:rsidRPr="00B328C3">
              <w:rPr>
                <w:rFonts w:eastAsia="Times New Roman"/>
                <w:szCs w:val="24"/>
              </w:rPr>
              <w:t>ACN 128 613 016 PTY LTD (IN LIQUIDATION) (FORMERLY KNOWN AS SILVERHILLS HAULAGE AUSTRALIA PTY LTD) ACN 128 613 016</w:t>
            </w:r>
          </w:p>
        </w:tc>
      </w:tr>
      <w:tr w:rsidR="00803860" w:rsidRPr="00696524" w14:paraId="4072F1CA" w14:textId="77777777" w:rsidTr="00E61A18">
        <w:tc>
          <w:tcPr>
            <w:tcW w:w="1356" w:type="pct"/>
          </w:tcPr>
          <w:p w14:paraId="3A37AE23" w14:textId="560BA7AA" w:rsidR="00803860" w:rsidRPr="00696524" w:rsidRDefault="00047C6B" w:rsidP="00803860">
            <w:pPr>
              <w:spacing w:before="120" w:after="120" w:line="240" w:lineRule="auto"/>
              <w:jc w:val="left"/>
              <w:rPr>
                <w:rFonts w:eastAsia="Times New Roman"/>
                <w:szCs w:val="24"/>
              </w:rPr>
            </w:pPr>
            <w:r>
              <w:rPr>
                <w:rFonts w:eastAsia="Times New Roman"/>
                <w:szCs w:val="24"/>
              </w:rPr>
              <w:t xml:space="preserve">Fifth </w:t>
            </w:r>
            <w:r w:rsidR="00803860" w:rsidRPr="00047C6B">
              <w:rPr>
                <w:rFonts w:eastAsia="Times New Roman"/>
                <w:szCs w:val="24"/>
              </w:rPr>
              <w:t>Respondent</w:t>
            </w:r>
            <w:r w:rsidR="00BF514E">
              <w:rPr>
                <w:rFonts w:eastAsia="Times New Roman"/>
                <w:szCs w:val="24"/>
              </w:rPr>
              <w:t>:</w:t>
            </w:r>
          </w:p>
        </w:tc>
        <w:tc>
          <w:tcPr>
            <w:tcW w:w="3644" w:type="pct"/>
          </w:tcPr>
          <w:p w14:paraId="05203A8D" w14:textId="6C9AC5AD" w:rsidR="00803860" w:rsidRPr="00696524" w:rsidRDefault="000C74A4" w:rsidP="00803860">
            <w:pPr>
              <w:spacing w:before="120" w:after="120" w:line="240" w:lineRule="auto"/>
              <w:jc w:val="left"/>
              <w:rPr>
                <w:rFonts w:eastAsia="Times New Roman"/>
                <w:szCs w:val="24"/>
              </w:rPr>
            </w:pPr>
            <w:r w:rsidRPr="00B328C3">
              <w:rPr>
                <w:rFonts w:eastAsia="Times New Roman"/>
                <w:szCs w:val="24"/>
              </w:rPr>
              <w:t>GAYLE DICKERSON AND STEPHEN ERNST VAUGHAN IN THEIR CAPACITY AS THE JOINT AND SEVERAL LIQUIDATORS OF ACN 128 613 016 PTY LTD (IN LIQUIDATION) (FORMERLY KNOWN AS SILVERHILLS HAULAGE AUSTRALIA PTY LTD) ACN 128 613 016</w:t>
            </w:r>
          </w:p>
        </w:tc>
      </w:tr>
      <w:tr w:rsidR="00803860" w:rsidRPr="00696524" w14:paraId="021E4FB6" w14:textId="77777777" w:rsidTr="00E61A18">
        <w:tc>
          <w:tcPr>
            <w:tcW w:w="1356" w:type="pct"/>
          </w:tcPr>
          <w:p w14:paraId="04EFAAE0" w14:textId="1A767CCE" w:rsidR="00803860" w:rsidRPr="00696524" w:rsidRDefault="00047C6B" w:rsidP="00803860">
            <w:pPr>
              <w:spacing w:before="120" w:after="120" w:line="240" w:lineRule="auto"/>
              <w:jc w:val="left"/>
              <w:rPr>
                <w:rFonts w:eastAsia="Times New Roman"/>
                <w:szCs w:val="24"/>
              </w:rPr>
            </w:pPr>
            <w:r>
              <w:rPr>
                <w:rFonts w:eastAsia="Times New Roman"/>
                <w:szCs w:val="24"/>
              </w:rPr>
              <w:t>Sixth</w:t>
            </w:r>
            <w:r w:rsidR="00803860" w:rsidRPr="00047C6B">
              <w:rPr>
                <w:rFonts w:eastAsia="Times New Roman"/>
                <w:szCs w:val="24"/>
              </w:rPr>
              <w:t xml:space="preserve"> Respondent</w:t>
            </w:r>
            <w:r w:rsidR="00BF514E">
              <w:rPr>
                <w:rFonts w:eastAsia="Times New Roman"/>
                <w:szCs w:val="24"/>
              </w:rPr>
              <w:t>:</w:t>
            </w:r>
          </w:p>
        </w:tc>
        <w:tc>
          <w:tcPr>
            <w:tcW w:w="3644" w:type="pct"/>
          </w:tcPr>
          <w:p w14:paraId="797B1695" w14:textId="41BB7CE3" w:rsidR="00803860" w:rsidRPr="00696524" w:rsidRDefault="000C74A4" w:rsidP="00803860">
            <w:pPr>
              <w:spacing w:before="120" w:after="120" w:line="240" w:lineRule="auto"/>
              <w:jc w:val="left"/>
              <w:rPr>
                <w:rFonts w:eastAsia="Times New Roman"/>
                <w:szCs w:val="24"/>
              </w:rPr>
            </w:pPr>
            <w:r w:rsidRPr="00B328C3">
              <w:rPr>
                <w:rFonts w:eastAsia="Times New Roman"/>
                <w:szCs w:val="24"/>
              </w:rPr>
              <w:t>ACN 110 905 774 PTY LTD (IN LIQUIDATION) (FORMERLY KNOWN AS CO-ORDINATED TRANSPORT SOLUTIONS PTY LTD) ACN 110 905 774</w:t>
            </w:r>
          </w:p>
        </w:tc>
      </w:tr>
      <w:tr w:rsidR="00803860" w:rsidRPr="00696524" w14:paraId="47593564" w14:textId="77777777" w:rsidTr="00E61A18">
        <w:tc>
          <w:tcPr>
            <w:tcW w:w="1356" w:type="pct"/>
          </w:tcPr>
          <w:p w14:paraId="7B20707A" w14:textId="7E74CAB7" w:rsidR="00803860" w:rsidRPr="00696524" w:rsidRDefault="00047C6B" w:rsidP="00803860">
            <w:pPr>
              <w:spacing w:before="120" w:after="120" w:line="240" w:lineRule="auto"/>
              <w:jc w:val="left"/>
              <w:rPr>
                <w:rFonts w:eastAsia="Times New Roman"/>
                <w:szCs w:val="24"/>
              </w:rPr>
            </w:pPr>
            <w:r>
              <w:rPr>
                <w:rFonts w:eastAsia="Times New Roman"/>
                <w:szCs w:val="24"/>
              </w:rPr>
              <w:t>Seventh</w:t>
            </w:r>
            <w:r w:rsidR="00803860" w:rsidRPr="00047C6B">
              <w:rPr>
                <w:rFonts w:eastAsia="Times New Roman"/>
                <w:szCs w:val="24"/>
              </w:rPr>
              <w:t xml:space="preserve"> Respondent</w:t>
            </w:r>
            <w:r w:rsidR="00BF514E">
              <w:rPr>
                <w:rFonts w:eastAsia="Times New Roman"/>
                <w:szCs w:val="24"/>
              </w:rPr>
              <w:t>:</w:t>
            </w:r>
          </w:p>
        </w:tc>
        <w:tc>
          <w:tcPr>
            <w:tcW w:w="3644" w:type="pct"/>
          </w:tcPr>
          <w:p w14:paraId="2687EB43" w14:textId="7CD60CDB" w:rsidR="00803860" w:rsidRPr="00696524" w:rsidRDefault="000C74A4" w:rsidP="00803860">
            <w:pPr>
              <w:spacing w:before="120" w:after="120" w:line="240" w:lineRule="auto"/>
              <w:jc w:val="left"/>
              <w:rPr>
                <w:rFonts w:eastAsia="Times New Roman"/>
                <w:szCs w:val="24"/>
              </w:rPr>
            </w:pPr>
            <w:r w:rsidRPr="00A12B86">
              <w:rPr>
                <w:rFonts w:eastAsia="Times New Roman"/>
                <w:szCs w:val="24"/>
              </w:rPr>
              <w:t>GAYLE DICKERSON AND STEPHEN ERNST VAUGHAN IN THEIR CAPACITY AS THE JOINT AND SEVERAL LIQUIDATORS OF ACN 110 905 774 PTY LTD (IN LIQUIDATION) (FORMERLY KNOWN AS CO-ORDINATED TRANSPORT SOLUTIONS PTY LTD) ACN 110 905 774</w:t>
            </w:r>
          </w:p>
        </w:tc>
      </w:tr>
      <w:tr w:rsidR="00803860" w:rsidRPr="00696524" w14:paraId="4618D7CE" w14:textId="77777777" w:rsidTr="00E61A18">
        <w:tc>
          <w:tcPr>
            <w:tcW w:w="1356" w:type="pct"/>
          </w:tcPr>
          <w:p w14:paraId="1F77D631" w14:textId="18BBFB66" w:rsidR="00803860" w:rsidRPr="00696524" w:rsidRDefault="00BF514E" w:rsidP="00803860">
            <w:pPr>
              <w:spacing w:before="120" w:after="120" w:line="240" w:lineRule="auto"/>
              <w:jc w:val="left"/>
              <w:rPr>
                <w:rFonts w:eastAsia="Times New Roman"/>
                <w:szCs w:val="24"/>
              </w:rPr>
            </w:pPr>
            <w:r>
              <w:rPr>
                <w:rFonts w:eastAsia="Times New Roman"/>
                <w:szCs w:val="24"/>
              </w:rPr>
              <w:t>Eighth</w:t>
            </w:r>
            <w:r w:rsidR="00803860" w:rsidRPr="00047C6B">
              <w:rPr>
                <w:rFonts w:eastAsia="Times New Roman"/>
                <w:szCs w:val="24"/>
              </w:rPr>
              <w:t xml:space="preserve"> Respondent</w:t>
            </w:r>
            <w:r>
              <w:rPr>
                <w:rFonts w:eastAsia="Times New Roman"/>
                <w:szCs w:val="24"/>
              </w:rPr>
              <w:t>:</w:t>
            </w:r>
          </w:p>
        </w:tc>
        <w:tc>
          <w:tcPr>
            <w:tcW w:w="3644" w:type="pct"/>
          </w:tcPr>
          <w:p w14:paraId="5360DD5B" w14:textId="455ED36B" w:rsidR="00803860" w:rsidRPr="00696524" w:rsidRDefault="000C74A4" w:rsidP="00803860">
            <w:pPr>
              <w:spacing w:before="120" w:after="120" w:line="240" w:lineRule="auto"/>
              <w:jc w:val="left"/>
              <w:rPr>
                <w:rFonts w:eastAsia="Times New Roman"/>
                <w:szCs w:val="24"/>
              </w:rPr>
            </w:pPr>
            <w:r w:rsidRPr="003B006D">
              <w:rPr>
                <w:rFonts w:eastAsia="Times New Roman"/>
                <w:szCs w:val="24"/>
              </w:rPr>
              <w:t>DIESEL DAN PTY LTD (IN LIQUIDATION) ACN 127 303 682</w:t>
            </w:r>
          </w:p>
        </w:tc>
      </w:tr>
      <w:tr w:rsidR="00803860" w:rsidRPr="00696524" w14:paraId="1BACD3E6" w14:textId="77777777" w:rsidTr="00E61A18">
        <w:tc>
          <w:tcPr>
            <w:tcW w:w="1356" w:type="pct"/>
          </w:tcPr>
          <w:p w14:paraId="736C8992" w14:textId="751334F1" w:rsidR="00803860" w:rsidRPr="00696524" w:rsidRDefault="00BF514E" w:rsidP="00803860">
            <w:pPr>
              <w:spacing w:before="120" w:after="120" w:line="240" w:lineRule="auto"/>
              <w:jc w:val="left"/>
              <w:rPr>
                <w:rFonts w:eastAsia="Times New Roman"/>
                <w:szCs w:val="24"/>
              </w:rPr>
            </w:pPr>
            <w:r>
              <w:rPr>
                <w:rFonts w:eastAsia="Times New Roman"/>
                <w:szCs w:val="24"/>
              </w:rPr>
              <w:lastRenderedPageBreak/>
              <w:t>Ninth</w:t>
            </w:r>
            <w:r w:rsidR="00803860" w:rsidRPr="00047C6B">
              <w:rPr>
                <w:rFonts w:eastAsia="Times New Roman"/>
                <w:szCs w:val="24"/>
              </w:rPr>
              <w:t xml:space="preserve"> Respondent</w:t>
            </w:r>
            <w:r>
              <w:rPr>
                <w:rFonts w:eastAsia="Times New Roman"/>
                <w:szCs w:val="24"/>
              </w:rPr>
              <w:t xml:space="preserve">: </w:t>
            </w:r>
          </w:p>
        </w:tc>
        <w:tc>
          <w:tcPr>
            <w:tcW w:w="3644" w:type="pct"/>
          </w:tcPr>
          <w:p w14:paraId="25E6A0A0" w14:textId="2594EF78" w:rsidR="00803860" w:rsidRPr="00696524" w:rsidRDefault="000C74A4" w:rsidP="00803860">
            <w:pPr>
              <w:spacing w:before="120" w:after="120" w:line="240" w:lineRule="auto"/>
              <w:jc w:val="left"/>
              <w:rPr>
                <w:rFonts w:eastAsia="Times New Roman"/>
                <w:szCs w:val="24"/>
              </w:rPr>
            </w:pPr>
            <w:r w:rsidRPr="003B006D">
              <w:rPr>
                <w:rFonts w:eastAsia="Times New Roman"/>
                <w:szCs w:val="24"/>
              </w:rPr>
              <w:t>GAYLE DICKERSON AND STEPHEN ERNST VAUGHAN IN THEIR CAPACITY AS THE JOINT AND SEVERAL LIQUIDATORS OF DIESEL DAN PTY LTD (IN LIQUIDATION) ACN 127 303 682</w:t>
            </w:r>
          </w:p>
        </w:tc>
      </w:tr>
      <w:tr w:rsidR="00803860" w:rsidRPr="00696524" w14:paraId="7D8D58B6" w14:textId="77777777" w:rsidTr="00E61A18">
        <w:tc>
          <w:tcPr>
            <w:tcW w:w="1356" w:type="pct"/>
          </w:tcPr>
          <w:p w14:paraId="2425E0A4" w14:textId="1E481F67" w:rsidR="00803860" w:rsidRPr="00696524" w:rsidRDefault="00803860" w:rsidP="00803860">
            <w:pPr>
              <w:spacing w:before="120" w:after="120" w:line="240" w:lineRule="auto"/>
              <w:jc w:val="left"/>
              <w:rPr>
                <w:rFonts w:eastAsia="Times New Roman"/>
                <w:szCs w:val="24"/>
              </w:rPr>
            </w:pPr>
            <w:r w:rsidRPr="00047C6B">
              <w:rPr>
                <w:rFonts w:eastAsia="Times New Roman"/>
                <w:szCs w:val="24"/>
              </w:rPr>
              <w:t>10</w:t>
            </w:r>
            <w:r w:rsidR="001E30D4" w:rsidRPr="001E30D4">
              <w:rPr>
                <w:rFonts w:eastAsia="Times New Roman"/>
                <w:szCs w:val="24"/>
                <w:vertAlign w:val="superscript"/>
              </w:rPr>
              <w:t>th</w:t>
            </w:r>
            <w:r w:rsidRPr="00047C6B">
              <w:rPr>
                <w:rFonts w:eastAsia="Times New Roman"/>
                <w:szCs w:val="24"/>
              </w:rPr>
              <w:t xml:space="preserve"> Respondent</w:t>
            </w:r>
            <w:r w:rsidR="001E30D4">
              <w:rPr>
                <w:rFonts w:eastAsia="Times New Roman"/>
                <w:szCs w:val="24"/>
              </w:rPr>
              <w:t xml:space="preserve">: </w:t>
            </w:r>
          </w:p>
        </w:tc>
        <w:tc>
          <w:tcPr>
            <w:tcW w:w="3644" w:type="pct"/>
          </w:tcPr>
          <w:p w14:paraId="5C27CA6B" w14:textId="4FE1610A" w:rsidR="00803860" w:rsidRPr="00696524" w:rsidRDefault="000C74A4" w:rsidP="00803860">
            <w:pPr>
              <w:spacing w:before="120" w:after="120" w:line="240" w:lineRule="auto"/>
              <w:jc w:val="left"/>
              <w:rPr>
                <w:rFonts w:eastAsia="Times New Roman"/>
                <w:szCs w:val="24"/>
              </w:rPr>
            </w:pPr>
            <w:r w:rsidRPr="003B006D">
              <w:rPr>
                <w:rFonts w:eastAsia="Times New Roman"/>
                <w:szCs w:val="24"/>
              </w:rPr>
              <w:t>ACN 146 285 029 PTY LTD (IN LIQUIDATION) (FORMERLY KNOWN AS FARA LOGISTICS (AUST) PTY LTD) ACN 146 285 029</w:t>
            </w:r>
          </w:p>
        </w:tc>
      </w:tr>
      <w:tr w:rsidR="00803860" w:rsidRPr="00696524" w14:paraId="517A97B6" w14:textId="77777777" w:rsidTr="00E61A18">
        <w:tc>
          <w:tcPr>
            <w:tcW w:w="1356" w:type="pct"/>
          </w:tcPr>
          <w:p w14:paraId="474251B8" w14:textId="1938A1C4" w:rsidR="00803860" w:rsidRPr="00696524" w:rsidRDefault="00803860" w:rsidP="00803860">
            <w:pPr>
              <w:spacing w:before="120" w:after="120" w:line="240" w:lineRule="auto"/>
              <w:jc w:val="left"/>
              <w:rPr>
                <w:rFonts w:eastAsia="Times New Roman"/>
                <w:szCs w:val="24"/>
              </w:rPr>
            </w:pPr>
            <w:r w:rsidRPr="00047C6B">
              <w:rPr>
                <w:rFonts w:eastAsia="Times New Roman"/>
                <w:szCs w:val="24"/>
              </w:rPr>
              <w:t>11</w:t>
            </w:r>
            <w:r w:rsidR="001E30D4" w:rsidRPr="001E30D4">
              <w:rPr>
                <w:rFonts w:eastAsia="Times New Roman"/>
                <w:szCs w:val="24"/>
                <w:vertAlign w:val="superscript"/>
              </w:rPr>
              <w:t>th</w:t>
            </w:r>
            <w:r w:rsidRPr="00047C6B">
              <w:rPr>
                <w:rFonts w:eastAsia="Times New Roman"/>
                <w:szCs w:val="24"/>
              </w:rPr>
              <w:t xml:space="preserve"> Respondent</w:t>
            </w:r>
            <w:r w:rsidR="001E30D4">
              <w:rPr>
                <w:rFonts w:eastAsia="Times New Roman"/>
                <w:szCs w:val="24"/>
              </w:rPr>
              <w:t xml:space="preserve">: </w:t>
            </w:r>
          </w:p>
        </w:tc>
        <w:tc>
          <w:tcPr>
            <w:tcW w:w="3644" w:type="pct"/>
          </w:tcPr>
          <w:p w14:paraId="5645DEA1" w14:textId="09C3E784" w:rsidR="00803860" w:rsidRPr="00696524" w:rsidRDefault="000C74A4" w:rsidP="00803860">
            <w:pPr>
              <w:spacing w:before="120" w:after="120" w:line="240" w:lineRule="auto"/>
              <w:jc w:val="left"/>
              <w:rPr>
                <w:rFonts w:eastAsia="Times New Roman"/>
                <w:szCs w:val="24"/>
              </w:rPr>
            </w:pPr>
            <w:r w:rsidRPr="003B006D">
              <w:rPr>
                <w:rFonts w:eastAsia="Times New Roman"/>
                <w:szCs w:val="24"/>
              </w:rPr>
              <w:t>GAYLE DICKERSON AND STEPHEN ERNST VAUGHAN IN THEIR CAPACITY AS THE JOINT AND SEVERAL LIQUIDATORS OF ACN 146 285 029 PTY LTD (IN</w:t>
            </w:r>
            <w:r>
              <w:rPr>
                <w:rFonts w:eastAsia="Times New Roman"/>
                <w:szCs w:val="24"/>
              </w:rPr>
              <w:t xml:space="preserve"> </w:t>
            </w:r>
            <w:r w:rsidRPr="003B006D">
              <w:rPr>
                <w:rFonts w:eastAsia="Times New Roman"/>
                <w:szCs w:val="24"/>
              </w:rPr>
              <w:t>LIQUIDATION) (FORMERLY KNOWN AS FARA LOGISTICS (AUST) PTY LTD) ACN 146 285 029</w:t>
            </w:r>
          </w:p>
        </w:tc>
      </w:tr>
      <w:tr w:rsidR="00CF369C" w:rsidRPr="00696524" w14:paraId="466E9224" w14:textId="77777777" w:rsidTr="00E61A18">
        <w:tc>
          <w:tcPr>
            <w:tcW w:w="1356" w:type="pct"/>
            <w:shd w:val="clear" w:color="auto" w:fill="auto"/>
          </w:tcPr>
          <w:p w14:paraId="20C80488" w14:textId="5AEBC036" w:rsidR="00CF369C" w:rsidRPr="00696524" w:rsidRDefault="00CF369C" w:rsidP="00CF369C">
            <w:pPr>
              <w:spacing w:before="120" w:after="120" w:line="240" w:lineRule="auto"/>
              <w:jc w:val="left"/>
              <w:rPr>
                <w:rFonts w:eastAsia="Times New Roman"/>
                <w:szCs w:val="24"/>
              </w:rPr>
            </w:pPr>
            <w:r>
              <w:t>12</w:t>
            </w:r>
            <w:r w:rsidRPr="00246CE8">
              <w:rPr>
                <w:vertAlign w:val="superscript"/>
              </w:rPr>
              <w:t>th</w:t>
            </w:r>
            <w:r>
              <w:t xml:space="preserve"> Respondent</w:t>
            </w:r>
            <w:r w:rsidR="0076687A">
              <w:t>:</w:t>
            </w:r>
            <w:r>
              <w:t xml:space="preserve"> </w:t>
            </w:r>
          </w:p>
        </w:tc>
        <w:tc>
          <w:tcPr>
            <w:tcW w:w="3644" w:type="pct"/>
          </w:tcPr>
          <w:p w14:paraId="34629EB0" w14:textId="6B625FD5" w:rsidR="00CF369C" w:rsidRPr="00696524" w:rsidRDefault="000C74A4" w:rsidP="00CF369C">
            <w:pPr>
              <w:spacing w:before="120" w:after="120" w:line="240" w:lineRule="auto"/>
              <w:jc w:val="left"/>
              <w:rPr>
                <w:rFonts w:eastAsia="Times New Roman"/>
                <w:szCs w:val="24"/>
              </w:rPr>
            </w:pPr>
            <w:r w:rsidRPr="003B006D">
              <w:rPr>
                <w:rFonts w:eastAsia="Times New Roman"/>
                <w:szCs w:val="24"/>
              </w:rPr>
              <w:t>INTER MANAGEMENT GROUP PTY LTD (IN LIQUIDATION) ACN 105 115 759</w:t>
            </w:r>
          </w:p>
        </w:tc>
      </w:tr>
      <w:tr w:rsidR="00CF369C" w:rsidRPr="00696524" w14:paraId="11C4EAF2" w14:textId="77777777" w:rsidTr="00E61A18">
        <w:tc>
          <w:tcPr>
            <w:tcW w:w="1356" w:type="pct"/>
            <w:shd w:val="clear" w:color="auto" w:fill="auto"/>
          </w:tcPr>
          <w:p w14:paraId="76AA7EB9" w14:textId="2139C085" w:rsidR="00CF369C" w:rsidRPr="00696524" w:rsidRDefault="00CF369C" w:rsidP="00CF369C">
            <w:pPr>
              <w:spacing w:before="120" w:after="120" w:line="240" w:lineRule="auto"/>
              <w:jc w:val="left"/>
              <w:rPr>
                <w:rFonts w:eastAsia="Times New Roman"/>
                <w:szCs w:val="24"/>
              </w:rPr>
            </w:pPr>
            <w:r>
              <w:t>13</w:t>
            </w:r>
            <w:r w:rsidRPr="00246CE8">
              <w:rPr>
                <w:vertAlign w:val="superscript"/>
              </w:rPr>
              <w:t>th</w:t>
            </w:r>
            <w:r>
              <w:t xml:space="preserve"> Respondent</w:t>
            </w:r>
            <w:r w:rsidR="0076687A">
              <w:t>:</w:t>
            </w:r>
            <w:r>
              <w:t xml:space="preserve"> </w:t>
            </w:r>
          </w:p>
        </w:tc>
        <w:tc>
          <w:tcPr>
            <w:tcW w:w="3644" w:type="pct"/>
          </w:tcPr>
          <w:p w14:paraId="05CC82DC" w14:textId="76124352" w:rsidR="00CF369C" w:rsidRPr="00696524" w:rsidRDefault="000C74A4" w:rsidP="00CF369C">
            <w:pPr>
              <w:spacing w:before="120" w:after="120" w:line="240" w:lineRule="auto"/>
              <w:jc w:val="left"/>
              <w:rPr>
                <w:rFonts w:eastAsia="Times New Roman"/>
                <w:szCs w:val="24"/>
              </w:rPr>
            </w:pPr>
            <w:r w:rsidRPr="003B006D">
              <w:rPr>
                <w:rFonts w:eastAsia="Times New Roman"/>
                <w:szCs w:val="24"/>
              </w:rPr>
              <w:t>GAYLE DICKERSON AND STEPHEN ERNST VAUGHAN IN THEIR CAPACITY AS THE JOINT AND SEVERAL LIQUIDATORS OF INTER MANAGEMENT GROUP PTY LTD (IN LIQUIDATION) ACN 105 115 759</w:t>
            </w:r>
          </w:p>
        </w:tc>
      </w:tr>
      <w:tr w:rsidR="00CF369C" w:rsidRPr="00696524" w14:paraId="27FE9383" w14:textId="77777777" w:rsidTr="00E61A18">
        <w:tc>
          <w:tcPr>
            <w:tcW w:w="1356" w:type="pct"/>
            <w:shd w:val="clear" w:color="auto" w:fill="auto"/>
          </w:tcPr>
          <w:p w14:paraId="515E9599" w14:textId="3F9B6D2E" w:rsidR="00CF369C" w:rsidRPr="00696524" w:rsidRDefault="00CF369C" w:rsidP="00CF369C">
            <w:pPr>
              <w:spacing w:before="120" w:after="120" w:line="240" w:lineRule="auto"/>
              <w:jc w:val="left"/>
              <w:rPr>
                <w:rFonts w:eastAsia="Times New Roman"/>
                <w:szCs w:val="24"/>
              </w:rPr>
            </w:pPr>
            <w:r>
              <w:t>14</w:t>
            </w:r>
            <w:r w:rsidRPr="00246CE8">
              <w:rPr>
                <w:vertAlign w:val="superscript"/>
              </w:rPr>
              <w:t>th</w:t>
            </w:r>
            <w:r>
              <w:t xml:space="preserve"> Respondent</w:t>
            </w:r>
            <w:r w:rsidR="0076687A">
              <w:t>:</w:t>
            </w:r>
            <w:r>
              <w:t xml:space="preserve"> </w:t>
            </w:r>
          </w:p>
        </w:tc>
        <w:tc>
          <w:tcPr>
            <w:tcW w:w="3644" w:type="pct"/>
          </w:tcPr>
          <w:p w14:paraId="349DE247" w14:textId="5E00C4E2" w:rsidR="00CF369C" w:rsidRPr="00696524" w:rsidRDefault="000C74A4" w:rsidP="00CF369C">
            <w:pPr>
              <w:spacing w:before="120" w:after="120" w:line="240" w:lineRule="auto"/>
              <w:jc w:val="left"/>
              <w:rPr>
                <w:rFonts w:eastAsia="Times New Roman"/>
                <w:szCs w:val="24"/>
              </w:rPr>
            </w:pPr>
            <w:r w:rsidRPr="003B006D">
              <w:rPr>
                <w:rFonts w:eastAsia="Times New Roman"/>
                <w:szCs w:val="24"/>
              </w:rPr>
              <w:t>ACN 133 636 414 PTY LTD (IN LIQUIDATION) (FORMERLY KNOWN AS ITS – INTERFREIGHT TRANSPORT SOLUTIONS PTY LTD)</w:t>
            </w:r>
          </w:p>
        </w:tc>
      </w:tr>
      <w:tr w:rsidR="00CF369C" w:rsidRPr="00696524" w14:paraId="5C19C1E8" w14:textId="77777777" w:rsidTr="00E61A18">
        <w:tc>
          <w:tcPr>
            <w:tcW w:w="1356" w:type="pct"/>
            <w:shd w:val="clear" w:color="auto" w:fill="auto"/>
          </w:tcPr>
          <w:p w14:paraId="61BD86C3" w14:textId="48B866C3" w:rsidR="00CF369C" w:rsidRPr="00696524" w:rsidRDefault="00CF369C" w:rsidP="00CF369C">
            <w:pPr>
              <w:spacing w:before="120" w:after="120" w:line="240" w:lineRule="auto"/>
              <w:jc w:val="left"/>
              <w:rPr>
                <w:rFonts w:eastAsia="Times New Roman"/>
                <w:szCs w:val="24"/>
              </w:rPr>
            </w:pPr>
            <w:r>
              <w:t>15</w:t>
            </w:r>
            <w:r w:rsidRPr="00246CE8">
              <w:rPr>
                <w:vertAlign w:val="superscript"/>
              </w:rPr>
              <w:t>th</w:t>
            </w:r>
            <w:r>
              <w:t xml:space="preserve"> Respondent</w:t>
            </w:r>
            <w:r w:rsidR="0076687A">
              <w:t>:</w:t>
            </w:r>
            <w:r>
              <w:t xml:space="preserve"> </w:t>
            </w:r>
          </w:p>
        </w:tc>
        <w:tc>
          <w:tcPr>
            <w:tcW w:w="3644" w:type="pct"/>
          </w:tcPr>
          <w:p w14:paraId="3EE7C267" w14:textId="070E5DCD" w:rsidR="00CF369C" w:rsidRPr="00696524" w:rsidRDefault="000C74A4" w:rsidP="00CF369C">
            <w:pPr>
              <w:spacing w:before="120" w:after="120" w:line="240" w:lineRule="auto"/>
              <w:jc w:val="left"/>
              <w:rPr>
                <w:rFonts w:eastAsia="Times New Roman"/>
                <w:szCs w:val="24"/>
              </w:rPr>
            </w:pPr>
            <w:r w:rsidRPr="00D22BDA">
              <w:rPr>
                <w:rFonts w:eastAsia="Times New Roman"/>
                <w:szCs w:val="24"/>
              </w:rPr>
              <w:t>GAYLE DICKERSON AND STEPHEN ERNST VAUGHAN IN THEIR CAPACITY AS THE JOINT AND SEVERAL LIQUIDATORS OR ACN 133 636 414 PTY LTD (IN LIQUIDATION) (FORMERLY KNOWN AS ITS – INTERFREIGHT TRANSPORT SOLUTIONS PTY LTD)</w:t>
            </w:r>
          </w:p>
        </w:tc>
      </w:tr>
      <w:tr w:rsidR="00CF369C" w:rsidRPr="00696524" w14:paraId="6E457CCA" w14:textId="77777777" w:rsidTr="00E61A18">
        <w:tc>
          <w:tcPr>
            <w:tcW w:w="1356" w:type="pct"/>
            <w:shd w:val="clear" w:color="auto" w:fill="auto"/>
          </w:tcPr>
          <w:p w14:paraId="0F41F83E" w14:textId="654B13A4" w:rsidR="00CF369C" w:rsidRPr="00696524" w:rsidRDefault="00CF369C" w:rsidP="00CF369C">
            <w:pPr>
              <w:spacing w:before="120" w:after="120" w:line="240" w:lineRule="auto"/>
              <w:jc w:val="left"/>
              <w:rPr>
                <w:rFonts w:eastAsia="Times New Roman"/>
                <w:szCs w:val="24"/>
              </w:rPr>
            </w:pPr>
            <w:r>
              <w:t>16</w:t>
            </w:r>
            <w:r w:rsidRPr="00246CE8">
              <w:rPr>
                <w:vertAlign w:val="superscript"/>
              </w:rPr>
              <w:t>th</w:t>
            </w:r>
            <w:r>
              <w:t xml:space="preserve"> Respondent</w:t>
            </w:r>
            <w:r w:rsidR="0076687A">
              <w:t>:</w:t>
            </w:r>
            <w:r>
              <w:t xml:space="preserve"> </w:t>
            </w:r>
          </w:p>
        </w:tc>
        <w:tc>
          <w:tcPr>
            <w:tcW w:w="3644" w:type="pct"/>
          </w:tcPr>
          <w:p w14:paraId="70DD20F0" w14:textId="75C5E90E" w:rsidR="00CF369C" w:rsidRPr="00696524" w:rsidRDefault="000C74A4" w:rsidP="00CF369C">
            <w:pPr>
              <w:spacing w:before="120" w:after="120" w:line="240" w:lineRule="auto"/>
              <w:jc w:val="left"/>
              <w:rPr>
                <w:rFonts w:eastAsia="Times New Roman"/>
                <w:szCs w:val="24"/>
              </w:rPr>
            </w:pPr>
            <w:r w:rsidRPr="00D22BDA">
              <w:rPr>
                <w:rFonts w:eastAsia="Times New Roman"/>
                <w:szCs w:val="24"/>
              </w:rPr>
              <w:t>GEORGE KHALIL</w:t>
            </w:r>
          </w:p>
        </w:tc>
      </w:tr>
      <w:tr w:rsidR="00CF369C" w:rsidRPr="00696524" w14:paraId="64B27EE3" w14:textId="77777777" w:rsidTr="00E61A18">
        <w:tc>
          <w:tcPr>
            <w:tcW w:w="1356" w:type="pct"/>
            <w:shd w:val="clear" w:color="auto" w:fill="auto"/>
          </w:tcPr>
          <w:p w14:paraId="406AF884" w14:textId="0C3D5B64" w:rsidR="00CF369C" w:rsidRPr="00696524" w:rsidRDefault="00CF369C" w:rsidP="00CF369C">
            <w:pPr>
              <w:spacing w:before="120" w:after="120" w:line="240" w:lineRule="auto"/>
              <w:jc w:val="left"/>
              <w:rPr>
                <w:rFonts w:eastAsia="Times New Roman"/>
                <w:szCs w:val="24"/>
              </w:rPr>
            </w:pPr>
            <w:r>
              <w:rPr>
                <w:color w:val="363836"/>
                <w:w w:val="105"/>
              </w:rPr>
              <w:t>17</w:t>
            </w:r>
            <w:r w:rsidRPr="00246CE8">
              <w:rPr>
                <w:color w:val="363836"/>
                <w:w w:val="105"/>
                <w:vertAlign w:val="superscript"/>
              </w:rPr>
              <w:t>th</w:t>
            </w:r>
            <w:r>
              <w:rPr>
                <w:color w:val="363836"/>
                <w:w w:val="105"/>
              </w:rPr>
              <w:t xml:space="preserve"> Respondent</w:t>
            </w:r>
            <w:r w:rsidR="0076687A">
              <w:rPr>
                <w:color w:val="363836"/>
                <w:w w:val="105"/>
              </w:rPr>
              <w:t>:</w:t>
            </w:r>
            <w:r>
              <w:rPr>
                <w:color w:val="363836"/>
                <w:w w:val="105"/>
              </w:rPr>
              <w:t xml:space="preserve"> </w:t>
            </w:r>
          </w:p>
        </w:tc>
        <w:tc>
          <w:tcPr>
            <w:tcW w:w="3644" w:type="pct"/>
          </w:tcPr>
          <w:p w14:paraId="62CCC51B" w14:textId="198D9063" w:rsidR="00CF369C" w:rsidRPr="00696524" w:rsidRDefault="000C74A4" w:rsidP="00CF369C">
            <w:pPr>
              <w:spacing w:before="120" w:after="120" w:line="240" w:lineRule="auto"/>
              <w:jc w:val="left"/>
              <w:rPr>
                <w:rFonts w:eastAsia="Times New Roman"/>
                <w:szCs w:val="24"/>
              </w:rPr>
            </w:pPr>
            <w:r w:rsidRPr="00D22BDA">
              <w:rPr>
                <w:rFonts w:eastAsia="Times New Roman"/>
                <w:szCs w:val="24"/>
              </w:rPr>
              <w:t>FRED KHALIL</w:t>
            </w:r>
          </w:p>
        </w:tc>
      </w:tr>
      <w:tr w:rsidR="00CF369C" w:rsidRPr="00696524" w14:paraId="58ED7090" w14:textId="77777777" w:rsidTr="00E61A18">
        <w:tc>
          <w:tcPr>
            <w:tcW w:w="1356" w:type="pct"/>
            <w:shd w:val="clear" w:color="auto" w:fill="auto"/>
          </w:tcPr>
          <w:p w14:paraId="0C7A7465" w14:textId="28E7B284" w:rsidR="00CF369C" w:rsidRPr="00696524" w:rsidRDefault="00CF369C" w:rsidP="00CF369C">
            <w:pPr>
              <w:spacing w:before="120" w:after="120" w:line="240" w:lineRule="auto"/>
              <w:jc w:val="left"/>
              <w:rPr>
                <w:rFonts w:eastAsia="Times New Roman"/>
                <w:szCs w:val="24"/>
              </w:rPr>
            </w:pPr>
            <w:r>
              <w:t>18</w:t>
            </w:r>
            <w:r w:rsidRPr="00246CE8">
              <w:rPr>
                <w:vertAlign w:val="superscript"/>
              </w:rPr>
              <w:t>th</w:t>
            </w:r>
            <w:r>
              <w:t xml:space="preserve"> Respondent</w:t>
            </w:r>
            <w:r w:rsidR="0076687A">
              <w:t>:</w:t>
            </w:r>
            <w:r>
              <w:t xml:space="preserve"> </w:t>
            </w:r>
          </w:p>
        </w:tc>
        <w:tc>
          <w:tcPr>
            <w:tcW w:w="3644" w:type="pct"/>
          </w:tcPr>
          <w:p w14:paraId="50D00F72" w14:textId="12378432" w:rsidR="00CF369C" w:rsidRPr="00696524" w:rsidRDefault="000C74A4" w:rsidP="00CF369C">
            <w:pPr>
              <w:spacing w:before="120" w:after="120" w:line="240" w:lineRule="auto"/>
              <w:jc w:val="left"/>
              <w:rPr>
                <w:rFonts w:eastAsia="Times New Roman"/>
                <w:szCs w:val="24"/>
              </w:rPr>
            </w:pPr>
            <w:r w:rsidRPr="00D22BDA">
              <w:rPr>
                <w:rFonts w:eastAsia="Times New Roman"/>
                <w:szCs w:val="24"/>
              </w:rPr>
              <w:t>KATHERINE KHALIL</w:t>
            </w:r>
          </w:p>
        </w:tc>
      </w:tr>
      <w:tr w:rsidR="00CF369C" w:rsidRPr="00696524" w14:paraId="2FE6755E" w14:textId="77777777" w:rsidTr="00E61A18">
        <w:tc>
          <w:tcPr>
            <w:tcW w:w="1356" w:type="pct"/>
            <w:shd w:val="clear" w:color="auto" w:fill="auto"/>
          </w:tcPr>
          <w:p w14:paraId="70ED500C" w14:textId="5BB84BB7" w:rsidR="00CF369C" w:rsidRPr="00696524" w:rsidRDefault="00CF369C" w:rsidP="00CF369C">
            <w:pPr>
              <w:spacing w:before="120" w:after="120" w:line="240" w:lineRule="auto"/>
              <w:jc w:val="left"/>
              <w:rPr>
                <w:rFonts w:eastAsia="Times New Roman"/>
                <w:szCs w:val="24"/>
              </w:rPr>
            </w:pPr>
            <w:r>
              <w:t>19</w:t>
            </w:r>
            <w:r w:rsidRPr="00246CE8">
              <w:rPr>
                <w:vertAlign w:val="superscript"/>
              </w:rPr>
              <w:t>th</w:t>
            </w:r>
            <w:r>
              <w:t xml:space="preserve"> Respondent</w:t>
            </w:r>
            <w:r w:rsidR="0076687A">
              <w:t>:</w:t>
            </w:r>
            <w:r>
              <w:t xml:space="preserve"> </w:t>
            </w:r>
          </w:p>
        </w:tc>
        <w:tc>
          <w:tcPr>
            <w:tcW w:w="3644" w:type="pct"/>
          </w:tcPr>
          <w:p w14:paraId="5B24DAB0" w14:textId="35E8C078" w:rsidR="00CF369C" w:rsidRPr="00696524" w:rsidRDefault="000C74A4" w:rsidP="00CF369C">
            <w:pPr>
              <w:spacing w:before="120" w:after="120" w:line="240" w:lineRule="auto"/>
              <w:jc w:val="left"/>
              <w:rPr>
                <w:rFonts w:eastAsia="Times New Roman"/>
                <w:szCs w:val="24"/>
              </w:rPr>
            </w:pPr>
            <w:r w:rsidRPr="00D22BDA">
              <w:rPr>
                <w:rFonts w:eastAsia="Times New Roman"/>
                <w:szCs w:val="24"/>
              </w:rPr>
              <w:t>KITO INVESTMENTS PTY LIMITED</w:t>
            </w:r>
          </w:p>
        </w:tc>
      </w:tr>
      <w:tr w:rsidR="00CF369C" w:rsidRPr="00696524" w14:paraId="2D6FE3E4" w14:textId="77777777" w:rsidTr="00E61A18">
        <w:tc>
          <w:tcPr>
            <w:tcW w:w="1356" w:type="pct"/>
            <w:shd w:val="clear" w:color="auto" w:fill="auto"/>
          </w:tcPr>
          <w:p w14:paraId="68375442" w14:textId="483D9C8C" w:rsidR="00CF369C" w:rsidRPr="00696524" w:rsidRDefault="00CF369C" w:rsidP="00CF369C">
            <w:pPr>
              <w:spacing w:before="120" w:after="120" w:line="240" w:lineRule="auto"/>
              <w:jc w:val="left"/>
              <w:rPr>
                <w:rFonts w:eastAsia="Times New Roman"/>
                <w:szCs w:val="24"/>
              </w:rPr>
            </w:pPr>
            <w:r w:rsidRPr="00856BD2">
              <w:t>20</w:t>
            </w:r>
            <w:r w:rsidRPr="00856BD2">
              <w:rPr>
                <w:vertAlign w:val="superscript"/>
              </w:rPr>
              <w:t>th</w:t>
            </w:r>
            <w:r w:rsidRPr="00856BD2">
              <w:t xml:space="preserve"> Respondent</w:t>
            </w:r>
            <w:r w:rsidR="0076687A">
              <w:t>:</w:t>
            </w:r>
          </w:p>
        </w:tc>
        <w:tc>
          <w:tcPr>
            <w:tcW w:w="3644" w:type="pct"/>
          </w:tcPr>
          <w:p w14:paraId="2DA85273" w14:textId="6F6B37A7" w:rsidR="00CF369C" w:rsidRPr="00696524" w:rsidRDefault="000C74A4" w:rsidP="00CF369C">
            <w:pPr>
              <w:spacing w:before="120" w:after="120" w:line="240" w:lineRule="auto"/>
              <w:jc w:val="left"/>
              <w:rPr>
                <w:rFonts w:eastAsia="Times New Roman"/>
                <w:szCs w:val="24"/>
              </w:rPr>
            </w:pPr>
            <w:r w:rsidRPr="00D22BDA">
              <w:rPr>
                <w:rFonts w:eastAsia="Times New Roman"/>
                <w:szCs w:val="24"/>
              </w:rPr>
              <w:t>MICHAEL BORG</w:t>
            </w:r>
          </w:p>
        </w:tc>
      </w:tr>
      <w:tr w:rsidR="00CF369C" w:rsidRPr="00696524" w14:paraId="6D9CC7FB" w14:textId="77777777" w:rsidTr="00E61A18">
        <w:tc>
          <w:tcPr>
            <w:tcW w:w="1356" w:type="pct"/>
            <w:shd w:val="clear" w:color="auto" w:fill="auto"/>
          </w:tcPr>
          <w:p w14:paraId="504EE7F2" w14:textId="7EAB845E" w:rsidR="00CF369C" w:rsidRPr="00696524" w:rsidRDefault="00CF369C" w:rsidP="00CF369C">
            <w:pPr>
              <w:spacing w:before="120" w:after="120" w:line="240" w:lineRule="auto"/>
              <w:jc w:val="left"/>
              <w:rPr>
                <w:rFonts w:eastAsia="Times New Roman"/>
                <w:szCs w:val="24"/>
              </w:rPr>
            </w:pPr>
            <w:r>
              <w:t>21</w:t>
            </w:r>
            <w:r w:rsidRPr="00280993">
              <w:rPr>
                <w:vertAlign w:val="superscript"/>
              </w:rPr>
              <w:t>st</w:t>
            </w:r>
            <w:r>
              <w:t xml:space="preserve"> Respondent</w:t>
            </w:r>
            <w:r w:rsidR="0076687A">
              <w:t>:</w:t>
            </w:r>
          </w:p>
        </w:tc>
        <w:tc>
          <w:tcPr>
            <w:tcW w:w="3644" w:type="pct"/>
          </w:tcPr>
          <w:p w14:paraId="7E25077A" w14:textId="0D1C60CA" w:rsidR="00CF369C" w:rsidRPr="00696524" w:rsidRDefault="000C74A4" w:rsidP="00CF369C">
            <w:pPr>
              <w:spacing w:before="120" w:after="120" w:line="240" w:lineRule="auto"/>
              <w:jc w:val="left"/>
              <w:rPr>
                <w:rFonts w:eastAsia="Times New Roman"/>
                <w:szCs w:val="24"/>
              </w:rPr>
            </w:pPr>
            <w:r w:rsidRPr="00727D3C">
              <w:rPr>
                <w:rFonts w:eastAsia="Times New Roman"/>
                <w:szCs w:val="24"/>
              </w:rPr>
              <w:t>BORG FAMILY PTY LIMITED</w:t>
            </w:r>
          </w:p>
        </w:tc>
      </w:tr>
      <w:tr w:rsidR="00CF369C" w:rsidRPr="00696524" w14:paraId="12269E0C" w14:textId="77777777" w:rsidTr="00E61A18">
        <w:tc>
          <w:tcPr>
            <w:tcW w:w="1356" w:type="pct"/>
            <w:shd w:val="clear" w:color="auto" w:fill="auto"/>
          </w:tcPr>
          <w:p w14:paraId="4A5F180A" w14:textId="1501FE5D" w:rsidR="00CF369C" w:rsidRPr="00696524" w:rsidRDefault="00CF369C" w:rsidP="00CF369C">
            <w:pPr>
              <w:spacing w:before="120" w:after="120" w:line="240" w:lineRule="auto"/>
              <w:jc w:val="left"/>
              <w:rPr>
                <w:rFonts w:eastAsia="Times New Roman"/>
                <w:szCs w:val="24"/>
              </w:rPr>
            </w:pPr>
            <w:r>
              <w:t>22</w:t>
            </w:r>
            <w:r w:rsidRPr="00280993">
              <w:rPr>
                <w:vertAlign w:val="superscript"/>
              </w:rPr>
              <w:t>nd</w:t>
            </w:r>
            <w:r>
              <w:t xml:space="preserve"> Respondent</w:t>
            </w:r>
            <w:r w:rsidR="0076687A">
              <w:t>:</w:t>
            </w:r>
          </w:p>
        </w:tc>
        <w:tc>
          <w:tcPr>
            <w:tcW w:w="3644" w:type="pct"/>
          </w:tcPr>
          <w:p w14:paraId="3D2A12F9" w14:textId="3787EFB1" w:rsidR="00CF369C" w:rsidRPr="00696524" w:rsidRDefault="000C74A4" w:rsidP="00CF369C">
            <w:pPr>
              <w:spacing w:before="120" w:after="120" w:line="240" w:lineRule="auto"/>
              <w:jc w:val="left"/>
              <w:rPr>
                <w:rFonts w:eastAsia="Times New Roman"/>
                <w:szCs w:val="24"/>
              </w:rPr>
            </w:pPr>
            <w:r w:rsidRPr="00727D3C">
              <w:rPr>
                <w:rFonts w:eastAsia="Times New Roman"/>
                <w:szCs w:val="24"/>
              </w:rPr>
              <w:t>746 GREENDALE ROAD GREENDALE PTY LTD</w:t>
            </w:r>
          </w:p>
        </w:tc>
      </w:tr>
      <w:tr w:rsidR="00CF369C" w:rsidRPr="00696524" w14:paraId="7B3B75F8" w14:textId="77777777" w:rsidTr="00E61A18">
        <w:tc>
          <w:tcPr>
            <w:tcW w:w="1356" w:type="pct"/>
            <w:shd w:val="clear" w:color="auto" w:fill="auto"/>
          </w:tcPr>
          <w:p w14:paraId="2D0C950E" w14:textId="09B6B5F4" w:rsidR="00CF369C" w:rsidRPr="00696524" w:rsidRDefault="00CF369C" w:rsidP="00CF369C">
            <w:pPr>
              <w:spacing w:before="120" w:after="120" w:line="240" w:lineRule="auto"/>
              <w:jc w:val="left"/>
              <w:rPr>
                <w:rFonts w:eastAsia="Times New Roman"/>
                <w:szCs w:val="24"/>
              </w:rPr>
            </w:pPr>
            <w:r>
              <w:t>23</w:t>
            </w:r>
            <w:r w:rsidRPr="00246CE8">
              <w:rPr>
                <w:vertAlign w:val="superscript"/>
              </w:rPr>
              <w:t>rd</w:t>
            </w:r>
            <w:r>
              <w:t xml:space="preserve"> Respondent:</w:t>
            </w:r>
          </w:p>
        </w:tc>
        <w:tc>
          <w:tcPr>
            <w:tcW w:w="3644" w:type="pct"/>
          </w:tcPr>
          <w:p w14:paraId="56BF12A7" w14:textId="32E88EC9" w:rsidR="00CF369C" w:rsidRPr="00696524" w:rsidRDefault="000C74A4" w:rsidP="00CF369C">
            <w:pPr>
              <w:spacing w:before="120" w:after="120" w:line="240" w:lineRule="auto"/>
              <w:jc w:val="left"/>
              <w:rPr>
                <w:rFonts w:eastAsia="Times New Roman"/>
                <w:szCs w:val="24"/>
              </w:rPr>
            </w:pPr>
            <w:r w:rsidRPr="00727D3C">
              <w:rPr>
                <w:rFonts w:eastAsia="Times New Roman"/>
                <w:szCs w:val="24"/>
              </w:rPr>
              <w:t>THE GREAT BROTHERS PTY LTD</w:t>
            </w:r>
          </w:p>
        </w:tc>
      </w:tr>
      <w:tr w:rsidR="00CF369C" w:rsidRPr="00696524" w14:paraId="06E51C83" w14:textId="77777777" w:rsidTr="00E61A18">
        <w:tc>
          <w:tcPr>
            <w:tcW w:w="1356" w:type="pct"/>
            <w:shd w:val="clear" w:color="auto" w:fill="auto"/>
          </w:tcPr>
          <w:p w14:paraId="445B543F" w14:textId="5F699786" w:rsidR="00CF369C" w:rsidRPr="00696524" w:rsidRDefault="00CF369C" w:rsidP="00CF369C">
            <w:pPr>
              <w:spacing w:before="120" w:after="120" w:line="240" w:lineRule="auto"/>
              <w:jc w:val="left"/>
              <w:rPr>
                <w:rFonts w:eastAsia="Times New Roman"/>
                <w:szCs w:val="24"/>
              </w:rPr>
            </w:pPr>
            <w:r>
              <w:t>24</w:t>
            </w:r>
            <w:r w:rsidRPr="00246CE8">
              <w:rPr>
                <w:vertAlign w:val="superscript"/>
              </w:rPr>
              <w:t>th</w:t>
            </w:r>
            <w:r>
              <w:t xml:space="preserve"> Respondent:</w:t>
            </w:r>
          </w:p>
        </w:tc>
        <w:tc>
          <w:tcPr>
            <w:tcW w:w="3644" w:type="pct"/>
          </w:tcPr>
          <w:p w14:paraId="7EBBD4F1" w14:textId="643643BA" w:rsidR="00CF369C" w:rsidRPr="00696524" w:rsidRDefault="000C74A4" w:rsidP="00CF369C">
            <w:pPr>
              <w:spacing w:before="120" w:after="120" w:line="240" w:lineRule="auto"/>
              <w:jc w:val="left"/>
              <w:rPr>
                <w:rFonts w:eastAsia="Times New Roman"/>
                <w:szCs w:val="24"/>
              </w:rPr>
            </w:pPr>
            <w:r w:rsidRPr="00727D3C">
              <w:rPr>
                <w:rFonts w:eastAsia="Times New Roman"/>
                <w:szCs w:val="24"/>
              </w:rPr>
              <w:t>AKA CIVIL AUSTRALIA PTY LTD (IN LIQUIDATION)</w:t>
            </w:r>
          </w:p>
        </w:tc>
      </w:tr>
      <w:tr w:rsidR="00CF369C" w:rsidRPr="00696524" w14:paraId="5E71F8C6" w14:textId="77777777" w:rsidTr="00E61A18">
        <w:tc>
          <w:tcPr>
            <w:tcW w:w="1356" w:type="pct"/>
            <w:shd w:val="clear" w:color="auto" w:fill="auto"/>
          </w:tcPr>
          <w:p w14:paraId="311E7C9A" w14:textId="592D13DB" w:rsidR="00CF369C" w:rsidRPr="00696524" w:rsidRDefault="00CF369C" w:rsidP="00CF369C">
            <w:pPr>
              <w:spacing w:before="120" w:after="120" w:line="240" w:lineRule="auto"/>
              <w:jc w:val="left"/>
              <w:rPr>
                <w:rFonts w:eastAsia="Times New Roman"/>
                <w:szCs w:val="24"/>
              </w:rPr>
            </w:pPr>
            <w:r>
              <w:lastRenderedPageBreak/>
              <w:t>25</w:t>
            </w:r>
            <w:r w:rsidRPr="00246CE8">
              <w:rPr>
                <w:vertAlign w:val="superscript"/>
              </w:rPr>
              <w:t>th</w:t>
            </w:r>
            <w:r>
              <w:t xml:space="preserve"> Respondent:</w:t>
            </w:r>
          </w:p>
        </w:tc>
        <w:tc>
          <w:tcPr>
            <w:tcW w:w="3644" w:type="pct"/>
          </w:tcPr>
          <w:p w14:paraId="799EDC2F" w14:textId="41A88436" w:rsidR="00CF369C" w:rsidRPr="00696524" w:rsidRDefault="000C74A4" w:rsidP="00CF369C">
            <w:pPr>
              <w:spacing w:before="120" w:after="120" w:line="240" w:lineRule="auto"/>
              <w:jc w:val="left"/>
              <w:rPr>
                <w:rFonts w:eastAsia="Times New Roman"/>
                <w:szCs w:val="24"/>
              </w:rPr>
            </w:pPr>
            <w:r w:rsidRPr="00727D3C">
              <w:rPr>
                <w:rFonts w:eastAsia="Times New Roman"/>
                <w:szCs w:val="24"/>
              </w:rPr>
              <w:t>AKA (NSW) PTY LTD (IN LIQUIDATION)</w:t>
            </w:r>
          </w:p>
        </w:tc>
      </w:tr>
      <w:tr w:rsidR="00CF369C" w:rsidRPr="00696524" w14:paraId="4656173C" w14:textId="77777777" w:rsidTr="00E61A18">
        <w:tc>
          <w:tcPr>
            <w:tcW w:w="1356" w:type="pct"/>
            <w:shd w:val="clear" w:color="auto" w:fill="auto"/>
          </w:tcPr>
          <w:p w14:paraId="0B5835F0" w14:textId="74010E77" w:rsidR="00CF369C" w:rsidRPr="00696524" w:rsidRDefault="00CF369C" w:rsidP="00CF369C">
            <w:pPr>
              <w:spacing w:before="120" w:after="120" w:line="240" w:lineRule="auto"/>
              <w:jc w:val="left"/>
              <w:rPr>
                <w:rFonts w:eastAsia="Times New Roman"/>
                <w:szCs w:val="24"/>
              </w:rPr>
            </w:pPr>
            <w:r>
              <w:t>26</w:t>
            </w:r>
            <w:r w:rsidRPr="00E255DD">
              <w:rPr>
                <w:vertAlign w:val="superscript"/>
              </w:rPr>
              <w:t>th</w:t>
            </w:r>
            <w:r>
              <w:t xml:space="preserve"> Respondent:</w:t>
            </w:r>
          </w:p>
        </w:tc>
        <w:tc>
          <w:tcPr>
            <w:tcW w:w="3644" w:type="pct"/>
          </w:tcPr>
          <w:p w14:paraId="5219E43F" w14:textId="7EA59DCC" w:rsidR="00CF369C" w:rsidRPr="00696524" w:rsidRDefault="000C74A4" w:rsidP="00CF369C">
            <w:pPr>
              <w:spacing w:before="120" w:after="120" w:line="240" w:lineRule="auto"/>
              <w:jc w:val="left"/>
              <w:rPr>
                <w:rFonts w:eastAsia="Times New Roman"/>
                <w:szCs w:val="24"/>
              </w:rPr>
            </w:pPr>
            <w:r w:rsidRPr="00017132">
              <w:rPr>
                <w:rFonts w:eastAsia="Times New Roman"/>
                <w:szCs w:val="24"/>
              </w:rPr>
              <w:t>MAGIC GLASS PTY LIMITED</w:t>
            </w:r>
          </w:p>
        </w:tc>
      </w:tr>
      <w:tr w:rsidR="00CF369C" w:rsidRPr="00696524" w14:paraId="7C674671" w14:textId="77777777" w:rsidTr="00E61A18">
        <w:tc>
          <w:tcPr>
            <w:tcW w:w="1356" w:type="pct"/>
            <w:shd w:val="clear" w:color="auto" w:fill="auto"/>
          </w:tcPr>
          <w:p w14:paraId="3F5BD108" w14:textId="06B898F0" w:rsidR="00CF369C" w:rsidRPr="00696524" w:rsidRDefault="00CF369C" w:rsidP="00CF369C">
            <w:pPr>
              <w:spacing w:before="120" w:after="120" w:line="240" w:lineRule="auto"/>
              <w:jc w:val="left"/>
              <w:rPr>
                <w:rFonts w:eastAsia="Times New Roman"/>
                <w:szCs w:val="24"/>
              </w:rPr>
            </w:pPr>
            <w:r>
              <w:t>27</w:t>
            </w:r>
            <w:r w:rsidRPr="00E255DD">
              <w:rPr>
                <w:vertAlign w:val="superscript"/>
              </w:rPr>
              <w:t>th</w:t>
            </w:r>
            <w:r>
              <w:t xml:space="preserve"> Respondent:</w:t>
            </w:r>
          </w:p>
        </w:tc>
        <w:tc>
          <w:tcPr>
            <w:tcW w:w="3644" w:type="pct"/>
          </w:tcPr>
          <w:p w14:paraId="406EF985" w14:textId="3B476972" w:rsidR="00CF369C" w:rsidRPr="00696524" w:rsidRDefault="000C74A4" w:rsidP="00CF369C">
            <w:pPr>
              <w:spacing w:before="120" w:after="120" w:line="240" w:lineRule="auto"/>
              <w:jc w:val="left"/>
              <w:rPr>
                <w:rFonts w:eastAsia="Times New Roman"/>
                <w:szCs w:val="24"/>
              </w:rPr>
            </w:pPr>
            <w:r w:rsidRPr="00017132">
              <w:rPr>
                <w:rFonts w:eastAsia="Times New Roman"/>
                <w:szCs w:val="24"/>
              </w:rPr>
              <w:t>LEVEL 33 PROPERTY GROUP PTY LIMITED</w:t>
            </w:r>
          </w:p>
        </w:tc>
      </w:tr>
      <w:tr w:rsidR="00CF369C" w:rsidRPr="00696524" w14:paraId="52ABD1F7" w14:textId="77777777" w:rsidTr="00E61A18">
        <w:tc>
          <w:tcPr>
            <w:tcW w:w="1356" w:type="pct"/>
            <w:shd w:val="clear" w:color="auto" w:fill="auto"/>
          </w:tcPr>
          <w:p w14:paraId="2B29FBD7" w14:textId="1AEF4707" w:rsidR="00CF369C" w:rsidRPr="00696524" w:rsidRDefault="00CF369C" w:rsidP="00CF369C">
            <w:pPr>
              <w:spacing w:before="120" w:after="120" w:line="240" w:lineRule="auto"/>
              <w:jc w:val="left"/>
              <w:rPr>
                <w:rFonts w:eastAsia="Times New Roman"/>
                <w:szCs w:val="24"/>
              </w:rPr>
            </w:pPr>
            <w:r>
              <w:t>28</w:t>
            </w:r>
            <w:r w:rsidRPr="00E255DD">
              <w:rPr>
                <w:vertAlign w:val="superscript"/>
              </w:rPr>
              <w:t>th</w:t>
            </w:r>
            <w:r>
              <w:t xml:space="preserve"> Respondent:</w:t>
            </w:r>
          </w:p>
        </w:tc>
        <w:tc>
          <w:tcPr>
            <w:tcW w:w="3644" w:type="pct"/>
          </w:tcPr>
          <w:p w14:paraId="04AF430C" w14:textId="3C736BBB" w:rsidR="00CF369C" w:rsidRPr="00696524" w:rsidRDefault="000C74A4" w:rsidP="00CF369C">
            <w:pPr>
              <w:spacing w:before="120" w:after="120" w:line="240" w:lineRule="auto"/>
              <w:jc w:val="left"/>
              <w:rPr>
                <w:rFonts w:eastAsia="Times New Roman"/>
                <w:szCs w:val="24"/>
              </w:rPr>
            </w:pPr>
            <w:r w:rsidRPr="00017132">
              <w:rPr>
                <w:rFonts w:eastAsia="Times New Roman"/>
                <w:szCs w:val="24"/>
              </w:rPr>
              <w:t>THE HADD GROUP PTY LIMITED</w:t>
            </w:r>
          </w:p>
        </w:tc>
      </w:tr>
      <w:tr w:rsidR="00220702" w:rsidRPr="00696524" w14:paraId="76FD6A8A" w14:textId="77777777" w:rsidTr="00E61A18">
        <w:tc>
          <w:tcPr>
            <w:tcW w:w="1356" w:type="pct"/>
            <w:shd w:val="clear" w:color="auto" w:fill="auto"/>
          </w:tcPr>
          <w:p w14:paraId="30FA11C3" w14:textId="74A5ED14" w:rsidR="00220702" w:rsidRDefault="00220702" w:rsidP="00220702">
            <w:pPr>
              <w:spacing w:before="120" w:after="120" w:line="240" w:lineRule="auto"/>
              <w:jc w:val="left"/>
            </w:pPr>
            <w:r>
              <w:t>29</w:t>
            </w:r>
            <w:r w:rsidRPr="00246CE8">
              <w:rPr>
                <w:vertAlign w:val="superscript"/>
              </w:rPr>
              <w:t>th</w:t>
            </w:r>
            <w:r>
              <w:t xml:space="preserve"> Respondent </w:t>
            </w:r>
          </w:p>
        </w:tc>
        <w:tc>
          <w:tcPr>
            <w:tcW w:w="3644" w:type="pct"/>
          </w:tcPr>
          <w:p w14:paraId="04882B9A" w14:textId="0C2D0E89" w:rsidR="00220702" w:rsidRPr="00696524" w:rsidRDefault="000C74A4" w:rsidP="00220702">
            <w:pPr>
              <w:spacing w:before="120" w:after="120" w:line="240" w:lineRule="auto"/>
              <w:jc w:val="left"/>
              <w:rPr>
                <w:rFonts w:eastAsia="Times New Roman"/>
                <w:szCs w:val="24"/>
              </w:rPr>
            </w:pPr>
            <w:r w:rsidRPr="00017132">
              <w:rPr>
                <w:rFonts w:eastAsia="Times New Roman"/>
                <w:szCs w:val="24"/>
              </w:rPr>
              <w:t>GIVANA (HOLDINGS) PTY LIMITED</w:t>
            </w:r>
          </w:p>
        </w:tc>
      </w:tr>
      <w:tr w:rsidR="00220702" w:rsidRPr="00696524" w14:paraId="11B4045B" w14:textId="77777777" w:rsidTr="00E61A18">
        <w:tc>
          <w:tcPr>
            <w:tcW w:w="1356" w:type="pct"/>
            <w:shd w:val="clear" w:color="auto" w:fill="auto"/>
          </w:tcPr>
          <w:p w14:paraId="77614099" w14:textId="18BBC246" w:rsidR="00220702" w:rsidRPr="00696524" w:rsidRDefault="00220702" w:rsidP="00220702">
            <w:pPr>
              <w:spacing w:before="120" w:after="120" w:line="240" w:lineRule="auto"/>
              <w:jc w:val="left"/>
              <w:rPr>
                <w:rFonts w:eastAsia="Times New Roman"/>
                <w:szCs w:val="24"/>
              </w:rPr>
            </w:pPr>
            <w:r>
              <w:t>30</w:t>
            </w:r>
            <w:r w:rsidRPr="00246CE8">
              <w:rPr>
                <w:vertAlign w:val="superscript"/>
              </w:rPr>
              <w:t>th</w:t>
            </w:r>
            <w:r>
              <w:t xml:space="preserve"> Respondent:</w:t>
            </w:r>
          </w:p>
        </w:tc>
        <w:tc>
          <w:tcPr>
            <w:tcW w:w="3644" w:type="pct"/>
          </w:tcPr>
          <w:p w14:paraId="68F81E6C" w14:textId="28AF3A6C" w:rsidR="00220702" w:rsidRPr="00696524" w:rsidRDefault="000C74A4" w:rsidP="00220702">
            <w:pPr>
              <w:spacing w:before="120" w:after="120" w:line="240" w:lineRule="auto"/>
              <w:jc w:val="left"/>
              <w:rPr>
                <w:rFonts w:eastAsia="Times New Roman"/>
                <w:szCs w:val="24"/>
              </w:rPr>
            </w:pPr>
            <w:r w:rsidRPr="00017132">
              <w:rPr>
                <w:rFonts w:eastAsia="Times New Roman"/>
                <w:szCs w:val="24"/>
              </w:rPr>
              <w:t>CANER DOGAN</w:t>
            </w:r>
          </w:p>
        </w:tc>
      </w:tr>
      <w:tr w:rsidR="00220702" w:rsidRPr="00696524" w14:paraId="07DE7707" w14:textId="77777777" w:rsidTr="00E61A18">
        <w:tc>
          <w:tcPr>
            <w:tcW w:w="1356" w:type="pct"/>
            <w:shd w:val="clear" w:color="auto" w:fill="auto"/>
          </w:tcPr>
          <w:p w14:paraId="5AC9B88E" w14:textId="774CFE15" w:rsidR="00220702" w:rsidRPr="00696524" w:rsidRDefault="00220702" w:rsidP="00220702">
            <w:pPr>
              <w:spacing w:before="120" w:after="120" w:line="240" w:lineRule="auto"/>
              <w:jc w:val="left"/>
              <w:rPr>
                <w:rFonts w:eastAsia="Times New Roman"/>
                <w:szCs w:val="24"/>
              </w:rPr>
            </w:pPr>
            <w:r>
              <w:t>31</w:t>
            </w:r>
            <w:r w:rsidRPr="00E255DD">
              <w:rPr>
                <w:vertAlign w:val="superscript"/>
              </w:rPr>
              <w:t>st</w:t>
            </w:r>
            <w:r>
              <w:t xml:space="preserve"> Respondent:</w:t>
            </w:r>
          </w:p>
        </w:tc>
        <w:tc>
          <w:tcPr>
            <w:tcW w:w="3644" w:type="pct"/>
          </w:tcPr>
          <w:p w14:paraId="07BA0F02" w14:textId="52251A6C" w:rsidR="00220702" w:rsidRPr="00696524" w:rsidRDefault="000C74A4" w:rsidP="00220702">
            <w:pPr>
              <w:spacing w:before="120" w:after="120" w:line="240" w:lineRule="auto"/>
              <w:jc w:val="left"/>
              <w:rPr>
                <w:rFonts w:eastAsia="Times New Roman"/>
                <w:szCs w:val="24"/>
              </w:rPr>
            </w:pPr>
            <w:r w:rsidRPr="00017132">
              <w:rPr>
                <w:rFonts w:eastAsia="Times New Roman"/>
                <w:szCs w:val="24"/>
              </w:rPr>
              <w:t>BORN PTY LTD</w:t>
            </w:r>
          </w:p>
        </w:tc>
      </w:tr>
      <w:tr w:rsidR="00220702" w:rsidRPr="00696524" w14:paraId="709E205F" w14:textId="77777777" w:rsidTr="00E61A18">
        <w:tc>
          <w:tcPr>
            <w:tcW w:w="1356" w:type="pct"/>
            <w:shd w:val="clear" w:color="auto" w:fill="auto"/>
          </w:tcPr>
          <w:p w14:paraId="539615F5" w14:textId="4AFCBA0E" w:rsidR="00220702" w:rsidRPr="00696524" w:rsidRDefault="00220702" w:rsidP="00220702">
            <w:pPr>
              <w:spacing w:before="120" w:after="120" w:line="240" w:lineRule="auto"/>
              <w:jc w:val="left"/>
              <w:rPr>
                <w:rFonts w:eastAsia="Times New Roman"/>
                <w:szCs w:val="24"/>
              </w:rPr>
            </w:pPr>
            <w:r>
              <w:t>32</w:t>
            </w:r>
            <w:r w:rsidRPr="00E255DD">
              <w:rPr>
                <w:vertAlign w:val="superscript"/>
              </w:rPr>
              <w:t>nd</w:t>
            </w:r>
            <w:r>
              <w:t xml:space="preserve"> Respondent:</w:t>
            </w:r>
          </w:p>
        </w:tc>
        <w:tc>
          <w:tcPr>
            <w:tcW w:w="3644" w:type="pct"/>
          </w:tcPr>
          <w:p w14:paraId="3FD52FF8" w14:textId="6774772C" w:rsidR="00220702" w:rsidRPr="00696524" w:rsidRDefault="000C74A4" w:rsidP="00220702">
            <w:pPr>
              <w:spacing w:before="120" w:after="120" w:line="240" w:lineRule="auto"/>
              <w:jc w:val="left"/>
              <w:rPr>
                <w:rFonts w:eastAsia="Times New Roman"/>
                <w:szCs w:val="24"/>
              </w:rPr>
            </w:pPr>
            <w:r w:rsidRPr="00017132">
              <w:rPr>
                <w:rFonts w:eastAsia="Times New Roman"/>
                <w:szCs w:val="24"/>
              </w:rPr>
              <w:t>EASTBORN PTY LTD</w:t>
            </w:r>
          </w:p>
        </w:tc>
      </w:tr>
      <w:tr w:rsidR="00220702" w:rsidRPr="00696524" w14:paraId="0E9C0C5F" w14:textId="77777777" w:rsidTr="00E61A18">
        <w:tc>
          <w:tcPr>
            <w:tcW w:w="1356" w:type="pct"/>
            <w:shd w:val="clear" w:color="auto" w:fill="auto"/>
          </w:tcPr>
          <w:p w14:paraId="45BADFE4" w14:textId="6CE3B96A" w:rsidR="00220702" w:rsidRPr="00696524" w:rsidRDefault="00220702" w:rsidP="00220702">
            <w:pPr>
              <w:spacing w:before="120" w:after="120" w:line="240" w:lineRule="auto"/>
              <w:jc w:val="left"/>
              <w:rPr>
                <w:rFonts w:eastAsia="Times New Roman"/>
                <w:szCs w:val="24"/>
              </w:rPr>
            </w:pPr>
            <w:r>
              <w:t>33</w:t>
            </w:r>
            <w:r w:rsidRPr="00E255DD">
              <w:rPr>
                <w:vertAlign w:val="superscript"/>
              </w:rPr>
              <w:t>rd</w:t>
            </w:r>
            <w:r>
              <w:t xml:space="preserve"> Respondent:</w:t>
            </w:r>
          </w:p>
        </w:tc>
        <w:tc>
          <w:tcPr>
            <w:tcW w:w="3644" w:type="pct"/>
          </w:tcPr>
          <w:p w14:paraId="2D2C112F" w14:textId="5753FE06" w:rsidR="00220702" w:rsidRPr="00696524" w:rsidRDefault="000C74A4" w:rsidP="00220702">
            <w:pPr>
              <w:spacing w:before="120" w:after="120" w:line="240" w:lineRule="auto"/>
              <w:jc w:val="left"/>
              <w:rPr>
                <w:rFonts w:eastAsia="Times New Roman"/>
                <w:szCs w:val="24"/>
              </w:rPr>
            </w:pPr>
            <w:r w:rsidRPr="00017132">
              <w:rPr>
                <w:rFonts w:eastAsia="Times New Roman"/>
                <w:szCs w:val="24"/>
              </w:rPr>
              <w:t>SONIA HADDAD</w:t>
            </w:r>
          </w:p>
        </w:tc>
      </w:tr>
      <w:tr w:rsidR="00220702" w:rsidRPr="00696524" w14:paraId="2A7D0B90" w14:textId="77777777" w:rsidTr="00E61A18">
        <w:tc>
          <w:tcPr>
            <w:tcW w:w="1356" w:type="pct"/>
            <w:shd w:val="clear" w:color="auto" w:fill="auto"/>
          </w:tcPr>
          <w:p w14:paraId="5507362A" w14:textId="73F69C60" w:rsidR="00220702" w:rsidRPr="00696524" w:rsidRDefault="00220702" w:rsidP="00220702">
            <w:pPr>
              <w:spacing w:before="120" w:after="120" w:line="240" w:lineRule="auto"/>
              <w:jc w:val="left"/>
              <w:rPr>
                <w:rFonts w:eastAsia="Times New Roman"/>
                <w:szCs w:val="24"/>
              </w:rPr>
            </w:pPr>
            <w:r>
              <w:t>34</w:t>
            </w:r>
            <w:r w:rsidRPr="00E255DD">
              <w:rPr>
                <w:vertAlign w:val="superscript"/>
              </w:rPr>
              <w:t>th</w:t>
            </w:r>
            <w:r>
              <w:t xml:space="preserve"> Respondent:</w:t>
            </w:r>
          </w:p>
        </w:tc>
        <w:tc>
          <w:tcPr>
            <w:tcW w:w="3644" w:type="pct"/>
          </w:tcPr>
          <w:p w14:paraId="10B5D36F" w14:textId="12129C51" w:rsidR="00220702" w:rsidRPr="00696524" w:rsidRDefault="000C74A4" w:rsidP="00220702">
            <w:pPr>
              <w:spacing w:before="120" w:after="120" w:line="240" w:lineRule="auto"/>
              <w:jc w:val="left"/>
              <w:rPr>
                <w:rFonts w:eastAsia="Times New Roman"/>
                <w:szCs w:val="24"/>
              </w:rPr>
            </w:pPr>
            <w:r w:rsidRPr="00017132">
              <w:rPr>
                <w:rFonts w:eastAsia="Times New Roman"/>
                <w:szCs w:val="24"/>
              </w:rPr>
              <w:t>JONATHON COOPER</w:t>
            </w:r>
          </w:p>
        </w:tc>
      </w:tr>
      <w:tr w:rsidR="00220702" w:rsidRPr="00696524" w14:paraId="13C2E73B" w14:textId="77777777" w:rsidTr="00E61A18">
        <w:tc>
          <w:tcPr>
            <w:tcW w:w="1356" w:type="pct"/>
            <w:shd w:val="clear" w:color="auto" w:fill="auto"/>
          </w:tcPr>
          <w:p w14:paraId="52CF0B8C" w14:textId="704E79DC" w:rsidR="00220702" w:rsidRPr="00696524" w:rsidRDefault="00220702" w:rsidP="00220702">
            <w:pPr>
              <w:spacing w:before="120" w:after="120" w:line="240" w:lineRule="auto"/>
              <w:jc w:val="left"/>
              <w:rPr>
                <w:rFonts w:eastAsia="Times New Roman"/>
                <w:szCs w:val="24"/>
              </w:rPr>
            </w:pPr>
            <w:r>
              <w:t>35</w:t>
            </w:r>
            <w:r w:rsidRPr="00E255DD">
              <w:rPr>
                <w:vertAlign w:val="superscript"/>
              </w:rPr>
              <w:t>th</w:t>
            </w:r>
            <w:r>
              <w:t xml:space="preserve"> Respondent:</w:t>
            </w:r>
          </w:p>
        </w:tc>
        <w:tc>
          <w:tcPr>
            <w:tcW w:w="3644" w:type="pct"/>
          </w:tcPr>
          <w:p w14:paraId="6BFAE8D3" w14:textId="161CB8B2" w:rsidR="00220702" w:rsidRPr="00696524" w:rsidRDefault="000C74A4" w:rsidP="00220702">
            <w:pPr>
              <w:spacing w:before="120" w:after="120" w:line="240" w:lineRule="auto"/>
              <w:jc w:val="left"/>
              <w:rPr>
                <w:rFonts w:eastAsia="Times New Roman"/>
                <w:szCs w:val="24"/>
              </w:rPr>
            </w:pPr>
            <w:r w:rsidRPr="00017132">
              <w:rPr>
                <w:rFonts w:eastAsia="Times New Roman"/>
                <w:szCs w:val="24"/>
              </w:rPr>
              <w:t>ACE GADIS</w:t>
            </w:r>
          </w:p>
        </w:tc>
      </w:tr>
      <w:tr w:rsidR="00220702" w:rsidRPr="00696524" w14:paraId="382DD049" w14:textId="77777777" w:rsidTr="00E61A18">
        <w:tc>
          <w:tcPr>
            <w:tcW w:w="1356" w:type="pct"/>
            <w:shd w:val="clear" w:color="auto" w:fill="auto"/>
          </w:tcPr>
          <w:p w14:paraId="185566E5" w14:textId="71DA000B" w:rsidR="00220702" w:rsidRPr="00696524" w:rsidRDefault="00220702" w:rsidP="00220702">
            <w:pPr>
              <w:spacing w:before="120" w:after="120" w:line="240" w:lineRule="auto"/>
              <w:jc w:val="left"/>
              <w:rPr>
                <w:rFonts w:eastAsia="Times New Roman"/>
                <w:szCs w:val="24"/>
              </w:rPr>
            </w:pPr>
            <w:r>
              <w:t>36</w:t>
            </w:r>
            <w:r w:rsidRPr="00E255DD">
              <w:rPr>
                <w:vertAlign w:val="superscript"/>
              </w:rPr>
              <w:t>th</w:t>
            </w:r>
            <w:r>
              <w:t xml:space="preserve"> Respondent:</w:t>
            </w:r>
          </w:p>
        </w:tc>
        <w:tc>
          <w:tcPr>
            <w:tcW w:w="3644" w:type="pct"/>
          </w:tcPr>
          <w:p w14:paraId="1F591957" w14:textId="298E888B" w:rsidR="00220702" w:rsidRPr="00696524" w:rsidRDefault="000C74A4" w:rsidP="00220702">
            <w:pPr>
              <w:spacing w:before="120" w:after="120" w:line="240" w:lineRule="auto"/>
              <w:jc w:val="left"/>
              <w:rPr>
                <w:rFonts w:eastAsia="Times New Roman"/>
                <w:szCs w:val="24"/>
              </w:rPr>
            </w:pPr>
            <w:r w:rsidRPr="00017132">
              <w:rPr>
                <w:rFonts w:eastAsia="Times New Roman"/>
                <w:szCs w:val="24"/>
              </w:rPr>
              <w:t>ANNIE CRABBIE</w:t>
            </w:r>
          </w:p>
        </w:tc>
      </w:tr>
      <w:tr w:rsidR="00220702" w:rsidRPr="00696524" w14:paraId="5BBE98B1" w14:textId="77777777" w:rsidTr="00E61A18">
        <w:tc>
          <w:tcPr>
            <w:tcW w:w="1356" w:type="pct"/>
            <w:shd w:val="clear" w:color="auto" w:fill="auto"/>
          </w:tcPr>
          <w:p w14:paraId="0F5A3926" w14:textId="2857B331" w:rsidR="00220702" w:rsidRPr="00696524" w:rsidRDefault="00220702" w:rsidP="00220702">
            <w:pPr>
              <w:spacing w:before="120" w:after="120" w:line="240" w:lineRule="auto"/>
              <w:jc w:val="left"/>
              <w:rPr>
                <w:rFonts w:eastAsia="Times New Roman"/>
                <w:szCs w:val="24"/>
              </w:rPr>
            </w:pPr>
            <w:r>
              <w:t>37</w:t>
            </w:r>
            <w:r w:rsidRPr="00E255DD">
              <w:rPr>
                <w:vertAlign w:val="superscript"/>
              </w:rPr>
              <w:t>th</w:t>
            </w:r>
            <w:r>
              <w:t xml:space="preserve"> Respondent:</w:t>
            </w:r>
          </w:p>
        </w:tc>
        <w:tc>
          <w:tcPr>
            <w:tcW w:w="3644" w:type="pct"/>
          </w:tcPr>
          <w:p w14:paraId="134F13FD" w14:textId="3483CB53" w:rsidR="00220702" w:rsidRPr="00696524" w:rsidRDefault="000C74A4" w:rsidP="00220702">
            <w:pPr>
              <w:spacing w:before="120" w:after="120" w:line="240" w:lineRule="auto"/>
              <w:jc w:val="left"/>
              <w:rPr>
                <w:rFonts w:eastAsia="Times New Roman"/>
                <w:szCs w:val="24"/>
              </w:rPr>
            </w:pPr>
            <w:r w:rsidRPr="00017132">
              <w:rPr>
                <w:rFonts w:eastAsia="Times New Roman"/>
                <w:szCs w:val="24"/>
              </w:rPr>
              <w:t>NIZAR HAIDAR</w:t>
            </w:r>
          </w:p>
        </w:tc>
      </w:tr>
      <w:tr w:rsidR="00220702" w:rsidRPr="00696524" w14:paraId="7882EC2C" w14:textId="77777777" w:rsidTr="00E61A18">
        <w:tc>
          <w:tcPr>
            <w:tcW w:w="1356" w:type="pct"/>
            <w:shd w:val="clear" w:color="auto" w:fill="auto"/>
          </w:tcPr>
          <w:p w14:paraId="37B5107C" w14:textId="28D0CCC4" w:rsidR="00220702" w:rsidRPr="00696524" w:rsidRDefault="00220702" w:rsidP="00220702">
            <w:pPr>
              <w:spacing w:before="120" w:after="120" w:line="240" w:lineRule="auto"/>
              <w:jc w:val="left"/>
              <w:rPr>
                <w:rFonts w:eastAsia="Times New Roman"/>
                <w:szCs w:val="24"/>
              </w:rPr>
            </w:pPr>
            <w:r>
              <w:t>38</w:t>
            </w:r>
            <w:r w:rsidRPr="00280993">
              <w:rPr>
                <w:vertAlign w:val="superscript"/>
              </w:rPr>
              <w:t>th</w:t>
            </w:r>
            <w:r>
              <w:t xml:space="preserve"> Respondent:</w:t>
            </w:r>
          </w:p>
        </w:tc>
        <w:tc>
          <w:tcPr>
            <w:tcW w:w="3644" w:type="pct"/>
          </w:tcPr>
          <w:p w14:paraId="38463598" w14:textId="32AE5D25" w:rsidR="00220702" w:rsidRPr="00696524" w:rsidRDefault="000C74A4" w:rsidP="00220702">
            <w:pPr>
              <w:spacing w:before="120" w:after="120" w:line="240" w:lineRule="auto"/>
              <w:jc w:val="left"/>
              <w:rPr>
                <w:rFonts w:eastAsia="Times New Roman"/>
                <w:szCs w:val="24"/>
              </w:rPr>
            </w:pPr>
            <w:r w:rsidRPr="00017132">
              <w:rPr>
                <w:rFonts w:eastAsia="Times New Roman"/>
                <w:szCs w:val="24"/>
              </w:rPr>
              <w:t>MIRVAT HAIDAR</w:t>
            </w:r>
          </w:p>
        </w:tc>
      </w:tr>
      <w:tr w:rsidR="00220702" w:rsidRPr="00696524" w14:paraId="32F5D977" w14:textId="77777777" w:rsidTr="00E61A18">
        <w:tc>
          <w:tcPr>
            <w:tcW w:w="1356" w:type="pct"/>
            <w:shd w:val="clear" w:color="auto" w:fill="auto"/>
          </w:tcPr>
          <w:p w14:paraId="34F58923" w14:textId="01B5F0FA" w:rsidR="00220702" w:rsidRPr="00696524" w:rsidRDefault="00220702" w:rsidP="00220702">
            <w:pPr>
              <w:spacing w:before="120" w:after="120" w:line="240" w:lineRule="auto"/>
              <w:jc w:val="left"/>
              <w:rPr>
                <w:rFonts w:eastAsia="Times New Roman"/>
                <w:szCs w:val="24"/>
              </w:rPr>
            </w:pPr>
            <w:r>
              <w:t>39</w:t>
            </w:r>
            <w:r w:rsidRPr="00280993">
              <w:rPr>
                <w:vertAlign w:val="superscript"/>
              </w:rPr>
              <w:t>th</w:t>
            </w:r>
            <w:r>
              <w:t xml:space="preserve"> Respondent:</w:t>
            </w:r>
          </w:p>
        </w:tc>
        <w:tc>
          <w:tcPr>
            <w:tcW w:w="3644" w:type="pct"/>
          </w:tcPr>
          <w:p w14:paraId="4A9AE2A6" w14:textId="109CDCA3" w:rsidR="00220702" w:rsidRPr="00696524" w:rsidRDefault="000C74A4" w:rsidP="00220702">
            <w:pPr>
              <w:spacing w:before="120" w:after="120" w:line="240" w:lineRule="auto"/>
              <w:jc w:val="left"/>
              <w:rPr>
                <w:rFonts w:eastAsia="Times New Roman"/>
                <w:szCs w:val="24"/>
              </w:rPr>
            </w:pPr>
            <w:r w:rsidRPr="00C104BF">
              <w:rPr>
                <w:rFonts w:eastAsia="Times New Roman"/>
                <w:szCs w:val="24"/>
              </w:rPr>
              <w:t>MONICA ABBOUD</w:t>
            </w:r>
          </w:p>
        </w:tc>
      </w:tr>
      <w:tr w:rsidR="00220702" w:rsidRPr="00696524" w14:paraId="3D41F57D" w14:textId="77777777" w:rsidTr="00E61A18">
        <w:tc>
          <w:tcPr>
            <w:tcW w:w="1356" w:type="pct"/>
            <w:shd w:val="clear" w:color="auto" w:fill="auto"/>
          </w:tcPr>
          <w:p w14:paraId="636086B8" w14:textId="23CEFF05" w:rsidR="00220702" w:rsidRPr="00696524" w:rsidRDefault="00220702" w:rsidP="00220702">
            <w:pPr>
              <w:spacing w:before="120" w:after="120" w:line="240" w:lineRule="auto"/>
              <w:jc w:val="left"/>
              <w:rPr>
                <w:rFonts w:eastAsia="Times New Roman"/>
                <w:szCs w:val="24"/>
              </w:rPr>
            </w:pPr>
            <w:r>
              <w:t>40</w:t>
            </w:r>
            <w:r w:rsidRPr="00280993">
              <w:rPr>
                <w:vertAlign w:val="superscript"/>
              </w:rPr>
              <w:t>th</w:t>
            </w:r>
            <w:r>
              <w:t xml:space="preserve"> Respondent:</w:t>
            </w:r>
          </w:p>
        </w:tc>
        <w:tc>
          <w:tcPr>
            <w:tcW w:w="3644" w:type="pct"/>
          </w:tcPr>
          <w:p w14:paraId="091D1F2F" w14:textId="7B1AAFE3" w:rsidR="00220702" w:rsidRPr="00696524" w:rsidRDefault="000C74A4" w:rsidP="00220702">
            <w:pPr>
              <w:spacing w:before="120" w:after="120" w:line="240" w:lineRule="auto"/>
              <w:jc w:val="left"/>
              <w:rPr>
                <w:rFonts w:eastAsia="Times New Roman"/>
                <w:szCs w:val="24"/>
              </w:rPr>
            </w:pPr>
            <w:r w:rsidRPr="00C104BF">
              <w:rPr>
                <w:rFonts w:eastAsia="Times New Roman"/>
                <w:szCs w:val="24"/>
              </w:rPr>
              <w:t>PASCKAL MITRY</w:t>
            </w:r>
          </w:p>
        </w:tc>
      </w:tr>
      <w:tr w:rsidR="00220702" w:rsidRPr="00696524" w14:paraId="5F20DC9A" w14:textId="77777777" w:rsidTr="00E61A18">
        <w:tc>
          <w:tcPr>
            <w:tcW w:w="1356" w:type="pct"/>
            <w:shd w:val="clear" w:color="auto" w:fill="auto"/>
          </w:tcPr>
          <w:p w14:paraId="69E5FAB5" w14:textId="471D037A" w:rsidR="00220702" w:rsidRPr="00696524" w:rsidRDefault="00220702" w:rsidP="00220702">
            <w:pPr>
              <w:spacing w:before="120" w:after="120" w:line="240" w:lineRule="auto"/>
              <w:jc w:val="left"/>
              <w:rPr>
                <w:rFonts w:eastAsia="Times New Roman"/>
                <w:szCs w:val="24"/>
              </w:rPr>
            </w:pPr>
            <w:r>
              <w:t>41</w:t>
            </w:r>
            <w:r w:rsidRPr="00280993">
              <w:rPr>
                <w:vertAlign w:val="superscript"/>
              </w:rPr>
              <w:t>st</w:t>
            </w:r>
            <w:r>
              <w:t xml:space="preserve"> Respondent:</w:t>
            </w:r>
          </w:p>
        </w:tc>
        <w:tc>
          <w:tcPr>
            <w:tcW w:w="3644" w:type="pct"/>
          </w:tcPr>
          <w:p w14:paraId="36CFDB67" w14:textId="62160B93" w:rsidR="00220702" w:rsidRPr="00696524" w:rsidRDefault="000C74A4" w:rsidP="00220702">
            <w:pPr>
              <w:spacing w:before="120" w:after="120" w:line="240" w:lineRule="auto"/>
              <w:jc w:val="left"/>
              <w:rPr>
                <w:rFonts w:eastAsia="Times New Roman"/>
                <w:szCs w:val="24"/>
              </w:rPr>
            </w:pPr>
            <w:r w:rsidRPr="0085090D">
              <w:rPr>
                <w:rFonts w:eastAsia="Times New Roman"/>
                <w:szCs w:val="24"/>
              </w:rPr>
              <w:t>VICTOR PACE</w:t>
            </w:r>
          </w:p>
        </w:tc>
      </w:tr>
      <w:tr w:rsidR="00220702" w:rsidRPr="00696524" w14:paraId="339BCAC1" w14:textId="77777777" w:rsidTr="00E61A18">
        <w:tc>
          <w:tcPr>
            <w:tcW w:w="1356" w:type="pct"/>
            <w:shd w:val="clear" w:color="auto" w:fill="auto"/>
          </w:tcPr>
          <w:p w14:paraId="707530A6" w14:textId="40C33769" w:rsidR="00220702" w:rsidRPr="00696524" w:rsidRDefault="00220702" w:rsidP="00220702">
            <w:pPr>
              <w:spacing w:before="120" w:after="120" w:line="240" w:lineRule="auto"/>
              <w:jc w:val="left"/>
              <w:rPr>
                <w:rFonts w:eastAsia="Times New Roman"/>
                <w:szCs w:val="24"/>
              </w:rPr>
            </w:pPr>
            <w:r>
              <w:t>42</w:t>
            </w:r>
            <w:r w:rsidRPr="00280993">
              <w:rPr>
                <w:vertAlign w:val="superscript"/>
              </w:rPr>
              <w:t>nd</w:t>
            </w:r>
            <w:r>
              <w:t xml:space="preserve"> Respondent:</w:t>
            </w:r>
          </w:p>
        </w:tc>
        <w:tc>
          <w:tcPr>
            <w:tcW w:w="3644" w:type="pct"/>
          </w:tcPr>
          <w:p w14:paraId="5AD835FB" w14:textId="232255DC" w:rsidR="00220702" w:rsidRPr="00696524" w:rsidRDefault="000C74A4" w:rsidP="00220702">
            <w:pPr>
              <w:spacing w:before="120" w:after="120" w:line="240" w:lineRule="auto"/>
              <w:jc w:val="left"/>
              <w:rPr>
                <w:rFonts w:eastAsia="Times New Roman"/>
                <w:szCs w:val="24"/>
              </w:rPr>
            </w:pPr>
            <w:r w:rsidRPr="0085090D">
              <w:rPr>
                <w:rFonts w:eastAsia="Times New Roman"/>
                <w:szCs w:val="24"/>
              </w:rPr>
              <w:t>CATHERINE PACE</w:t>
            </w:r>
          </w:p>
        </w:tc>
      </w:tr>
      <w:tr w:rsidR="00220702" w:rsidRPr="00696524" w14:paraId="3BE45AEE" w14:textId="77777777" w:rsidTr="00E61A18">
        <w:tc>
          <w:tcPr>
            <w:tcW w:w="1356" w:type="pct"/>
            <w:shd w:val="clear" w:color="auto" w:fill="auto"/>
          </w:tcPr>
          <w:p w14:paraId="2D74D67C" w14:textId="63EC6C06" w:rsidR="00220702" w:rsidRPr="00696524" w:rsidRDefault="00220702" w:rsidP="00220702">
            <w:pPr>
              <w:spacing w:before="120" w:after="120" w:line="240" w:lineRule="auto"/>
              <w:jc w:val="left"/>
              <w:rPr>
                <w:rFonts w:eastAsia="Times New Roman"/>
                <w:szCs w:val="24"/>
              </w:rPr>
            </w:pPr>
            <w:r>
              <w:t>43</w:t>
            </w:r>
            <w:r w:rsidRPr="00280993">
              <w:rPr>
                <w:vertAlign w:val="superscript"/>
              </w:rPr>
              <w:t>rd</w:t>
            </w:r>
            <w:r>
              <w:t xml:space="preserve"> Respondent:</w:t>
            </w:r>
          </w:p>
        </w:tc>
        <w:tc>
          <w:tcPr>
            <w:tcW w:w="3644" w:type="pct"/>
          </w:tcPr>
          <w:p w14:paraId="765527CA" w14:textId="1FF57DC0" w:rsidR="00220702" w:rsidRPr="00696524" w:rsidRDefault="000C74A4" w:rsidP="00220702">
            <w:pPr>
              <w:spacing w:before="120" w:after="120" w:line="240" w:lineRule="auto"/>
              <w:jc w:val="left"/>
              <w:rPr>
                <w:rFonts w:eastAsia="Times New Roman"/>
                <w:szCs w:val="24"/>
              </w:rPr>
            </w:pPr>
            <w:r w:rsidRPr="0085090D">
              <w:rPr>
                <w:rFonts w:eastAsia="Times New Roman"/>
                <w:szCs w:val="24"/>
              </w:rPr>
              <w:t>SLAVEN SURLA</w:t>
            </w:r>
          </w:p>
        </w:tc>
      </w:tr>
      <w:tr w:rsidR="00220702" w:rsidRPr="00696524" w14:paraId="3E75B756" w14:textId="77777777" w:rsidTr="00E61A18">
        <w:tc>
          <w:tcPr>
            <w:tcW w:w="1356" w:type="pct"/>
            <w:shd w:val="clear" w:color="auto" w:fill="auto"/>
          </w:tcPr>
          <w:p w14:paraId="004D5E99" w14:textId="26E0AFC8" w:rsidR="00220702" w:rsidRPr="00696524" w:rsidRDefault="00220702" w:rsidP="00220702">
            <w:pPr>
              <w:spacing w:before="120" w:after="120" w:line="240" w:lineRule="auto"/>
              <w:jc w:val="left"/>
              <w:rPr>
                <w:rFonts w:eastAsia="Times New Roman"/>
                <w:szCs w:val="24"/>
              </w:rPr>
            </w:pPr>
            <w:r>
              <w:t>44</w:t>
            </w:r>
            <w:r w:rsidRPr="00280993">
              <w:rPr>
                <w:vertAlign w:val="superscript"/>
              </w:rPr>
              <w:t>th</w:t>
            </w:r>
            <w:r>
              <w:t xml:space="preserve"> Respondent:</w:t>
            </w:r>
          </w:p>
        </w:tc>
        <w:tc>
          <w:tcPr>
            <w:tcW w:w="3644" w:type="pct"/>
          </w:tcPr>
          <w:p w14:paraId="3332C9D5" w14:textId="3E4EE141" w:rsidR="00220702" w:rsidRPr="00696524" w:rsidRDefault="000C74A4" w:rsidP="00220702">
            <w:pPr>
              <w:spacing w:before="120" w:after="120" w:line="240" w:lineRule="auto"/>
              <w:jc w:val="left"/>
              <w:rPr>
                <w:rFonts w:eastAsia="Times New Roman"/>
                <w:szCs w:val="24"/>
              </w:rPr>
            </w:pPr>
            <w:r w:rsidRPr="0085090D">
              <w:rPr>
                <w:rFonts w:eastAsia="Times New Roman"/>
                <w:szCs w:val="24"/>
              </w:rPr>
              <w:t>MARIAN RAHME</w:t>
            </w:r>
          </w:p>
        </w:tc>
      </w:tr>
      <w:tr w:rsidR="00220702" w:rsidRPr="00696524" w14:paraId="5322F108" w14:textId="77777777" w:rsidTr="00E61A18">
        <w:tc>
          <w:tcPr>
            <w:tcW w:w="1356" w:type="pct"/>
            <w:shd w:val="clear" w:color="auto" w:fill="auto"/>
          </w:tcPr>
          <w:p w14:paraId="0EF0F547" w14:textId="108677E8" w:rsidR="00220702" w:rsidRPr="00696524" w:rsidRDefault="00220702" w:rsidP="00220702">
            <w:pPr>
              <w:spacing w:before="120" w:after="120" w:line="240" w:lineRule="auto"/>
              <w:jc w:val="left"/>
              <w:rPr>
                <w:rFonts w:eastAsia="Times New Roman"/>
                <w:szCs w:val="24"/>
              </w:rPr>
            </w:pPr>
            <w:r>
              <w:t>45</w:t>
            </w:r>
            <w:r w:rsidRPr="00280993">
              <w:rPr>
                <w:vertAlign w:val="superscript"/>
              </w:rPr>
              <w:t>th</w:t>
            </w:r>
            <w:r>
              <w:t xml:space="preserve"> Respondent:</w:t>
            </w:r>
          </w:p>
        </w:tc>
        <w:tc>
          <w:tcPr>
            <w:tcW w:w="3644" w:type="pct"/>
          </w:tcPr>
          <w:p w14:paraId="4CFE4ED4" w14:textId="51561401" w:rsidR="00220702" w:rsidRPr="00696524" w:rsidRDefault="000C74A4" w:rsidP="00220702">
            <w:pPr>
              <w:spacing w:before="120" w:after="120" w:line="240" w:lineRule="auto"/>
              <w:jc w:val="left"/>
              <w:rPr>
                <w:rFonts w:eastAsia="Times New Roman"/>
                <w:szCs w:val="24"/>
              </w:rPr>
            </w:pPr>
            <w:r w:rsidRPr="0085090D">
              <w:rPr>
                <w:rFonts w:eastAsia="Times New Roman"/>
                <w:szCs w:val="24"/>
              </w:rPr>
              <w:t>PETER ABBOUD</w:t>
            </w:r>
          </w:p>
        </w:tc>
      </w:tr>
      <w:tr w:rsidR="00220702" w:rsidRPr="00696524" w14:paraId="0B3107E8" w14:textId="77777777" w:rsidTr="00E61A18">
        <w:tc>
          <w:tcPr>
            <w:tcW w:w="1356" w:type="pct"/>
            <w:shd w:val="clear" w:color="auto" w:fill="auto"/>
          </w:tcPr>
          <w:p w14:paraId="170E8908" w14:textId="446FEDB8" w:rsidR="00220702" w:rsidRDefault="00220702" w:rsidP="00220702">
            <w:pPr>
              <w:spacing w:before="120" w:after="120" w:line="240" w:lineRule="auto"/>
              <w:jc w:val="left"/>
            </w:pPr>
            <w:r>
              <w:t>46</w:t>
            </w:r>
            <w:r w:rsidRPr="00257C46">
              <w:rPr>
                <w:vertAlign w:val="superscript"/>
              </w:rPr>
              <w:t>th</w:t>
            </w:r>
            <w:r>
              <w:t xml:space="preserve"> Respondent </w:t>
            </w:r>
          </w:p>
        </w:tc>
        <w:tc>
          <w:tcPr>
            <w:tcW w:w="3644" w:type="pct"/>
          </w:tcPr>
          <w:p w14:paraId="23ABA6F7" w14:textId="347D35AA" w:rsidR="00220702" w:rsidRPr="00696524" w:rsidRDefault="000C74A4" w:rsidP="00220702">
            <w:pPr>
              <w:spacing w:before="120" w:after="120" w:line="240" w:lineRule="auto"/>
              <w:jc w:val="left"/>
              <w:rPr>
                <w:rFonts w:eastAsia="Times New Roman"/>
                <w:szCs w:val="24"/>
              </w:rPr>
            </w:pPr>
            <w:r w:rsidRPr="00220702">
              <w:rPr>
                <w:rFonts w:eastAsia="Times New Roman"/>
                <w:szCs w:val="24"/>
              </w:rPr>
              <w:t>GIVANA PTY LTD</w:t>
            </w:r>
          </w:p>
        </w:tc>
      </w:tr>
      <w:tr w:rsidR="00220702" w:rsidRPr="00696524" w14:paraId="0F001409" w14:textId="77777777" w:rsidTr="00E61A18">
        <w:tc>
          <w:tcPr>
            <w:tcW w:w="1356" w:type="pct"/>
            <w:shd w:val="clear" w:color="auto" w:fill="auto"/>
          </w:tcPr>
          <w:p w14:paraId="7890F74D" w14:textId="4390D537" w:rsidR="00220702" w:rsidRPr="00696524" w:rsidRDefault="00220702" w:rsidP="00220702">
            <w:pPr>
              <w:spacing w:before="120" w:after="120" w:line="240" w:lineRule="auto"/>
              <w:jc w:val="left"/>
              <w:rPr>
                <w:rFonts w:eastAsia="Times New Roman"/>
                <w:szCs w:val="24"/>
              </w:rPr>
            </w:pPr>
            <w:r>
              <w:t>47</w:t>
            </w:r>
            <w:r w:rsidRPr="00280993">
              <w:rPr>
                <w:vertAlign w:val="superscript"/>
              </w:rPr>
              <w:t>th</w:t>
            </w:r>
            <w:r>
              <w:t xml:space="preserve"> Respondent:</w:t>
            </w:r>
          </w:p>
        </w:tc>
        <w:tc>
          <w:tcPr>
            <w:tcW w:w="3644" w:type="pct"/>
          </w:tcPr>
          <w:p w14:paraId="6C6C3A28" w14:textId="57CC1A88" w:rsidR="00220702" w:rsidRPr="00696524" w:rsidRDefault="000C74A4" w:rsidP="00220702">
            <w:pPr>
              <w:spacing w:before="120" w:after="120" w:line="240" w:lineRule="auto"/>
              <w:jc w:val="left"/>
              <w:rPr>
                <w:rFonts w:eastAsia="Times New Roman"/>
                <w:szCs w:val="24"/>
              </w:rPr>
            </w:pPr>
            <w:r w:rsidRPr="00220702">
              <w:rPr>
                <w:rFonts w:eastAsia="Times New Roman"/>
                <w:szCs w:val="24"/>
              </w:rPr>
              <w:t>MAGGIE CHAN IN HER CAPACITY AS THE EXECUTRIX OF THE ESTATE OF THE LATE MURRAY RODERICK GODFREY</w:t>
            </w:r>
          </w:p>
        </w:tc>
      </w:tr>
      <w:tr w:rsidR="00220702" w:rsidRPr="00696524" w14:paraId="60B1DA4D" w14:textId="77777777" w:rsidTr="00E61A18">
        <w:tc>
          <w:tcPr>
            <w:tcW w:w="1356" w:type="pct"/>
            <w:shd w:val="clear" w:color="auto" w:fill="auto"/>
          </w:tcPr>
          <w:p w14:paraId="4898A216" w14:textId="5DF369CE" w:rsidR="00220702" w:rsidRPr="00696524" w:rsidRDefault="00220702" w:rsidP="00220702">
            <w:pPr>
              <w:spacing w:before="120" w:after="120" w:line="240" w:lineRule="auto"/>
              <w:jc w:val="left"/>
              <w:rPr>
                <w:rFonts w:eastAsia="Times New Roman"/>
                <w:szCs w:val="24"/>
              </w:rPr>
            </w:pPr>
            <w:r>
              <w:t>48</w:t>
            </w:r>
            <w:r w:rsidRPr="00280993">
              <w:rPr>
                <w:vertAlign w:val="superscript"/>
              </w:rPr>
              <w:t>th</w:t>
            </w:r>
            <w:r>
              <w:t xml:space="preserve"> Respondent:</w:t>
            </w:r>
          </w:p>
        </w:tc>
        <w:tc>
          <w:tcPr>
            <w:tcW w:w="3644" w:type="pct"/>
          </w:tcPr>
          <w:p w14:paraId="228EF09F" w14:textId="6B3A4617" w:rsidR="00220702" w:rsidRPr="00696524" w:rsidRDefault="000C74A4" w:rsidP="00220702">
            <w:pPr>
              <w:spacing w:before="120" w:after="120" w:line="240" w:lineRule="auto"/>
              <w:jc w:val="left"/>
              <w:rPr>
                <w:rFonts w:eastAsia="Times New Roman"/>
                <w:szCs w:val="24"/>
              </w:rPr>
            </w:pPr>
            <w:r w:rsidRPr="00220702">
              <w:rPr>
                <w:rFonts w:eastAsia="Times New Roman"/>
                <w:szCs w:val="24"/>
              </w:rPr>
              <w:t>VERITAS ADVISORY PTY LTD</w:t>
            </w:r>
          </w:p>
        </w:tc>
      </w:tr>
      <w:tr w:rsidR="00220702" w:rsidRPr="00696524" w14:paraId="47DBB4C4" w14:textId="77777777" w:rsidTr="00E61A18">
        <w:tc>
          <w:tcPr>
            <w:tcW w:w="1356" w:type="pct"/>
            <w:shd w:val="clear" w:color="auto" w:fill="auto"/>
          </w:tcPr>
          <w:p w14:paraId="7B9716AF" w14:textId="4BD7CA66" w:rsidR="00220702" w:rsidRPr="00696524" w:rsidRDefault="00220702" w:rsidP="00220702">
            <w:pPr>
              <w:spacing w:before="120" w:after="120" w:line="240" w:lineRule="auto"/>
              <w:jc w:val="left"/>
              <w:rPr>
                <w:rFonts w:eastAsia="Times New Roman"/>
                <w:szCs w:val="24"/>
              </w:rPr>
            </w:pPr>
            <w:r>
              <w:t>49</w:t>
            </w:r>
            <w:r w:rsidRPr="00280993">
              <w:rPr>
                <w:vertAlign w:val="superscript"/>
              </w:rPr>
              <w:t>th</w:t>
            </w:r>
            <w:r>
              <w:t xml:space="preserve"> Respondent:</w:t>
            </w:r>
          </w:p>
        </w:tc>
        <w:tc>
          <w:tcPr>
            <w:tcW w:w="3644" w:type="pct"/>
          </w:tcPr>
          <w:p w14:paraId="6E4E2B30" w14:textId="4C9CD790" w:rsidR="00220702" w:rsidRPr="00696524" w:rsidRDefault="000C74A4" w:rsidP="00220702">
            <w:pPr>
              <w:spacing w:before="120" w:after="120" w:line="240" w:lineRule="auto"/>
              <w:jc w:val="left"/>
              <w:rPr>
                <w:rFonts w:eastAsia="Times New Roman"/>
                <w:szCs w:val="24"/>
              </w:rPr>
            </w:pPr>
            <w:r w:rsidRPr="00220702">
              <w:rPr>
                <w:rFonts w:eastAsia="Times New Roman"/>
                <w:szCs w:val="24"/>
              </w:rPr>
              <w:t>DAVID NICHOLAS IANNUZZI</w:t>
            </w:r>
          </w:p>
        </w:tc>
      </w:tr>
    </w:tbl>
    <w:p w14:paraId="4C9C1B6E" w14:textId="77777777" w:rsidR="00E77FEF" w:rsidRPr="00905605" w:rsidRDefault="00E77FEF" w:rsidP="00D73447">
      <w:pPr>
        <w:pStyle w:val="BodyText"/>
        <w:rPr>
          <w:highlight w:val="yellow"/>
        </w:rPr>
      </w:pPr>
    </w:p>
    <w:sectPr w:rsidR="00E77FEF" w:rsidRPr="00905605"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A57B" w14:textId="77777777" w:rsidR="00EF539B" w:rsidRDefault="00EF539B">
      <w:pPr>
        <w:spacing w:line="20" w:lineRule="exact"/>
      </w:pPr>
    </w:p>
    <w:p w14:paraId="56EB1C13" w14:textId="77777777" w:rsidR="00EF539B" w:rsidRDefault="00EF539B"/>
    <w:p w14:paraId="14A0EE2E" w14:textId="77777777" w:rsidR="00EF539B" w:rsidRDefault="00EF539B"/>
  </w:endnote>
  <w:endnote w:type="continuationSeparator" w:id="0">
    <w:p w14:paraId="6F00EB87" w14:textId="77777777" w:rsidR="00EF539B" w:rsidRDefault="00EF539B">
      <w:r>
        <w:t xml:space="preserve"> </w:t>
      </w:r>
    </w:p>
    <w:p w14:paraId="11588F29" w14:textId="77777777" w:rsidR="00EF539B" w:rsidRDefault="00EF539B"/>
    <w:p w14:paraId="0D78C7C7" w14:textId="77777777" w:rsidR="00EF539B" w:rsidRDefault="00EF539B"/>
  </w:endnote>
  <w:endnote w:type="continuationNotice" w:id="1">
    <w:p w14:paraId="017E82B7" w14:textId="77777777" w:rsidR="00EF539B" w:rsidRDefault="00EF539B">
      <w:r>
        <w:t xml:space="preserve"> </w:t>
      </w:r>
    </w:p>
    <w:p w14:paraId="6D6962CC" w14:textId="77777777" w:rsidR="00EF539B" w:rsidRDefault="00EF539B"/>
    <w:p w14:paraId="7F000E6A" w14:textId="77777777" w:rsidR="00EF539B" w:rsidRDefault="00EF5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C91C" w14:textId="77777777" w:rsidR="00D313AC" w:rsidRDefault="00D31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262B" w14:textId="291BAD57" w:rsidR="00291318" w:rsidRPr="00C47B9D" w:rsidRDefault="0029131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192BDEDC" wp14:editId="43115D9C">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60583"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BB1E5F">
          <w:rPr>
            <w:bCs/>
            <w:sz w:val="18"/>
            <w:szCs w:val="18"/>
          </w:rPr>
          <w:t xml:space="preserve">Commissioner of Taxation v Iannuzzi (No 3) [2024] FCA 45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04A6" w14:textId="77777777" w:rsidR="00D313AC" w:rsidRDefault="00D313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F93B" w14:textId="1145CF0E" w:rsidR="00291318" w:rsidRPr="00C47B9D" w:rsidRDefault="00291318"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0C4112A6" wp14:editId="37753024">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A9955"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548DE7C811B94361A3A7665C53494E34"/>
        </w:placeholder>
        <w:dataBinding w:prefixMappings="xmlns:ns0='http://schemas.globalmacros.com/FCA'" w:xpath="/ns0:root[1]/ns0:Name[1]" w:storeItemID="{687E7CCB-4AA5-44E7-B148-17BA2B6F57C0}"/>
        <w:text w:multiLine="1"/>
      </w:sdtPr>
      <w:sdtEndPr/>
      <w:sdtContent>
        <w:r w:rsidR="00BB1E5F">
          <w:rPr>
            <w:bCs/>
            <w:sz w:val="18"/>
            <w:szCs w:val="18"/>
          </w:rPr>
          <w:t xml:space="preserve">Commissioner of Taxation v Iannuzzi (No 3) [2024] FCA 45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proofErr w:type="spellStart"/>
    <w:r>
      <w:rPr>
        <w:bCs/>
        <w:sz w:val="20"/>
      </w:rPr>
      <w:t>i</w:t>
    </w:r>
    <w:proofErr w:type="spellEnd"/>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FAEC" w14:textId="6F59DD75" w:rsidR="00291318" w:rsidRPr="00C47B9D" w:rsidRDefault="0029131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25C493A5" wp14:editId="0160EE1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A24FB"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4EBAEBE61AF944329C9843B1673D60C5"/>
        </w:placeholder>
        <w:dataBinding w:prefixMappings="xmlns:ns0='http://schemas.globalmacros.com/FCA'" w:xpath="/ns0:root[1]/ns0:Name[1]" w:storeItemID="{687E7CCB-4AA5-44E7-B148-17BA2B6F57C0}"/>
        <w:text w:multiLine="1"/>
      </w:sdtPr>
      <w:sdtEndPr/>
      <w:sdtContent>
        <w:r w:rsidR="00BB1E5F">
          <w:rPr>
            <w:bCs/>
            <w:sz w:val="18"/>
            <w:szCs w:val="18"/>
          </w:rPr>
          <w:t xml:space="preserve">Commissioner of Taxation v Iannuzzi (No 3) [2024] FCA 45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87115">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4B2F" w14:textId="12FBDAFA" w:rsidR="00291318" w:rsidRPr="00C47B9D" w:rsidRDefault="0029131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03C18791" wp14:editId="327A7E53">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5B1047"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5DDE33CEFD1B48DD982E3F5AC214F849"/>
        </w:placeholder>
        <w:dataBinding w:prefixMappings="xmlns:ns0='http://schemas.globalmacros.com/FCA'" w:xpath="/ns0:root[1]/ns0:Name[1]" w:storeItemID="{687E7CCB-4AA5-44E7-B148-17BA2B6F57C0}"/>
        <w:text w:multiLine="1"/>
      </w:sdtPr>
      <w:sdtEndPr/>
      <w:sdtContent>
        <w:r w:rsidR="00BB1E5F">
          <w:rPr>
            <w:bCs/>
            <w:sz w:val="18"/>
            <w:szCs w:val="18"/>
          </w:rPr>
          <w:t xml:space="preserve">Commissioner of Taxation v Iannuzzi (No 3) [2024] FCA 45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F3577">
      <w:rPr>
        <w:bCs/>
        <w:noProof/>
        <w:sz w:val="20"/>
      </w:rPr>
      <w:t>8</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3BF7" w14:textId="302FFDA9" w:rsidR="00291318" w:rsidRPr="00C47B9D" w:rsidRDefault="0029131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204CF5EB" wp14:editId="438301F3">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E59A9"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1C1CE5078D854D9283D8E0B1FDAF612C"/>
        </w:placeholder>
        <w:dataBinding w:prefixMappings="xmlns:ns0='http://schemas.globalmacros.com/FCA'" w:xpath="/ns0:root[1]/ns0:Name[1]" w:storeItemID="{687E7CCB-4AA5-44E7-B148-17BA2B6F57C0}"/>
        <w:text w:multiLine="1"/>
      </w:sdtPr>
      <w:sdtEndPr/>
      <w:sdtContent>
        <w:r w:rsidR="00BB1E5F">
          <w:rPr>
            <w:bCs/>
            <w:sz w:val="18"/>
            <w:szCs w:val="18"/>
          </w:rPr>
          <w:t xml:space="preserve">Commissioner of Taxation v Iannuzzi (No 3) [2024] FCA 45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30077">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CFF3" w14:textId="77777777" w:rsidR="00EF539B" w:rsidRDefault="00EF539B"/>
  </w:footnote>
  <w:footnote w:type="continuationSeparator" w:id="0">
    <w:p w14:paraId="7886C275" w14:textId="77777777" w:rsidR="00EF539B" w:rsidRDefault="00EF539B">
      <w:r>
        <w:continuationSeparator/>
      </w:r>
    </w:p>
    <w:p w14:paraId="64DF02C7" w14:textId="77777777" w:rsidR="00EF539B" w:rsidRDefault="00EF539B"/>
    <w:p w14:paraId="5A7A8B4C" w14:textId="77777777" w:rsidR="00EF539B" w:rsidRDefault="00EF539B"/>
  </w:footnote>
  <w:footnote w:type="continuationNotice" w:id="1">
    <w:p w14:paraId="43210157" w14:textId="77777777" w:rsidR="00EF539B" w:rsidRDefault="00EF53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87C7" w14:textId="77777777" w:rsidR="00D313AC" w:rsidRDefault="00D31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ECFD" w14:textId="77777777" w:rsidR="00D313AC" w:rsidRDefault="00D31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D9A9" w14:textId="77777777" w:rsidR="00D313AC" w:rsidRDefault="00D313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D520" w14:textId="77777777" w:rsidR="00291318" w:rsidRDefault="00291318">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7FD2" w14:textId="77777777" w:rsidR="00291318" w:rsidRDefault="00291318">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7C69" w14:textId="77777777" w:rsidR="00291318" w:rsidRDefault="0029131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78D1" w14:textId="77777777" w:rsidR="00291318" w:rsidRDefault="00291318">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51FA" w14:textId="77777777" w:rsidR="00291318" w:rsidRDefault="00291318"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B2F011C4"/>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2268"/>
        </w:tabs>
        <w:ind w:left="2988"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784036350">
    <w:abstractNumId w:val="14"/>
  </w:num>
  <w:num w:numId="2" w16cid:durableId="227498842">
    <w:abstractNumId w:val="9"/>
  </w:num>
  <w:num w:numId="3" w16cid:durableId="1523861982">
    <w:abstractNumId w:val="7"/>
  </w:num>
  <w:num w:numId="4" w16cid:durableId="281115094">
    <w:abstractNumId w:val="6"/>
  </w:num>
  <w:num w:numId="5" w16cid:durableId="755708575">
    <w:abstractNumId w:val="5"/>
  </w:num>
  <w:num w:numId="6" w16cid:durableId="67850687">
    <w:abstractNumId w:val="4"/>
  </w:num>
  <w:num w:numId="7" w16cid:durableId="1123815912">
    <w:abstractNumId w:val="8"/>
  </w:num>
  <w:num w:numId="8" w16cid:durableId="1574774812">
    <w:abstractNumId w:val="3"/>
  </w:num>
  <w:num w:numId="9" w16cid:durableId="90972073">
    <w:abstractNumId w:val="2"/>
  </w:num>
  <w:num w:numId="10" w16cid:durableId="1925409844">
    <w:abstractNumId w:val="1"/>
  </w:num>
  <w:num w:numId="11" w16cid:durableId="1561599865">
    <w:abstractNumId w:val="0"/>
  </w:num>
  <w:num w:numId="12" w16cid:durableId="1939747636">
    <w:abstractNumId w:val="22"/>
  </w:num>
  <w:num w:numId="13" w16cid:durableId="1500073941">
    <w:abstractNumId w:val="20"/>
  </w:num>
  <w:num w:numId="14" w16cid:durableId="471681627">
    <w:abstractNumId w:val="21"/>
  </w:num>
  <w:num w:numId="15" w16cid:durableId="2060666156">
    <w:abstractNumId w:val="24"/>
  </w:num>
  <w:num w:numId="16" w16cid:durableId="2003508738">
    <w:abstractNumId w:val="13"/>
  </w:num>
  <w:num w:numId="17" w16cid:durableId="1097560875">
    <w:abstractNumId w:val="23"/>
  </w:num>
  <w:num w:numId="18" w16cid:durableId="129711637">
    <w:abstractNumId w:val="11"/>
  </w:num>
  <w:num w:numId="19" w16cid:durableId="973877161">
    <w:abstractNumId w:val="18"/>
  </w:num>
  <w:num w:numId="20" w16cid:durableId="1384020929">
    <w:abstractNumId w:val="15"/>
  </w:num>
  <w:num w:numId="21" w16cid:durableId="490606067">
    <w:abstractNumId w:val="16"/>
  </w:num>
  <w:num w:numId="22" w16cid:durableId="532767455">
    <w:abstractNumId w:val="10"/>
  </w:num>
  <w:num w:numId="23" w16cid:durableId="1011378509">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num>
  <w:num w:numId="24" w16cid:durableId="980110583">
    <w:abstractNumId w:val="12"/>
  </w:num>
  <w:num w:numId="25" w16cid:durableId="2068910879">
    <w:abstractNumId w:val="17"/>
  </w:num>
  <w:num w:numId="26" w16cid:durableId="1648166686">
    <w:abstractNumId w:val="17"/>
  </w:num>
  <w:num w:numId="27" w16cid:durableId="820778592">
    <w:abstractNumId w:val="19"/>
  </w:num>
  <w:num w:numId="28" w16cid:durableId="62027908">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135257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6512594">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28"/>
          </w:tabs>
          <w:ind w:left="1428"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1" w16cid:durableId="1509245655">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85612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4841445">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4" w16cid:durableId="288825435">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16cid:durableId="1107042766">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6" w16cid:durableId="332955546">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16cid:durableId="1682472069">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16cid:durableId="1794596677">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9" w16cid:durableId="1954826881">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16cid:durableId="821317714">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1" w16cid:durableId="1147624531">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2" w16cid:durableId="1545947412">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16cid:durableId="806162456">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4" w16cid:durableId="86193469">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5" w16cid:durableId="928270734">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6" w16cid:durableId="2104060266">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7" w16cid:durableId="859010950">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8" w16cid:durableId="540435970">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9" w16cid:durableId="1961380351">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0" w16cid:durableId="1342246662">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1" w16cid:durableId="387803519">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2" w16cid:durableId="1554581210">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3" w16cid:durableId="1502937833">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4" w16cid:durableId="696544487">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5" w16cid:durableId="184948655">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6" w16cid:durableId="1698003659">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7" w16cid:durableId="770663165">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8" w16cid:durableId="487595259">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9" w16cid:durableId="380176041">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60" w16cid:durableId="1341159438">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61" w16cid:durableId="12539794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2" w16cid:durableId="441219642">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28"/>
          </w:tabs>
          <w:ind w:left="1428"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0C"/>
    <w:rsid w:val="00000434"/>
    <w:rsid w:val="000004E3"/>
    <w:rsid w:val="00000747"/>
    <w:rsid w:val="00000A6F"/>
    <w:rsid w:val="00000F9A"/>
    <w:rsid w:val="00001D0F"/>
    <w:rsid w:val="00001E0B"/>
    <w:rsid w:val="00002E5F"/>
    <w:rsid w:val="00003052"/>
    <w:rsid w:val="000038E8"/>
    <w:rsid w:val="00003962"/>
    <w:rsid w:val="00003B8A"/>
    <w:rsid w:val="00003CF4"/>
    <w:rsid w:val="000045D9"/>
    <w:rsid w:val="00004BD5"/>
    <w:rsid w:val="000052F7"/>
    <w:rsid w:val="00005C0C"/>
    <w:rsid w:val="00005E6B"/>
    <w:rsid w:val="00005FB8"/>
    <w:rsid w:val="00006965"/>
    <w:rsid w:val="00007754"/>
    <w:rsid w:val="00007C8A"/>
    <w:rsid w:val="00007FBF"/>
    <w:rsid w:val="00010383"/>
    <w:rsid w:val="00010EA2"/>
    <w:rsid w:val="00011153"/>
    <w:rsid w:val="000115C5"/>
    <w:rsid w:val="000117CB"/>
    <w:rsid w:val="00012020"/>
    <w:rsid w:val="000125D4"/>
    <w:rsid w:val="00012D65"/>
    <w:rsid w:val="00012E3C"/>
    <w:rsid w:val="00012E5A"/>
    <w:rsid w:val="00013304"/>
    <w:rsid w:val="0001386F"/>
    <w:rsid w:val="00013A61"/>
    <w:rsid w:val="00013D34"/>
    <w:rsid w:val="00013F73"/>
    <w:rsid w:val="0001469E"/>
    <w:rsid w:val="00014FEB"/>
    <w:rsid w:val="0001551F"/>
    <w:rsid w:val="00015993"/>
    <w:rsid w:val="000159B4"/>
    <w:rsid w:val="00015BE4"/>
    <w:rsid w:val="00015DA7"/>
    <w:rsid w:val="000162AD"/>
    <w:rsid w:val="00016600"/>
    <w:rsid w:val="00016D90"/>
    <w:rsid w:val="00017132"/>
    <w:rsid w:val="000174A8"/>
    <w:rsid w:val="0001788F"/>
    <w:rsid w:val="00017F72"/>
    <w:rsid w:val="00020684"/>
    <w:rsid w:val="000206E3"/>
    <w:rsid w:val="0002070F"/>
    <w:rsid w:val="00021218"/>
    <w:rsid w:val="00021CCB"/>
    <w:rsid w:val="00022289"/>
    <w:rsid w:val="000228AB"/>
    <w:rsid w:val="00022CD3"/>
    <w:rsid w:val="00022D5C"/>
    <w:rsid w:val="00023714"/>
    <w:rsid w:val="000237E9"/>
    <w:rsid w:val="000259C0"/>
    <w:rsid w:val="0002664B"/>
    <w:rsid w:val="00026CEF"/>
    <w:rsid w:val="00027195"/>
    <w:rsid w:val="00027398"/>
    <w:rsid w:val="00031F62"/>
    <w:rsid w:val="0003201A"/>
    <w:rsid w:val="0003207A"/>
    <w:rsid w:val="000327D7"/>
    <w:rsid w:val="00032F9F"/>
    <w:rsid w:val="000331FB"/>
    <w:rsid w:val="00033967"/>
    <w:rsid w:val="00033CB4"/>
    <w:rsid w:val="00036188"/>
    <w:rsid w:val="0003732D"/>
    <w:rsid w:val="00037F8F"/>
    <w:rsid w:val="00040761"/>
    <w:rsid w:val="00040B53"/>
    <w:rsid w:val="00040D77"/>
    <w:rsid w:val="000412E5"/>
    <w:rsid w:val="00041999"/>
    <w:rsid w:val="00041BF7"/>
    <w:rsid w:val="00041C07"/>
    <w:rsid w:val="00042882"/>
    <w:rsid w:val="0004292C"/>
    <w:rsid w:val="00042E4C"/>
    <w:rsid w:val="0004358B"/>
    <w:rsid w:val="00043782"/>
    <w:rsid w:val="00043916"/>
    <w:rsid w:val="000439EB"/>
    <w:rsid w:val="00043DC2"/>
    <w:rsid w:val="000441C2"/>
    <w:rsid w:val="0004453B"/>
    <w:rsid w:val="00044F46"/>
    <w:rsid w:val="000458ED"/>
    <w:rsid w:val="00045BB7"/>
    <w:rsid w:val="000462D9"/>
    <w:rsid w:val="00046585"/>
    <w:rsid w:val="0004707D"/>
    <w:rsid w:val="000470D7"/>
    <w:rsid w:val="0004772B"/>
    <w:rsid w:val="00047C6B"/>
    <w:rsid w:val="00050726"/>
    <w:rsid w:val="00050D07"/>
    <w:rsid w:val="0005131C"/>
    <w:rsid w:val="000517AE"/>
    <w:rsid w:val="00054335"/>
    <w:rsid w:val="000552A5"/>
    <w:rsid w:val="0005537A"/>
    <w:rsid w:val="00055454"/>
    <w:rsid w:val="00055476"/>
    <w:rsid w:val="00055719"/>
    <w:rsid w:val="00055D32"/>
    <w:rsid w:val="0005641B"/>
    <w:rsid w:val="000564D2"/>
    <w:rsid w:val="00057DB7"/>
    <w:rsid w:val="00060A28"/>
    <w:rsid w:val="0006196A"/>
    <w:rsid w:val="00062298"/>
    <w:rsid w:val="00062482"/>
    <w:rsid w:val="00063039"/>
    <w:rsid w:val="00063969"/>
    <w:rsid w:val="000649EE"/>
    <w:rsid w:val="000649F7"/>
    <w:rsid w:val="000650F0"/>
    <w:rsid w:val="00065111"/>
    <w:rsid w:val="0006572B"/>
    <w:rsid w:val="0006665F"/>
    <w:rsid w:val="00066850"/>
    <w:rsid w:val="000668A0"/>
    <w:rsid w:val="0006774B"/>
    <w:rsid w:val="00067AB5"/>
    <w:rsid w:val="00067D28"/>
    <w:rsid w:val="000705F2"/>
    <w:rsid w:val="00070845"/>
    <w:rsid w:val="00070EEA"/>
    <w:rsid w:val="00071091"/>
    <w:rsid w:val="00071511"/>
    <w:rsid w:val="0007181B"/>
    <w:rsid w:val="00071FB3"/>
    <w:rsid w:val="00072263"/>
    <w:rsid w:val="00072396"/>
    <w:rsid w:val="000725BE"/>
    <w:rsid w:val="000733B2"/>
    <w:rsid w:val="00073C91"/>
    <w:rsid w:val="000753E5"/>
    <w:rsid w:val="00075680"/>
    <w:rsid w:val="00075B4E"/>
    <w:rsid w:val="00075F4E"/>
    <w:rsid w:val="000762D3"/>
    <w:rsid w:val="00076425"/>
    <w:rsid w:val="000768F5"/>
    <w:rsid w:val="00077768"/>
    <w:rsid w:val="00077B6F"/>
    <w:rsid w:val="00077F45"/>
    <w:rsid w:val="00080623"/>
    <w:rsid w:val="000809A1"/>
    <w:rsid w:val="00080AC2"/>
    <w:rsid w:val="00080F33"/>
    <w:rsid w:val="00081497"/>
    <w:rsid w:val="0008175E"/>
    <w:rsid w:val="00081B1C"/>
    <w:rsid w:val="00082ADD"/>
    <w:rsid w:val="000831EC"/>
    <w:rsid w:val="00083468"/>
    <w:rsid w:val="00083F4A"/>
    <w:rsid w:val="00084126"/>
    <w:rsid w:val="00084264"/>
    <w:rsid w:val="000845E7"/>
    <w:rsid w:val="00084AFA"/>
    <w:rsid w:val="00084F5F"/>
    <w:rsid w:val="00084FE5"/>
    <w:rsid w:val="00085255"/>
    <w:rsid w:val="00085622"/>
    <w:rsid w:val="00085FE2"/>
    <w:rsid w:val="000860B3"/>
    <w:rsid w:val="00086C45"/>
    <w:rsid w:val="0008788E"/>
    <w:rsid w:val="000879DF"/>
    <w:rsid w:val="00087A63"/>
    <w:rsid w:val="00090288"/>
    <w:rsid w:val="000903A7"/>
    <w:rsid w:val="000926D8"/>
    <w:rsid w:val="00092A6D"/>
    <w:rsid w:val="0009424A"/>
    <w:rsid w:val="00094680"/>
    <w:rsid w:val="00094A80"/>
    <w:rsid w:val="0009509D"/>
    <w:rsid w:val="000950C8"/>
    <w:rsid w:val="00095459"/>
    <w:rsid w:val="00095D05"/>
    <w:rsid w:val="00096548"/>
    <w:rsid w:val="000965B2"/>
    <w:rsid w:val="000A0225"/>
    <w:rsid w:val="000A045A"/>
    <w:rsid w:val="000A0C7F"/>
    <w:rsid w:val="000A1637"/>
    <w:rsid w:val="000A2ABA"/>
    <w:rsid w:val="000A2D1D"/>
    <w:rsid w:val="000A2D4C"/>
    <w:rsid w:val="000A2E76"/>
    <w:rsid w:val="000A3691"/>
    <w:rsid w:val="000A3C74"/>
    <w:rsid w:val="000A4807"/>
    <w:rsid w:val="000A4B26"/>
    <w:rsid w:val="000A4B63"/>
    <w:rsid w:val="000A4BE4"/>
    <w:rsid w:val="000A55F6"/>
    <w:rsid w:val="000A63E7"/>
    <w:rsid w:val="000A6722"/>
    <w:rsid w:val="000A6D95"/>
    <w:rsid w:val="000B00CA"/>
    <w:rsid w:val="000B01B7"/>
    <w:rsid w:val="000B0296"/>
    <w:rsid w:val="000B0CD1"/>
    <w:rsid w:val="000B20D5"/>
    <w:rsid w:val="000B217C"/>
    <w:rsid w:val="000B2B3D"/>
    <w:rsid w:val="000B68ED"/>
    <w:rsid w:val="000B6941"/>
    <w:rsid w:val="000B6EC0"/>
    <w:rsid w:val="000B7230"/>
    <w:rsid w:val="000B78B8"/>
    <w:rsid w:val="000B7A54"/>
    <w:rsid w:val="000C023E"/>
    <w:rsid w:val="000C09D9"/>
    <w:rsid w:val="000C21FD"/>
    <w:rsid w:val="000C27BE"/>
    <w:rsid w:val="000C405D"/>
    <w:rsid w:val="000C4C5E"/>
    <w:rsid w:val="000C5195"/>
    <w:rsid w:val="000C5206"/>
    <w:rsid w:val="000C54EB"/>
    <w:rsid w:val="000C6015"/>
    <w:rsid w:val="000C618C"/>
    <w:rsid w:val="000C62BF"/>
    <w:rsid w:val="000C62EF"/>
    <w:rsid w:val="000C686B"/>
    <w:rsid w:val="000C68F9"/>
    <w:rsid w:val="000C6D75"/>
    <w:rsid w:val="000C74A4"/>
    <w:rsid w:val="000C7744"/>
    <w:rsid w:val="000C790A"/>
    <w:rsid w:val="000C7EBA"/>
    <w:rsid w:val="000D08AC"/>
    <w:rsid w:val="000D0AAB"/>
    <w:rsid w:val="000D1A33"/>
    <w:rsid w:val="000D20BE"/>
    <w:rsid w:val="000D2137"/>
    <w:rsid w:val="000D2BF9"/>
    <w:rsid w:val="000D2C7D"/>
    <w:rsid w:val="000D327F"/>
    <w:rsid w:val="000D33D2"/>
    <w:rsid w:val="000D38B6"/>
    <w:rsid w:val="000D3B54"/>
    <w:rsid w:val="000D3FD2"/>
    <w:rsid w:val="000D46DA"/>
    <w:rsid w:val="000D4B2E"/>
    <w:rsid w:val="000D55F9"/>
    <w:rsid w:val="000D67F1"/>
    <w:rsid w:val="000D701C"/>
    <w:rsid w:val="000E01FB"/>
    <w:rsid w:val="000E0646"/>
    <w:rsid w:val="000E0A9C"/>
    <w:rsid w:val="000E0CF0"/>
    <w:rsid w:val="000E1711"/>
    <w:rsid w:val="000E1738"/>
    <w:rsid w:val="000E1A15"/>
    <w:rsid w:val="000E1D0A"/>
    <w:rsid w:val="000E218E"/>
    <w:rsid w:val="000E28D4"/>
    <w:rsid w:val="000E2D9C"/>
    <w:rsid w:val="000E3696"/>
    <w:rsid w:val="000E3A34"/>
    <w:rsid w:val="000E3FC8"/>
    <w:rsid w:val="000E41C8"/>
    <w:rsid w:val="000E4242"/>
    <w:rsid w:val="000E43D2"/>
    <w:rsid w:val="000E5329"/>
    <w:rsid w:val="000E5598"/>
    <w:rsid w:val="000E56B5"/>
    <w:rsid w:val="000E60EC"/>
    <w:rsid w:val="000E615C"/>
    <w:rsid w:val="000E6A92"/>
    <w:rsid w:val="000E748F"/>
    <w:rsid w:val="000E768D"/>
    <w:rsid w:val="000E787D"/>
    <w:rsid w:val="000E7B50"/>
    <w:rsid w:val="000E7BAE"/>
    <w:rsid w:val="000E7D9B"/>
    <w:rsid w:val="000F08E0"/>
    <w:rsid w:val="000F133D"/>
    <w:rsid w:val="000F1819"/>
    <w:rsid w:val="000F1A5A"/>
    <w:rsid w:val="000F1BD6"/>
    <w:rsid w:val="000F1CCA"/>
    <w:rsid w:val="000F1DFE"/>
    <w:rsid w:val="000F2C6B"/>
    <w:rsid w:val="000F30ED"/>
    <w:rsid w:val="000F3741"/>
    <w:rsid w:val="000F38B5"/>
    <w:rsid w:val="000F40BE"/>
    <w:rsid w:val="000F424F"/>
    <w:rsid w:val="000F4478"/>
    <w:rsid w:val="000F4B12"/>
    <w:rsid w:val="000F4E9A"/>
    <w:rsid w:val="000F5C36"/>
    <w:rsid w:val="000F7272"/>
    <w:rsid w:val="000F7F2B"/>
    <w:rsid w:val="0010013E"/>
    <w:rsid w:val="001001F5"/>
    <w:rsid w:val="00100C32"/>
    <w:rsid w:val="00100DE8"/>
    <w:rsid w:val="00101286"/>
    <w:rsid w:val="00101C0C"/>
    <w:rsid w:val="0010270C"/>
    <w:rsid w:val="001036A5"/>
    <w:rsid w:val="00103B91"/>
    <w:rsid w:val="00103D7F"/>
    <w:rsid w:val="00103F78"/>
    <w:rsid w:val="0010424A"/>
    <w:rsid w:val="0010536B"/>
    <w:rsid w:val="001054ED"/>
    <w:rsid w:val="001056A7"/>
    <w:rsid w:val="00105B19"/>
    <w:rsid w:val="00106183"/>
    <w:rsid w:val="00106A1B"/>
    <w:rsid w:val="00106A21"/>
    <w:rsid w:val="00106FF0"/>
    <w:rsid w:val="001070B2"/>
    <w:rsid w:val="00110638"/>
    <w:rsid w:val="00110B55"/>
    <w:rsid w:val="00110EBB"/>
    <w:rsid w:val="001110C1"/>
    <w:rsid w:val="0011140B"/>
    <w:rsid w:val="0011145C"/>
    <w:rsid w:val="001128BD"/>
    <w:rsid w:val="00112B0A"/>
    <w:rsid w:val="001133D7"/>
    <w:rsid w:val="00113FAF"/>
    <w:rsid w:val="0011419D"/>
    <w:rsid w:val="00114B02"/>
    <w:rsid w:val="00115238"/>
    <w:rsid w:val="001159B1"/>
    <w:rsid w:val="00115CF2"/>
    <w:rsid w:val="00116703"/>
    <w:rsid w:val="001178B6"/>
    <w:rsid w:val="00117F32"/>
    <w:rsid w:val="00121108"/>
    <w:rsid w:val="00121314"/>
    <w:rsid w:val="00121B30"/>
    <w:rsid w:val="00122438"/>
    <w:rsid w:val="00122447"/>
    <w:rsid w:val="001226C0"/>
    <w:rsid w:val="0012298C"/>
    <w:rsid w:val="00122CE3"/>
    <w:rsid w:val="00123931"/>
    <w:rsid w:val="00123E87"/>
    <w:rsid w:val="001243EE"/>
    <w:rsid w:val="00124636"/>
    <w:rsid w:val="00125146"/>
    <w:rsid w:val="00125513"/>
    <w:rsid w:val="00125956"/>
    <w:rsid w:val="00125A72"/>
    <w:rsid w:val="00126019"/>
    <w:rsid w:val="00126142"/>
    <w:rsid w:val="00126AAB"/>
    <w:rsid w:val="00126AAE"/>
    <w:rsid w:val="00126EC8"/>
    <w:rsid w:val="00127132"/>
    <w:rsid w:val="0012731C"/>
    <w:rsid w:val="001275A1"/>
    <w:rsid w:val="00127935"/>
    <w:rsid w:val="00127A81"/>
    <w:rsid w:val="00127E69"/>
    <w:rsid w:val="00130B83"/>
    <w:rsid w:val="00130C6C"/>
    <w:rsid w:val="00130F06"/>
    <w:rsid w:val="00130F2C"/>
    <w:rsid w:val="0013180B"/>
    <w:rsid w:val="00131A63"/>
    <w:rsid w:val="00131ED5"/>
    <w:rsid w:val="00132054"/>
    <w:rsid w:val="00132AC3"/>
    <w:rsid w:val="0013375F"/>
    <w:rsid w:val="00133FC3"/>
    <w:rsid w:val="00134274"/>
    <w:rsid w:val="0013436E"/>
    <w:rsid w:val="00134478"/>
    <w:rsid w:val="00134964"/>
    <w:rsid w:val="001351B9"/>
    <w:rsid w:val="00136252"/>
    <w:rsid w:val="00137420"/>
    <w:rsid w:val="0013796A"/>
    <w:rsid w:val="00140832"/>
    <w:rsid w:val="00141120"/>
    <w:rsid w:val="001415EA"/>
    <w:rsid w:val="0014187C"/>
    <w:rsid w:val="00141FDD"/>
    <w:rsid w:val="0014209D"/>
    <w:rsid w:val="0014253E"/>
    <w:rsid w:val="001429B5"/>
    <w:rsid w:val="001436C7"/>
    <w:rsid w:val="0014370E"/>
    <w:rsid w:val="001437ED"/>
    <w:rsid w:val="00143A5F"/>
    <w:rsid w:val="00143C95"/>
    <w:rsid w:val="001441F3"/>
    <w:rsid w:val="001449C5"/>
    <w:rsid w:val="00144E1B"/>
    <w:rsid w:val="001453F3"/>
    <w:rsid w:val="00145427"/>
    <w:rsid w:val="001454AD"/>
    <w:rsid w:val="00145990"/>
    <w:rsid w:val="00145D6E"/>
    <w:rsid w:val="001460C3"/>
    <w:rsid w:val="00146907"/>
    <w:rsid w:val="00146C9C"/>
    <w:rsid w:val="00147032"/>
    <w:rsid w:val="0014722B"/>
    <w:rsid w:val="001475A6"/>
    <w:rsid w:val="0015083D"/>
    <w:rsid w:val="001509F1"/>
    <w:rsid w:val="00150F4F"/>
    <w:rsid w:val="0015106E"/>
    <w:rsid w:val="00151258"/>
    <w:rsid w:val="00151D2E"/>
    <w:rsid w:val="001529D7"/>
    <w:rsid w:val="00152E6B"/>
    <w:rsid w:val="00153183"/>
    <w:rsid w:val="001531F9"/>
    <w:rsid w:val="00153202"/>
    <w:rsid w:val="00153E27"/>
    <w:rsid w:val="00153E2C"/>
    <w:rsid w:val="00153EF1"/>
    <w:rsid w:val="001547F0"/>
    <w:rsid w:val="001548E4"/>
    <w:rsid w:val="00154E5A"/>
    <w:rsid w:val="0015534B"/>
    <w:rsid w:val="001554E5"/>
    <w:rsid w:val="001559A1"/>
    <w:rsid w:val="00155CD2"/>
    <w:rsid w:val="00155DE8"/>
    <w:rsid w:val="001561D8"/>
    <w:rsid w:val="0015637A"/>
    <w:rsid w:val="0015639A"/>
    <w:rsid w:val="00156D99"/>
    <w:rsid w:val="001570F8"/>
    <w:rsid w:val="0015778E"/>
    <w:rsid w:val="001579DA"/>
    <w:rsid w:val="00157F5C"/>
    <w:rsid w:val="00160248"/>
    <w:rsid w:val="00160A7C"/>
    <w:rsid w:val="00160D27"/>
    <w:rsid w:val="00161125"/>
    <w:rsid w:val="001639B4"/>
    <w:rsid w:val="001642CB"/>
    <w:rsid w:val="001668BC"/>
    <w:rsid w:val="0016731A"/>
    <w:rsid w:val="00167554"/>
    <w:rsid w:val="00167DFD"/>
    <w:rsid w:val="00170E29"/>
    <w:rsid w:val="00171030"/>
    <w:rsid w:val="00171609"/>
    <w:rsid w:val="00171FD5"/>
    <w:rsid w:val="001723C2"/>
    <w:rsid w:val="001727A4"/>
    <w:rsid w:val="00172D9A"/>
    <w:rsid w:val="00173557"/>
    <w:rsid w:val="00173717"/>
    <w:rsid w:val="0017376C"/>
    <w:rsid w:val="001738AB"/>
    <w:rsid w:val="00173F11"/>
    <w:rsid w:val="00174067"/>
    <w:rsid w:val="0017431B"/>
    <w:rsid w:val="001747CB"/>
    <w:rsid w:val="00174A6F"/>
    <w:rsid w:val="00175723"/>
    <w:rsid w:val="00175B10"/>
    <w:rsid w:val="00175CC2"/>
    <w:rsid w:val="00175D26"/>
    <w:rsid w:val="00175D57"/>
    <w:rsid w:val="001765E0"/>
    <w:rsid w:val="00176A0F"/>
    <w:rsid w:val="0017707C"/>
    <w:rsid w:val="00177759"/>
    <w:rsid w:val="00177D61"/>
    <w:rsid w:val="00180BB3"/>
    <w:rsid w:val="00181317"/>
    <w:rsid w:val="00181333"/>
    <w:rsid w:val="00181963"/>
    <w:rsid w:val="00181EC7"/>
    <w:rsid w:val="00181FA0"/>
    <w:rsid w:val="0018284C"/>
    <w:rsid w:val="00183BAC"/>
    <w:rsid w:val="00184DFA"/>
    <w:rsid w:val="0018507E"/>
    <w:rsid w:val="00185282"/>
    <w:rsid w:val="0018543B"/>
    <w:rsid w:val="0018548A"/>
    <w:rsid w:val="00185DD6"/>
    <w:rsid w:val="00185E6B"/>
    <w:rsid w:val="00185EE5"/>
    <w:rsid w:val="001867E0"/>
    <w:rsid w:val="00187BBC"/>
    <w:rsid w:val="00187F09"/>
    <w:rsid w:val="00190522"/>
    <w:rsid w:val="00190844"/>
    <w:rsid w:val="00190A0A"/>
    <w:rsid w:val="00191ABD"/>
    <w:rsid w:val="00192170"/>
    <w:rsid w:val="00192E1D"/>
    <w:rsid w:val="001932F3"/>
    <w:rsid w:val="0019367A"/>
    <w:rsid w:val="001938B9"/>
    <w:rsid w:val="00194069"/>
    <w:rsid w:val="00194EA5"/>
    <w:rsid w:val="0019527B"/>
    <w:rsid w:val="00195954"/>
    <w:rsid w:val="00196D26"/>
    <w:rsid w:val="0019709A"/>
    <w:rsid w:val="00197282"/>
    <w:rsid w:val="00197B2D"/>
    <w:rsid w:val="00197E68"/>
    <w:rsid w:val="001A01A6"/>
    <w:rsid w:val="001A0311"/>
    <w:rsid w:val="001A06F2"/>
    <w:rsid w:val="001A0E17"/>
    <w:rsid w:val="001A1457"/>
    <w:rsid w:val="001A16EF"/>
    <w:rsid w:val="001A19BD"/>
    <w:rsid w:val="001A2171"/>
    <w:rsid w:val="001A2A93"/>
    <w:rsid w:val="001A2B40"/>
    <w:rsid w:val="001A2BC6"/>
    <w:rsid w:val="001A2D81"/>
    <w:rsid w:val="001A336B"/>
    <w:rsid w:val="001A3808"/>
    <w:rsid w:val="001A4309"/>
    <w:rsid w:val="001A46AE"/>
    <w:rsid w:val="001A4884"/>
    <w:rsid w:val="001A4B06"/>
    <w:rsid w:val="001A5711"/>
    <w:rsid w:val="001A5829"/>
    <w:rsid w:val="001A5B17"/>
    <w:rsid w:val="001A5F64"/>
    <w:rsid w:val="001A5FD4"/>
    <w:rsid w:val="001A6007"/>
    <w:rsid w:val="001A6681"/>
    <w:rsid w:val="001A6C52"/>
    <w:rsid w:val="001A745A"/>
    <w:rsid w:val="001A7545"/>
    <w:rsid w:val="001B06FB"/>
    <w:rsid w:val="001B1053"/>
    <w:rsid w:val="001B14AC"/>
    <w:rsid w:val="001B174C"/>
    <w:rsid w:val="001B1850"/>
    <w:rsid w:val="001B1A3F"/>
    <w:rsid w:val="001B1B5D"/>
    <w:rsid w:val="001B23BD"/>
    <w:rsid w:val="001B2B22"/>
    <w:rsid w:val="001B40B0"/>
    <w:rsid w:val="001B463F"/>
    <w:rsid w:val="001B4713"/>
    <w:rsid w:val="001B4C3C"/>
    <w:rsid w:val="001B544A"/>
    <w:rsid w:val="001B55C3"/>
    <w:rsid w:val="001B71B5"/>
    <w:rsid w:val="001B7601"/>
    <w:rsid w:val="001B7940"/>
    <w:rsid w:val="001B7A86"/>
    <w:rsid w:val="001B7BA3"/>
    <w:rsid w:val="001B7F62"/>
    <w:rsid w:val="001C026B"/>
    <w:rsid w:val="001C0566"/>
    <w:rsid w:val="001C0797"/>
    <w:rsid w:val="001C10D2"/>
    <w:rsid w:val="001C1200"/>
    <w:rsid w:val="001C16C3"/>
    <w:rsid w:val="001C171A"/>
    <w:rsid w:val="001C1F5B"/>
    <w:rsid w:val="001C2B5D"/>
    <w:rsid w:val="001C2FE0"/>
    <w:rsid w:val="001C37CA"/>
    <w:rsid w:val="001C4085"/>
    <w:rsid w:val="001C4759"/>
    <w:rsid w:val="001C49B4"/>
    <w:rsid w:val="001C4D7F"/>
    <w:rsid w:val="001C54BE"/>
    <w:rsid w:val="001C5B2D"/>
    <w:rsid w:val="001C5D6B"/>
    <w:rsid w:val="001C6665"/>
    <w:rsid w:val="001C6884"/>
    <w:rsid w:val="001C6C1C"/>
    <w:rsid w:val="001C6CC8"/>
    <w:rsid w:val="001C7654"/>
    <w:rsid w:val="001C777D"/>
    <w:rsid w:val="001C7CB6"/>
    <w:rsid w:val="001C7E5A"/>
    <w:rsid w:val="001D06DF"/>
    <w:rsid w:val="001D082B"/>
    <w:rsid w:val="001D0BC2"/>
    <w:rsid w:val="001D161E"/>
    <w:rsid w:val="001D17C2"/>
    <w:rsid w:val="001D1CED"/>
    <w:rsid w:val="001D32CA"/>
    <w:rsid w:val="001D3E83"/>
    <w:rsid w:val="001D3FFF"/>
    <w:rsid w:val="001D4303"/>
    <w:rsid w:val="001D5AB8"/>
    <w:rsid w:val="001D60D7"/>
    <w:rsid w:val="001D63CA"/>
    <w:rsid w:val="001D6491"/>
    <w:rsid w:val="001D65C6"/>
    <w:rsid w:val="001D6746"/>
    <w:rsid w:val="001D77B3"/>
    <w:rsid w:val="001D78E9"/>
    <w:rsid w:val="001D7ACA"/>
    <w:rsid w:val="001D7B87"/>
    <w:rsid w:val="001D7FA1"/>
    <w:rsid w:val="001E03BF"/>
    <w:rsid w:val="001E069B"/>
    <w:rsid w:val="001E08AD"/>
    <w:rsid w:val="001E0C13"/>
    <w:rsid w:val="001E0C61"/>
    <w:rsid w:val="001E1071"/>
    <w:rsid w:val="001E119D"/>
    <w:rsid w:val="001E1467"/>
    <w:rsid w:val="001E30D4"/>
    <w:rsid w:val="001E31F2"/>
    <w:rsid w:val="001E3318"/>
    <w:rsid w:val="001E3B49"/>
    <w:rsid w:val="001E3C65"/>
    <w:rsid w:val="001E3EDB"/>
    <w:rsid w:val="001E44A4"/>
    <w:rsid w:val="001E4558"/>
    <w:rsid w:val="001E4896"/>
    <w:rsid w:val="001E4A05"/>
    <w:rsid w:val="001E5040"/>
    <w:rsid w:val="001E531E"/>
    <w:rsid w:val="001E5FCC"/>
    <w:rsid w:val="001E66BC"/>
    <w:rsid w:val="001E6A19"/>
    <w:rsid w:val="001E6C61"/>
    <w:rsid w:val="001E7388"/>
    <w:rsid w:val="001F0A97"/>
    <w:rsid w:val="001F10B6"/>
    <w:rsid w:val="001F126E"/>
    <w:rsid w:val="001F1310"/>
    <w:rsid w:val="001F13DD"/>
    <w:rsid w:val="001F2473"/>
    <w:rsid w:val="001F2771"/>
    <w:rsid w:val="001F2DBC"/>
    <w:rsid w:val="001F346E"/>
    <w:rsid w:val="001F379B"/>
    <w:rsid w:val="001F3D71"/>
    <w:rsid w:val="001F493B"/>
    <w:rsid w:val="001F540B"/>
    <w:rsid w:val="001F6002"/>
    <w:rsid w:val="001F60D1"/>
    <w:rsid w:val="001F6BA0"/>
    <w:rsid w:val="001F6BB6"/>
    <w:rsid w:val="001F6EDE"/>
    <w:rsid w:val="001F73E8"/>
    <w:rsid w:val="001F7737"/>
    <w:rsid w:val="001F7771"/>
    <w:rsid w:val="001F78A0"/>
    <w:rsid w:val="001F7981"/>
    <w:rsid w:val="00200B31"/>
    <w:rsid w:val="00200C60"/>
    <w:rsid w:val="00201ECF"/>
    <w:rsid w:val="00202442"/>
    <w:rsid w:val="0020262C"/>
    <w:rsid w:val="00202723"/>
    <w:rsid w:val="002028D9"/>
    <w:rsid w:val="00202D94"/>
    <w:rsid w:val="00203265"/>
    <w:rsid w:val="00203972"/>
    <w:rsid w:val="00203E01"/>
    <w:rsid w:val="0020402B"/>
    <w:rsid w:val="00204489"/>
    <w:rsid w:val="00204A1A"/>
    <w:rsid w:val="00205268"/>
    <w:rsid w:val="00205333"/>
    <w:rsid w:val="00206748"/>
    <w:rsid w:val="00206AB4"/>
    <w:rsid w:val="0020759F"/>
    <w:rsid w:val="00207A21"/>
    <w:rsid w:val="00207E4C"/>
    <w:rsid w:val="002106B3"/>
    <w:rsid w:val="00210748"/>
    <w:rsid w:val="00211A3E"/>
    <w:rsid w:val="00212227"/>
    <w:rsid w:val="00212911"/>
    <w:rsid w:val="002130F0"/>
    <w:rsid w:val="00213416"/>
    <w:rsid w:val="00213CF6"/>
    <w:rsid w:val="00213F20"/>
    <w:rsid w:val="00213FD7"/>
    <w:rsid w:val="00214055"/>
    <w:rsid w:val="0021411F"/>
    <w:rsid w:val="00214755"/>
    <w:rsid w:val="0021487D"/>
    <w:rsid w:val="00214DA4"/>
    <w:rsid w:val="00214DC3"/>
    <w:rsid w:val="00215BCA"/>
    <w:rsid w:val="00215E63"/>
    <w:rsid w:val="002160F5"/>
    <w:rsid w:val="00217231"/>
    <w:rsid w:val="00217AC4"/>
    <w:rsid w:val="00217C96"/>
    <w:rsid w:val="00220702"/>
    <w:rsid w:val="00220F52"/>
    <w:rsid w:val="00221461"/>
    <w:rsid w:val="002219D3"/>
    <w:rsid w:val="00222060"/>
    <w:rsid w:val="002227F5"/>
    <w:rsid w:val="002229A3"/>
    <w:rsid w:val="00222F76"/>
    <w:rsid w:val="00223117"/>
    <w:rsid w:val="002233A1"/>
    <w:rsid w:val="00223C46"/>
    <w:rsid w:val="00224537"/>
    <w:rsid w:val="0022491F"/>
    <w:rsid w:val="00224BA0"/>
    <w:rsid w:val="00224DA7"/>
    <w:rsid w:val="0022545D"/>
    <w:rsid w:val="0022567B"/>
    <w:rsid w:val="00225749"/>
    <w:rsid w:val="00225CC1"/>
    <w:rsid w:val="00226C6C"/>
    <w:rsid w:val="00226CDA"/>
    <w:rsid w:val="00227626"/>
    <w:rsid w:val="002305EB"/>
    <w:rsid w:val="00230CD2"/>
    <w:rsid w:val="002316AA"/>
    <w:rsid w:val="00231D30"/>
    <w:rsid w:val="00232125"/>
    <w:rsid w:val="0023237D"/>
    <w:rsid w:val="002334A4"/>
    <w:rsid w:val="002336ED"/>
    <w:rsid w:val="00233997"/>
    <w:rsid w:val="00233AA7"/>
    <w:rsid w:val="00234A5A"/>
    <w:rsid w:val="00234A7B"/>
    <w:rsid w:val="00235956"/>
    <w:rsid w:val="002375F0"/>
    <w:rsid w:val="0023772F"/>
    <w:rsid w:val="002379A0"/>
    <w:rsid w:val="00241243"/>
    <w:rsid w:val="0024145C"/>
    <w:rsid w:val="00241D16"/>
    <w:rsid w:val="00242285"/>
    <w:rsid w:val="002423E0"/>
    <w:rsid w:val="00242EEC"/>
    <w:rsid w:val="00243711"/>
    <w:rsid w:val="00243983"/>
    <w:rsid w:val="00243E5E"/>
    <w:rsid w:val="0024408B"/>
    <w:rsid w:val="002440D0"/>
    <w:rsid w:val="002454DE"/>
    <w:rsid w:val="0024575F"/>
    <w:rsid w:val="00245AFC"/>
    <w:rsid w:val="00246418"/>
    <w:rsid w:val="002467A6"/>
    <w:rsid w:val="002468C7"/>
    <w:rsid w:val="00247073"/>
    <w:rsid w:val="00247C7E"/>
    <w:rsid w:val="00247C9A"/>
    <w:rsid w:val="00247D0B"/>
    <w:rsid w:val="002501DE"/>
    <w:rsid w:val="00250242"/>
    <w:rsid w:val="0025080E"/>
    <w:rsid w:val="002512FD"/>
    <w:rsid w:val="0025160C"/>
    <w:rsid w:val="002516C0"/>
    <w:rsid w:val="0025250A"/>
    <w:rsid w:val="0025254F"/>
    <w:rsid w:val="00252818"/>
    <w:rsid w:val="0025287B"/>
    <w:rsid w:val="00252D1B"/>
    <w:rsid w:val="00252F55"/>
    <w:rsid w:val="002535D0"/>
    <w:rsid w:val="002539B3"/>
    <w:rsid w:val="00253FBD"/>
    <w:rsid w:val="00254052"/>
    <w:rsid w:val="002543CC"/>
    <w:rsid w:val="0025442B"/>
    <w:rsid w:val="0025456B"/>
    <w:rsid w:val="0025467E"/>
    <w:rsid w:val="00255C1B"/>
    <w:rsid w:val="00255CB6"/>
    <w:rsid w:val="00255DE2"/>
    <w:rsid w:val="00255E15"/>
    <w:rsid w:val="0025631E"/>
    <w:rsid w:val="00256336"/>
    <w:rsid w:val="00256C88"/>
    <w:rsid w:val="00257049"/>
    <w:rsid w:val="00257074"/>
    <w:rsid w:val="00257C3E"/>
    <w:rsid w:val="00260005"/>
    <w:rsid w:val="002602C2"/>
    <w:rsid w:val="002608A8"/>
    <w:rsid w:val="00260C42"/>
    <w:rsid w:val="00260EAE"/>
    <w:rsid w:val="002610F9"/>
    <w:rsid w:val="002616ED"/>
    <w:rsid w:val="0026227A"/>
    <w:rsid w:val="00262427"/>
    <w:rsid w:val="00262A45"/>
    <w:rsid w:val="00262AB9"/>
    <w:rsid w:val="0026360C"/>
    <w:rsid w:val="00264A64"/>
    <w:rsid w:val="00264C70"/>
    <w:rsid w:val="00265929"/>
    <w:rsid w:val="002666C9"/>
    <w:rsid w:val="00266E73"/>
    <w:rsid w:val="002673FD"/>
    <w:rsid w:val="002674C9"/>
    <w:rsid w:val="00267A6C"/>
    <w:rsid w:val="00270136"/>
    <w:rsid w:val="00270FD7"/>
    <w:rsid w:val="002711D7"/>
    <w:rsid w:val="00271564"/>
    <w:rsid w:val="002722CB"/>
    <w:rsid w:val="002725AB"/>
    <w:rsid w:val="00272F1F"/>
    <w:rsid w:val="002736C0"/>
    <w:rsid w:val="00274952"/>
    <w:rsid w:val="00274F5B"/>
    <w:rsid w:val="00275887"/>
    <w:rsid w:val="0027667E"/>
    <w:rsid w:val="00276853"/>
    <w:rsid w:val="0028011C"/>
    <w:rsid w:val="00280836"/>
    <w:rsid w:val="00280AE3"/>
    <w:rsid w:val="002811C0"/>
    <w:rsid w:val="0028138B"/>
    <w:rsid w:val="002815C3"/>
    <w:rsid w:val="00281A67"/>
    <w:rsid w:val="00282C78"/>
    <w:rsid w:val="00282CA1"/>
    <w:rsid w:val="00282E1A"/>
    <w:rsid w:val="0028326D"/>
    <w:rsid w:val="00283EA1"/>
    <w:rsid w:val="00283F45"/>
    <w:rsid w:val="00284052"/>
    <w:rsid w:val="002840F1"/>
    <w:rsid w:val="002848A3"/>
    <w:rsid w:val="002851D1"/>
    <w:rsid w:val="0028540D"/>
    <w:rsid w:val="002858E8"/>
    <w:rsid w:val="00285922"/>
    <w:rsid w:val="00285C42"/>
    <w:rsid w:val="002860BF"/>
    <w:rsid w:val="00286844"/>
    <w:rsid w:val="00286AB8"/>
    <w:rsid w:val="00286D4E"/>
    <w:rsid w:val="00290345"/>
    <w:rsid w:val="002903DA"/>
    <w:rsid w:val="002905A2"/>
    <w:rsid w:val="00290833"/>
    <w:rsid w:val="0029087B"/>
    <w:rsid w:val="002909AD"/>
    <w:rsid w:val="00290B3C"/>
    <w:rsid w:val="00290DE9"/>
    <w:rsid w:val="0029113B"/>
    <w:rsid w:val="00291292"/>
    <w:rsid w:val="00291318"/>
    <w:rsid w:val="0029211F"/>
    <w:rsid w:val="002934C0"/>
    <w:rsid w:val="002934D0"/>
    <w:rsid w:val="0029392E"/>
    <w:rsid w:val="00293E1F"/>
    <w:rsid w:val="002948F4"/>
    <w:rsid w:val="00294945"/>
    <w:rsid w:val="002949DE"/>
    <w:rsid w:val="002953CE"/>
    <w:rsid w:val="00295ADD"/>
    <w:rsid w:val="0029764C"/>
    <w:rsid w:val="002A02D1"/>
    <w:rsid w:val="002A0EFA"/>
    <w:rsid w:val="002A1075"/>
    <w:rsid w:val="002A16FE"/>
    <w:rsid w:val="002A171D"/>
    <w:rsid w:val="002A1ADB"/>
    <w:rsid w:val="002A1B50"/>
    <w:rsid w:val="002A20D7"/>
    <w:rsid w:val="002A2137"/>
    <w:rsid w:val="002A2728"/>
    <w:rsid w:val="002A3683"/>
    <w:rsid w:val="002A372A"/>
    <w:rsid w:val="002A39B8"/>
    <w:rsid w:val="002A3AFB"/>
    <w:rsid w:val="002A3C25"/>
    <w:rsid w:val="002A3C62"/>
    <w:rsid w:val="002A4150"/>
    <w:rsid w:val="002A496C"/>
    <w:rsid w:val="002A499B"/>
    <w:rsid w:val="002A4CE1"/>
    <w:rsid w:val="002A512D"/>
    <w:rsid w:val="002A51A4"/>
    <w:rsid w:val="002A567D"/>
    <w:rsid w:val="002A5916"/>
    <w:rsid w:val="002A591E"/>
    <w:rsid w:val="002A5B4A"/>
    <w:rsid w:val="002A5E76"/>
    <w:rsid w:val="002A61DD"/>
    <w:rsid w:val="002A649A"/>
    <w:rsid w:val="002A6B8A"/>
    <w:rsid w:val="002A721C"/>
    <w:rsid w:val="002A734D"/>
    <w:rsid w:val="002A7690"/>
    <w:rsid w:val="002B000B"/>
    <w:rsid w:val="002B01D8"/>
    <w:rsid w:val="002B020B"/>
    <w:rsid w:val="002B079D"/>
    <w:rsid w:val="002B0929"/>
    <w:rsid w:val="002B09F5"/>
    <w:rsid w:val="002B0E91"/>
    <w:rsid w:val="002B132C"/>
    <w:rsid w:val="002B1981"/>
    <w:rsid w:val="002B21FE"/>
    <w:rsid w:val="002B2958"/>
    <w:rsid w:val="002B3210"/>
    <w:rsid w:val="002B3226"/>
    <w:rsid w:val="002B3469"/>
    <w:rsid w:val="002B3A01"/>
    <w:rsid w:val="002B3F23"/>
    <w:rsid w:val="002B482A"/>
    <w:rsid w:val="002B4EB5"/>
    <w:rsid w:val="002B51F3"/>
    <w:rsid w:val="002B5437"/>
    <w:rsid w:val="002B55DA"/>
    <w:rsid w:val="002B55F4"/>
    <w:rsid w:val="002B5800"/>
    <w:rsid w:val="002B5AF5"/>
    <w:rsid w:val="002B5E7A"/>
    <w:rsid w:val="002B6779"/>
    <w:rsid w:val="002B6E11"/>
    <w:rsid w:val="002B713C"/>
    <w:rsid w:val="002B71C0"/>
    <w:rsid w:val="002B7A34"/>
    <w:rsid w:val="002C14CE"/>
    <w:rsid w:val="002C1DCB"/>
    <w:rsid w:val="002C1E27"/>
    <w:rsid w:val="002C2158"/>
    <w:rsid w:val="002C31AD"/>
    <w:rsid w:val="002C31B5"/>
    <w:rsid w:val="002C422F"/>
    <w:rsid w:val="002C44C1"/>
    <w:rsid w:val="002C4AA4"/>
    <w:rsid w:val="002C4CF1"/>
    <w:rsid w:val="002C4D66"/>
    <w:rsid w:val="002C6EAE"/>
    <w:rsid w:val="002C7385"/>
    <w:rsid w:val="002C78D0"/>
    <w:rsid w:val="002C7BF3"/>
    <w:rsid w:val="002C7EC8"/>
    <w:rsid w:val="002D03CC"/>
    <w:rsid w:val="002D06F9"/>
    <w:rsid w:val="002D10D7"/>
    <w:rsid w:val="002D18BD"/>
    <w:rsid w:val="002D1CCF"/>
    <w:rsid w:val="002D273F"/>
    <w:rsid w:val="002D2DBB"/>
    <w:rsid w:val="002D2EFE"/>
    <w:rsid w:val="002D30FD"/>
    <w:rsid w:val="002D31E9"/>
    <w:rsid w:val="002D33C9"/>
    <w:rsid w:val="002D37D8"/>
    <w:rsid w:val="002D3FF1"/>
    <w:rsid w:val="002D44EC"/>
    <w:rsid w:val="002D4626"/>
    <w:rsid w:val="002D4C9A"/>
    <w:rsid w:val="002D54A6"/>
    <w:rsid w:val="002D56AC"/>
    <w:rsid w:val="002D56EC"/>
    <w:rsid w:val="002D5FAC"/>
    <w:rsid w:val="002D68CA"/>
    <w:rsid w:val="002D6F65"/>
    <w:rsid w:val="002D7203"/>
    <w:rsid w:val="002D7502"/>
    <w:rsid w:val="002E0686"/>
    <w:rsid w:val="002E0D65"/>
    <w:rsid w:val="002E18CF"/>
    <w:rsid w:val="002E1F0E"/>
    <w:rsid w:val="002E2254"/>
    <w:rsid w:val="002E3245"/>
    <w:rsid w:val="002E350C"/>
    <w:rsid w:val="002E3779"/>
    <w:rsid w:val="002E3EF2"/>
    <w:rsid w:val="002E3F92"/>
    <w:rsid w:val="002E4263"/>
    <w:rsid w:val="002E5BF9"/>
    <w:rsid w:val="002E5F5B"/>
    <w:rsid w:val="002E6A7A"/>
    <w:rsid w:val="002E6C96"/>
    <w:rsid w:val="002E7046"/>
    <w:rsid w:val="002E7059"/>
    <w:rsid w:val="002E7084"/>
    <w:rsid w:val="002E7628"/>
    <w:rsid w:val="002E77C2"/>
    <w:rsid w:val="002F0B76"/>
    <w:rsid w:val="002F0B9F"/>
    <w:rsid w:val="002F0C8A"/>
    <w:rsid w:val="002F14C6"/>
    <w:rsid w:val="002F15AE"/>
    <w:rsid w:val="002F1CB7"/>
    <w:rsid w:val="002F1E49"/>
    <w:rsid w:val="002F334F"/>
    <w:rsid w:val="002F33B7"/>
    <w:rsid w:val="002F34BF"/>
    <w:rsid w:val="002F48FD"/>
    <w:rsid w:val="002F4C25"/>
    <w:rsid w:val="002F4E9C"/>
    <w:rsid w:val="002F56D0"/>
    <w:rsid w:val="002F580E"/>
    <w:rsid w:val="002F622F"/>
    <w:rsid w:val="002F6596"/>
    <w:rsid w:val="002F6B94"/>
    <w:rsid w:val="002F6E15"/>
    <w:rsid w:val="002F7184"/>
    <w:rsid w:val="002F7F59"/>
    <w:rsid w:val="00300684"/>
    <w:rsid w:val="003006D7"/>
    <w:rsid w:val="003009DB"/>
    <w:rsid w:val="003010B2"/>
    <w:rsid w:val="00301723"/>
    <w:rsid w:val="00301EDC"/>
    <w:rsid w:val="00302403"/>
    <w:rsid w:val="003027EF"/>
    <w:rsid w:val="00302F4E"/>
    <w:rsid w:val="003030D5"/>
    <w:rsid w:val="00303340"/>
    <w:rsid w:val="003033C5"/>
    <w:rsid w:val="003036F8"/>
    <w:rsid w:val="00303DE5"/>
    <w:rsid w:val="003041C7"/>
    <w:rsid w:val="00304857"/>
    <w:rsid w:val="003055AF"/>
    <w:rsid w:val="00305928"/>
    <w:rsid w:val="00305BD1"/>
    <w:rsid w:val="00305C72"/>
    <w:rsid w:val="0030613E"/>
    <w:rsid w:val="0030633C"/>
    <w:rsid w:val="0030690A"/>
    <w:rsid w:val="0030747A"/>
    <w:rsid w:val="00307753"/>
    <w:rsid w:val="00307AA5"/>
    <w:rsid w:val="00307FC1"/>
    <w:rsid w:val="00310313"/>
    <w:rsid w:val="00310830"/>
    <w:rsid w:val="0031190B"/>
    <w:rsid w:val="00311B64"/>
    <w:rsid w:val="0031256C"/>
    <w:rsid w:val="00312BD9"/>
    <w:rsid w:val="00312C1F"/>
    <w:rsid w:val="00314132"/>
    <w:rsid w:val="003148F2"/>
    <w:rsid w:val="003149A9"/>
    <w:rsid w:val="00314D6C"/>
    <w:rsid w:val="0031505F"/>
    <w:rsid w:val="003153F2"/>
    <w:rsid w:val="003158BC"/>
    <w:rsid w:val="0031675E"/>
    <w:rsid w:val="00316882"/>
    <w:rsid w:val="00316D2A"/>
    <w:rsid w:val="00316DDE"/>
    <w:rsid w:val="003173EE"/>
    <w:rsid w:val="00317B68"/>
    <w:rsid w:val="0032043F"/>
    <w:rsid w:val="00320B05"/>
    <w:rsid w:val="00320D0B"/>
    <w:rsid w:val="00320DD3"/>
    <w:rsid w:val="00320DDA"/>
    <w:rsid w:val="00321160"/>
    <w:rsid w:val="003222B5"/>
    <w:rsid w:val="00322647"/>
    <w:rsid w:val="0032290E"/>
    <w:rsid w:val="00322A7C"/>
    <w:rsid w:val="00322EEC"/>
    <w:rsid w:val="00323061"/>
    <w:rsid w:val="003232BD"/>
    <w:rsid w:val="00323A0E"/>
    <w:rsid w:val="00324892"/>
    <w:rsid w:val="00324D33"/>
    <w:rsid w:val="00324F6D"/>
    <w:rsid w:val="0032529C"/>
    <w:rsid w:val="003253FA"/>
    <w:rsid w:val="00325F90"/>
    <w:rsid w:val="003260AC"/>
    <w:rsid w:val="003277E1"/>
    <w:rsid w:val="00327EAB"/>
    <w:rsid w:val="00330CA8"/>
    <w:rsid w:val="00331831"/>
    <w:rsid w:val="00331859"/>
    <w:rsid w:val="00331A4F"/>
    <w:rsid w:val="00331CA5"/>
    <w:rsid w:val="00332A2A"/>
    <w:rsid w:val="003332AA"/>
    <w:rsid w:val="00333583"/>
    <w:rsid w:val="00333598"/>
    <w:rsid w:val="00333777"/>
    <w:rsid w:val="00334380"/>
    <w:rsid w:val="003350F2"/>
    <w:rsid w:val="003360EF"/>
    <w:rsid w:val="00336142"/>
    <w:rsid w:val="00336D4B"/>
    <w:rsid w:val="00337DEA"/>
    <w:rsid w:val="003402D3"/>
    <w:rsid w:val="0034068E"/>
    <w:rsid w:val="00340F41"/>
    <w:rsid w:val="003411E5"/>
    <w:rsid w:val="00341959"/>
    <w:rsid w:val="00341A85"/>
    <w:rsid w:val="00342BF2"/>
    <w:rsid w:val="00342D5F"/>
    <w:rsid w:val="00343987"/>
    <w:rsid w:val="00343ABC"/>
    <w:rsid w:val="00343C9A"/>
    <w:rsid w:val="00344D72"/>
    <w:rsid w:val="00345194"/>
    <w:rsid w:val="00345602"/>
    <w:rsid w:val="003463FE"/>
    <w:rsid w:val="0034677B"/>
    <w:rsid w:val="00346FF7"/>
    <w:rsid w:val="0034716C"/>
    <w:rsid w:val="003472FC"/>
    <w:rsid w:val="00347444"/>
    <w:rsid w:val="003478A3"/>
    <w:rsid w:val="00347D41"/>
    <w:rsid w:val="003503D2"/>
    <w:rsid w:val="003519BF"/>
    <w:rsid w:val="00351C82"/>
    <w:rsid w:val="00351DA2"/>
    <w:rsid w:val="00352A70"/>
    <w:rsid w:val="00352D62"/>
    <w:rsid w:val="00352D66"/>
    <w:rsid w:val="003535A8"/>
    <w:rsid w:val="00353AC6"/>
    <w:rsid w:val="00354574"/>
    <w:rsid w:val="0035471C"/>
    <w:rsid w:val="00354F26"/>
    <w:rsid w:val="003554B3"/>
    <w:rsid w:val="00355EF5"/>
    <w:rsid w:val="00356632"/>
    <w:rsid w:val="0035683B"/>
    <w:rsid w:val="0035690D"/>
    <w:rsid w:val="00356A08"/>
    <w:rsid w:val="00357230"/>
    <w:rsid w:val="00357859"/>
    <w:rsid w:val="00357C4B"/>
    <w:rsid w:val="00357C7E"/>
    <w:rsid w:val="00360227"/>
    <w:rsid w:val="003606EB"/>
    <w:rsid w:val="00360A99"/>
    <w:rsid w:val="00361D41"/>
    <w:rsid w:val="00362F44"/>
    <w:rsid w:val="00363295"/>
    <w:rsid w:val="00363668"/>
    <w:rsid w:val="003649CD"/>
    <w:rsid w:val="003653B6"/>
    <w:rsid w:val="0036540E"/>
    <w:rsid w:val="00365728"/>
    <w:rsid w:val="00365B51"/>
    <w:rsid w:val="00365D9F"/>
    <w:rsid w:val="0036691E"/>
    <w:rsid w:val="00366CAF"/>
    <w:rsid w:val="00367378"/>
    <w:rsid w:val="00370327"/>
    <w:rsid w:val="0037033F"/>
    <w:rsid w:val="003706A7"/>
    <w:rsid w:val="003711D6"/>
    <w:rsid w:val="00371263"/>
    <w:rsid w:val="00372093"/>
    <w:rsid w:val="00372A33"/>
    <w:rsid w:val="00372D82"/>
    <w:rsid w:val="0037417F"/>
    <w:rsid w:val="003743DD"/>
    <w:rsid w:val="00374A53"/>
    <w:rsid w:val="00374CC4"/>
    <w:rsid w:val="00374EA9"/>
    <w:rsid w:val="0037517D"/>
    <w:rsid w:val="00375AF7"/>
    <w:rsid w:val="00375D3D"/>
    <w:rsid w:val="0037695D"/>
    <w:rsid w:val="00376CF3"/>
    <w:rsid w:val="003774B2"/>
    <w:rsid w:val="00377610"/>
    <w:rsid w:val="00377C4B"/>
    <w:rsid w:val="00380228"/>
    <w:rsid w:val="0038079D"/>
    <w:rsid w:val="00380F2D"/>
    <w:rsid w:val="00381577"/>
    <w:rsid w:val="0038165D"/>
    <w:rsid w:val="00381887"/>
    <w:rsid w:val="00381B6C"/>
    <w:rsid w:val="00381C30"/>
    <w:rsid w:val="003825E3"/>
    <w:rsid w:val="003828DC"/>
    <w:rsid w:val="00382943"/>
    <w:rsid w:val="0038306C"/>
    <w:rsid w:val="003836B4"/>
    <w:rsid w:val="0038388B"/>
    <w:rsid w:val="003845A9"/>
    <w:rsid w:val="00384C69"/>
    <w:rsid w:val="00384C6C"/>
    <w:rsid w:val="003850C9"/>
    <w:rsid w:val="0038524A"/>
    <w:rsid w:val="003852B2"/>
    <w:rsid w:val="0038589E"/>
    <w:rsid w:val="00385D18"/>
    <w:rsid w:val="00386C1B"/>
    <w:rsid w:val="00387115"/>
    <w:rsid w:val="0038723D"/>
    <w:rsid w:val="003875DD"/>
    <w:rsid w:val="003878B9"/>
    <w:rsid w:val="00387B13"/>
    <w:rsid w:val="00387B50"/>
    <w:rsid w:val="00387DB5"/>
    <w:rsid w:val="00387E35"/>
    <w:rsid w:val="00390883"/>
    <w:rsid w:val="00390925"/>
    <w:rsid w:val="00390D07"/>
    <w:rsid w:val="00391AF2"/>
    <w:rsid w:val="003922F8"/>
    <w:rsid w:val="0039289F"/>
    <w:rsid w:val="003929D6"/>
    <w:rsid w:val="0039372E"/>
    <w:rsid w:val="00393774"/>
    <w:rsid w:val="00393C44"/>
    <w:rsid w:val="00393F95"/>
    <w:rsid w:val="00394155"/>
    <w:rsid w:val="00394728"/>
    <w:rsid w:val="0039474E"/>
    <w:rsid w:val="0039488E"/>
    <w:rsid w:val="00394D3F"/>
    <w:rsid w:val="00394FF5"/>
    <w:rsid w:val="00395511"/>
    <w:rsid w:val="003955E6"/>
    <w:rsid w:val="00395A7B"/>
    <w:rsid w:val="00395B24"/>
    <w:rsid w:val="0039632E"/>
    <w:rsid w:val="00396E12"/>
    <w:rsid w:val="003972BE"/>
    <w:rsid w:val="00397318"/>
    <w:rsid w:val="003979F9"/>
    <w:rsid w:val="003A1127"/>
    <w:rsid w:val="003A25E8"/>
    <w:rsid w:val="003A27A5"/>
    <w:rsid w:val="003A29EA"/>
    <w:rsid w:val="003A2D38"/>
    <w:rsid w:val="003A2E57"/>
    <w:rsid w:val="003A3CFD"/>
    <w:rsid w:val="003A46C5"/>
    <w:rsid w:val="003A4D60"/>
    <w:rsid w:val="003A6972"/>
    <w:rsid w:val="003A6A20"/>
    <w:rsid w:val="003A6A5F"/>
    <w:rsid w:val="003A6AEA"/>
    <w:rsid w:val="003A6C30"/>
    <w:rsid w:val="003A7ECC"/>
    <w:rsid w:val="003B006D"/>
    <w:rsid w:val="003B0488"/>
    <w:rsid w:val="003B08EF"/>
    <w:rsid w:val="003B1E15"/>
    <w:rsid w:val="003B1F85"/>
    <w:rsid w:val="003B2B35"/>
    <w:rsid w:val="003B2BB1"/>
    <w:rsid w:val="003B2C72"/>
    <w:rsid w:val="003B2F51"/>
    <w:rsid w:val="003B3454"/>
    <w:rsid w:val="003B38AC"/>
    <w:rsid w:val="003B4128"/>
    <w:rsid w:val="003B4439"/>
    <w:rsid w:val="003B46CE"/>
    <w:rsid w:val="003B4A65"/>
    <w:rsid w:val="003B52D5"/>
    <w:rsid w:val="003B58B4"/>
    <w:rsid w:val="003B5AE6"/>
    <w:rsid w:val="003B5B82"/>
    <w:rsid w:val="003B6626"/>
    <w:rsid w:val="003B66EA"/>
    <w:rsid w:val="003B6A40"/>
    <w:rsid w:val="003B6C03"/>
    <w:rsid w:val="003B6D4D"/>
    <w:rsid w:val="003B7B90"/>
    <w:rsid w:val="003B7C54"/>
    <w:rsid w:val="003B7E28"/>
    <w:rsid w:val="003C0375"/>
    <w:rsid w:val="003C0F59"/>
    <w:rsid w:val="003C0FE3"/>
    <w:rsid w:val="003C113C"/>
    <w:rsid w:val="003C1333"/>
    <w:rsid w:val="003C17C3"/>
    <w:rsid w:val="003C19B6"/>
    <w:rsid w:val="003C1F61"/>
    <w:rsid w:val="003C20FF"/>
    <w:rsid w:val="003C211A"/>
    <w:rsid w:val="003C335C"/>
    <w:rsid w:val="003C35BE"/>
    <w:rsid w:val="003C3716"/>
    <w:rsid w:val="003C379C"/>
    <w:rsid w:val="003C3E6A"/>
    <w:rsid w:val="003C3FAF"/>
    <w:rsid w:val="003C3FB2"/>
    <w:rsid w:val="003C477E"/>
    <w:rsid w:val="003C48D5"/>
    <w:rsid w:val="003C4BBE"/>
    <w:rsid w:val="003C4DBC"/>
    <w:rsid w:val="003C4DF3"/>
    <w:rsid w:val="003C523B"/>
    <w:rsid w:val="003C550A"/>
    <w:rsid w:val="003C59F8"/>
    <w:rsid w:val="003C6055"/>
    <w:rsid w:val="003C66FB"/>
    <w:rsid w:val="003C793F"/>
    <w:rsid w:val="003C7A81"/>
    <w:rsid w:val="003D009D"/>
    <w:rsid w:val="003D0729"/>
    <w:rsid w:val="003D0DB0"/>
    <w:rsid w:val="003D0DE2"/>
    <w:rsid w:val="003D1E07"/>
    <w:rsid w:val="003D2650"/>
    <w:rsid w:val="003D293F"/>
    <w:rsid w:val="003D2E5F"/>
    <w:rsid w:val="003D3D12"/>
    <w:rsid w:val="003D4311"/>
    <w:rsid w:val="003D43B3"/>
    <w:rsid w:val="003D499F"/>
    <w:rsid w:val="003D4DB3"/>
    <w:rsid w:val="003D4FCC"/>
    <w:rsid w:val="003D555F"/>
    <w:rsid w:val="003D560C"/>
    <w:rsid w:val="003D5B36"/>
    <w:rsid w:val="003D5C00"/>
    <w:rsid w:val="003D5F7D"/>
    <w:rsid w:val="003D6FB6"/>
    <w:rsid w:val="003D7003"/>
    <w:rsid w:val="003D7F2C"/>
    <w:rsid w:val="003E0076"/>
    <w:rsid w:val="003E143C"/>
    <w:rsid w:val="003E1476"/>
    <w:rsid w:val="003E1E0A"/>
    <w:rsid w:val="003E276C"/>
    <w:rsid w:val="003E2B53"/>
    <w:rsid w:val="003E2CBF"/>
    <w:rsid w:val="003E3154"/>
    <w:rsid w:val="003E3720"/>
    <w:rsid w:val="003E3AFB"/>
    <w:rsid w:val="003E4223"/>
    <w:rsid w:val="003E505C"/>
    <w:rsid w:val="003E5392"/>
    <w:rsid w:val="003E5874"/>
    <w:rsid w:val="003E6138"/>
    <w:rsid w:val="003E61B0"/>
    <w:rsid w:val="003E62D9"/>
    <w:rsid w:val="003E6435"/>
    <w:rsid w:val="003E69AE"/>
    <w:rsid w:val="003E6F61"/>
    <w:rsid w:val="003E72D3"/>
    <w:rsid w:val="003E7FD1"/>
    <w:rsid w:val="003F0245"/>
    <w:rsid w:val="003F0A25"/>
    <w:rsid w:val="003F0C70"/>
    <w:rsid w:val="003F0E2D"/>
    <w:rsid w:val="003F1627"/>
    <w:rsid w:val="003F1824"/>
    <w:rsid w:val="003F193E"/>
    <w:rsid w:val="003F1B9D"/>
    <w:rsid w:val="003F1FB9"/>
    <w:rsid w:val="003F242C"/>
    <w:rsid w:val="003F311E"/>
    <w:rsid w:val="003F3224"/>
    <w:rsid w:val="003F34D9"/>
    <w:rsid w:val="003F34F1"/>
    <w:rsid w:val="003F38BF"/>
    <w:rsid w:val="003F398A"/>
    <w:rsid w:val="003F3FE5"/>
    <w:rsid w:val="003F4757"/>
    <w:rsid w:val="003F4B01"/>
    <w:rsid w:val="003F4D15"/>
    <w:rsid w:val="003F5018"/>
    <w:rsid w:val="003F5206"/>
    <w:rsid w:val="003F5350"/>
    <w:rsid w:val="003F6C88"/>
    <w:rsid w:val="003F6C93"/>
    <w:rsid w:val="003F7218"/>
    <w:rsid w:val="003F7CD3"/>
    <w:rsid w:val="003F7EDE"/>
    <w:rsid w:val="003F7F57"/>
    <w:rsid w:val="004001B8"/>
    <w:rsid w:val="00400863"/>
    <w:rsid w:val="004009E9"/>
    <w:rsid w:val="00401158"/>
    <w:rsid w:val="0040155F"/>
    <w:rsid w:val="004016BA"/>
    <w:rsid w:val="0040199F"/>
    <w:rsid w:val="00401DF8"/>
    <w:rsid w:val="0040272D"/>
    <w:rsid w:val="004031D8"/>
    <w:rsid w:val="0040397B"/>
    <w:rsid w:val="00404CAE"/>
    <w:rsid w:val="00404D8A"/>
    <w:rsid w:val="00405711"/>
    <w:rsid w:val="004061FD"/>
    <w:rsid w:val="00407B2C"/>
    <w:rsid w:val="004104B6"/>
    <w:rsid w:val="00410F90"/>
    <w:rsid w:val="00411491"/>
    <w:rsid w:val="00411660"/>
    <w:rsid w:val="00411AE8"/>
    <w:rsid w:val="0041295A"/>
    <w:rsid w:val="00412F68"/>
    <w:rsid w:val="00413695"/>
    <w:rsid w:val="0041398A"/>
    <w:rsid w:val="00413B74"/>
    <w:rsid w:val="00413D9A"/>
    <w:rsid w:val="00414235"/>
    <w:rsid w:val="00414386"/>
    <w:rsid w:val="004148C2"/>
    <w:rsid w:val="0041499C"/>
    <w:rsid w:val="0041577F"/>
    <w:rsid w:val="0041592A"/>
    <w:rsid w:val="00416E43"/>
    <w:rsid w:val="0041714A"/>
    <w:rsid w:val="0042025C"/>
    <w:rsid w:val="00420C23"/>
    <w:rsid w:val="004212CF"/>
    <w:rsid w:val="00421A26"/>
    <w:rsid w:val="00422991"/>
    <w:rsid w:val="00422C53"/>
    <w:rsid w:val="00422C60"/>
    <w:rsid w:val="00422FD6"/>
    <w:rsid w:val="0042352E"/>
    <w:rsid w:val="00423ACB"/>
    <w:rsid w:val="00423BC6"/>
    <w:rsid w:val="00424217"/>
    <w:rsid w:val="00425C88"/>
    <w:rsid w:val="00426123"/>
    <w:rsid w:val="004261A4"/>
    <w:rsid w:val="0042696D"/>
    <w:rsid w:val="00427D2D"/>
    <w:rsid w:val="0043023F"/>
    <w:rsid w:val="00431086"/>
    <w:rsid w:val="0043132E"/>
    <w:rsid w:val="004322A1"/>
    <w:rsid w:val="004332B9"/>
    <w:rsid w:val="004336BF"/>
    <w:rsid w:val="00433BA3"/>
    <w:rsid w:val="004342F3"/>
    <w:rsid w:val="0043597B"/>
    <w:rsid w:val="00435C5F"/>
    <w:rsid w:val="0043614A"/>
    <w:rsid w:val="00436155"/>
    <w:rsid w:val="004361CF"/>
    <w:rsid w:val="00436460"/>
    <w:rsid w:val="00436592"/>
    <w:rsid w:val="00437B8D"/>
    <w:rsid w:val="00437C5E"/>
    <w:rsid w:val="00440366"/>
    <w:rsid w:val="00440395"/>
    <w:rsid w:val="00440DE3"/>
    <w:rsid w:val="00440EE7"/>
    <w:rsid w:val="00441073"/>
    <w:rsid w:val="00441B7C"/>
    <w:rsid w:val="00441C7A"/>
    <w:rsid w:val="00441E98"/>
    <w:rsid w:val="0044216E"/>
    <w:rsid w:val="0044230A"/>
    <w:rsid w:val="004424B5"/>
    <w:rsid w:val="00442D91"/>
    <w:rsid w:val="00443357"/>
    <w:rsid w:val="00443FEE"/>
    <w:rsid w:val="00444678"/>
    <w:rsid w:val="004449D3"/>
    <w:rsid w:val="00445BC7"/>
    <w:rsid w:val="00446435"/>
    <w:rsid w:val="00447455"/>
    <w:rsid w:val="00447C0C"/>
    <w:rsid w:val="00447CDE"/>
    <w:rsid w:val="00447E0D"/>
    <w:rsid w:val="00450550"/>
    <w:rsid w:val="004507D2"/>
    <w:rsid w:val="00450A46"/>
    <w:rsid w:val="00450B00"/>
    <w:rsid w:val="00450CC6"/>
    <w:rsid w:val="00450F3A"/>
    <w:rsid w:val="004513E3"/>
    <w:rsid w:val="00452D0B"/>
    <w:rsid w:val="004532F7"/>
    <w:rsid w:val="00454434"/>
    <w:rsid w:val="004550AE"/>
    <w:rsid w:val="00455535"/>
    <w:rsid w:val="004559A6"/>
    <w:rsid w:val="00456BAC"/>
    <w:rsid w:val="00457018"/>
    <w:rsid w:val="0045705F"/>
    <w:rsid w:val="004579BA"/>
    <w:rsid w:val="00457C21"/>
    <w:rsid w:val="004604D1"/>
    <w:rsid w:val="00460822"/>
    <w:rsid w:val="00461563"/>
    <w:rsid w:val="0046163D"/>
    <w:rsid w:val="004619F8"/>
    <w:rsid w:val="00461B82"/>
    <w:rsid w:val="00461CAF"/>
    <w:rsid w:val="00461F49"/>
    <w:rsid w:val="00462B11"/>
    <w:rsid w:val="00463460"/>
    <w:rsid w:val="00464C59"/>
    <w:rsid w:val="00464D51"/>
    <w:rsid w:val="00465E45"/>
    <w:rsid w:val="00465E68"/>
    <w:rsid w:val="0046610C"/>
    <w:rsid w:val="004662F8"/>
    <w:rsid w:val="00466987"/>
    <w:rsid w:val="00466D8C"/>
    <w:rsid w:val="004678A9"/>
    <w:rsid w:val="0047075B"/>
    <w:rsid w:val="0047101E"/>
    <w:rsid w:val="004716C8"/>
    <w:rsid w:val="0047179F"/>
    <w:rsid w:val="00472027"/>
    <w:rsid w:val="00472525"/>
    <w:rsid w:val="00472D0B"/>
    <w:rsid w:val="00473334"/>
    <w:rsid w:val="00473691"/>
    <w:rsid w:val="004740CD"/>
    <w:rsid w:val="00474683"/>
    <w:rsid w:val="00474830"/>
    <w:rsid w:val="004748BB"/>
    <w:rsid w:val="00474DF9"/>
    <w:rsid w:val="004750D8"/>
    <w:rsid w:val="00477214"/>
    <w:rsid w:val="00477B4D"/>
    <w:rsid w:val="004804CF"/>
    <w:rsid w:val="00480DC8"/>
    <w:rsid w:val="00481772"/>
    <w:rsid w:val="00481F94"/>
    <w:rsid w:val="0048204E"/>
    <w:rsid w:val="00483314"/>
    <w:rsid w:val="0048351E"/>
    <w:rsid w:val="00483BF9"/>
    <w:rsid w:val="0048438A"/>
    <w:rsid w:val="004848C1"/>
    <w:rsid w:val="00484962"/>
    <w:rsid w:val="00484E20"/>
    <w:rsid w:val="00484F6D"/>
    <w:rsid w:val="00484FB7"/>
    <w:rsid w:val="0048554D"/>
    <w:rsid w:val="00485766"/>
    <w:rsid w:val="00485FBA"/>
    <w:rsid w:val="004869FC"/>
    <w:rsid w:val="00490A16"/>
    <w:rsid w:val="00490D06"/>
    <w:rsid w:val="004917CD"/>
    <w:rsid w:val="00492A62"/>
    <w:rsid w:val="00493064"/>
    <w:rsid w:val="0049338A"/>
    <w:rsid w:val="00493581"/>
    <w:rsid w:val="00493A4D"/>
    <w:rsid w:val="0049417F"/>
    <w:rsid w:val="004941DA"/>
    <w:rsid w:val="004946B0"/>
    <w:rsid w:val="00494B40"/>
    <w:rsid w:val="00495D1C"/>
    <w:rsid w:val="004960B3"/>
    <w:rsid w:val="00496890"/>
    <w:rsid w:val="00496C05"/>
    <w:rsid w:val="00496C99"/>
    <w:rsid w:val="00496D3A"/>
    <w:rsid w:val="00496D41"/>
    <w:rsid w:val="004A0078"/>
    <w:rsid w:val="004A05DC"/>
    <w:rsid w:val="004A16D0"/>
    <w:rsid w:val="004A1F4F"/>
    <w:rsid w:val="004A231D"/>
    <w:rsid w:val="004A25A2"/>
    <w:rsid w:val="004A2706"/>
    <w:rsid w:val="004A499F"/>
    <w:rsid w:val="004A4F58"/>
    <w:rsid w:val="004A4FD8"/>
    <w:rsid w:val="004A599E"/>
    <w:rsid w:val="004A5F98"/>
    <w:rsid w:val="004A6193"/>
    <w:rsid w:val="004A6602"/>
    <w:rsid w:val="004A6621"/>
    <w:rsid w:val="004A7435"/>
    <w:rsid w:val="004B0053"/>
    <w:rsid w:val="004B0504"/>
    <w:rsid w:val="004B09AB"/>
    <w:rsid w:val="004B0A2E"/>
    <w:rsid w:val="004B0D55"/>
    <w:rsid w:val="004B0E7F"/>
    <w:rsid w:val="004B148F"/>
    <w:rsid w:val="004B1BCC"/>
    <w:rsid w:val="004B1C78"/>
    <w:rsid w:val="004B26CF"/>
    <w:rsid w:val="004B2AD2"/>
    <w:rsid w:val="004B2B71"/>
    <w:rsid w:val="004B3EFA"/>
    <w:rsid w:val="004B4113"/>
    <w:rsid w:val="004B4F49"/>
    <w:rsid w:val="004B51FB"/>
    <w:rsid w:val="004B666A"/>
    <w:rsid w:val="004B78AE"/>
    <w:rsid w:val="004C0156"/>
    <w:rsid w:val="004C0174"/>
    <w:rsid w:val="004C1160"/>
    <w:rsid w:val="004C156C"/>
    <w:rsid w:val="004C1B89"/>
    <w:rsid w:val="004C2048"/>
    <w:rsid w:val="004C2290"/>
    <w:rsid w:val="004C23BF"/>
    <w:rsid w:val="004C29BE"/>
    <w:rsid w:val="004C2A87"/>
    <w:rsid w:val="004C2E0D"/>
    <w:rsid w:val="004C329D"/>
    <w:rsid w:val="004C3B8B"/>
    <w:rsid w:val="004C462D"/>
    <w:rsid w:val="004C4863"/>
    <w:rsid w:val="004C4D7B"/>
    <w:rsid w:val="004C4ED3"/>
    <w:rsid w:val="004C5607"/>
    <w:rsid w:val="004C5BF4"/>
    <w:rsid w:val="004C5C45"/>
    <w:rsid w:val="004C5CC4"/>
    <w:rsid w:val="004C6162"/>
    <w:rsid w:val="004C667B"/>
    <w:rsid w:val="004C66FA"/>
    <w:rsid w:val="004C6B97"/>
    <w:rsid w:val="004C6C39"/>
    <w:rsid w:val="004C6E4E"/>
    <w:rsid w:val="004C7344"/>
    <w:rsid w:val="004C7ECD"/>
    <w:rsid w:val="004D032C"/>
    <w:rsid w:val="004D0BB2"/>
    <w:rsid w:val="004D13A0"/>
    <w:rsid w:val="004D2479"/>
    <w:rsid w:val="004D29B8"/>
    <w:rsid w:val="004D2D02"/>
    <w:rsid w:val="004D2EA5"/>
    <w:rsid w:val="004D32A6"/>
    <w:rsid w:val="004D49E7"/>
    <w:rsid w:val="004D4ADC"/>
    <w:rsid w:val="004D4D33"/>
    <w:rsid w:val="004D5300"/>
    <w:rsid w:val="004D53E5"/>
    <w:rsid w:val="004D55F7"/>
    <w:rsid w:val="004D5809"/>
    <w:rsid w:val="004D5C86"/>
    <w:rsid w:val="004D6062"/>
    <w:rsid w:val="004D711E"/>
    <w:rsid w:val="004D7950"/>
    <w:rsid w:val="004D7BFD"/>
    <w:rsid w:val="004E01D2"/>
    <w:rsid w:val="004E09C0"/>
    <w:rsid w:val="004E0C67"/>
    <w:rsid w:val="004E1367"/>
    <w:rsid w:val="004E144B"/>
    <w:rsid w:val="004E162B"/>
    <w:rsid w:val="004E1B0D"/>
    <w:rsid w:val="004E1C30"/>
    <w:rsid w:val="004E205D"/>
    <w:rsid w:val="004E28E7"/>
    <w:rsid w:val="004E29CA"/>
    <w:rsid w:val="004E3373"/>
    <w:rsid w:val="004E3812"/>
    <w:rsid w:val="004E39E8"/>
    <w:rsid w:val="004E39EC"/>
    <w:rsid w:val="004E40D0"/>
    <w:rsid w:val="004E4227"/>
    <w:rsid w:val="004E464E"/>
    <w:rsid w:val="004E4BF5"/>
    <w:rsid w:val="004E4E39"/>
    <w:rsid w:val="004E4E6E"/>
    <w:rsid w:val="004E4E9C"/>
    <w:rsid w:val="004E4E9E"/>
    <w:rsid w:val="004E4F0D"/>
    <w:rsid w:val="004E503C"/>
    <w:rsid w:val="004E5293"/>
    <w:rsid w:val="004E5515"/>
    <w:rsid w:val="004E55C5"/>
    <w:rsid w:val="004E6C0B"/>
    <w:rsid w:val="004E6CB0"/>
    <w:rsid w:val="004E6DC4"/>
    <w:rsid w:val="004E70C9"/>
    <w:rsid w:val="004E741C"/>
    <w:rsid w:val="004F040B"/>
    <w:rsid w:val="004F08FA"/>
    <w:rsid w:val="004F0E4B"/>
    <w:rsid w:val="004F0F34"/>
    <w:rsid w:val="004F1434"/>
    <w:rsid w:val="004F1645"/>
    <w:rsid w:val="004F19CA"/>
    <w:rsid w:val="004F21C1"/>
    <w:rsid w:val="004F25B1"/>
    <w:rsid w:val="004F2AA9"/>
    <w:rsid w:val="004F2B2F"/>
    <w:rsid w:val="004F39B3"/>
    <w:rsid w:val="004F3BCF"/>
    <w:rsid w:val="004F3D14"/>
    <w:rsid w:val="004F480D"/>
    <w:rsid w:val="004F4D6B"/>
    <w:rsid w:val="004F53F4"/>
    <w:rsid w:val="004F55E8"/>
    <w:rsid w:val="004F58E5"/>
    <w:rsid w:val="004F6115"/>
    <w:rsid w:val="004F617D"/>
    <w:rsid w:val="004F6B22"/>
    <w:rsid w:val="004F6CB9"/>
    <w:rsid w:val="004F7CA1"/>
    <w:rsid w:val="0050072A"/>
    <w:rsid w:val="005018D9"/>
    <w:rsid w:val="00501A12"/>
    <w:rsid w:val="00502B5D"/>
    <w:rsid w:val="0050309C"/>
    <w:rsid w:val="0050310D"/>
    <w:rsid w:val="00503BE3"/>
    <w:rsid w:val="00503DA4"/>
    <w:rsid w:val="00504350"/>
    <w:rsid w:val="0050441A"/>
    <w:rsid w:val="005045A9"/>
    <w:rsid w:val="00504781"/>
    <w:rsid w:val="00504924"/>
    <w:rsid w:val="005052E9"/>
    <w:rsid w:val="00506426"/>
    <w:rsid w:val="00506457"/>
    <w:rsid w:val="00506699"/>
    <w:rsid w:val="00506890"/>
    <w:rsid w:val="00506A35"/>
    <w:rsid w:val="00506CD0"/>
    <w:rsid w:val="00507F0D"/>
    <w:rsid w:val="00510145"/>
    <w:rsid w:val="005116EA"/>
    <w:rsid w:val="00511DDF"/>
    <w:rsid w:val="00512E36"/>
    <w:rsid w:val="0051327C"/>
    <w:rsid w:val="0051346D"/>
    <w:rsid w:val="005136E9"/>
    <w:rsid w:val="005137CF"/>
    <w:rsid w:val="00513EAE"/>
    <w:rsid w:val="00513FAB"/>
    <w:rsid w:val="0051434F"/>
    <w:rsid w:val="0051440F"/>
    <w:rsid w:val="0051455B"/>
    <w:rsid w:val="0051461D"/>
    <w:rsid w:val="00515188"/>
    <w:rsid w:val="005155E5"/>
    <w:rsid w:val="00515A67"/>
    <w:rsid w:val="00515ACA"/>
    <w:rsid w:val="00515D5F"/>
    <w:rsid w:val="005161AB"/>
    <w:rsid w:val="00516735"/>
    <w:rsid w:val="00516806"/>
    <w:rsid w:val="00516D25"/>
    <w:rsid w:val="00517A19"/>
    <w:rsid w:val="0052098C"/>
    <w:rsid w:val="0052154A"/>
    <w:rsid w:val="005216C2"/>
    <w:rsid w:val="0052186C"/>
    <w:rsid w:val="00523CA1"/>
    <w:rsid w:val="00523F3A"/>
    <w:rsid w:val="00524020"/>
    <w:rsid w:val="0052429D"/>
    <w:rsid w:val="00525283"/>
    <w:rsid w:val="00525640"/>
    <w:rsid w:val="00525648"/>
    <w:rsid w:val="00525A49"/>
    <w:rsid w:val="00525AC8"/>
    <w:rsid w:val="00525DEC"/>
    <w:rsid w:val="005262D1"/>
    <w:rsid w:val="00526568"/>
    <w:rsid w:val="00526941"/>
    <w:rsid w:val="00527809"/>
    <w:rsid w:val="00527A3F"/>
    <w:rsid w:val="00527BEE"/>
    <w:rsid w:val="00527FC6"/>
    <w:rsid w:val="0053043F"/>
    <w:rsid w:val="00530876"/>
    <w:rsid w:val="00530BAE"/>
    <w:rsid w:val="00530F62"/>
    <w:rsid w:val="00532A6E"/>
    <w:rsid w:val="005341AC"/>
    <w:rsid w:val="00534DCB"/>
    <w:rsid w:val="00534E01"/>
    <w:rsid w:val="00535613"/>
    <w:rsid w:val="005359EB"/>
    <w:rsid w:val="00536518"/>
    <w:rsid w:val="00536D05"/>
    <w:rsid w:val="00536EB6"/>
    <w:rsid w:val="00536F13"/>
    <w:rsid w:val="00537B70"/>
    <w:rsid w:val="00537BDF"/>
    <w:rsid w:val="00540091"/>
    <w:rsid w:val="0054029A"/>
    <w:rsid w:val="00540343"/>
    <w:rsid w:val="005405AE"/>
    <w:rsid w:val="00540670"/>
    <w:rsid w:val="005407F6"/>
    <w:rsid w:val="0054106C"/>
    <w:rsid w:val="005414FD"/>
    <w:rsid w:val="00541DDC"/>
    <w:rsid w:val="00542214"/>
    <w:rsid w:val="0054254A"/>
    <w:rsid w:val="00543549"/>
    <w:rsid w:val="00543893"/>
    <w:rsid w:val="00543AAD"/>
    <w:rsid w:val="00543C56"/>
    <w:rsid w:val="005443BE"/>
    <w:rsid w:val="005447C3"/>
    <w:rsid w:val="0054500B"/>
    <w:rsid w:val="00545586"/>
    <w:rsid w:val="0054598A"/>
    <w:rsid w:val="005466B5"/>
    <w:rsid w:val="00546797"/>
    <w:rsid w:val="00546F91"/>
    <w:rsid w:val="00547201"/>
    <w:rsid w:val="00547255"/>
    <w:rsid w:val="005473D7"/>
    <w:rsid w:val="0055024C"/>
    <w:rsid w:val="005502AA"/>
    <w:rsid w:val="005508DA"/>
    <w:rsid w:val="005508EA"/>
    <w:rsid w:val="00551C91"/>
    <w:rsid w:val="00551F87"/>
    <w:rsid w:val="00552197"/>
    <w:rsid w:val="00552ADF"/>
    <w:rsid w:val="00552BD5"/>
    <w:rsid w:val="00552EBB"/>
    <w:rsid w:val="00554314"/>
    <w:rsid w:val="00554A44"/>
    <w:rsid w:val="005557C1"/>
    <w:rsid w:val="005578D0"/>
    <w:rsid w:val="00557991"/>
    <w:rsid w:val="00560542"/>
    <w:rsid w:val="005615EE"/>
    <w:rsid w:val="00561BC3"/>
    <w:rsid w:val="00562829"/>
    <w:rsid w:val="005629B3"/>
    <w:rsid w:val="00562AF8"/>
    <w:rsid w:val="00562B57"/>
    <w:rsid w:val="00563260"/>
    <w:rsid w:val="005634E7"/>
    <w:rsid w:val="00563CA4"/>
    <w:rsid w:val="00563FF0"/>
    <w:rsid w:val="00564157"/>
    <w:rsid w:val="00564AEB"/>
    <w:rsid w:val="00565061"/>
    <w:rsid w:val="005660A6"/>
    <w:rsid w:val="00566978"/>
    <w:rsid w:val="00567057"/>
    <w:rsid w:val="00570034"/>
    <w:rsid w:val="005702CB"/>
    <w:rsid w:val="00570717"/>
    <w:rsid w:val="00570960"/>
    <w:rsid w:val="0057128A"/>
    <w:rsid w:val="00571505"/>
    <w:rsid w:val="0057171B"/>
    <w:rsid w:val="00571E64"/>
    <w:rsid w:val="00571E84"/>
    <w:rsid w:val="005721AB"/>
    <w:rsid w:val="005721AD"/>
    <w:rsid w:val="005724F6"/>
    <w:rsid w:val="00573268"/>
    <w:rsid w:val="005737FD"/>
    <w:rsid w:val="0057398F"/>
    <w:rsid w:val="00573AC4"/>
    <w:rsid w:val="00573B1D"/>
    <w:rsid w:val="00574508"/>
    <w:rsid w:val="00574B1D"/>
    <w:rsid w:val="00574C70"/>
    <w:rsid w:val="00574E7F"/>
    <w:rsid w:val="00575916"/>
    <w:rsid w:val="005760B6"/>
    <w:rsid w:val="005761DD"/>
    <w:rsid w:val="00576E44"/>
    <w:rsid w:val="005771FF"/>
    <w:rsid w:val="00577CCD"/>
    <w:rsid w:val="005801FC"/>
    <w:rsid w:val="0058095A"/>
    <w:rsid w:val="00581305"/>
    <w:rsid w:val="0058130E"/>
    <w:rsid w:val="0058138D"/>
    <w:rsid w:val="00581DF4"/>
    <w:rsid w:val="00583321"/>
    <w:rsid w:val="00583401"/>
    <w:rsid w:val="005837AF"/>
    <w:rsid w:val="00583963"/>
    <w:rsid w:val="00583F81"/>
    <w:rsid w:val="00584837"/>
    <w:rsid w:val="005849A5"/>
    <w:rsid w:val="00585284"/>
    <w:rsid w:val="005858A3"/>
    <w:rsid w:val="005859BB"/>
    <w:rsid w:val="00585B68"/>
    <w:rsid w:val="00585BA9"/>
    <w:rsid w:val="005867F5"/>
    <w:rsid w:val="00586E63"/>
    <w:rsid w:val="00587359"/>
    <w:rsid w:val="00587411"/>
    <w:rsid w:val="0059091F"/>
    <w:rsid w:val="00590994"/>
    <w:rsid w:val="00590CA9"/>
    <w:rsid w:val="005916E1"/>
    <w:rsid w:val="00591D18"/>
    <w:rsid w:val="00592116"/>
    <w:rsid w:val="005928CF"/>
    <w:rsid w:val="00592B85"/>
    <w:rsid w:val="00594A22"/>
    <w:rsid w:val="00594B8D"/>
    <w:rsid w:val="00595016"/>
    <w:rsid w:val="00595127"/>
    <w:rsid w:val="00595178"/>
    <w:rsid w:val="00595845"/>
    <w:rsid w:val="00595D91"/>
    <w:rsid w:val="005965E9"/>
    <w:rsid w:val="005972F1"/>
    <w:rsid w:val="00597352"/>
    <w:rsid w:val="005976D7"/>
    <w:rsid w:val="00597999"/>
    <w:rsid w:val="00597AAE"/>
    <w:rsid w:val="005A00DD"/>
    <w:rsid w:val="005A06FA"/>
    <w:rsid w:val="005A0870"/>
    <w:rsid w:val="005A0BD6"/>
    <w:rsid w:val="005A0D97"/>
    <w:rsid w:val="005A1E4A"/>
    <w:rsid w:val="005A1FEA"/>
    <w:rsid w:val="005A222C"/>
    <w:rsid w:val="005A234B"/>
    <w:rsid w:val="005A31D9"/>
    <w:rsid w:val="005A3D33"/>
    <w:rsid w:val="005A3F61"/>
    <w:rsid w:val="005A4DF8"/>
    <w:rsid w:val="005A4DFA"/>
    <w:rsid w:val="005A502A"/>
    <w:rsid w:val="005A58D7"/>
    <w:rsid w:val="005A5A78"/>
    <w:rsid w:val="005A5E71"/>
    <w:rsid w:val="005A6305"/>
    <w:rsid w:val="005A6923"/>
    <w:rsid w:val="005A78C8"/>
    <w:rsid w:val="005B0259"/>
    <w:rsid w:val="005B0326"/>
    <w:rsid w:val="005B04D9"/>
    <w:rsid w:val="005B1426"/>
    <w:rsid w:val="005B19B4"/>
    <w:rsid w:val="005B1F42"/>
    <w:rsid w:val="005B2682"/>
    <w:rsid w:val="005B3035"/>
    <w:rsid w:val="005B3383"/>
    <w:rsid w:val="005B3828"/>
    <w:rsid w:val="005B43FA"/>
    <w:rsid w:val="005B4D3E"/>
    <w:rsid w:val="005B4F6C"/>
    <w:rsid w:val="005B4FA7"/>
    <w:rsid w:val="005B5202"/>
    <w:rsid w:val="005B52DD"/>
    <w:rsid w:val="005B55A6"/>
    <w:rsid w:val="005B57FD"/>
    <w:rsid w:val="005B5A24"/>
    <w:rsid w:val="005B5EC4"/>
    <w:rsid w:val="005B61A2"/>
    <w:rsid w:val="005B625A"/>
    <w:rsid w:val="005B6578"/>
    <w:rsid w:val="005B67B7"/>
    <w:rsid w:val="005B685A"/>
    <w:rsid w:val="005B7083"/>
    <w:rsid w:val="005B77BC"/>
    <w:rsid w:val="005B7CB2"/>
    <w:rsid w:val="005C020F"/>
    <w:rsid w:val="005C06FE"/>
    <w:rsid w:val="005C076A"/>
    <w:rsid w:val="005C0A8E"/>
    <w:rsid w:val="005C0BB2"/>
    <w:rsid w:val="005C13A2"/>
    <w:rsid w:val="005C13EA"/>
    <w:rsid w:val="005C1514"/>
    <w:rsid w:val="005C1767"/>
    <w:rsid w:val="005C185C"/>
    <w:rsid w:val="005C1AAB"/>
    <w:rsid w:val="005C1B48"/>
    <w:rsid w:val="005C1E84"/>
    <w:rsid w:val="005C2C51"/>
    <w:rsid w:val="005C2EE8"/>
    <w:rsid w:val="005C2F3C"/>
    <w:rsid w:val="005C30D9"/>
    <w:rsid w:val="005C33BA"/>
    <w:rsid w:val="005C33EA"/>
    <w:rsid w:val="005C42EF"/>
    <w:rsid w:val="005C67A1"/>
    <w:rsid w:val="005C71A5"/>
    <w:rsid w:val="005C7519"/>
    <w:rsid w:val="005C7956"/>
    <w:rsid w:val="005C7B9D"/>
    <w:rsid w:val="005D05CD"/>
    <w:rsid w:val="005D066B"/>
    <w:rsid w:val="005D13F2"/>
    <w:rsid w:val="005D14EF"/>
    <w:rsid w:val="005D1C6E"/>
    <w:rsid w:val="005D1D97"/>
    <w:rsid w:val="005D22DB"/>
    <w:rsid w:val="005D2463"/>
    <w:rsid w:val="005D2467"/>
    <w:rsid w:val="005D24ED"/>
    <w:rsid w:val="005D2641"/>
    <w:rsid w:val="005D32CB"/>
    <w:rsid w:val="005D32F7"/>
    <w:rsid w:val="005D366B"/>
    <w:rsid w:val="005D37ED"/>
    <w:rsid w:val="005D38C3"/>
    <w:rsid w:val="005D3A3F"/>
    <w:rsid w:val="005D3FB9"/>
    <w:rsid w:val="005D462C"/>
    <w:rsid w:val="005D4874"/>
    <w:rsid w:val="005D50B3"/>
    <w:rsid w:val="005D518D"/>
    <w:rsid w:val="005D5338"/>
    <w:rsid w:val="005D597B"/>
    <w:rsid w:val="005D5BCA"/>
    <w:rsid w:val="005D63A4"/>
    <w:rsid w:val="005D7250"/>
    <w:rsid w:val="005D7CAB"/>
    <w:rsid w:val="005E02F5"/>
    <w:rsid w:val="005E0510"/>
    <w:rsid w:val="005E09DF"/>
    <w:rsid w:val="005E12CC"/>
    <w:rsid w:val="005E176E"/>
    <w:rsid w:val="005E218E"/>
    <w:rsid w:val="005E2B20"/>
    <w:rsid w:val="005E355F"/>
    <w:rsid w:val="005E35A0"/>
    <w:rsid w:val="005E37FE"/>
    <w:rsid w:val="005E3E4C"/>
    <w:rsid w:val="005E47E3"/>
    <w:rsid w:val="005E4D3F"/>
    <w:rsid w:val="005E5394"/>
    <w:rsid w:val="005E587A"/>
    <w:rsid w:val="005E5E33"/>
    <w:rsid w:val="005E7C0B"/>
    <w:rsid w:val="005F017E"/>
    <w:rsid w:val="005F01FF"/>
    <w:rsid w:val="005F0D1B"/>
    <w:rsid w:val="005F0D70"/>
    <w:rsid w:val="005F1865"/>
    <w:rsid w:val="005F1963"/>
    <w:rsid w:val="005F1E60"/>
    <w:rsid w:val="005F201C"/>
    <w:rsid w:val="005F2BB9"/>
    <w:rsid w:val="005F3696"/>
    <w:rsid w:val="005F3A6F"/>
    <w:rsid w:val="005F4A8B"/>
    <w:rsid w:val="005F4C55"/>
    <w:rsid w:val="005F6C10"/>
    <w:rsid w:val="005F73B2"/>
    <w:rsid w:val="005F77F7"/>
    <w:rsid w:val="005F7D58"/>
    <w:rsid w:val="006007BD"/>
    <w:rsid w:val="00600A78"/>
    <w:rsid w:val="00600C1F"/>
    <w:rsid w:val="00600C7C"/>
    <w:rsid w:val="00600D47"/>
    <w:rsid w:val="006013C8"/>
    <w:rsid w:val="00601457"/>
    <w:rsid w:val="006025DA"/>
    <w:rsid w:val="0060270D"/>
    <w:rsid w:val="00602BDB"/>
    <w:rsid w:val="0060384A"/>
    <w:rsid w:val="00603DBB"/>
    <w:rsid w:val="00603DEB"/>
    <w:rsid w:val="00603EB3"/>
    <w:rsid w:val="00604261"/>
    <w:rsid w:val="00604342"/>
    <w:rsid w:val="00604611"/>
    <w:rsid w:val="0060539D"/>
    <w:rsid w:val="0060574E"/>
    <w:rsid w:val="00605E0C"/>
    <w:rsid w:val="006067D1"/>
    <w:rsid w:val="00606EF8"/>
    <w:rsid w:val="00607500"/>
    <w:rsid w:val="00607AC1"/>
    <w:rsid w:val="00610288"/>
    <w:rsid w:val="0061047E"/>
    <w:rsid w:val="00610556"/>
    <w:rsid w:val="00610712"/>
    <w:rsid w:val="00611586"/>
    <w:rsid w:val="00612987"/>
    <w:rsid w:val="00612D26"/>
    <w:rsid w:val="00613FF6"/>
    <w:rsid w:val="00614247"/>
    <w:rsid w:val="0061433C"/>
    <w:rsid w:val="00614A39"/>
    <w:rsid w:val="00615855"/>
    <w:rsid w:val="00615DDC"/>
    <w:rsid w:val="0061656B"/>
    <w:rsid w:val="00616660"/>
    <w:rsid w:val="006169AF"/>
    <w:rsid w:val="006206C3"/>
    <w:rsid w:val="00620DA8"/>
    <w:rsid w:val="006210BE"/>
    <w:rsid w:val="006213DF"/>
    <w:rsid w:val="0062177A"/>
    <w:rsid w:val="00621887"/>
    <w:rsid w:val="006228F0"/>
    <w:rsid w:val="00622F1D"/>
    <w:rsid w:val="00622F86"/>
    <w:rsid w:val="0062308F"/>
    <w:rsid w:val="00623B6F"/>
    <w:rsid w:val="0062403C"/>
    <w:rsid w:val="00624520"/>
    <w:rsid w:val="006247DE"/>
    <w:rsid w:val="00624EC3"/>
    <w:rsid w:val="00625660"/>
    <w:rsid w:val="00625BB1"/>
    <w:rsid w:val="00626341"/>
    <w:rsid w:val="00626452"/>
    <w:rsid w:val="00626551"/>
    <w:rsid w:val="006268BC"/>
    <w:rsid w:val="00626FE6"/>
    <w:rsid w:val="006271F5"/>
    <w:rsid w:val="00627D28"/>
    <w:rsid w:val="00627D57"/>
    <w:rsid w:val="00627FAE"/>
    <w:rsid w:val="00630043"/>
    <w:rsid w:val="006302FA"/>
    <w:rsid w:val="006306C3"/>
    <w:rsid w:val="00631ABB"/>
    <w:rsid w:val="00631AF7"/>
    <w:rsid w:val="00631C54"/>
    <w:rsid w:val="0063208F"/>
    <w:rsid w:val="006320F8"/>
    <w:rsid w:val="00632300"/>
    <w:rsid w:val="00632BB7"/>
    <w:rsid w:val="00632D54"/>
    <w:rsid w:val="00633333"/>
    <w:rsid w:val="00633443"/>
    <w:rsid w:val="00633C0C"/>
    <w:rsid w:val="006345C2"/>
    <w:rsid w:val="00634974"/>
    <w:rsid w:val="00634FA9"/>
    <w:rsid w:val="0063501A"/>
    <w:rsid w:val="00635B36"/>
    <w:rsid w:val="00635BCC"/>
    <w:rsid w:val="00636639"/>
    <w:rsid w:val="006366A4"/>
    <w:rsid w:val="00636871"/>
    <w:rsid w:val="00637CB6"/>
    <w:rsid w:val="006407B3"/>
    <w:rsid w:val="00640CAC"/>
    <w:rsid w:val="00640EE1"/>
    <w:rsid w:val="00640F4E"/>
    <w:rsid w:val="006410E7"/>
    <w:rsid w:val="006412C7"/>
    <w:rsid w:val="00641AB3"/>
    <w:rsid w:val="006430BE"/>
    <w:rsid w:val="00643DE0"/>
    <w:rsid w:val="0064437D"/>
    <w:rsid w:val="006445A5"/>
    <w:rsid w:val="00644786"/>
    <w:rsid w:val="00644947"/>
    <w:rsid w:val="006449D2"/>
    <w:rsid w:val="00644BEC"/>
    <w:rsid w:val="00644E85"/>
    <w:rsid w:val="00645574"/>
    <w:rsid w:val="006468BC"/>
    <w:rsid w:val="006474F6"/>
    <w:rsid w:val="0064756B"/>
    <w:rsid w:val="00647DB6"/>
    <w:rsid w:val="00650039"/>
    <w:rsid w:val="00650053"/>
    <w:rsid w:val="00651007"/>
    <w:rsid w:val="00651273"/>
    <w:rsid w:val="006516D8"/>
    <w:rsid w:val="00651AA1"/>
    <w:rsid w:val="00651F59"/>
    <w:rsid w:val="00652409"/>
    <w:rsid w:val="00652A1D"/>
    <w:rsid w:val="00652C17"/>
    <w:rsid w:val="00652C52"/>
    <w:rsid w:val="00652E87"/>
    <w:rsid w:val="00653093"/>
    <w:rsid w:val="00653500"/>
    <w:rsid w:val="00653B3F"/>
    <w:rsid w:val="00653F67"/>
    <w:rsid w:val="006548FB"/>
    <w:rsid w:val="00656531"/>
    <w:rsid w:val="00657314"/>
    <w:rsid w:val="00657423"/>
    <w:rsid w:val="006576DB"/>
    <w:rsid w:val="0066001C"/>
    <w:rsid w:val="00660138"/>
    <w:rsid w:val="006603E4"/>
    <w:rsid w:val="0066063F"/>
    <w:rsid w:val="00660962"/>
    <w:rsid w:val="006614C5"/>
    <w:rsid w:val="00661628"/>
    <w:rsid w:val="006616AC"/>
    <w:rsid w:val="0066202D"/>
    <w:rsid w:val="006621A8"/>
    <w:rsid w:val="00662628"/>
    <w:rsid w:val="00662865"/>
    <w:rsid w:val="00662BB0"/>
    <w:rsid w:val="006631F1"/>
    <w:rsid w:val="00663878"/>
    <w:rsid w:val="006638B2"/>
    <w:rsid w:val="00663921"/>
    <w:rsid w:val="00663B55"/>
    <w:rsid w:val="00664D72"/>
    <w:rsid w:val="00664DF9"/>
    <w:rsid w:val="0066512F"/>
    <w:rsid w:val="0066521B"/>
    <w:rsid w:val="0066653B"/>
    <w:rsid w:val="00667359"/>
    <w:rsid w:val="00667773"/>
    <w:rsid w:val="006700B7"/>
    <w:rsid w:val="0067025E"/>
    <w:rsid w:val="00670317"/>
    <w:rsid w:val="00670743"/>
    <w:rsid w:val="00670B72"/>
    <w:rsid w:val="00670E6E"/>
    <w:rsid w:val="006717BE"/>
    <w:rsid w:val="00671A63"/>
    <w:rsid w:val="00673709"/>
    <w:rsid w:val="006737FE"/>
    <w:rsid w:val="0067386C"/>
    <w:rsid w:val="00673A75"/>
    <w:rsid w:val="00673E20"/>
    <w:rsid w:val="00674D8F"/>
    <w:rsid w:val="00674E6A"/>
    <w:rsid w:val="00674FEE"/>
    <w:rsid w:val="00675600"/>
    <w:rsid w:val="00675E76"/>
    <w:rsid w:val="00676535"/>
    <w:rsid w:val="0067663F"/>
    <w:rsid w:val="00676E5D"/>
    <w:rsid w:val="006772DC"/>
    <w:rsid w:val="00677579"/>
    <w:rsid w:val="006777F3"/>
    <w:rsid w:val="00680173"/>
    <w:rsid w:val="00680399"/>
    <w:rsid w:val="00680844"/>
    <w:rsid w:val="00680A85"/>
    <w:rsid w:val="00680F13"/>
    <w:rsid w:val="00681ADF"/>
    <w:rsid w:val="00682021"/>
    <w:rsid w:val="00682326"/>
    <w:rsid w:val="00682871"/>
    <w:rsid w:val="0068352F"/>
    <w:rsid w:val="00683A82"/>
    <w:rsid w:val="00683EBF"/>
    <w:rsid w:val="006840F0"/>
    <w:rsid w:val="0068492A"/>
    <w:rsid w:val="00684A6B"/>
    <w:rsid w:val="00685250"/>
    <w:rsid w:val="00685740"/>
    <w:rsid w:val="00686397"/>
    <w:rsid w:val="00686A86"/>
    <w:rsid w:val="00686F20"/>
    <w:rsid w:val="00686F9F"/>
    <w:rsid w:val="00687322"/>
    <w:rsid w:val="0068798D"/>
    <w:rsid w:val="00690EE2"/>
    <w:rsid w:val="0069101C"/>
    <w:rsid w:val="006910BA"/>
    <w:rsid w:val="00691849"/>
    <w:rsid w:val="00693854"/>
    <w:rsid w:val="00693EC2"/>
    <w:rsid w:val="006940E6"/>
    <w:rsid w:val="00694515"/>
    <w:rsid w:val="00694A32"/>
    <w:rsid w:val="00694BEB"/>
    <w:rsid w:val="00695066"/>
    <w:rsid w:val="006952D9"/>
    <w:rsid w:val="0069533E"/>
    <w:rsid w:val="00695E66"/>
    <w:rsid w:val="0069645F"/>
    <w:rsid w:val="0069696A"/>
    <w:rsid w:val="00696DB5"/>
    <w:rsid w:val="00697C15"/>
    <w:rsid w:val="006A017F"/>
    <w:rsid w:val="006A0C83"/>
    <w:rsid w:val="006A0E20"/>
    <w:rsid w:val="006A1566"/>
    <w:rsid w:val="006A165B"/>
    <w:rsid w:val="006A17C2"/>
    <w:rsid w:val="006A1EBD"/>
    <w:rsid w:val="006A24E3"/>
    <w:rsid w:val="006A2BE5"/>
    <w:rsid w:val="006A3698"/>
    <w:rsid w:val="006A3889"/>
    <w:rsid w:val="006A3B82"/>
    <w:rsid w:val="006A3BB0"/>
    <w:rsid w:val="006A535F"/>
    <w:rsid w:val="006A5695"/>
    <w:rsid w:val="006A6C57"/>
    <w:rsid w:val="006A6C61"/>
    <w:rsid w:val="006A7250"/>
    <w:rsid w:val="006A7651"/>
    <w:rsid w:val="006A7B21"/>
    <w:rsid w:val="006B01E1"/>
    <w:rsid w:val="006B0439"/>
    <w:rsid w:val="006B0B22"/>
    <w:rsid w:val="006B0DCC"/>
    <w:rsid w:val="006B14A7"/>
    <w:rsid w:val="006B1CCC"/>
    <w:rsid w:val="006B2396"/>
    <w:rsid w:val="006B317A"/>
    <w:rsid w:val="006B3904"/>
    <w:rsid w:val="006B4991"/>
    <w:rsid w:val="006B572B"/>
    <w:rsid w:val="006B5B7D"/>
    <w:rsid w:val="006B684B"/>
    <w:rsid w:val="006B688A"/>
    <w:rsid w:val="006B6CB1"/>
    <w:rsid w:val="006B7809"/>
    <w:rsid w:val="006B7E47"/>
    <w:rsid w:val="006C16AE"/>
    <w:rsid w:val="006C1E80"/>
    <w:rsid w:val="006C30F8"/>
    <w:rsid w:val="006C364F"/>
    <w:rsid w:val="006C3DED"/>
    <w:rsid w:val="006C4016"/>
    <w:rsid w:val="006C4718"/>
    <w:rsid w:val="006C49E4"/>
    <w:rsid w:val="006C50CA"/>
    <w:rsid w:val="006C56D5"/>
    <w:rsid w:val="006C5B46"/>
    <w:rsid w:val="006C5CF0"/>
    <w:rsid w:val="006C6E39"/>
    <w:rsid w:val="006C6EB7"/>
    <w:rsid w:val="006C7257"/>
    <w:rsid w:val="006C7893"/>
    <w:rsid w:val="006C79AA"/>
    <w:rsid w:val="006D002C"/>
    <w:rsid w:val="006D0491"/>
    <w:rsid w:val="006D0802"/>
    <w:rsid w:val="006D0CE5"/>
    <w:rsid w:val="006D0ECF"/>
    <w:rsid w:val="006D0FF0"/>
    <w:rsid w:val="006D14E4"/>
    <w:rsid w:val="006D1766"/>
    <w:rsid w:val="006D1911"/>
    <w:rsid w:val="006D1FF0"/>
    <w:rsid w:val="006D2285"/>
    <w:rsid w:val="006D278C"/>
    <w:rsid w:val="006D2E10"/>
    <w:rsid w:val="006D3446"/>
    <w:rsid w:val="006D3AA5"/>
    <w:rsid w:val="006D3D5B"/>
    <w:rsid w:val="006D48B4"/>
    <w:rsid w:val="006D4C92"/>
    <w:rsid w:val="006D4CFD"/>
    <w:rsid w:val="006D4EB6"/>
    <w:rsid w:val="006D6424"/>
    <w:rsid w:val="006D68A0"/>
    <w:rsid w:val="006D6DCE"/>
    <w:rsid w:val="006D6E7A"/>
    <w:rsid w:val="006D7FBC"/>
    <w:rsid w:val="006E023A"/>
    <w:rsid w:val="006E1018"/>
    <w:rsid w:val="006E11CE"/>
    <w:rsid w:val="006E12F3"/>
    <w:rsid w:val="006E13E0"/>
    <w:rsid w:val="006E1599"/>
    <w:rsid w:val="006E195C"/>
    <w:rsid w:val="006E1E2D"/>
    <w:rsid w:val="006E1EE4"/>
    <w:rsid w:val="006E2A30"/>
    <w:rsid w:val="006E2B8F"/>
    <w:rsid w:val="006E34A4"/>
    <w:rsid w:val="006E35BF"/>
    <w:rsid w:val="006E3858"/>
    <w:rsid w:val="006E47E3"/>
    <w:rsid w:val="006E4BB4"/>
    <w:rsid w:val="006E590F"/>
    <w:rsid w:val="006E5A80"/>
    <w:rsid w:val="006E6173"/>
    <w:rsid w:val="006E6836"/>
    <w:rsid w:val="006E6C7C"/>
    <w:rsid w:val="006E6E8F"/>
    <w:rsid w:val="006E7850"/>
    <w:rsid w:val="006E7E75"/>
    <w:rsid w:val="006F0C03"/>
    <w:rsid w:val="006F0DEE"/>
    <w:rsid w:val="006F19D8"/>
    <w:rsid w:val="006F25E1"/>
    <w:rsid w:val="006F2712"/>
    <w:rsid w:val="006F2730"/>
    <w:rsid w:val="006F27B5"/>
    <w:rsid w:val="006F32E1"/>
    <w:rsid w:val="006F359E"/>
    <w:rsid w:val="006F46D6"/>
    <w:rsid w:val="006F4B6D"/>
    <w:rsid w:val="006F4BBB"/>
    <w:rsid w:val="006F50AB"/>
    <w:rsid w:val="006F510B"/>
    <w:rsid w:val="006F518C"/>
    <w:rsid w:val="006F69D6"/>
    <w:rsid w:val="006F6A30"/>
    <w:rsid w:val="006F6B5A"/>
    <w:rsid w:val="006F6C13"/>
    <w:rsid w:val="006F758F"/>
    <w:rsid w:val="0070015A"/>
    <w:rsid w:val="00700506"/>
    <w:rsid w:val="00700CD0"/>
    <w:rsid w:val="00701A35"/>
    <w:rsid w:val="00701C1D"/>
    <w:rsid w:val="00701F4D"/>
    <w:rsid w:val="007028D9"/>
    <w:rsid w:val="00703030"/>
    <w:rsid w:val="00703319"/>
    <w:rsid w:val="007035CA"/>
    <w:rsid w:val="00706C4C"/>
    <w:rsid w:val="007070E1"/>
    <w:rsid w:val="007071E9"/>
    <w:rsid w:val="00707218"/>
    <w:rsid w:val="0070734C"/>
    <w:rsid w:val="0070736D"/>
    <w:rsid w:val="007073EA"/>
    <w:rsid w:val="00710D04"/>
    <w:rsid w:val="00711574"/>
    <w:rsid w:val="007122F9"/>
    <w:rsid w:val="00712A5D"/>
    <w:rsid w:val="00712B1D"/>
    <w:rsid w:val="00712EC2"/>
    <w:rsid w:val="007132F6"/>
    <w:rsid w:val="00713DD4"/>
    <w:rsid w:val="00714533"/>
    <w:rsid w:val="00715751"/>
    <w:rsid w:val="00715A13"/>
    <w:rsid w:val="00716A0A"/>
    <w:rsid w:val="007171BA"/>
    <w:rsid w:val="00717616"/>
    <w:rsid w:val="00717843"/>
    <w:rsid w:val="00717E98"/>
    <w:rsid w:val="0072027B"/>
    <w:rsid w:val="007205EB"/>
    <w:rsid w:val="007206AE"/>
    <w:rsid w:val="00721010"/>
    <w:rsid w:val="00721B6C"/>
    <w:rsid w:val="00721FF8"/>
    <w:rsid w:val="00722189"/>
    <w:rsid w:val="00722B15"/>
    <w:rsid w:val="00723330"/>
    <w:rsid w:val="00723F17"/>
    <w:rsid w:val="00724BF3"/>
    <w:rsid w:val="00725BAE"/>
    <w:rsid w:val="007260A9"/>
    <w:rsid w:val="00726B71"/>
    <w:rsid w:val="007275C1"/>
    <w:rsid w:val="007275D5"/>
    <w:rsid w:val="00727D3C"/>
    <w:rsid w:val="00727E64"/>
    <w:rsid w:val="00730320"/>
    <w:rsid w:val="00731616"/>
    <w:rsid w:val="00731BCB"/>
    <w:rsid w:val="007325D9"/>
    <w:rsid w:val="00732E63"/>
    <w:rsid w:val="007331CE"/>
    <w:rsid w:val="007334BE"/>
    <w:rsid w:val="007335DA"/>
    <w:rsid w:val="007339FA"/>
    <w:rsid w:val="0073413F"/>
    <w:rsid w:val="00734D3D"/>
    <w:rsid w:val="0073583B"/>
    <w:rsid w:val="00735842"/>
    <w:rsid w:val="00735DAB"/>
    <w:rsid w:val="00735FAF"/>
    <w:rsid w:val="007360CA"/>
    <w:rsid w:val="00737252"/>
    <w:rsid w:val="0073744C"/>
    <w:rsid w:val="00737D27"/>
    <w:rsid w:val="00740535"/>
    <w:rsid w:val="00740694"/>
    <w:rsid w:val="007406C9"/>
    <w:rsid w:val="00741B6A"/>
    <w:rsid w:val="00741D54"/>
    <w:rsid w:val="0074203F"/>
    <w:rsid w:val="007435EF"/>
    <w:rsid w:val="007435FF"/>
    <w:rsid w:val="00743B04"/>
    <w:rsid w:val="00744313"/>
    <w:rsid w:val="007444D4"/>
    <w:rsid w:val="00744B0E"/>
    <w:rsid w:val="00745041"/>
    <w:rsid w:val="00745102"/>
    <w:rsid w:val="00745182"/>
    <w:rsid w:val="00745817"/>
    <w:rsid w:val="00745D79"/>
    <w:rsid w:val="00745E02"/>
    <w:rsid w:val="0074655A"/>
    <w:rsid w:val="0074667B"/>
    <w:rsid w:val="00746F89"/>
    <w:rsid w:val="007470BD"/>
    <w:rsid w:val="00747279"/>
    <w:rsid w:val="00747689"/>
    <w:rsid w:val="007500A3"/>
    <w:rsid w:val="0075134E"/>
    <w:rsid w:val="0075162A"/>
    <w:rsid w:val="00751FE3"/>
    <w:rsid w:val="0075238D"/>
    <w:rsid w:val="00752443"/>
    <w:rsid w:val="00752B50"/>
    <w:rsid w:val="00752F4D"/>
    <w:rsid w:val="0075351C"/>
    <w:rsid w:val="00753D52"/>
    <w:rsid w:val="00753EFA"/>
    <w:rsid w:val="00754026"/>
    <w:rsid w:val="007546B4"/>
    <w:rsid w:val="00754FED"/>
    <w:rsid w:val="007550F7"/>
    <w:rsid w:val="007551E7"/>
    <w:rsid w:val="007555A3"/>
    <w:rsid w:val="00755990"/>
    <w:rsid w:val="00756465"/>
    <w:rsid w:val="00756AB7"/>
    <w:rsid w:val="007606E2"/>
    <w:rsid w:val="00760927"/>
    <w:rsid w:val="00760EC0"/>
    <w:rsid w:val="00761037"/>
    <w:rsid w:val="00761260"/>
    <w:rsid w:val="00761793"/>
    <w:rsid w:val="00761CD3"/>
    <w:rsid w:val="00761E4F"/>
    <w:rsid w:val="00762ACF"/>
    <w:rsid w:val="00762B99"/>
    <w:rsid w:val="00762C3D"/>
    <w:rsid w:val="00763279"/>
    <w:rsid w:val="00763A09"/>
    <w:rsid w:val="00763BC3"/>
    <w:rsid w:val="00764272"/>
    <w:rsid w:val="00764784"/>
    <w:rsid w:val="0076479F"/>
    <w:rsid w:val="00765042"/>
    <w:rsid w:val="007655C4"/>
    <w:rsid w:val="00765692"/>
    <w:rsid w:val="0076655A"/>
    <w:rsid w:val="0076687A"/>
    <w:rsid w:val="00766A81"/>
    <w:rsid w:val="00766C14"/>
    <w:rsid w:val="0076700B"/>
    <w:rsid w:val="00767255"/>
    <w:rsid w:val="00770749"/>
    <w:rsid w:val="00770E69"/>
    <w:rsid w:val="007711BD"/>
    <w:rsid w:val="00772AE1"/>
    <w:rsid w:val="007730C7"/>
    <w:rsid w:val="00773220"/>
    <w:rsid w:val="00774A58"/>
    <w:rsid w:val="0077550A"/>
    <w:rsid w:val="0077568D"/>
    <w:rsid w:val="0077590B"/>
    <w:rsid w:val="00775A0E"/>
    <w:rsid w:val="00776457"/>
    <w:rsid w:val="00776838"/>
    <w:rsid w:val="007773F0"/>
    <w:rsid w:val="007776F7"/>
    <w:rsid w:val="00777A10"/>
    <w:rsid w:val="0078003A"/>
    <w:rsid w:val="00780771"/>
    <w:rsid w:val="00781AF8"/>
    <w:rsid w:val="00781B8D"/>
    <w:rsid w:val="00782730"/>
    <w:rsid w:val="00782A46"/>
    <w:rsid w:val="00783D8C"/>
    <w:rsid w:val="007845B6"/>
    <w:rsid w:val="00784724"/>
    <w:rsid w:val="0078492B"/>
    <w:rsid w:val="00784BF2"/>
    <w:rsid w:val="00785099"/>
    <w:rsid w:val="00787795"/>
    <w:rsid w:val="00790448"/>
    <w:rsid w:val="00790A0C"/>
    <w:rsid w:val="00790A4F"/>
    <w:rsid w:val="007910B0"/>
    <w:rsid w:val="00791187"/>
    <w:rsid w:val="00791BBE"/>
    <w:rsid w:val="007929CF"/>
    <w:rsid w:val="0079332C"/>
    <w:rsid w:val="0079385B"/>
    <w:rsid w:val="00793A14"/>
    <w:rsid w:val="0079452F"/>
    <w:rsid w:val="00794A62"/>
    <w:rsid w:val="00794F86"/>
    <w:rsid w:val="007952DB"/>
    <w:rsid w:val="00795380"/>
    <w:rsid w:val="00795608"/>
    <w:rsid w:val="00795807"/>
    <w:rsid w:val="00795843"/>
    <w:rsid w:val="0079599B"/>
    <w:rsid w:val="00795D78"/>
    <w:rsid w:val="007963A2"/>
    <w:rsid w:val="00797339"/>
    <w:rsid w:val="00797B53"/>
    <w:rsid w:val="00797BA8"/>
    <w:rsid w:val="007A0761"/>
    <w:rsid w:val="007A07CD"/>
    <w:rsid w:val="007A081D"/>
    <w:rsid w:val="007A0D5A"/>
    <w:rsid w:val="007A1B3D"/>
    <w:rsid w:val="007A1EE4"/>
    <w:rsid w:val="007A2CA3"/>
    <w:rsid w:val="007A2E20"/>
    <w:rsid w:val="007A389D"/>
    <w:rsid w:val="007A49E7"/>
    <w:rsid w:val="007A5098"/>
    <w:rsid w:val="007A53A7"/>
    <w:rsid w:val="007A5B3D"/>
    <w:rsid w:val="007A6218"/>
    <w:rsid w:val="007A6465"/>
    <w:rsid w:val="007A64E8"/>
    <w:rsid w:val="007A6E22"/>
    <w:rsid w:val="007A6E7C"/>
    <w:rsid w:val="007A6F28"/>
    <w:rsid w:val="007A77F0"/>
    <w:rsid w:val="007A7921"/>
    <w:rsid w:val="007A7A77"/>
    <w:rsid w:val="007A7CD0"/>
    <w:rsid w:val="007A7F43"/>
    <w:rsid w:val="007B03C6"/>
    <w:rsid w:val="007B05B5"/>
    <w:rsid w:val="007B06B3"/>
    <w:rsid w:val="007B0B6E"/>
    <w:rsid w:val="007B0DB1"/>
    <w:rsid w:val="007B0E87"/>
    <w:rsid w:val="007B129F"/>
    <w:rsid w:val="007B16AB"/>
    <w:rsid w:val="007B2528"/>
    <w:rsid w:val="007B4231"/>
    <w:rsid w:val="007B4303"/>
    <w:rsid w:val="007B4D6A"/>
    <w:rsid w:val="007B526A"/>
    <w:rsid w:val="007B534B"/>
    <w:rsid w:val="007B5673"/>
    <w:rsid w:val="007B578D"/>
    <w:rsid w:val="007B5C1B"/>
    <w:rsid w:val="007B5FE2"/>
    <w:rsid w:val="007B6C53"/>
    <w:rsid w:val="007B6EFB"/>
    <w:rsid w:val="007B7238"/>
    <w:rsid w:val="007B76FF"/>
    <w:rsid w:val="007B7B4C"/>
    <w:rsid w:val="007B7C0E"/>
    <w:rsid w:val="007B7D19"/>
    <w:rsid w:val="007C0431"/>
    <w:rsid w:val="007C0D91"/>
    <w:rsid w:val="007C0EC7"/>
    <w:rsid w:val="007C1073"/>
    <w:rsid w:val="007C143E"/>
    <w:rsid w:val="007C2823"/>
    <w:rsid w:val="007C2C20"/>
    <w:rsid w:val="007C3BF6"/>
    <w:rsid w:val="007C40C0"/>
    <w:rsid w:val="007C42FE"/>
    <w:rsid w:val="007C4866"/>
    <w:rsid w:val="007C4D94"/>
    <w:rsid w:val="007C56CF"/>
    <w:rsid w:val="007C5AC8"/>
    <w:rsid w:val="007C5BAF"/>
    <w:rsid w:val="007C5D12"/>
    <w:rsid w:val="007C5ED7"/>
    <w:rsid w:val="007C67B3"/>
    <w:rsid w:val="007C6B56"/>
    <w:rsid w:val="007C6DF0"/>
    <w:rsid w:val="007C7470"/>
    <w:rsid w:val="007C7DBC"/>
    <w:rsid w:val="007D0227"/>
    <w:rsid w:val="007D0DF0"/>
    <w:rsid w:val="007D0FD2"/>
    <w:rsid w:val="007D23DC"/>
    <w:rsid w:val="007D253C"/>
    <w:rsid w:val="007D261E"/>
    <w:rsid w:val="007D2BC2"/>
    <w:rsid w:val="007D2C2F"/>
    <w:rsid w:val="007D2E57"/>
    <w:rsid w:val="007D2EF8"/>
    <w:rsid w:val="007D4E4A"/>
    <w:rsid w:val="007D561F"/>
    <w:rsid w:val="007D66DB"/>
    <w:rsid w:val="007D6C49"/>
    <w:rsid w:val="007D7457"/>
    <w:rsid w:val="007D7A6F"/>
    <w:rsid w:val="007D7BFD"/>
    <w:rsid w:val="007D7FD2"/>
    <w:rsid w:val="007E13D9"/>
    <w:rsid w:val="007E167D"/>
    <w:rsid w:val="007E1B51"/>
    <w:rsid w:val="007E2249"/>
    <w:rsid w:val="007E263F"/>
    <w:rsid w:val="007E2AEC"/>
    <w:rsid w:val="007E3ABE"/>
    <w:rsid w:val="007E41BE"/>
    <w:rsid w:val="007E4222"/>
    <w:rsid w:val="007E4DB6"/>
    <w:rsid w:val="007E515F"/>
    <w:rsid w:val="007E664B"/>
    <w:rsid w:val="007E6733"/>
    <w:rsid w:val="007E6B69"/>
    <w:rsid w:val="007E6F8B"/>
    <w:rsid w:val="007E7CD4"/>
    <w:rsid w:val="007F026E"/>
    <w:rsid w:val="007F03D0"/>
    <w:rsid w:val="007F0599"/>
    <w:rsid w:val="007F06D2"/>
    <w:rsid w:val="007F0910"/>
    <w:rsid w:val="007F0AE7"/>
    <w:rsid w:val="007F1121"/>
    <w:rsid w:val="007F12AC"/>
    <w:rsid w:val="007F1A1E"/>
    <w:rsid w:val="007F1E64"/>
    <w:rsid w:val="007F354D"/>
    <w:rsid w:val="007F42D7"/>
    <w:rsid w:val="007F4501"/>
    <w:rsid w:val="007F46A9"/>
    <w:rsid w:val="007F498F"/>
    <w:rsid w:val="007F4FF3"/>
    <w:rsid w:val="007F528B"/>
    <w:rsid w:val="007F5616"/>
    <w:rsid w:val="007F5A75"/>
    <w:rsid w:val="007F5C94"/>
    <w:rsid w:val="007F60DF"/>
    <w:rsid w:val="007F709C"/>
    <w:rsid w:val="00801800"/>
    <w:rsid w:val="00801861"/>
    <w:rsid w:val="008018CC"/>
    <w:rsid w:val="00801B5B"/>
    <w:rsid w:val="0080266C"/>
    <w:rsid w:val="0080284D"/>
    <w:rsid w:val="008037ED"/>
    <w:rsid w:val="00803860"/>
    <w:rsid w:val="00803C45"/>
    <w:rsid w:val="008044D9"/>
    <w:rsid w:val="00805A30"/>
    <w:rsid w:val="008068C6"/>
    <w:rsid w:val="00807337"/>
    <w:rsid w:val="00807669"/>
    <w:rsid w:val="00807BE7"/>
    <w:rsid w:val="008100AE"/>
    <w:rsid w:val="008104DC"/>
    <w:rsid w:val="0081077F"/>
    <w:rsid w:val="00810D7B"/>
    <w:rsid w:val="00810EFD"/>
    <w:rsid w:val="00811FA0"/>
    <w:rsid w:val="008122E4"/>
    <w:rsid w:val="008131BF"/>
    <w:rsid w:val="00813FE4"/>
    <w:rsid w:val="008144D1"/>
    <w:rsid w:val="008146C4"/>
    <w:rsid w:val="00814855"/>
    <w:rsid w:val="00814A10"/>
    <w:rsid w:val="00814A55"/>
    <w:rsid w:val="00814C6B"/>
    <w:rsid w:val="008151F0"/>
    <w:rsid w:val="0081551C"/>
    <w:rsid w:val="008161FC"/>
    <w:rsid w:val="008164EB"/>
    <w:rsid w:val="00816FBD"/>
    <w:rsid w:val="00817369"/>
    <w:rsid w:val="00820042"/>
    <w:rsid w:val="0082064A"/>
    <w:rsid w:val="00820CF9"/>
    <w:rsid w:val="008216E7"/>
    <w:rsid w:val="00821EC9"/>
    <w:rsid w:val="00821F6F"/>
    <w:rsid w:val="00822491"/>
    <w:rsid w:val="008229D8"/>
    <w:rsid w:val="0082345C"/>
    <w:rsid w:val="008237A3"/>
    <w:rsid w:val="00824888"/>
    <w:rsid w:val="00824A0A"/>
    <w:rsid w:val="00825443"/>
    <w:rsid w:val="0082548E"/>
    <w:rsid w:val="00825A91"/>
    <w:rsid w:val="00825BE6"/>
    <w:rsid w:val="00825E49"/>
    <w:rsid w:val="00825EBE"/>
    <w:rsid w:val="00826DA9"/>
    <w:rsid w:val="00826FB2"/>
    <w:rsid w:val="008276B4"/>
    <w:rsid w:val="00827910"/>
    <w:rsid w:val="00827FB9"/>
    <w:rsid w:val="00830077"/>
    <w:rsid w:val="008307FB"/>
    <w:rsid w:val="00830807"/>
    <w:rsid w:val="008311A3"/>
    <w:rsid w:val="0083146C"/>
    <w:rsid w:val="00831927"/>
    <w:rsid w:val="00831BB3"/>
    <w:rsid w:val="0083341B"/>
    <w:rsid w:val="008337D6"/>
    <w:rsid w:val="00834165"/>
    <w:rsid w:val="0083461F"/>
    <w:rsid w:val="00834862"/>
    <w:rsid w:val="00835668"/>
    <w:rsid w:val="0083595F"/>
    <w:rsid w:val="00835E11"/>
    <w:rsid w:val="0083676D"/>
    <w:rsid w:val="00836B14"/>
    <w:rsid w:val="00836FE2"/>
    <w:rsid w:val="008370F9"/>
    <w:rsid w:val="00837288"/>
    <w:rsid w:val="00837A13"/>
    <w:rsid w:val="00837B91"/>
    <w:rsid w:val="008405A6"/>
    <w:rsid w:val="00841BD3"/>
    <w:rsid w:val="0084273D"/>
    <w:rsid w:val="008427E5"/>
    <w:rsid w:val="008431D1"/>
    <w:rsid w:val="00844233"/>
    <w:rsid w:val="00844574"/>
    <w:rsid w:val="00844A3C"/>
    <w:rsid w:val="00844E2A"/>
    <w:rsid w:val="00844E3F"/>
    <w:rsid w:val="00845A83"/>
    <w:rsid w:val="00845DA1"/>
    <w:rsid w:val="00845DD8"/>
    <w:rsid w:val="00846BB9"/>
    <w:rsid w:val="00846E6D"/>
    <w:rsid w:val="00847297"/>
    <w:rsid w:val="008472D4"/>
    <w:rsid w:val="0085031A"/>
    <w:rsid w:val="00850630"/>
    <w:rsid w:val="0085090D"/>
    <w:rsid w:val="00851924"/>
    <w:rsid w:val="0085199D"/>
    <w:rsid w:val="00851C36"/>
    <w:rsid w:val="00851E2F"/>
    <w:rsid w:val="0085228E"/>
    <w:rsid w:val="00852329"/>
    <w:rsid w:val="00852D32"/>
    <w:rsid w:val="0085340C"/>
    <w:rsid w:val="0085401C"/>
    <w:rsid w:val="008543DD"/>
    <w:rsid w:val="008545D6"/>
    <w:rsid w:val="00854BD7"/>
    <w:rsid w:val="00854EE5"/>
    <w:rsid w:val="0085580B"/>
    <w:rsid w:val="00856940"/>
    <w:rsid w:val="0085799C"/>
    <w:rsid w:val="00857DF9"/>
    <w:rsid w:val="00860044"/>
    <w:rsid w:val="008602DB"/>
    <w:rsid w:val="0086044B"/>
    <w:rsid w:val="0086099D"/>
    <w:rsid w:val="008617B3"/>
    <w:rsid w:val="00861A73"/>
    <w:rsid w:val="0086255B"/>
    <w:rsid w:val="00862A65"/>
    <w:rsid w:val="00863322"/>
    <w:rsid w:val="00863995"/>
    <w:rsid w:val="00863C16"/>
    <w:rsid w:val="008641CD"/>
    <w:rsid w:val="0086421C"/>
    <w:rsid w:val="008649D5"/>
    <w:rsid w:val="0086553B"/>
    <w:rsid w:val="008658F5"/>
    <w:rsid w:val="008660AA"/>
    <w:rsid w:val="008663B3"/>
    <w:rsid w:val="00866E12"/>
    <w:rsid w:val="00867BB6"/>
    <w:rsid w:val="00867E25"/>
    <w:rsid w:val="00870BD6"/>
    <w:rsid w:val="008712BB"/>
    <w:rsid w:val="008714F4"/>
    <w:rsid w:val="00871618"/>
    <w:rsid w:val="00871643"/>
    <w:rsid w:val="00872076"/>
    <w:rsid w:val="008728EE"/>
    <w:rsid w:val="00872D87"/>
    <w:rsid w:val="008732E8"/>
    <w:rsid w:val="00875306"/>
    <w:rsid w:val="00875472"/>
    <w:rsid w:val="00875839"/>
    <w:rsid w:val="00876116"/>
    <w:rsid w:val="0087669B"/>
    <w:rsid w:val="00876910"/>
    <w:rsid w:val="00876D55"/>
    <w:rsid w:val="00877215"/>
    <w:rsid w:val="008779DB"/>
    <w:rsid w:val="00877A52"/>
    <w:rsid w:val="00877B9E"/>
    <w:rsid w:val="00880051"/>
    <w:rsid w:val="00881046"/>
    <w:rsid w:val="008810C7"/>
    <w:rsid w:val="00881744"/>
    <w:rsid w:val="008822CC"/>
    <w:rsid w:val="00882D7C"/>
    <w:rsid w:val="008830E7"/>
    <w:rsid w:val="008831EB"/>
    <w:rsid w:val="00883662"/>
    <w:rsid w:val="00883C2A"/>
    <w:rsid w:val="00884062"/>
    <w:rsid w:val="00885101"/>
    <w:rsid w:val="0088535B"/>
    <w:rsid w:val="00885AA0"/>
    <w:rsid w:val="0088643F"/>
    <w:rsid w:val="0088670E"/>
    <w:rsid w:val="0088697D"/>
    <w:rsid w:val="00886DED"/>
    <w:rsid w:val="008874D3"/>
    <w:rsid w:val="00890086"/>
    <w:rsid w:val="00890D6E"/>
    <w:rsid w:val="00890EDE"/>
    <w:rsid w:val="00891057"/>
    <w:rsid w:val="0089105C"/>
    <w:rsid w:val="0089205C"/>
    <w:rsid w:val="008925F1"/>
    <w:rsid w:val="00892B38"/>
    <w:rsid w:val="00892F6E"/>
    <w:rsid w:val="00893D25"/>
    <w:rsid w:val="008941D4"/>
    <w:rsid w:val="00894231"/>
    <w:rsid w:val="00894443"/>
    <w:rsid w:val="00895827"/>
    <w:rsid w:val="008964E6"/>
    <w:rsid w:val="00896788"/>
    <w:rsid w:val="0089783F"/>
    <w:rsid w:val="00897DC6"/>
    <w:rsid w:val="008A0175"/>
    <w:rsid w:val="008A01FC"/>
    <w:rsid w:val="008A03E5"/>
    <w:rsid w:val="008A055A"/>
    <w:rsid w:val="008A15C3"/>
    <w:rsid w:val="008A1741"/>
    <w:rsid w:val="008A2484"/>
    <w:rsid w:val="008A34FA"/>
    <w:rsid w:val="008A36E0"/>
    <w:rsid w:val="008A3AC7"/>
    <w:rsid w:val="008A3CB9"/>
    <w:rsid w:val="008A408E"/>
    <w:rsid w:val="008A4C4C"/>
    <w:rsid w:val="008A52F3"/>
    <w:rsid w:val="008A548E"/>
    <w:rsid w:val="008A60A0"/>
    <w:rsid w:val="008A7A6C"/>
    <w:rsid w:val="008A7D23"/>
    <w:rsid w:val="008B0EC3"/>
    <w:rsid w:val="008B143A"/>
    <w:rsid w:val="008B1E85"/>
    <w:rsid w:val="008B1FC9"/>
    <w:rsid w:val="008B25F1"/>
    <w:rsid w:val="008B2746"/>
    <w:rsid w:val="008B278B"/>
    <w:rsid w:val="008B32AC"/>
    <w:rsid w:val="008B35F8"/>
    <w:rsid w:val="008B3866"/>
    <w:rsid w:val="008B39E6"/>
    <w:rsid w:val="008B3B70"/>
    <w:rsid w:val="008B3CDC"/>
    <w:rsid w:val="008B409B"/>
    <w:rsid w:val="008B420C"/>
    <w:rsid w:val="008B43D2"/>
    <w:rsid w:val="008B440C"/>
    <w:rsid w:val="008B441C"/>
    <w:rsid w:val="008B4473"/>
    <w:rsid w:val="008B49CD"/>
    <w:rsid w:val="008B52E5"/>
    <w:rsid w:val="008B5AA4"/>
    <w:rsid w:val="008B5AC2"/>
    <w:rsid w:val="008B5E4B"/>
    <w:rsid w:val="008B5E9D"/>
    <w:rsid w:val="008B7247"/>
    <w:rsid w:val="008C0415"/>
    <w:rsid w:val="008C04F7"/>
    <w:rsid w:val="008C08C3"/>
    <w:rsid w:val="008C0CFE"/>
    <w:rsid w:val="008C0D79"/>
    <w:rsid w:val="008C1471"/>
    <w:rsid w:val="008C1556"/>
    <w:rsid w:val="008C1846"/>
    <w:rsid w:val="008C1D93"/>
    <w:rsid w:val="008C26D9"/>
    <w:rsid w:val="008C2CD7"/>
    <w:rsid w:val="008C2F39"/>
    <w:rsid w:val="008C30D9"/>
    <w:rsid w:val="008C4765"/>
    <w:rsid w:val="008C47BB"/>
    <w:rsid w:val="008C5103"/>
    <w:rsid w:val="008C51E5"/>
    <w:rsid w:val="008C630B"/>
    <w:rsid w:val="008C6917"/>
    <w:rsid w:val="008C6D50"/>
    <w:rsid w:val="008C6EAD"/>
    <w:rsid w:val="008C7167"/>
    <w:rsid w:val="008C73DA"/>
    <w:rsid w:val="008C7503"/>
    <w:rsid w:val="008C7710"/>
    <w:rsid w:val="008C7C0E"/>
    <w:rsid w:val="008D045B"/>
    <w:rsid w:val="008D1008"/>
    <w:rsid w:val="008D1617"/>
    <w:rsid w:val="008D1D6D"/>
    <w:rsid w:val="008D1FB0"/>
    <w:rsid w:val="008D2317"/>
    <w:rsid w:val="008D2537"/>
    <w:rsid w:val="008D329A"/>
    <w:rsid w:val="008D330F"/>
    <w:rsid w:val="008D3760"/>
    <w:rsid w:val="008D37FB"/>
    <w:rsid w:val="008D462E"/>
    <w:rsid w:val="008D48C1"/>
    <w:rsid w:val="008D49BD"/>
    <w:rsid w:val="008D5020"/>
    <w:rsid w:val="008D52E5"/>
    <w:rsid w:val="008D5399"/>
    <w:rsid w:val="008D5AE8"/>
    <w:rsid w:val="008D5CDF"/>
    <w:rsid w:val="008D6420"/>
    <w:rsid w:val="008D6E93"/>
    <w:rsid w:val="008D6EBD"/>
    <w:rsid w:val="008D7391"/>
    <w:rsid w:val="008D7A1D"/>
    <w:rsid w:val="008E03C8"/>
    <w:rsid w:val="008E055B"/>
    <w:rsid w:val="008E07D8"/>
    <w:rsid w:val="008E0A67"/>
    <w:rsid w:val="008E1102"/>
    <w:rsid w:val="008E2DFD"/>
    <w:rsid w:val="008E2F2C"/>
    <w:rsid w:val="008E2FE0"/>
    <w:rsid w:val="008E30BF"/>
    <w:rsid w:val="008E3F01"/>
    <w:rsid w:val="008E4AB5"/>
    <w:rsid w:val="008E59BE"/>
    <w:rsid w:val="008E6315"/>
    <w:rsid w:val="008F0480"/>
    <w:rsid w:val="008F07FC"/>
    <w:rsid w:val="008F0AB7"/>
    <w:rsid w:val="008F0B8B"/>
    <w:rsid w:val="008F0E32"/>
    <w:rsid w:val="008F11E0"/>
    <w:rsid w:val="008F194E"/>
    <w:rsid w:val="008F1E0F"/>
    <w:rsid w:val="008F2735"/>
    <w:rsid w:val="008F2DFF"/>
    <w:rsid w:val="008F3EA7"/>
    <w:rsid w:val="008F44AA"/>
    <w:rsid w:val="008F53A8"/>
    <w:rsid w:val="008F563C"/>
    <w:rsid w:val="008F59EA"/>
    <w:rsid w:val="008F5ABF"/>
    <w:rsid w:val="008F5E3F"/>
    <w:rsid w:val="008F5F35"/>
    <w:rsid w:val="008F6234"/>
    <w:rsid w:val="008F6678"/>
    <w:rsid w:val="008F771E"/>
    <w:rsid w:val="008F7742"/>
    <w:rsid w:val="008F77F1"/>
    <w:rsid w:val="008F78BC"/>
    <w:rsid w:val="008F7943"/>
    <w:rsid w:val="008F7B63"/>
    <w:rsid w:val="008F7D6A"/>
    <w:rsid w:val="00900230"/>
    <w:rsid w:val="00900995"/>
    <w:rsid w:val="00900B9E"/>
    <w:rsid w:val="00900BBF"/>
    <w:rsid w:val="00900FB9"/>
    <w:rsid w:val="009015A6"/>
    <w:rsid w:val="009018E2"/>
    <w:rsid w:val="00901C86"/>
    <w:rsid w:val="009025B8"/>
    <w:rsid w:val="00902799"/>
    <w:rsid w:val="00902923"/>
    <w:rsid w:val="00902D02"/>
    <w:rsid w:val="00903048"/>
    <w:rsid w:val="00903603"/>
    <w:rsid w:val="0090394B"/>
    <w:rsid w:val="009049E1"/>
    <w:rsid w:val="00904A96"/>
    <w:rsid w:val="00904E90"/>
    <w:rsid w:val="009051C1"/>
    <w:rsid w:val="009053C5"/>
    <w:rsid w:val="00905486"/>
    <w:rsid w:val="009054CB"/>
    <w:rsid w:val="00905605"/>
    <w:rsid w:val="009065E9"/>
    <w:rsid w:val="00906855"/>
    <w:rsid w:val="00906FBE"/>
    <w:rsid w:val="009071EA"/>
    <w:rsid w:val="00907269"/>
    <w:rsid w:val="00907625"/>
    <w:rsid w:val="00910212"/>
    <w:rsid w:val="0091034E"/>
    <w:rsid w:val="0091087B"/>
    <w:rsid w:val="00910929"/>
    <w:rsid w:val="00910F47"/>
    <w:rsid w:val="009115E5"/>
    <w:rsid w:val="00911A21"/>
    <w:rsid w:val="00911F8D"/>
    <w:rsid w:val="00912690"/>
    <w:rsid w:val="0091286F"/>
    <w:rsid w:val="00912F86"/>
    <w:rsid w:val="00912F94"/>
    <w:rsid w:val="00913AEF"/>
    <w:rsid w:val="00913B8C"/>
    <w:rsid w:val="00914129"/>
    <w:rsid w:val="009149C5"/>
    <w:rsid w:val="00914C88"/>
    <w:rsid w:val="00914C9C"/>
    <w:rsid w:val="00915237"/>
    <w:rsid w:val="009171BC"/>
    <w:rsid w:val="00917624"/>
    <w:rsid w:val="00917D16"/>
    <w:rsid w:val="00921443"/>
    <w:rsid w:val="009216B3"/>
    <w:rsid w:val="00921BBA"/>
    <w:rsid w:val="0092213D"/>
    <w:rsid w:val="00922DBB"/>
    <w:rsid w:val="009235F8"/>
    <w:rsid w:val="00924834"/>
    <w:rsid w:val="0092497E"/>
    <w:rsid w:val="0092590B"/>
    <w:rsid w:val="00925BF3"/>
    <w:rsid w:val="00925E60"/>
    <w:rsid w:val="00926212"/>
    <w:rsid w:val="00926264"/>
    <w:rsid w:val="009264B3"/>
    <w:rsid w:val="00926B7C"/>
    <w:rsid w:val="00926DAF"/>
    <w:rsid w:val="0092779B"/>
    <w:rsid w:val="009311E2"/>
    <w:rsid w:val="009311E7"/>
    <w:rsid w:val="00931E4C"/>
    <w:rsid w:val="009324C9"/>
    <w:rsid w:val="0093264E"/>
    <w:rsid w:val="00932B7F"/>
    <w:rsid w:val="00932D38"/>
    <w:rsid w:val="009330F8"/>
    <w:rsid w:val="0093343D"/>
    <w:rsid w:val="009334C7"/>
    <w:rsid w:val="009354D6"/>
    <w:rsid w:val="009355ED"/>
    <w:rsid w:val="009356B3"/>
    <w:rsid w:val="009362D2"/>
    <w:rsid w:val="009365E0"/>
    <w:rsid w:val="00936632"/>
    <w:rsid w:val="009369BC"/>
    <w:rsid w:val="00936B29"/>
    <w:rsid w:val="00936E05"/>
    <w:rsid w:val="009370E3"/>
    <w:rsid w:val="009371E0"/>
    <w:rsid w:val="009374BC"/>
    <w:rsid w:val="00937AE3"/>
    <w:rsid w:val="0094050D"/>
    <w:rsid w:val="00941030"/>
    <w:rsid w:val="00941143"/>
    <w:rsid w:val="00941671"/>
    <w:rsid w:val="00941D88"/>
    <w:rsid w:val="00942BA2"/>
    <w:rsid w:val="00942D20"/>
    <w:rsid w:val="009432B7"/>
    <w:rsid w:val="00944C86"/>
    <w:rsid w:val="0094559A"/>
    <w:rsid w:val="0094587B"/>
    <w:rsid w:val="00945C9C"/>
    <w:rsid w:val="00945D95"/>
    <w:rsid w:val="00946009"/>
    <w:rsid w:val="009467A7"/>
    <w:rsid w:val="00946CAB"/>
    <w:rsid w:val="00946D5E"/>
    <w:rsid w:val="00947433"/>
    <w:rsid w:val="00947838"/>
    <w:rsid w:val="00947AFF"/>
    <w:rsid w:val="00947C02"/>
    <w:rsid w:val="0095019F"/>
    <w:rsid w:val="00950795"/>
    <w:rsid w:val="009507FD"/>
    <w:rsid w:val="00950BD5"/>
    <w:rsid w:val="00950BE6"/>
    <w:rsid w:val="00950EE5"/>
    <w:rsid w:val="009511EF"/>
    <w:rsid w:val="00951EF3"/>
    <w:rsid w:val="009520A6"/>
    <w:rsid w:val="009526CE"/>
    <w:rsid w:val="00952925"/>
    <w:rsid w:val="0095294E"/>
    <w:rsid w:val="009532E4"/>
    <w:rsid w:val="0095344A"/>
    <w:rsid w:val="009534AA"/>
    <w:rsid w:val="00953710"/>
    <w:rsid w:val="00953B40"/>
    <w:rsid w:val="00953BF1"/>
    <w:rsid w:val="00953FF6"/>
    <w:rsid w:val="009540E7"/>
    <w:rsid w:val="00954303"/>
    <w:rsid w:val="009545C4"/>
    <w:rsid w:val="0095529D"/>
    <w:rsid w:val="0095553C"/>
    <w:rsid w:val="00955E81"/>
    <w:rsid w:val="00956483"/>
    <w:rsid w:val="009566AC"/>
    <w:rsid w:val="00957DE8"/>
    <w:rsid w:val="0096042F"/>
    <w:rsid w:val="009607D0"/>
    <w:rsid w:val="00960CFF"/>
    <w:rsid w:val="00960ECB"/>
    <w:rsid w:val="009615D6"/>
    <w:rsid w:val="0096184F"/>
    <w:rsid w:val="00962A80"/>
    <w:rsid w:val="009639D9"/>
    <w:rsid w:val="00963B97"/>
    <w:rsid w:val="009645F9"/>
    <w:rsid w:val="00965BD3"/>
    <w:rsid w:val="00965C45"/>
    <w:rsid w:val="0096608E"/>
    <w:rsid w:val="00966420"/>
    <w:rsid w:val="009668BA"/>
    <w:rsid w:val="00966B83"/>
    <w:rsid w:val="00966C14"/>
    <w:rsid w:val="00966C1C"/>
    <w:rsid w:val="00967311"/>
    <w:rsid w:val="00967476"/>
    <w:rsid w:val="00967855"/>
    <w:rsid w:val="00967B25"/>
    <w:rsid w:val="009705F3"/>
    <w:rsid w:val="00970B3A"/>
    <w:rsid w:val="00970B5E"/>
    <w:rsid w:val="00970C37"/>
    <w:rsid w:val="00971572"/>
    <w:rsid w:val="009715C6"/>
    <w:rsid w:val="00971CD1"/>
    <w:rsid w:val="00971D0F"/>
    <w:rsid w:val="00972328"/>
    <w:rsid w:val="00972615"/>
    <w:rsid w:val="00972B3F"/>
    <w:rsid w:val="00972CDB"/>
    <w:rsid w:val="00973234"/>
    <w:rsid w:val="00973759"/>
    <w:rsid w:val="009739B4"/>
    <w:rsid w:val="00974150"/>
    <w:rsid w:val="00974709"/>
    <w:rsid w:val="00974E98"/>
    <w:rsid w:val="0097515E"/>
    <w:rsid w:val="009752CE"/>
    <w:rsid w:val="0097576F"/>
    <w:rsid w:val="00975FA3"/>
    <w:rsid w:val="0097614A"/>
    <w:rsid w:val="00976349"/>
    <w:rsid w:val="009768AC"/>
    <w:rsid w:val="00976953"/>
    <w:rsid w:val="00976D7E"/>
    <w:rsid w:val="00977112"/>
    <w:rsid w:val="00977C3A"/>
    <w:rsid w:val="009801AE"/>
    <w:rsid w:val="00980568"/>
    <w:rsid w:val="00980736"/>
    <w:rsid w:val="0098084D"/>
    <w:rsid w:val="00981979"/>
    <w:rsid w:val="00981A39"/>
    <w:rsid w:val="0098217A"/>
    <w:rsid w:val="009821D7"/>
    <w:rsid w:val="009826F8"/>
    <w:rsid w:val="00982734"/>
    <w:rsid w:val="00982D56"/>
    <w:rsid w:val="00983A66"/>
    <w:rsid w:val="00983A80"/>
    <w:rsid w:val="00983DBF"/>
    <w:rsid w:val="009843A1"/>
    <w:rsid w:val="009843BE"/>
    <w:rsid w:val="0098481E"/>
    <w:rsid w:val="009853A6"/>
    <w:rsid w:val="009853C8"/>
    <w:rsid w:val="0098651E"/>
    <w:rsid w:val="00986594"/>
    <w:rsid w:val="0098666A"/>
    <w:rsid w:val="00986720"/>
    <w:rsid w:val="00987097"/>
    <w:rsid w:val="009877AA"/>
    <w:rsid w:val="00987B93"/>
    <w:rsid w:val="00987C6C"/>
    <w:rsid w:val="009900DC"/>
    <w:rsid w:val="00990571"/>
    <w:rsid w:val="00990894"/>
    <w:rsid w:val="00990B24"/>
    <w:rsid w:val="00991123"/>
    <w:rsid w:val="00991175"/>
    <w:rsid w:val="009912F0"/>
    <w:rsid w:val="009914E6"/>
    <w:rsid w:val="00991560"/>
    <w:rsid w:val="00991CAB"/>
    <w:rsid w:val="00991D40"/>
    <w:rsid w:val="00991E51"/>
    <w:rsid w:val="00993762"/>
    <w:rsid w:val="00993F07"/>
    <w:rsid w:val="00994B75"/>
    <w:rsid w:val="00995962"/>
    <w:rsid w:val="00996B82"/>
    <w:rsid w:val="00996E76"/>
    <w:rsid w:val="00997996"/>
    <w:rsid w:val="009A0018"/>
    <w:rsid w:val="009A01D4"/>
    <w:rsid w:val="009A0C6E"/>
    <w:rsid w:val="009A0D86"/>
    <w:rsid w:val="009A2804"/>
    <w:rsid w:val="009A30CA"/>
    <w:rsid w:val="009A3186"/>
    <w:rsid w:val="009A35BB"/>
    <w:rsid w:val="009A3A9C"/>
    <w:rsid w:val="009A3F09"/>
    <w:rsid w:val="009A4060"/>
    <w:rsid w:val="009A4084"/>
    <w:rsid w:val="009A42B0"/>
    <w:rsid w:val="009A481C"/>
    <w:rsid w:val="009A510C"/>
    <w:rsid w:val="009A5813"/>
    <w:rsid w:val="009A61C0"/>
    <w:rsid w:val="009A656B"/>
    <w:rsid w:val="009A72E1"/>
    <w:rsid w:val="009A74ED"/>
    <w:rsid w:val="009A7829"/>
    <w:rsid w:val="009A7D06"/>
    <w:rsid w:val="009A7EC7"/>
    <w:rsid w:val="009B0318"/>
    <w:rsid w:val="009B046C"/>
    <w:rsid w:val="009B04C3"/>
    <w:rsid w:val="009B065E"/>
    <w:rsid w:val="009B0FEC"/>
    <w:rsid w:val="009B1051"/>
    <w:rsid w:val="009B1304"/>
    <w:rsid w:val="009B13FA"/>
    <w:rsid w:val="009B1880"/>
    <w:rsid w:val="009B1E2D"/>
    <w:rsid w:val="009B2A26"/>
    <w:rsid w:val="009B2CF4"/>
    <w:rsid w:val="009B34A8"/>
    <w:rsid w:val="009B38D5"/>
    <w:rsid w:val="009B3D84"/>
    <w:rsid w:val="009B3F76"/>
    <w:rsid w:val="009B4C1A"/>
    <w:rsid w:val="009B4D08"/>
    <w:rsid w:val="009B5420"/>
    <w:rsid w:val="009B57BD"/>
    <w:rsid w:val="009B59A3"/>
    <w:rsid w:val="009B5AF8"/>
    <w:rsid w:val="009B622B"/>
    <w:rsid w:val="009B6652"/>
    <w:rsid w:val="009B71EE"/>
    <w:rsid w:val="009B762C"/>
    <w:rsid w:val="009B7B6B"/>
    <w:rsid w:val="009C008B"/>
    <w:rsid w:val="009C0119"/>
    <w:rsid w:val="009C01FA"/>
    <w:rsid w:val="009C0237"/>
    <w:rsid w:val="009C0E05"/>
    <w:rsid w:val="009C35F5"/>
    <w:rsid w:val="009C4257"/>
    <w:rsid w:val="009C42C0"/>
    <w:rsid w:val="009C430D"/>
    <w:rsid w:val="009C43AD"/>
    <w:rsid w:val="009C4DF5"/>
    <w:rsid w:val="009C4E4F"/>
    <w:rsid w:val="009C5283"/>
    <w:rsid w:val="009C57CB"/>
    <w:rsid w:val="009C5916"/>
    <w:rsid w:val="009C59E8"/>
    <w:rsid w:val="009C59FB"/>
    <w:rsid w:val="009C614D"/>
    <w:rsid w:val="009C6A9B"/>
    <w:rsid w:val="009C6B2A"/>
    <w:rsid w:val="009C6DE2"/>
    <w:rsid w:val="009C6F3B"/>
    <w:rsid w:val="009C7CB3"/>
    <w:rsid w:val="009D0158"/>
    <w:rsid w:val="009D0332"/>
    <w:rsid w:val="009D1467"/>
    <w:rsid w:val="009D1645"/>
    <w:rsid w:val="009D1A5D"/>
    <w:rsid w:val="009D21D4"/>
    <w:rsid w:val="009D24E7"/>
    <w:rsid w:val="009D2BDF"/>
    <w:rsid w:val="009D2C79"/>
    <w:rsid w:val="009D2FD9"/>
    <w:rsid w:val="009D304D"/>
    <w:rsid w:val="009D31E4"/>
    <w:rsid w:val="009D328D"/>
    <w:rsid w:val="009D3B67"/>
    <w:rsid w:val="009D4808"/>
    <w:rsid w:val="009D5545"/>
    <w:rsid w:val="009D5E76"/>
    <w:rsid w:val="009D646C"/>
    <w:rsid w:val="009D671B"/>
    <w:rsid w:val="009D67F8"/>
    <w:rsid w:val="009D6970"/>
    <w:rsid w:val="009D6FAD"/>
    <w:rsid w:val="009E0394"/>
    <w:rsid w:val="009E04FF"/>
    <w:rsid w:val="009E0D3D"/>
    <w:rsid w:val="009E1565"/>
    <w:rsid w:val="009E1B7B"/>
    <w:rsid w:val="009E213E"/>
    <w:rsid w:val="009E2949"/>
    <w:rsid w:val="009E2C28"/>
    <w:rsid w:val="009E2C97"/>
    <w:rsid w:val="009E3545"/>
    <w:rsid w:val="009E363B"/>
    <w:rsid w:val="009E38B3"/>
    <w:rsid w:val="009E4CB9"/>
    <w:rsid w:val="009E4ECF"/>
    <w:rsid w:val="009E4FA6"/>
    <w:rsid w:val="009E57D9"/>
    <w:rsid w:val="009E5AB4"/>
    <w:rsid w:val="009E6171"/>
    <w:rsid w:val="009E70EC"/>
    <w:rsid w:val="009E724F"/>
    <w:rsid w:val="009E72FC"/>
    <w:rsid w:val="009E7550"/>
    <w:rsid w:val="009E77A5"/>
    <w:rsid w:val="009E7D93"/>
    <w:rsid w:val="009F03C1"/>
    <w:rsid w:val="009F07E8"/>
    <w:rsid w:val="009F1ECF"/>
    <w:rsid w:val="009F22C1"/>
    <w:rsid w:val="009F3654"/>
    <w:rsid w:val="009F3861"/>
    <w:rsid w:val="009F3A2B"/>
    <w:rsid w:val="009F3C34"/>
    <w:rsid w:val="009F3F1A"/>
    <w:rsid w:val="009F439A"/>
    <w:rsid w:val="009F462C"/>
    <w:rsid w:val="009F4FBB"/>
    <w:rsid w:val="009F56DF"/>
    <w:rsid w:val="009F5C33"/>
    <w:rsid w:val="009F6163"/>
    <w:rsid w:val="009F6470"/>
    <w:rsid w:val="009F6740"/>
    <w:rsid w:val="009F752F"/>
    <w:rsid w:val="009F7A97"/>
    <w:rsid w:val="009F7AAB"/>
    <w:rsid w:val="009F7ED2"/>
    <w:rsid w:val="00A0045B"/>
    <w:rsid w:val="00A00AA5"/>
    <w:rsid w:val="00A015C7"/>
    <w:rsid w:val="00A0170C"/>
    <w:rsid w:val="00A01AFC"/>
    <w:rsid w:val="00A02165"/>
    <w:rsid w:val="00A023E6"/>
    <w:rsid w:val="00A026F0"/>
    <w:rsid w:val="00A030D0"/>
    <w:rsid w:val="00A03458"/>
    <w:rsid w:val="00A03C7F"/>
    <w:rsid w:val="00A03EAC"/>
    <w:rsid w:val="00A041DE"/>
    <w:rsid w:val="00A04DBB"/>
    <w:rsid w:val="00A066B8"/>
    <w:rsid w:val="00A06AE4"/>
    <w:rsid w:val="00A078D1"/>
    <w:rsid w:val="00A07E2D"/>
    <w:rsid w:val="00A07E4E"/>
    <w:rsid w:val="00A07EA0"/>
    <w:rsid w:val="00A103D5"/>
    <w:rsid w:val="00A10C2B"/>
    <w:rsid w:val="00A10CE8"/>
    <w:rsid w:val="00A110AB"/>
    <w:rsid w:val="00A113AF"/>
    <w:rsid w:val="00A11405"/>
    <w:rsid w:val="00A118D3"/>
    <w:rsid w:val="00A11CA6"/>
    <w:rsid w:val="00A12238"/>
    <w:rsid w:val="00A12259"/>
    <w:rsid w:val="00A12278"/>
    <w:rsid w:val="00A1285B"/>
    <w:rsid w:val="00A12B86"/>
    <w:rsid w:val="00A136DC"/>
    <w:rsid w:val="00A14704"/>
    <w:rsid w:val="00A147B5"/>
    <w:rsid w:val="00A14FC4"/>
    <w:rsid w:val="00A156F5"/>
    <w:rsid w:val="00A1650C"/>
    <w:rsid w:val="00A17A95"/>
    <w:rsid w:val="00A202CE"/>
    <w:rsid w:val="00A204AC"/>
    <w:rsid w:val="00A20C49"/>
    <w:rsid w:val="00A21137"/>
    <w:rsid w:val="00A220DE"/>
    <w:rsid w:val="00A22932"/>
    <w:rsid w:val="00A2303A"/>
    <w:rsid w:val="00A2332D"/>
    <w:rsid w:val="00A24371"/>
    <w:rsid w:val="00A24478"/>
    <w:rsid w:val="00A24C64"/>
    <w:rsid w:val="00A2563C"/>
    <w:rsid w:val="00A25D96"/>
    <w:rsid w:val="00A25ED2"/>
    <w:rsid w:val="00A269CA"/>
    <w:rsid w:val="00A26B0B"/>
    <w:rsid w:val="00A276CD"/>
    <w:rsid w:val="00A27704"/>
    <w:rsid w:val="00A2782A"/>
    <w:rsid w:val="00A3094B"/>
    <w:rsid w:val="00A3133D"/>
    <w:rsid w:val="00A31743"/>
    <w:rsid w:val="00A31DFB"/>
    <w:rsid w:val="00A323C3"/>
    <w:rsid w:val="00A32AC8"/>
    <w:rsid w:val="00A32D3A"/>
    <w:rsid w:val="00A33676"/>
    <w:rsid w:val="00A336EE"/>
    <w:rsid w:val="00A33C62"/>
    <w:rsid w:val="00A33F46"/>
    <w:rsid w:val="00A3427E"/>
    <w:rsid w:val="00A34C91"/>
    <w:rsid w:val="00A34DDB"/>
    <w:rsid w:val="00A35213"/>
    <w:rsid w:val="00A3561B"/>
    <w:rsid w:val="00A359AC"/>
    <w:rsid w:val="00A35FA4"/>
    <w:rsid w:val="00A36109"/>
    <w:rsid w:val="00A370C0"/>
    <w:rsid w:val="00A37CEC"/>
    <w:rsid w:val="00A37D5B"/>
    <w:rsid w:val="00A40388"/>
    <w:rsid w:val="00A40412"/>
    <w:rsid w:val="00A40D7B"/>
    <w:rsid w:val="00A40DAC"/>
    <w:rsid w:val="00A40F83"/>
    <w:rsid w:val="00A410FB"/>
    <w:rsid w:val="00A41413"/>
    <w:rsid w:val="00A4245A"/>
    <w:rsid w:val="00A431E6"/>
    <w:rsid w:val="00A436E8"/>
    <w:rsid w:val="00A43C13"/>
    <w:rsid w:val="00A43DFB"/>
    <w:rsid w:val="00A43E39"/>
    <w:rsid w:val="00A44C39"/>
    <w:rsid w:val="00A459CC"/>
    <w:rsid w:val="00A45BC0"/>
    <w:rsid w:val="00A45FB1"/>
    <w:rsid w:val="00A46A0F"/>
    <w:rsid w:val="00A46A2C"/>
    <w:rsid w:val="00A46CCC"/>
    <w:rsid w:val="00A46F6F"/>
    <w:rsid w:val="00A4774E"/>
    <w:rsid w:val="00A47996"/>
    <w:rsid w:val="00A510EE"/>
    <w:rsid w:val="00A51135"/>
    <w:rsid w:val="00A5114A"/>
    <w:rsid w:val="00A51987"/>
    <w:rsid w:val="00A51CFE"/>
    <w:rsid w:val="00A5204D"/>
    <w:rsid w:val="00A52393"/>
    <w:rsid w:val="00A5265A"/>
    <w:rsid w:val="00A52849"/>
    <w:rsid w:val="00A52D53"/>
    <w:rsid w:val="00A53FAB"/>
    <w:rsid w:val="00A54D04"/>
    <w:rsid w:val="00A55ED5"/>
    <w:rsid w:val="00A562B5"/>
    <w:rsid w:val="00A56533"/>
    <w:rsid w:val="00A56E77"/>
    <w:rsid w:val="00A57F20"/>
    <w:rsid w:val="00A60A22"/>
    <w:rsid w:val="00A60B15"/>
    <w:rsid w:val="00A60F6D"/>
    <w:rsid w:val="00A61605"/>
    <w:rsid w:val="00A61D49"/>
    <w:rsid w:val="00A61FBF"/>
    <w:rsid w:val="00A627AD"/>
    <w:rsid w:val="00A634AD"/>
    <w:rsid w:val="00A63710"/>
    <w:rsid w:val="00A63A13"/>
    <w:rsid w:val="00A648A2"/>
    <w:rsid w:val="00A64E0D"/>
    <w:rsid w:val="00A65581"/>
    <w:rsid w:val="00A655F6"/>
    <w:rsid w:val="00A6581A"/>
    <w:rsid w:val="00A65E02"/>
    <w:rsid w:val="00A65F97"/>
    <w:rsid w:val="00A6636B"/>
    <w:rsid w:val="00A66BC4"/>
    <w:rsid w:val="00A66C1E"/>
    <w:rsid w:val="00A67647"/>
    <w:rsid w:val="00A6768D"/>
    <w:rsid w:val="00A676F3"/>
    <w:rsid w:val="00A67A12"/>
    <w:rsid w:val="00A67ABD"/>
    <w:rsid w:val="00A67DFF"/>
    <w:rsid w:val="00A7033C"/>
    <w:rsid w:val="00A7077F"/>
    <w:rsid w:val="00A70CA8"/>
    <w:rsid w:val="00A714B4"/>
    <w:rsid w:val="00A715D6"/>
    <w:rsid w:val="00A72C43"/>
    <w:rsid w:val="00A73730"/>
    <w:rsid w:val="00A738A2"/>
    <w:rsid w:val="00A73B04"/>
    <w:rsid w:val="00A741A5"/>
    <w:rsid w:val="00A743A5"/>
    <w:rsid w:val="00A744F0"/>
    <w:rsid w:val="00A74C24"/>
    <w:rsid w:val="00A74EA6"/>
    <w:rsid w:val="00A75237"/>
    <w:rsid w:val="00A753A9"/>
    <w:rsid w:val="00A7544E"/>
    <w:rsid w:val="00A75E0B"/>
    <w:rsid w:val="00A76291"/>
    <w:rsid w:val="00A768AB"/>
    <w:rsid w:val="00A76C13"/>
    <w:rsid w:val="00A77228"/>
    <w:rsid w:val="00A80115"/>
    <w:rsid w:val="00A80AA9"/>
    <w:rsid w:val="00A810A2"/>
    <w:rsid w:val="00A81AB9"/>
    <w:rsid w:val="00A822B7"/>
    <w:rsid w:val="00A82DC3"/>
    <w:rsid w:val="00A8310B"/>
    <w:rsid w:val="00A83122"/>
    <w:rsid w:val="00A84BC8"/>
    <w:rsid w:val="00A84FD0"/>
    <w:rsid w:val="00A85374"/>
    <w:rsid w:val="00A86C64"/>
    <w:rsid w:val="00A87CAC"/>
    <w:rsid w:val="00A9067B"/>
    <w:rsid w:val="00A90B5F"/>
    <w:rsid w:val="00A9164D"/>
    <w:rsid w:val="00A9186B"/>
    <w:rsid w:val="00A918D9"/>
    <w:rsid w:val="00A92445"/>
    <w:rsid w:val="00A92E79"/>
    <w:rsid w:val="00A93975"/>
    <w:rsid w:val="00A93EC6"/>
    <w:rsid w:val="00A94744"/>
    <w:rsid w:val="00A94EC6"/>
    <w:rsid w:val="00A950B6"/>
    <w:rsid w:val="00A959F5"/>
    <w:rsid w:val="00A95D45"/>
    <w:rsid w:val="00A962C3"/>
    <w:rsid w:val="00A96302"/>
    <w:rsid w:val="00A9667C"/>
    <w:rsid w:val="00A96A0A"/>
    <w:rsid w:val="00A96D85"/>
    <w:rsid w:val="00A97A15"/>
    <w:rsid w:val="00A97EE1"/>
    <w:rsid w:val="00AA02CE"/>
    <w:rsid w:val="00AA0C23"/>
    <w:rsid w:val="00AA1965"/>
    <w:rsid w:val="00AA1F95"/>
    <w:rsid w:val="00AA2B76"/>
    <w:rsid w:val="00AA2BDD"/>
    <w:rsid w:val="00AA34CD"/>
    <w:rsid w:val="00AA379E"/>
    <w:rsid w:val="00AA3B53"/>
    <w:rsid w:val="00AA3EA8"/>
    <w:rsid w:val="00AA4BD9"/>
    <w:rsid w:val="00AA56B0"/>
    <w:rsid w:val="00AA5C29"/>
    <w:rsid w:val="00AA5F97"/>
    <w:rsid w:val="00AA6630"/>
    <w:rsid w:val="00AA698E"/>
    <w:rsid w:val="00AA6A78"/>
    <w:rsid w:val="00AA6BDE"/>
    <w:rsid w:val="00AA7775"/>
    <w:rsid w:val="00AA7FDA"/>
    <w:rsid w:val="00AB0E66"/>
    <w:rsid w:val="00AB1536"/>
    <w:rsid w:val="00AB1714"/>
    <w:rsid w:val="00AB26DF"/>
    <w:rsid w:val="00AB270E"/>
    <w:rsid w:val="00AB2A40"/>
    <w:rsid w:val="00AB3913"/>
    <w:rsid w:val="00AB3B6B"/>
    <w:rsid w:val="00AB3C16"/>
    <w:rsid w:val="00AB41C1"/>
    <w:rsid w:val="00AB4A97"/>
    <w:rsid w:val="00AB4CF2"/>
    <w:rsid w:val="00AB621F"/>
    <w:rsid w:val="00AB6CCA"/>
    <w:rsid w:val="00AB6FD6"/>
    <w:rsid w:val="00AB7301"/>
    <w:rsid w:val="00AB73A3"/>
    <w:rsid w:val="00AB7B09"/>
    <w:rsid w:val="00AC0C93"/>
    <w:rsid w:val="00AC1454"/>
    <w:rsid w:val="00AC1904"/>
    <w:rsid w:val="00AC1C55"/>
    <w:rsid w:val="00AC223F"/>
    <w:rsid w:val="00AC2454"/>
    <w:rsid w:val="00AC25C2"/>
    <w:rsid w:val="00AC27A5"/>
    <w:rsid w:val="00AC33B1"/>
    <w:rsid w:val="00AC3494"/>
    <w:rsid w:val="00AC380D"/>
    <w:rsid w:val="00AC386E"/>
    <w:rsid w:val="00AC3E74"/>
    <w:rsid w:val="00AC64AF"/>
    <w:rsid w:val="00AC6679"/>
    <w:rsid w:val="00AC6BB5"/>
    <w:rsid w:val="00AC6DD1"/>
    <w:rsid w:val="00AC718B"/>
    <w:rsid w:val="00AC7E84"/>
    <w:rsid w:val="00AC7E8A"/>
    <w:rsid w:val="00AD0B02"/>
    <w:rsid w:val="00AD0E57"/>
    <w:rsid w:val="00AD0F68"/>
    <w:rsid w:val="00AD12A8"/>
    <w:rsid w:val="00AD245D"/>
    <w:rsid w:val="00AD2682"/>
    <w:rsid w:val="00AD268A"/>
    <w:rsid w:val="00AD2BA7"/>
    <w:rsid w:val="00AD2EDA"/>
    <w:rsid w:val="00AD37CE"/>
    <w:rsid w:val="00AD3CDD"/>
    <w:rsid w:val="00AD420D"/>
    <w:rsid w:val="00AD428F"/>
    <w:rsid w:val="00AD4D95"/>
    <w:rsid w:val="00AD72B3"/>
    <w:rsid w:val="00AD77CE"/>
    <w:rsid w:val="00AE000D"/>
    <w:rsid w:val="00AE023F"/>
    <w:rsid w:val="00AE037B"/>
    <w:rsid w:val="00AE05CB"/>
    <w:rsid w:val="00AE09F7"/>
    <w:rsid w:val="00AE1308"/>
    <w:rsid w:val="00AE144B"/>
    <w:rsid w:val="00AE146A"/>
    <w:rsid w:val="00AE1C18"/>
    <w:rsid w:val="00AE1D56"/>
    <w:rsid w:val="00AE3A64"/>
    <w:rsid w:val="00AE3CA9"/>
    <w:rsid w:val="00AE400B"/>
    <w:rsid w:val="00AE4764"/>
    <w:rsid w:val="00AE4F2B"/>
    <w:rsid w:val="00AE65F2"/>
    <w:rsid w:val="00AE6A18"/>
    <w:rsid w:val="00AE6E59"/>
    <w:rsid w:val="00AE76DA"/>
    <w:rsid w:val="00AE79B3"/>
    <w:rsid w:val="00AF12D0"/>
    <w:rsid w:val="00AF1469"/>
    <w:rsid w:val="00AF1F57"/>
    <w:rsid w:val="00AF26FA"/>
    <w:rsid w:val="00AF2870"/>
    <w:rsid w:val="00AF2EBE"/>
    <w:rsid w:val="00AF3577"/>
    <w:rsid w:val="00AF35F9"/>
    <w:rsid w:val="00AF376B"/>
    <w:rsid w:val="00AF4F8A"/>
    <w:rsid w:val="00AF6D67"/>
    <w:rsid w:val="00AF73B1"/>
    <w:rsid w:val="00B00084"/>
    <w:rsid w:val="00B00156"/>
    <w:rsid w:val="00B009FD"/>
    <w:rsid w:val="00B0116C"/>
    <w:rsid w:val="00B01735"/>
    <w:rsid w:val="00B017F0"/>
    <w:rsid w:val="00B01937"/>
    <w:rsid w:val="00B019A2"/>
    <w:rsid w:val="00B01E5E"/>
    <w:rsid w:val="00B02104"/>
    <w:rsid w:val="00B02A1F"/>
    <w:rsid w:val="00B03425"/>
    <w:rsid w:val="00B0344C"/>
    <w:rsid w:val="00B03505"/>
    <w:rsid w:val="00B0424C"/>
    <w:rsid w:val="00B0456E"/>
    <w:rsid w:val="00B04B7F"/>
    <w:rsid w:val="00B05C7D"/>
    <w:rsid w:val="00B06B79"/>
    <w:rsid w:val="00B06FB2"/>
    <w:rsid w:val="00B07572"/>
    <w:rsid w:val="00B07A78"/>
    <w:rsid w:val="00B10301"/>
    <w:rsid w:val="00B10AE6"/>
    <w:rsid w:val="00B10E65"/>
    <w:rsid w:val="00B11233"/>
    <w:rsid w:val="00B11D2D"/>
    <w:rsid w:val="00B125EE"/>
    <w:rsid w:val="00B127F5"/>
    <w:rsid w:val="00B12C96"/>
    <w:rsid w:val="00B13464"/>
    <w:rsid w:val="00B13502"/>
    <w:rsid w:val="00B13DD9"/>
    <w:rsid w:val="00B14278"/>
    <w:rsid w:val="00B14BB3"/>
    <w:rsid w:val="00B15114"/>
    <w:rsid w:val="00B153AC"/>
    <w:rsid w:val="00B153DC"/>
    <w:rsid w:val="00B15D57"/>
    <w:rsid w:val="00B16347"/>
    <w:rsid w:val="00B1794F"/>
    <w:rsid w:val="00B17D6E"/>
    <w:rsid w:val="00B17F70"/>
    <w:rsid w:val="00B20A3F"/>
    <w:rsid w:val="00B22AC0"/>
    <w:rsid w:val="00B233C8"/>
    <w:rsid w:val="00B24341"/>
    <w:rsid w:val="00B2435E"/>
    <w:rsid w:val="00B24CCA"/>
    <w:rsid w:val="00B25547"/>
    <w:rsid w:val="00B276DE"/>
    <w:rsid w:val="00B301D4"/>
    <w:rsid w:val="00B3035F"/>
    <w:rsid w:val="00B30DC4"/>
    <w:rsid w:val="00B31420"/>
    <w:rsid w:val="00B31878"/>
    <w:rsid w:val="00B328C3"/>
    <w:rsid w:val="00B3311D"/>
    <w:rsid w:val="00B341C9"/>
    <w:rsid w:val="00B346C3"/>
    <w:rsid w:val="00B3474B"/>
    <w:rsid w:val="00B34F45"/>
    <w:rsid w:val="00B35061"/>
    <w:rsid w:val="00B36CB1"/>
    <w:rsid w:val="00B3740A"/>
    <w:rsid w:val="00B37F38"/>
    <w:rsid w:val="00B4003E"/>
    <w:rsid w:val="00B4005C"/>
    <w:rsid w:val="00B40C3D"/>
    <w:rsid w:val="00B40D03"/>
    <w:rsid w:val="00B40DBD"/>
    <w:rsid w:val="00B415C3"/>
    <w:rsid w:val="00B41C3E"/>
    <w:rsid w:val="00B4227E"/>
    <w:rsid w:val="00B4319C"/>
    <w:rsid w:val="00B43611"/>
    <w:rsid w:val="00B43AC7"/>
    <w:rsid w:val="00B44029"/>
    <w:rsid w:val="00B44034"/>
    <w:rsid w:val="00B44446"/>
    <w:rsid w:val="00B4471C"/>
    <w:rsid w:val="00B451A6"/>
    <w:rsid w:val="00B4529E"/>
    <w:rsid w:val="00B452E8"/>
    <w:rsid w:val="00B45C62"/>
    <w:rsid w:val="00B47400"/>
    <w:rsid w:val="00B47C6A"/>
    <w:rsid w:val="00B50D36"/>
    <w:rsid w:val="00B51353"/>
    <w:rsid w:val="00B51581"/>
    <w:rsid w:val="00B5197A"/>
    <w:rsid w:val="00B51B53"/>
    <w:rsid w:val="00B52436"/>
    <w:rsid w:val="00B524C4"/>
    <w:rsid w:val="00B52701"/>
    <w:rsid w:val="00B52917"/>
    <w:rsid w:val="00B53B2C"/>
    <w:rsid w:val="00B5483C"/>
    <w:rsid w:val="00B54E95"/>
    <w:rsid w:val="00B559A1"/>
    <w:rsid w:val="00B55B82"/>
    <w:rsid w:val="00B56D6E"/>
    <w:rsid w:val="00B57175"/>
    <w:rsid w:val="00B57A0F"/>
    <w:rsid w:val="00B57DBD"/>
    <w:rsid w:val="00B604CF"/>
    <w:rsid w:val="00B6149A"/>
    <w:rsid w:val="00B615A7"/>
    <w:rsid w:val="00B61865"/>
    <w:rsid w:val="00B618F0"/>
    <w:rsid w:val="00B61987"/>
    <w:rsid w:val="00B61A93"/>
    <w:rsid w:val="00B61D35"/>
    <w:rsid w:val="00B621C7"/>
    <w:rsid w:val="00B64347"/>
    <w:rsid w:val="00B64B9A"/>
    <w:rsid w:val="00B64BC5"/>
    <w:rsid w:val="00B65A7F"/>
    <w:rsid w:val="00B65DC6"/>
    <w:rsid w:val="00B666C6"/>
    <w:rsid w:val="00B66D63"/>
    <w:rsid w:val="00B66FEA"/>
    <w:rsid w:val="00B673E8"/>
    <w:rsid w:val="00B67AC2"/>
    <w:rsid w:val="00B67C66"/>
    <w:rsid w:val="00B67E82"/>
    <w:rsid w:val="00B714D0"/>
    <w:rsid w:val="00B71F4A"/>
    <w:rsid w:val="00B722DE"/>
    <w:rsid w:val="00B723C4"/>
    <w:rsid w:val="00B72CFE"/>
    <w:rsid w:val="00B72D8E"/>
    <w:rsid w:val="00B72E41"/>
    <w:rsid w:val="00B73577"/>
    <w:rsid w:val="00B7360A"/>
    <w:rsid w:val="00B7394C"/>
    <w:rsid w:val="00B73E79"/>
    <w:rsid w:val="00B7495B"/>
    <w:rsid w:val="00B75002"/>
    <w:rsid w:val="00B751E3"/>
    <w:rsid w:val="00B75BA6"/>
    <w:rsid w:val="00B764BB"/>
    <w:rsid w:val="00B76C17"/>
    <w:rsid w:val="00B76C44"/>
    <w:rsid w:val="00B778C3"/>
    <w:rsid w:val="00B80419"/>
    <w:rsid w:val="00B80DEF"/>
    <w:rsid w:val="00B810E1"/>
    <w:rsid w:val="00B8133B"/>
    <w:rsid w:val="00B8184A"/>
    <w:rsid w:val="00B819E2"/>
    <w:rsid w:val="00B82283"/>
    <w:rsid w:val="00B822EF"/>
    <w:rsid w:val="00B823CC"/>
    <w:rsid w:val="00B828D8"/>
    <w:rsid w:val="00B83240"/>
    <w:rsid w:val="00B83396"/>
    <w:rsid w:val="00B83968"/>
    <w:rsid w:val="00B83C26"/>
    <w:rsid w:val="00B83F87"/>
    <w:rsid w:val="00B84345"/>
    <w:rsid w:val="00B8447E"/>
    <w:rsid w:val="00B844C8"/>
    <w:rsid w:val="00B84F57"/>
    <w:rsid w:val="00B8568E"/>
    <w:rsid w:val="00B85BBE"/>
    <w:rsid w:val="00B860A4"/>
    <w:rsid w:val="00B861FF"/>
    <w:rsid w:val="00B864E6"/>
    <w:rsid w:val="00B86719"/>
    <w:rsid w:val="00B87320"/>
    <w:rsid w:val="00B87CDC"/>
    <w:rsid w:val="00B901ED"/>
    <w:rsid w:val="00B90215"/>
    <w:rsid w:val="00B9035F"/>
    <w:rsid w:val="00B907A7"/>
    <w:rsid w:val="00B910C1"/>
    <w:rsid w:val="00B9170F"/>
    <w:rsid w:val="00B91E56"/>
    <w:rsid w:val="00B91E8A"/>
    <w:rsid w:val="00B929D3"/>
    <w:rsid w:val="00B9386D"/>
    <w:rsid w:val="00B94077"/>
    <w:rsid w:val="00B942B9"/>
    <w:rsid w:val="00B9453D"/>
    <w:rsid w:val="00B94CF0"/>
    <w:rsid w:val="00B95037"/>
    <w:rsid w:val="00B950DD"/>
    <w:rsid w:val="00B95498"/>
    <w:rsid w:val="00B95823"/>
    <w:rsid w:val="00B959B5"/>
    <w:rsid w:val="00B96176"/>
    <w:rsid w:val="00B961A0"/>
    <w:rsid w:val="00B968E4"/>
    <w:rsid w:val="00B96C17"/>
    <w:rsid w:val="00B96FBD"/>
    <w:rsid w:val="00B9717C"/>
    <w:rsid w:val="00B97C3B"/>
    <w:rsid w:val="00B97EF9"/>
    <w:rsid w:val="00BA0289"/>
    <w:rsid w:val="00BA02C8"/>
    <w:rsid w:val="00BA03CE"/>
    <w:rsid w:val="00BA061E"/>
    <w:rsid w:val="00BA14EA"/>
    <w:rsid w:val="00BA25FF"/>
    <w:rsid w:val="00BA2CA4"/>
    <w:rsid w:val="00BA2D6D"/>
    <w:rsid w:val="00BA2EFA"/>
    <w:rsid w:val="00BA357E"/>
    <w:rsid w:val="00BA3747"/>
    <w:rsid w:val="00BA3DBC"/>
    <w:rsid w:val="00BA4677"/>
    <w:rsid w:val="00BA5BFF"/>
    <w:rsid w:val="00BA5C9A"/>
    <w:rsid w:val="00BA5DBD"/>
    <w:rsid w:val="00BA6C9B"/>
    <w:rsid w:val="00BA6D6B"/>
    <w:rsid w:val="00BA6F41"/>
    <w:rsid w:val="00BA707A"/>
    <w:rsid w:val="00BA72E9"/>
    <w:rsid w:val="00BA7492"/>
    <w:rsid w:val="00BA74D7"/>
    <w:rsid w:val="00BA765B"/>
    <w:rsid w:val="00BA7D2E"/>
    <w:rsid w:val="00BA7F15"/>
    <w:rsid w:val="00BB0617"/>
    <w:rsid w:val="00BB07BA"/>
    <w:rsid w:val="00BB09C7"/>
    <w:rsid w:val="00BB0C89"/>
    <w:rsid w:val="00BB0CDD"/>
    <w:rsid w:val="00BB1839"/>
    <w:rsid w:val="00BB195A"/>
    <w:rsid w:val="00BB1AB1"/>
    <w:rsid w:val="00BB1AFB"/>
    <w:rsid w:val="00BB1E5F"/>
    <w:rsid w:val="00BB1E86"/>
    <w:rsid w:val="00BB25BC"/>
    <w:rsid w:val="00BB27AE"/>
    <w:rsid w:val="00BB2AC6"/>
    <w:rsid w:val="00BB2DA2"/>
    <w:rsid w:val="00BB2FE2"/>
    <w:rsid w:val="00BB31AB"/>
    <w:rsid w:val="00BB34CD"/>
    <w:rsid w:val="00BB35AF"/>
    <w:rsid w:val="00BB37D6"/>
    <w:rsid w:val="00BB4D48"/>
    <w:rsid w:val="00BB56DC"/>
    <w:rsid w:val="00BB5BBD"/>
    <w:rsid w:val="00BB60E9"/>
    <w:rsid w:val="00BB6169"/>
    <w:rsid w:val="00BB66F5"/>
    <w:rsid w:val="00BB6FF0"/>
    <w:rsid w:val="00BB7019"/>
    <w:rsid w:val="00BB704E"/>
    <w:rsid w:val="00BC1465"/>
    <w:rsid w:val="00BC1928"/>
    <w:rsid w:val="00BC21EB"/>
    <w:rsid w:val="00BC23FC"/>
    <w:rsid w:val="00BC2EEF"/>
    <w:rsid w:val="00BC2F06"/>
    <w:rsid w:val="00BC4B24"/>
    <w:rsid w:val="00BC5164"/>
    <w:rsid w:val="00BC54E3"/>
    <w:rsid w:val="00BC5542"/>
    <w:rsid w:val="00BC5C96"/>
    <w:rsid w:val="00BC60BE"/>
    <w:rsid w:val="00BC62E5"/>
    <w:rsid w:val="00BC65A4"/>
    <w:rsid w:val="00BC667F"/>
    <w:rsid w:val="00BC6BC9"/>
    <w:rsid w:val="00BC6C53"/>
    <w:rsid w:val="00BC6E94"/>
    <w:rsid w:val="00BC7843"/>
    <w:rsid w:val="00BD0305"/>
    <w:rsid w:val="00BD0502"/>
    <w:rsid w:val="00BD0585"/>
    <w:rsid w:val="00BD077B"/>
    <w:rsid w:val="00BD0B01"/>
    <w:rsid w:val="00BD0B6B"/>
    <w:rsid w:val="00BD0CC1"/>
    <w:rsid w:val="00BD1BB6"/>
    <w:rsid w:val="00BD1CF2"/>
    <w:rsid w:val="00BD281D"/>
    <w:rsid w:val="00BD2F58"/>
    <w:rsid w:val="00BD32ED"/>
    <w:rsid w:val="00BD3CC3"/>
    <w:rsid w:val="00BD3E3A"/>
    <w:rsid w:val="00BD486B"/>
    <w:rsid w:val="00BD4FD7"/>
    <w:rsid w:val="00BD5265"/>
    <w:rsid w:val="00BD5C37"/>
    <w:rsid w:val="00BD5E01"/>
    <w:rsid w:val="00BD5E28"/>
    <w:rsid w:val="00BD6375"/>
    <w:rsid w:val="00BD6BC7"/>
    <w:rsid w:val="00BD7874"/>
    <w:rsid w:val="00BD7A7F"/>
    <w:rsid w:val="00BD7EC5"/>
    <w:rsid w:val="00BE006C"/>
    <w:rsid w:val="00BE024F"/>
    <w:rsid w:val="00BE0A24"/>
    <w:rsid w:val="00BE176F"/>
    <w:rsid w:val="00BE183D"/>
    <w:rsid w:val="00BE227A"/>
    <w:rsid w:val="00BE2725"/>
    <w:rsid w:val="00BE4321"/>
    <w:rsid w:val="00BE4BBD"/>
    <w:rsid w:val="00BE4D21"/>
    <w:rsid w:val="00BE4E29"/>
    <w:rsid w:val="00BE5598"/>
    <w:rsid w:val="00BE5A2F"/>
    <w:rsid w:val="00BE6031"/>
    <w:rsid w:val="00BE6A38"/>
    <w:rsid w:val="00BE706D"/>
    <w:rsid w:val="00BE7121"/>
    <w:rsid w:val="00BF04C5"/>
    <w:rsid w:val="00BF0C92"/>
    <w:rsid w:val="00BF0CCA"/>
    <w:rsid w:val="00BF1D53"/>
    <w:rsid w:val="00BF24C2"/>
    <w:rsid w:val="00BF2922"/>
    <w:rsid w:val="00BF4071"/>
    <w:rsid w:val="00BF5067"/>
    <w:rsid w:val="00BF514E"/>
    <w:rsid w:val="00BF5B6F"/>
    <w:rsid w:val="00BF5D7A"/>
    <w:rsid w:val="00BF5D92"/>
    <w:rsid w:val="00BF5FEB"/>
    <w:rsid w:val="00BF627F"/>
    <w:rsid w:val="00BF694D"/>
    <w:rsid w:val="00BF7751"/>
    <w:rsid w:val="00C010A4"/>
    <w:rsid w:val="00C0171D"/>
    <w:rsid w:val="00C01C2E"/>
    <w:rsid w:val="00C01F8E"/>
    <w:rsid w:val="00C02092"/>
    <w:rsid w:val="00C02357"/>
    <w:rsid w:val="00C02D31"/>
    <w:rsid w:val="00C02D33"/>
    <w:rsid w:val="00C03203"/>
    <w:rsid w:val="00C0337E"/>
    <w:rsid w:val="00C03839"/>
    <w:rsid w:val="00C04B53"/>
    <w:rsid w:val="00C05043"/>
    <w:rsid w:val="00C05758"/>
    <w:rsid w:val="00C05A1A"/>
    <w:rsid w:val="00C05DE4"/>
    <w:rsid w:val="00C06191"/>
    <w:rsid w:val="00C068DA"/>
    <w:rsid w:val="00C06B57"/>
    <w:rsid w:val="00C06DD1"/>
    <w:rsid w:val="00C077CE"/>
    <w:rsid w:val="00C07F3C"/>
    <w:rsid w:val="00C10070"/>
    <w:rsid w:val="00C104BF"/>
    <w:rsid w:val="00C106B8"/>
    <w:rsid w:val="00C10720"/>
    <w:rsid w:val="00C1076A"/>
    <w:rsid w:val="00C108D7"/>
    <w:rsid w:val="00C1232C"/>
    <w:rsid w:val="00C12CD6"/>
    <w:rsid w:val="00C14227"/>
    <w:rsid w:val="00C16027"/>
    <w:rsid w:val="00C16C9B"/>
    <w:rsid w:val="00C16D18"/>
    <w:rsid w:val="00C20105"/>
    <w:rsid w:val="00C2026F"/>
    <w:rsid w:val="00C20CD8"/>
    <w:rsid w:val="00C21D01"/>
    <w:rsid w:val="00C2231D"/>
    <w:rsid w:val="00C23CDC"/>
    <w:rsid w:val="00C23D38"/>
    <w:rsid w:val="00C23D82"/>
    <w:rsid w:val="00C24263"/>
    <w:rsid w:val="00C242B8"/>
    <w:rsid w:val="00C24832"/>
    <w:rsid w:val="00C25029"/>
    <w:rsid w:val="00C25052"/>
    <w:rsid w:val="00C250F8"/>
    <w:rsid w:val="00C25B5F"/>
    <w:rsid w:val="00C26B90"/>
    <w:rsid w:val="00C27B62"/>
    <w:rsid w:val="00C27C6B"/>
    <w:rsid w:val="00C30106"/>
    <w:rsid w:val="00C3057F"/>
    <w:rsid w:val="00C30651"/>
    <w:rsid w:val="00C30942"/>
    <w:rsid w:val="00C322FF"/>
    <w:rsid w:val="00C32893"/>
    <w:rsid w:val="00C329BF"/>
    <w:rsid w:val="00C32A66"/>
    <w:rsid w:val="00C32BA7"/>
    <w:rsid w:val="00C32D32"/>
    <w:rsid w:val="00C33371"/>
    <w:rsid w:val="00C33416"/>
    <w:rsid w:val="00C33619"/>
    <w:rsid w:val="00C33659"/>
    <w:rsid w:val="00C34B11"/>
    <w:rsid w:val="00C3562C"/>
    <w:rsid w:val="00C357F8"/>
    <w:rsid w:val="00C3594D"/>
    <w:rsid w:val="00C36442"/>
    <w:rsid w:val="00C36C6A"/>
    <w:rsid w:val="00C36CAB"/>
    <w:rsid w:val="00C36D20"/>
    <w:rsid w:val="00C36F26"/>
    <w:rsid w:val="00C37B65"/>
    <w:rsid w:val="00C37CAD"/>
    <w:rsid w:val="00C400CE"/>
    <w:rsid w:val="00C410FD"/>
    <w:rsid w:val="00C42477"/>
    <w:rsid w:val="00C427EF"/>
    <w:rsid w:val="00C42A8E"/>
    <w:rsid w:val="00C4320B"/>
    <w:rsid w:val="00C43392"/>
    <w:rsid w:val="00C43529"/>
    <w:rsid w:val="00C4394A"/>
    <w:rsid w:val="00C4436A"/>
    <w:rsid w:val="00C44D0B"/>
    <w:rsid w:val="00C45293"/>
    <w:rsid w:val="00C457DE"/>
    <w:rsid w:val="00C478BB"/>
    <w:rsid w:val="00C47DD3"/>
    <w:rsid w:val="00C500A1"/>
    <w:rsid w:val="00C505F9"/>
    <w:rsid w:val="00C507B8"/>
    <w:rsid w:val="00C507D7"/>
    <w:rsid w:val="00C50860"/>
    <w:rsid w:val="00C5182C"/>
    <w:rsid w:val="00C51896"/>
    <w:rsid w:val="00C52134"/>
    <w:rsid w:val="00C52320"/>
    <w:rsid w:val="00C523AF"/>
    <w:rsid w:val="00C527AE"/>
    <w:rsid w:val="00C52900"/>
    <w:rsid w:val="00C5316F"/>
    <w:rsid w:val="00C53245"/>
    <w:rsid w:val="00C53562"/>
    <w:rsid w:val="00C539FB"/>
    <w:rsid w:val="00C53AA8"/>
    <w:rsid w:val="00C54457"/>
    <w:rsid w:val="00C5681B"/>
    <w:rsid w:val="00C56C0E"/>
    <w:rsid w:val="00C57DE0"/>
    <w:rsid w:val="00C60842"/>
    <w:rsid w:val="00C60AD6"/>
    <w:rsid w:val="00C612E2"/>
    <w:rsid w:val="00C61BA0"/>
    <w:rsid w:val="00C61ED9"/>
    <w:rsid w:val="00C6230F"/>
    <w:rsid w:val="00C62543"/>
    <w:rsid w:val="00C62D6D"/>
    <w:rsid w:val="00C638D9"/>
    <w:rsid w:val="00C63B11"/>
    <w:rsid w:val="00C6461B"/>
    <w:rsid w:val="00C64A19"/>
    <w:rsid w:val="00C6502B"/>
    <w:rsid w:val="00C65232"/>
    <w:rsid w:val="00C6557F"/>
    <w:rsid w:val="00C65DB0"/>
    <w:rsid w:val="00C66AA3"/>
    <w:rsid w:val="00C66E57"/>
    <w:rsid w:val="00C67149"/>
    <w:rsid w:val="00C672EE"/>
    <w:rsid w:val="00C6760C"/>
    <w:rsid w:val="00C67E93"/>
    <w:rsid w:val="00C70074"/>
    <w:rsid w:val="00C70BAB"/>
    <w:rsid w:val="00C71C5D"/>
    <w:rsid w:val="00C724D7"/>
    <w:rsid w:val="00C72503"/>
    <w:rsid w:val="00C72C0D"/>
    <w:rsid w:val="00C73DDF"/>
    <w:rsid w:val="00C73E1E"/>
    <w:rsid w:val="00C74150"/>
    <w:rsid w:val="00C746CA"/>
    <w:rsid w:val="00C749EA"/>
    <w:rsid w:val="00C74AC9"/>
    <w:rsid w:val="00C74DB0"/>
    <w:rsid w:val="00C74F30"/>
    <w:rsid w:val="00C75594"/>
    <w:rsid w:val="00C75EFF"/>
    <w:rsid w:val="00C77115"/>
    <w:rsid w:val="00C77B9C"/>
    <w:rsid w:val="00C77E8F"/>
    <w:rsid w:val="00C80F1A"/>
    <w:rsid w:val="00C8145A"/>
    <w:rsid w:val="00C82620"/>
    <w:rsid w:val="00C82A21"/>
    <w:rsid w:val="00C82A99"/>
    <w:rsid w:val="00C82ECA"/>
    <w:rsid w:val="00C836E5"/>
    <w:rsid w:val="00C83E32"/>
    <w:rsid w:val="00C83EE5"/>
    <w:rsid w:val="00C85344"/>
    <w:rsid w:val="00C85982"/>
    <w:rsid w:val="00C85D5D"/>
    <w:rsid w:val="00C86407"/>
    <w:rsid w:val="00C867C1"/>
    <w:rsid w:val="00C869F2"/>
    <w:rsid w:val="00C8753D"/>
    <w:rsid w:val="00C87AFD"/>
    <w:rsid w:val="00C90097"/>
    <w:rsid w:val="00C91D88"/>
    <w:rsid w:val="00C91F3C"/>
    <w:rsid w:val="00C92550"/>
    <w:rsid w:val="00C932D6"/>
    <w:rsid w:val="00C935F5"/>
    <w:rsid w:val="00C93D13"/>
    <w:rsid w:val="00C94229"/>
    <w:rsid w:val="00C94241"/>
    <w:rsid w:val="00C94542"/>
    <w:rsid w:val="00C94A09"/>
    <w:rsid w:val="00C95299"/>
    <w:rsid w:val="00C9535B"/>
    <w:rsid w:val="00C96097"/>
    <w:rsid w:val="00C966C2"/>
    <w:rsid w:val="00C96968"/>
    <w:rsid w:val="00C9749A"/>
    <w:rsid w:val="00CA0466"/>
    <w:rsid w:val="00CA05F2"/>
    <w:rsid w:val="00CA0668"/>
    <w:rsid w:val="00CA0F2B"/>
    <w:rsid w:val="00CA1606"/>
    <w:rsid w:val="00CA1760"/>
    <w:rsid w:val="00CA1830"/>
    <w:rsid w:val="00CA1F56"/>
    <w:rsid w:val="00CA246D"/>
    <w:rsid w:val="00CA25F1"/>
    <w:rsid w:val="00CA2972"/>
    <w:rsid w:val="00CA2AF2"/>
    <w:rsid w:val="00CA2D85"/>
    <w:rsid w:val="00CA35FA"/>
    <w:rsid w:val="00CA3702"/>
    <w:rsid w:val="00CA3DAD"/>
    <w:rsid w:val="00CA3DFC"/>
    <w:rsid w:val="00CA4431"/>
    <w:rsid w:val="00CA5043"/>
    <w:rsid w:val="00CA5096"/>
    <w:rsid w:val="00CA50D9"/>
    <w:rsid w:val="00CA5666"/>
    <w:rsid w:val="00CA7494"/>
    <w:rsid w:val="00CA7F07"/>
    <w:rsid w:val="00CB02A9"/>
    <w:rsid w:val="00CB1299"/>
    <w:rsid w:val="00CB15C7"/>
    <w:rsid w:val="00CB1EB6"/>
    <w:rsid w:val="00CB28B0"/>
    <w:rsid w:val="00CB2B8C"/>
    <w:rsid w:val="00CB3054"/>
    <w:rsid w:val="00CB35A4"/>
    <w:rsid w:val="00CB367A"/>
    <w:rsid w:val="00CB36D5"/>
    <w:rsid w:val="00CB45D9"/>
    <w:rsid w:val="00CB46DC"/>
    <w:rsid w:val="00CB5636"/>
    <w:rsid w:val="00CB5688"/>
    <w:rsid w:val="00CB58F3"/>
    <w:rsid w:val="00CB5F30"/>
    <w:rsid w:val="00CB7263"/>
    <w:rsid w:val="00CB7333"/>
    <w:rsid w:val="00CB74C4"/>
    <w:rsid w:val="00CB7A8F"/>
    <w:rsid w:val="00CC0266"/>
    <w:rsid w:val="00CC066D"/>
    <w:rsid w:val="00CC21F5"/>
    <w:rsid w:val="00CC2A67"/>
    <w:rsid w:val="00CC2D08"/>
    <w:rsid w:val="00CC3831"/>
    <w:rsid w:val="00CC3A14"/>
    <w:rsid w:val="00CC3EE5"/>
    <w:rsid w:val="00CC40FC"/>
    <w:rsid w:val="00CC501C"/>
    <w:rsid w:val="00CC5A51"/>
    <w:rsid w:val="00CC5B9D"/>
    <w:rsid w:val="00CC5C9B"/>
    <w:rsid w:val="00CC65DD"/>
    <w:rsid w:val="00CC6820"/>
    <w:rsid w:val="00CC6CB7"/>
    <w:rsid w:val="00CC6E47"/>
    <w:rsid w:val="00CC6F5F"/>
    <w:rsid w:val="00CC7400"/>
    <w:rsid w:val="00CC7CDA"/>
    <w:rsid w:val="00CC7F61"/>
    <w:rsid w:val="00CD0729"/>
    <w:rsid w:val="00CD09B1"/>
    <w:rsid w:val="00CD0B19"/>
    <w:rsid w:val="00CD0D7E"/>
    <w:rsid w:val="00CD0E5E"/>
    <w:rsid w:val="00CD11A3"/>
    <w:rsid w:val="00CD1346"/>
    <w:rsid w:val="00CD1812"/>
    <w:rsid w:val="00CD1CA0"/>
    <w:rsid w:val="00CD2857"/>
    <w:rsid w:val="00CD2ACC"/>
    <w:rsid w:val="00CD2F50"/>
    <w:rsid w:val="00CD30DA"/>
    <w:rsid w:val="00CD52C6"/>
    <w:rsid w:val="00CD568F"/>
    <w:rsid w:val="00CD5B5E"/>
    <w:rsid w:val="00CD5FBF"/>
    <w:rsid w:val="00CD65F2"/>
    <w:rsid w:val="00CD6AB2"/>
    <w:rsid w:val="00CD6ADA"/>
    <w:rsid w:val="00CE0938"/>
    <w:rsid w:val="00CE0D48"/>
    <w:rsid w:val="00CE0D5D"/>
    <w:rsid w:val="00CE159D"/>
    <w:rsid w:val="00CE1D88"/>
    <w:rsid w:val="00CE2D7F"/>
    <w:rsid w:val="00CE3138"/>
    <w:rsid w:val="00CE3A9A"/>
    <w:rsid w:val="00CE3BDE"/>
    <w:rsid w:val="00CE3ED6"/>
    <w:rsid w:val="00CE425C"/>
    <w:rsid w:val="00CE4928"/>
    <w:rsid w:val="00CE4E27"/>
    <w:rsid w:val="00CE4EE0"/>
    <w:rsid w:val="00CE50F8"/>
    <w:rsid w:val="00CE5859"/>
    <w:rsid w:val="00CE58AC"/>
    <w:rsid w:val="00CE5DC8"/>
    <w:rsid w:val="00CE5E16"/>
    <w:rsid w:val="00CE5E42"/>
    <w:rsid w:val="00CE66DD"/>
    <w:rsid w:val="00CE694D"/>
    <w:rsid w:val="00CE6A6B"/>
    <w:rsid w:val="00CE6E6E"/>
    <w:rsid w:val="00CE6E7C"/>
    <w:rsid w:val="00CE6FFE"/>
    <w:rsid w:val="00CE7843"/>
    <w:rsid w:val="00CE7BDC"/>
    <w:rsid w:val="00CE7E92"/>
    <w:rsid w:val="00CE7F0E"/>
    <w:rsid w:val="00CF1534"/>
    <w:rsid w:val="00CF1751"/>
    <w:rsid w:val="00CF1A28"/>
    <w:rsid w:val="00CF1BD6"/>
    <w:rsid w:val="00CF3577"/>
    <w:rsid w:val="00CF369C"/>
    <w:rsid w:val="00CF4262"/>
    <w:rsid w:val="00CF4807"/>
    <w:rsid w:val="00CF4EB6"/>
    <w:rsid w:val="00CF5A80"/>
    <w:rsid w:val="00CF5D81"/>
    <w:rsid w:val="00CF5E12"/>
    <w:rsid w:val="00CF6778"/>
    <w:rsid w:val="00CF6D0B"/>
    <w:rsid w:val="00CF7115"/>
    <w:rsid w:val="00CF736E"/>
    <w:rsid w:val="00D0012F"/>
    <w:rsid w:val="00D004C0"/>
    <w:rsid w:val="00D00856"/>
    <w:rsid w:val="00D00D8C"/>
    <w:rsid w:val="00D025AF"/>
    <w:rsid w:val="00D04254"/>
    <w:rsid w:val="00D043F4"/>
    <w:rsid w:val="00D045EE"/>
    <w:rsid w:val="00D0508A"/>
    <w:rsid w:val="00D05091"/>
    <w:rsid w:val="00D050B4"/>
    <w:rsid w:val="00D05846"/>
    <w:rsid w:val="00D0632C"/>
    <w:rsid w:val="00D0741B"/>
    <w:rsid w:val="00D079E3"/>
    <w:rsid w:val="00D101CC"/>
    <w:rsid w:val="00D10CA6"/>
    <w:rsid w:val="00D10D24"/>
    <w:rsid w:val="00D10F21"/>
    <w:rsid w:val="00D11B68"/>
    <w:rsid w:val="00D11F7A"/>
    <w:rsid w:val="00D11FA0"/>
    <w:rsid w:val="00D12350"/>
    <w:rsid w:val="00D124F9"/>
    <w:rsid w:val="00D1288E"/>
    <w:rsid w:val="00D134CF"/>
    <w:rsid w:val="00D1355E"/>
    <w:rsid w:val="00D1356D"/>
    <w:rsid w:val="00D135A5"/>
    <w:rsid w:val="00D1362A"/>
    <w:rsid w:val="00D150C6"/>
    <w:rsid w:val="00D15180"/>
    <w:rsid w:val="00D1573B"/>
    <w:rsid w:val="00D160FB"/>
    <w:rsid w:val="00D16D21"/>
    <w:rsid w:val="00D201A0"/>
    <w:rsid w:val="00D203AA"/>
    <w:rsid w:val="00D20FF4"/>
    <w:rsid w:val="00D211A7"/>
    <w:rsid w:val="00D21258"/>
    <w:rsid w:val="00D213A0"/>
    <w:rsid w:val="00D21487"/>
    <w:rsid w:val="00D21C9E"/>
    <w:rsid w:val="00D21F15"/>
    <w:rsid w:val="00D221B5"/>
    <w:rsid w:val="00D22735"/>
    <w:rsid w:val="00D2284E"/>
    <w:rsid w:val="00D22BDA"/>
    <w:rsid w:val="00D230ED"/>
    <w:rsid w:val="00D232E3"/>
    <w:rsid w:val="00D233C5"/>
    <w:rsid w:val="00D23B45"/>
    <w:rsid w:val="00D23BEB"/>
    <w:rsid w:val="00D244BE"/>
    <w:rsid w:val="00D24806"/>
    <w:rsid w:val="00D24BD1"/>
    <w:rsid w:val="00D251C9"/>
    <w:rsid w:val="00D25297"/>
    <w:rsid w:val="00D253DA"/>
    <w:rsid w:val="00D25FE2"/>
    <w:rsid w:val="00D2635C"/>
    <w:rsid w:val="00D265EA"/>
    <w:rsid w:val="00D26AA3"/>
    <w:rsid w:val="00D275C2"/>
    <w:rsid w:val="00D27874"/>
    <w:rsid w:val="00D307FB"/>
    <w:rsid w:val="00D3091B"/>
    <w:rsid w:val="00D313AC"/>
    <w:rsid w:val="00D31AC6"/>
    <w:rsid w:val="00D31D97"/>
    <w:rsid w:val="00D32272"/>
    <w:rsid w:val="00D3236F"/>
    <w:rsid w:val="00D32550"/>
    <w:rsid w:val="00D3258D"/>
    <w:rsid w:val="00D32685"/>
    <w:rsid w:val="00D33A3A"/>
    <w:rsid w:val="00D33A88"/>
    <w:rsid w:val="00D33D8B"/>
    <w:rsid w:val="00D33EB8"/>
    <w:rsid w:val="00D34040"/>
    <w:rsid w:val="00D34612"/>
    <w:rsid w:val="00D34BC8"/>
    <w:rsid w:val="00D34E69"/>
    <w:rsid w:val="00D35B81"/>
    <w:rsid w:val="00D36069"/>
    <w:rsid w:val="00D368D2"/>
    <w:rsid w:val="00D36C78"/>
    <w:rsid w:val="00D36CC1"/>
    <w:rsid w:val="00D36D36"/>
    <w:rsid w:val="00D36FD4"/>
    <w:rsid w:val="00D37466"/>
    <w:rsid w:val="00D375EE"/>
    <w:rsid w:val="00D376AA"/>
    <w:rsid w:val="00D37814"/>
    <w:rsid w:val="00D37A29"/>
    <w:rsid w:val="00D37A4D"/>
    <w:rsid w:val="00D37EEC"/>
    <w:rsid w:val="00D40535"/>
    <w:rsid w:val="00D40D5B"/>
    <w:rsid w:val="00D40DAC"/>
    <w:rsid w:val="00D40ED5"/>
    <w:rsid w:val="00D41319"/>
    <w:rsid w:val="00D4143C"/>
    <w:rsid w:val="00D41842"/>
    <w:rsid w:val="00D41F6E"/>
    <w:rsid w:val="00D43B13"/>
    <w:rsid w:val="00D44928"/>
    <w:rsid w:val="00D44A6F"/>
    <w:rsid w:val="00D45D15"/>
    <w:rsid w:val="00D45FCA"/>
    <w:rsid w:val="00D46251"/>
    <w:rsid w:val="00D46554"/>
    <w:rsid w:val="00D465E8"/>
    <w:rsid w:val="00D46612"/>
    <w:rsid w:val="00D46782"/>
    <w:rsid w:val="00D46FB2"/>
    <w:rsid w:val="00D4798F"/>
    <w:rsid w:val="00D50115"/>
    <w:rsid w:val="00D51385"/>
    <w:rsid w:val="00D51E12"/>
    <w:rsid w:val="00D51EFE"/>
    <w:rsid w:val="00D522EA"/>
    <w:rsid w:val="00D53A68"/>
    <w:rsid w:val="00D53C20"/>
    <w:rsid w:val="00D54AF2"/>
    <w:rsid w:val="00D54C8F"/>
    <w:rsid w:val="00D5540E"/>
    <w:rsid w:val="00D55AE8"/>
    <w:rsid w:val="00D55BEE"/>
    <w:rsid w:val="00D55BFF"/>
    <w:rsid w:val="00D55DF8"/>
    <w:rsid w:val="00D55E1A"/>
    <w:rsid w:val="00D56056"/>
    <w:rsid w:val="00D562F8"/>
    <w:rsid w:val="00D567D9"/>
    <w:rsid w:val="00D56CEB"/>
    <w:rsid w:val="00D56DA4"/>
    <w:rsid w:val="00D570B3"/>
    <w:rsid w:val="00D572B6"/>
    <w:rsid w:val="00D5792D"/>
    <w:rsid w:val="00D6085F"/>
    <w:rsid w:val="00D609E9"/>
    <w:rsid w:val="00D61555"/>
    <w:rsid w:val="00D61A82"/>
    <w:rsid w:val="00D61C02"/>
    <w:rsid w:val="00D62353"/>
    <w:rsid w:val="00D6246D"/>
    <w:rsid w:val="00D62699"/>
    <w:rsid w:val="00D63692"/>
    <w:rsid w:val="00D636DD"/>
    <w:rsid w:val="00D63FDD"/>
    <w:rsid w:val="00D641F2"/>
    <w:rsid w:val="00D647F3"/>
    <w:rsid w:val="00D64EF8"/>
    <w:rsid w:val="00D64F96"/>
    <w:rsid w:val="00D65065"/>
    <w:rsid w:val="00D6652E"/>
    <w:rsid w:val="00D67D16"/>
    <w:rsid w:val="00D70166"/>
    <w:rsid w:val="00D7063E"/>
    <w:rsid w:val="00D711DC"/>
    <w:rsid w:val="00D71EF7"/>
    <w:rsid w:val="00D72BDF"/>
    <w:rsid w:val="00D72CEB"/>
    <w:rsid w:val="00D73447"/>
    <w:rsid w:val="00D7367A"/>
    <w:rsid w:val="00D7382F"/>
    <w:rsid w:val="00D73A72"/>
    <w:rsid w:val="00D73C68"/>
    <w:rsid w:val="00D73D12"/>
    <w:rsid w:val="00D74132"/>
    <w:rsid w:val="00D74612"/>
    <w:rsid w:val="00D74871"/>
    <w:rsid w:val="00D74F55"/>
    <w:rsid w:val="00D75525"/>
    <w:rsid w:val="00D762CA"/>
    <w:rsid w:val="00D76332"/>
    <w:rsid w:val="00D7729D"/>
    <w:rsid w:val="00D778E9"/>
    <w:rsid w:val="00D812BF"/>
    <w:rsid w:val="00D81C69"/>
    <w:rsid w:val="00D82089"/>
    <w:rsid w:val="00D82218"/>
    <w:rsid w:val="00D82620"/>
    <w:rsid w:val="00D84269"/>
    <w:rsid w:val="00D8440B"/>
    <w:rsid w:val="00D84EA5"/>
    <w:rsid w:val="00D85707"/>
    <w:rsid w:val="00D85884"/>
    <w:rsid w:val="00D864C6"/>
    <w:rsid w:val="00D87C53"/>
    <w:rsid w:val="00D87E82"/>
    <w:rsid w:val="00D91769"/>
    <w:rsid w:val="00D91ACD"/>
    <w:rsid w:val="00D91CCD"/>
    <w:rsid w:val="00D91E5E"/>
    <w:rsid w:val="00D91EAB"/>
    <w:rsid w:val="00D92B2C"/>
    <w:rsid w:val="00D9396E"/>
    <w:rsid w:val="00D94061"/>
    <w:rsid w:val="00D94545"/>
    <w:rsid w:val="00D9541C"/>
    <w:rsid w:val="00D9616A"/>
    <w:rsid w:val="00D961F6"/>
    <w:rsid w:val="00D96209"/>
    <w:rsid w:val="00D96A91"/>
    <w:rsid w:val="00D9725F"/>
    <w:rsid w:val="00D974F0"/>
    <w:rsid w:val="00D97ACF"/>
    <w:rsid w:val="00D97D10"/>
    <w:rsid w:val="00DA01B1"/>
    <w:rsid w:val="00DA043D"/>
    <w:rsid w:val="00DA080A"/>
    <w:rsid w:val="00DA11A2"/>
    <w:rsid w:val="00DA1210"/>
    <w:rsid w:val="00DA14ED"/>
    <w:rsid w:val="00DA1982"/>
    <w:rsid w:val="00DA1C69"/>
    <w:rsid w:val="00DA1D83"/>
    <w:rsid w:val="00DA26D6"/>
    <w:rsid w:val="00DA26FF"/>
    <w:rsid w:val="00DA2836"/>
    <w:rsid w:val="00DA28E4"/>
    <w:rsid w:val="00DA3DE0"/>
    <w:rsid w:val="00DA3FB4"/>
    <w:rsid w:val="00DA40C6"/>
    <w:rsid w:val="00DA5A98"/>
    <w:rsid w:val="00DA6376"/>
    <w:rsid w:val="00DA63D7"/>
    <w:rsid w:val="00DA6589"/>
    <w:rsid w:val="00DA670A"/>
    <w:rsid w:val="00DA71DC"/>
    <w:rsid w:val="00DA7914"/>
    <w:rsid w:val="00DA7C43"/>
    <w:rsid w:val="00DA7D3D"/>
    <w:rsid w:val="00DB03E4"/>
    <w:rsid w:val="00DB0A0A"/>
    <w:rsid w:val="00DB1428"/>
    <w:rsid w:val="00DB21F1"/>
    <w:rsid w:val="00DB244E"/>
    <w:rsid w:val="00DB2E0A"/>
    <w:rsid w:val="00DB2EF1"/>
    <w:rsid w:val="00DB33B3"/>
    <w:rsid w:val="00DB375C"/>
    <w:rsid w:val="00DB3DE1"/>
    <w:rsid w:val="00DB3EE4"/>
    <w:rsid w:val="00DB4531"/>
    <w:rsid w:val="00DB5D83"/>
    <w:rsid w:val="00DB5DA0"/>
    <w:rsid w:val="00DB6386"/>
    <w:rsid w:val="00DB6776"/>
    <w:rsid w:val="00DB6854"/>
    <w:rsid w:val="00DB6E63"/>
    <w:rsid w:val="00DB716C"/>
    <w:rsid w:val="00DB747D"/>
    <w:rsid w:val="00DB7F7E"/>
    <w:rsid w:val="00DC01AD"/>
    <w:rsid w:val="00DC07D5"/>
    <w:rsid w:val="00DC1CC7"/>
    <w:rsid w:val="00DC1D11"/>
    <w:rsid w:val="00DC220C"/>
    <w:rsid w:val="00DC24BF"/>
    <w:rsid w:val="00DC24ED"/>
    <w:rsid w:val="00DC24F6"/>
    <w:rsid w:val="00DC2CFD"/>
    <w:rsid w:val="00DC2E03"/>
    <w:rsid w:val="00DC3517"/>
    <w:rsid w:val="00DC3DAB"/>
    <w:rsid w:val="00DC4EB3"/>
    <w:rsid w:val="00DC549F"/>
    <w:rsid w:val="00DC5696"/>
    <w:rsid w:val="00DC5C85"/>
    <w:rsid w:val="00DC66A3"/>
    <w:rsid w:val="00DC7107"/>
    <w:rsid w:val="00DC77D1"/>
    <w:rsid w:val="00DC7C5D"/>
    <w:rsid w:val="00DD0DDD"/>
    <w:rsid w:val="00DD1428"/>
    <w:rsid w:val="00DD152C"/>
    <w:rsid w:val="00DD18AC"/>
    <w:rsid w:val="00DD195E"/>
    <w:rsid w:val="00DD1A30"/>
    <w:rsid w:val="00DD1DA4"/>
    <w:rsid w:val="00DD20B8"/>
    <w:rsid w:val="00DD2D37"/>
    <w:rsid w:val="00DD2FC4"/>
    <w:rsid w:val="00DD3D9E"/>
    <w:rsid w:val="00DD41A3"/>
    <w:rsid w:val="00DD4236"/>
    <w:rsid w:val="00DD44F1"/>
    <w:rsid w:val="00DD47FB"/>
    <w:rsid w:val="00DD4A94"/>
    <w:rsid w:val="00DD5769"/>
    <w:rsid w:val="00DD5EA2"/>
    <w:rsid w:val="00DD63F3"/>
    <w:rsid w:val="00DD6957"/>
    <w:rsid w:val="00DD699A"/>
    <w:rsid w:val="00DD6BDF"/>
    <w:rsid w:val="00DD6E7A"/>
    <w:rsid w:val="00DD72C6"/>
    <w:rsid w:val="00DD79DC"/>
    <w:rsid w:val="00DD7EFD"/>
    <w:rsid w:val="00DE037C"/>
    <w:rsid w:val="00DE137D"/>
    <w:rsid w:val="00DE1C78"/>
    <w:rsid w:val="00DE2656"/>
    <w:rsid w:val="00DE29D5"/>
    <w:rsid w:val="00DE2BE7"/>
    <w:rsid w:val="00DE2CDA"/>
    <w:rsid w:val="00DE2DD3"/>
    <w:rsid w:val="00DE2FB3"/>
    <w:rsid w:val="00DE3067"/>
    <w:rsid w:val="00DE352C"/>
    <w:rsid w:val="00DE36C0"/>
    <w:rsid w:val="00DE398E"/>
    <w:rsid w:val="00DE3E02"/>
    <w:rsid w:val="00DE52C2"/>
    <w:rsid w:val="00DE59E5"/>
    <w:rsid w:val="00DE5A30"/>
    <w:rsid w:val="00DE5F94"/>
    <w:rsid w:val="00DE60CF"/>
    <w:rsid w:val="00DE613B"/>
    <w:rsid w:val="00DE6A07"/>
    <w:rsid w:val="00DE6EE4"/>
    <w:rsid w:val="00DE72D8"/>
    <w:rsid w:val="00DE7950"/>
    <w:rsid w:val="00DF0023"/>
    <w:rsid w:val="00DF0485"/>
    <w:rsid w:val="00DF0C74"/>
    <w:rsid w:val="00DF0FA9"/>
    <w:rsid w:val="00DF2945"/>
    <w:rsid w:val="00DF2DCD"/>
    <w:rsid w:val="00DF3B6D"/>
    <w:rsid w:val="00DF3EEE"/>
    <w:rsid w:val="00DF3F25"/>
    <w:rsid w:val="00DF42B0"/>
    <w:rsid w:val="00DF441C"/>
    <w:rsid w:val="00DF547E"/>
    <w:rsid w:val="00DF61FC"/>
    <w:rsid w:val="00DF75E1"/>
    <w:rsid w:val="00DF7705"/>
    <w:rsid w:val="00DF7FBF"/>
    <w:rsid w:val="00E0019C"/>
    <w:rsid w:val="00E00718"/>
    <w:rsid w:val="00E01007"/>
    <w:rsid w:val="00E01B6C"/>
    <w:rsid w:val="00E01B78"/>
    <w:rsid w:val="00E021E0"/>
    <w:rsid w:val="00E027BC"/>
    <w:rsid w:val="00E02B76"/>
    <w:rsid w:val="00E02E8D"/>
    <w:rsid w:val="00E039A1"/>
    <w:rsid w:val="00E03E77"/>
    <w:rsid w:val="00E045BE"/>
    <w:rsid w:val="00E04674"/>
    <w:rsid w:val="00E04EF4"/>
    <w:rsid w:val="00E05033"/>
    <w:rsid w:val="00E05561"/>
    <w:rsid w:val="00E05C75"/>
    <w:rsid w:val="00E0704D"/>
    <w:rsid w:val="00E0752D"/>
    <w:rsid w:val="00E07F79"/>
    <w:rsid w:val="00E10061"/>
    <w:rsid w:val="00E10667"/>
    <w:rsid w:val="00E10F0D"/>
    <w:rsid w:val="00E1138F"/>
    <w:rsid w:val="00E11F41"/>
    <w:rsid w:val="00E11F51"/>
    <w:rsid w:val="00E12662"/>
    <w:rsid w:val="00E13116"/>
    <w:rsid w:val="00E134F0"/>
    <w:rsid w:val="00E135AA"/>
    <w:rsid w:val="00E13A9C"/>
    <w:rsid w:val="00E14196"/>
    <w:rsid w:val="00E14919"/>
    <w:rsid w:val="00E14EA5"/>
    <w:rsid w:val="00E15874"/>
    <w:rsid w:val="00E1613E"/>
    <w:rsid w:val="00E161C2"/>
    <w:rsid w:val="00E16A87"/>
    <w:rsid w:val="00E17968"/>
    <w:rsid w:val="00E17FBD"/>
    <w:rsid w:val="00E2070E"/>
    <w:rsid w:val="00E20A57"/>
    <w:rsid w:val="00E21110"/>
    <w:rsid w:val="00E21133"/>
    <w:rsid w:val="00E21770"/>
    <w:rsid w:val="00E21798"/>
    <w:rsid w:val="00E219D6"/>
    <w:rsid w:val="00E22C59"/>
    <w:rsid w:val="00E2327E"/>
    <w:rsid w:val="00E23577"/>
    <w:rsid w:val="00E23DA1"/>
    <w:rsid w:val="00E242C8"/>
    <w:rsid w:val="00E250C1"/>
    <w:rsid w:val="00E251A9"/>
    <w:rsid w:val="00E256BF"/>
    <w:rsid w:val="00E256CC"/>
    <w:rsid w:val="00E26379"/>
    <w:rsid w:val="00E266EF"/>
    <w:rsid w:val="00E268CA"/>
    <w:rsid w:val="00E26D81"/>
    <w:rsid w:val="00E277A6"/>
    <w:rsid w:val="00E27B7E"/>
    <w:rsid w:val="00E27C62"/>
    <w:rsid w:val="00E304AB"/>
    <w:rsid w:val="00E30571"/>
    <w:rsid w:val="00E30ACF"/>
    <w:rsid w:val="00E3147F"/>
    <w:rsid w:val="00E315FE"/>
    <w:rsid w:val="00E31AA7"/>
    <w:rsid w:val="00E31ED9"/>
    <w:rsid w:val="00E3212C"/>
    <w:rsid w:val="00E326A8"/>
    <w:rsid w:val="00E32EAC"/>
    <w:rsid w:val="00E331B3"/>
    <w:rsid w:val="00E33495"/>
    <w:rsid w:val="00E334A3"/>
    <w:rsid w:val="00E336B8"/>
    <w:rsid w:val="00E33805"/>
    <w:rsid w:val="00E34040"/>
    <w:rsid w:val="00E34434"/>
    <w:rsid w:val="00E346B7"/>
    <w:rsid w:val="00E34806"/>
    <w:rsid w:val="00E34E66"/>
    <w:rsid w:val="00E35483"/>
    <w:rsid w:val="00E36B11"/>
    <w:rsid w:val="00E3705F"/>
    <w:rsid w:val="00E37582"/>
    <w:rsid w:val="00E40741"/>
    <w:rsid w:val="00E40E90"/>
    <w:rsid w:val="00E4340D"/>
    <w:rsid w:val="00E4371B"/>
    <w:rsid w:val="00E43F22"/>
    <w:rsid w:val="00E45058"/>
    <w:rsid w:val="00E45270"/>
    <w:rsid w:val="00E45368"/>
    <w:rsid w:val="00E45A3D"/>
    <w:rsid w:val="00E45B7E"/>
    <w:rsid w:val="00E46222"/>
    <w:rsid w:val="00E4648C"/>
    <w:rsid w:val="00E468F8"/>
    <w:rsid w:val="00E46A70"/>
    <w:rsid w:val="00E47082"/>
    <w:rsid w:val="00E47428"/>
    <w:rsid w:val="00E50F61"/>
    <w:rsid w:val="00E51082"/>
    <w:rsid w:val="00E510AA"/>
    <w:rsid w:val="00E5145B"/>
    <w:rsid w:val="00E514BE"/>
    <w:rsid w:val="00E51D02"/>
    <w:rsid w:val="00E539C4"/>
    <w:rsid w:val="00E5453B"/>
    <w:rsid w:val="00E5485D"/>
    <w:rsid w:val="00E548B1"/>
    <w:rsid w:val="00E54DA7"/>
    <w:rsid w:val="00E54F52"/>
    <w:rsid w:val="00E54FF7"/>
    <w:rsid w:val="00E5535D"/>
    <w:rsid w:val="00E55378"/>
    <w:rsid w:val="00E55DC7"/>
    <w:rsid w:val="00E56C8E"/>
    <w:rsid w:val="00E56EDD"/>
    <w:rsid w:val="00E56FE0"/>
    <w:rsid w:val="00E5716B"/>
    <w:rsid w:val="00E577FB"/>
    <w:rsid w:val="00E57815"/>
    <w:rsid w:val="00E57F1F"/>
    <w:rsid w:val="00E60DC2"/>
    <w:rsid w:val="00E617F4"/>
    <w:rsid w:val="00E61A18"/>
    <w:rsid w:val="00E61C8D"/>
    <w:rsid w:val="00E61FBE"/>
    <w:rsid w:val="00E637A8"/>
    <w:rsid w:val="00E63C65"/>
    <w:rsid w:val="00E641C2"/>
    <w:rsid w:val="00E64274"/>
    <w:rsid w:val="00E64492"/>
    <w:rsid w:val="00E64E95"/>
    <w:rsid w:val="00E653FC"/>
    <w:rsid w:val="00E65B0D"/>
    <w:rsid w:val="00E65C84"/>
    <w:rsid w:val="00E65E29"/>
    <w:rsid w:val="00E662C9"/>
    <w:rsid w:val="00E665C7"/>
    <w:rsid w:val="00E66B9F"/>
    <w:rsid w:val="00E674CA"/>
    <w:rsid w:val="00E67788"/>
    <w:rsid w:val="00E70A6A"/>
    <w:rsid w:val="00E710D6"/>
    <w:rsid w:val="00E71275"/>
    <w:rsid w:val="00E715BF"/>
    <w:rsid w:val="00E71779"/>
    <w:rsid w:val="00E717D4"/>
    <w:rsid w:val="00E71CF8"/>
    <w:rsid w:val="00E723BA"/>
    <w:rsid w:val="00E7300A"/>
    <w:rsid w:val="00E73DA4"/>
    <w:rsid w:val="00E743AB"/>
    <w:rsid w:val="00E744AC"/>
    <w:rsid w:val="00E746FE"/>
    <w:rsid w:val="00E748A2"/>
    <w:rsid w:val="00E74C36"/>
    <w:rsid w:val="00E752B8"/>
    <w:rsid w:val="00E75308"/>
    <w:rsid w:val="00E75CF6"/>
    <w:rsid w:val="00E766FB"/>
    <w:rsid w:val="00E76E45"/>
    <w:rsid w:val="00E7724C"/>
    <w:rsid w:val="00E777C9"/>
    <w:rsid w:val="00E77FEF"/>
    <w:rsid w:val="00E808C1"/>
    <w:rsid w:val="00E80AF9"/>
    <w:rsid w:val="00E811B9"/>
    <w:rsid w:val="00E8196D"/>
    <w:rsid w:val="00E81BBA"/>
    <w:rsid w:val="00E81DA6"/>
    <w:rsid w:val="00E81ECF"/>
    <w:rsid w:val="00E82224"/>
    <w:rsid w:val="00E82443"/>
    <w:rsid w:val="00E82661"/>
    <w:rsid w:val="00E83A52"/>
    <w:rsid w:val="00E8412C"/>
    <w:rsid w:val="00E84212"/>
    <w:rsid w:val="00E84CDA"/>
    <w:rsid w:val="00E84E4A"/>
    <w:rsid w:val="00E8512A"/>
    <w:rsid w:val="00E8526A"/>
    <w:rsid w:val="00E85D3A"/>
    <w:rsid w:val="00E867E9"/>
    <w:rsid w:val="00E867FE"/>
    <w:rsid w:val="00E87906"/>
    <w:rsid w:val="00E9027F"/>
    <w:rsid w:val="00E907B3"/>
    <w:rsid w:val="00E907FC"/>
    <w:rsid w:val="00E9086C"/>
    <w:rsid w:val="00E9094D"/>
    <w:rsid w:val="00E90AAA"/>
    <w:rsid w:val="00E91516"/>
    <w:rsid w:val="00E91A0F"/>
    <w:rsid w:val="00E92074"/>
    <w:rsid w:val="00E938D9"/>
    <w:rsid w:val="00E94617"/>
    <w:rsid w:val="00E94A71"/>
    <w:rsid w:val="00E94C13"/>
    <w:rsid w:val="00E94CBF"/>
    <w:rsid w:val="00E94ED0"/>
    <w:rsid w:val="00E95127"/>
    <w:rsid w:val="00E95ED5"/>
    <w:rsid w:val="00E9655A"/>
    <w:rsid w:val="00E97421"/>
    <w:rsid w:val="00E9796B"/>
    <w:rsid w:val="00E9799C"/>
    <w:rsid w:val="00E97BF3"/>
    <w:rsid w:val="00EA03CE"/>
    <w:rsid w:val="00EA04CF"/>
    <w:rsid w:val="00EA0861"/>
    <w:rsid w:val="00EA105A"/>
    <w:rsid w:val="00EA10D2"/>
    <w:rsid w:val="00EA1158"/>
    <w:rsid w:val="00EA19AB"/>
    <w:rsid w:val="00EA1C19"/>
    <w:rsid w:val="00EA1F41"/>
    <w:rsid w:val="00EA23E5"/>
    <w:rsid w:val="00EA2D13"/>
    <w:rsid w:val="00EA2DAA"/>
    <w:rsid w:val="00EA2E35"/>
    <w:rsid w:val="00EA33A9"/>
    <w:rsid w:val="00EA35C5"/>
    <w:rsid w:val="00EA3926"/>
    <w:rsid w:val="00EA3E2F"/>
    <w:rsid w:val="00EA4416"/>
    <w:rsid w:val="00EA4E2E"/>
    <w:rsid w:val="00EA4E4F"/>
    <w:rsid w:val="00EA4EC6"/>
    <w:rsid w:val="00EA5746"/>
    <w:rsid w:val="00EA5A23"/>
    <w:rsid w:val="00EA5ECF"/>
    <w:rsid w:val="00EA692E"/>
    <w:rsid w:val="00EA6E20"/>
    <w:rsid w:val="00EA6EE4"/>
    <w:rsid w:val="00EA7D52"/>
    <w:rsid w:val="00EB0023"/>
    <w:rsid w:val="00EB0521"/>
    <w:rsid w:val="00EB0A80"/>
    <w:rsid w:val="00EB2417"/>
    <w:rsid w:val="00EB25A6"/>
    <w:rsid w:val="00EB27AC"/>
    <w:rsid w:val="00EB2BD8"/>
    <w:rsid w:val="00EB2CCB"/>
    <w:rsid w:val="00EB34FF"/>
    <w:rsid w:val="00EB3936"/>
    <w:rsid w:val="00EB4128"/>
    <w:rsid w:val="00EB4152"/>
    <w:rsid w:val="00EB45A8"/>
    <w:rsid w:val="00EB4BB1"/>
    <w:rsid w:val="00EB4DA5"/>
    <w:rsid w:val="00EB575B"/>
    <w:rsid w:val="00EB5DB9"/>
    <w:rsid w:val="00EB6775"/>
    <w:rsid w:val="00EB6B3A"/>
    <w:rsid w:val="00EB70EC"/>
    <w:rsid w:val="00EB7A25"/>
    <w:rsid w:val="00EB7FBF"/>
    <w:rsid w:val="00EC04FD"/>
    <w:rsid w:val="00EC0660"/>
    <w:rsid w:val="00EC0F3E"/>
    <w:rsid w:val="00EC1476"/>
    <w:rsid w:val="00EC1708"/>
    <w:rsid w:val="00EC1EF4"/>
    <w:rsid w:val="00EC2B90"/>
    <w:rsid w:val="00EC3536"/>
    <w:rsid w:val="00EC368E"/>
    <w:rsid w:val="00EC57A7"/>
    <w:rsid w:val="00EC597D"/>
    <w:rsid w:val="00EC7882"/>
    <w:rsid w:val="00ED0045"/>
    <w:rsid w:val="00ED0373"/>
    <w:rsid w:val="00ED0817"/>
    <w:rsid w:val="00ED0E33"/>
    <w:rsid w:val="00ED205C"/>
    <w:rsid w:val="00ED23B4"/>
    <w:rsid w:val="00ED24E6"/>
    <w:rsid w:val="00ED2A9D"/>
    <w:rsid w:val="00ED2BBB"/>
    <w:rsid w:val="00ED2EA7"/>
    <w:rsid w:val="00ED30F3"/>
    <w:rsid w:val="00ED444C"/>
    <w:rsid w:val="00ED48DD"/>
    <w:rsid w:val="00ED4DDB"/>
    <w:rsid w:val="00ED4FDE"/>
    <w:rsid w:val="00ED6252"/>
    <w:rsid w:val="00ED64D1"/>
    <w:rsid w:val="00ED6DFE"/>
    <w:rsid w:val="00ED7DD9"/>
    <w:rsid w:val="00EE045E"/>
    <w:rsid w:val="00EE0C68"/>
    <w:rsid w:val="00EE16DC"/>
    <w:rsid w:val="00EE1DFF"/>
    <w:rsid w:val="00EE2665"/>
    <w:rsid w:val="00EE2714"/>
    <w:rsid w:val="00EE370C"/>
    <w:rsid w:val="00EE3C54"/>
    <w:rsid w:val="00EE3F3C"/>
    <w:rsid w:val="00EE4143"/>
    <w:rsid w:val="00EE445B"/>
    <w:rsid w:val="00EE455E"/>
    <w:rsid w:val="00EE4BDD"/>
    <w:rsid w:val="00EE5181"/>
    <w:rsid w:val="00EE57BB"/>
    <w:rsid w:val="00EE5D5A"/>
    <w:rsid w:val="00EE602E"/>
    <w:rsid w:val="00EE6E04"/>
    <w:rsid w:val="00EE6E33"/>
    <w:rsid w:val="00EE78D1"/>
    <w:rsid w:val="00EE7CA0"/>
    <w:rsid w:val="00EE7E3E"/>
    <w:rsid w:val="00EF0086"/>
    <w:rsid w:val="00EF00F9"/>
    <w:rsid w:val="00EF02FB"/>
    <w:rsid w:val="00EF048C"/>
    <w:rsid w:val="00EF04C3"/>
    <w:rsid w:val="00EF06B1"/>
    <w:rsid w:val="00EF0F43"/>
    <w:rsid w:val="00EF1417"/>
    <w:rsid w:val="00EF261D"/>
    <w:rsid w:val="00EF2FB8"/>
    <w:rsid w:val="00EF3113"/>
    <w:rsid w:val="00EF3AB2"/>
    <w:rsid w:val="00EF3F84"/>
    <w:rsid w:val="00EF41C3"/>
    <w:rsid w:val="00EF4240"/>
    <w:rsid w:val="00EF438F"/>
    <w:rsid w:val="00EF44D7"/>
    <w:rsid w:val="00EF5235"/>
    <w:rsid w:val="00EF539B"/>
    <w:rsid w:val="00EF5DD1"/>
    <w:rsid w:val="00EF5EBA"/>
    <w:rsid w:val="00EF69CB"/>
    <w:rsid w:val="00EF6AD9"/>
    <w:rsid w:val="00EF6B3A"/>
    <w:rsid w:val="00EF6D0F"/>
    <w:rsid w:val="00EF6FEC"/>
    <w:rsid w:val="00EF76A4"/>
    <w:rsid w:val="00EF77F3"/>
    <w:rsid w:val="00EF79C4"/>
    <w:rsid w:val="00EF7D1F"/>
    <w:rsid w:val="00F0001F"/>
    <w:rsid w:val="00F0003D"/>
    <w:rsid w:val="00F000CE"/>
    <w:rsid w:val="00F0021C"/>
    <w:rsid w:val="00F00294"/>
    <w:rsid w:val="00F005D5"/>
    <w:rsid w:val="00F0066F"/>
    <w:rsid w:val="00F0085B"/>
    <w:rsid w:val="00F00F1F"/>
    <w:rsid w:val="00F00FBA"/>
    <w:rsid w:val="00F01695"/>
    <w:rsid w:val="00F01C15"/>
    <w:rsid w:val="00F02417"/>
    <w:rsid w:val="00F02618"/>
    <w:rsid w:val="00F02DBB"/>
    <w:rsid w:val="00F03C48"/>
    <w:rsid w:val="00F03D7F"/>
    <w:rsid w:val="00F05250"/>
    <w:rsid w:val="00F05D73"/>
    <w:rsid w:val="00F06375"/>
    <w:rsid w:val="00F063FF"/>
    <w:rsid w:val="00F0697B"/>
    <w:rsid w:val="00F07526"/>
    <w:rsid w:val="00F07649"/>
    <w:rsid w:val="00F0770C"/>
    <w:rsid w:val="00F078A7"/>
    <w:rsid w:val="00F07DE9"/>
    <w:rsid w:val="00F10770"/>
    <w:rsid w:val="00F10B66"/>
    <w:rsid w:val="00F13A32"/>
    <w:rsid w:val="00F140F9"/>
    <w:rsid w:val="00F14208"/>
    <w:rsid w:val="00F143BB"/>
    <w:rsid w:val="00F15064"/>
    <w:rsid w:val="00F1523E"/>
    <w:rsid w:val="00F1526A"/>
    <w:rsid w:val="00F15DCD"/>
    <w:rsid w:val="00F15ED8"/>
    <w:rsid w:val="00F17165"/>
    <w:rsid w:val="00F1740D"/>
    <w:rsid w:val="00F176AC"/>
    <w:rsid w:val="00F17AD5"/>
    <w:rsid w:val="00F210ED"/>
    <w:rsid w:val="00F211E2"/>
    <w:rsid w:val="00F216EB"/>
    <w:rsid w:val="00F22DA4"/>
    <w:rsid w:val="00F23C1A"/>
    <w:rsid w:val="00F240AE"/>
    <w:rsid w:val="00F24A98"/>
    <w:rsid w:val="00F24E14"/>
    <w:rsid w:val="00F25050"/>
    <w:rsid w:val="00F2585B"/>
    <w:rsid w:val="00F25C96"/>
    <w:rsid w:val="00F25F32"/>
    <w:rsid w:val="00F2609F"/>
    <w:rsid w:val="00F26F06"/>
    <w:rsid w:val="00F26F28"/>
    <w:rsid w:val="00F27416"/>
    <w:rsid w:val="00F27714"/>
    <w:rsid w:val="00F2789D"/>
    <w:rsid w:val="00F279E2"/>
    <w:rsid w:val="00F308C7"/>
    <w:rsid w:val="00F30938"/>
    <w:rsid w:val="00F30CAA"/>
    <w:rsid w:val="00F312F4"/>
    <w:rsid w:val="00F31D4A"/>
    <w:rsid w:val="00F31EF4"/>
    <w:rsid w:val="00F32380"/>
    <w:rsid w:val="00F324DD"/>
    <w:rsid w:val="00F3276E"/>
    <w:rsid w:val="00F327DC"/>
    <w:rsid w:val="00F32FE9"/>
    <w:rsid w:val="00F330F3"/>
    <w:rsid w:val="00F33C6F"/>
    <w:rsid w:val="00F33D3C"/>
    <w:rsid w:val="00F34869"/>
    <w:rsid w:val="00F34FCC"/>
    <w:rsid w:val="00F35733"/>
    <w:rsid w:val="00F358CE"/>
    <w:rsid w:val="00F35D60"/>
    <w:rsid w:val="00F3623C"/>
    <w:rsid w:val="00F363AC"/>
    <w:rsid w:val="00F3699C"/>
    <w:rsid w:val="00F36F97"/>
    <w:rsid w:val="00F370F8"/>
    <w:rsid w:val="00F37A91"/>
    <w:rsid w:val="00F37CD8"/>
    <w:rsid w:val="00F37EB5"/>
    <w:rsid w:val="00F405B3"/>
    <w:rsid w:val="00F408A0"/>
    <w:rsid w:val="00F40A57"/>
    <w:rsid w:val="00F40B45"/>
    <w:rsid w:val="00F413BA"/>
    <w:rsid w:val="00F4145C"/>
    <w:rsid w:val="00F41BDF"/>
    <w:rsid w:val="00F423A6"/>
    <w:rsid w:val="00F42676"/>
    <w:rsid w:val="00F42D3D"/>
    <w:rsid w:val="00F42F69"/>
    <w:rsid w:val="00F42FEC"/>
    <w:rsid w:val="00F43AD9"/>
    <w:rsid w:val="00F43D40"/>
    <w:rsid w:val="00F43DF4"/>
    <w:rsid w:val="00F455CF"/>
    <w:rsid w:val="00F45CF5"/>
    <w:rsid w:val="00F46E7A"/>
    <w:rsid w:val="00F47055"/>
    <w:rsid w:val="00F473E8"/>
    <w:rsid w:val="00F474CD"/>
    <w:rsid w:val="00F47AB4"/>
    <w:rsid w:val="00F47BA1"/>
    <w:rsid w:val="00F47DB0"/>
    <w:rsid w:val="00F47DF4"/>
    <w:rsid w:val="00F507F0"/>
    <w:rsid w:val="00F50C3F"/>
    <w:rsid w:val="00F50CC6"/>
    <w:rsid w:val="00F50E34"/>
    <w:rsid w:val="00F51AFB"/>
    <w:rsid w:val="00F51F52"/>
    <w:rsid w:val="00F52076"/>
    <w:rsid w:val="00F53AB3"/>
    <w:rsid w:val="00F53E86"/>
    <w:rsid w:val="00F53EEE"/>
    <w:rsid w:val="00F53EF7"/>
    <w:rsid w:val="00F54124"/>
    <w:rsid w:val="00F54BF2"/>
    <w:rsid w:val="00F5541C"/>
    <w:rsid w:val="00F55521"/>
    <w:rsid w:val="00F55AF6"/>
    <w:rsid w:val="00F55B8E"/>
    <w:rsid w:val="00F55D51"/>
    <w:rsid w:val="00F561E2"/>
    <w:rsid w:val="00F568C9"/>
    <w:rsid w:val="00F5693A"/>
    <w:rsid w:val="00F574A6"/>
    <w:rsid w:val="00F576CF"/>
    <w:rsid w:val="00F57A47"/>
    <w:rsid w:val="00F60401"/>
    <w:rsid w:val="00F60FCC"/>
    <w:rsid w:val="00F61179"/>
    <w:rsid w:val="00F61824"/>
    <w:rsid w:val="00F61848"/>
    <w:rsid w:val="00F61862"/>
    <w:rsid w:val="00F61EB4"/>
    <w:rsid w:val="00F63213"/>
    <w:rsid w:val="00F64794"/>
    <w:rsid w:val="00F64DA7"/>
    <w:rsid w:val="00F65881"/>
    <w:rsid w:val="00F6599E"/>
    <w:rsid w:val="00F662C6"/>
    <w:rsid w:val="00F66999"/>
    <w:rsid w:val="00F70287"/>
    <w:rsid w:val="00F7040B"/>
    <w:rsid w:val="00F70DF9"/>
    <w:rsid w:val="00F71613"/>
    <w:rsid w:val="00F716E3"/>
    <w:rsid w:val="00F7272A"/>
    <w:rsid w:val="00F7281E"/>
    <w:rsid w:val="00F72D57"/>
    <w:rsid w:val="00F73CF7"/>
    <w:rsid w:val="00F73D02"/>
    <w:rsid w:val="00F74376"/>
    <w:rsid w:val="00F745B4"/>
    <w:rsid w:val="00F74719"/>
    <w:rsid w:val="00F750BF"/>
    <w:rsid w:val="00F759CA"/>
    <w:rsid w:val="00F7614E"/>
    <w:rsid w:val="00F7734D"/>
    <w:rsid w:val="00F775AC"/>
    <w:rsid w:val="00F77A7E"/>
    <w:rsid w:val="00F80444"/>
    <w:rsid w:val="00F80527"/>
    <w:rsid w:val="00F81C4C"/>
    <w:rsid w:val="00F82004"/>
    <w:rsid w:val="00F830D3"/>
    <w:rsid w:val="00F8366E"/>
    <w:rsid w:val="00F83AEE"/>
    <w:rsid w:val="00F83CA2"/>
    <w:rsid w:val="00F83D72"/>
    <w:rsid w:val="00F83E92"/>
    <w:rsid w:val="00F85E12"/>
    <w:rsid w:val="00F865C4"/>
    <w:rsid w:val="00F86613"/>
    <w:rsid w:val="00F86821"/>
    <w:rsid w:val="00F87531"/>
    <w:rsid w:val="00F8792F"/>
    <w:rsid w:val="00F87C3D"/>
    <w:rsid w:val="00F907F9"/>
    <w:rsid w:val="00F90879"/>
    <w:rsid w:val="00F90C5D"/>
    <w:rsid w:val="00F90D0F"/>
    <w:rsid w:val="00F91315"/>
    <w:rsid w:val="00F9169E"/>
    <w:rsid w:val="00F918DF"/>
    <w:rsid w:val="00F91C13"/>
    <w:rsid w:val="00F9214D"/>
    <w:rsid w:val="00F92355"/>
    <w:rsid w:val="00F92FD2"/>
    <w:rsid w:val="00F934E8"/>
    <w:rsid w:val="00F93963"/>
    <w:rsid w:val="00F94291"/>
    <w:rsid w:val="00F9438E"/>
    <w:rsid w:val="00F9444D"/>
    <w:rsid w:val="00F944ED"/>
    <w:rsid w:val="00F945E0"/>
    <w:rsid w:val="00F94B41"/>
    <w:rsid w:val="00F94CBE"/>
    <w:rsid w:val="00F9533E"/>
    <w:rsid w:val="00F95C49"/>
    <w:rsid w:val="00F969C6"/>
    <w:rsid w:val="00F96D07"/>
    <w:rsid w:val="00F96DF3"/>
    <w:rsid w:val="00F970BD"/>
    <w:rsid w:val="00FA0890"/>
    <w:rsid w:val="00FA128F"/>
    <w:rsid w:val="00FA1C11"/>
    <w:rsid w:val="00FA224C"/>
    <w:rsid w:val="00FA2717"/>
    <w:rsid w:val="00FA298A"/>
    <w:rsid w:val="00FA2A68"/>
    <w:rsid w:val="00FA2CB0"/>
    <w:rsid w:val="00FA3771"/>
    <w:rsid w:val="00FA4691"/>
    <w:rsid w:val="00FA55DF"/>
    <w:rsid w:val="00FA5B66"/>
    <w:rsid w:val="00FA5C9B"/>
    <w:rsid w:val="00FA5E0B"/>
    <w:rsid w:val="00FA5FC2"/>
    <w:rsid w:val="00FA60A2"/>
    <w:rsid w:val="00FA6347"/>
    <w:rsid w:val="00FA64C0"/>
    <w:rsid w:val="00FA667F"/>
    <w:rsid w:val="00FA6B52"/>
    <w:rsid w:val="00FB01B7"/>
    <w:rsid w:val="00FB0621"/>
    <w:rsid w:val="00FB0B9C"/>
    <w:rsid w:val="00FB0BDC"/>
    <w:rsid w:val="00FB0FF3"/>
    <w:rsid w:val="00FB1658"/>
    <w:rsid w:val="00FB2DA8"/>
    <w:rsid w:val="00FB30EB"/>
    <w:rsid w:val="00FB348A"/>
    <w:rsid w:val="00FB44F1"/>
    <w:rsid w:val="00FB48F8"/>
    <w:rsid w:val="00FB51AF"/>
    <w:rsid w:val="00FB559A"/>
    <w:rsid w:val="00FB72E3"/>
    <w:rsid w:val="00FB7982"/>
    <w:rsid w:val="00FC0734"/>
    <w:rsid w:val="00FC0FC5"/>
    <w:rsid w:val="00FC12C3"/>
    <w:rsid w:val="00FC130B"/>
    <w:rsid w:val="00FC16CF"/>
    <w:rsid w:val="00FC28FB"/>
    <w:rsid w:val="00FC341A"/>
    <w:rsid w:val="00FC3AC7"/>
    <w:rsid w:val="00FC3BC6"/>
    <w:rsid w:val="00FC5063"/>
    <w:rsid w:val="00FC588F"/>
    <w:rsid w:val="00FC59EB"/>
    <w:rsid w:val="00FC6321"/>
    <w:rsid w:val="00FC6879"/>
    <w:rsid w:val="00FC69DC"/>
    <w:rsid w:val="00FC71AE"/>
    <w:rsid w:val="00FC7579"/>
    <w:rsid w:val="00FC75AD"/>
    <w:rsid w:val="00FC75BA"/>
    <w:rsid w:val="00FD1354"/>
    <w:rsid w:val="00FD1791"/>
    <w:rsid w:val="00FD17AD"/>
    <w:rsid w:val="00FD19D8"/>
    <w:rsid w:val="00FD205F"/>
    <w:rsid w:val="00FD2569"/>
    <w:rsid w:val="00FD2B2A"/>
    <w:rsid w:val="00FD2C07"/>
    <w:rsid w:val="00FD3A93"/>
    <w:rsid w:val="00FD403B"/>
    <w:rsid w:val="00FD4140"/>
    <w:rsid w:val="00FD4396"/>
    <w:rsid w:val="00FD43C2"/>
    <w:rsid w:val="00FD479C"/>
    <w:rsid w:val="00FD4F7B"/>
    <w:rsid w:val="00FD5336"/>
    <w:rsid w:val="00FD5600"/>
    <w:rsid w:val="00FD57CC"/>
    <w:rsid w:val="00FD58DA"/>
    <w:rsid w:val="00FD5A7E"/>
    <w:rsid w:val="00FD5D94"/>
    <w:rsid w:val="00FD65CC"/>
    <w:rsid w:val="00FD735E"/>
    <w:rsid w:val="00FD7A84"/>
    <w:rsid w:val="00FD7FE9"/>
    <w:rsid w:val="00FE0B21"/>
    <w:rsid w:val="00FE15E1"/>
    <w:rsid w:val="00FE1B30"/>
    <w:rsid w:val="00FE1CE0"/>
    <w:rsid w:val="00FE1F3E"/>
    <w:rsid w:val="00FE1F72"/>
    <w:rsid w:val="00FE1F7E"/>
    <w:rsid w:val="00FE246F"/>
    <w:rsid w:val="00FE24E9"/>
    <w:rsid w:val="00FE266C"/>
    <w:rsid w:val="00FE2B5C"/>
    <w:rsid w:val="00FE34CC"/>
    <w:rsid w:val="00FE3F83"/>
    <w:rsid w:val="00FE4CE5"/>
    <w:rsid w:val="00FE518A"/>
    <w:rsid w:val="00FE5235"/>
    <w:rsid w:val="00FE54E4"/>
    <w:rsid w:val="00FE6C6B"/>
    <w:rsid w:val="00FE730A"/>
    <w:rsid w:val="00FE7B44"/>
    <w:rsid w:val="00FF0656"/>
    <w:rsid w:val="00FF0C56"/>
    <w:rsid w:val="00FF1656"/>
    <w:rsid w:val="00FF17FA"/>
    <w:rsid w:val="00FF1880"/>
    <w:rsid w:val="00FF1A95"/>
    <w:rsid w:val="00FF1F41"/>
    <w:rsid w:val="00FF2D5C"/>
    <w:rsid w:val="00FF3516"/>
    <w:rsid w:val="00FF38A8"/>
    <w:rsid w:val="00FF3F37"/>
    <w:rsid w:val="00FF406B"/>
    <w:rsid w:val="00FF4A87"/>
    <w:rsid w:val="00FF4E3A"/>
    <w:rsid w:val="00FF5413"/>
    <w:rsid w:val="00FF559B"/>
    <w:rsid w:val="00FF55BD"/>
    <w:rsid w:val="00FF64D3"/>
    <w:rsid w:val="00FF6659"/>
    <w:rsid w:val="00FF6D47"/>
    <w:rsid w:val="00FF6DFB"/>
    <w:rsid w:val="00FF6E43"/>
    <w:rsid w:val="00FF6FAF"/>
    <w:rsid w:val="00FF6F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B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4"/>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30"/>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3"/>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2"/>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5"/>
      </w:numPr>
    </w:pPr>
  </w:style>
  <w:style w:type="paragraph" w:customStyle="1" w:styleId="Notes">
    <w:name w:val="Notes"/>
    <w:basedOn w:val="Normal"/>
    <w:rsid w:val="00805A30"/>
    <w:pPr>
      <w:numPr>
        <w:numId w:val="26"/>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303DE5"/>
    <w:rPr>
      <w:sz w:val="24"/>
      <w:lang w:eastAsia="en-US"/>
    </w:rPr>
  </w:style>
  <w:style w:type="character" w:customStyle="1" w:styleId="CommentTextChar">
    <w:name w:val="Comment Text Char"/>
    <w:basedOn w:val="DefaultParagraphFont"/>
    <w:link w:val="CommentText"/>
    <w:semiHidden/>
    <w:rsid w:val="002766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5BB263274F4334A4EB8CCE92A25C5B"/>
        <w:category>
          <w:name w:val="General"/>
          <w:gallery w:val="placeholder"/>
        </w:category>
        <w:types>
          <w:type w:val="bbPlcHdr"/>
        </w:types>
        <w:behaviors>
          <w:behavior w:val="content"/>
        </w:behaviors>
        <w:guid w:val="{2F46B998-178D-4B5A-A03F-FFCB06E4A1CF}"/>
      </w:docPartPr>
      <w:docPartBody>
        <w:p w:rsidR="00E903EF" w:rsidRDefault="00E903EF">
          <w:pPr>
            <w:pStyle w:val="EA5BB263274F4334A4EB8CCE92A25C5B"/>
          </w:pPr>
          <w:r>
            <w:rPr>
              <w:rStyle w:val="PlaceholderText"/>
            </w:rPr>
            <w:t>MNC Text</w:t>
          </w:r>
        </w:p>
      </w:docPartBody>
    </w:docPart>
    <w:docPart>
      <w:docPartPr>
        <w:name w:val="548DE7C811B94361A3A7665C53494E34"/>
        <w:category>
          <w:name w:val="General"/>
          <w:gallery w:val="placeholder"/>
        </w:category>
        <w:types>
          <w:type w:val="bbPlcHdr"/>
        </w:types>
        <w:behaviors>
          <w:behavior w:val="content"/>
        </w:behaviors>
        <w:guid w:val="{87CD4A5E-D93A-4E29-BA70-0D02D56F6902}"/>
      </w:docPartPr>
      <w:docPartBody>
        <w:p w:rsidR="00E903EF" w:rsidRDefault="00E903EF">
          <w:pPr>
            <w:pStyle w:val="548DE7C811B94361A3A7665C53494E34"/>
          </w:pPr>
          <w:r w:rsidRPr="005C44BE">
            <w:rPr>
              <w:rStyle w:val="PlaceholderText"/>
            </w:rPr>
            <w:t>Click or tap here to enter text.</w:t>
          </w:r>
        </w:p>
      </w:docPartBody>
    </w:docPart>
    <w:docPart>
      <w:docPartPr>
        <w:name w:val="4EBAEBE61AF944329C9843B1673D60C5"/>
        <w:category>
          <w:name w:val="General"/>
          <w:gallery w:val="placeholder"/>
        </w:category>
        <w:types>
          <w:type w:val="bbPlcHdr"/>
        </w:types>
        <w:behaviors>
          <w:behavior w:val="content"/>
        </w:behaviors>
        <w:guid w:val="{C9119F74-B70E-419D-A036-5EC09F932114}"/>
      </w:docPartPr>
      <w:docPartBody>
        <w:p w:rsidR="00E903EF" w:rsidRDefault="00E903EF">
          <w:pPr>
            <w:pStyle w:val="4EBAEBE61AF944329C9843B1673D60C5"/>
          </w:pPr>
          <w:r w:rsidRPr="005C44BE">
            <w:rPr>
              <w:rStyle w:val="PlaceholderText"/>
            </w:rPr>
            <w:t>Click or tap here to enter text.</w:t>
          </w:r>
        </w:p>
      </w:docPartBody>
    </w:docPart>
    <w:docPart>
      <w:docPartPr>
        <w:name w:val="5DDE33CEFD1B48DD982E3F5AC214F849"/>
        <w:category>
          <w:name w:val="General"/>
          <w:gallery w:val="placeholder"/>
        </w:category>
        <w:types>
          <w:type w:val="bbPlcHdr"/>
        </w:types>
        <w:behaviors>
          <w:behavior w:val="content"/>
        </w:behaviors>
        <w:guid w:val="{5A7F828D-EEF8-4BC8-B3E9-11B55D90C8FD}"/>
      </w:docPartPr>
      <w:docPartBody>
        <w:p w:rsidR="00E903EF" w:rsidRDefault="00E903EF">
          <w:pPr>
            <w:pStyle w:val="5DDE33CEFD1B48DD982E3F5AC214F849"/>
          </w:pPr>
          <w:r w:rsidRPr="005C44BE">
            <w:rPr>
              <w:rStyle w:val="PlaceholderText"/>
            </w:rPr>
            <w:t>Click or tap here to enter text.</w:t>
          </w:r>
        </w:p>
      </w:docPartBody>
    </w:docPart>
    <w:docPart>
      <w:docPartPr>
        <w:name w:val="1C1CE5078D854D9283D8E0B1FDAF612C"/>
        <w:category>
          <w:name w:val="General"/>
          <w:gallery w:val="placeholder"/>
        </w:category>
        <w:types>
          <w:type w:val="bbPlcHdr"/>
        </w:types>
        <w:behaviors>
          <w:behavior w:val="content"/>
        </w:behaviors>
        <w:guid w:val="{F01D93DE-0AE9-4445-932E-93F9DDAB9785}"/>
      </w:docPartPr>
      <w:docPartBody>
        <w:p w:rsidR="00E903EF" w:rsidRDefault="00E903EF">
          <w:pPr>
            <w:pStyle w:val="1C1CE5078D854D9283D8E0B1FDAF612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EF"/>
    <w:rsid w:val="000552A3"/>
    <w:rsid w:val="000E5405"/>
    <w:rsid w:val="00116B92"/>
    <w:rsid w:val="00133162"/>
    <w:rsid w:val="0026676D"/>
    <w:rsid w:val="002D49C9"/>
    <w:rsid w:val="00305E00"/>
    <w:rsid w:val="00343D6D"/>
    <w:rsid w:val="003E0FA5"/>
    <w:rsid w:val="003E4D01"/>
    <w:rsid w:val="00401B89"/>
    <w:rsid w:val="00410C9A"/>
    <w:rsid w:val="00476BC9"/>
    <w:rsid w:val="00483F5D"/>
    <w:rsid w:val="004D17C8"/>
    <w:rsid w:val="00524722"/>
    <w:rsid w:val="005272B8"/>
    <w:rsid w:val="005807C1"/>
    <w:rsid w:val="00596C29"/>
    <w:rsid w:val="005D1CE6"/>
    <w:rsid w:val="006C1192"/>
    <w:rsid w:val="007C48D4"/>
    <w:rsid w:val="007D64A2"/>
    <w:rsid w:val="00854B9C"/>
    <w:rsid w:val="0088449B"/>
    <w:rsid w:val="00A016E3"/>
    <w:rsid w:val="00AE59F4"/>
    <w:rsid w:val="00B37052"/>
    <w:rsid w:val="00CC1651"/>
    <w:rsid w:val="00CE675A"/>
    <w:rsid w:val="00DA32CE"/>
    <w:rsid w:val="00E661F5"/>
    <w:rsid w:val="00E903EF"/>
    <w:rsid w:val="00F42AAE"/>
    <w:rsid w:val="00F57F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5BB263274F4334A4EB8CCE92A25C5B">
    <w:name w:val="EA5BB263274F4334A4EB8CCE92A25C5B"/>
  </w:style>
  <w:style w:type="paragraph" w:customStyle="1" w:styleId="548DE7C811B94361A3A7665C53494E34">
    <w:name w:val="548DE7C811B94361A3A7665C53494E34"/>
  </w:style>
  <w:style w:type="paragraph" w:customStyle="1" w:styleId="4EBAEBE61AF944329C9843B1673D60C5">
    <w:name w:val="4EBAEBE61AF944329C9843B1673D60C5"/>
  </w:style>
  <w:style w:type="paragraph" w:customStyle="1" w:styleId="5DDE33CEFD1B48DD982E3F5AC214F849">
    <w:name w:val="5DDE33CEFD1B48DD982E3F5AC214F849"/>
  </w:style>
  <w:style w:type="paragraph" w:customStyle="1" w:styleId="1C1CE5078D854D9283D8E0B1FDAF612C">
    <w:name w:val="1C1CE5078D854D9283D8E0B1FDAF6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Commissioner of Taxation v Iannuzzi (No 3) [2024] FCA 45 </Name>
</root>
</file>

<file path=customXml/item3.xml><?xml version="1.0" encoding="utf-8"?>
<ct:contentTypeSchema xmlns:ct="http://schemas.microsoft.com/office/2006/metadata/contentType" xmlns:ma="http://schemas.microsoft.com/office/2006/metadata/properties/metaAttributes" ct:_="" ma:_="" ma:contentTypeName="Document" ma:contentTypeID="0x01010037C0D9D41C337A47B891386AD817DC53" ma:contentTypeVersion="14" ma:contentTypeDescription="Create a new document." ma:contentTypeScope="" ma:versionID="49caf00071a8e02625b4bbee6a25229e">
  <xsd:schema xmlns:xsd="http://www.w3.org/2001/XMLSchema" xmlns:xs="http://www.w3.org/2001/XMLSchema" xmlns:p="http://schemas.microsoft.com/office/2006/metadata/properties" xmlns:ns3="7993dfcc-416b-440e-8476-99f0c023ccb1" xmlns:ns4="90db942a-4bec-4115-a6a5-f661bdea8b05" targetNamespace="http://schemas.microsoft.com/office/2006/metadata/properties" ma:root="true" ma:fieldsID="78b843e7ae5dcbbf7c0d91e783d20bc9" ns3:_="" ns4:_="">
    <xsd:import namespace="7993dfcc-416b-440e-8476-99f0c023ccb1"/>
    <xsd:import namespace="90db942a-4bec-4115-a6a5-f661bdea8b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3dfcc-416b-440e-8476-99f0c023cc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b942a-4bec-4115-a6a5-f661bdea8b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0db942a-4bec-4115-a6a5-f661bdea8b0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34F87-4F0A-46FB-A6A6-64855E711063}">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99E4D104-083D-493C-A753-A5AA78E77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3dfcc-416b-440e-8476-99f0c023ccb1"/>
    <ds:schemaRef ds:uri="90db942a-4bec-4115-a6a5-f661bdea8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4B331-204F-4DFD-9597-9D7679E5F0CD}">
  <ds:schemaRefs>
    <ds:schemaRef ds:uri="http://www.w3.org/XML/1998/namespace"/>
    <ds:schemaRef ds:uri="90db942a-4bec-4115-a6a5-f661bdea8b05"/>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7993dfcc-416b-440e-8476-99f0c023ccb1"/>
  </ds:schemaRefs>
</ds:datastoreItem>
</file>

<file path=customXml/itemProps5.xml><?xml version="1.0" encoding="utf-8"?>
<ds:datastoreItem xmlns:ds="http://schemas.openxmlformats.org/officeDocument/2006/customXml" ds:itemID="{27A68862-B171-4C71-BFBB-26C5DD034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99</Pages>
  <Words>40863</Words>
  <Characters>203971</Characters>
  <Application>Microsoft Office Word</Application>
  <DocSecurity>0</DocSecurity>
  <PresentationFormat/>
  <Lines>4249</Lines>
  <Paragraphs>1676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Commissioner of Taxation v Iannuzzi (No 3) [2024] FCA 45 </vt:lpstr>
    </vt:vector>
  </TitlesOfParts>
  <Manager/>
  <Company/>
  <LinksUpToDate>false</LinksUpToDate>
  <CharactersWithSpaces>243158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2024-02-02T00:47:00Z</cp:lastPrinted>
  <dcterms:created xsi:type="dcterms:W3CDTF">2024-02-02T01:53:00Z</dcterms:created>
  <dcterms:modified xsi:type="dcterms:W3CDTF">2024-02-11T23:47:00Z</dcterms:modified>
  <cp:category/>
  <cp:contentStatus/>
  <dc:language/>
  <cp:version/>
</cp:coreProperties>
</file>