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A9266" w14:textId="5E8637A0" w:rsidR="00395B24" w:rsidRDefault="00703F84" w:rsidP="00A22932">
      <w:pPr>
        <w:pStyle w:val="CourtTitle"/>
      </w:pPr>
      <w:r>
        <w:fldChar w:fldCharType="begin"/>
      </w:r>
      <w:r>
        <w:instrText xml:space="preserve"> DOCPROPERTY  Court  \* MERGEFORMAT </w:instrText>
      </w:r>
      <w:r>
        <w:fldChar w:fldCharType="separate"/>
      </w:r>
      <w:r w:rsidR="00EC4E62">
        <w:t>Federal Court of Australia</w:t>
      </w:r>
      <w:r>
        <w:fldChar w:fldCharType="end"/>
      </w:r>
    </w:p>
    <w:p w14:paraId="284D5A02" w14:textId="77777777" w:rsidR="004D7950" w:rsidRDefault="004D7950">
      <w:pPr>
        <w:pStyle w:val="NormalHeadings"/>
        <w:jc w:val="center"/>
        <w:rPr>
          <w:sz w:val="32"/>
        </w:rPr>
      </w:pPr>
    </w:p>
    <w:bookmarkStart w:id="0" w:name="MNC"/>
    <w:p w14:paraId="3A82C084" w14:textId="0642388C" w:rsidR="00374CC4" w:rsidRDefault="0078187C" w:rsidP="001A2B40">
      <w:pPr>
        <w:pStyle w:val="MNC"/>
      </w:pPr>
      <w:sdt>
        <w:sdtPr>
          <w:alias w:val="MNC"/>
          <w:tag w:val="MNC"/>
          <w:id w:val="343289786"/>
          <w:lock w:val="sdtLocked"/>
          <w:placeholder>
            <w:docPart w:val="FF32010E9AD241A883F5931904D7382B"/>
          </w:placeholder>
          <w:dataBinding w:prefixMappings="xmlns:ns0='http://schemas.globalmacros.com/FCA'" w:xpath="/ns0:root[1]/ns0:Name[1]" w:storeItemID="{687E7CCB-4AA5-44E7-B148-17BA2B6F57C0}"/>
          <w:text w:multiLine="1"/>
        </w:sdtPr>
        <w:sdtEndPr/>
        <w:sdtContent>
          <w:r w:rsidR="00E725C3">
            <w:t xml:space="preserve">AZO24 v Commonwealth [2024] FCA </w:t>
          </w:r>
          <w:r w:rsidR="00B41A2C">
            <w:t>218</w:t>
          </w:r>
          <w:r w:rsidR="00E725C3">
            <w:t xml:space="preserve"> </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4BC7858E" w14:textId="77777777" w:rsidTr="00D16F08">
        <w:tc>
          <w:tcPr>
            <w:tcW w:w="3084" w:type="dxa"/>
            <w:shd w:val="clear" w:color="auto" w:fill="auto"/>
          </w:tcPr>
          <w:p w14:paraId="59FC8533" w14:textId="3C8F85C7" w:rsidR="00395B24" w:rsidRDefault="002C7385" w:rsidP="00663878">
            <w:pPr>
              <w:pStyle w:val="Normal1linespace"/>
              <w:widowControl w:val="0"/>
              <w:jc w:val="left"/>
            </w:pPr>
            <w:r>
              <w:t>File number:</w:t>
            </w:r>
          </w:p>
        </w:tc>
        <w:tc>
          <w:tcPr>
            <w:tcW w:w="5989" w:type="dxa"/>
            <w:shd w:val="clear" w:color="auto" w:fill="auto"/>
          </w:tcPr>
          <w:p w14:paraId="478EC926" w14:textId="79A8DBBE" w:rsidR="00395B24" w:rsidRPr="00EC4E62" w:rsidRDefault="00824582" w:rsidP="00EC4E62">
            <w:pPr>
              <w:pStyle w:val="Normal1linespace"/>
              <w:jc w:val="left"/>
            </w:pPr>
            <w:r>
              <w:t>NSD 1036 of 2023</w:t>
            </w:r>
          </w:p>
        </w:tc>
      </w:tr>
      <w:tr w:rsidR="00395B24" w14:paraId="45F498D0" w14:textId="77777777" w:rsidTr="00D16F08">
        <w:tc>
          <w:tcPr>
            <w:tcW w:w="3084" w:type="dxa"/>
            <w:shd w:val="clear" w:color="auto" w:fill="auto"/>
          </w:tcPr>
          <w:p w14:paraId="405B6EC1" w14:textId="77777777" w:rsidR="00395B24" w:rsidRDefault="00395B24" w:rsidP="00663878">
            <w:pPr>
              <w:pStyle w:val="Normal1linespace"/>
              <w:widowControl w:val="0"/>
              <w:jc w:val="left"/>
            </w:pPr>
          </w:p>
        </w:tc>
        <w:tc>
          <w:tcPr>
            <w:tcW w:w="5989" w:type="dxa"/>
            <w:shd w:val="clear" w:color="auto" w:fill="auto"/>
          </w:tcPr>
          <w:p w14:paraId="0EB4B79C" w14:textId="77777777" w:rsidR="00395B24" w:rsidRDefault="00395B24" w:rsidP="00663878">
            <w:pPr>
              <w:pStyle w:val="Normal1linespace"/>
              <w:widowControl w:val="0"/>
              <w:jc w:val="left"/>
            </w:pPr>
          </w:p>
        </w:tc>
      </w:tr>
      <w:tr w:rsidR="00395B24" w14:paraId="31902180" w14:textId="77777777" w:rsidTr="00D16F08">
        <w:tc>
          <w:tcPr>
            <w:tcW w:w="3084" w:type="dxa"/>
            <w:shd w:val="clear" w:color="auto" w:fill="auto"/>
          </w:tcPr>
          <w:p w14:paraId="539745CB"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6D5D5B9A" w14:textId="39197720" w:rsidR="00395B24" w:rsidRDefault="002C7385" w:rsidP="00663878">
            <w:pPr>
              <w:pStyle w:val="Normal1linespace"/>
              <w:widowControl w:val="0"/>
              <w:jc w:val="left"/>
              <w:rPr>
                <w:b/>
              </w:rPr>
            </w:pPr>
            <w:r w:rsidRPr="00EC4E62">
              <w:rPr>
                <w:b/>
              </w:rPr>
              <w:fldChar w:fldCharType="begin" w:fldLock="1"/>
            </w:r>
            <w:r w:rsidRPr="00EC4E62">
              <w:rPr>
                <w:b/>
              </w:rPr>
              <w:instrText xml:space="preserve"> REF  Judge  \* MERGEFORMAT </w:instrText>
            </w:r>
            <w:r w:rsidRPr="00EC4E62">
              <w:rPr>
                <w:b/>
              </w:rPr>
              <w:fldChar w:fldCharType="separate"/>
            </w:r>
            <w:r w:rsidR="00966ECA">
              <w:rPr>
                <w:b/>
                <w:caps/>
                <w:szCs w:val="24"/>
              </w:rPr>
              <w:t>KENNETT J</w:t>
            </w:r>
            <w:r w:rsidRPr="00EC4E62">
              <w:rPr>
                <w:b/>
              </w:rPr>
              <w:fldChar w:fldCharType="end"/>
            </w:r>
          </w:p>
        </w:tc>
      </w:tr>
      <w:tr w:rsidR="00395B24" w14:paraId="4F7D20C6" w14:textId="77777777" w:rsidTr="00D16F08">
        <w:tc>
          <w:tcPr>
            <w:tcW w:w="3084" w:type="dxa"/>
            <w:shd w:val="clear" w:color="auto" w:fill="auto"/>
          </w:tcPr>
          <w:p w14:paraId="0161FD67" w14:textId="77777777" w:rsidR="00395B24" w:rsidRDefault="00395B24" w:rsidP="00663878">
            <w:pPr>
              <w:pStyle w:val="Normal1linespace"/>
              <w:widowControl w:val="0"/>
              <w:jc w:val="left"/>
            </w:pPr>
          </w:p>
        </w:tc>
        <w:tc>
          <w:tcPr>
            <w:tcW w:w="5989" w:type="dxa"/>
            <w:shd w:val="clear" w:color="auto" w:fill="auto"/>
          </w:tcPr>
          <w:p w14:paraId="2742F9FD" w14:textId="77777777" w:rsidR="00395B24" w:rsidRDefault="00395B24" w:rsidP="00663878">
            <w:pPr>
              <w:pStyle w:val="Normal1linespace"/>
              <w:widowControl w:val="0"/>
              <w:jc w:val="left"/>
            </w:pPr>
          </w:p>
        </w:tc>
      </w:tr>
      <w:tr w:rsidR="00395B24" w14:paraId="7E0824BE" w14:textId="77777777" w:rsidTr="00D16F08">
        <w:tc>
          <w:tcPr>
            <w:tcW w:w="3084" w:type="dxa"/>
            <w:shd w:val="clear" w:color="auto" w:fill="auto"/>
          </w:tcPr>
          <w:p w14:paraId="0E5F2450" w14:textId="77777777" w:rsidR="00395B24" w:rsidRDefault="002C7385" w:rsidP="00663878">
            <w:pPr>
              <w:pStyle w:val="Normal1linespace"/>
              <w:widowControl w:val="0"/>
              <w:jc w:val="left"/>
            </w:pPr>
            <w:r>
              <w:t>Date of judgment:</w:t>
            </w:r>
          </w:p>
        </w:tc>
        <w:tc>
          <w:tcPr>
            <w:tcW w:w="5989" w:type="dxa"/>
            <w:shd w:val="clear" w:color="auto" w:fill="auto"/>
          </w:tcPr>
          <w:p w14:paraId="7300BAB8" w14:textId="10592BEA" w:rsidR="00395B24" w:rsidRDefault="00966ECA" w:rsidP="00663878">
            <w:pPr>
              <w:pStyle w:val="Normal1linespace"/>
              <w:widowControl w:val="0"/>
              <w:jc w:val="left"/>
            </w:pPr>
            <w:bookmarkStart w:id="1" w:name="JudgmentDate"/>
            <w:bookmarkEnd w:id="1"/>
            <w:r>
              <w:t>12</w:t>
            </w:r>
            <w:r w:rsidR="00324A70">
              <w:t xml:space="preserve"> March 2024</w:t>
            </w:r>
          </w:p>
        </w:tc>
      </w:tr>
      <w:tr w:rsidR="00395B24" w14:paraId="23435DC9" w14:textId="77777777" w:rsidTr="00D16F08">
        <w:tc>
          <w:tcPr>
            <w:tcW w:w="3084" w:type="dxa"/>
            <w:shd w:val="clear" w:color="auto" w:fill="auto"/>
          </w:tcPr>
          <w:p w14:paraId="19768FA0" w14:textId="77777777" w:rsidR="00395B24" w:rsidRDefault="00395B24" w:rsidP="00663878">
            <w:pPr>
              <w:pStyle w:val="Normal1linespace"/>
              <w:widowControl w:val="0"/>
              <w:jc w:val="left"/>
            </w:pPr>
          </w:p>
        </w:tc>
        <w:tc>
          <w:tcPr>
            <w:tcW w:w="5989" w:type="dxa"/>
            <w:shd w:val="clear" w:color="auto" w:fill="auto"/>
          </w:tcPr>
          <w:p w14:paraId="7470B7AD" w14:textId="77777777" w:rsidR="00395B24" w:rsidRDefault="00395B24" w:rsidP="00663878">
            <w:pPr>
              <w:pStyle w:val="Normal1linespace"/>
              <w:widowControl w:val="0"/>
              <w:jc w:val="left"/>
            </w:pPr>
          </w:p>
        </w:tc>
      </w:tr>
      <w:tr w:rsidR="00395B24" w14:paraId="273553DC" w14:textId="77777777" w:rsidTr="00D16F08">
        <w:tc>
          <w:tcPr>
            <w:tcW w:w="3084" w:type="dxa"/>
            <w:shd w:val="clear" w:color="auto" w:fill="auto"/>
          </w:tcPr>
          <w:p w14:paraId="6A71BE42" w14:textId="77777777" w:rsidR="00395B24" w:rsidRDefault="002C7385" w:rsidP="00663878">
            <w:pPr>
              <w:pStyle w:val="Normal1linespace"/>
              <w:widowControl w:val="0"/>
              <w:jc w:val="left"/>
            </w:pPr>
            <w:r>
              <w:t>Catchwords:</w:t>
            </w:r>
          </w:p>
        </w:tc>
        <w:tc>
          <w:tcPr>
            <w:tcW w:w="5989" w:type="dxa"/>
            <w:shd w:val="clear" w:color="auto" w:fill="auto"/>
          </w:tcPr>
          <w:p w14:paraId="289CECCE" w14:textId="14973981" w:rsidR="00395B24" w:rsidRDefault="00824582" w:rsidP="00663878">
            <w:pPr>
              <w:pStyle w:val="Normal1linespace"/>
              <w:widowControl w:val="0"/>
              <w:jc w:val="left"/>
            </w:pPr>
            <w:bookmarkStart w:id="2" w:name="Catchwords"/>
            <w:r>
              <w:rPr>
                <w:b/>
                <w:bCs/>
              </w:rPr>
              <w:t xml:space="preserve">HIGH COURT AND </w:t>
            </w:r>
            <w:r w:rsidR="006F1CCF">
              <w:rPr>
                <w:b/>
                <w:bCs/>
              </w:rPr>
              <w:t xml:space="preserve">FEDERAL COURT </w:t>
            </w:r>
            <w:r w:rsidR="006F1CCF">
              <w:t xml:space="preserve">– Application for disqualification of judge on basis of apprehended bias </w:t>
            </w:r>
            <w:r w:rsidR="009B1A93">
              <w:t>–</w:t>
            </w:r>
            <w:r w:rsidR="006F1CCF">
              <w:t xml:space="preserve"> </w:t>
            </w:r>
            <w:r w:rsidR="009B1A93">
              <w:t xml:space="preserve">where </w:t>
            </w:r>
            <w:r w:rsidR="00A60D1A">
              <w:t xml:space="preserve">applicant alleges serious misconduct </w:t>
            </w:r>
            <w:r w:rsidR="00ED4C5C">
              <w:t xml:space="preserve">by </w:t>
            </w:r>
            <w:r w:rsidR="00B21C0F">
              <w:t xml:space="preserve">all Australian </w:t>
            </w:r>
            <w:r w:rsidR="00ED4C5C">
              <w:t>Prime Ministers and federal Attorneys</w:t>
            </w:r>
            <w:r w:rsidR="00124CC2">
              <w:t>-</w:t>
            </w:r>
            <w:r w:rsidR="00B21C0F">
              <w:t>G</w:t>
            </w:r>
            <w:r w:rsidR="00ED4C5C">
              <w:t xml:space="preserve">eneral since </w:t>
            </w:r>
            <w:r w:rsidR="00E8171D">
              <w:t xml:space="preserve">2017 </w:t>
            </w:r>
            <w:r w:rsidR="003300D9">
              <w:t xml:space="preserve">– where </w:t>
            </w:r>
            <w:r w:rsidR="00B340E5">
              <w:t xml:space="preserve">judge’s appointment </w:t>
            </w:r>
            <w:r w:rsidR="00565913">
              <w:t xml:space="preserve">to Federal Court of Australia </w:t>
            </w:r>
            <w:r w:rsidR="00B340E5">
              <w:t xml:space="preserve">by Governor-General on recommendation of current </w:t>
            </w:r>
            <w:r w:rsidR="00DC52C9">
              <w:t>f</w:t>
            </w:r>
            <w:r w:rsidR="0033433D">
              <w:t>ederal government</w:t>
            </w:r>
            <w:r w:rsidR="003F42F3">
              <w:t xml:space="preserve"> – reasonableness of apprehension of bias </w:t>
            </w:r>
            <w:r w:rsidR="00DC52C9">
              <w:t>–</w:t>
            </w:r>
            <w:r w:rsidR="003F42F3">
              <w:t xml:space="preserve"> </w:t>
            </w:r>
            <w:r w:rsidR="00DC52C9">
              <w:t>application refuse</w:t>
            </w:r>
            <w:r w:rsidR="000A672B">
              <w:t>d</w:t>
            </w:r>
            <w:r w:rsidR="002C7385">
              <w:t xml:space="preserve"> </w:t>
            </w:r>
            <w:bookmarkEnd w:id="2"/>
          </w:p>
        </w:tc>
      </w:tr>
      <w:tr w:rsidR="00395B24" w14:paraId="7F65722A" w14:textId="77777777" w:rsidTr="00D16F08">
        <w:tc>
          <w:tcPr>
            <w:tcW w:w="3084" w:type="dxa"/>
            <w:shd w:val="clear" w:color="auto" w:fill="auto"/>
          </w:tcPr>
          <w:p w14:paraId="43DEDB2A" w14:textId="77777777" w:rsidR="00395B24" w:rsidRDefault="00395B24" w:rsidP="00663878">
            <w:pPr>
              <w:pStyle w:val="Normal1linespace"/>
              <w:widowControl w:val="0"/>
              <w:jc w:val="left"/>
            </w:pPr>
          </w:p>
        </w:tc>
        <w:tc>
          <w:tcPr>
            <w:tcW w:w="5989" w:type="dxa"/>
            <w:shd w:val="clear" w:color="auto" w:fill="auto"/>
          </w:tcPr>
          <w:p w14:paraId="578AB598" w14:textId="77777777" w:rsidR="00395B24" w:rsidRDefault="00395B24" w:rsidP="00663878">
            <w:pPr>
              <w:pStyle w:val="Normal1linespace"/>
              <w:widowControl w:val="0"/>
              <w:jc w:val="left"/>
            </w:pPr>
          </w:p>
        </w:tc>
      </w:tr>
      <w:tr w:rsidR="00395B24" w14:paraId="6E071912" w14:textId="77777777" w:rsidTr="00D16F08">
        <w:tc>
          <w:tcPr>
            <w:tcW w:w="3084" w:type="dxa"/>
            <w:shd w:val="clear" w:color="auto" w:fill="auto"/>
          </w:tcPr>
          <w:p w14:paraId="5E352E87" w14:textId="77777777" w:rsidR="00395B24" w:rsidRDefault="002C7385" w:rsidP="00663878">
            <w:pPr>
              <w:pStyle w:val="Normal1linespace"/>
              <w:widowControl w:val="0"/>
              <w:jc w:val="left"/>
            </w:pPr>
            <w:r>
              <w:t>Cases cited:</w:t>
            </w:r>
          </w:p>
        </w:tc>
        <w:tc>
          <w:tcPr>
            <w:tcW w:w="5989" w:type="dxa"/>
            <w:shd w:val="clear" w:color="auto" w:fill="auto"/>
          </w:tcPr>
          <w:p w14:paraId="16EBB3D0" w14:textId="77777777" w:rsidR="00926930" w:rsidRPr="00926930" w:rsidRDefault="00926930" w:rsidP="00926930">
            <w:pPr>
              <w:pStyle w:val="CasesLegislationAppealFrom"/>
              <w:spacing w:after="60"/>
            </w:pPr>
            <w:bookmarkStart w:id="3" w:name="Cases_Cited"/>
            <w:r w:rsidRPr="00926930">
              <w:rPr>
                <w:i/>
                <w:iCs/>
              </w:rPr>
              <w:t>AZC20 v Secretary, Department of Home Affairs</w:t>
            </w:r>
            <w:r w:rsidRPr="00926930">
              <w:t xml:space="preserve"> [2023] FCA 1252</w:t>
            </w:r>
            <w:r w:rsidRPr="00926930" w:rsidDel="00926930">
              <w:t xml:space="preserve">   </w:t>
            </w:r>
          </w:p>
          <w:p w14:paraId="6B5DF83E" w14:textId="77777777" w:rsidR="00926930" w:rsidRPr="00926930" w:rsidRDefault="00926930" w:rsidP="00926930">
            <w:pPr>
              <w:pStyle w:val="CasesLegislationAppealFrom"/>
              <w:spacing w:after="60"/>
            </w:pPr>
            <w:r w:rsidRPr="00926930">
              <w:rPr>
                <w:i/>
                <w:iCs/>
                <w:lang w:eastAsia="en-AU"/>
              </w:rPr>
              <w:t>QYFM</w:t>
            </w:r>
            <w:r w:rsidRPr="00926930">
              <w:rPr>
                <w:b/>
                <w:bCs/>
                <w:i/>
                <w:iCs/>
                <w:lang w:eastAsia="en-AU"/>
              </w:rPr>
              <w:t> </w:t>
            </w:r>
            <w:r w:rsidRPr="00926930">
              <w:rPr>
                <w:i/>
                <w:iCs/>
                <w:lang w:eastAsia="en-AU"/>
              </w:rPr>
              <w:t>v Minister for Immigration, Citizenship, Migrant Services and Multicultural Affairs &amp; Anor </w:t>
            </w:r>
            <w:r w:rsidRPr="00926930">
              <w:rPr>
                <w:lang w:eastAsia="en-AU"/>
              </w:rPr>
              <w:t>[2023] HCA 15; 97 ALJR 419</w:t>
            </w:r>
          </w:p>
          <w:p w14:paraId="0F095FE2" w14:textId="77777777" w:rsidR="00926930" w:rsidRPr="00926930" w:rsidRDefault="00926930" w:rsidP="00926930">
            <w:pPr>
              <w:pStyle w:val="CasesLegislationAppealFrom"/>
              <w:spacing w:after="60"/>
            </w:pPr>
            <w:r w:rsidRPr="00926930">
              <w:rPr>
                <w:i/>
                <w:iCs/>
                <w:szCs w:val="24"/>
                <w:shd w:val="clear" w:color="auto" w:fill="FFFFFF"/>
              </w:rPr>
              <w:t xml:space="preserve">Re JRL; Ex </w:t>
            </w:r>
            <w:proofErr w:type="spellStart"/>
            <w:r w:rsidRPr="00926930">
              <w:rPr>
                <w:i/>
                <w:iCs/>
                <w:szCs w:val="24"/>
                <w:shd w:val="clear" w:color="auto" w:fill="FFFFFF"/>
              </w:rPr>
              <w:t>parte</w:t>
            </w:r>
            <w:proofErr w:type="spellEnd"/>
            <w:r w:rsidRPr="00926930">
              <w:rPr>
                <w:i/>
                <w:iCs/>
                <w:szCs w:val="24"/>
                <w:shd w:val="clear" w:color="auto" w:fill="FFFFFF"/>
              </w:rPr>
              <w:t xml:space="preserve"> CJL</w:t>
            </w:r>
            <w:r w:rsidRPr="00926930">
              <w:rPr>
                <w:szCs w:val="24"/>
                <w:shd w:val="clear" w:color="auto" w:fill="FFFFFF"/>
              </w:rPr>
              <w:t> (1986) 161 CLR 342</w:t>
            </w:r>
          </w:p>
          <w:p w14:paraId="3946D932" w14:textId="6EF9A5DA" w:rsidR="00926930" w:rsidRPr="00926930" w:rsidRDefault="00926930" w:rsidP="00926930">
            <w:pPr>
              <w:pStyle w:val="CasesLegislationAppealFrom"/>
              <w:spacing w:after="60"/>
            </w:pPr>
            <w:r w:rsidRPr="00926930">
              <w:rPr>
                <w:i/>
                <w:iCs/>
                <w:lang w:eastAsia="en-AU"/>
              </w:rPr>
              <w:t>SZQYM v Minister for Immigration, Citizenship, Migrant Services and Multicultural Affairs</w:t>
            </w:r>
            <w:r w:rsidRPr="00926930">
              <w:rPr>
                <w:lang w:eastAsia="en-AU"/>
              </w:rPr>
              <w:t> [2020] FCA 779; 169 ALD 579</w:t>
            </w:r>
            <w:bookmarkEnd w:id="3"/>
          </w:p>
        </w:tc>
      </w:tr>
      <w:tr w:rsidR="00EC4E62" w14:paraId="6558321E" w14:textId="77777777" w:rsidTr="00D16F08">
        <w:tc>
          <w:tcPr>
            <w:tcW w:w="3084" w:type="dxa"/>
            <w:shd w:val="clear" w:color="auto" w:fill="auto"/>
          </w:tcPr>
          <w:p w14:paraId="6C6721FC" w14:textId="77777777" w:rsidR="00EC4E62" w:rsidRDefault="00EC4E62" w:rsidP="002F7154">
            <w:pPr>
              <w:pStyle w:val="Normal1linespace"/>
              <w:widowControl w:val="0"/>
            </w:pPr>
          </w:p>
        </w:tc>
        <w:tc>
          <w:tcPr>
            <w:tcW w:w="5989" w:type="dxa"/>
            <w:shd w:val="clear" w:color="auto" w:fill="auto"/>
          </w:tcPr>
          <w:p w14:paraId="4B8FC3D2" w14:textId="77777777" w:rsidR="00EC4E62" w:rsidRDefault="00EC4E62" w:rsidP="002F7154">
            <w:pPr>
              <w:pStyle w:val="Normal1linespace"/>
              <w:widowControl w:val="0"/>
              <w:jc w:val="left"/>
            </w:pPr>
          </w:p>
        </w:tc>
      </w:tr>
      <w:tr w:rsidR="00EC4E62" w14:paraId="2F006994" w14:textId="77777777" w:rsidTr="00D16F08">
        <w:tc>
          <w:tcPr>
            <w:tcW w:w="3084" w:type="dxa"/>
            <w:shd w:val="clear" w:color="auto" w:fill="auto"/>
          </w:tcPr>
          <w:p w14:paraId="03879925" w14:textId="77777777" w:rsidR="00EC4E62" w:rsidRDefault="00EC4E62" w:rsidP="00501A12">
            <w:pPr>
              <w:pStyle w:val="Normal1linespace"/>
              <w:widowControl w:val="0"/>
            </w:pPr>
            <w:r>
              <w:t>Division:</w:t>
            </w:r>
          </w:p>
        </w:tc>
        <w:tc>
          <w:tcPr>
            <w:tcW w:w="5989" w:type="dxa"/>
            <w:shd w:val="clear" w:color="auto" w:fill="auto"/>
          </w:tcPr>
          <w:p w14:paraId="040AD7AB" w14:textId="1DE49933" w:rsidR="00EC4E62" w:rsidRPr="00F17599" w:rsidRDefault="00A26DEC" w:rsidP="00501A12">
            <w:pPr>
              <w:pStyle w:val="Normal1linespace"/>
              <w:widowControl w:val="0"/>
              <w:jc w:val="left"/>
            </w:pPr>
            <w:fldSimple w:instr=" DOCPROPERTY  Division ">
              <w:r w:rsidR="00EC4E62">
                <w:t>General Division</w:t>
              </w:r>
            </w:fldSimple>
          </w:p>
        </w:tc>
      </w:tr>
      <w:tr w:rsidR="00EC4E62" w14:paraId="0EB8EF02" w14:textId="77777777" w:rsidTr="00D16F08">
        <w:tc>
          <w:tcPr>
            <w:tcW w:w="3084" w:type="dxa"/>
            <w:shd w:val="clear" w:color="auto" w:fill="auto"/>
          </w:tcPr>
          <w:p w14:paraId="3DDF1DEB" w14:textId="77777777" w:rsidR="00EC4E62" w:rsidRDefault="00EC4E62" w:rsidP="00501A12">
            <w:pPr>
              <w:pStyle w:val="Normal1linespace"/>
              <w:widowControl w:val="0"/>
            </w:pPr>
            <w:bookmarkStart w:id="4" w:name="Registry_rows" w:colFirst="0" w:colLast="1"/>
          </w:p>
        </w:tc>
        <w:tc>
          <w:tcPr>
            <w:tcW w:w="5989" w:type="dxa"/>
            <w:shd w:val="clear" w:color="auto" w:fill="auto"/>
          </w:tcPr>
          <w:p w14:paraId="338BA154" w14:textId="77777777" w:rsidR="00EC4E62" w:rsidRDefault="00EC4E62" w:rsidP="00501A12">
            <w:pPr>
              <w:pStyle w:val="Normal1linespace"/>
              <w:widowControl w:val="0"/>
              <w:jc w:val="left"/>
            </w:pPr>
          </w:p>
        </w:tc>
      </w:tr>
      <w:tr w:rsidR="00EC4E62" w14:paraId="47C8DAD7" w14:textId="77777777" w:rsidTr="00D16F08">
        <w:tc>
          <w:tcPr>
            <w:tcW w:w="3084" w:type="dxa"/>
            <w:shd w:val="clear" w:color="auto" w:fill="auto"/>
          </w:tcPr>
          <w:p w14:paraId="67B5CAE2" w14:textId="77777777" w:rsidR="00EC4E62" w:rsidRDefault="00EC4E62" w:rsidP="00501A12">
            <w:pPr>
              <w:pStyle w:val="Normal1linespace"/>
              <w:widowControl w:val="0"/>
            </w:pPr>
            <w:r>
              <w:t>Registry:</w:t>
            </w:r>
          </w:p>
        </w:tc>
        <w:tc>
          <w:tcPr>
            <w:tcW w:w="5989" w:type="dxa"/>
            <w:shd w:val="clear" w:color="auto" w:fill="auto"/>
          </w:tcPr>
          <w:p w14:paraId="443531EB" w14:textId="21DBC1FB" w:rsidR="00EC4E62" w:rsidRPr="00F17599" w:rsidRDefault="006F1CCF" w:rsidP="00501A12">
            <w:pPr>
              <w:pStyle w:val="Normal1linespace"/>
              <w:widowControl w:val="0"/>
              <w:jc w:val="left"/>
            </w:pPr>
            <w:r>
              <w:t>New South Wales</w:t>
            </w:r>
          </w:p>
        </w:tc>
      </w:tr>
      <w:tr w:rsidR="00EC4E62" w14:paraId="40C0E234" w14:textId="77777777" w:rsidTr="00D16F08">
        <w:tc>
          <w:tcPr>
            <w:tcW w:w="3084" w:type="dxa"/>
            <w:shd w:val="clear" w:color="auto" w:fill="auto"/>
          </w:tcPr>
          <w:p w14:paraId="08F43825" w14:textId="77777777" w:rsidR="00EC4E62" w:rsidRDefault="00EC4E62" w:rsidP="00501A12">
            <w:pPr>
              <w:pStyle w:val="Normal1linespace"/>
              <w:widowControl w:val="0"/>
            </w:pPr>
            <w:bookmarkStart w:id="5" w:name="NPARow" w:colFirst="0" w:colLast="1"/>
            <w:bookmarkEnd w:id="4"/>
          </w:p>
        </w:tc>
        <w:tc>
          <w:tcPr>
            <w:tcW w:w="5989" w:type="dxa"/>
            <w:shd w:val="clear" w:color="auto" w:fill="auto"/>
          </w:tcPr>
          <w:p w14:paraId="1C1A872F" w14:textId="77777777" w:rsidR="00EC4E62" w:rsidRPr="00F17599" w:rsidRDefault="00EC4E62" w:rsidP="00501A12">
            <w:pPr>
              <w:pStyle w:val="Normal1linespace"/>
              <w:widowControl w:val="0"/>
              <w:jc w:val="left"/>
              <w:rPr>
                <w:b/>
              </w:rPr>
            </w:pPr>
          </w:p>
        </w:tc>
      </w:tr>
      <w:tr w:rsidR="00EC4E62" w14:paraId="2FB16611" w14:textId="77777777" w:rsidTr="00D16F08">
        <w:tc>
          <w:tcPr>
            <w:tcW w:w="3084" w:type="dxa"/>
            <w:shd w:val="clear" w:color="auto" w:fill="auto"/>
          </w:tcPr>
          <w:p w14:paraId="42B2AD59" w14:textId="77777777" w:rsidR="00EC4E62" w:rsidRDefault="00EC4E62" w:rsidP="00501A12">
            <w:pPr>
              <w:pStyle w:val="Normal1linespace"/>
              <w:widowControl w:val="0"/>
            </w:pPr>
            <w:r>
              <w:t>National Practice Area:</w:t>
            </w:r>
          </w:p>
        </w:tc>
        <w:tc>
          <w:tcPr>
            <w:tcW w:w="5989" w:type="dxa"/>
            <w:shd w:val="clear" w:color="auto" w:fill="auto"/>
          </w:tcPr>
          <w:p w14:paraId="5BB0FB9C" w14:textId="514312B6" w:rsidR="00EC4E62" w:rsidRPr="00F17599" w:rsidRDefault="00AC6440" w:rsidP="00171DBB">
            <w:pPr>
              <w:pStyle w:val="Normal1linespace"/>
              <w:widowControl w:val="0"/>
              <w:jc w:val="left"/>
              <w:rPr>
                <w:b/>
              </w:rPr>
            </w:pPr>
            <w:r>
              <w:t>Federal Crime and Related Proceedings</w:t>
            </w:r>
          </w:p>
        </w:tc>
      </w:tr>
      <w:bookmarkEnd w:id="5"/>
      <w:tr w:rsidR="00EC4E62" w14:paraId="7B3EB03A" w14:textId="77777777" w:rsidTr="00D16F08">
        <w:tc>
          <w:tcPr>
            <w:tcW w:w="3084" w:type="dxa"/>
            <w:shd w:val="clear" w:color="auto" w:fill="auto"/>
          </w:tcPr>
          <w:p w14:paraId="0CF24FA3" w14:textId="77777777" w:rsidR="00EC4E62" w:rsidRDefault="00EC4E62" w:rsidP="00501A12">
            <w:pPr>
              <w:pStyle w:val="Normal1linespace"/>
              <w:widowControl w:val="0"/>
            </w:pPr>
          </w:p>
        </w:tc>
        <w:tc>
          <w:tcPr>
            <w:tcW w:w="5989" w:type="dxa"/>
            <w:shd w:val="clear" w:color="auto" w:fill="auto"/>
          </w:tcPr>
          <w:p w14:paraId="46E5DC3B" w14:textId="77777777" w:rsidR="00EC4E62" w:rsidRDefault="00EC4E62" w:rsidP="00501A12">
            <w:pPr>
              <w:pStyle w:val="Normal1linespace"/>
              <w:widowControl w:val="0"/>
              <w:jc w:val="left"/>
            </w:pPr>
          </w:p>
        </w:tc>
      </w:tr>
      <w:tr w:rsidR="00EC4E62" w14:paraId="54652123" w14:textId="77777777" w:rsidTr="00D16F08">
        <w:tc>
          <w:tcPr>
            <w:tcW w:w="3084" w:type="dxa"/>
            <w:shd w:val="clear" w:color="auto" w:fill="auto"/>
          </w:tcPr>
          <w:p w14:paraId="2EFB9762" w14:textId="77777777" w:rsidR="00EC4E62" w:rsidRDefault="00EC4E62" w:rsidP="00501A12">
            <w:pPr>
              <w:pStyle w:val="Normal1linespace"/>
              <w:widowControl w:val="0"/>
            </w:pPr>
            <w:r>
              <w:t>Number of paragraphs:</w:t>
            </w:r>
          </w:p>
        </w:tc>
        <w:tc>
          <w:tcPr>
            <w:tcW w:w="5989" w:type="dxa"/>
            <w:shd w:val="clear" w:color="auto" w:fill="auto"/>
          </w:tcPr>
          <w:p w14:paraId="04EB5D40" w14:textId="49094855" w:rsidR="00EC4E62" w:rsidRDefault="00D16F08" w:rsidP="00501A12">
            <w:pPr>
              <w:pStyle w:val="Normal1linespace"/>
              <w:widowControl w:val="0"/>
              <w:jc w:val="left"/>
            </w:pPr>
            <w:bookmarkStart w:id="6" w:name="PlaceCategoryParagraphs"/>
            <w:r>
              <w:t>14</w:t>
            </w:r>
            <w:bookmarkEnd w:id="6"/>
          </w:p>
        </w:tc>
      </w:tr>
      <w:tr w:rsidR="00EC4E62" w14:paraId="606060ED" w14:textId="77777777" w:rsidTr="00D16F08">
        <w:tc>
          <w:tcPr>
            <w:tcW w:w="3084" w:type="dxa"/>
            <w:shd w:val="clear" w:color="auto" w:fill="auto"/>
          </w:tcPr>
          <w:p w14:paraId="74D63F5E" w14:textId="77777777" w:rsidR="00EC4E62" w:rsidRDefault="00EC4E62" w:rsidP="00EC4E62">
            <w:pPr>
              <w:pStyle w:val="Normal1linespace"/>
              <w:widowControl w:val="0"/>
              <w:jc w:val="left"/>
            </w:pPr>
          </w:p>
        </w:tc>
        <w:tc>
          <w:tcPr>
            <w:tcW w:w="5989" w:type="dxa"/>
            <w:shd w:val="clear" w:color="auto" w:fill="auto"/>
          </w:tcPr>
          <w:p w14:paraId="5A49E844" w14:textId="77777777" w:rsidR="00EC4E62" w:rsidRDefault="00EC4E62" w:rsidP="00EC4E62">
            <w:pPr>
              <w:pStyle w:val="Normal1linespace"/>
              <w:widowControl w:val="0"/>
              <w:jc w:val="left"/>
            </w:pPr>
          </w:p>
        </w:tc>
      </w:tr>
      <w:tr w:rsidR="00EC4E62" w14:paraId="11DD19C4" w14:textId="77777777" w:rsidTr="00D16F08">
        <w:tc>
          <w:tcPr>
            <w:tcW w:w="3084" w:type="dxa"/>
            <w:shd w:val="clear" w:color="auto" w:fill="auto"/>
          </w:tcPr>
          <w:p w14:paraId="56326090" w14:textId="77777777" w:rsidR="00EC4E62" w:rsidRDefault="00EC4E62" w:rsidP="00EC4E62">
            <w:pPr>
              <w:pStyle w:val="Normal1linespace"/>
              <w:widowControl w:val="0"/>
              <w:jc w:val="left"/>
            </w:pPr>
            <w:bookmarkStart w:id="7" w:name="CounselDate" w:colFirst="0" w:colLast="2"/>
            <w:r w:rsidRPr="006A24E3">
              <w:t>Date of hearing:</w:t>
            </w:r>
          </w:p>
        </w:tc>
        <w:tc>
          <w:tcPr>
            <w:tcW w:w="5989" w:type="dxa"/>
            <w:shd w:val="clear" w:color="auto" w:fill="auto"/>
          </w:tcPr>
          <w:p w14:paraId="65AF51AC" w14:textId="27F72495" w:rsidR="00EC4E62" w:rsidRDefault="00324A70" w:rsidP="00EC4E62">
            <w:pPr>
              <w:pStyle w:val="Normal1linespace"/>
              <w:widowControl w:val="0"/>
              <w:jc w:val="left"/>
            </w:pPr>
            <w:r>
              <w:t>7 March 2024</w:t>
            </w:r>
          </w:p>
        </w:tc>
      </w:tr>
      <w:tr w:rsidR="00EC4E62" w14:paraId="64CC57E1" w14:textId="77777777" w:rsidTr="00D16F08">
        <w:tc>
          <w:tcPr>
            <w:tcW w:w="3084" w:type="dxa"/>
            <w:shd w:val="clear" w:color="auto" w:fill="auto"/>
          </w:tcPr>
          <w:p w14:paraId="6A32255B" w14:textId="77777777" w:rsidR="00EC4E62" w:rsidRDefault="00EC4E62" w:rsidP="00EC4E62">
            <w:pPr>
              <w:pStyle w:val="Normal1linespace"/>
              <w:widowControl w:val="0"/>
              <w:jc w:val="left"/>
            </w:pPr>
          </w:p>
        </w:tc>
        <w:tc>
          <w:tcPr>
            <w:tcW w:w="5989" w:type="dxa"/>
            <w:shd w:val="clear" w:color="auto" w:fill="auto"/>
          </w:tcPr>
          <w:p w14:paraId="20CFF3E5" w14:textId="77777777" w:rsidR="00EC4E62" w:rsidRDefault="00EC4E62" w:rsidP="00EC4E62">
            <w:pPr>
              <w:pStyle w:val="Normal1linespace"/>
              <w:widowControl w:val="0"/>
              <w:jc w:val="left"/>
            </w:pPr>
          </w:p>
        </w:tc>
      </w:tr>
      <w:tr w:rsidR="0077019B" w14:paraId="2AC1095B" w14:textId="77777777" w:rsidTr="00D16F08">
        <w:tc>
          <w:tcPr>
            <w:tcW w:w="3084" w:type="dxa"/>
            <w:shd w:val="clear" w:color="auto" w:fill="auto"/>
          </w:tcPr>
          <w:p w14:paraId="3DF7C6B3" w14:textId="400C57ED" w:rsidR="0077019B" w:rsidRDefault="0077019B" w:rsidP="00EC4E62">
            <w:pPr>
              <w:pStyle w:val="Normal1linespace"/>
              <w:widowControl w:val="0"/>
              <w:jc w:val="left"/>
            </w:pPr>
            <w:r>
              <w:t>Counsel for the Applicant:</w:t>
            </w:r>
          </w:p>
        </w:tc>
        <w:tc>
          <w:tcPr>
            <w:tcW w:w="5989" w:type="dxa"/>
            <w:shd w:val="clear" w:color="auto" w:fill="auto"/>
          </w:tcPr>
          <w:p w14:paraId="658E9A44" w14:textId="0F1357BF" w:rsidR="0077019B" w:rsidRDefault="0077019B" w:rsidP="00EC4E62">
            <w:pPr>
              <w:pStyle w:val="Normal1linespace"/>
              <w:widowControl w:val="0"/>
              <w:jc w:val="left"/>
            </w:pPr>
            <w:r>
              <w:t>The applicant appeared in person.</w:t>
            </w:r>
          </w:p>
        </w:tc>
      </w:tr>
      <w:tr w:rsidR="0077019B" w14:paraId="794486B0" w14:textId="77777777" w:rsidTr="00D16F08">
        <w:tc>
          <w:tcPr>
            <w:tcW w:w="3084" w:type="dxa"/>
            <w:shd w:val="clear" w:color="auto" w:fill="auto"/>
          </w:tcPr>
          <w:p w14:paraId="4FC954FD" w14:textId="77777777" w:rsidR="0077019B" w:rsidRDefault="0077019B" w:rsidP="00EC4E62">
            <w:pPr>
              <w:pStyle w:val="Normal1linespace"/>
              <w:widowControl w:val="0"/>
              <w:jc w:val="left"/>
            </w:pPr>
          </w:p>
        </w:tc>
        <w:tc>
          <w:tcPr>
            <w:tcW w:w="5989" w:type="dxa"/>
            <w:shd w:val="clear" w:color="auto" w:fill="auto"/>
          </w:tcPr>
          <w:p w14:paraId="79CE4546" w14:textId="77777777" w:rsidR="0077019B" w:rsidRDefault="0077019B" w:rsidP="00EC4E62">
            <w:pPr>
              <w:pStyle w:val="Normal1linespace"/>
              <w:widowControl w:val="0"/>
              <w:jc w:val="left"/>
            </w:pPr>
          </w:p>
        </w:tc>
      </w:tr>
    </w:tbl>
    <w:p w14:paraId="1C79D5D2" w14:textId="77777777" w:rsidR="00B17D6E" w:rsidRDefault="00B17D6E">
      <w:pPr>
        <w:pStyle w:val="Normal1linespace"/>
      </w:pPr>
      <w:bookmarkStart w:id="8" w:name="CompletionTable"/>
      <w:bookmarkEnd w:id="7"/>
    </w:p>
    <w:bookmarkEnd w:id="8"/>
    <w:p w14:paraId="090C9443" w14:textId="77777777" w:rsidR="007470BD" w:rsidRDefault="007470BD">
      <w:pPr>
        <w:pStyle w:val="Normal1linespace"/>
      </w:pPr>
    </w:p>
    <w:p w14:paraId="42A07FF1" w14:textId="77777777" w:rsidR="00E94CBF" w:rsidRDefault="00E94CBF">
      <w:pPr>
        <w:pStyle w:val="Normal1linespace"/>
      </w:pPr>
    </w:p>
    <w:p w14:paraId="225923D5" w14:textId="77777777"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50C06FB4"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0F87CD4D" w14:textId="77777777" w:rsidTr="00E81DA6">
        <w:tc>
          <w:tcPr>
            <w:tcW w:w="6912" w:type="dxa"/>
            <w:gridSpan w:val="2"/>
          </w:tcPr>
          <w:p w14:paraId="018A379E" w14:textId="77777777" w:rsidR="00A46CCC" w:rsidRPr="001765E0" w:rsidRDefault="00A46CCC" w:rsidP="00525A49">
            <w:pPr>
              <w:pStyle w:val="NormalHeadings"/>
            </w:pPr>
          </w:p>
        </w:tc>
        <w:tc>
          <w:tcPr>
            <w:tcW w:w="2330" w:type="dxa"/>
          </w:tcPr>
          <w:p w14:paraId="265B16D6" w14:textId="0DF82B6C" w:rsidR="00A46CCC" w:rsidRDefault="00324A70" w:rsidP="00F92355">
            <w:pPr>
              <w:pStyle w:val="NormalHeadings"/>
              <w:jc w:val="right"/>
            </w:pPr>
            <w:r>
              <w:t>NSD 1036 of 2023</w:t>
            </w:r>
          </w:p>
        </w:tc>
      </w:tr>
      <w:tr w:rsidR="00A76C13" w14:paraId="7153CE22" w14:textId="77777777" w:rsidTr="00F461A4">
        <w:tc>
          <w:tcPr>
            <w:tcW w:w="9242" w:type="dxa"/>
            <w:gridSpan w:val="3"/>
          </w:tcPr>
          <w:p w14:paraId="67DBAB9F" w14:textId="59E7B3CC" w:rsidR="00A76C13" w:rsidRPr="00A76C13" w:rsidRDefault="00EC4E62" w:rsidP="00EC4E62">
            <w:pPr>
              <w:pStyle w:val="NormalHeadings"/>
              <w:jc w:val="left"/>
            </w:pPr>
            <w:bookmarkStart w:id="9" w:name="InTheMatterOf"/>
            <w:r>
              <w:t xml:space="preserve"> </w:t>
            </w:r>
            <w:bookmarkEnd w:id="9"/>
          </w:p>
        </w:tc>
      </w:tr>
      <w:tr w:rsidR="00A46CCC" w14:paraId="2C0FC1D2" w14:textId="77777777" w:rsidTr="005041F0">
        <w:trPr>
          <w:trHeight w:val="386"/>
        </w:trPr>
        <w:tc>
          <w:tcPr>
            <w:tcW w:w="2376" w:type="dxa"/>
          </w:tcPr>
          <w:p w14:paraId="3717EEEE" w14:textId="77777777" w:rsidR="00A46CCC" w:rsidRDefault="00A46CCC" w:rsidP="005041F0">
            <w:pPr>
              <w:pStyle w:val="NormalHeadings"/>
              <w:jc w:val="left"/>
              <w:rPr>
                <w:caps/>
                <w:szCs w:val="24"/>
              </w:rPr>
            </w:pPr>
            <w:bookmarkStart w:id="10" w:name="Parties"/>
            <w:r>
              <w:rPr>
                <w:caps/>
                <w:szCs w:val="24"/>
              </w:rPr>
              <w:t>BETWEEN:</w:t>
            </w:r>
          </w:p>
        </w:tc>
        <w:tc>
          <w:tcPr>
            <w:tcW w:w="6866" w:type="dxa"/>
            <w:gridSpan w:val="2"/>
          </w:tcPr>
          <w:p w14:paraId="1FDEC7D1" w14:textId="3FAF95D7" w:rsidR="00A46CCC" w:rsidRDefault="00324A70" w:rsidP="00EC4E62">
            <w:pPr>
              <w:pStyle w:val="NormalHeadings"/>
              <w:jc w:val="left"/>
            </w:pPr>
            <w:bookmarkStart w:id="11" w:name="Applicant"/>
            <w:bookmarkEnd w:id="11"/>
            <w:r>
              <w:t>AZ</w:t>
            </w:r>
            <w:r w:rsidR="00E725C3">
              <w:t>O</w:t>
            </w:r>
            <w:r>
              <w:t>24</w:t>
            </w:r>
          </w:p>
          <w:p w14:paraId="1725760B" w14:textId="77777777" w:rsidR="00324A70" w:rsidRDefault="00324A70" w:rsidP="0078187C">
            <w:pPr>
              <w:pStyle w:val="PartyType"/>
              <w:rPr>
                <w:b/>
              </w:rPr>
            </w:pPr>
            <w:r>
              <w:t>Applicant</w:t>
            </w:r>
          </w:p>
          <w:p w14:paraId="2C35EE9D" w14:textId="6E3C8E01" w:rsidR="00324A70" w:rsidRPr="00324A70" w:rsidRDefault="00324A70" w:rsidP="00EC4E62">
            <w:pPr>
              <w:pStyle w:val="NormalHeadings"/>
              <w:jc w:val="left"/>
              <w:rPr>
                <w:b w:val="0"/>
                <w:bCs/>
              </w:rPr>
            </w:pPr>
          </w:p>
        </w:tc>
      </w:tr>
      <w:tr w:rsidR="00A46CCC" w14:paraId="0E376500" w14:textId="77777777" w:rsidTr="005041F0">
        <w:trPr>
          <w:trHeight w:val="386"/>
        </w:trPr>
        <w:tc>
          <w:tcPr>
            <w:tcW w:w="2376" w:type="dxa"/>
          </w:tcPr>
          <w:p w14:paraId="738B6562" w14:textId="77777777" w:rsidR="00A46CCC" w:rsidRDefault="00A46CCC" w:rsidP="005041F0">
            <w:pPr>
              <w:pStyle w:val="NormalHeadings"/>
              <w:jc w:val="left"/>
              <w:rPr>
                <w:caps/>
                <w:szCs w:val="24"/>
              </w:rPr>
            </w:pPr>
            <w:r>
              <w:rPr>
                <w:caps/>
                <w:szCs w:val="24"/>
              </w:rPr>
              <w:t>AND:</w:t>
            </w:r>
          </w:p>
        </w:tc>
        <w:tc>
          <w:tcPr>
            <w:tcW w:w="6866" w:type="dxa"/>
            <w:gridSpan w:val="2"/>
          </w:tcPr>
          <w:p w14:paraId="4F41DD17" w14:textId="23DB02CB" w:rsidR="00A46CCC" w:rsidRDefault="00340A4F" w:rsidP="00EC4E62">
            <w:pPr>
              <w:pStyle w:val="NormalHeadings"/>
              <w:jc w:val="left"/>
            </w:pPr>
            <w:bookmarkStart w:id="12" w:name="Respondent"/>
            <w:bookmarkEnd w:id="12"/>
            <w:r>
              <w:t>COMMONWEALTH OF AUSTRALIA</w:t>
            </w:r>
          </w:p>
          <w:p w14:paraId="73EDB6CF" w14:textId="77777777" w:rsidR="00340A4F" w:rsidRPr="0078187C" w:rsidRDefault="00340A4F" w:rsidP="0078187C">
            <w:pPr>
              <w:pStyle w:val="PartyType"/>
            </w:pPr>
            <w:r w:rsidRPr="0078187C">
              <w:t>First Respondent</w:t>
            </w:r>
          </w:p>
          <w:p w14:paraId="51F3D6ED" w14:textId="77777777" w:rsidR="00340A4F" w:rsidRDefault="00340A4F" w:rsidP="00EC4E62">
            <w:pPr>
              <w:pStyle w:val="NormalHeadings"/>
              <w:jc w:val="left"/>
              <w:rPr>
                <w:b w:val="0"/>
                <w:bCs/>
              </w:rPr>
            </w:pPr>
          </w:p>
          <w:p w14:paraId="3CC70EFE" w14:textId="77777777" w:rsidR="00340A4F" w:rsidRDefault="00340A4F" w:rsidP="00EC4E62">
            <w:pPr>
              <w:pStyle w:val="NormalHeadings"/>
              <w:jc w:val="left"/>
            </w:pPr>
            <w:r>
              <w:t>STATE OF NEW SOUTH WALES</w:t>
            </w:r>
          </w:p>
          <w:p w14:paraId="45BD6779" w14:textId="42F28935" w:rsidR="00340A4F" w:rsidRPr="00340A4F" w:rsidRDefault="00340A4F" w:rsidP="0078187C">
            <w:pPr>
              <w:pStyle w:val="PartyType"/>
              <w:rPr>
                <w:b/>
                <w:bCs/>
              </w:rPr>
            </w:pPr>
            <w:r w:rsidRPr="0078187C">
              <w:t>Second Respondent</w:t>
            </w:r>
          </w:p>
        </w:tc>
      </w:tr>
    </w:tbl>
    <w:p w14:paraId="7E2A74E2" w14:textId="77777777" w:rsidR="00395B24" w:rsidRDefault="00395B24">
      <w:pPr>
        <w:pStyle w:val="NormalHeadings"/>
      </w:pPr>
      <w:bookmarkStart w:id="13" w:name="CrossClaimPosition"/>
      <w:bookmarkEnd w:id="10"/>
      <w:bookmarkEnd w:id="13"/>
    </w:p>
    <w:tbl>
      <w:tblPr>
        <w:tblW w:w="0" w:type="auto"/>
        <w:tblLayout w:type="fixed"/>
        <w:tblLook w:val="0000" w:firstRow="0" w:lastRow="0" w:firstColumn="0" w:lastColumn="0" w:noHBand="0" w:noVBand="0"/>
        <w:tblCaption w:val="Judge"/>
        <w:tblDescription w:val="Judge"/>
      </w:tblPr>
      <w:tblGrid>
        <w:gridCol w:w="2376"/>
        <w:gridCol w:w="6866"/>
      </w:tblGrid>
      <w:tr w:rsidR="00395B24" w14:paraId="4659FE42" w14:textId="77777777">
        <w:tc>
          <w:tcPr>
            <w:tcW w:w="2376" w:type="dxa"/>
          </w:tcPr>
          <w:p w14:paraId="3DD2F1AC" w14:textId="77777777" w:rsidR="00395B24" w:rsidRDefault="00974709">
            <w:pPr>
              <w:pStyle w:val="NormalHeadings"/>
              <w:spacing w:after="120"/>
              <w:jc w:val="left"/>
              <w:rPr>
                <w:caps/>
                <w:szCs w:val="24"/>
              </w:rPr>
            </w:pPr>
            <w:bookmarkStart w:id="14" w:name="JudgeText"/>
            <w:r>
              <w:rPr>
                <w:caps/>
                <w:szCs w:val="24"/>
              </w:rPr>
              <w:t>order made by</w:t>
            </w:r>
            <w:bookmarkEnd w:id="14"/>
            <w:r w:rsidR="002C7385">
              <w:rPr>
                <w:caps/>
                <w:szCs w:val="24"/>
              </w:rPr>
              <w:t>:</w:t>
            </w:r>
          </w:p>
        </w:tc>
        <w:tc>
          <w:tcPr>
            <w:tcW w:w="6866" w:type="dxa"/>
          </w:tcPr>
          <w:p w14:paraId="608E18CB" w14:textId="4D1B61D6" w:rsidR="00395B24" w:rsidRDefault="00340A4F">
            <w:pPr>
              <w:pStyle w:val="NormalHeadings"/>
              <w:jc w:val="left"/>
              <w:rPr>
                <w:caps/>
                <w:szCs w:val="24"/>
              </w:rPr>
            </w:pPr>
            <w:r>
              <w:rPr>
                <w:caps/>
                <w:szCs w:val="24"/>
              </w:rPr>
              <w:t>KENNETT J</w:t>
            </w:r>
          </w:p>
        </w:tc>
      </w:tr>
      <w:tr w:rsidR="00395B24" w14:paraId="2C5D315B" w14:textId="77777777">
        <w:tc>
          <w:tcPr>
            <w:tcW w:w="2376" w:type="dxa"/>
          </w:tcPr>
          <w:p w14:paraId="057C1401" w14:textId="77777777" w:rsidR="00395B24" w:rsidRDefault="002C7385">
            <w:pPr>
              <w:pStyle w:val="NormalHeadings"/>
              <w:spacing w:after="120"/>
              <w:jc w:val="left"/>
              <w:rPr>
                <w:caps/>
                <w:szCs w:val="24"/>
              </w:rPr>
            </w:pPr>
            <w:r>
              <w:rPr>
                <w:caps/>
                <w:szCs w:val="24"/>
              </w:rPr>
              <w:t>DATE OF ORDER:</w:t>
            </w:r>
          </w:p>
        </w:tc>
        <w:tc>
          <w:tcPr>
            <w:tcW w:w="6866" w:type="dxa"/>
          </w:tcPr>
          <w:p w14:paraId="04181EAB" w14:textId="5C991F46" w:rsidR="00395B24" w:rsidRDefault="00966ECA">
            <w:pPr>
              <w:pStyle w:val="NormalHeadings"/>
              <w:jc w:val="left"/>
              <w:rPr>
                <w:caps/>
                <w:szCs w:val="24"/>
              </w:rPr>
            </w:pPr>
            <w:bookmarkStart w:id="15" w:name="Judgment_Dated"/>
            <w:bookmarkEnd w:id="15"/>
            <w:r>
              <w:rPr>
                <w:caps/>
                <w:szCs w:val="24"/>
              </w:rPr>
              <w:t>12</w:t>
            </w:r>
            <w:r w:rsidR="00340A4F">
              <w:rPr>
                <w:caps/>
                <w:szCs w:val="24"/>
              </w:rPr>
              <w:t xml:space="preserve"> MARCh 2024</w:t>
            </w:r>
          </w:p>
        </w:tc>
      </w:tr>
    </w:tbl>
    <w:p w14:paraId="0E3B427C" w14:textId="77777777" w:rsidR="00395B24" w:rsidRDefault="00395B24">
      <w:pPr>
        <w:pStyle w:val="NormalHeadings"/>
        <w:rPr>
          <w:b w:val="0"/>
        </w:rPr>
      </w:pPr>
    </w:p>
    <w:p w14:paraId="12723B08" w14:textId="77777777" w:rsidR="008D1617" w:rsidRDefault="008D1617">
      <w:pPr>
        <w:pStyle w:val="NormalHeadings"/>
        <w:rPr>
          <w:b w:val="0"/>
        </w:rPr>
      </w:pPr>
    </w:p>
    <w:p w14:paraId="434F6D49" w14:textId="77777777" w:rsidR="00395B24" w:rsidRDefault="002C7385">
      <w:pPr>
        <w:pStyle w:val="NormalHeadings"/>
      </w:pPr>
      <w:r>
        <w:t>THE COURT ORDERS THAT:</w:t>
      </w:r>
    </w:p>
    <w:p w14:paraId="59205904" w14:textId="77777777" w:rsidR="007F60DF" w:rsidRDefault="007F60DF" w:rsidP="00243E5E">
      <w:pPr>
        <w:pStyle w:val="NormalHeadings"/>
      </w:pPr>
    </w:p>
    <w:p w14:paraId="4903E3F1" w14:textId="61BE2A70" w:rsidR="001A6C52" w:rsidRDefault="003E7FA8" w:rsidP="001A6C52">
      <w:pPr>
        <w:pStyle w:val="Order1"/>
      </w:pPr>
      <w:r>
        <w:t>The application for disqualification is refused.</w:t>
      </w:r>
    </w:p>
    <w:p w14:paraId="354C6733" w14:textId="77777777" w:rsidR="001A6C52" w:rsidRDefault="001A6C52" w:rsidP="001A6C52">
      <w:pPr>
        <w:pStyle w:val="BodyText"/>
      </w:pPr>
    </w:p>
    <w:p w14:paraId="4F1FD06A" w14:textId="77777777" w:rsidR="00A431E6" w:rsidRDefault="00A431E6" w:rsidP="001A6C52">
      <w:pPr>
        <w:pStyle w:val="BodyText"/>
      </w:pPr>
    </w:p>
    <w:p w14:paraId="128B57E4" w14:textId="46DBA1C1" w:rsidR="0050309C" w:rsidRDefault="00EC4E62" w:rsidP="004D53E5">
      <w:pPr>
        <w:pStyle w:val="SingleSpace"/>
      </w:pPr>
      <w:bookmarkStart w:id="16" w:name="OrdersStatement"/>
      <w:r>
        <w:t>Note:</w:t>
      </w:r>
      <w:r>
        <w:tab/>
        <w:t xml:space="preserve">Entry of orders is dealt with in Rule 39.32 of the </w:t>
      </w:r>
      <w:r>
        <w:rPr>
          <w:i/>
        </w:rPr>
        <w:t>Federal Court Rules 2011</w:t>
      </w:r>
      <w:r>
        <w:t>.</w:t>
      </w:r>
      <w:bookmarkEnd w:id="16"/>
    </w:p>
    <w:p w14:paraId="06B77017" w14:textId="77777777" w:rsidR="00E23577" w:rsidRDefault="00E23577" w:rsidP="002B0E91">
      <w:pPr>
        <w:pStyle w:val="BodyText"/>
      </w:pPr>
    </w:p>
    <w:p w14:paraId="4653E6EA" w14:textId="77777777"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1BCE8091" w14:textId="77777777" w:rsidR="00484F6D" w:rsidRPr="00045BB7" w:rsidRDefault="00484F6D" w:rsidP="00045BB7">
      <w:pPr>
        <w:pStyle w:val="NormalHeadings"/>
        <w:spacing w:line="480" w:lineRule="auto"/>
        <w:jc w:val="center"/>
        <w:rPr>
          <w:sz w:val="28"/>
          <w:szCs w:val="28"/>
        </w:rPr>
      </w:pPr>
      <w:bookmarkStart w:id="17" w:name="ReasonsPage"/>
      <w:bookmarkEnd w:id="17"/>
      <w:r w:rsidRPr="00045BB7">
        <w:rPr>
          <w:sz w:val="28"/>
          <w:szCs w:val="28"/>
        </w:rPr>
        <w:lastRenderedPageBreak/>
        <w:t>REASONS FOR JUDGMENT</w:t>
      </w:r>
    </w:p>
    <w:p w14:paraId="5C27012F" w14:textId="7F1325C4" w:rsidR="00694BEB" w:rsidRDefault="00824582" w:rsidP="005E0510">
      <w:pPr>
        <w:pStyle w:val="NormalHeadings"/>
        <w:spacing w:line="360" w:lineRule="auto"/>
        <w:jc w:val="left"/>
        <w:rPr>
          <w:sz w:val="26"/>
          <w:szCs w:val="26"/>
        </w:rPr>
      </w:pPr>
      <w:r>
        <w:rPr>
          <w:sz w:val="26"/>
          <w:szCs w:val="26"/>
        </w:rPr>
        <w:t xml:space="preserve">KENNETT J: </w:t>
      </w:r>
    </w:p>
    <w:p w14:paraId="5F653EFD" w14:textId="75CCD5E6" w:rsidR="00CD1346" w:rsidRDefault="00EC4E62" w:rsidP="00CD1346">
      <w:pPr>
        <w:pStyle w:val="ParaNumbering"/>
      </w:pPr>
      <w:r>
        <w:t xml:space="preserve">The applicant seeks declarations that the respondents have acted illegally and in breach of her rights under various international instruments. She also seeks a range of other relief. These claims arise from what the applicant claims is a concerted program of </w:t>
      </w:r>
      <w:r w:rsidR="001A487A">
        <w:t>surveillance and harassment of her, by the respondents and various corporate parties, since around 2017.</w:t>
      </w:r>
      <w:r w:rsidR="002B22FC">
        <w:t xml:space="preserve"> For present purposes it is not necessary to go into the details of the allegations or </w:t>
      </w:r>
      <w:r w:rsidR="00F2308D">
        <w:t xml:space="preserve">express any opinion about the prospects of their being </w:t>
      </w:r>
      <w:r w:rsidR="00A15FA1">
        <w:t>made out</w:t>
      </w:r>
      <w:r w:rsidR="00F2308D">
        <w:t>.</w:t>
      </w:r>
    </w:p>
    <w:p w14:paraId="52D67680" w14:textId="09114407" w:rsidR="001A487A" w:rsidRDefault="001A487A" w:rsidP="00CD1346">
      <w:pPr>
        <w:pStyle w:val="ParaNumbering"/>
      </w:pPr>
      <w:r>
        <w:t xml:space="preserve">The respondents have not yet been served with the </w:t>
      </w:r>
      <w:r w:rsidR="00F31EF2">
        <w:t>O</w:t>
      </w:r>
      <w:r>
        <w:t xml:space="preserve">riginating </w:t>
      </w:r>
      <w:r w:rsidR="00F31EF2">
        <w:t>A</w:t>
      </w:r>
      <w:r>
        <w:t xml:space="preserve">pplication or the </w:t>
      </w:r>
      <w:r w:rsidR="00F31EF2">
        <w:t>S</w:t>
      </w:r>
      <w:r>
        <w:t xml:space="preserve">tatement of </w:t>
      </w:r>
      <w:r w:rsidR="00F31EF2">
        <w:t>C</w:t>
      </w:r>
      <w:r>
        <w:t>laim and have not filed notices of appearance. On 20 October 2023 the applicant was directed by a Registrar to serve these documents on the respondents at least five days before a case management hearing which was listed on 9 November 2023. That listing was subsequently vacated at the applicant’s request. The applicant has expressed reluctance to serve her originating documents on the respondents without first redacting her name and address from those documents.</w:t>
      </w:r>
    </w:p>
    <w:p w14:paraId="5FE3AADE" w14:textId="2F8869DA" w:rsidR="001A487A" w:rsidRDefault="001A487A" w:rsidP="00CD1346">
      <w:pPr>
        <w:pStyle w:val="ParaNumbering"/>
      </w:pPr>
      <w:r>
        <w:t xml:space="preserve">The applicant has also raised </w:t>
      </w:r>
      <w:proofErr w:type="gramStart"/>
      <w:r>
        <w:t>a number of</w:t>
      </w:r>
      <w:proofErr w:type="gramEnd"/>
      <w:r>
        <w:t xml:space="preserve"> </w:t>
      </w:r>
      <w:r w:rsidR="001C5FA3">
        <w:t>issues</w:t>
      </w:r>
      <w:r>
        <w:t xml:space="preserve"> in email correspondence with the Registry</w:t>
      </w:r>
      <w:r w:rsidR="001C5FA3">
        <w:t xml:space="preserve">. I formed the view that the best course was to list the matter for case management, even though the respondents are not on the record, </w:t>
      </w:r>
      <w:proofErr w:type="gramStart"/>
      <w:r w:rsidR="001C5FA3">
        <w:t>in order to</w:t>
      </w:r>
      <w:proofErr w:type="gramEnd"/>
      <w:r w:rsidR="001C5FA3">
        <w:t xml:space="preserve"> discuss whether and how the proceeding might move forward. The </w:t>
      </w:r>
      <w:r w:rsidR="00B469B6">
        <w:t>proceeding</w:t>
      </w:r>
      <w:r w:rsidR="001C5FA3">
        <w:t xml:space="preserve"> </w:t>
      </w:r>
      <w:r w:rsidR="00B469B6">
        <w:t>thus came before me</w:t>
      </w:r>
      <w:r w:rsidR="001C5FA3">
        <w:t xml:space="preserve"> for case management on 7 March 2024.</w:t>
      </w:r>
    </w:p>
    <w:p w14:paraId="64DCEA17" w14:textId="7D5A9E65" w:rsidR="001C5FA3" w:rsidRDefault="001C5FA3" w:rsidP="00CD1346">
      <w:pPr>
        <w:pStyle w:val="ParaNumbering"/>
      </w:pPr>
      <w:r>
        <w:t xml:space="preserve">One of the matters raised by the applicant was </w:t>
      </w:r>
      <w:r w:rsidR="0051650A">
        <w:t>an application for me to</w:t>
      </w:r>
      <w:r>
        <w:t xml:space="preserve"> disqualify myself from hearing the proceeding. This was pressed orally at the case management hearing.</w:t>
      </w:r>
    </w:p>
    <w:p w14:paraId="20585D3D" w14:textId="7AFDB2A2" w:rsidR="001C5FA3" w:rsidRDefault="001C5FA3" w:rsidP="00CD1346">
      <w:pPr>
        <w:pStyle w:val="ParaNumbering"/>
      </w:pPr>
      <w:r>
        <w:t>I refused the application. These are my reasons for doing so.</w:t>
      </w:r>
    </w:p>
    <w:p w14:paraId="2CE0CAB3" w14:textId="7BF1F00A" w:rsidR="001C5FA3" w:rsidRDefault="001C5FA3" w:rsidP="00CD1346">
      <w:pPr>
        <w:pStyle w:val="ParaNumbering"/>
      </w:pPr>
      <w:r>
        <w:t xml:space="preserve">The application was advanced on the basis that I was appointed to the Court by the Governor-General acting on the advice of the current federal government, and </w:t>
      </w:r>
      <w:proofErr w:type="gramStart"/>
      <w:r>
        <w:t>in particular on</w:t>
      </w:r>
      <w:proofErr w:type="gramEnd"/>
      <w:r>
        <w:t xml:space="preserve"> the advice of the current Attorney-General. </w:t>
      </w:r>
      <w:r w:rsidR="005D1097">
        <w:t xml:space="preserve">This, </w:t>
      </w:r>
      <w:r w:rsidR="00A15FA1">
        <w:t xml:space="preserve">the applicant </w:t>
      </w:r>
      <w:r w:rsidR="005D1097">
        <w:t xml:space="preserve">said, gave rise to an apprehension of bias. </w:t>
      </w:r>
      <w:r>
        <w:t xml:space="preserve">The same objection would apply to any other judge appointed </w:t>
      </w:r>
      <w:r w:rsidR="005D1097">
        <w:t xml:space="preserve">to the Court </w:t>
      </w:r>
      <w:r>
        <w:t xml:space="preserve">since the current government took office. The same objection would also apply to </w:t>
      </w:r>
      <w:r w:rsidR="005D1097">
        <w:t>any judge appointed since 2017</w:t>
      </w:r>
      <w:r w:rsidR="00481829">
        <w:t xml:space="preserve">, given </w:t>
      </w:r>
      <w:r w:rsidR="00BE06FF">
        <w:t>the</w:t>
      </w:r>
      <w:r w:rsidR="00B359E4">
        <w:t xml:space="preserve"> </w:t>
      </w:r>
      <w:r w:rsidR="00F63341">
        <w:t>pleaded duration of the alleged conduct</w:t>
      </w:r>
      <w:r w:rsidR="005D1097">
        <w:t>.</w:t>
      </w:r>
    </w:p>
    <w:p w14:paraId="5A2A56D5" w14:textId="6ACA2682" w:rsidR="008B7237" w:rsidRDefault="008B7237" w:rsidP="00CD1346">
      <w:pPr>
        <w:pStyle w:val="ParaNumbering"/>
      </w:pPr>
      <w:r>
        <w:t xml:space="preserve">The apprehension of bias is said to arise, not because </w:t>
      </w:r>
      <w:r w:rsidR="00B01561">
        <w:t>the Commonwealth is a party to the proceeding, but because the app</w:t>
      </w:r>
      <w:r w:rsidR="003E2334">
        <w:t xml:space="preserve">licant makes allegations that </w:t>
      </w:r>
      <w:r w:rsidR="00811AAA">
        <w:t xml:space="preserve">each of the Prime Ministers and </w:t>
      </w:r>
      <w:r w:rsidR="00811AAA">
        <w:lastRenderedPageBreak/>
        <w:t>Attorneys</w:t>
      </w:r>
      <w:r w:rsidR="00427BA0">
        <w:t>-</w:t>
      </w:r>
      <w:r w:rsidR="00811AAA">
        <w:t xml:space="preserve">General who have held office since 2017 has been </w:t>
      </w:r>
      <w:r w:rsidR="000457F8">
        <w:t xml:space="preserve">personally involved in decisions </w:t>
      </w:r>
      <w:r w:rsidR="003D7C63">
        <w:t xml:space="preserve">to take unlawful actions against </w:t>
      </w:r>
      <w:r w:rsidR="004143F2">
        <w:t>her</w:t>
      </w:r>
      <w:r w:rsidR="003D7C63">
        <w:t xml:space="preserve"> and </w:t>
      </w:r>
      <w:r w:rsidR="000A24A7">
        <w:t>has done so for improper purposes.</w:t>
      </w:r>
      <w:r w:rsidR="00BD1B88">
        <w:t xml:space="preserve"> Again, it is not necessary to go into the details</w:t>
      </w:r>
      <w:r w:rsidR="00957756">
        <w:t xml:space="preserve">. To understand the applicant’s point, it is sufficient to note that </w:t>
      </w:r>
      <w:r w:rsidR="00DD20B0">
        <w:t xml:space="preserve">the judge who hears the case (if it goes to a final hearing) </w:t>
      </w:r>
      <w:r w:rsidR="0096620B">
        <w:t xml:space="preserve">may have to decide whether to make </w:t>
      </w:r>
      <w:r w:rsidR="00475985">
        <w:t xml:space="preserve">findings of serious misconduct against </w:t>
      </w:r>
      <w:r w:rsidR="00E63E53">
        <w:t xml:space="preserve">persons who hold and have held office as Prime Minister and </w:t>
      </w:r>
      <w:r w:rsidR="00EA3377">
        <w:t xml:space="preserve">as Attorney-General. Her argument is that it is unsatisfactory for </w:t>
      </w:r>
      <w:r w:rsidR="00567DFF">
        <w:t xml:space="preserve">those matters to be decided by a judge who </w:t>
      </w:r>
      <w:r w:rsidR="00E62E2E">
        <w:t xml:space="preserve">was appointed </w:t>
      </w:r>
      <w:r w:rsidR="0002515D">
        <w:t>on the advice of</w:t>
      </w:r>
      <w:r w:rsidR="00E62E2E">
        <w:t xml:space="preserve"> any of those persons.</w:t>
      </w:r>
    </w:p>
    <w:p w14:paraId="7943C80E" w14:textId="0B185B1C" w:rsidR="00914B20" w:rsidRPr="00914B20" w:rsidRDefault="00C27CD2" w:rsidP="00914B20">
      <w:pPr>
        <w:pStyle w:val="ParaNumbering"/>
        <w:rPr>
          <w:rFonts w:ascii="Source Sans Pro" w:eastAsia="Times New Roman" w:hAnsi="Source Sans Pro"/>
          <w:color w:val="333333"/>
          <w:sz w:val="29"/>
          <w:szCs w:val="29"/>
          <w:lang w:eastAsia="en-AU"/>
        </w:rPr>
      </w:pPr>
      <w:r>
        <w:t xml:space="preserve">The test for an </w:t>
      </w:r>
      <w:r w:rsidR="005631D2">
        <w:t>apprehension</w:t>
      </w:r>
      <w:r>
        <w:t xml:space="preserve"> of bias requiring disqualification of a judicial officer is well established.</w:t>
      </w:r>
      <w:r w:rsidR="00914B20">
        <w:t xml:space="preserve"> In </w:t>
      </w:r>
      <w:r w:rsidR="00914B20" w:rsidRPr="00926930">
        <w:rPr>
          <w:i/>
          <w:iCs/>
        </w:rPr>
        <w:t xml:space="preserve">AZC20 v </w:t>
      </w:r>
      <w:r w:rsidR="00D31517" w:rsidRPr="00926930">
        <w:rPr>
          <w:i/>
          <w:iCs/>
        </w:rPr>
        <w:t>Secretary, Department of Home Affairs</w:t>
      </w:r>
      <w:r w:rsidR="00D31517" w:rsidRPr="00926930">
        <w:t xml:space="preserve"> [2023] FCA 1252</w:t>
      </w:r>
      <w:r w:rsidR="00D31517">
        <w:t xml:space="preserve"> at [10]-[11] I encapsulated it as follows.</w:t>
      </w:r>
    </w:p>
    <w:p w14:paraId="2AF168E7" w14:textId="02EDBF35" w:rsidR="007E14DF" w:rsidRPr="00BE06FF" w:rsidRDefault="007E14DF" w:rsidP="00D31517">
      <w:pPr>
        <w:pStyle w:val="Quote1"/>
        <w:rPr>
          <w:lang w:eastAsia="en-AU"/>
        </w:rPr>
      </w:pPr>
      <w:r w:rsidRPr="00BE06FF">
        <w:rPr>
          <w:lang w:eastAsia="en-AU"/>
        </w:rPr>
        <w:t>A reasonable apprehension of bias requires that there be a possibility, real and not remote, that a fair-minded and appropriately informed lay observer might reasonably apprehend that the decision-maker might not bring a fair, impartial and independent mind to the determination of the matter on its merits. Recently in </w:t>
      </w:r>
      <w:r w:rsidRPr="00926930">
        <w:rPr>
          <w:i/>
          <w:iCs/>
          <w:lang w:eastAsia="en-AU"/>
        </w:rPr>
        <w:t>QYFM</w:t>
      </w:r>
      <w:r w:rsidRPr="00926930">
        <w:rPr>
          <w:b/>
          <w:bCs/>
          <w:i/>
          <w:iCs/>
          <w:lang w:eastAsia="en-AU"/>
        </w:rPr>
        <w:t> </w:t>
      </w:r>
      <w:r w:rsidRPr="00926930">
        <w:rPr>
          <w:i/>
          <w:iCs/>
          <w:lang w:eastAsia="en-AU"/>
        </w:rPr>
        <w:t>v Minister for Immigration, Citizenship, Migrant Services and Multicultural Affairs &amp; Anor </w:t>
      </w:r>
      <w:r w:rsidR="00DA5848" w:rsidRPr="00926930">
        <w:rPr>
          <w:lang w:eastAsia="en-AU"/>
        </w:rPr>
        <w:t>[2023] HCA 15</w:t>
      </w:r>
      <w:r w:rsidRPr="00926930">
        <w:rPr>
          <w:lang w:eastAsia="en-AU"/>
        </w:rPr>
        <w:t>; </w:t>
      </w:r>
      <w:r w:rsidR="00DA5848" w:rsidRPr="00926930">
        <w:rPr>
          <w:lang w:eastAsia="en-AU"/>
        </w:rPr>
        <w:t>97 ALJR 419</w:t>
      </w:r>
      <w:r w:rsidRPr="00BE06FF">
        <w:rPr>
          <w:lang w:eastAsia="en-AU"/>
        </w:rPr>
        <w:t> at </w:t>
      </w:r>
      <w:r w:rsidR="00DA5848" w:rsidRPr="00C5069E">
        <w:rPr>
          <w:lang w:eastAsia="en-AU"/>
        </w:rPr>
        <w:t>[38]</w:t>
      </w:r>
      <w:r w:rsidR="002A6819">
        <w:rPr>
          <w:lang w:eastAsia="en-AU"/>
        </w:rPr>
        <w:t xml:space="preserve"> [</w:t>
      </w:r>
      <w:r w:rsidR="002A6819">
        <w:rPr>
          <w:b/>
          <w:bCs/>
          <w:i/>
          <w:iCs/>
          <w:lang w:eastAsia="en-AU"/>
        </w:rPr>
        <w:t>QYFM</w:t>
      </w:r>
      <w:r w:rsidR="002A6819">
        <w:rPr>
          <w:lang w:eastAsia="en-AU"/>
        </w:rPr>
        <w:t>]</w:t>
      </w:r>
      <w:r w:rsidRPr="00BE06FF">
        <w:rPr>
          <w:lang w:eastAsia="en-AU"/>
        </w:rPr>
        <w:t xml:space="preserve">, Kiefel CJ and </w:t>
      </w:r>
      <w:proofErr w:type="spellStart"/>
      <w:r w:rsidRPr="00BE06FF">
        <w:rPr>
          <w:lang w:eastAsia="en-AU"/>
        </w:rPr>
        <w:t>Gageler</w:t>
      </w:r>
      <w:proofErr w:type="spellEnd"/>
      <w:r w:rsidRPr="00BE06FF">
        <w:rPr>
          <w:lang w:eastAsia="en-AU"/>
        </w:rPr>
        <w:t xml:space="preserve"> J identified the inquiry as involving the following steps:</w:t>
      </w:r>
    </w:p>
    <w:p w14:paraId="0A521F3E" w14:textId="7C3AB81C" w:rsidR="007E14DF" w:rsidRPr="00BE06FF" w:rsidRDefault="007E14DF" w:rsidP="00D31517">
      <w:pPr>
        <w:pStyle w:val="Quote2"/>
        <w:rPr>
          <w:lang w:eastAsia="en-AU"/>
        </w:rPr>
      </w:pPr>
      <w:r w:rsidRPr="00BE06FF">
        <w:rPr>
          <w:lang w:eastAsia="en-AU"/>
        </w:rPr>
        <w:t>Application of the criterion was identified in </w:t>
      </w:r>
      <w:r w:rsidRPr="00BE06FF">
        <w:rPr>
          <w:i/>
          <w:iCs/>
          <w:lang w:eastAsia="en-AU"/>
        </w:rPr>
        <w:t>Ebner</w:t>
      </w:r>
      <w:r w:rsidRPr="00BE06FF">
        <w:rPr>
          <w:lang w:eastAsia="en-AU"/>
        </w:rPr>
        <w:t>, and has been reiterated, logically to entail: (1) identification of the factor which it is said might lead a judge to resolve the question other than on its legal and factual merits; (2) articulation of the logical connection between that factor and the apprehended deviation from deciding that question on its merits; and (3) assessment of the reasonableness of that apprehension from the perspective of a fair-minded lay observer.</w:t>
      </w:r>
    </w:p>
    <w:p w14:paraId="0B853F48" w14:textId="140E1D18" w:rsidR="007E14DF" w:rsidRPr="007E14DF" w:rsidRDefault="007E14DF" w:rsidP="00D31517">
      <w:pPr>
        <w:pStyle w:val="Quote1"/>
        <w:rPr>
          <w:lang w:eastAsia="en-AU"/>
        </w:rPr>
      </w:pPr>
      <w:r w:rsidRPr="00BE06FF">
        <w:rPr>
          <w:lang w:eastAsia="en-AU"/>
        </w:rPr>
        <w:t>It is important to note that “It is an open, and not an empty, mind that must be kept”: </w:t>
      </w:r>
      <w:r w:rsidRPr="00926930">
        <w:rPr>
          <w:i/>
          <w:iCs/>
          <w:lang w:eastAsia="en-AU"/>
        </w:rPr>
        <w:t>SZQYM v Minister for Immigration, Citizenship, Migrant Services and Multicultural Affairs</w:t>
      </w:r>
      <w:r w:rsidRPr="00926930">
        <w:rPr>
          <w:lang w:eastAsia="en-AU"/>
        </w:rPr>
        <w:t> </w:t>
      </w:r>
      <w:r w:rsidR="00DA5848" w:rsidRPr="00926930">
        <w:rPr>
          <w:lang w:eastAsia="en-AU"/>
        </w:rPr>
        <w:t>[2020] FCA 779</w:t>
      </w:r>
      <w:r w:rsidRPr="00926930">
        <w:rPr>
          <w:lang w:eastAsia="en-AU"/>
        </w:rPr>
        <w:t>; </w:t>
      </w:r>
      <w:r w:rsidR="00DA5848" w:rsidRPr="00926930">
        <w:rPr>
          <w:lang w:eastAsia="en-AU"/>
        </w:rPr>
        <w:t>169 ALD 579</w:t>
      </w:r>
      <w:r w:rsidRPr="00BE06FF">
        <w:rPr>
          <w:lang w:eastAsia="en-AU"/>
        </w:rPr>
        <w:t> at </w:t>
      </w:r>
      <w:r w:rsidR="00DA5848" w:rsidRPr="00C5069E">
        <w:rPr>
          <w:lang w:eastAsia="en-AU"/>
        </w:rPr>
        <w:t>[102]</w:t>
      </w:r>
      <w:r w:rsidRPr="00BE06FF">
        <w:rPr>
          <w:lang w:eastAsia="en-AU"/>
        </w:rPr>
        <w:t xml:space="preserve"> (Allsop CJ). Thus, preliminary views—even fairly strong ones—about the merits of an issue do not </w:t>
      </w:r>
      <w:proofErr w:type="gramStart"/>
      <w:r w:rsidRPr="00BE06FF">
        <w:rPr>
          <w:lang w:eastAsia="en-AU"/>
        </w:rPr>
        <w:t>found</w:t>
      </w:r>
      <w:proofErr w:type="gramEnd"/>
      <w:r w:rsidRPr="00BE06FF">
        <w:rPr>
          <w:lang w:eastAsia="en-AU"/>
        </w:rPr>
        <w:t xml:space="preserve"> a reasonable apprehension of bias. To put it another way, an apprehension that the decision maker is likely to come to a certain conclusion is not an apprehension of bias in the relevant sense. What must be shown is a reasonable apprehension that the decision maker might not resolve the question on its merits.</w:t>
      </w:r>
    </w:p>
    <w:p w14:paraId="666DE85E" w14:textId="42C956A9" w:rsidR="009C7065" w:rsidRDefault="009C7065" w:rsidP="00CD1346">
      <w:pPr>
        <w:pStyle w:val="ParaNumbering"/>
      </w:pPr>
      <w:r>
        <w:t>Partly because the hypothetical observer is “fair minded”, and partly for institutional reasons,</w:t>
      </w:r>
      <w:r w:rsidR="009332D8">
        <w:t xml:space="preserve"> </w:t>
      </w:r>
      <w:r w:rsidR="008B2CE0">
        <w:t xml:space="preserve">the outcome of </w:t>
      </w:r>
      <w:r w:rsidR="009332D8">
        <w:t xml:space="preserve">the analysis </w:t>
      </w:r>
      <w:r w:rsidR="008B2CE0">
        <w:t xml:space="preserve">should not be </w:t>
      </w:r>
      <w:r w:rsidR="00DB53FE">
        <w:t>determined</w:t>
      </w:r>
      <w:r w:rsidR="008B2CE0">
        <w:t xml:space="preserve"> by faint or theoretical possibilities.</w:t>
      </w:r>
      <w:r w:rsidR="00592B5F">
        <w:t xml:space="preserve"> It has been said that a judge should </w:t>
      </w:r>
      <w:r w:rsidR="00E30A9E">
        <w:t xml:space="preserve">generally discharge their duty to sit and </w:t>
      </w:r>
      <w:r w:rsidR="00592B5F">
        <w:t xml:space="preserve">not </w:t>
      </w:r>
      <w:r w:rsidR="00EE5C6D">
        <w:t xml:space="preserve">yield </w:t>
      </w:r>
      <w:r w:rsidR="006E363F">
        <w:t xml:space="preserve">too readily to </w:t>
      </w:r>
      <w:r w:rsidR="00553EED">
        <w:t>sugge</w:t>
      </w:r>
      <w:r w:rsidR="00553EED" w:rsidRPr="00C5069E">
        <w:t>stions of appearance of bias</w:t>
      </w:r>
      <w:r w:rsidR="00051D27" w:rsidRPr="00C5069E">
        <w:t>:</w:t>
      </w:r>
      <w:r w:rsidR="00051D27" w:rsidRPr="00C5069E">
        <w:rPr>
          <w:szCs w:val="24"/>
        </w:rPr>
        <w:t xml:space="preserve"> </w:t>
      </w:r>
      <w:r w:rsidR="00051D27" w:rsidRPr="00926930">
        <w:rPr>
          <w:i/>
          <w:iCs/>
          <w:szCs w:val="24"/>
          <w:shd w:val="clear" w:color="auto" w:fill="FFFFFF"/>
        </w:rPr>
        <w:t xml:space="preserve">Re JRL; Ex </w:t>
      </w:r>
      <w:proofErr w:type="spellStart"/>
      <w:r w:rsidR="00051D27" w:rsidRPr="00926930">
        <w:rPr>
          <w:i/>
          <w:iCs/>
          <w:szCs w:val="24"/>
          <w:shd w:val="clear" w:color="auto" w:fill="FFFFFF"/>
        </w:rPr>
        <w:t>parte</w:t>
      </w:r>
      <w:proofErr w:type="spellEnd"/>
      <w:r w:rsidR="00051D27" w:rsidRPr="00926930">
        <w:rPr>
          <w:i/>
          <w:iCs/>
          <w:szCs w:val="24"/>
          <w:shd w:val="clear" w:color="auto" w:fill="FFFFFF"/>
        </w:rPr>
        <w:t xml:space="preserve"> CJL</w:t>
      </w:r>
      <w:r w:rsidR="00051D27" w:rsidRPr="00926930">
        <w:rPr>
          <w:szCs w:val="24"/>
          <w:shd w:val="clear" w:color="auto" w:fill="FFFFFF"/>
        </w:rPr>
        <w:t> </w:t>
      </w:r>
      <w:r w:rsidR="00DA5848" w:rsidRPr="00926930">
        <w:rPr>
          <w:szCs w:val="24"/>
          <w:shd w:val="clear" w:color="auto" w:fill="FFFFFF"/>
        </w:rPr>
        <w:t>(1986) 161 CLR 342</w:t>
      </w:r>
      <w:r w:rsidR="00051D27" w:rsidRPr="00C5069E">
        <w:rPr>
          <w:szCs w:val="24"/>
          <w:shd w:val="clear" w:color="auto" w:fill="FFFFFF"/>
        </w:rPr>
        <w:t xml:space="preserve">, </w:t>
      </w:r>
      <w:r w:rsidR="00051D27" w:rsidRPr="00051D27">
        <w:rPr>
          <w:color w:val="333333"/>
          <w:szCs w:val="24"/>
          <w:shd w:val="clear" w:color="auto" w:fill="FFFFFF"/>
        </w:rPr>
        <w:t>352 (Mason J)</w:t>
      </w:r>
      <w:r w:rsidR="008D6F8A">
        <w:t xml:space="preserve">. This consideration deserves attention in circumstances where, </w:t>
      </w:r>
      <w:r w:rsidR="00C34809">
        <w:t xml:space="preserve">if the argument for disqualification is accepted, </w:t>
      </w:r>
      <w:r w:rsidR="00B52BCF">
        <w:t>the pool of judges available to hear the case will be quite small.</w:t>
      </w:r>
      <w:r w:rsidR="00413A58">
        <w:t xml:space="preserve"> (In the present case, according to publicly available information</w:t>
      </w:r>
      <w:r w:rsidR="00740342">
        <w:t>,</w:t>
      </w:r>
      <w:r w:rsidR="00413A58">
        <w:t xml:space="preserve"> </w:t>
      </w:r>
      <w:r w:rsidR="00E532F5">
        <w:t>3</w:t>
      </w:r>
      <w:r w:rsidR="006B0969">
        <w:t>6</w:t>
      </w:r>
      <w:r w:rsidR="00F634BA">
        <w:t xml:space="preserve"> </w:t>
      </w:r>
      <w:r w:rsidR="00413A58">
        <w:t xml:space="preserve">out of the 54 judges of the </w:t>
      </w:r>
      <w:r w:rsidR="00413A58">
        <w:lastRenderedPageBreak/>
        <w:t xml:space="preserve">Court </w:t>
      </w:r>
      <w:r w:rsidR="00E54220">
        <w:t>were appointed in 2017 or later</w:t>
      </w:r>
      <w:r w:rsidR="00977247">
        <w:t xml:space="preserve"> and would </w:t>
      </w:r>
      <w:r w:rsidR="00977247">
        <w:rPr>
          <w:i/>
          <w:iCs/>
        </w:rPr>
        <w:t>prima facie</w:t>
      </w:r>
      <w:r w:rsidR="00977247">
        <w:t xml:space="preserve"> be disqualified if the applicant’s argument were accepted.)</w:t>
      </w:r>
    </w:p>
    <w:p w14:paraId="3EAC936C" w14:textId="007A146A" w:rsidR="00667295" w:rsidRDefault="000375DD" w:rsidP="00CD1346">
      <w:pPr>
        <w:pStyle w:val="ParaNumbering"/>
      </w:pPr>
      <w:r>
        <w:t xml:space="preserve">In what follows I will adopt the analytical steps </w:t>
      </w:r>
      <w:r w:rsidR="003C3543">
        <w:t>identified</w:t>
      </w:r>
      <w:r>
        <w:t xml:space="preserve"> </w:t>
      </w:r>
      <w:r w:rsidR="003C3543">
        <w:t xml:space="preserve">the </w:t>
      </w:r>
      <w:r>
        <w:t>in</w:t>
      </w:r>
      <w:r w:rsidR="003C3543">
        <w:t xml:space="preserve"> the quotation from</w:t>
      </w:r>
      <w:r>
        <w:t xml:space="preserve"> </w:t>
      </w:r>
      <w:r>
        <w:rPr>
          <w:i/>
          <w:iCs/>
        </w:rPr>
        <w:t>QYFM</w:t>
      </w:r>
      <w:r w:rsidR="003C3543">
        <w:t xml:space="preserve"> set out above.</w:t>
      </w:r>
    </w:p>
    <w:p w14:paraId="215F66B6" w14:textId="26D2B36E" w:rsidR="003C3543" w:rsidRDefault="003C3543" w:rsidP="00CD1346">
      <w:pPr>
        <w:pStyle w:val="ParaNumbering"/>
      </w:pPr>
      <w:r>
        <w:t xml:space="preserve">First, “the factor </w:t>
      </w:r>
      <w:r w:rsidRPr="007E14DF">
        <w:rPr>
          <w:lang w:eastAsia="en-AU"/>
        </w:rPr>
        <w:t>which it is said might lead a judge to resolve the question other than on its legal and factual merits</w:t>
      </w:r>
      <w:r>
        <w:rPr>
          <w:lang w:eastAsia="en-AU"/>
        </w:rPr>
        <w:t>”</w:t>
      </w:r>
      <w:r w:rsidR="00EB36A8">
        <w:rPr>
          <w:lang w:eastAsia="en-AU"/>
        </w:rPr>
        <w:t xml:space="preserve"> is that, in the case of any judge of this Court appointed since 2017, </w:t>
      </w:r>
      <w:r w:rsidR="00D73E05">
        <w:rPr>
          <w:lang w:eastAsia="en-AU"/>
        </w:rPr>
        <w:t xml:space="preserve">the judge was appointed to their judicial office on the advice of individual </w:t>
      </w:r>
      <w:r w:rsidR="00197426">
        <w:rPr>
          <w:lang w:eastAsia="en-AU"/>
        </w:rPr>
        <w:t>Ministers against whom serious allegations are made.</w:t>
      </w:r>
    </w:p>
    <w:p w14:paraId="7B5F50A2" w14:textId="200C0035" w:rsidR="00184C14" w:rsidRDefault="00184C14" w:rsidP="00CD1346">
      <w:pPr>
        <w:pStyle w:val="ParaNumbering"/>
      </w:pPr>
      <w:r>
        <w:t>Secondly, as I understand it, “</w:t>
      </w:r>
      <w:r w:rsidRPr="007E14DF">
        <w:rPr>
          <w:lang w:eastAsia="en-AU"/>
        </w:rPr>
        <w:t>the logical connection between that factor and the apprehended deviation from deciding that question on its merits</w:t>
      </w:r>
      <w:r>
        <w:rPr>
          <w:lang w:eastAsia="en-AU"/>
        </w:rPr>
        <w:t xml:space="preserve">” is that </w:t>
      </w:r>
      <w:r w:rsidR="00436B47">
        <w:rPr>
          <w:lang w:eastAsia="en-AU"/>
        </w:rPr>
        <w:t xml:space="preserve">the judge may be reticent about </w:t>
      </w:r>
      <w:r w:rsidR="00B318EE">
        <w:rPr>
          <w:lang w:eastAsia="en-AU"/>
        </w:rPr>
        <w:t xml:space="preserve">making findings of serious impropriety against a Minister or former Minister, when one of that </w:t>
      </w:r>
      <w:r w:rsidR="00597F51">
        <w:rPr>
          <w:lang w:eastAsia="en-AU"/>
        </w:rPr>
        <w:t>Minister’s decisions was the decision to</w:t>
      </w:r>
      <w:r w:rsidR="008E7BE8">
        <w:rPr>
          <w:lang w:eastAsia="en-AU"/>
        </w:rPr>
        <w:t xml:space="preserve"> advise the Governor-General to</w:t>
      </w:r>
      <w:r w:rsidR="00597F51">
        <w:rPr>
          <w:lang w:eastAsia="en-AU"/>
        </w:rPr>
        <w:t xml:space="preserve"> appoint the judge.</w:t>
      </w:r>
    </w:p>
    <w:p w14:paraId="053C991E" w14:textId="39A00EC5" w:rsidR="00597F51" w:rsidRDefault="00654DA0" w:rsidP="00CD1346">
      <w:pPr>
        <w:pStyle w:val="ParaNumbering"/>
      </w:pPr>
      <w:r>
        <w:rPr>
          <w:lang w:eastAsia="en-AU"/>
        </w:rPr>
        <w:t xml:space="preserve">Thirdly, as to the </w:t>
      </w:r>
      <w:r w:rsidR="00A2065D">
        <w:rPr>
          <w:lang w:eastAsia="en-AU"/>
        </w:rPr>
        <w:t>reasonableness of an apprehension that the judge might therefore decide the case otherwise than on its merits, the following points need to be noted.</w:t>
      </w:r>
    </w:p>
    <w:p w14:paraId="3C6762AA" w14:textId="64D11F33" w:rsidR="00066BF2" w:rsidRDefault="00066BF2" w:rsidP="00066BF2">
      <w:pPr>
        <w:pStyle w:val="ListNo1alt"/>
      </w:pPr>
      <w:r>
        <w:t xml:space="preserve">The hypothetical observer is appropriately informed. They </w:t>
      </w:r>
      <w:r w:rsidR="00B4634D">
        <w:t xml:space="preserve">must therefore be taken to know that judicial appointments are not made </w:t>
      </w:r>
      <w:r w:rsidR="00C3468E">
        <w:t xml:space="preserve">by individual Ministers, but by the Governor-General </w:t>
      </w:r>
      <w:r w:rsidR="00B03980">
        <w:t>with the advice of the Executive Council, usually (at least) following a decision by the Cabinet.</w:t>
      </w:r>
    </w:p>
    <w:p w14:paraId="07BEA2F4" w14:textId="24427217" w:rsidR="009C6231" w:rsidRDefault="009C6231" w:rsidP="00066BF2">
      <w:pPr>
        <w:pStyle w:val="ListNo1alt"/>
      </w:pPr>
      <w:r>
        <w:t xml:space="preserve">The hypothetical observer </w:t>
      </w:r>
      <w:r w:rsidR="00941716">
        <w:t xml:space="preserve">must also be taken to understand that </w:t>
      </w:r>
      <w:r w:rsidR="00917240">
        <w:t xml:space="preserve">judges of this Court have </w:t>
      </w:r>
      <w:r w:rsidR="00AE3534">
        <w:t>security of tenure up to the age of 70 years</w:t>
      </w:r>
      <w:r w:rsidR="00460D61">
        <w:t>, subject only to removal on an address by both Houses of Parliament for proved misbehaviour or incapacity (</w:t>
      </w:r>
      <w:r w:rsidR="00DC0AF2">
        <w:t>Constitution, s</w:t>
      </w:r>
      <w:r w:rsidR="0083661B">
        <w:t> </w:t>
      </w:r>
      <w:r w:rsidR="00DC0AF2">
        <w:t>72(ii)</w:t>
      </w:r>
      <w:r w:rsidR="00460D61">
        <w:t>)</w:t>
      </w:r>
      <w:r w:rsidR="00B20396">
        <w:t xml:space="preserve">, but cannot hold office after turning 70. </w:t>
      </w:r>
      <w:r w:rsidR="00B82679">
        <w:t xml:space="preserve">Leaving aside specific personal issues (none of which were suggested here), a judge therefore has no </w:t>
      </w:r>
      <w:r w:rsidR="00F13C66">
        <w:t xml:space="preserve">incentive to </w:t>
      </w:r>
      <w:r w:rsidR="002C126D">
        <w:t xml:space="preserve">try to </w:t>
      </w:r>
      <w:r w:rsidR="00155D6B">
        <w:t>protect the interests of Ministers involved in their appointment.</w:t>
      </w:r>
    </w:p>
    <w:p w14:paraId="5C2D6FC8" w14:textId="10E0FC6E" w:rsidR="00796914" w:rsidRDefault="00796914" w:rsidP="00066BF2">
      <w:pPr>
        <w:pStyle w:val="ListNo1alt"/>
      </w:pPr>
      <w:r>
        <w:t xml:space="preserve">Further, </w:t>
      </w:r>
      <w:r w:rsidR="00005376">
        <w:t>appointment of a judge on the advice of a particular Minister does not create any ongoing connection between the judge and th</w:t>
      </w:r>
      <w:r w:rsidR="00AA610C">
        <w:t>e</w:t>
      </w:r>
      <w:r w:rsidR="00005376">
        <w:t xml:space="preserve"> Minister</w:t>
      </w:r>
      <w:r w:rsidR="00AA610C">
        <w:t xml:space="preserve"> that might </w:t>
      </w:r>
      <w:r w:rsidR="00901B54">
        <w:t>lead to awkwardness or discomfort in making findings against the Minister</w:t>
      </w:r>
      <w:r w:rsidR="00931716">
        <w:t xml:space="preserve"> (in contrast to, for example, a friendship or familial relationship).</w:t>
      </w:r>
    </w:p>
    <w:p w14:paraId="56510F07" w14:textId="170BC37F" w:rsidR="00DC2249" w:rsidRDefault="00DC2249" w:rsidP="00066BF2">
      <w:pPr>
        <w:pStyle w:val="ListNo1alt"/>
      </w:pPr>
      <w:r>
        <w:t xml:space="preserve">The judge may hold a private view that the decision to recommend their appointment demonstrated wisdom and </w:t>
      </w:r>
      <w:proofErr w:type="gramStart"/>
      <w:r>
        <w:t>perspicacity</w:t>
      </w:r>
      <w:r w:rsidR="004F2F85">
        <w:t>, and</w:t>
      </w:r>
      <w:proofErr w:type="gramEnd"/>
      <w:r w:rsidR="004F2F85">
        <w:t xml:space="preserve"> may therefore be </w:t>
      </w:r>
      <w:r w:rsidR="003B0788">
        <w:t xml:space="preserve">slow to accept that the </w:t>
      </w:r>
      <w:r w:rsidR="000016AA">
        <w:t>makers of that decision have been involved in misconduct.</w:t>
      </w:r>
      <w:r w:rsidR="0069183C">
        <w:t xml:space="preserve"> However, th</w:t>
      </w:r>
      <w:r w:rsidR="008A6DF4">
        <w:t>is</w:t>
      </w:r>
      <w:r w:rsidR="0069183C">
        <w:t xml:space="preserve"> possibilit</w:t>
      </w:r>
      <w:r w:rsidR="008A6DF4">
        <w:t xml:space="preserve">y </w:t>
      </w:r>
      <w:r w:rsidR="0069183C">
        <w:lastRenderedPageBreak/>
        <w:t>fall</w:t>
      </w:r>
      <w:r w:rsidR="008A6DF4">
        <w:t>s</w:t>
      </w:r>
      <w:r w:rsidR="0069183C">
        <w:t xml:space="preserve"> into the category of preliminary views</w:t>
      </w:r>
      <w:r w:rsidR="008A6DF4">
        <w:t xml:space="preserve"> on an issue</w:t>
      </w:r>
      <w:r w:rsidR="000F7E71">
        <w:t xml:space="preserve"> rather than something pointing to a potential inability to </w:t>
      </w:r>
      <w:r w:rsidR="00B7530A">
        <w:t>decide the issue on its merits.</w:t>
      </w:r>
    </w:p>
    <w:p w14:paraId="70E53417" w14:textId="05FEC768" w:rsidR="00B7530A" w:rsidRDefault="00740342" w:rsidP="00066BF2">
      <w:pPr>
        <w:pStyle w:val="ListNo1alt"/>
      </w:pPr>
      <w:r>
        <w:t>What is left is the possibility that</w:t>
      </w:r>
      <w:r w:rsidR="00DB0EB9">
        <w:t xml:space="preserve">, </w:t>
      </w:r>
      <w:proofErr w:type="gramStart"/>
      <w:r w:rsidR="00DB0EB9">
        <w:t>as a result of</w:t>
      </w:r>
      <w:proofErr w:type="gramEnd"/>
      <w:r w:rsidR="00DB0EB9">
        <w:t xml:space="preserve"> good will or gratitude towards </w:t>
      </w:r>
      <w:r w:rsidR="005605D4">
        <w:t xml:space="preserve">those responsible for their appointment, the judge </w:t>
      </w:r>
      <w:r w:rsidR="00C81F59">
        <w:t>may find it hard to make serious findings against those persons.</w:t>
      </w:r>
      <w:r w:rsidR="00750CCD">
        <w:t xml:space="preserve"> To the extent that this goes beyond a preliminary </w:t>
      </w:r>
      <w:proofErr w:type="gramStart"/>
      <w:r w:rsidR="00750CCD">
        <w:t>view, and</w:t>
      </w:r>
      <w:proofErr w:type="gramEnd"/>
      <w:r w:rsidR="00750CCD">
        <w:t xml:space="preserve"> suggests</w:t>
      </w:r>
      <w:r w:rsidR="005964E9">
        <w:t xml:space="preserve"> the possibility of</w:t>
      </w:r>
      <w:r w:rsidR="00750CCD">
        <w:t xml:space="preserve"> an improper fetter on the judge’s </w:t>
      </w:r>
      <w:r w:rsidR="00DE0BFC">
        <w:t xml:space="preserve">capacity to decide the case on its merits, </w:t>
      </w:r>
      <w:r w:rsidR="000E20E5">
        <w:t xml:space="preserve">my view is that the hypothetical observer would </w:t>
      </w:r>
      <w:r w:rsidR="00010A5A">
        <w:t xml:space="preserve">not </w:t>
      </w:r>
      <w:r w:rsidR="000E20E5">
        <w:t xml:space="preserve">regard it as </w:t>
      </w:r>
      <w:r w:rsidR="00A15FA1">
        <w:t>a realistic</w:t>
      </w:r>
      <w:r w:rsidR="00703BDF">
        <w:t xml:space="preserve"> possibility.</w:t>
      </w:r>
      <w:r w:rsidR="0098340E">
        <w:t xml:space="preserve"> Of course, the case </w:t>
      </w:r>
      <w:r w:rsidR="00A15FA1">
        <w:t xml:space="preserve">might </w:t>
      </w:r>
      <w:r w:rsidR="0098340E">
        <w:t xml:space="preserve">take on a quite different appearance if the judge </w:t>
      </w:r>
      <w:r w:rsidR="00A15FA1">
        <w:t xml:space="preserve">had </w:t>
      </w:r>
      <w:r w:rsidR="0098340E">
        <w:t xml:space="preserve">some specific </w:t>
      </w:r>
      <w:r w:rsidR="00A15FA1">
        <w:t xml:space="preserve">personal </w:t>
      </w:r>
      <w:r w:rsidR="0098340E">
        <w:t>connection or affinity with the Minister concerned.</w:t>
      </w:r>
      <w:r w:rsidR="00A96B64">
        <w:t xml:space="preserve"> However, it has not been suggested that that is the case here.</w:t>
      </w:r>
    </w:p>
    <w:p w14:paraId="7C326EAF" w14:textId="2DF8EDE0" w:rsidR="00E61DE3" w:rsidRDefault="00E61DE3" w:rsidP="00E61DE3">
      <w:pPr>
        <w:pStyle w:val="ParaNumbering"/>
      </w:pPr>
      <w:r>
        <w:t xml:space="preserve">For these reasons I </w:t>
      </w:r>
      <w:r w:rsidR="00A84307">
        <w:t xml:space="preserve">was not persuaded </w:t>
      </w:r>
      <w:r w:rsidR="00A84307" w:rsidRPr="007E14DF">
        <w:rPr>
          <w:lang w:eastAsia="en-AU"/>
        </w:rPr>
        <w:t xml:space="preserve">that a fair-minded and appropriately informed lay observer might reasonably apprehend that </w:t>
      </w:r>
      <w:r w:rsidR="00DD2C60">
        <w:rPr>
          <w:lang w:eastAsia="en-AU"/>
        </w:rPr>
        <w:t>I</w:t>
      </w:r>
      <w:r w:rsidR="00A84307" w:rsidRPr="007E14DF">
        <w:rPr>
          <w:lang w:eastAsia="en-AU"/>
        </w:rPr>
        <w:t xml:space="preserve"> might not bring a fair, impartial and independent mind to the determination of th</w:t>
      </w:r>
      <w:r w:rsidR="00DD2C60">
        <w:rPr>
          <w:lang w:eastAsia="en-AU"/>
        </w:rPr>
        <w:t>is</w:t>
      </w:r>
      <w:r w:rsidR="00A84307" w:rsidRPr="007E14DF">
        <w:rPr>
          <w:lang w:eastAsia="en-AU"/>
        </w:rPr>
        <w:t xml:space="preserve"> matter on its merits</w:t>
      </w:r>
      <w:r w:rsidR="00DD2C60">
        <w:t xml:space="preserve">. </w:t>
      </w:r>
      <w:proofErr w:type="gramStart"/>
      <w:r w:rsidR="00DD2C60">
        <w:t>Accordingly</w:t>
      </w:r>
      <w:proofErr w:type="gramEnd"/>
      <w:r w:rsidR="00DD2C60">
        <w:t xml:space="preserve"> I dismissed the disqualification application.</w:t>
      </w:r>
    </w:p>
    <w:p w14:paraId="02F4C8E8" w14:textId="77777777" w:rsidR="00D16F08" w:rsidRDefault="00D16F08" w:rsidP="00815065">
      <w:pPr>
        <w:pStyle w:val="BodyText"/>
      </w:pPr>
      <w:bookmarkStart w:id="18" w:name="Certification"/>
    </w:p>
    <w:tbl>
      <w:tblPr>
        <w:tblW w:w="0" w:type="auto"/>
        <w:tblLook w:val="04A0" w:firstRow="1" w:lastRow="0" w:firstColumn="1" w:lastColumn="0" w:noHBand="0" w:noVBand="1"/>
      </w:tblPr>
      <w:tblGrid>
        <w:gridCol w:w="3794"/>
      </w:tblGrid>
      <w:tr w:rsidR="00D16F08" w:rsidRPr="00D16F08" w14:paraId="46CEBF77" w14:textId="77777777">
        <w:tc>
          <w:tcPr>
            <w:tcW w:w="3794" w:type="dxa"/>
            <w:shd w:val="clear" w:color="auto" w:fill="auto"/>
          </w:tcPr>
          <w:p w14:paraId="03CC11AD" w14:textId="56B119E2" w:rsidR="00D16F08" w:rsidRPr="00D16F08" w:rsidRDefault="00D16F08" w:rsidP="00D16F08">
            <w:pPr>
              <w:pStyle w:val="Normal1linespace"/>
            </w:pPr>
            <w:r w:rsidRPr="00D16F08">
              <w:t xml:space="preserve">I certify that the preceding </w:t>
            </w:r>
            <w:bookmarkStart w:id="19" w:name="NumberWord"/>
            <w:r>
              <w:t>fourteen</w:t>
            </w:r>
            <w:bookmarkEnd w:id="19"/>
            <w:r w:rsidRPr="00D16F08">
              <w:t xml:space="preserve"> (</w:t>
            </w:r>
            <w:bookmarkStart w:id="20" w:name="NumberNumeral"/>
            <w:r>
              <w:t>14</w:t>
            </w:r>
            <w:bookmarkEnd w:id="20"/>
            <w:r w:rsidRPr="00D16F08">
              <w:t xml:space="preserve">) numbered </w:t>
            </w:r>
            <w:bookmarkStart w:id="21" w:name="CertPara"/>
            <w:r>
              <w:t>paragraphs are</w:t>
            </w:r>
            <w:bookmarkEnd w:id="21"/>
            <w:r w:rsidRPr="00D16F08">
              <w:t xml:space="preserve"> a true copy of the Reasons for Judgment of </w:t>
            </w:r>
            <w:bookmarkStart w:id="22" w:name="bkHonourable"/>
            <w:r w:rsidRPr="00D16F08">
              <w:t xml:space="preserve">the Honourable </w:t>
            </w:r>
            <w:bookmarkStart w:id="23" w:name="Justice"/>
            <w:bookmarkEnd w:id="22"/>
            <w:r>
              <w:t>Justice Kennett</w:t>
            </w:r>
            <w:bookmarkEnd w:id="23"/>
            <w:r w:rsidRPr="00D16F08">
              <w:t>.</w:t>
            </w:r>
          </w:p>
        </w:tc>
      </w:tr>
    </w:tbl>
    <w:p w14:paraId="049409BF" w14:textId="77777777" w:rsidR="00D16F08" w:rsidRDefault="00D16F08" w:rsidP="00815065">
      <w:pPr>
        <w:pStyle w:val="BodyText"/>
      </w:pPr>
    </w:p>
    <w:p w14:paraId="368A3BF5" w14:textId="77777777" w:rsidR="00D16F08" w:rsidRDefault="00D16F08" w:rsidP="00815065">
      <w:pPr>
        <w:pStyle w:val="BodyText"/>
      </w:pPr>
    </w:p>
    <w:p w14:paraId="702AEDB5" w14:textId="77777777" w:rsidR="00D16F08" w:rsidRDefault="00D16F08" w:rsidP="00815065">
      <w:pPr>
        <w:pStyle w:val="BodyText"/>
      </w:pPr>
      <w:r>
        <w:t>Associate:</w:t>
      </w:r>
    </w:p>
    <w:p w14:paraId="39EE3270" w14:textId="77777777" w:rsidR="00D16F08" w:rsidRDefault="00D16F08" w:rsidP="00815065">
      <w:pPr>
        <w:pStyle w:val="BodyText"/>
      </w:pPr>
    </w:p>
    <w:p w14:paraId="0211CBEE" w14:textId="633ACD77" w:rsidR="00D16F08" w:rsidRDefault="00D16F08" w:rsidP="00815065">
      <w:pPr>
        <w:pStyle w:val="BodyText"/>
        <w:tabs>
          <w:tab w:val="left" w:pos="1134"/>
        </w:tabs>
      </w:pPr>
      <w:r>
        <w:t>Dated:</w:t>
      </w:r>
      <w:r>
        <w:tab/>
      </w:r>
      <w:bookmarkStart w:id="24" w:name="CertifyDated"/>
      <w:r>
        <w:t>12 March 2024</w:t>
      </w:r>
      <w:bookmarkEnd w:id="24"/>
    </w:p>
    <w:p w14:paraId="7FC929BF" w14:textId="77777777" w:rsidR="00D16F08" w:rsidRDefault="00D16F08" w:rsidP="00815065">
      <w:pPr>
        <w:pStyle w:val="BodyText"/>
      </w:pPr>
    </w:p>
    <w:bookmarkEnd w:id="18"/>
    <w:p w14:paraId="7A4D4FA1" w14:textId="77777777" w:rsidR="00D16F08" w:rsidRDefault="00D16F08" w:rsidP="00D16F08">
      <w:pPr>
        <w:pStyle w:val="BodyText"/>
      </w:pPr>
    </w:p>
    <w:sectPr w:rsidR="00D16F08"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1FF55" w14:textId="77777777" w:rsidR="00005643" w:rsidRDefault="00005643">
      <w:pPr>
        <w:spacing w:line="20" w:lineRule="exact"/>
      </w:pPr>
    </w:p>
    <w:p w14:paraId="4CDD4C13" w14:textId="77777777" w:rsidR="00005643" w:rsidRDefault="00005643"/>
    <w:p w14:paraId="60BC59D4" w14:textId="77777777" w:rsidR="00005643" w:rsidRDefault="00005643"/>
  </w:endnote>
  <w:endnote w:type="continuationSeparator" w:id="0">
    <w:p w14:paraId="0647DDE0" w14:textId="77777777" w:rsidR="00005643" w:rsidRDefault="00005643">
      <w:r>
        <w:t xml:space="preserve"> </w:t>
      </w:r>
    </w:p>
    <w:p w14:paraId="0E179353" w14:textId="77777777" w:rsidR="00005643" w:rsidRDefault="00005643"/>
    <w:p w14:paraId="397B8C6D" w14:textId="77777777" w:rsidR="00005643" w:rsidRDefault="00005643"/>
  </w:endnote>
  <w:endnote w:type="continuationNotice" w:id="1">
    <w:p w14:paraId="16E62FAA" w14:textId="77777777" w:rsidR="00005643" w:rsidRDefault="00005643">
      <w:r>
        <w:t xml:space="preserve"> </w:t>
      </w:r>
    </w:p>
    <w:p w14:paraId="17BF3D9D" w14:textId="77777777" w:rsidR="00005643" w:rsidRDefault="00005643"/>
    <w:p w14:paraId="1EAB73FF" w14:textId="77777777" w:rsidR="00005643" w:rsidRDefault="000056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F52E1" w14:textId="77777777" w:rsidR="00D16F08" w:rsidRDefault="00D16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62FB" w14:textId="0A8E6DC8"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0" behindDoc="0" locked="0" layoutInCell="1" allowOverlap="1" wp14:anchorId="68B9134C" wp14:editId="1F263130">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8E0A79"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B41A2C">
          <w:rPr>
            <w:bCs/>
            <w:sz w:val="18"/>
            <w:szCs w:val="18"/>
          </w:rPr>
          <w:t xml:space="preserve">AZO24 v Commonwealth [2024] FCA 218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C3B4" w14:textId="3FAB3232" w:rsidR="00395B24" w:rsidRPr="00D16F08" w:rsidRDefault="00395B24" w:rsidP="00D16F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398E" w14:textId="12783A40"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2" behindDoc="0" locked="0" layoutInCell="1" allowOverlap="1" wp14:anchorId="1739CB77" wp14:editId="1F3F6395">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1FD91"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474E6BBFA9274AB48608C9C6C4508E44"/>
        </w:placeholder>
        <w:dataBinding w:prefixMappings="xmlns:ns0='http://schemas.globalmacros.com/FCA'" w:xpath="/ns0:root[1]/ns0:Name[1]" w:storeItemID="{687E7CCB-4AA5-44E7-B148-17BA2B6F57C0}"/>
        <w:text w:multiLine="1"/>
      </w:sdtPr>
      <w:sdtEndPr/>
      <w:sdtContent>
        <w:r w:rsidR="00B41A2C">
          <w:rPr>
            <w:bCs/>
            <w:sz w:val="18"/>
            <w:szCs w:val="18"/>
          </w:rPr>
          <w:t xml:space="preserve">AZO24 v Commonwealth [2024] FCA 218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E5CE" w14:textId="4C6F067B"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1" behindDoc="0" locked="0" layoutInCell="1" allowOverlap="1" wp14:anchorId="5DDC0C51" wp14:editId="5DD15A50">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95824E"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61A0D6C2571B4FEEB7C44A023AE7294A"/>
        </w:placeholder>
        <w:dataBinding w:prefixMappings="xmlns:ns0='http://schemas.globalmacros.com/FCA'" w:xpath="/ns0:root[1]/ns0:Name[1]" w:storeItemID="{687E7CCB-4AA5-44E7-B148-17BA2B6F57C0}"/>
        <w:text w:multiLine="1"/>
      </w:sdtPr>
      <w:sdtEndPr/>
      <w:sdtContent>
        <w:r w:rsidR="00B41A2C">
          <w:rPr>
            <w:bCs/>
            <w:sz w:val="18"/>
            <w:szCs w:val="18"/>
          </w:rPr>
          <w:t xml:space="preserve">AZO24 v Commonwealth [2024] FCA 218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DF12" w14:textId="0F407EEC"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4" behindDoc="0" locked="0" layoutInCell="1" allowOverlap="1" wp14:anchorId="43829591" wp14:editId="03B0A1BD">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03D050" id="Straight Connector 7"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B4C319BD69C74AE1AE16C041D7BB9D0E"/>
        </w:placeholder>
        <w:dataBinding w:prefixMappings="xmlns:ns0='http://schemas.globalmacros.com/FCA'" w:xpath="/ns0:root[1]/ns0:Name[1]" w:storeItemID="{687E7CCB-4AA5-44E7-B148-17BA2B6F57C0}"/>
        <w:text w:multiLine="1"/>
      </w:sdtPr>
      <w:sdtEndPr/>
      <w:sdtContent>
        <w:r w:rsidR="00B41A2C">
          <w:rPr>
            <w:bCs/>
            <w:sz w:val="18"/>
            <w:szCs w:val="18"/>
          </w:rPr>
          <w:t xml:space="preserve">AZO24 v Commonwealth [2024] FCA 218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D715" w14:textId="397764BC"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3" behindDoc="0" locked="0" layoutInCell="1" allowOverlap="1" wp14:anchorId="2A397CC5" wp14:editId="7A745260">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AEC076"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C4E21F3C6FCD414A8096F3768ACACA1C"/>
        </w:placeholder>
        <w:dataBinding w:prefixMappings="xmlns:ns0='http://schemas.globalmacros.com/FCA'" w:xpath="/ns0:root[1]/ns0:Name[1]" w:storeItemID="{687E7CCB-4AA5-44E7-B148-17BA2B6F57C0}"/>
        <w:text w:multiLine="1"/>
      </w:sdtPr>
      <w:sdtEndPr/>
      <w:sdtContent>
        <w:r w:rsidR="00B41A2C">
          <w:rPr>
            <w:bCs/>
            <w:sz w:val="18"/>
            <w:szCs w:val="18"/>
          </w:rPr>
          <w:t xml:space="preserve">AZO24 v Commonwealth [2024] FCA 218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5E1BB" w14:textId="77777777" w:rsidR="00005643" w:rsidRDefault="00005643"/>
  </w:footnote>
  <w:footnote w:type="continuationSeparator" w:id="0">
    <w:p w14:paraId="198DA908" w14:textId="77777777" w:rsidR="00005643" w:rsidRDefault="00005643">
      <w:r>
        <w:continuationSeparator/>
      </w:r>
    </w:p>
    <w:p w14:paraId="6A9A4EE7" w14:textId="77777777" w:rsidR="00005643" w:rsidRDefault="00005643"/>
    <w:p w14:paraId="3CD1DA32" w14:textId="77777777" w:rsidR="00005643" w:rsidRDefault="00005643"/>
  </w:footnote>
  <w:footnote w:type="continuationNotice" w:id="1">
    <w:p w14:paraId="4ADDFE0B" w14:textId="77777777" w:rsidR="00005643" w:rsidRDefault="0000564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3495" w14:textId="77777777" w:rsidR="00D16F08" w:rsidRDefault="00D16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11D6" w14:textId="77777777" w:rsidR="00D16F08" w:rsidRDefault="00D16F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0D76" w14:textId="77777777" w:rsidR="00D16F08" w:rsidRDefault="00D16F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0696"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DD16"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812B"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7E8A"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B50F"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EE001DC6"/>
    <w:lvl w:ilvl="0">
      <w:start w:val="1"/>
      <w:numFmt w:val="decimal"/>
      <w:lvlRestart w:val="0"/>
      <w:pStyle w:val="ParaNumbering"/>
      <w:lvlText w:val="%1"/>
      <w:lvlJc w:val="left"/>
      <w:pPr>
        <w:tabs>
          <w:tab w:val="num" w:pos="720"/>
        </w:tabs>
        <w:ind w:left="0" w:hanging="720"/>
      </w:pPr>
      <w:rPr>
        <w:rFonts w:ascii="Times New Roman" w:hAnsi="Times New Roman" w:cs="Times New Roman"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19142C0"/>
    <w:multiLevelType w:val="multilevel"/>
    <w:tmpl w:val="DFD69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4E072492"/>
    <w:multiLevelType w:val="multilevel"/>
    <w:tmpl w:val="6E0AF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239251323">
    <w:abstractNumId w:val="14"/>
  </w:num>
  <w:num w:numId="2" w16cid:durableId="243344639">
    <w:abstractNumId w:val="9"/>
  </w:num>
  <w:num w:numId="3" w16cid:durableId="238758085">
    <w:abstractNumId w:val="7"/>
  </w:num>
  <w:num w:numId="4" w16cid:durableId="1861233033">
    <w:abstractNumId w:val="6"/>
  </w:num>
  <w:num w:numId="5" w16cid:durableId="1547137501">
    <w:abstractNumId w:val="5"/>
  </w:num>
  <w:num w:numId="6" w16cid:durableId="1405492722">
    <w:abstractNumId w:val="4"/>
  </w:num>
  <w:num w:numId="7" w16cid:durableId="351349028">
    <w:abstractNumId w:val="8"/>
  </w:num>
  <w:num w:numId="8" w16cid:durableId="586229587">
    <w:abstractNumId w:val="3"/>
  </w:num>
  <w:num w:numId="9" w16cid:durableId="15352844">
    <w:abstractNumId w:val="2"/>
  </w:num>
  <w:num w:numId="10" w16cid:durableId="1890800197">
    <w:abstractNumId w:val="1"/>
  </w:num>
  <w:num w:numId="11" w16cid:durableId="721636092">
    <w:abstractNumId w:val="0"/>
  </w:num>
  <w:num w:numId="12" w16cid:durableId="1326782335">
    <w:abstractNumId w:val="24"/>
  </w:num>
  <w:num w:numId="13" w16cid:durableId="598148338">
    <w:abstractNumId w:val="21"/>
  </w:num>
  <w:num w:numId="14" w16cid:durableId="1053238367">
    <w:abstractNumId w:val="22"/>
  </w:num>
  <w:num w:numId="15" w16cid:durableId="1841777286">
    <w:abstractNumId w:val="26"/>
  </w:num>
  <w:num w:numId="16" w16cid:durableId="704403610">
    <w:abstractNumId w:val="13"/>
  </w:num>
  <w:num w:numId="17" w16cid:durableId="621805702">
    <w:abstractNumId w:val="25"/>
  </w:num>
  <w:num w:numId="18" w16cid:durableId="681395470">
    <w:abstractNumId w:val="11"/>
  </w:num>
  <w:num w:numId="19" w16cid:durableId="791627648">
    <w:abstractNumId w:val="19"/>
  </w:num>
  <w:num w:numId="20" w16cid:durableId="180557299">
    <w:abstractNumId w:val="15"/>
  </w:num>
  <w:num w:numId="21" w16cid:durableId="717439416">
    <w:abstractNumId w:val="16"/>
  </w:num>
  <w:num w:numId="22" w16cid:durableId="44569490">
    <w:abstractNumId w:val="20"/>
  </w:num>
  <w:num w:numId="23" w16cid:durableId="1380976090">
    <w:abstractNumId w:val="10"/>
  </w:num>
  <w:num w:numId="24" w16cid:durableId="707341166">
    <w:abstractNumId w:val="10"/>
  </w:num>
  <w:num w:numId="25" w16cid:durableId="1328940288">
    <w:abstractNumId w:val="12"/>
  </w:num>
  <w:num w:numId="26" w16cid:durableId="2119520645">
    <w:abstractNumId w:val="18"/>
  </w:num>
  <w:num w:numId="27" w16cid:durableId="2006737718">
    <w:abstractNumId w:val="18"/>
  </w:num>
  <w:num w:numId="28" w16cid:durableId="279264485">
    <w:abstractNumId w:val="18"/>
  </w:num>
  <w:num w:numId="29" w16cid:durableId="1341543721">
    <w:abstractNumId w:val="23"/>
    <w:lvlOverride w:ilvl="0">
      <w:startOverride w:val="10"/>
    </w:lvlOverride>
  </w:num>
  <w:num w:numId="30" w16cid:durableId="1668438156">
    <w:abstractNumId w:val="17"/>
    <w:lvlOverride w:ilvl="0">
      <w:startOverride w:val="11"/>
    </w:lvlOverride>
  </w:num>
  <w:num w:numId="31" w16cid:durableId="168049997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3669321">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CounselParties" w:val="Appell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Initiators" w:val="(and another named in the Schedule)"/>
    <w:docVar w:name="Judgdate" w:val="12 March 2024"/>
    <w:docVar w:name="Judge" w:val="Kennett"/>
    <w:docVar w:name="JudgeType" w:val="Justice"/>
    <w:docVar w:name="lstEntryList" w:val="-1"/>
    <w:docVar w:name="NSD" w:val="NSD "/>
    <w:docVar w:name="NumApps" w:val="0"/>
    <w:docVar w:name="NumApps_" w:val="0"/>
    <w:docVar w:name="NumCrossResps" w:val="0"/>
    <w:docVar w:name="NumDefs" w:val="0"/>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TBC"/>
    <w:docVar w:name="RESAndAnother" w:val="True"/>
    <w:docVar w:name="RESAndOthers" w:val="False"/>
    <w:docVar w:name="ResState" w:val="N/A FCFCOA"/>
    <w:docVar w:name="SubArea" w:val="TBC"/>
  </w:docVars>
  <w:rsids>
    <w:rsidRoot w:val="00EC4E62"/>
    <w:rsid w:val="00000747"/>
    <w:rsid w:val="000016AA"/>
    <w:rsid w:val="00005376"/>
    <w:rsid w:val="00005643"/>
    <w:rsid w:val="00010A5A"/>
    <w:rsid w:val="000115C5"/>
    <w:rsid w:val="0001469E"/>
    <w:rsid w:val="00015993"/>
    <w:rsid w:val="00021CCB"/>
    <w:rsid w:val="00022289"/>
    <w:rsid w:val="000237E9"/>
    <w:rsid w:val="0002515D"/>
    <w:rsid w:val="00027398"/>
    <w:rsid w:val="0003201A"/>
    <w:rsid w:val="0003207A"/>
    <w:rsid w:val="00032F9F"/>
    <w:rsid w:val="000375DD"/>
    <w:rsid w:val="00041C07"/>
    <w:rsid w:val="000457F8"/>
    <w:rsid w:val="00045BB7"/>
    <w:rsid w:val="00051D27"/>
    <w:rsid w:val="00055719"/>
    <w:rsid w:val="0005641B"/>
    <w:rsid w:val="0006196A"/>
    <w:rsid w:val="000650F0"/>
    <w:rsid w:val="00066BF2"/>
    <w:rsid w:val="000713BF"/>
    <w:rsid w:val="00071FB3"/>
    <w:rsid w:val="00077768"/>
    <w:rsid w:val="00081497"/>
    <w:rsid w:val="000831EC"/>
    <w:rsid w:val="00084126"/>
    <w:rsid w:val="00085255"/>
    <w:rsid w:val="000A24A7"/>
    <w:rsid w:val="000A2E76"/>
    <w:rsid w:val="000A4807"/>
    <w:rsid w:val="000A4BE4"/>
    <w:rsid w:val="000A672B"/>
    <w:rsid w:val="000B7B54"/>
    <w:rsid w:val="000C023E"/>
    <w:rsid w:val="000C405D"/>
    <w:rsid w:val="000C5195"/>
    <w:rsid w:val="000C62EF"/>
    <w:rsid w:val="000D2137"/>
    <w:rsid w:val="000D3FD2"/>
    <w:rsid w:val="000D4B2E"/>
    <w:rsid w:val="000E20E5"/>
    <w:rsid w:val="000E3FC8"/>
    <w:rsid w:val="000E7BAE"/>
    <w:rsid w:val="000F133D"/>
    <w:rsid w:val="000F7E71"/>
    <w:rsid w:val="00103B80"/>
    <w:rsid w:val="0010536B"/>
    <w:rsid w:val="00111330"/>
    <w:rsid w:val="0011145C"/>
    <w:rsid w:val="001128BD"/>
    <w:rsid w:val="0011419D"/>
    <w:rsid w:val="00114B02"/>
    <w:rsid w:val="001226C0"/>
    <w:rsid w:val="00124CC2"/>
    <w:rsid w:val="00126EC8"/>
    <w:rsid w:val="0012731C"/>
    <w:rsid w:val="00132054"/>
    <w:rsid w:val="00134964"/>
    <w:rsid w:val="001351B9"/>
    <w:rsid w:val="00155CD2"/>
    <w:rsid w:val="00155D6B"/>
    <w:rsid w:val="00171C6F"/>
    <w:rsid w:val="001727A4"/>
    <w:rsid w:val="0017376C"/>
    <w:rsid w:val="001738AB"/>
    <w:rsid w:val="001765E0"/>
    <w:rsid w:val="00177759"/>
    <w:rsid w:val="00180BB3"/>
    <w:rsid w:val="00184C14"/>
    <w:rsid w:val="00185DD6"/>
    <w:rsid w:val="00185E6B"/>
    <w:rsid w:val="00187BBC"/>
    <w:rsid w:val="001932F3"/>
    <w:rsid w:val="00197426"/>
    <w:rsid w:val="001A2B40"/>
    <w:rsid w:val="001A4309"/>
    <w:rsid w:val="001A46AE"/>
    <w:rsid w:val="001A487A"/>
    <w:rsid w:val="001A6C52"/>
    <w:rsid w:val="001B1053"/>
    <w:rsid w:val="001B14AC"/>
    <w:rsid w:val="001B7940"/>
    <w:rsid w:val="001C171A"/>
    <w:rsid w:val="001C2FE0"/>
    <w:rsid w:val="001C37CA"/>
    <w:rsid w:val="001C4085"/>
    <w:rsid w:val="001C4F64"/>
    <w:rsid w:val="001C5FA3"/>
    <w:rsid w:val="001D4303"/>
    <w:rsid w:val="001D6746"/>
    <w:rsid w:val="001E0C61"/>
    <w:rsid w:val="001E3B49"/>
    <w:rsid w:val="001E4A05"/>
    <w:rsid w:val="001E6A19"/>
    <w:rsid w:val="001E7388"/>
    <w:rsid w:val="001F13DD"/>
    <w:rsid w:val="001F2473"/>
    <w:rsid w:val="001F2DBC"/>
    <w:rsid w:val="001F73E8"/>
    <w:rsid w:val="00200816"/>
    <w:rsid w:val="0020262C"/>
    <w:rsid w:val="00202723"/>
    <w:rsid w:val="00211A3E"/>
    <w:rsid w:val="00213F20"/>
    <w:rsid w:val="00214055"/>
    <w:rsid w:val="00215666"/>
    <w:rsid w:val="00215BCA"/>
    <w:rsid w:val="002160F5"/>
    <w:rsid w:val="00217AC4"/>
    <w:rsid w:val="00221461"/>
    <w:rsid w:val="00224537"/>
    <w:rsid w:val="00235956"/>
    <w:rsid w:val="00243E5E"/>
    <w:rsid w:val="002467A6"/>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85922"/>
    <w:rsid w:val="0029113B"/>
    <w:rsid w:val="002934C0"/>
    <w:rsid w:val="00293E1F"/>
    <w:rsid w:val="00295519"/>
    <w:rsid w:val="0029764C"/>
    <w:rsid w:val="002A1B50"/>
    <w:rsid w:val="002A6819"/>
    <w:rsid w:val="002B0E91"/>
    <w:rsid w:val="002B132C"/>
    <w:rsid w:val="002B22FC"/>
    <w:rsid w:val="002B3F23"/>
    <w:rsid w:val="002B4EB5"/>
    <w:rsid w:val="002B5AF5"/>
    <w:rsid w:val="002B6779"/>
    <w:rsid w:val="002B71C0"/>
    <w:rsid w:val="002B7A34"/>
    <w:rsid w:val="002C126D"/>
    <w:rsid w:val="002C31AD"/>
    <w:rsid w:val="002C7385"/>
    <w:rsid w:val="002D2DBB"/>
    <w:rsid w:val="002D37D8"/>
    <w:rsid w:val="002D54A6"/>
    <w:rsid w:val="002E3779"/>
    <w:rsid w:val="002E5BF9"/>
    <w:rsid w:val="002E6A7A"/>
    <w:rsid w:val="002F1E49"/>
    <w:rsid w:val="002F4E9C"/>
    <w:rsid w:val="002F6E15"/>
    <w:rsid w:val="00302F4E"/>
    <w:rsid w:val="0031256C"/>
    <w:rsid w:val="00314D6C"/>
    <w:rsid w:val="00316D2A"/>
    <w:rsid w:val="00322A7C"/>
    <w:rsid w:val="00322EEC"/>
    <w:rsid w:val="00323061"/>
    <w:rsid w:val="00323491"/>
    <w:rsid w:val="00324A70"/>
    <w:rsid w:val="003300D9"/>
    <w:rsid w:val="0033433D"/>
    <w:rsid w:val="003402D3"/>
    <w:rsid w:val="0034068E"/>
    <w:rsid w:val="00340A4F"/>
    <w:rsid w:val="00343ABC"/>
    <w:rsid w:val="003463FE"/>
    <w:rsid w:val="003472FC"/>
    <w:rsid w:val="00347D41"/>
    <w:rsid w:val="00353EDF"/>
    <w:rsid w:val="003554B3"/>
    <w:rsid w:val="00356632"/>
    <w:rsid w:val="0035774C"/>
    <w:rsid w:val="00357C7E"/>
    <w:rsid w:val="003653B6"/>
    <w:rsid w:val="00370327"/>
    <w:rsid w:val="00374CC4"/>
    <w:rsid w:val="003774B2"/>
    <w:rsid w:val="00380F2D"/>
    <w:rsid w:val="003845A9"/>
    <w:rsid w:val="003850C9"/>
    <w:rsid w:val="00390883"/>
    <w:rsid w:val="003922F8"/>
    <w:rsid w:val="00395B24"/>
    <w:rsid w:val="003A2D38"/>
    <w:rsid w:val="003A7ECC"/>
    <w:rsid w:val="003B0788"/>
    <w:rsid w:val="003B2C72"/>
    <w:rsid w:val="003B58B4"/>
    <w:rsid w:val="003C1333"/>
    <w:rsid w:val="003C167E"/>
    <w:rsid w:val="003C20FF"/>
    <w:rsid w:val="003C3543"/>
    <w:rsid w:val="003C550A"/>
    <w:rsid w:val="003C6055"/>
    <w:rsid w:val="003D2650"/>
    <w:rsid w:val="003D560C"/>
    <w:rsid w:val="003D5C00"/>
    <w:rsid w:val="003D7C63"/>
    <w:rsid w:val="003E2334"/>
    <w:rsid w:val="003E3154"/>
    <w:rsid w:val="003E5874"/>
    <w:rsid w:val="003E72D3"/>
    <w:rsid w:val="003E7FA8"/>
    <w:rsid w:val="003F193E"/>
    <w:rsid w:val="003F242C"/>
    <w:rsid w:val="003F34F1"/>
    <w:rsid w:val="003F42F3"/>
    <w:rsid w:val="004031D8"/>
    <w:rsid w:val="004104B6"/>
    <w:rsid w:val="00411AE8"/>
    <w:rsid w:val="00413A58"/>
    <w:rsid w:val="00413B74"/>
    <w:rsid w:val="004143F2"/>
    <w:rsid w:val="00427BA0"/>
    <w:rsid w:val="004342F3"/>
    <w:rsid w:val="00435C5F"/>
    <w:rsid w:val="00436155"/>
    <w:rsid w:val="00436460"/>
    <w:rsid w:val="00436B47"/>
    <w:rsid w:val="00441E98"/>
    <w:rsid w:val="00450F3A"/>
    <w:rsid w:val="004532F7"/>
    <w:rsid w:val="00460D61"/>
    <w:rsid w:val="00464D51"/>
    <w:rsid w:val="00472027"/>
    <w:rsid w:val="00475985"/>
    <w:rsid w:val="004804CF"/>
    <w:rsid w:val="00481829"/>
    <w:rsid w:val="00483314"/>
    <w:rsid w:val="00484962"/>
    <w:rsid w:val="00484F6D"/>
    <w:rsid w:val="00484FB7"/>
    <w:rsid w:val="0048554D"/>
    <w:rsid w:val="0049338A"/>
    <w:rsid w:val="0049417F"/>
    <w:rsid w:val="00496D41"/>
    <w:rsid w:val="004A6602"/>
    <w:rsid w:val="004B3EFA"/>
    <w:rsid w:val="004C2A87"/>
    <w:rsid w:val="004C3C9D"/>
    <w:rsid w:val="004C4D7B"/>
    <w:rsid w:val="004C4ED3"/>
    <w:rsid w:val="004C667B"/>
    <w:rsid w:val="004C7ECD"/>
    <w:rsid w:val="004D2EA5"/>
    <w:rsid w:val="004D32A6"/>
    <w:rsid w:val="004D53E5"/>
    <w:rsid w:val="004D7950"/>
    <w:rsid w:val="004E6DC4"/>
    <w:rsid w:val="004F21C1"/>
    <w:rsid w:val="004F2F85"/>
    <w:rsid w:val="00501A12"/>
    <w:rsid w:val="0050309C"/>
    <w:rsid w:val="0050690B"/>
    <w:rsid w:val="0051327C"/>
    <w:rsid w:val="0051346D"/>
    <w:rsid w:val="00513EAE"/>
    <w:rsid w:val="0051434F"/>
    <w:rsid w:val="0051650A"/>
    <w:rsid w:val="00516806"/>
    <w:rsid w:val="0052098C"/>
    <w:rsid w:val="00525A49"/>
    <w:rsid w:val="005262D1"/>
    <w:rsid w:val="00530876"/>
    <w:rsid w:val="00535613"/>
    <w:rsid w:val="005359EB"/>
    <w:rsid w:val="00535A43"/>
    <w:rsid w:val="0054254A"/>
    <w:rsid w:val="0054500B"/>
    <w:rsid w:val="005466B5"/>
    <w:rsid w:val="00553EED"/>
    <w:rsid w:val="00554314"/>
    <w:rsid w:val="005605D4"/>
    <w:rsid w:val="00562829"/>
    <w:rsid w:val="005629B3"/>
    <w:rsid w:val="005631D2"/>
    <w:rsid w:val="00565913"/>
    <w:rsid w:val="00567DFF"/>
    <w:rsid w:val="0057128A"/>
    <w:rsid w:val="005724F6"/>
    <w:rsid w:val="00573AC4"/>
    <w:rsid w:val="005801FC"/>
    <w:rsid w:val="00585BA9"/>
    <w:rsid w:val="00587359"/>
    <w:rsid w:val="00591818"/>
    <w:rsid w:val="00592B5F"/>
    <w:rsid w:val="00595016"/>
    <w:rsid w:val="005964E9"/>
    <w:rsid w:val="00597AAE"/>
    <w:rsid w:val="00597F51"/>
    <w:rsid w:val="005A222C"/>
    <w:rsid w:val="005A4DF8"/>
    <w:rsid w:val="005A78C8"/>
    <w:rsid w:val="005B1426"/>
    <w:rsid w:val="005C0A8E"/>
    <w:rsid w:val="005C1767"/>
    <w:rsid w:val="005C185C"/>
    <w:rsid w:val="005C42EF"/>
    <w:rsid w:val="005D1097"/>
    <w:rsid w:val="005E02F5"/>
    <w:rsid w:val="005E0510"/>
    <w:rsid w:val="005E176E"/>
    <w:rsid w:val="005E218E"/>
    <w:rsid w:val="005E35A0"/>
    <w:rsid w:val="005F0D1B"/>
    <w:rsid w:val="005F1865"/>
    <w:rsid w:val="005F22AD"/>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16D8"/>
    <w:rsid w:val="00652C52"/>
    <w:rsid w:val="00654DA0"/>
    <w:rsid w:val="0066063F"/>
    <w:rsid w:val="00660CF6"/>
    <w:rsid w:val="00662BB0"/>
    <w:rsid w:val="00663878"/>
    <w:rsid w:val="00667295"/>
    <w:rsid w:val="00667773"/>
    <w:rsid w:val="00670743"/>
    <w:rsid w:val="00680A85"/>
    <w:rsid w:val="00681ADF"/>
    <w:rsid w:val="00690EE2"/>
    <w:rsid w:val="0069183C"/>
    <w:rsid w:val="00693854"/>
    <w:rsid w:val="00694BEB"/>
    <w:rsid w:val="006A0E20"/>
    <w:rsid w:val="006A24E3"/>
    <w:rsid w:val="006A5695"/>
    <w:rsid w:val="006A6095"/>
    <w:rsid w:val="006B0439"/>
    <w:rsid w:val="006B0969"/>
    <w:rsid w:val="006B3904"/>
    <w:rsid w:val="006B5B7D"/>
    <w:rsid w:val="006C5B46"/>
    <w:rsid w:val="006C6E39"/>
    <w:rsid w:val="006D0ECF"/>
    <w:rsid w:val="006D3D5B"/>
    <w:rsid w:val="006D4C92"/>
    <w:rsid w:val="006D4EB6"/>
    <w:rsid w:val="006D7FBC"/>
    <w:rsid w:val="006E35BF"/>
    <w:rsid w:val="006E363F"/>
    <w:rsid w:val="006E7850"/>
    <w:rsid w:val="006F19D8"/>
    <w:rsid w:val="006F1CCF"/>
    <w:rsid w:val="006F46D6"/>
    <w:rsid w:val="006F4BBB"/>
    <w:rsid w:val="007028D9"/>
    <w:rsid w:val="00703BDF"/>
    <w:rsid w:val="00703F84"/>
    <w:rsid w:val="00707218"/>
    <w:rsid w:val="00710D04"/>
    <w:rsid w:val="00712B1D"/>
    <w:rsid w:val="00715751"/>
    <w:rsid w:val="007171BA"/>
    <w:rsid w:val="00717616"/>
    <w:rsid w:val="007325D9"/>
    <w:rsid w:val="0073413F"/>
    <w:rsid w:val="0073583B"/>
    <w:rsid w:val="007360CA"/>
    <w:rsid w:val="00740342"/>
    <w:rsid w:val="0074667B"/>
    <w:rsid w:val="007470BD"/>
    <w:rsid w:val="00750CCD"/>
    <w:rsid w:val="00760EC0"/>
    <w:rsid w:val="0077019B"/>
    <w:rsid w:val="007711BD"/>
    <w:rsid w:val="0078003A"/>
    <w:rsid w:val="00780771"/>
    <w:rsid w:val="0078187C"/>
    <w:rsid w:val="007929CF"/>
    <w:rsid w:val="00796914"/>
    <w:rsid w:val="00797BA8"/>
    <w:rsid w:val="007A081D"/>
    <w:rsid w:val="007A49E7"/>
    <w:rsid w:val="007A6F28"/>
    <w:rsid w:val="007B03C6"/>
    <w:rsid w:val="007B0DB1"/>
    <w:rsid w:val="007B5673"/>
    <w:rsid w:val="007B7238"/>
    <w:rsid w:val="007B76FF"/>
    <w:rsid w:val="007C3BF6"/>
    <w:rsid w:val="007C4DAA"/>
    <w:rsid w:val="007C67B3"/>
    <w:rsid w:val="007D0FD2"/>
    <w:rsid w:val="007D2EF8"/>
    <w:rsid w:val="007D561F"/>
    <w:rsid w:val="007D7FD2"/>
    <w:rsid w:val="007E13D9"/>
    <w:rsid w:val="007E14DF"/>
    <w:rsid w:val="007E2AEC"/>
    <w:rsid w:val="007E3582"/>
    <w:rsid w:val="007E41BE"/>
    <w:rsid w:val="007E4DB6"/>
    <w:rsid w:val="007E6733"/>
    <w:rsid w:val="007E7CD4"/>
    <w:rsid w:val="007F12AC"/>
    <w:rsid w:val="007F4501"/>
    <w:rsid w:val="007F60DF"/>
    <w:rsid w:val="00801800"/>
    <w:rsid w:val="00801861"/>
    <w:rsid w:val="00801B5B"/>
    <w:rsid w:val="00805A30"/>
    <w:rsid w:val="00811AAA"/>
    <w:rsid w:val="008216E7"/>
    <w:rsid w:val="00824582"/>
    <w:rsid w:val="00825BE6"/>
    <w:rsid w:val="008276B4"/>
    <w:rsid w:val="00831927"/>
    <w:rsid w:val="0083661B"/>
    <w:rsid w:val="00837288"/>
    <w:rsid w:val="00841BD3"/>
    <w:rsid w:val="0084273D"/>
    <w:rsid w:val="00844E3F"/>
    <w:rsid w:val="00845A83"/>
    <w:rsid w:val="00846BB9"/>
    <w:rsid w:val="00852ECF"/>
    <w:rsid w:val="008649D5"/>
    <w:rsid w:val="008712BB"/>
    <w:rsid w:val="008830E7"/>
    <w:rsid w:val="00890EDE"/>
    <w:rsid w:val="00892B38"/>
    <w:rsid w:val="008A1741"/>
    <w:rsid w:val="008A2484"/>
    <w:rsid w:val="008A52F3"/>
    <w:rsid w:val="008A6DF4"/>
    <w:rsid w:val="008A7F68"/>
    <w:rsid w:val="008B2CE0"/>
    <w:rsid w:val="008B7237"/>
    <w:rsid w:val="008C26D9"/>
    <w:rsid w:val="008C5068"/>
    <w:rsid w:val="008C6D50"/>
    <w:rsid w:val="008C7167"/>
    <w:rsid w:val="008C7503"/>
    <w:rsid w:val="008D1617"/>
    <w:rsid w:val="008D330F"/>
    <w:rsid w:val="008D48C1"/>
    <w:rsid w:val="008D6F8A"/>
    <w:rsid w:val="008E6315"/>
    <w:rsid w:val="008E7BE8"/>
    <w:rsid w:val="008F0480"/>
    <w:rsid w:val="008F07FC"/>
    <w:rsid w:val="008F11E0"/>
    <w:rsid w:val="008F3EA7"/>
    <w:rsid w:val="008F78BC"/>
    <w:rsid w:val="008F7B63"/>
    <w:rsid w:val="008F7D6A"/>
    <w:rsid w:val="00901B54"/>
    <w:rsid w:val="00901C86"/>
    <w:rsid w:val="00903603"/>
    <w:rsid w:val="009054CB"/>
    <w:rsid w:val="00911F8D"/>
    <w:rsid w:val="00912F94"/>
    <w:rsid w:val="00914B20"/>
    <w:rsid w:val="009171BC"/>
    <w:rsid w:val="00917240"/>
    <w:rsid w:val="0092497E"/>
    <w:rsid w:val="0092590B"/>
    <w:rsid w:val="00925BF3"/>
    <w:rsid w:val="00925E60"/>
    <w:rsid w:val="009264B3"/>
    <w:rsid w:val="00926930"/>
    <w:rsid w:val="00931716"/>
    <w:rsid w:val="00931E4C"/>
    <w:rsid w:val="009332D8"/>
    <w:rsid w:val="0093584B"/>
    <w:rsid w:val="009365E0"/>
    <w:rsid w:val="00941716"/>
    <w:rsid w:val="00942BA2"/>
    <w:rsid w:val="009432B7"/>
    <w:rsid w:val="00944C86"/>
    <w:rsid w:val="00947C02"/>
    <w:rsid w:val="00950BE6"/>
    <w:rsid w:val="00957756"/>
    <w:rsid w:val="00957DE8"/>
    <w:rsid w:val="00960ECB"/>
    <w:rsid w:val="009615D6"/>
    <w:rsid w:val="0096620B"/>
    <w:rsid w:val="00966ECA"/>
    <w:rsid w:val="00967855"/>
    <w:rsid w:val="00971CD1"/>
    <w:rsid w:val="00974709"/>
    <w:rsid w:val="00977247"/>
    <w:rsid w:val="009801AE"/>
    <w:rsid w:val="00980736"/>
    <w:rsid w:val="00981A39"/>
    <w:rsid w:val="00982D56"/>
    <w:rsid w:val="0098340E"/>
    <w:rsid w:val="00983DBF"/>
    <w:rsid w:val="00987097"/>
    <w:rsid w:val="00991123"/>
    <w:rsid w:val="00991CAB"/>
    <w:rsid w:val="009A3A9C"/>
    <w:rsid w:val="009B046C"/>
    <w:rsid w:val="009B13FA"/>
    <w:rsid w:val="009B1A93"/>
    <w:rsid w:val="009B1E2D"/>
    <w:rsid w:val="009C59FB"/>
    <w:rsid w:val="009C6231"/>
    <w:rsid w:val="009C6F3B"/>
    <w:rsid w:val="009C7065"/>
    <w:rsid w:val="009D1467"/>
    <w:rsid w:val="009D328D"/>
    <w:rsid w:val="009E4FA6"/>
    <w:rsid w:val="009E7D93"/>
    <w:rsid w:val="009F3C34"/>
    <w:rsid w:val="009F462C"/>
    <w:rsid w:val="009F5C33"/>
    <w:rsid w:val="00A026F0"/>
    <w:rsid w:val="00A03EAC"/>
    <w:rsid w:val="00A04DBB"/>
    <w:rsid w:val="00A07EA0"/>
    <w:rsid w:val="00A11CA6"/>
    <w:rsid w:val="00A15FA1"/>
    <w:rsid w:val="00A2065D"/>
    <w:rsid w:val="00A20C49"/>
    <w:rsid w:val="00A22932"/>
    <w:rsid w:val="00A269CA"/>
    <w:rsid w:val="00A26DEC"/>
    <w:rsid w:val="00A336EE"/>
    <w:rsid w:val="00A33F46"/>
    <w:rsid w:val="00A3427E"/>
    <w:rsid w:val="00A34B84"/>
    <w:rsid w:val="00A359AC"/>
    <w:rsid w:val="00A37FB8"/>
    <w:rsid w:val="00A40F83"/>
    <w:rsid w:val="00A410FB"/>
    <w:rsid w:val="00A41413"/>
    <w:rsid w:val="00A431E6"/>
    <w:rsid w:val="00A436E8"/>
    <w:rsid w:val="00A45FB1"/>
    <w:rsid w:val="00A46A0F"/>
    <w:rsid w:val="00A46CCC"/>
    <w:rsid w:val="00A47996"/>
    <w:rsid w:val="00A51CFE"/>
    <w:rsid w:val="00A5204D"/>
    <w:rsid w:val="00A56E77"/>
    <w:rsid w:val="00A60D1A"/>
    <w:rsid w:val="00A61605"/>
    <w:rsid w:val="00A65F97"/>
    <w:rsid w:val="00A73B04"/>
    <w:rsid w:val="00A76C13"/>
    <w:rsid w:val="00A802D2"/>
    <w:rsid w:val="00A84307"/>
    <w:rsid w:val="00A84FD0"/>
    <w:rsid w:val="00A92E79"/>
    <w:rsid w:val="00A950B6"/>
    <w:rsid w:val="00A95D45"/>
    <w:rsid w:val="00A96B64"/>
    <w:rsid w:val="00AA3EA8"/>
    <w:rsid w:val="00AA610C"/>
    <w:rsid w:val="00AB41C1"/>
    <w:rsid w:val="00AB4CF2"/>
    <w:rsid w:val="00AB6CCA"/>
    <w:rsid w:val="00AC223F"/>
    <w:rsid w:val="00AC33B1"/>
    <w:rsid w:val="00AC6440"/>
    <w:rsid w:val="00AD12A8"/>
    <w:rsid w:val="00AE023F"/>
    <w:rsid w:val="00AE3534"/>
    <w:rsid w:val="00AF3577"/>
    <w:rsid w:val="00AF35F9"/>
    <w:rsid w:val="00B01561"/>
    <w:rsid w:val="00B03980"/>
    <w:rsid w:val="00B0424C"/>
    <w:rsid w:val="00B05C7D"/>
    <w:rsid w:val="00B15D57"/>
    <w:rsid w:val="00B16347"/>
    <w:rsid w:val="00B17D6E"/>
    <w:rsid w:val="00B20396"/>
    <w:rsid w:val="00B21C0F"/>
    <w:rsid w:val="00B2435E"/>
    <w:rsid w:val="00B2502E"/>
    <w:rsid w:val="00B318EE"/>
    <w:rsid w:val="00B340E5"/>
    <w:rsid w:val="00B346C3"/>
    <w:rsid w:val="00B359E4"/>
    <w:rsid w:val="00B4005C"/>
    <w:rsid w:val="00B41A2C"/>
    <w:rsid w:val="00B4227E"/>
    <w:rsid w:val="00B4471C"/>
    <w:rsid w:val="00B451A6"/>
    <w:rsid w:val="00B4634D"/>
    <w:rsid w:val="00B469B6"/>
    <w:rsid w:val="00B52BCF"/>
    <w:rsid w:val="00B56D6E"/>
    <w:rsid w:val="00B64347"/>
    <w:rsid w:val="00B65DC6"/>
    <w:rsid w:val="00B67AC2"/>
    <w:rsid w:val="00B722DE"/>
    <w:rsid w:val="00B751E3"/>
    <w:rsid w:val="00B7530A"/>
    <w:rsid w:val="00B75BA6"/>
    <w:rsid w:val="00B76C44"/>
    <w:rsid w:val="00B77518"/>
    <w:rsid w:val="00B8184A"/>
    <w:rsid w:val="00B82283"/>
    <w:rsid w:val="00B82679"/>
    <w:rsid w:val="00B828D8"/>
    <w:rsid w:val="00B83F87"/>
    <w:rsid w:val="00B87CDC"/>
    <w:rsid w:val="00B910C1"/>
    <w:rsid w:val="00B93A2D"/>
    <w:rsid w:val="00BA2CA4"/>
    <w:rsid w:val="00BA2EFA"/>
    <w:rsid w:val="00BA3DBC"/>
    <w:rsid w:val="00BA707A"/>
    <w:rsid w:val="00BB1AFB"/>
    <w:rsid w:val="00BB27AE"/>
    <w:rsid w:val="00BB2DA2"/>
    <w:rsid w:val="00BB56DC"/>
    <w:rsid w:val="00BD1B88"/>
    <w:rsid w:val="00BE06FF"/>
    <w:rsid w:val="00BE183D"/>
    <w:rsid w:val="00BE6CA4"/>
    <w:rsid w:val="00BF24C2"/>
    <w:rsid w:val="00BF2922"/>
    <w:rsid w:val="00BF5D7A"/>
    <w:rsid w:val="00C01C2E"/>
    <w:rsid w:val="00C02D33"/>
    <w:rsid w:val="00C04B53"/>
    <w:rsid w:val="00C1232C"/>
    <w:rsid w:val="00C17FD9"/>
    <w:rsid w:val="00C268AF"/>
    <w:rsid w:val="00C27C6B"/>
    <w:rsid w:val="00C27CD2"/>
    <w:rsid w:val="00C3468E"/>
    <w:rsid w:val="00C34809"/>
    <w:rsid w:val="00C3594D"/>
    <w:rsid w:val="00C36442"/>
    <w:rsid w:val="00C400CE"/>
    <w:rsid w:val="00C410FD"/>
    <w:rsid w:val="00C457DE"/>
    <w:rsid w:val="00C47DD3"/>
    <w:rsid w:val="00C5069E"/>
    <w:rsid w:val="00C52360"/>
    <w:rsid w:val="00C5316F"/>
    <w:rsid w:val="00C53562"/>
    <w:rsid w:val="00C539FB"/>
    <w:rsid w:val="00C66AA3"/>
    <w:rsid w:val="00C66E57"/>
    <w:rsid w:val="00C724D7"/>
    <w:rsid w:val="00C74150"/>
    <w:rsid w:val="00C75594"/>
    <w:rsid w:val="00C80C30"/>
    <w:rsid w:val="00C81F59"/>
    <w:rsid w:val="00C85982"/>
    <w:rsid w:val="00C9509A"/>
    <w:rsid w:val="00CA0466"/>
    <w:rsid w:val="00CA246D"/>
    <w:rsid w:val="00CA50D9"/>
    <w:rsid w:val="00CB3054"/>
    <w:rsid w:val="00CB5636"/>
    <w:rsid w:val="00CB5F30"/>
    <w:rsid w:val="00CC3EE5"/>
    <w:rsid w:val="00CC6E47"/>
    <w:rsid w:val="00CD1346"/>
    <w:rsid w:val="00CE425C"/>
    <w:rsid w:val="00CE58AC"/>
    <w:rsid w:val="00CF5A80"/>
    <w:rsid w:val="00D045EE"/>
    <w:rsid w:val="00D05091"/>
    <w:rsid w:val="00D0645D"/>
    <w:rsid w:val="00D10CA6"/>
    <w:rsid w:val="00D10F21"/>
    <w:rsid w:val="00D134CF"/>
    <w:rsid w:val="00D1573B"/>
    <w:rsid w:val="00D16F08"/>
    <w:rsid w:val="00D24806"/>
    <w:rsid w:val="00D31517"/>
    <w:rsid w:val="00D34040"/>
    <w:rsid w:val="00D34E69"/>
    <w:rsid w:val="00D36C78"/>
    <w:rsid w:val="00D375EE"/>
    <w:rsid w:val="00D55AE8"/>
    <w:rsid w:val="00D56056"/>
    <w:rsid w:val="00D60756"/>
    <w:rsid w:val="00D6085F"/>
    <w:rsid w:val="00D62699"/>
    <w:rsid w:val="00D73E05"/>
    <w:rsid w:val="00D778E9"/>
    <w:rsid w:val="00D812BF"/>
    <w:rsid w:val="00D82620"/>
    <w:rsid w:val="00D85707"/>
    <w:rsid w:val="00D9236A"/>
    <w:rsid w:val="00D9725F"/>
    <w:rsid w:val="00DA01B1"/>
    <w:rsid w:val="00DA11A2"/>
    <w:rsid w:val="00DA14ED"/>
    <w:rsid w:val="00DA26D6"/>
    <w:rsid w:val="00DA5848"/>
    <w:rsid w:val="00DB0EB9"/>
    <w:rsid w:val="00DB2EF1"/>
    <w:rsid w:val="00DB3DE1"/>
    <w:rsid w:val="00DB53FE"/>
    <w:rsid w:val="00DB5DA0"/>
    <w:rsid w:val="00DB716C"/>
    <w:rsid w:val="00DC0AF2"/>
    <w:rsid w:val="00DC2249"/>
    <w:rsid w:val="00DC52C9"/>
    <w:rsid w:val="00DC5C85"/>
    <w:rsid w:val="00DC7C5D"/>
    <w:rsid w:val="00DD20B0"/>
    <w:rsid w:val="00DD2C60"/>
    <w:rsid w:val="00DD4236"/>
    <w:rsid w:val="00DD44F1"/>
    <w:rsid w:val="00DD6957"/>
    <w:rsid w:val="00DD6E7A"/>
    <w:rsid w:val="00DE0BFC"/>
    <w:rsid w:val="00DE3067"/>
    <w:rsid w:val="00DF3EEE"/>
    <w:rsid w:val="00DF75E1"/>
    <w:rsid w:val="00E027BC"/>
    <w:rsid w:val="00E045BE"/>
    <w:rsid w:val="00E10F0D"/>
    <w:rsid w:val="00E14EA5"/>
    <w:rsid w:val="00E2070E"/>
    <w:rsid w:val="00E21133"/>
    <w:rsid w:val="00E2327E"/>
    <w:rsid w:val="00E23577"/>
    <w:rsid w:val="00E266EF"/>
    <w:rsid w:val="00E30A9E"/>
    <w:rsid w:val="00E326A8"/>
    <w:rsid w:val="00E47428"/>
    <w:rsid w:val="00E532F5"/>
    <w:rsid w:val="00E54220"/>
    <w:rsid w:val="00E56C8E"/>
    <w:rsid w:val="00E5716B"/>
    <w:rsid w:val="00E57F1F"/>
    <w:rsid w:val="00E61DE3"/>
    <w:rsid w:val="00E62892"/>
    <w:rsid w:val="00E62E2E"/>
    <w:rsid w:val="00E63E53"/>
    <w:rsid w:val="00E66B9F"/>
    <w:rsid w:val="00E70A6A"/>
    <w:rsid w:val="00E710D6"/>
    <w:rsid w:val="00E725C3"/>
    <w:rsid w:val="00E73DA4"/>
    <w:rsid w:val="00E76E45"/>
    <w:rsid w:val="00E776E7"/>
    <w:rsid w:val="00E777C9"/>
    <w:rsid w:val="00E8171D"/>
    <w:rsid w:val="00E81DA6"/>
    <w:rsid w:val="00E84212"/>
    <w:rsid w:val="00E9086C"/>
    <w:rsid w:val="00E90AAA"/>
    <w:rsid w:val="00E91A0F"/>
    <w:rsid w:val="00E94A71"/>
    <w:rsid w:val="00E94CBF"/>
    <w:rsid w:val="00E953CB"/>
    <w:rsid w:val="00EA03CE"/>
    <w:rsid w:val="00EA23E5"/>
    <w:rsid w:val="00EA3377"/>
    <w:rsid w:val="00EA4E2E"/>
    <w:rsid w:val="00EB2417"/>
    <w:rsid w:val="00EB2CCB"/>
    <w:rsid w:val="00EB36A8"/>
    <w:rsid w:val="00EB7A25"/>
    <w:rsid w:val="00EC0F3E"/>
    <w:rsid w:val="00EC4E62"/>
    <w:rsid w:val="00EC57A7"/>
    <w:rsid w:val="00ED0817"/>
    <w:rsid w:val="00ED464D"/>
    <w:rsid w:val="00ED4C5C"/>
    <w:rsid w:val="00ED7DD9"/>
    <w:rsid w:val="00EE445B"/>
    <w:rsid w:val="00EE5C6D"/>
    <w:rsid w:val="00EF3113"/>
    <w:rsid w:val="00EF3F84"/>
    <w:rsid w:val="00F13C66"/>
    <w:rsid w:val="00F176AC"/>
    <w:rsid w:val="00F2308D"/>
    <w:rsid w:val="00F26F28"/>
    <w:rsid w:val="00F27714"/>
    <w:rsid w:val="00F31EF2"/>
    <w:rsid w:val="00F3276E"/>
    <w:rsid w:val="00F33D3C"/>
    <w:rsid w:val="00F37A91"/>
    <w:rsid w:val="00F408A0"/>
    <w:rsid w:val="00F45CF5"/>
    <w:rsid w:val="00F47DB0"/>
    <w:rsid w:val="00F50C3F"/>
    <w:rsid w:val="00F50E34"/>
    <w:rsid w:val="00F51AFB"/>
    <w:rsid w:val="00F53EF7"/>
    <w:rsid w:val="00F54BF2"/>
    <w:rsid w:val="00F63341"/>
    <w:rsid w:val="00F634BA"/>
    <w:rsid w:val="00F775AC"/>
    <w:rsid w:val="00F8792F"/>
    <w:rsid w:val="00F9214D"/>
    <w:rsid w:val="00F92355"/>
    <w:rsid w:val="00F93963"/>
    <w:rsid w:val="00F94291"/>
    <w:rsid w:val="00FA298A"/>
    <w:rsid w:val="00FA5B66"/>
    <w:rsid w:val="00FB0B9C"/>
    <w:rsid w:val="00FB30EB"/>
    <w:rsid w:val="00FB7982"/>
    <w:rsid w:val="00FC0734"/>
    <w:rsid w:val="00FC0FC5"/>
    <w:rsid w:val="00FC588F"/>
    <w:rsid w:val="00FC6879"/>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42820D"/>
  <w15:docId w15:val="{7736C9BB-E74B-4542-B0CC-2765A57F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Revision">
    <w:name w:val="Revision"/>
    <w:hidden/>
    <w:uiPriority w:val="99"/>
    <w:semiHidden/>
    <w:rsid w:val="00DA584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810540">
      <w:bodyDiv w:val="1"/>
      <w:marLeft w:val="0"/>
      <w:marRight w:val="0"/>
      <w:marTop w:val="0"/>
      <w:marBottom w:val="0"/>
      <w:divBdr>
        <w:top w:val="none" w:sz="0" w:space="0" w:color="auto"/>
        <w:left w:val="none" w:sz="0" w:space="0" w:color="auto"/>
        <w:bottom w:val="none" w:sz="0" w:space="0" w:color="auto"/>
        <w:right w:val="none" w:sz="0" w:space="0" w:color="auto"/>
      </w:divBdr>
      <w:divsChild>
        <w:div w:id="500660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4254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32010E9AD241A883F5931904D7382B"/>
        <w:category>
          <w:name w:val="General"/>
          <w:gallery w:val="placeholder"/>
        </w:category>
        <w:types>
          <w:type w:val="bbPlcHdr"/>
        </w:types>
        <w:behaviors>
          <w:behavior w:val="content"/>
        </w:behaviors>
        <w:guid w:val="{DB3AB370-620C-4906-82FF-D77812C23909}"/>
      </w:docPartPr>
      <w:docPartBody>
        <w:p w:rsidR="002E517D" w:rsidRDefault="002E517D">
          <w:pPr>
            <w:pStyle w:val="FF32010E9AD241A883F5931904D7382B"/>
          </w:pPr>
          <w:r>
            <w:rPr>
              <w:rStyle w:val="PlaceholderText"/>
            </w:rPr>
            <w:t>MNC Text</w:t>
          </w:r>
        </w:p>
      </w:docPartBody>
    </w:docPart>
    <w:docPart>
      <w:docPartPr>
        <w:name w:val="474E6BBFA9274AB48608C9C6C4508E44"/>
        <w:category>
          <w:name w:val="General"/>
          <w:gallery w:val="placeholder"/>
        </w:category>
        <w:types>
          <w:type w:val="bbPlcHdr"/>
        </w:types>
        <w:behaviors>
          <w:behavior w:val="content"/>
        </w:behaviors>
        <w:guid w:val="{716F5BAC-5B52-43B8-995E-7BA35D41A5E2}"/>
      </w:docPartPr>
      <w:docPartBody>
        <w:p w:rsidR="002E517D" w:rsidRDefault="002E517D">
          <w:pPr>
            <w:pStyle w:val="474E6BBFA9274AB48608C9C6C4508E44"/>
          </w:pPr>
          <w:r w:rsidRPr="005C44BE">
            <w:rPr>
              <w:rStyle w:val="PlaceholderText"/>
            </w:rPr>
            <w:t>Click or tap here to enter text.</w:t>
          </w:r>
        </w:p>
      </w:docPartBody>
    </w:docPart>
    <w:docPart>
      <w:docPartPr>
        <w:name w:val="61A0D6C2571B4FEEB7C44A023AE7294A"/>
        <w:category>
          <w:name w:val="General"/>
          <w:gallery w:val="placeholder"/>
        </w:category>
        <w:types>
          <w:type w:val="bbPlcHdr"/>
        </w:types>
        <w:behaviors>
          <w:behavior w:val="content"/>
        </w:behaviors>
        <w:guid w:val="{3C0A272F-FB9A-460C-BB8A-EACFE69A9DCB}"/>
      </w:docPartPr>
      <w:docPartBody>
        <w:p w:rsidR="002E517D" w:rsidRDefault="002E517D">
          <w:pPr>
            <w:pStyle w:val="61A0D6C2571B4FEEB7C44A023AE7294A"/>
          </w:pPr>
          <w:r w:rsidRPr="005C44BE">
            <w:rPr>
              <w:rStyle w:val="PlaceholderText"/>
            </w:rPr>
            <w:t>Click or tap here to enter text.</w:t>
          </w:r>
        </w:p>
      </w:docPartBody>
    </w:docPart>
    <w:docPart>
      <w:docPartPr>
        <w:name w:val="B4C319BD69C74AE1AE16C041D7BB9D0E"/>
        <w:category>
          <w:name w:val="General"/>
          <w:gallery w:val="placeholder"/>
        </w:category>
        <w:types>
          <w:type w:val="bbPlcHdr"/>
        </w:types>
        <w:behaviors>
          <w:behavior w:val="content"/>
        </w:behaviors>
        <w:guid w:val="{911EE4F5-D8AA-43CD-B328-6BD683F9F878}"/>
      </w:docPartPr>
      <w:docPartBody>
        <w:p w:rsidR="002E517D" w:rsidRDefault="002E517D">
          <w:pPr>
            <w:pStyle w:val="B4C319BD69C74AE1AE16C041D7BB9D0E"/>
          </w:pPr>
          <w:r w:rsidRPr="005C44BE">
            <w:rPr>
              <w:rStyle w:val="PlaceholderText"/>
            </w:rPr>
            <w:t>Click or tap here to enter text.</w:t>
          </w:r>
        </w:p>
      </w:docPartBody>
    </w:docPart>
    <w:docPart>
      <w:docPartPr>
        <w:name w:val="C4E21F3C6FCD414A8096F3768ACACA1C"/>
        <w:category>
          <w:name w:val="General"/>
          <w:gallery w:val="placeholder"/>
        </w:category>
        <w:types>
          <w:type w:val="bbPlcHdr"/>
        </w:types>
        <w:behaviors>
          <w:behavior w:val="content"/>
        </w:behaviors>
        <w:guid w:val="{119AD97F-1FDF-4165-913D-B588E93C0BF9}"/>
      </w:docPartPr>
      <w:docPartBody>
        <w:p w:rsidR="002E517D" w:rsidRDefault="002E517D">
          <w:pPr>
            <w:pStyle w:val="C4E21F3C6FCD414A8096F3768ACACA1C"/>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7D"/>
    <w:rsid w:val="002E517D"/>
    <w:rsid w:val="00335921"/>
    <w:rsid w:val="008D05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F32010E9AD241A883F5931904D7382B">
    <w:name w:val="FF32010E9AD241A883F5931904D7382B"/>
  </w:style>
  <w:style w:type="paragraph" w:customStyle="1" w:styleId="474E6BBFA9274AB48608C9C6C4508E44">
    <w:name w:val="474E6BBFA9274AB48608C9C6C4508E44"/>
  </w:style>
  <w:style w:type="paragraph" w:customStyle="1" w:styleId="61A0D6C2571B4FEEB7C44A023AE7294A">
    <w:name w:val="61A0D6C2571B4FEEB7C44A023AE7294A"/>
  </w:style>
  <w:style w:type="paragraph" w:customStyle="1" w:styleId="B4C319BD69C74AE1AE16C041D7BB9D0E">
    <w:name w:val="B4C319BD69C74AE1AE16C041D7BB9D0E"/>
  </w:style>
  <w:style w:type="paragraph" w:customStyle="1" w:styleId="C4E21F3C6FCD414A8096F3768ACACA1C">
    <w:name w:val="C4E21F3C6FCD414A8096F3768ACACA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chemas.globalmacros.com/FCA">
  <Name>AZO24 v Commonwealth [2024] FCA 218 </Name>
</root>
</file>

<file path=customXml/itemProps1.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6</Pages>
  <Words>1775</Words>
  <Characters>9217</Characters>
  <Application>Microsoft Office Word</Application>
  <DocSecurity>0</DocSecurity>
  <Lines>230</Lines>
  <Paragraphs>85</Paragraphs>
  <ScaleCrop>false</ScaleCrop>
  <HeadingPairs>
    <vt:vector size="2" baseType="variant">
      <vt:variant>
        <vt:lpstr>Title</vt:lpstr>
      </vt:variant>
      <vt:variant>
        <vt:i4>1</vt:i4>
      </vt:variant>
    </vt:vector>
  </HeadingPairs>
  <TitlesOfParts>
    <vt:vector size="1" baseType="lpstr">
      <vt:lpstr>AZO24 v Commonwealth [2024] FCA 218</vt:lpstr>
    </vt:vector>
  </TitlesOfParts>
  <Company>Federal Court of Australia</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AZO24 v Commonwealth [2024] FCA 218</dc:title>
  <dc:creator>Justice Kennett (FCA)</dc:creator>
  <dc:description>v1.3</dc:description>
  <cp:lastModifiedBy>Federal Court of Australia</cp:lastModifiedBy>
  <cp:revision>4</cp:revision>
  <cp:lastPrinted>2006-02-06T01:31:00Z</cp:lastPrinted>
  <dcterms:created xsi:type="dcterms:W3CDTF">2024-03-11T23:04:00Z</dcterms:created>
  <dcterms:modified xsi:type="dcterms:W3CDTF">2024-03-11T23:13:00Z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TBC</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TBC</vt:lpwstr>
  </property>
  <property fmtid="{D5CDD505-2E9C-101B-9397-08002B2CF9AE}" pid="16" name="Court">
    <vt:lpwstr>Federal Court of Australia</vt:lpwstr>
  </property>
  <property fmtid="{D5CDD505-2E9C-101B-9397-08002B2CF9AE}" pid="17" name="Sub Area">
    <vt:lpwstr>To be Completed for Commercial and Corporations, and IP NPAs</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