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9B52F" w14:textId="3D6B107D" w:rsidR="00395B24" w:rsidRPr="006A69E2" w:rsidRDefault="004F4E99" w:rsidP="00A22932">
      <w:pPr>
        <w:pStyle w:val="CourtTitle"/>
      </w:pPr>
      <w:r w:rsidRPr="006A69E2">
        <w:rPr>
          <w:caps w:val="0"/>
        </w:rPr>
        <w:t>FEDERAL COURT OF AUSTRALIA</w:t>
      </w:r>
    </w:p>
    <w:p w14:paraId="0E288972" w14:textId="77777777" w:rsidR="004D7950" w:rsidRPr="006A69E2" w:rsidRDefault="004D7950">
      <w:pPr>
        <w:pStyle w:val="NormalHeadings"/>
        <w:jc w:val="center"/>
        <w:rPr>
          <w:sz w:val="32"/>
        </w:rPr>
      </w:pPr>
    </w:p>
    <w:bookmarkStart w:id="0" w:name="MNC"/>
    <w:p w14:paraId="442D84D3" w14:textId="62E3D840" w:rsidR="00374CC4" w:rsidRPr="006A69E2" w:rsidRDefault="00F9563A" w:rsidP="001A2B40">
      <w:pPr>
        <w:pStyle w:val="MNC"/>
      </w:pPr>
      <w:sdt>
        <w:sdtPr>
          <w:alias w:val="MNC"/>
          <w:tag w:val="MNC"/>
          <w:id w:val="343289786"/>
          <w:lock w:val="sdtLocked"/>
          <w:placeholder>
            <w:docPart w:val="FA0778A2671E47DBAF72311520DB4865"/>
          </w:placeholder>
          <w:dataBinding w:prefixMappings="xmlns:ns0='http://schemas.globalmacros.com/FCA'" w:xpath="/ns0:root[1]/ns0:Name[1]" w:storeItemID="{687E7CCB-4AA5-44E7-B148-17BA2B6F57C0}"/>
          <w:text w:multiLine="1"/>
        </w:sdtPr>
        <w:sdtEndPr/>
        <w:sdtContent>
          <w:r w:rsidR="00BD759C" w:rsidRPr="006A69E2">
            <w:t>Bester, i</w:t>
          </w:r>
          <w:r w:rsidR="00832026" w:rsidRPr="006A69E2">
            <w:t xml:space="preserve">n the matter of Mirror Trading (Pty) Ltd (in liquidation) [2024] </w:t>
          </w:r>
          <w:r w:rsidR="00BD759C" w:rsidRPr="006A69E2">
            <w:t>FCA 305</w:t>
          </w:r>
        </w:sdtContent>
      </w:sdt>
      <w:bookmarkEnd w:id="0"/>
    </w:p>
    <w:tbl>
      <w:tblPr>
        <w:tblW w:w="9072" w:type="dxa"/>
        <w:tblLayout w:type="fixed"/>
        <w:tblLook w:val="01E0" w:firstRow="1" w:lastRow="1" w:firstColumn="1" w:lastColumn="1" w:noHBand="0" w:noVBand="0"/>
        <w:tblCaption w:val="Cover Table"/>
        <w:tblDescription w:val="Cover Table"/>
      </w:tblPr>
      <w:tblGrid>
        <w:gridCol w:w="3083"/>
        <w:gridCol w:w="5989"/>
      </w:tblGrid>
      <w:tr w:rsidR="00395B24" w:rsidRPr="006A69E2" w14:paraId="55C53884" w14:textId="77777777" w:rsidTr="00AF269D">
        <w:tc>
          <w:tcPr>
            <w:tcW w:w="3083" w:type="dxa"/>
            <w:shd w:val="clear" w:color="auto" w:fill="auto"/>
          </w:tcPr>
          <w:p w14:paraId="214D6527" w14:textId="77777777" w:rsidR="00395B24" w:rsidRPr="006A69E2" w:rsidRDefault="002C7385" w:rsidP="00663878">
            <w:pPr>
              <w:pStyle w:val="Normal1linespace"/>
              <w:widowControl w:val="0"/>
              <w:jc w:val="left"/>
            </w:pPr>
            <w:r w:rsidRPr="006A69E2">
              <w:t>File number(s):</w:t>
            </w:r>
          </w:p>
        </w:tc>
        <w:bookmarkStart w:id="1" w:name="_Hlk162508452"/>
        <w:tc>
          <w:tcPr>
            <w:tcW w:w="5989" w:type="dxa"/>
            <w:shd w:val="clear" w:color="auto" w:fill="auto"/>
          </w:tcPr>
          <w:p w14:paraId="312E3C1F" w14:textId="6AE8772D" w:rsidR="00395B24" w:rsidRPr="006A69E2" w:rsidRDefault="0091590D" w:rsidP="00E56CAE">
            <w:pPr>
              <w:pStyle w:val="Normal1linespace"/>
              <w:jc w:val="left"/>
            </w:pPr>
            <w:r>
              <w:fldChar w:fldCharType="begin" w:fldLock="1"/>
            </w:r>
            <w:r>
              <w:instrText xml:space="preserve"> REF  FileNo  \* MERGEFORMAT </w:instrText>
            </w:r>
            <w:r>
              <w:fldChar w:fldCharType="separate"/>
            </w:r>
            <w:r w:rsidR="00E56CAE" w:rsidRPr="006A69E2">
              <w:t>VID</w:t>
            </w:r>
            <w:r w:rsidR="006B1E8D">
              <w:t xml:space="preserve"> </w:t>
            </w:r>
            <w:r w:rsidR="00E56CAE" w:rsidRPr="006A69E2">
              <w:t>1084 of 2023</w:t>
            </w:r>
            <w:r>
              <w:fldChar w:fldCharType="end"/>
            </w:r>
            <w:bookmarkEnd w:id="1"/>
          </w:p>
        </w:tc>
      </w:tr>
      <w:tr w:rsidR="00395B24" w:rsidRPr="006A69E2" w14:paraId="123450D3" w14:textId="77777777" w:rsidTr="00AF269D">
        <w:tc>
          <w:tcPr>
            <w:tcW w:w="3083" w:type="dxa"/>
            <w:shd w:val="clear" w:color="auto" w:fill="auto"/>
          </w:tcPr>
          <w:p w14:paraId="0A161632" w14:textId="77777777" w:rsidR="00395B24" w:rsidRPr="006A69E2" w:rsidRDefault="00395B24" w:rsidP="00663878">
            <w:pPr>
              <w:pStyle w:val="Normal1linespace"/>
              <w:widowControl w:val="0"/>
              <w:jc w:val="left"/>
            </w:pPr>
          </w:p>
        </w:tc>
        <w:tc>
          <w:tcPr>
            <w:tcW w:w="5989" w:type="dxa"/>
            <w:shd w:val="clear" w:color="auto" w:fill="auto"/>
          </w:tcPr>
          <w:p w14:paraId="0C5E2168" w14:textId="77777777" w:rsidR="00395B24" w:rsidRPr="006A69E2" w:rsidRDefault="00395B24" w:rsidP="00663878">
            <w:pPr>
              <w:pStyle w:val="Normal1linespace"/>
              <w:widowControl w:val="0"/>
              <w:jc w:val="left"/>
            </w:pPr>
          </w:p>
        </w:tc>
      </w:tr>
      <w:tr w:rsidR="00395B24" w:rsidRPr="006A69E2" w14:paraId="598457A1" w14:textId="77777777" w:rsidTr="00AF269D">
        <w:tc>
          <w:tcPr>
            <w:tcW w:w="3083" w:type="dxa"/>
            <w:shd w:val="clear" w:color="auto" w:fill="auto"/>
          </w:tcPr>
          <w:p w14:paraId="7C0D7169" w14:textId="77777777" w:rsidR="00395B24" w:rsidRPr="006A69E2" w:rsidRDefault="002C7385" w:rsidP="00663878">
            <w:pPr>
              <w:pStyle w:val="Normal1linespace"/>
              <w:widowControl w:val="0"/>
              <w:jc w:val="left"/>
            </w:pPr>
            <w:r w:rsidRPr="006A69E2">
              <w:t>Judg</w:t>
            </w:r>
            <w:r w:rsidR="005724F6" w:rsidRPr="006A69E2">
              <w:t>ment of</w:t>
            </w:r>
            <w:r w:rsidRPr="006A69E2">
              <w:t>:</w:t>
            </w:r>
          </w:p>
        </w:tc>
        <w:tc>
          <w:tcPr>
            <w:tcW w:w="5989" w:type="dxa"/>
            <w:shd w:val="clear" w:color="auto" w:fill="auto"/>
          </w:tcPr>
          <w:p w14:paraId="2AC4C347" w14:textId="76F84718" w:rsidR="00395B24" w:rsidRPr="006A69E2" w:rsidRDefault="002C7385" w:rsidP="00663878">
            <w:pPr>
              <w:pStyle w:val="Normal1linespace"/>
              <w:widowControl w:val="0"/>
              <w:jc w:val="left"/>
              <w:rPr>
                <w:b/>
              </w:rPr>
            </w:pPr>
            <w:r w:rsidRPr="006A69E2">
              <w:rPr>
                <w:b/>
              </w:rPr>
              <w:fldChar w:fldCharType="begin" w:fldLock="1"/>
            </w:r>
            <w:r w:rsidRPr="006A69E2">
              <w:rPr>
                <w:b/>
              </w:rPr>
              <w:instrText xml:space="preserve"> REF  Judge  \* MERGEFORMAT </w:instrText>
            </w:r>
            <w:r w:rsidRPr="006A69E2">
              <w:rPr>
                <w:b/>
              </w:rPr>
              <w:fldChar w:fldCharType="separate"/>
            </w:r>
            <w:r w:rsidR="00E56CAE" w:rsidRPr="006A69E2">
              <w:rPr>
                <w:b/>
                <w:caps/>
                <w:szCs w:val="24"/>
              </w:rPr>
              <w:t>MCEVOY J</w:t>
            </w:r>
            <w:r w:rsidRPr="006A69E2">
              <w:rPr>
                <w:b/>
              </w:rPr>
              <w:fldChar w:fldCharType="end"/>
            </w:r>
          </w:p>
        </w:tc>
      </w:tr>
      <w:tr w:rsidR="00395B24" w:rsidRPr="006A69E2" w14:paraId="5553FAE0" w14:textId="77777777" w:rsidTr="00AF269D">
        <w:tc>
          <w:tcPr>
            <w:tcW w:w="3083" w:type="dxa"/>
            <w:shd w:val="clear" w:color="auto" w:fill="auto"/>
          </w:tcPr>
          <w:p w14:paraId="4522975A" w14:textId="77777777" w:rsidR="00395B24" w:rsidRPr="006A69E2" w:rsidRDefault="00395B24" w:rsidP="00663878">
            <w:pPr>
              <w:pStyle w:val="Normal1linespace"/>
              <w:widowControl w:val="0"/>
              <w:jc w:val="left"/>
            </w:pPr>
          </w:p>
        </w:tc>
        <w:tc>
          <w:tcPr>
            <w:tcW w:w="5989" w:type="dxa"/>
            <w:shd w:val="clear" w:color="auto" w:fill="auto"/>
          </w:tcPr>
          <w:p w14:paraId="5B1525B2" w14:textId="77777777" w:rsidR="00395B24" w:rsidRPr="006A69E2" w:rsidRDefault="00395B24" w:rsidP="00663878">
            <w:pPr>
              <w:pStyle w:val="Normal1linespace"/>
              <w:widowControl w:val="0"/>
              <w:jc w:val="left"/>
            </w:pPr>
          </w:p>
        </w:tc>
      </w:tr>
      <w:tr w:rsidR="00395B24" w:rsidRPr="006A69E2" w14:paraId="39EAF23F" w14:textId="77777777" w:rsidTr="00AF269D">
        <w:tc>
          <w:tcPr>
            <w:tcW w:w="3083" w:type="dxa"/>
            <w:shd w:val="clear" w:color="auto" w:fill="auto"/>
          </w:tcPr>
          <w:p w14:paraId="11CC3BB8" w14:textId="77777777" w:rsidR="00395B24" w:rsidRPr="006A69E2" w:rsidRDefault="002C7385" w:rsidP="00663878">
            <w:pPr>
              <w:pStyle w:val="Normal1linespace"/>
              <w:widowControl w:val="0"/>
              <w:jc w:val="left"/>
            </w:pPr>
            <w:r w:rsidRPr="006A69E2">
              <w:t>Date of judgment:</w:t>
            </w:r>
          </w:p>
        </w:tc>
        <w:tc>
          <w:tcPr>
            <w:tcW w:w="5989" w:type="dxa"/>
            <w:shd w:val="clear" w:color="auto" w:fill="auto"/>
          </w:tcPr>
          <w:p w14:paraId="631BBB3D" w14:textId="2B7BBCEE" w:rsidR="00395B24" w:rsidRPr="006A69E2" w:rsidRDefault="00BF2258" w:rsidP="00663878">
            <w:pPr>
              <w:pStyle w:val="Normal1linespace"/>
              <w:widowControl w:val="0"/>
              <w:jc w:val="left"/>
            </w:pPr>
            <w:bookmarkStart w:id="2" w:name="JudgmentDate"/>
            <w:r w:rsidRPr="00C47775">
              <w:t>27 March 2024</w:t>
            </w:r>
            <w:bookmarkEnd w:id="2"/>
          </w:p>
        </w:tc>
      </w:tr>
      <w:tr w:rsidR="00395B24" w:rsidRPr="006A69E2" w14:paraId="3EC9CACB" w14:textId="77777777" w:rsidTr="00AF269D">
        <w:tc>
          <w:tcPr>
            <w:tcW w:w="3083" w:type="dxa"/>
            <w:shd w:val="clear" w:color="auto" w:fill="auto"/>
          </w:tcPr>
          <w:p w14:paraId="055C219F" w14:textId="77777777" w:rsidR="00395B24" w:rsidRPr="006A69E2" w:rsidRDefault="00395B24" w:rsidP="00663878">
            <w:pPr>
              <w:pStyle w:val="Normal1linespace"/>
              <w:widowControl w:val="0"/>
              <w:jc w:val="left"/>
            </w:pPr>
          </w:p>
        </w:tc>
        <w:tc>
          <w:tcPr>
            <w:tcW w:w="5989" w:type="dxa"/>
            <w:shd w:val="clear" w:color="auto" w:fill="auto"/>
          </w:tcPr>
          <w:p w14:paraId="3A829639" w14:textId="77777777" w:rsidR="00395B24" w:rsidRPr="006A69E2" w:rsidRDefault="00395B24" w:rsidP="00663878">
            <w:pPr>
              <w:pStyle w:val="Normal1linespace"/>
              <w:widowControl w:val="0"/>
              <w:jc w:val="left"/>
            </w:pPr>
          </w:p>
        </w:tc>
      </w:tr>
      <w:tr w:rsidR="00395B24" w:rsidRPr="006A69E2" w14:paraId="7D00B80E" w14:textId="77777777" w:rsidTr="00AF269D">
        <w:tc>
          <w:tcPr>
            <w:tcW w:w="3083" w:type="dxa"/>
            <w:shd w:val="clear" w:color="auto" w:fill="auto"/>
          </w:tcPr>
          <w:p w14:paraId="5E75AF87" w14:textId="77777777" w:rsidR="00395B24" w:rsidRPr="006A69E2" w:rsidRDefault="002C7385" w:rsidP="00663878">
            <w:pPr>
              <w:pStyle w:val="Normal1linespace"/>
              <w:widowControl w:val="0"/>
              <w:jc w:val="left"/>
            </w:pPr>
            <w:r w:rsidRPr="006A69E2">
              <w:t>Catchwords:</w:t>
            </w:r>
          </w:p>
        </w:tc>
        <w:tc>
          <w:tcPr>
            <w:tcW w:w="5989" w:type="dxa"/>
            <w:shd w:val="clear" w:color="auto" w:fill="auto"/>
          </w:tcPr>
          <w:p w14:paraId="63DBA974" w14:textId="049E3931" w:rsidR="00395B24" w:rsidRPr="006A69E2" w:rsidRDefault="00296667" w:rsidP="009930B4">
            <w:pPr>
              <w:pStyle w:val="Normal1linespace"/>
              <w:widowControl w:val="0"/>
              <w:jc w:val="left"/>
            </w:pPr>
            <w:bookmarkStart w:id="3" w:name="Catchwords"/>
            <w:r w:rsidRPr="006A69E2">
              <w:rPr>
                <w:b/>
                <w:bCs/>
              </w:rPr>
              <w:t>BANKRUPTCY AND INSOLVENCY</w:t>
            </w:r>
            <w:r w:rsidRPr="006A69E2">
              <w:t xml:space="preserve"> – </w:t>
            </w:r>
            <w:r w:rsidR="006B6935" w:rsidRPr="006A69E2">
              <w:t>a</w:t>
            </w:r>
            <w:r w:rsidRPr="006A69E2">
              <w:t>pplication for</w:t>
            </w:r>
            <w:r w:rsidR="009930B4" w:rsidRPr="006A69E2">
              <w:t xml:space="preserve"> “shelf order” </w:t>
            </w:r>
            <w:r w:rsidRPr="006A69E2">
              <w:t>pursuant to s 588FF(3)(b)</w:t>
            </w:r>
            <w:r w:rsidR="00DC6396" w:rsidRPr="006A69E2">
              <w:t xml:space="preserve"> of the </w:t>
            </w:r>
            <w:r w:rsidR="00DC6396" w:rsidRPr="006A69E2">
              <w:rPr>
                <w:i/>
                <w:iCs/>
              </w:rPr>
              <w:t>Corporations Act 2001</w:t>
            </w:r>
            <w:r w:rsidR="00DC6396" w:rsidRPr="006A69E2">
              <w:t xml:space="preserve"> (</w:t>
            </w:r>
            <w:proofErr w:type="spellStart"/>
            <w:r w:rsidR="00DC6396" w:rsidRPr="006A69E2">
              <w:t>Cth</w:t>
            </w:r>
            <w:proofErr w:type="spellEnd"/>
            <w:r w:rsidR="00DC6396" w:rsidRPr="006A69E2">
              <w:t>)</w:t>
            </w:r>
            <w:r w:rsidR="00D97075" w:rsidRPr="006A69E2">
              <w:t xml:space="preserve"> </w:t>
            </w:r>
            <w:r w:rsidR="00B40BEB" w:rsidRPr="006A69E2">
              <w:t>in the context of a Ponzi-type scheme</w:t>
            </w:r>
            <w:r w:rsidR="00D841F0" w:rsidRPr="006A69E2">
              <w:t xml:space="preserve"> </w:t>
            </w:r>
            <w:r w:rsidR="00B40BEB" w:rsidRPr="006A69E2">
              <w:t xml:space="preserve">– </w:t>
            </w:r>
            <w:r w:rsidR="009930B4" w:rsidRPr="006A69E2">
              <w:t xml:space="preserve">company placed into liquidation by </w:t>
            </w:r>
            <w:r w:rsidR="00D97075" w:rsidRPr="006A69E2">
              <w:t>High Court of South Africa</w:t>
            </w:r>
            <w:r w:rsidR="00B40BEB" w:rsidRPr="006A69E2">
              <w:t xml:space="preserve"> </w:t>
            </w:r>
            <w:r w:rsidR="009930B4" w:rsidRPr="006A69E2">
              <w:t xml:space="preserve">– </w:t>
            </w:r>
            <w:r w:rsidR="00E85699" w:rsidRPr="006A69E2">
              <w:t>application granted</w:t>
            </w:r>
            <w:r w:rsidR="00D841F0" w:rsidRPr="006A69E2">
              <w:t xml:space="preserve"> – extension of suppression order pursuant to ss 37AE, 37AF, 37AG, 37AH of the </w:t>
            </w:r>
            <w:r w:rsidR="00D841F0" w:rsidRPr="006A69E2">
              <w:rPr>
                <w:i/>
                <w:iCs/>
              </w:rPr>
              <w:t>Federal Court of Australia Act 1976</w:t>
            </w:r>
            <w:r w:rsidR="00D841F0" w:rsidRPr="006A69E2">
              <w:t xml:space="preserve"> (</w:t>
            </w:r>
            <w:proofErr w:type="spellStart"/>
            <w:r w:rsidR="00D841F0" w:rsidRPr="006A69E2">
              <w:t>Cth</w:t>
            </w:r>
            <w:proofErr w:type="spellEnd"/>
            <w:r w:rsidR="00D841F0" w:rsidRPr="006A69E2">
              <w:t>)</w:t>
            </w:r>
            <w:r w:rsidR="00B40BEB" w:rsidRPr="006A69E2">
              <w:t>.</w:t>
            </w:r>
            <w:r w:rsidR="002C7385" w:rsidRPr="006A69E2">
              <w:t xml:space="preserve"> </w:t>
            </w:r>
            <w:bookmarkEnd w:id="3"/>
          </w:p>
        </w:tc>
      </w:tr>
      <w:tr w:rsidR="00395B24" w:rsidRPr="006A69E2" w14:paraId="2FABB6B2" w14:textId="77777777" w:rsidTr="00AF269D">
        <w:tc>
          <w:tcPr>
            <w:tcW w:w="3083" w:type="dxa"/>
            <w:shd w:val="clear" w:color="auto" w:fill="auto"/>
          </w:tcPr>
          <w:p w14:paraId="1FA1E706" w14:textId="77777777" w:rsidR="00395B24" w:rsidRPr="006A69E2" w:rsidRDefault="00395B24" w:rsidP="00663878">
            <w:pPr>
              <w:pStyle w:val="Normal1linespace"/>
              <w:widowControl w:val="0"/>
              <w:jc w:val="left"/>
            </w:pPr>
          </w:p>
        </w:tc>
        <w:tc>
          <w:tcPr>
            <w:tcW w:w="5989" w:type="dxa"/>
            <w:shd w:val="clear" w:color="auto" w:fill="auto"/>
          </w:tcPr>
          <w:p w14:paraId="2128A76D" w14:textId="77777777" w:rsidR="00395B24" w:rsidRPr="006A69E2" w:rsidRDefault="00395B24" w:rsidP="00663878">
            <w:pPr>
              <w:pStyle w:val="Normal1linespace"/>
              <w:widowControl w:val="0"/>
              <w:jc w:val="left"/>
            </w:pPr>
          </w:p>
        </w:tc>
      </w:tr>
      <w:tr w:rsidR="00395B24" w:rsidRPr="006A69E2" w14:paraId="2C4E8F12" w14:textId="77777777" w:rsidTr="00AF269D">
        <w:tc>
          <w:tcPr>
            <w:tcW w:w="3083" w:type="dxa"/>
            <w:shd w:val="clear" w:color="auto" w:fill="auto"/>
          </w:tcPr>
          <w:p w14:paraId="698CAA0C" w14:textId="77777777" w:rsidR="00395B24" w:rsidRPr="006A69E2" w:rsidRDefault="002C7385" w:rsidP="00663878">
            <w:pPr>
              <w:pStyle w:val="Normal1linespace"/>
              <w:widowControl w:val="0"/>
              <w:jc w:val="left"/>
            </w:pPr>
            <w:r w:rsidRPr="006A69E2">
              <w:t>Legislation:</w:t>
            </w:r>
          </w:p>
        </w:tc>
        <w:tc>
          <w:tcPr>
            <w:tcW w:w="5989" w:type="dxa"/>
            <w:shd w:val="clear" w:color="auto" w:fill="auto"/>
          </w:tcPr>
          <w:p w14:paraId="378F09BE" w14:textId="7B5DB2A8" w:rsidR="009F47C0" w:rsidRPr="005C5F41" w:rsidRDefault="005C5F41" w:rsidP="009F47C0">
            <w:pPr>
              <w:pStyle w:val="CasesLegislationAppealFrom"/>
              <w:spacing w:after="60"/>
            </w:pPr>
            <w:bookmarkStart w:id="4" w:name="Legislation"/>
            <w:r w:rsidRPr="005C5F41">
              <w:rPr>
                <w:i/>
                <w:iCs/>
              </w:rPr>
              <w:t>Corporations Act 2001</w:t>
            </w:r>
            <w:r w:rsidRPr="005C5F41">
              <w:t xml:space="preserve"> (</w:t>
            </w:r>
            <w:proofErr w:type="spellStart"/>
            <w:r w:rsidRPr="005C5F41">
              <w:t>Cth</w:t>
            </w:r>
            <w:proofErr w:type="spellEnd"/>
            <w:r w:rsidRPr="005C5F41">
              <w:t>)</w:t>
            </w:r>
            <w:r>
              <w:t xml:space="preserve"> ss </w:t>
            </w:r>
            <w:r w:rsidRPr="005C5F41">
              <w:t>588FF(3)</w:t>
            </w:r>
            <w:r>
              <w:t>, 588FE</w:t>
            </w:r>
          </w:p>
          <w:p w14:paraId="546470F7" w14:textId="2808013D" w:rsidR="005C5F41" w:rsidRPr="005C5F41" w:rsidRDefault="005C5F41" w:rsidP="005C5F41">
            <w:pPr>
              <w:pStyle w:val="CasesLegislationAppealFrom"/>
              <w:spacing w:after="60"/>
            </w:pPr>
            <w:r w:rsidRPr="005C5F41">
              <w:rPr>
                <w:i/>
                <w:iCs/>
              </w:rPr>
              <w:t>Federal Court of Australia Act 1976</w:t>
            </w:r>
            <w:r w:rsidRPr="005C5F41">
              <w:t xml:space="preserve"> (</w:t>
            </w:r>
            <w:proofErr w:type="spellStart"/>
            <w:r w:rsidRPr="005C5F41">
              <w:t>Cth</w:t>
            </w:r>
            <w:proofErr w:type="spellEnd"/>
            <w:r w:rsidR="009F47C0">
              <w:t xml:space="preserve">) </w:t>
            </w:r>
            <w:r w:rsidR="009F47C0" w:rsidRPr="005C5F41">
              <w:t>ss 37AE, 37AF, 37AG, 37AH</w:t>
            </w:r>
            <w:r w:rsidR="009F47C0">
              <w:t xml:space="preserve"> </w:t>
            </w:r>
            <w:bookmarkEnd w:id="4"/>
          </w:p>
        </w:tc>
      </w:tr>
      <w:tr w:rsidR="00395B24" w:rsidRPr="006A69E2" w14:paraId="5B9C5381" w14:textId="77777777" w:rsidTr="00AF269D">
        <w:tc>
          <w:tcPr>
            <w:tcW w:w="3083" w:type="dxa"/>
            <w:shd w:val="clear" w:color="auto" w:fill="auto"/>
          </w:tcPr>
          <w:p w14:paraId="5CD3691F" w14:textId="77777777" w:rsidR="00395B24" w:rsidRPr="006A69E2" w:rsidRDefault="00395B24" w:rsidP="00663878">
            <w:pPr>
              <w:pStyle w:val="Normal1linespace"/>
              <w:widowControl w:val="0"/>
              <w:jc w:val="left"/>
            </w:pPr>
          </w:p>
        </w:tc>
        <w:tc>
          <w:tcPr>
            <w:tcW w:w="5989" w:type="dxa"/>
            <w:shd w:val="clear" w:color="auto" w:fill="auto"/>
          </w:tcPr>
          <w:p w14:paraId="3574C452" w14:textId="77777777" w:rsidR="00395B24" w:rsidRPr="006A69E2" w:rsidRDefault="00395B24" w:rsidP="00663878">
            <w:pPr>
              <w:pStyle w:val="Normal1linespace"/>
              <w:widowControl w:val="0"/>
              <w:jc w:val="left"/>
            </w:pPr>
          </w:p>
        </w:tc>
      </w:tr>
      <w:tr w:rsidR="00395B24" w:rsidRPr="006A69E2" w14:paraId="54FE7E97" w14:textId="77777777" w:rsidTr="00AF269D">
        <w:tc>
          <w:tcPr>
            <w:tcW w:w="3083" w:type="dxa"/>
            <w:shd w:val="clear" w:color="auto" w:fill="auto"/>
          </w:tcPr>
          <w:p w14:paraId="173C7447" w14:textId="77777777" w:rsidR="00395B24" w:rsidRPr="006A69E2" w:rsidRDefault="002C7385" w:rsidP="00663878">
            <w:pPr>
              <w:pStyle w:val="Normal1linespace"/>
              <w:widowControl w:val="0"/>
              <w:jc w:val="left"/>
            </w:pPr>
            <w:r w:rsidRPr="006A69E2">
              <w:t>Cases cited:</w:t>
            </w:r>
          </w:p>
        </w:tc>
        <w:tc>
          <w:tcPr>
            <w:tcW w:w="5989" w:type="dxa"/>
            <w:shd w:val="clear" w:color="auto" w:fill="auto"/>
          </w:tcPr>
          <w:p w14:paraId="2439C286" w14:textId="77777777" w:rsidR="005C5F41" w:rsidRPr="00D43D3E" w:rsidRDefault="005C5F41" w:rsidP="005C5F41">
            <w:pPr>
              <w:pStyle w:val="CasesLegislationAppealFrom"/>
              <w:spacing w:after="60"/>
            </w:pPr>
            <w:bookmarkStart w:id="5" w:name="Cases_Cited"/>
            <w:r w:rsidRPr="005C5F41">
              <w:rPr>
                <w:i/>
                <w:iCs/>
              </w:rPr>
              <w:t>ASIC v K</w:t>
            </w:r>
            <w:r w:rsidRPr="00D43D3E">
              <w:rPr>
                <w:i/>
                <w:iCs/>
              </w:rPr>
              <w:t xml:space="preserve">arl Suleman </w:t>
            </w:r>
            <w:proofErr w:type="spellStart"/>
            <w:r w:rsidRPr="00D43D3E">
              <w:rPr>
                <w:i/>
                <w:iCs/>
              </w:rPr>
              <w:t>Enterprizes</w:t>
            </w:r>
            <w:proofErr w:type="spellEnd"/>
            <w:r w:rsidRPr="00D43D3E">
              <w:rPr>
                <w:i/>
                <w:iCs/>
              </w:rPr>
              <w:t xml:space="preserve"> Pty Ltd (in </w:t>
            </w:r>
            <w:proofErr w:type="spellStart"/>
            <w:r w:rsidRPr="00D43D3E">
              <w:rPr>
                <w:i/>
                <w:iCs/>
              </w:rPr>
              <w:t>liq</w:t>
            </w:r>
            <w:proofErr w:type="spellEnd"/>
            <w:r w:rsidRPr="00D43D3E">
              <w:rPr>
                <w:i/>
                <w:iCs/>
              </w:rPr>
              <w:t xml:space="preserve">) </w:t>
            </w:r>
            <w:r w:rsidRPr="00D43D3E">
              <w:t>[2004] NSWSC 1244; (2005) 52 ACSR 103</w:t>
            </w:r>
          </w:p>
          <w:p w14:paraId="56E8588F" w14:textId="77777777" w:rsidR="005C5F41" w:rsidRPr="00D43D3E" w:rsidRDefault="005C5F41" w:rsidP="005C5F41">
            <w:pPr>
              <w:pStyle w:val="CasesLegislationAppealFrom"/>
              <w:spacing w:after="60"/>
            </w:pPr>
            <w:r w:rsidRPr="00D43D3E">
              <w:rPr>
                <w:i/>
                <w:iCs/>
              </w:rPr>
              <w:t xml:space="preserve">Bester v Mirror Trading International (Pty) Ltd (in </w:t>
            </w:r>
            <w:proofErr w:type="spellStart"/>
            <w:r w:rsidRPr="00D43D3E">
              <w:rPr>
                <w:i/>
                <w:iCs/>
              </w:rPr>
              <w:t>liq</w:t>
            </w:r>
            <w:proofErr w:type="spellEnd"/>
            <w:r w:rsidRPr="00D43D3E">
              <w:rPr>
                <w:i/>
                <w:iCs/>
              </w:rPr>
              <w:t xml:space="preserve">) </w:t>
            </w:r>
            <w:r w:rsidRPr="00D43D3E">
              <w:t>[2023] FCA 1194</w:t>
            </w:r>
          </w:p>
          <w:p w14:paraId="2A9A5A8A" w14:textId="77777777" w:rsidR="005C5F41" w:rsidRPr="00D43D3E" w:rsidRDefault="005C5F41" w:rsidP="005C5F41">
            <w:pPr>
              <w:pStyle w:val="CasesLegislationAppealFrom"/>
              <w:spacing w:after="60"/>
            </w:pPr>
            <w:r w:rsidRPr="00D43D3E">
              <w:rPr>
                <w:i/>
                <w:iCs/>
              </w:rPr>
              <w:t xml:space="preserve">Blakeley v </w:t>
            </w:r>
            <w:proofErr w:type="spellStart"/>
            <w:r w:rsidRPr="00D43D3E">
              <w:rPr>
                <w:i/>
                <w:iCs/>
              </w:rPr>
              <w:t>Ausmart</w:t>
            </w:r>
            <w:proofErr w:type="spellEnd"/>
            <w:r w:rsidRPr="00D43D3E">
              <w:rPr>
                <w:i/>
                <w:iCs/>
              </w:rPr>
              <w:t xml:space="preserve"> Services Pty Ltd (in </w:t>
            </w:r>
            <w:proofErr w:type="spellStart"/>
            <w:r w:rsidRPr="00D43D3E">
              <w:rPr>
                <w:i/>
                <w:iCs/>
              </w:rPr>
              <w:t>liq</w:t>
            </w:r>
            <w:proofErr w:type="spellEnd"/>
            <w:r w:rsidRPr="00D43D3E">
              <w:rPr>
                <w:i/>
                <w:iCs/>
              </w:rPr>
              <w:t xml:space="preserve">), in the matter of </w:t>
            </w:r>
            <w:proofErr w:type="spellStart"/>
            <w:r w:rsidRPr="00D43D3E">
              <w:rPr>
                <w:i/>
                <w:iCs/>
              </w:rPr>
              <w:t>Ausmart</w:t>
            </w:r>
            <w:proofErr w:type="spellEnd"/>
            <w:r w:rsidRPr="00D43D3E">
              <w:rPr>
                <w:i/>
                <w:iCs/>
              </w:rPr>
              <w:t xml:space="preserve"> Services Pty Ltd (in </w:t>
            </w:r>
            <w:proofErr w:type="spellStart"/>
            <w:r w:rsidRPr="00D43D3E">
              <w:rPr>
                <w:i/>
                <w:iCs/>
              </w:rPr>
              <w:t>liq</w:t>
            </w:r>
            <w:proofErr w:type="spellEnd"/>
            <w:r w:rsidRPr="00D43D3E">
              <w:rPr>
                <w:i/>
                <w:iCs/>
              </w:rPr>
              <w:t>)</w:t>
            </w:r>
            <w:r w:rsidRPr="00D43D3E">
              <w:t xml:space="preserve"> [2021] FCA 1470</w:t>
            </w:r>
          </w:p>
          <w:p w14:paraId="7E902BE2" w14:textId="77777777" w:rsidR="005C5F41" w:rsidRPr="00D43D3E" w:rsidRDefault="005C5F41" w:rsidP="005C5F41">
            <w:pPr>
              <w:pStyle w:val="CasesLegislationAppealFrom"/>
              <w:spacing w:after="60"/>
            </w:pPr>
            <w:r w:rsidRPr="00D43D3E">
              <w:rPr>
                <w:i/>
                <w:iCs/>
              </w:rPr>
              <w:t xml:space="preserve">BP Australia Ltd v Brown </w:t>
            </w:r>
            <w:r w:rsidRPr="00D43D3E">
              <w:t>[2003] NSWCA 216; (2003) 58 NSWLR 322</w:t>
            </w:r>
          </w:p>
          <w:p w14:paraId="7BF06F70" w14:textId="77777777" w:rsidR="005C5F41" w:rsidRDefault="005C5F41" w:rsidP="005C5F41">
            <w:pPr>
              <w:pStyle w:val="CasesLegislationAppealFrom"/>
              <w:spacing w:after="60"/>
            </w:pPr>
            <w:r w:rsidRPr="00D43D3E">
              <w:rPr>
                <w:i/>
                <w:iCs/>
              </w:rPr>
              <w:t xml:space="preserve">Brown v DML Resources Pty Ltd (No 5) (in </w:t>
            </w:r>
            <w:proofErr w:type="spellStart"/>
            <w:r w:rsidRPr="00D43D3E">
              <w:rPr>
                <w:i/>
                <w:iCs/>
              </w:rPr>
              <w:t>liq</w:t>
            </w:r>
            <w:proofErr w:type="spellEnd"/>
            <w:r w:rsidRPr="00D43D3E">
              <w:rPr>
                <w:i/>
                <w:iCs/>
              </w:rPr>
              <w:t>)</w:t>
            </w:r>
            <w:r w:rsidRPr="00D43D3E">
              <w:t xml:space="preserve"> [2001] NSWSC 973; (2001) 166 FLR 1</w:t>
            </w:r>
          </w:p>
          <w:p w14:paraId="3E313918" w14:textId="4BE135D6" w:rsidR="00277776" w:rsidRPr="00D43D3E" w:rsidRDefault="00277776" w:rsidP="005C5F41">
            <w:pPr>
              <w:pStyle w:val="CasesLegislationAppealFrom"/>
              <w:spacing w:after="60"/>
            </w:pPr>
            <w:r w:rsidRPr="00277776">
              <w:rPr>
                <w:i/>
                <w:iCs/>
              </w:rPr>
              <w:t>Caron v Jahani (No 2)</w:t>
            </w:r>
            <w:r>
              <w:t xml:space="preserve"> </w:t>
            </w:r>
            <w:r w:rsidRPr="00277776">
              <w:t>[2020] NSWCA 117</w:t>
            </w:r>
            <w:r w:rsidR="00647BD7">
              <w:t>;</w:t>
            </w:r>
            <w:r w:rsidRPr="00277776">
              <w:rPr>
                <w:i/>
                <w:iCs/>
              </w:rPr>
              <w:t xml:space="preserve"> </w:t>
            </w:r>
            <w:r w:rsidRPr="00277776">
              <w:t>(2020) 102 NSWLR 537</w:t>
            </w:r>
          </w:p>
          <w:p w14:paraId="51F02315" w14:textId="77777777" w:rsidR="005C5F41" w:rsidRPr="00D43D3E" w:rsidRDefault="005C5F41" w:rsidP="005C5F41">
            <w:pPr>
              <w:pStyle w:val="CasesLegislationAppealFrom"/>
              <w:spacing w:after="60"/>
            </w:pPr>
            <w:r w:rsidRPr="00D43D3E">
              <w:rPr>
                <w:i/>
                <w:iCs/>
              </w:rPr>
              <w:t>Clout v Andi-Co Australia Pty Ltd</w:t>
            </w:r>
            <w:r w:rsidRPr="00D43D3E">
              <w:t xml:space="preserve"> (2013) 96 ACSR 512; [2013] QSC 278</w:t>
            </w:r>
          </w:p>
          <w:p w14:paraId="047EBF2A" w14:textId="77777777" w:rsidR="005C5F41" w:rsidRPr="00D43D3E" w:rsidRDefault="005C5F41" w:rsidP="005C5F41">
            <w:pPr>
              <w:pStyle w:val="CasesLegislationAppealFrom"/>
              <w:spacing w:after="60"/>
            </w:pPr>
            <w:r w:rsidRPr="00D43D3E">
              <w:rPr>
                <w:i/>
                <w:iCs/>
              </w:rPr>
              <w:t xml:space="preserve">Donnellon Childcare Holdings Pty Ltd (in </w:t>
            </w:r>
            <w:proofErr w:type="spellStart"/>
            <w:r w:rsidRPr="00D43D3E">
              <w:rPr>
                <w:i/>
                <w:iCs/>
              </w:rPr>
              <w:t>liq</w:t>
            </w:r>
            <w:proofErr w:type="spellEnd"/>
            <w:r w:rsidRPr="00D43D3E">
              <w:rPr>
                <w:i/>
                <w:iCs/>
              </w:rPr>
              <w:t>) v Donnellon</w:t>
            </w:r>
            <w:r w:rsidRPr="00D43D3E">
              <w:t xml:space="preserve"> [2020] FCA 1003</w:t>
            </w:r>
          </w:p>
          <w:p w14:paraId="0D785C44" w14:textId="77777777" w:rsidR="005C5F41" w:rsidRPr="00D43D3E" w:rsidRDefault="005C5F41" w:rsidP="005C5F41">
            <w:pPr>
              <w:pStyle w:val="CasesLegislationAppealFrom"/>
              <w:spacing w:after="60"/>
            </w:pPr>
            <w:r w:rsidRPr="00D43D3E">
              <w:rPr>
                <w:i/>
                <w:iCs/>
              </w:rPr>
              <w:t xml:space="preserve">Fletcher and Others (As Liquidators of </w:t>
            </w:r>
            <w:proofErr w:type="spellStart"/>
            <w:r w:rsidRPr="00D43D3E">
              <w:rPr>
                <w:i/>
                <w:iCs/>
              </w:rPr>
              <w:t>Octaviar</w:t>
            </w:r>
            <w:proofErr w:type="spellEnd"/>
            <w:r w:rsidRPr="00D43D3E">
              <w:rPr>
                <w:i/>
                <w:iCs/>
              </w:rPr>
              <w:t xml:space="preserve"> Ltd and </w:t>
            </w:r>
            <w:proofErr w:type="spellStart"/>
            <w:r w:rsidRPr="00D43D3E">
              <w:rPr>
                <w:i/>
                <w:iCs/>
              </w:rPr>
              <w:t>Octaviar</w:t>
            </w:r>
            <w:proofErr w:type="spellEnd"/>
            <w:r w:rsidRPr="00D43D3E">
              <w:rPr>
                <w:i/>
                <w:iCs/>
              </w:rPr>
              <w:t xml:space="preserve"> Administration Pty Ltd) v Anderson and Others</w:t>
            </w:r>
            <w:r w:rsidRPr="00D43D3E">
              <w:t xml:space="preserve"> [2014] NSWCA 450; (2014) 103 ACSR 236</w:t>
            </w:r>
          </w:p>
          <w:p w14:paraId="5D786468" w14:textId="0219DECC" w:rsidR="005C5F41" w:rsidRPr="005C5F41" w:rsidRDefault="005C5F41" w:rsidP="005C5F41">
            <w:pPr>
              <w:pStyle w:val="CasesLegislationAppealFrom"/>
              <w:spacing w:after="60"/>
            </w:pPr>
            <w:r w:rsidRPr="00D43D3E">
              <w:rPr>
                <w:i/>
                <w:iCs/>
              </w:rPr>
              <w:t>Fortress Credit Co</w:t>
            </w:r>
            <w:r w:rsidRPr="005C5F41">
              <w:rPr>
                <w:i/>
                <w:iCs/>
              </w:rPr>
              <w:t>rporation (Australia) II Pty Ltd v Fletcher</w:t>
            </w:r>
            <w:r w:rsidRPr="005C5F41">
              <w:t xml:space="preserve"> </w:t>
            </w:r>
            <w:r w:rsidR="004B6A8E" w:rsidRPr="004B6A8E">
              <w:t>[2015] HCA 10</w:t>
            </w:r>
            <w:r w:rsidR="004B6A8E">
              <w:t xml:space="preserve">; </w:t>
            </w:r>
            <w:r w:rsidRPr="005C5F41">
              <w:t>(2015) 254 CLR 489</w:t>
            </w:r>
          </w:p>
          <w:p w14:paraId="6EB0E376" w14:textId="7D41BBB9" w:rsidR="005C5F41" w:rsidRPr="005C5F41" w:rsidRDefault="005C5F41" w:rsidP="005C5F41">
            <w:pPr>
              <w:pStyle w:val="CasesLegislationAppealFrom"/>
              <w:spacing w:after="60"/>
            </w:pPr>
            <w:r w:rsidRPr="005C5F41">
              <w:rPr>
                <w:i/>
                <w:iCs/>
              </w:rPr>
              <w:t xml:space="preserve">Fortress Credit Corporation (Australia) II Pty Ltd v </w:t>
            </w:r>
            <w:r w:rsidRPr="005C5F41">
              <w:rPr>
                <w:i/>
                <w:iCs/>
              </w:rPr>
              <w:lastRenderedPageBreak/>
              <w:t>Fletcher</w:t>
            </w:r>
            <w:r w:rsidRPr="005C5F41">
              <w:t xml:space="preserve"> </w:t>
            </w:r>
            <w:r w:rsidR="00E56F9D" w:rsidRPr="00E56F9D">
              <w:t>[2014] NSWCA 148</w:t>
            </w:r>
            <w:r w:rsidR="00E56F9D">
              <w:t xml:space="preserve">; </w:t>
            </w:r>
            <w:r w:rsidRPr="005C5F41">
              <w:t>(2014) 87 NSWLR 728</w:t>
            </w:r>
          </w:p>
          <w:p w14:paraId="13132579" w14:textId="77777777" w:rsidR="005C5F41" w:rsidRPr="005C5F41" w:rsidRDefault="005C5F41" w:rsidP="005C5F41">
            <w:pPr>
              <w:pStyle w:val="CasesLegislationAppealFrom"/>
              <w:spacing w:after="60"/>
            </w:pPr>
            <w:r w:rsidRPr="005C5F41">
              <w:rPr>
                <w:i/>
                <w:iCs/>
              </w:rPr>
              <w:t>Franklyn Scholar (Australia) Pty Ltd</w:t>
            </w:r>
            <w:r w:rsidRPr="005C5F41">
              <w:t xml:space="preserve"> [2020] NSWSC 1902</w:t>
            </w:r>
          </w:p>
          <w:p w14:paraId="60915352" w14:textId="598DA30B" w:rsidR="005C5F41" w:rsidRPr="005C5F41" w:rsidRDefault="005C5F41" w:rsidP="005C5F41">
            <w:pPr>
              <w:pStyle w:val="CasesLegislationAppealFrom"/>
              <w:spacing w:after="60"/>
            </w:pPr>
            <w:r w:rsidRPr="005C5F41">
              <w:rPr>
                <w:i/>
                <w:iCs/>
              </w:rPr>
              <w:t xml:space="preserve">Gordon v </w:t>
            </w:r>
            <w:proofErr w:type="spellStart"/>
            <w:r w:rsidRPr="005C5F41">
              <w:rPr>
                <w:i/>
                <w:iCs/>
              </w:rPr>
              <w:t>Tolcher</w:t>
            </w:r>
            <w:proofErr w:type="spellEnd"/>
            <w:r w:rsidRPr="005C5F41">
              <w:t xml:space="preserve"> </w:t>
            </w:r>
            <w:r w:rsidR="00105976" w:rsidRPr="00105976">
              <w:t>[2006] HCA 62</w:t>
            </w:r>
            <w:r w:rsidR="00105976">
              <w:t xml:space="preserve">; </w:t>
            </w:r>
            <w:r w:rsidRPr="005C5F41">
              <w:t>(2006) 231 CLR 334</w:t>
            </w:r>
          </w:p>
          <w:p w14:paraId="42364BC1" w14:textId="3602F05B" w:rsidR="005C5F41" w:rsidRPr="005C5F41" w:rsidRDefault="005C5F41" w:rsidP="005C5F41">
            <w:pPr>
              <w:pStyle w:val="CasesLegislationAppealFrom"/>
              <w:spacing w:after="60"/>
            </w:pPr>
            <w:r w:rsidRPr="005C5F41">
              <w:rPr>
                <w:i/>
                <w:iCs/>
              </w:rPr>
              <w:t>Grant Samuel Corporate Finance Pty Ltd v Fletcher</w:t>
            </w:r>
            <w:r w:rsidRPr="005C5F41">
              <w:t xml:space="preserve"> </w:t>
            </w:r>
            <w:r w:rsidR="00B06CFA" w:rsidRPr="005C5F41">
              <w:t>[2015] HCA 8</w:t>
            </w:r>
            <w:r w:rsidR="00B06CFA">
              <w:t xml:space="preserve">; </w:t>
            </w:r>
            <w:r w:rsidRPr="005C5F41">
              <w:t>(2015) 254 CLR 477</w:t>
            </w:r>
          </w:p>
          <w:p w14:paraId="3804F239" w14:textId="614E90E0" w:rsidR="005C5F41" w:rsidRPr="00D43D3E" w:rsidRDefault="005C5F41" w:rsidP="005C5F41">
            <w:pPr>
              <w:pStyle w:val="CasesLegislationAppealFrom"/>
              <w:spacing w:after="60"/>
            </w:pPr>
            <w:r w:rsidRPr="005C5F41">
              <w:rPr>
                <w:i/>
                <w:iCs/>
              </w:rPr>
              <w:t xml:space="preserve">Green v Chiswell Furniture Pty Ltd (in </w:t>
            </w:r>
            <w:proofErr w:type="spellStart"/>
            <w:r w:rsidRPr="005C5F41">
              <w:rPr>
                <w:i/>
                <w:iCs/>
              </w:rPr>
              <w:t>liq</w:t>
            </w:r>
            <w:proofErr w:type="spellEnd"/>
            <w:r w:rsidRPr="005C5F41">
              <w:rPr>
                <w:i/>
                <w:iCs/>
              </w:rPr>
              <w:t>)</w:t>
            </w:r>
            <w:r w:rsidRPr="005C5F41">
              <w:t xml:space="preserve"> [1999] NSWSC 60</w:t>
            </w:r>
            <w:r w:rsidRPr="00D43D3E">
              <w:t>8</w:t>
            </w:r>
          </w:p>
          <w:p w14:paraId="30CD36A5" w14:textId="287E9B13" w:rsidR="005C5F41" w:rsidRPr="00D43D3E" w:rsidRDefault="005C5F41" w:rsidP="005C5F41">
            <w:pPr>
              <w:pStyle w:val="CasesLegislationAppealFrom"/>
              <w:spacing w:after="60"/>
            </w:pPr>
            <w:r w:rsidRPr="00D43D3E">
              <w:rPr>
                <w:i/>
                <w:iCs/>
              </w:rPr>
              <w:t xml:space="preserve">Horne v Retirement Guide Management Pty Ltd </w:t>
            </w:r>
            <w:r w:rsidRPr="00D43D3E">
              <w:t xml:space="preserve">[2017] VSCA 47; </w:t>
            </w:r>
            <w:r w:rsidR="00D96DD2">
              <w:t xml:space="preserve">(2017) </w:t>
            </w:r>
            <w:r w:rsidRPr="00D43D3E">
              <w:t>54 VR 325</w:t>
            </w:r>
          </w:p>
          <w:p w14:paraId="4BB62BC9" w14:textId="77777777" w:rsidR="005C5F41" w:rsidRPr="00D43D3E" w:rsidRDefault="005C5F41" w:rsidP="005C5F41">
            <w:pPr>
              <w:pStyle w:val="CasesLegislationAppealFrom"/>
              <w:spacing w:after="60"/>
            </w:pPr>
            <w:r w:rsidRPr="00D43D3E">
              <w:rPr>
                <w:i/>
                <w:iCs/>
              </w:rPr>
              <w:t xml:space="preserve">Re </w:t>
            </w:r>
            <w:proofErr w:type="spellStart"/>
            <w:r w:rsidRPr="00D43D3E">
              <w:rPr>
                <w:i/>
                <w:iCs/>
              </w:rPr>
              <w:t>Cohalan</w:t>
            </w:r>
            <w:proofErr w:type="spellEnd"/>
            <w:r w:rsidRPr="00D43D3E">
              <w:rPr>
                <w:i/>
                <w:iCs/>
              </w:rPr>
              <w:t xml:space="preserve"> &amp; Mitchell Roofing (in </w:t>
            </w:r>
            <w:proofErr w:type="spellStart"/>
            <w:r w:rsidRPr="00D43D3E">
              <w:rPr>
                <w:i/>
                <w:iCs/>
              </w:rPr>
              <w:t>liq</w:t>
            </w:r>
            <w:proofErr w:type="spellEnd"/>
            <w:r w:rsidRPr="00D43D3E">
              <w:rPr>
                <w:i/>
                <w:iCs/>
              </w:rPr>
              <w:t xml:space="preserve">) </w:t>
            </w:r>
            <w:r w:rsidRPr="00D43D3E">
              <w:t>[2020] VSC 222</w:t>
            </w:r>
          </w:p>
          <w:p w14:paraId="26BAA1AD" w14:textId="77777777" w:rsidR="005C5F41" w:rsidRPr="00D43D3E" w:rsidRDefault="005C5F41" w:rsidP="005C5F41">
            <w:pPr>
              <w:pStyle w:val="CasesLegislationAppealFrom"/>
              <w:spacing w:after="60"/>
            </w:pPr>
            <w:r w:rsidRPr="00D43D3E">
              <w:rPr>
                <w:i/>
                <w:iCs/>
              </w:rPr>
              <w:t xml:space="preserve">Re Dudley (as liquidator of Freshwater Bay Investments Pty Ltd (in </w:t>
            </w:r>
            <w:proofErr w:type="spellStart"/>
            <w:r w:rsidRPr="00D43D3E">
              <w:rPr>
                <w:i/>
                <w:iCs/>
              </w:rPr>
              <w:t>liq</w:t>
            </w:r>
            <w:proofErr w:type="spellEnd"/>
            <w:r w:rsidRPr="00D43D3E">
              <w:rPr>
                <w:i/>
                <w:iCs/>
              </w:rPr>
              <w:t>) (ACN 105 274 226))</w:t>
            </w:r>
            <w:r w:rsidRPr="00D43D3E">
              <w:t xml:space="preserve"> [2021] FCA 608; (2021) 152 ACSR 532</w:t>
            </w:r>
          </w:p>
          <w:p w14:paraId="60D933A6" w14:textId="77777777" w:rsidR="005C5F41" w:rsidRPr="00D43D3E" w:rsidRDefault="005C5F41" w:rsidP="005C5F41">
            <w:pPr>
              <w:pStyle w:val="CasesLegislationAppealFrom"/>
              <w:spacing w:after="60"/>
            </w:pPr>
            <w:r w:rsidRPr="00D43D3E">
              <w:rPr>
                <w:i/>
                <w:iCs/>
              </w:rPr>
              <w:t>Re Half Price Enterprises Pty Ltd</w:t>
            </w:r>
            <w:r w:rsidRPr="00D43D3E">
              <w:t xml:space="preserve"> [2021] FCA 805</w:t>
            </w:r>
          </w:p>
          <w:p w14:paraId="079F644A" w14:textId="621BD289" w:rsidR="005C5F41" w:rsidRPr="00D43D3E" w:rsidRDefault="005C5F41" w:rsidP="005C5F41">
            <w:pPr>
              <w:pStyle w:val="CasesLegislationAppealFrom"/>
              <w:spacing w:after="60"/>
            </w:pPr>
            <w:r w:rsidRPr="00D43D3E">
              <w:rPr>
                <w:i/>
                <w:iCs/>
              </w:rPr>
              <w:t xml:space="preserve">Re McGrath </w:t>
            </w:r>
            <w:r w:rsidRPr="00D43D3E">
              <w:t>[2004] NSWSC 165; (2004) 48 ACSR 723</w:t>
            </w:r>
          </w:p>
          <w:p w14:paraId="08D71D77" w14:textId="77777777" w:rsidR="005C5F41" w:rsidRPr="00D43D3E" w:rsidRDefault="005C5F41" w:rsidP="005C5F41">
            <w:pPr>
              <w:pStyle w:val="CasesLegislationAppealFrom"/>
              <w:spacing w:after="60"/>
            </w:pPr>
            <w:r w:rsidRPr="00D43D3E">
              <w:rPr>
                <w:i/>
                <w:iCs/>
              </w:rPr>
              <w:t>Walker  v CBA Corporate Services (NSW) Pty Ltd</w:t>
            </w:r>
            <w:r w:rsidRPr="00D43D3E">
              <w:t xml:space="preserve"> [2012] FCA 328; (2012) 88 ACSR 153</w:t>
            </w:r>
          </w:p>
          <w:p w14:paraId="0545774D" w14:textId="3F9202A5" w:rsidR="005C5F41" w:rsidRPr="005C5F41" w:rsidRDefault="005C5F41" w:rsidP="005C5F41">
            <w:pPr>
              <w:pStyle w:val="CasesLegislationAppealFrom"/>
              <w:spacing w:after="60"/>
            </w:pPr>
            <w:r w:rsidRPr="00D43D3E">
              <w:rPr>
                <w:i/>
                <w:iCs/>
              </w:rPr>
              <w:t xml:space="preserve">Wallman (as </w:t>
            </w:r>
            <w:r w:rsidRPr="005C5F41">
              <w:rPr>
                <w:i/>
                <w:iCs/>
              </w:rPr>
              <w:t xml:space="preserve">liquidator of Graffiti Holdings Pty Ltd (in </w:t>
            </w:r>
            <w:proofErr w:type="spellStart"/>
            <w:r w:rsidRPr="005C5F41">
              <w:rPr>
                <w:i/>
                <w:iCs/>
              </w:rPr>
              <w:t>liq</w:t>
            </w:r>
            <w:proofErr w:type="spellEnd"/>
            <w:r w:rsidRPr="005C5F41">
              <w:rPr>
                <w:i/>
                <w:iCs/>
              </w:rPr>
              <w:t>)) v Milestone Enterprises Pty Ltd</w:t>
            </w:r>
            <w:r w:rsidRPr="005C5F41">
              <w:t xml:space="preserve"> [2006] WASC 260; (2006) 205 FLR 68</w:t>
            </w:r>
            <w:bookmarkEnd w:id="5"/>
          </w:p>
        </w:tc>
      </w:tr>
      <w:tr w:rsidR="00E56CAE" w:rsidRPr="006A69E2" w14:paraId="00DCB1CB" w14:textId="77777777" w:rsidTr="00AF269D">
        <w:tc>
          <w:tcPr>
            <w:tcW w:w="3083" w:type="dxa"/>
            <w:shd w:val="clear" w:color="auto" w:fill="auto"/>
          </w:tcPr>
          <w:p w14:paraId="625D3B89" w14:textId="77777777" w:rsidR="00E56CAE" w:rsidRPr="006A69E2" w:rsidRDefault="00E56CAE" w:rsidP="002F7154">
            <w:pPr>
              <w:pStyle w:val="Normal1linespace"/>
              <w:widowControl w:val="0"/>
            </w:pPr>
          </w:p>
        </w:tc>
        <w:tc>
          <w:tcPr>
            <w:tcW w:w="5989" w:type="dxa"/>
            <w:shd w:val="clear" w:color="auto" w:fill="auto"/>
          </w:tcPr>
          <w:p w14:paraId="2DC1DA33" w14:textId="77777777" w:rsidR="00E56CAE" w:rsidRPr="006A69E2" w:rsidRDefault="00E56CAE" w:rsidP="002F7154">
            <w:pPr>
              <w:pStyle w:val="Normal1linespace"/>
              <w:widowControl w:val="0"/>
              <w:jc w:val="left"/>
            </w:pPr>
          </w:p>
        </w:tc>
      </w:tr>
      <w:tr w:rsidR="00E56CAE" w:rsidRPr="006A69E2" w14:paraId="486A1CCA" w14:textId="77777777" w:rsidTr="00AF269D">
        <w:tc>
          <w:tcPr>
            <w:tcW w:w="3083" w:type="dxa"/>
            <w:shd w:val="clear" w:color="auto" w:fill="auto"/>
          </w:tcPr>
          <w:p w14:paraId="2D9D755D" w14:textId="77777777" w:rsidR="00E56CAE" w:rsidRPr="006A69E2" w:rsidRDefault="00E56CAE" w:rsidP="00501A12">
            <w:pPr>
              <w:pStyle w:val="Normal1linespace"/>
              <w:widowControl w:val="0"/>
            </w:pPr>
            <w:r w:rsidRPr="006A69E2">
              <w:t>Division:</w:t>
            </w:r>
          </w:p>
        </w:tc>
        <w:tc>
          <w:tcPr>
            <w:tcW w:w="5989" w:type="dxa"/>
            <w:shd w:val="clear" w:color="auto" w:fill="auto"/>
          </w:tcPr>
          <w:p w14:paraId="0CAC489B" w14:textId="0D9276D6" w:rsidR="00E56CAE" w:rsidRPr="006A69E2" w:rsidRDefault="00E56CAE" w:rsidP="00501A12">
            <w:pPr>
              <w:pStyle w:val="Normal1linespace"/>
              <w:widowControl w:val="0"/>
              <w:jc w:val="left"/>
            </w:pPr>
            <w:r w:rsidRPr="006A69E2">
              <w:t>General Division</w:t>
            </w:r>
          </w:p>
        </w:tc>
      </w:tr>
      <w:tr w:rsidR="00E56CAE" w:rsidRPr="006A69E2" w14:paraId="764D8B8C" w14:textId="77777777" w:rsidTr="00AF269D">
        <w:tc>
          <w:tcPr>
            <w:tcW w:w="3083" w:type="dxa"/>
            <w:shd w:val="clear" w:color="auto" w:fill="auto"/>
          </w:tcPr>
          <w:p w14:paraId="29DF559A" w14:textId="77777777" w:rsidR="00E56CAE" w:rsidRPr="006A69E2" w:rsidRDefault="00E56CAE" w:rsidP="00501A12">
            <w:pPr>
              <w:pStyle w:val="Normal1linespace"/>
              <w:widowControl w:val="0"/>
            </w:pPr>
            <w:bookmarkStart w:id="6" w:name="Registry_rows" w:colFirst="0" w:colLast="1"/>
          </w:p>
        </w:tc>
        <w:tc>
          <w:tcPr>
            <w:tcW w:w="5989" w:type="dxa"/>
            <w:shd w:val="clear" w:color="auto" w:fill="auto"/>
          </w:tcPr>
          <w:p w14:paraId="77E3B96D" w14:textId="77777777" w:rsidR="00E56CAE" w:rsidRPr="006A69E2" w:rsidRDefault="00E56CAE" w:rsidP="00501A12">
            <w:pPr>
              <w:pStyle w:val="Normal1linespace"/>
              <w:widowControl w:val="0"/>
              <w:jc w:val="left"/>
            </w:pPr>
          </w:p>
        </w:tc>
      </w:tr>
      <w:tr w:rsidR="00E56CAE" w:rsidRPr="006A69E2" w14:paraId="4C5C8565" w14:textId="77777777" w:rsidTr="00AF269D">
        <w:tc>
          <w:tcPr>
            <w:tcW w:w="3083" w:type="dxa"/>
            <w:shd w:val="clear" w:color="auto" w:fill="auto"/>
          </w:tcPr>
          <w:p w14:paraId="17EF6AEE" w14:textId="77777777" w:rsidR="00E56CAE" w:rsidRPr="006A69E2" w:rsidRDefault="00E56CAE" w:rsidP="00501A12">
            <w:pPr>
              <w:pStyle w:val="Normal1linespace"/>
              <w:widowControl w:val="0"/>
            </w:pPr>
            <w:r w:rsidRPr="006A69E2">
              <w:t>Registry:</w:t>
            </w:r>
          </w:p>
        </w:tc>
        <w:tc>
          <w:tcPr>
            <w:tcW w:w="5989" w:type="dxa"/>
            <w:shd w:val="clear" w:color="auto" w:fill="auto"/>
          </w:tcPr>
          <w:p w14:paraId="56E5E3AF" w14:textId="7343268C" w:rsidR="00E56CAE" w:rsidRPr="006A69E2" w:rsidRDefault="00E56CAE" w:rsidP="00501A12">
            <w:pPr>
              <w:pStyle w:val="Normal1linespace"/>
              <w:widowControl w:val="0"/>
              <w:jc w:val="left"/>
            </w:pPr>
            <w:r w:rsidRPr="006A69E2">
              <w:t>Victoria</w:t>
            </w:r>
          </w:p>
        </w:tc>
      </w:tr>
      <w:tr w:rsidR="00E56CAE" w:rsidRPr="006A69E2" w14:paraId="4AE68208" w14:textId="77777777" w:rsidTr="00AF269D">
        <w:tc>
          <w:tcPr>
            <w:tcW w:w="3083" w:type="dxa"/>
            <w:shd w:val="clear" w:color="auto" w:fill="auto"/>
          </w:tcPr>
          <w:p w14:paraId="0DC60E6F" w14:textId="77777777" w:rsidR="00E56CAE" w:rsidRPr="006A69E2" w:rsidRDefault="00E56CAE" w:rsidP="00501A12">
            <w:pPr>
              <w:pStyle w:val="Normal1linespace"/>
              <w:widowControl w:val="0"/>
            </w:pPr>
            <w:bookmarkStart w:id="7" w:name="NPARow" w:colFirst="0" w:colLast="1"/>
            <w:bookmarkEnd w:id="6"/>
          </w:p>
        </w:tc>
        <w:tc>
          <w:tcPr>
            <w:tcW w:w="5989" w:type="dxa"/>
            <w:shd w:val="clear" w:color="auto" w:fill="auto"/>
          </w:tcPr>
          <w:p w14:paraId="02246FED" w14:textId="77777777" w:rsidR="00E56CAE" w:rsidRPr="006A69E2" w:rsidRDefault="00E56CAE" w:rsidP="00501A12">
            <w:pPr>
              <w:pStyle w:val="Normal1linespace"/>
              <w:widowControl w:val="0"/>
              <w:jc w:val="left"/>
              <w:rPr>
                <w:b/>
              </w:rPr>
            </w:pPr>
          </w:p>
        </w:tc>
      </w:tr>
      <w:tr w:rsidR="00E56CAE" w:rsidRPr="006A69E2" w14:paraId="0F9089A8" w14:textId="77777777" w:rsidTr="00AF269D">
        <w:tc>
          <w:tcPr>
            <w:tcW w:w="3083" w:type="dxa"/>
            <w:shd w:val="clear" w:color="auto" w:fill="auto"/>
          </w:tcPr>
          <w:p w14:paraId="081749D3" w14:textId="77777777" w:rsidR="00E56CAE" w:rsidRPr="006A69E2" w:rsidRDefault="00E56CAE" w:rsidP="00501A12">
            <w:pPr>
              <w:pStyle w:val="Normal1linespace"/>
              <w:widowControl w:val="0"/>
            </w:pPr>
            <w:r w:rsidRPr="006A69E2">
              <w:t>National Practice Area:</w:t>
            </w:r>
          </w:p>
        </w:tc>
        <w:tc>
          <w:tcPr>
            <w:tcW w:w="5989" w:type="dxa"/>
            <w:shd w:val="clear" w:color="auto" w:fill="auto"/>
          </w:tcPr>
          <w:p w14:paraId="0077D0C3" w14:textId="6C3CD5E8" w:rsidR="00E56CAE" w:rsidRPr="006A69E2" w:rsidRDefault="00E56CAE" w:rsidP="00171DBB">
            <w:pPr>
              <w:pStyle w:val="Normal1linespace"/>
              <w:widowControl w:val="0"/>
              <w:jc w:val="left"/>
              <w:rPr>
                <w:b/>
              </w:rPr>
            </w:pPr>
            <w:r w:rsidRPr="006A69E2">
              <w:t>Commercial and Corporations</w:t>
            </w:r>
          </w:p>
        </w:tc>
      </w:tr>
      <w:tr w:rsidR="00E56CAE" w:rsidRPr="006A69E2" w14:paraId="14AAF177" w14:textId="77777777" w:rsidTr="00AF269D">
        <w:tc>
          <w:tcPr>
            <w:tcW w:w="3083" w:type="dxa"/>
            <w:shd w:val="clear" w:color="auto" w:fill="auto"/>
          </w:tcPr>
          <w:p w14:paraId="36FDAA14" w14:textId="77777777" w:rsidR="00E56CAE" w:rsidRPr="006A69E2" w:rsidRDefault="00E56CAE" w:rsidP="00501A12">
            <w:pPr>
              <w:pStyle w:val="Normal1linespace"/>
              <w:widowControl w:val="0"/>
            </w:pPr>
            <w:bookmarkStart w:id="8" w:name="SubAreaRow" w:colFirst="0" w:colLast="1"/>
            <w:bookmarkEnd w:id="7"/>
          </w:p>
        </w:tc>
        <w:tc>
          <w:tcPr>
            <w:tcW w:w="5989" w:type="dxa"/>
            <w:shd w:val="clear" w:color="auto" w:fill="auto"/>
          </w:tcPr>
          <w:p w14:paraId="3C72A183" w14:textId="77777777" w:rsidR="00E56CAE" w:rsidRPr="006A69E2" w:rsidRDefault="00E56CAE" w:rsidP="00171DBB">
            <w:pPr>
              <w:pStyle w:val="Normal1linespace"/>
              <w:widowControl w:val="0"/>
              <w:jc w:val="left"/>
            </w:pPr>
          </w:p>
        </w:tc>
      </w:tr>
      <w:tr w:rsidR="00E56CAE" w:rsidRPr="006A69E2" w14:paraId="078AE2E5" w14:textId="77777777" w:rsidTr="00AF269D">
        <w:tc>
          <w:tcPr>
            <w:tcW w:w="3083" w:type="dxa"/>
            <w:shd w:val="clear" w:color="auto" w:fill="auto"/>
          </w:tcPr>
          <w:p w14:paraId="7CFE11A8" w14:textId="77777777" w:rsidR="00E56CAE" w:rsidRPr="006A69E2" w:rsidRDefault="00E56CAE" w:rsidP="00501A12">
            <w:pPr>
              <w:pStyle w:val="Normal1linespace"/>
              <w:widowControl w:val="0"/>
            </w:pPr>
            <w:r w:rsidRPr="006A69E2">
              <w:t>Sub-area:</w:t>
            </w:r>
          </w:p>
        </w:tc>
        <w:tc>
          <w:tcPr>
            <w:tcW w:w="5989" w:type="dxa"/>
            <w:shd w:val="clear" w:color="auto" w:fill="auto"/>
          </w:tcPr>
          <w:p w14:paraId="39F85969" w14:textId="5E238B01" w:rsidR="00E56CAE" w:rsidRPr="006A69E2" w:rsidRDefault="00E56CAE" w:rsidP="00435936">
            <w:pPr>
              <w:pStyle w:val="Normal1linespace"/>
              <w:widowControl w:val="0"/>
              <w:jc w:val="left"/>
            </w:pPr>
            <w:r w:rsidRPr="006A69E2">
              <w:rPr>
                <w:lang w:val="en-US"/>
              </w:rPr>
              <w:t>Corporations and Corporate</w:t>
            </w:r>
            <w:r w:rsidRPr="006A69E2">
              <w:t xml:space="preserve"> Insolvency</w:t>
            </w:r>
          </w:p>
        </w:tc>
      </w:tr>
      <w:bookmarkEnd w:id="8"/>
      <w:tr w:rsidR="00E56CAE" w:rsidRPr="006A69E2" w14:paraId="797461CF" w14:textId="77777777" w:rsidTr="00AF269D">
        <w:tc>
          <w:tcPr>
            <w:tcW w:w="3083" w:type="dxa"/>
            <w:shd w:val="clear" w:color="auto" w:fill="auto"/>
          </w:tcPr>
          <w:p w14:paraId="4244890D" w14:textId="77777777" w:rsidR="00E56CAE" w:rsidRPr="006A69E2" w:rsidRDefault="00E56CAE" w:rsidP="002F7154">
            <w:pPr>
              <w:pStyle w:val="Normal1linespace"/>
              <w:widowControl w:val="0"/>
            </w:pPr>
          </w:p>
        </w:tc>
        <w:tc>
          <w:tcPr>
            <w:tcW w:w="5989" w:type="dxa"/>
            <w:shd w:val="clear" w:color="auto" w:fill="auto"/>
          </w:tcPr>
          <w:p w14:paraId="5A4A8F9D" w14:textId="77777777" w:rsidR="00E56CAE" w:rsidRPr="006A69E2" w:rsidRDefault="00E56CAE" w:rsidP="002F7154">
            <w:pPr>
              <w:pStyle w:val="Normal1linespace"/>
              <w:widowControl w:val="0"/>
              <w:jc w:val="left"/>
            </w:pPr>
          </w:p>
        </w:tc>
      </w:tr>
      <w:tr w:rsidR="00832026" w:rsidRPr="006A69E2" w14:paraId="0B3CCBFB" w14:textId="77777777" w:rsidTr="00AF269D">
        <w:tc>
          <w:tcPr>
            <w:tcW w:w="3083" w:type="dxa"/>
            <w:shd w:val="clear" w:color="auto" w:fill="auto"/>
          </w:tcPr>
          <w:p w14:paraId="6CF8924B" w14:textId="77777777" w:rsidR="00832026" w:rsidRPr="006A69E2" w:rsidRDefault="00832026" w:rsidP="00501A12">
            <w:pPr>
              <w:pStyle w:val="Normal1linespace"/>
              <w:widowControl w:val="0"/>
            </w:pPr>
            <w:r w:rsidRPr="006A69E2">
              <w:t>Number of paragraphs:</w:t>
            </w:r>
          </w:p>
        </w:tc>
        <w:tc>
          <w:tcPr>
            <w:tcW w:w="5989" w:type="dxa"/>
            <w:shd w:val="clear" w:color="auto" w:fill="auto"/>
          </w:tcPr>
          <w:p w14:paraId="17113C23" w14:textId="148DA4F2" w:rsidR="00832026" w:rsidRPr="006A69E2" w:rsidRDefault="00AF269D" w:rsidP="00501A12">
            <w:pPr>
              <w:pStyle w:val="Normal1linespace"/>
              <w:widowControl w:val="0"/>
              <w:jc w:val="left"/>
            </w:pPr>
            <w:bookmarkStart w:id="9" w:name="PlaceCategoryParagraphs"/>
            <w:r>
              <w:t>32</w:t>
            </w:r>
            <w:bookmarkEnd w:id="9"/>
          </w:p>
        </w:tc>
      </w:tr>
      <w:tr w:rsidR="00832026" w:rsidRPr="006A69E2" w14:paraId="457D2964" w14:textId="77777777" w:rsidTr="00AF269D">
        <w:tc>
          <w:tcPr>
            <w:tcW w:w="3083" w:type="dxa"/>
            <w:shd w:val="clear" w:color="auto" w:fill="auto"/>
          </w:tcPr>
          <w:p w14:paraId="57AA7A09" w14:textId="77777777" w:rsidR="00832026" w:rsidRPr="006A69E2" w:rsidRDefault="00832026" w:rsidP="00832026">
            <w:pPr>
              <w:pStyle w:val="Normal1linespace"/>
              <w:widowControl w:val="0"/>
              <w:jc w:val="left"/>
            </w:pPr>
          </w:p>
        </w:tc>
        <w:tc>
          <w:tcPr>
            <w:tcW w:w="5989" w:type="dxa"/>
            <w:shd w:val="clear" w:color="auto" w:fill="auto"/>
          </w:tcPr>
          <w:p w14:paraId="42189E49" w14:textId="77777777" w:rsidR="00832026" w:rsidRPr="006A69E2" w:rsidRDefault="00832026" w:rsidP="00832026">
            <w:pPr>
              <w:pStyle w:val="Normal1linespace"/>
              <w:widowControl w:val="0"/>
              <w:jc w:val="left"/>
            </w:pPr>
          </w:p>
        </w:tc>
      </w:tr>
      <w:tr w:rsidR="00832026" w:rsidRPr="006A69E2" w14:paraId="7881EA89" w14:textId="77777777" w:rsidTr="00AF269D">
        <w:tc>
          <w:tcPr>
            <w:tcW w:w="3083" w:type="dxa"/>
            <w:shd w:val="clear" w:color="auto" w:fill="auto"/>
          </w:tcPr>
          <w:p w14:paraId="6DA9B71E" w14:textId="77777777" w:rsidR="00832026" w:rsidRPr="006A69E2" w:rsidRDefault="00832026" w:rsidP="00832026">
            <w:pPr>
              <w:pStyle w:val="Normal1linespace"/>
              <w:widowControl w:val="0"/>
              <w:jc w:val="left"/>
            </w:pPr>
            <w:bookmarkStart w:id="10" w:name="CounselDate" w:colFirst="0" w:colLast="2"/>
            <w:r w:rsidRPr="006A69E2">
              <w:t>Date of hearing:</w:t>
            </w:r>
          </w:p>
        </w:tc>
        <w:tc>
          <w:tcPr>
            <w:tcW w:w="5989" w:type="dxa"/>
            <w:shd w:val="clear" w:color="auto" w:fill="auto"/>
          </w:tcPr>
          <w:p w14:paraId="22E2F947" w14:textId="7433D8D8" w:rsidR="00832026" w:rsidRPr="006A69E2" w:rsidRDefault="00571AD9" w:rsidP="00832026">
            <w:pPr>
              <w:pStyle w:val="Normal1linespace"/>
              <w:widowControl w:val="0"/>
              <w:jc w:val="left"/>
            </w:pPr>
            <w:bookmarkStart w:id="11" w:name="HearingDate"/>
            <w:r w:rsidRPr="006A69E2">
              <w:t>26 March 2024</w:t>
            </w:r>
            <w:r w:rsidR="00832026" w:rsidRPr="006A69E2">
              <w:t xml:space="preserve"> </w:t>
            </w:r>
            <w:bookmarkEnd w:id="11"/>
          </w:p>
        </w:tc>
      </w:tr>
      <w:tr w:rsidR="00832026" w:rsidRPr="006A69E2" w14:paraId="659F729B" w14:textId="77777777" w:rsidTr="00AF269D">
        <w:tc>
          <w:tcPr>
            <w:tcW w:w="3083" w:type="dxa"/>
            <w:shd w:val="clear" w:color="auto" w:fill="auto"/>
          </w:tcPr>
          <w:p w14:paraId="2B0F907E" w14:textId="77777777" w:rsidR="00832026" w:rsidRPr="006A69E2" w:rsidRDefault="00832026" w:rsidP="00832026">
            <w:pPr>
              <w:pStyle w:val="Normal1linespace"/>
              <w:widowControl w:val="0"/>
              <w:jc w:val="left"/>
            </w:pPr>
          </w:p>
        </w:tc>
        <w:tc>
          <w:tcPr>
            <w:tcW w:w="5989" w:type="dxa"/>
            <w:shd w:val="clear" w:color="auto" w:fill="auto"/>
          </w:tcPr>
          <w:p w14:paraId="0F26FC08" w14:textId="77777777" w:rsidR="00832026" w:rsidRPr="006A69E2" w:rsidRDefault="00832026" w:rsidP="00832026">
            <w:pPr>
              <w:pStyle w:val="Normal1linespace"/>
              <w:widowControl w:val="0"/>
              <w:jc w:val="left"/>
            </w:pPr>
          </w:p>
        </w:tc>
      </w:tr>
      <w:tr w:rsidR="00504B3A" w:rsidRPr="006A69E2" w14:paraId="78511B10" w14:textId="77777777" w:rsidTr="00AF269D">
        <w:tc>
          <w:tcPr>
            <w:tcW w:w="3083" w:type="dxa"/>
            <w:shd w:val="clear" w:color="auto" w:fill="auto"/>
          </w:tcPr>
          <w:p w14:paraId="10DFA94B" w14:textId="2069ADD2" w:rsidR="00504B3A" w:rsidRPr="006A69E2" w:rsidRDefault="00AF269D" w:rsidP="00504B3A">
            <w:pPr>
              <w:pStyle w:val="Normal1linespace"/>
              <w:widowControl w:val="0"/>
              <w:jc w:val="left"/>
            </w:pPr>
            <w:bookmarkStart w:id="12" w:name="Counsel" w:colFirst="0" w:colLast="2"/>
            <w:bookmarkEnd w:id="10"/>
            <w:r>
              <w:t>Counsel for the Plaintiffs:</w:t>
            </w:r>
          </w:p>
        </w:tc>
        <w:tc>
          <w:tcPr>
            <w:tcW w:w="5989" w:type="dxa"/>
            <w:shd w:val="clear" w:color="auto" w:fill="auto"/>
          </w:tcPr>
          <w:p w14:paraId="6F6E5F76" w14:textId="113E104F" w:rsidR="00504B3A" w:rsidRPr="006A69E2" w:rsidRDefault="00AF269D" w:rsidP="00504B3A">
            <w:pPr>
              <w:pStyle w:val="Normal1linespace"/>
              <w:widowControl w:val="0"/>
              <w:jc w:val="left"/>
            </w:pPr>
            <w:bookmarkStart w:id="13" w:name="AppCounsel"/>
            <w:bookmarkEnd w:id="13"/>
            <w:r>
              <w:t>Mark McKillop</w:t>
            </w:r>
          </w:p>
        </w:tc>
      </w:tr>
      <w:tr w:rsidR="00504B3A" w:rsidRPr="006A69E2" w14:paraId="5B996F3A" w14:textId="77777777" w:rsidTr="00AF269D">
        <w:tc>
          <w:tcPr>
            <w:tcW w:w="3083" w:type="dxa"/>
            <w:shd w:val="clear" w:color="auto" w:fill="auto"/>
          </w:tcPr>
          <w:p w14:paraId="10C0FFFB" w14:textId="77777777" w:rsidR="00504B3A" w:rsidRPr="006A69E2" w:rsidRDefault="00504B3A" w:rsidP="00504B3A">
            <w:pPr>
              <w:pStyle w:val="Normal1linespace"/>
              <w:widowControl w:val="0"/>
              <w:jc w:val="left"/>
            </w:pPr>
          </w:p>
        </w:tc>
        <w:tc>
          <w:tcPr>
            <w:tcW w:w="5989" w:type="dxa"/>
            <w:shd w:val="clear" w:color="auto" w:fill="auto"/>
          </w:tcPr>
          <w:p w14:paraId="5729045E" w14:textId="77777777" w:rsidR="00504B3A" w:rsidRPr="006A69E2" w:rsidRDefault="00504B3A" w:rsidP="00504B3A">
            <w:pPr>
              <w:pStyle w:val="Normal1linespace"/>
              <w:widowControl w:val="0"/>
              <w:jc w:val="left"/>
            </w:pPr>
          </w:p>
        </w:tc>
      </w:tr>
      <w:tr w:rsidR="00504B3A" w:rsidRPr="006A69E2" w14:paraId="6EAC8631" w14:textId="77777777" w:rsidTr="00AF269D">
        <w:tc>
          <w:tcPr>
            <w:tcW w:w="3083" w:type="dxa"/>
            <w:shd w:val="clear" w:color="auto" w:fill="auto"/>
          </w:tcPr>
          <w:p w14:paraId="2A87D5F5" w14:textId="150450F6" w:rsidR="00504B3A" w:rsidRPr="006A69E2" w:rsidRDefault="00AF269D" w:rsidP="00504B3A">
            <w:pPr>
              <w:pStyle w:val="Normal1linespace"/>
              <w:widowControl w:val="0"/>
              <w:jc w:val="left"/>
            </w:pPr>
            <w:r>
              <w:t>Solicitor for the Plaintiffs:</w:t>
            </w:r>
          </w:p>
        </w:tc>
        <w:tc>
          <w:tcPr>
            <w:tcW w:w="5989" w:type="dxa"/>
            <w:shd w:val="clear" w:color="auto" w:fill="auto"/>
          </w:tcPr>
          <w:p w14:paraId="3827EC99" w14:textId="61A2B1ED" w:rsidR="00504B3A" w:rsidRPr="006A69E2" w:rsidRDefault="00AF269D" w:rsidP="00504B3A">
            <w:pPr>
              <w:pStyle w:val="Normal1linespace"/>
              <w:widowControl w:val="0"/>
              <w:jc w:val="left"/>
            </w:pPr>
            <w:r>
              <w:t xml:space="preserve">Hicks Oakley </w:t>
            </w:r>
            <w:proofErr w:type="spellStart"/>
            <w:r>
              <w:t>Chessell</w:t>
            </w:r>
            <w:proofErr w:type="spellEnd"/>
            <w:r>
              <w:t xml:space="preserve"> Williams</w:t>
            </w:r>
          </w:p>
        </w:tc>
      </w:tr>
      <w:bookmarkEnd w:id="12"/>
    </w:tbl>
    <w:p w14:paraId="6368F37D" w14:textId="77777777" w:rsidR="007470BD" w:rsidRPr="006A69E2" w:rsidRDefault="007470BD">
      <w:pPr>
        <w:pStyle w:val="Normal1linespace"/>
      </w:pPr>
    </w:p>
    <w:p w14:paraId="4C51F81F" w14:textId="77777777" w:rsidR="00E94CBF" w:rsidRPr="006A69E2" w:rsidRDefault="00E94CBF">
      <w:pPr>
        <w:pStyle w:val="Normal1linespace"/>
      </w:pPr>
    </w:p>
    <w:p w14:paraId="7FA8A4CF" w14:textId="77777777" w:rsidR="00395B24" w:rsidRPr="006A69E2" w:rsidRDefault="00395B24">
      <w:pPr>
        <w:pStyle w:val="Normal1linespace"/>
        <w:sectPr w:rsidR="00395B24" w:rsidRPr="006A69E2" w:rsidSect="001F247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14:paraId="03C79A74" w14:textId="77777777" w:rsidR="008C7167" w:rsidRPr="006A69E2" w:rsidRDefault="0011419D" w:rsidP="00045BB7">
      <w:pPr>
        <w:pStyle w:val="NormalHeadings"/>
        <w:spacing w:line="480" w:lineRule="auto"/>
        <w:jc w:val="center"/>
        <w:rPr>
          <w:sz w:val="28"/>
          <w:szCs w:val="28"/>
        </w:rPr>
      </w:pPr>
      <w:r w:rsidRPr="006A69E2">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RPr="006A69E2" w14:paraId="39437F58" w14:textId="77777777" w:rsidTr="00E81DA6">
        <w:tc>
          <w:tcPr>
            <w:tcW w:w="6912" w:type="dxa"/>
            <w:gridSpan w:val="2"/>
          </w:tcPr>
          <w:p w14:paraId="1B7D145B" w14:textId="77777777" w:rsidR="00A46CCC" w:rsidRPr="006A69E2" w:rsidRDefault="00A46CCC" w:rsidP="00525A49">
            <w:pPr>
              <w:pStyle w:val="NormalHeadings"/>
            </w:pPr>
          </w:p>
        </w:tc>
        <w:tc>
          <w:tcPr>
            <w:tcW w:w="2330" w:type="dxa"/>
          </w:tcPr>
          <w:p w14:paraId="2882B416" w14:textId="7330D85B" w:rsidR="00A46CCC" w:rsidRPr="006A69E2" w:rsidRDefault="00E56CAE" w:rsidP="00F92355">
            <w:pPr>
              <w:pStyle w:val="NormalHeadings"/>
              <w:jc w:val="right"/>
            </w:pPr>
            <w:bookmarkStart w:id="14" w:name="FileNo"/>
            <w:r w:rsidRPr="006A69E2">
              <w:t>VID</w:t>
            </w:r>
            <w:r w:rsidR="006B1E8D">
              <w:t xml:space="preserve"> </w:t>
            </w:r>
            <w:r w:rsidRPr="006A69E2">
              <w:t>1084 of 2023</w:t>
            </w:r>
            <w:bookmarkEnd w:id="14"/>
          </w:p>
        </w:tc>
      </w:tr>
      <w:tr w:rsidR="00A76C13" w:rsidRPr="006A69E2" w14:paraId="59071D6B" w14:textId="77777777" w:rsidTr="00F461A4">
        <w:tc>
          <w:tcPr>
            <w:tcW w:w="9242" w:type="dxa"/>
            <w:gridSpan w:val="3"/>
          </w:tcPr>
          <w:p w14:paraId="6D791427" w14:textId="2FFF0D16" w:rsidR="00A76C13" w:rsidRPr="006A69E2" w:rsidRDefault="00E56CAE" w:rsidP="00E56CAE">
            <w:pPr>
              <w:pStyle w:val="NormalHeadings"/>
              <w:spacing w:before="240" w:after="240"/>
              <w:jc w:val="left"/>
            </w:pPr>
            <w:bookmarkStart w:id="15" w:name="InTheMatterOf"/>
            <w:r w:rsidRPr="006A69E2">
              <w:t>IN THE MATTER OF MIRROR TRADING INTERNATIONAL (PTY) LTD (IN LIQUIDATION)</w:t>
            </w:r>
            <w:bookmarkEnd w:id="15"/>
          </w:p>
        </w:tc>
      </w:tr>
      <w:tr w:rsidR="00A46CCC" w:rsidRPr="006A69E2" w14:paraId="00CC198C" w14:textId="77777777" w:rsidTr="005041F0">
        <w:trPr>
          <w:trHeight w:val="386"/>
        </w:trPr>
        <w:tc>
          <w:tcPr>
            <w:tcW w:w="2376" w:type="dxa"/>
          </w:tcPr>
          <w:p w14:paraId="01007874" w14:textId="77777777" w:rsidR="00A46CCC" w:rsidRPr="006A69E2" w:rsidRDefault="00A46CCC" w:rsidP="005041F0">
            <w:pPr>
              <w:pStyle w:val="NormalHeadings"/>
              <w:jc w:val="left"/>
              <w:rPr>
                <w:caps/>
                <w:szCs w:val="24"/>
              </w:rPr>
            </w:pPr>
            <w:bookmarkStart w:id="16" w:name="Parties"/>
            <w:r w:rsidRPr="006A69E2">
              <w:rPr>
                <w:caps/>
                <w:szCs w:val="24"/>
              </w:rPr>
              <w:t>BETWEEN:</w:t>
            </w:r>
          </w:p>
        </w:tc>
        <w:tc>
          <w:tcPr>
            <w:tcW w:w="6866" w:type="dxa"/>
            <w:gridSpan w:val="2"/>
          </w:tcPr>
          <w:p w14:paraId="39B02EB9" w14:textId="77777777" w:rsidR="00E56CAE" w:rsidRPr="006A69E2" w:rsidRDefault="00E56CAE" w:rsidP="00E56CAE">
            <w:pPr>
              <w:pStyle w:val="NormalHeadings"/>
              <w:jc w:val="left"/>
            </w:pPr>
            <w:bookmarkStart w:id="17" w:name="Applicant"/>
            <w:r w:rsidRPr="006A69E2">
              <w:t>HERMAN BESTER N.O.</w:t>
            </w:r>
          </w:p>
          <w:p w14:paraId="2D444A67" w14:textId="77777777" w:rsidR="00E56CAE" w:rsidRPr="006A69E2" w:rsidRDefault="00E56CAE" w:rsidP="00E56CAE">
            <w:pPr>
              <w:pStyle w:val="PartyType"/>
            </w:pPr>
            <w:r w:rsidRPr="006A69E2">
              <w:t>First Plaintiff</w:t>
            </w:r>
          </w:p>
          <w:p w14:paraId="53172D47" w14:textId="77777777" w:rsidR="00E56CAE" w:rsidRPr="006A69E2" w:rsidRDefault="00E56CAE" w:rsidP="005041F0">
            <w:pPr>
              <w:pStyle w:val="NormalHeadings"/>
              <w:jc w:val="left"/>
            </w:pPr>
          </w:p>
          <w:p w14:paraId="5AE07F72" w14:textId="77777777" w:rsidR="00E56CAE" w:rsidRPr="006A69E2" w:rsidRDefault="00E56CAE" w:rsidP="00E56CAE">
            <w:pPr>
              <w:pStyle w:val="NormalHeadings"/>
              <w:jc w:val="left"/>
            </w:pPr>
            <w:r w:rsidRPr="006A69E2">
              <w:t>ADRIAAN WILLEM VAN ROOYEN N.O.</w:t>
            </w:r>
          </w:p>
          <w:p w14:paraId="41C45EC6" w14:textId="77777777" w:rsidR="00E56CAE" w:rsidRPr="006A69E2" w:rsidRDefault="00E56CAE" w:rsidP="00E56CAE">
            <w:pPr>
              <w:pStyle w:val="PartyType"/>
            </w:pPr>
            <w:r w:rsidRPr="006A69E2">
              <w:t>Second Plaintiff</w:t>
            </w:r>
          </w:p>
          <w:p w14:paraId="07C07850" w14:textId="77777777" w:rsidR="00E56CAE" w:rsidRPr="006A69E2" w:rsidRDefault="00E56CAE" w:rsidP="005041F0">
            <w:pPr>
              <w:pStyle w:val="NormalHeadings"/>
              <w:jc w:val="left"/>
            </w:pPr>
          </w:p>
          <w:p w14:paraId="52407B34" w14:textId="63001BDC" w:rsidR="00E56CAE" w:rsidRPr="006A69E2" w:rsidRDefault="00E56CAE" w:rsidP="00E56CAE">
            <w:pPr>
              <w:pStyle w:val="NormalHeadings"/>
              <w:jc w:val="left"/>
            </w:pPr>
            <w:r w:rsidRPr="006A69E2">
              <w:t xml:space="preserve">CHRISTOPHER JAMES ROOS N.O. </w:t>
            </w:r>
            <w:r w:rsidRPr="006A69E2">
              <w:rPr>
                <w:b w:val="0"/>
              </w:rPr>
              <w:t>(and others named in the Schedule)</w:t>
            </w:r>
          </w:p>
          <w:p w14:paraId="770577E1" w14:textId="77777777" w:rsidR="00E56CAE" w:rsidRPr="006A69E2" w:rsidRDefault="00E56CAE" w:rsidP="00E56CAE">
            <w:pPr>
              <w:pStyle w:val="PartyType"/>
            </w:pPr>
            <w:r w:rsidRPr="006A69E2">
              <w:t>Third Plaintiff</w:t>
            </w:r>
          </w:p>
          <w:bookmarkEnd w:id="17"/>
          <w:p w14:paraId="35D9D4F9" w14:textId="0EC357A1" w:rsidR="00A46CCC" w:rsidRPr="006A69E2" w:rsidRDefault="00A46CCC" w:rsidP="005041F0">
            <w:pPr>
              <w:pStyle w:val="NormalHeadings"/>
              <w:jc w:val="left"/>
            </w:pPr>
          </w:p>
        </w:tc>
      </w:tr>
      <w:tr w:rsidR="00A46CCC" w:rsidRPr="006A69E2" w14:paraId="189E2A6F" w14:textId="77777777" w:rsidTr="005041F0">
        <w:trPr>
          <w:trHeight w:val="386"/>
        </w:trPr>
        <w:tc>
          <w:tcPr>
            <w:tcW w:w="2376" w:type="dxa"/>
          </w:tcPr>
          <w:p w14:paraId="30FCAF1B" w14:textId="77777777" w:rsidR="00A46CCC" w:rsidRPr="006A69E2" w:rsidRDefault="00A46CCC" w:rsidP="005041F0">
            <w:pPr>
              <w:pStyle w:val="NormalHeadings"/>
              <w:jc w:val="left"/>
              <w:rPr>
                <w:caps/>
                <w:szCs w:val="24"/>
              </w:rPr>
            </w:pPr>
            <w:r w:rsidRPr="006A69E2">
              <w:rPr>
                <w:caps/>
                <w:szCs w:val="24"/>
              </w:rPr>
              <w:t>AND:</w:t>
            </w:r>
          </w:p>
        </w:tc>
        <w:tc>
          <w:tcPr>
            <w:tcW w:w="6866" w:type="dxa"/>
            <w:gridSpan w:val="2"/>
          </w:tcPr>
          <w:p w14:paraId="68D66ED5" w14:textId="3A07EE7E" w:rsidR="00832026" w:rsidRPr="006A69E2" w:rsidRDefault="00832026" w:rsidP="00E56CAE">
            <w:pPr>
              <w:pStyle w:val="NormalHeadings"/>
              <w:jc w:val="left"/>
            </w:pPr>
            <w:bookmarkStart w:id="18" w:name="Respondent"/>
            <w:r w:rsidRPr="006A69E2">
              <w:t>MIRROR TRADING INTERNATIONAL (PTY) LTD (IN LIQUIDATION)</w:t>
            </w:r>
          </w:p>
          <w:p w14:paraId="0566C66C" w14:textId="769B16C3" w:rsidR="00832026" w:rsidRPr="006A69E2" w:rsidRDefault="00A670B7" w:rsidP="00E56CAE">
            <w:pPr>
              <w:pStyle w:val="PartyType"/>
            </w:pPr>
            <w:r w:rsidRPr="006A69E2">
              <w:t>Defendant</w:t>
            </w:r>
          </w:p>
          <w:bookmarkEnd w:id="18"/>
          <w:p w14:paraId="52D6E1B8" w14:textId="77777777" w:rsidR="00A46CCC" w:rsidRPr="006A69E2" w:rsidRDefault="00A46CCC" w:rsidP="005041F0">
            <w:pPr>
              <w:pStyle w:val="NormalHeadings"/>
              <w:jc w:val="left"/>
            </w:pPr>
          </w:p>
        </w:tc>
      </w:tr>
    </w:tbl>
    <w:p w14:paraId="06CEAEF5" w14:textId="77777777" w:rsidR="00395B24" w:rsidRPr="006A69E2" w:rsidRDefault="00395B24">
      <w:pPr>
        <w:pStyle w:val="NormalHeadings"/>
      </w:pPr>
      <w:bookmarkStart w:id="19" w:name="CrossClaimPosition"/>
      <w:bookmarkEnd w:id="16"/>
      <w:bookmarkEnd w:id="19"/>
    </w:p>
    <w:tbl>
      <w:tblPr>
        <w:tblW w:w="0" w:type="auto"/>
        <w:tblLayout w:type="fixed"/>
        <w:tblLook w:val="0000" w:firstRow="0" w:lastRow="0" w:firstColumn="0" w:lastColumn="0" w:noHBand="0" w:noVBand="0"/>
        <w:tblCaption w:val="Judge"/>
        <w:tblDescription w:val="Judge"/>
      </w:tblPr>
      <w:tblGrid>
        <w:gridCol w:w="2376"/>
        <w:gridCol w:w="6866"/>
      </w:tblGrid>
      <w:tr w:rsidR="00395B24" w:rsidRPr="006A69E2" w14:paraId="13E22943" w14:textId="77777777">
        <w:tc>
          <w:tcPr>
            <w:tcW w:w="2376" w:type="dxa"/>
          </w:tcPr>
          <w:p w14:paraId="421A9D2F" w14:textId="77777777" w:rsidR="00395B24" w:rsidRPr="006A69E2" w:rsidRDefault="00974709">
            <w:pPr>
              <w:pStyle w:val="NormalHeadings"/>
              <w:spacing w:after="120"/>
              <w:jc w:val="left"/>
              <w:rPr>
                <w:caps/>
                <w:szCs w:val="24"/>
              </w:rPr>
            </w:pPr>
            <w:bookmarkStart w:id="20" w:name="JudgeText"/>
            <w:r w:rsidRPr="006A69E2">
              <w:rPr>
                <w:caps/>
                <w:szCs w:val="24"/>
              </w:rPr>
              <w:t>order made by</w:t>
            </w:r>
            <w:bookmarkEnd w:id="20"/>
            <w:r w:rsidR="002C7385" w:rsidRPr="006A69E2">
              <w:rPr>
                <w:caps/>
                <w:szCs w:val="24"/>
              </w:rPr>
              <w:t>:</w:t>
            </w:r>
          </w:p>
        </w:tc>
        <w:tc>
          <w:tcPr>
            <w:tcW w:w="6866" w:type="dxa"/>
          </w:tcPr>
          <w:p w14:paraId="120CE60D" w14:textId="1E9F9D9F" w:rsidR="00395B24" w:rsidRPr="006A69E2" w:rsidRDefault="00E56CAE">
            <w:pPr>
              <w:pStyle w:val="NormalHeadings"/>
              <w:jc w:val="left"/>
              <w:rPr>
                <w:caps/>
                <w:szCs w:val="24"/>
              </w:rPr>
            </w:pPr>
            <w:bookmarkStart w:id="21" w:name="Judge"/>
            <w:r w:rsidRPr="006A69E2">
              <w:rPr>
                <w:caps/>
                <w:szCs w:val="24"/>
              </w:rPr>
              <w:t>MCEVOY J</w:t>
            </w:r>
            <w:bookmarkEnd w:id="21"/>
          </w:p>
        </w:tc>
      </w:tr>
      <w:tr w:rsidR="00395B24" w:rsidRPr="006A69E2" w14:paraId="7AE35AFD" w14:textId="77777777">
        <w:tc>
          <w:tcPr>
            <w:tcW w:w="2376" w:type="dxa"/>
          </w:tcPr>
          <w:p w14:paraId="6655AD14" w14:textId="77777777" w:rsidR="00395B24" w:rsidRPr="006A69E2" w:rsidRDefault="002C7385">
            <w:pPr>
              <w:pStyle w:val="NormalHeadings"/>
              <w:spacing w:after="120"/>
              <w:jc w:val="left"/>
              <w:rPr>
                <w:caps/>
                <w:szCs w:val="24"/>
              </w:rPr>
            </w:pPr>
            <w:r w:rsidRPr="006A69E2">
              <w:rPr>
                <w:caps/>
                <w:szCs w:val="24"/>
              </w:rPr>
              <w:t>DATE OF ORDER:</w:t>
            </w:r>
          </w:p>
        </w:tc>
        <w:tc>
          <w:tcPr>
            <w:tcW w:w="6866" w:type="dxa"/>
          </w:tcPr>
          <w:p w14:paraId="7FDDCBE0" w14:textId="5DE94BAD" w:rsidR="00395B24" w:rsidRPr="006A69E2" w:rsidRDefault="00417D8D">
            <w:pPr>
              <w:pStyle w:val="NormalHeadings"/>
              <w:jc w:val="left"/>
              <w:rPr>
                <w:caps/>
                <w:szCs w:val="24"/>
              </w:rPr>
            </w:pPr>
            <w:bookmarkStart w:id="22" w:name="Judgment_Dated"/>
            <w:r w:rsidRPr="006A69E2">
              <w:rPr>
                <w:caps/>
                <w:szCs w:val="24"/>
              </w:rPr>
              <w:t>26 March 2024</w:t>
            </w:r>
            <w:bookmarkEnd w:id="22"/>
          </w:p>
        </w:tc>
      </w:tr>
    </w:tbl>
    <w:p w14:paraId="7F269D9C" w14:textId="77777777" w:rsidR="00395B24" w:rsidRPr="006A69E2" w:rsidRDefault="00395B24">
      <w:pPr>
        <w:pStyle w:val="NormalHeadings"/>
        <w:rPr>
          <w:b w:val="0"/>
        </w:rPr>
      </w:pPr>
    </w:p>
    <w:p w14:paraId="077953B3" w14:textId="77777777" w:rsidR="008D1617" w:rsidRPr="006A69E2" w:rsidRDefault="008D1617">
      <w:pPr>
        <w:pStyle w:val="NormalHeadings"/>
        <w:rPr>
          <w:b w:val="0"/>
        </w:rPr>
      </w:pPr>
    </w:p>
    <w:p w14:paraId="548CAE67" w14:textId="77777777" w:rsidR="00395B24" w:rsidRPr="006A69E2" w:rsidRDefault="002C7385">
      <w:pPr>
        <w:pStyle w:val="NormalHeadings"/>
      </w:pPr>
      <w:r w:rsidRPr="006A69E2">
        <w:t>THE COURT ORDERS THAT:</w:t>
      </w:r>
    </w:p>
    <w:p w14:paraId="340B7DFC" w14:textId="77777777" w:rsidR="007F60DF" w:rsidRPr="006A69E2" w:rsidRDefault="007F60DF" w:rsidP="00243E5E">
      <w:pPr>
        <w:pStyle w:val="NormalHeadings"/>
      </w:pPr>
    </w:p>
    <w:p w14:paraId="100250DA" w14:textId="47F57646" w:rsidR="00760EDD" w:rsidRPr="006A69E2" w:rsidRDefault="004F4E99" w:rsidP="004F4E99">
      <w:pPr>
        <w:pStyle w:val="Order1"/>
        <w:numPr>
          <w:ilvl w:val="0"/>
          <w:numId w:val="0"/>
        </w:numPr>
        <w:tabs>
          <w:tab w:val="left" w:pos="720"/>
        </w:tabs>
        <w:ind w:left="720" w:hanging="720"/>
      </w:pPr>
      <w:r w:rsidRPr="006A69E2">
        <w:t>1.</w:t>
      </w:r>
      <w:r w:rsidRPr="006A69E2">
        <w:tab/>
      </w:r>
      <w:r w:rsidR="00760EDD" w:rsidRPr="006A69E2">
        <w:t xml:space="preserve">Pursuant to s 588FF(3)(b) of the </w:t>
      </w:r>
      <w:r w:rsidR="00AE75CA" w:rsidRPr="006A69E2">
        <w:rPr>
          <w:b/>
          <w:bCs/>
          <w:i/>
          <w:iCs/>
        </w:rPr>
        <w:t>Corporations Act</w:t>
      </w:r>
      <w:r w:rsidR="00AE75CA" w:rsidRPr="006A69E2">
        <w:rPr>
          <w:i/>
          <w:iCs/>
        </w:rPr>
        <w:t xml:space="preserve"> 2001</w:t>
      </w:r>
      <w:r w:rsidR="00AE75CA" w:rsidRPr="006A69E2">
        <w:t xml:space="preserve"> (</w:t>
      </w:r>
      <w:proofErr w:type="spellStart"/>
      <w:r w:rsidR="00AE75CA" w:rsidRPr="006A69E2">
        <w:t>Cth</w:t>
      </w:r>
      <w:proofErr w:type="spellEnd"/>
      <w:r w:rsidR="00AE75CA" w:rsidRPr="006A69E2">
        <w:t>)</w:t>
      </w:r>
      <w:r w:rsidR="00760EDD" w:rsidRPr="006A69E2">
        <w:t xml:space="preserve">, the time for the </w:t>
      </w:r>
      <w:r w:rsidR="00AE75CA" w:rsidRPr="006A69E2">
        <w:t>p</w:t>
      </w:r>
      <w:r w:rsidR="00760EDD" w:rsidRPr="006A69E2">
        <w:t xml:space="preserve">laintiffs to make any application or applications for orders under s 588FF of the </w:t>
      </w:r>
      <w:r w:rsidR="00DC6396" w:rsidRPr="006A69E2">
        <w:t xml:space="preserve">Corporations </w:t>
      </w:r>
      <w:r w:rsidR="00760EDD" w:rsidRPr="006A69E2">
        <w:t xml:space="preserve">Act against any party is extended for a period of 12 months from </w:t>
      </w:r>
      <w:r w:rsidR="00960C95" w:rsidRPr="006A69E2">
        <w:t>26 March 2024.</w:t>
      </w:r>
    </w:p>
    <w:p w14:paraId="2EF4DCF5" w14:textId="1466D491" w:rsidR="00760EDD" w:rsidRPr="006A69E2" w:rsidRDefault="004F4E99" w:rsidP="004F4E99">
      <w:pPr>
        <w:pStyle w:val="Order1"/>
        <w:numPr>
          <w:ilvl w:val="0"/>
          <w:numId w:val="0"/>
        </w:numPr>
        <w:tabs>
          <w:tab w:val="left" w:pos="720"/>
        </w:tabs>
        <w:ind w:left="720" w:hanging="720"/>
      </w:pPr>
      <w:r w:rsidRPr="006A69E2">
        <w:t>2.</w:t>
      </w:r>
      <w:r w:rsidRPr="006A69E2">
        <w:tab/>
      </w:r>
      <w:r w:rsidR="00760EDD" w:rsidRPr="006A69E2">
        <w:t xml:space="preserve">Liberty to apply is reserved to any person affected by a proceeding under s 588FF of the </w:t>
      </w:r>
      <w:r w:rsidR="00DC6396" w:rsidRPr="006A69E2">
        <w:t xml:space="preserve">Corporations </w:t>
      </w:r>
      <w:r w:rsidR="00760EDD" w:rsidRPr="006A69E2">
        <w:t xml:space="preserve">Act commenced under </w:t>
      </w:r>
      <w:r w:rsidR="0087638A" w:rsidRPr="006A69E2">
        <w:t xml:space="preserve">paragraph </w:t>
      </w:r>
      <w:r w:rsidR="00760EDD" w:rsidRPr="006A69E2">
        <w:t>1 to vary or discharge that order.</w:t>
      </w:r>
    </w:p>
    <w:p w14:paraId="77B588DB" w14:textId="2F060126" w:rsidR="001A6A96" w:rsidRPr="006A69E2" w:rsidRDefault="004F4E99" w:rsidP="004F4E99">
      <w:pPr>
        <w:pStyle w:val="Order1"/>
        <w:numPr>
          <w:ilvl w:val="0"/>
          <w:numId w:val="0"/>
        </w:numPr>
        <w:tabs>
          <w:tab w:val="left" w:pos="720"/>
        </w:tabs>
        <w:ind w:left="720" w:hanging="720"/>
      </w:pPr>
      <w:r w:rsidRPr="006A69E2">
        <w:t>3.</w:t>
      </w:r>
      <w:r w:rsidRPr="006A69E2">
        <w:tab/>
      </w:r>
      <w:r w:rsidR="001A6A96" w:rsidRPr="006A69E2">
        <w:t xml:space="preserve">Pursuant to </w:t>
      </w:r>
      <w:r w:rsidR="00EC01E1">
        <w:t>ss</w:t>
      </w:r>
      <w:r w:rsidR="00EC01E1" w:rsidRPr="006A69E2">
        <w:t xml:space="preserve"> </w:t>
      </w:r>
      <w:r w:rsidR="001A6A96" w:rsidRPr="006A69E2">
        <w:t xml:space="preserve">37AE, 37AF, 37AG and 37AH of the </w:t>
      </w:r>
      <w:r w:rsidR="001A6A96" w:rsidRPr="006A69E2">
        <w:rPr>
          <w:i/>
          <w:iCs/>
        </w:rPr>
        <w:t>Federal Court of Australia Act 1976</w:t>
      </w:r>
      <w:r w:rsidR="001A6A96" w:rsidRPr="006A69E2">
        <w:t xml:space="preserve"> (</w:t>
      </w:r>
      <w:proofErr w:type="spellStart"/>
      <w:r w:rsidR="001A6A96" w:rsidRPr="006A69E2">
        <w:t>Cth</w:t>
      </w:r>
      <w:proofErr w:type="spellEnd"/>
      <w:r w:rsidR="001A6A96" w:rsidRPr="006A69E2">
        <w:t xml:space="preserve">), paragraphs 14, 15, 16, 16(a)-16(c) (inclusive), 17, 18 and 19, including all annexures referred to therein of the </w:t>
      </w:r>
      <w:r w:rsidR="000504D2" w:rsidRPr="006A69E2">
        <w:t>a</w:t>
      </w:r>
      <w:r w:rsidR="001A6A96" w:rsidRPr="006A69E2">
        <w:t xml:space="preserve">ffidavit of </w:t>
      </w:r>
      <w:proofErr w:type="spellStart"/>
      <w:r w:rsidR="001A6A96" w:rsidRPr="006A69E2">
        <w:t>Chavonnes</w:t>
      </w:r>
      <w:proofErr w:type="spellEnd"/>
      <w:r w:rsidR="001A6A96" w:rsidRPr="006A69E2">
        <w:t xml:space="preserve"> Badenhorst St Claire Cooper N.O</w:t>
      </w:r>
      <w:r w:rsidR="003A79AC" w:rsidRPr="006A69E2">
        <w:t>.</w:t>
      </w:r>
      <w:r w:rsidR="001A6A96" w:rsidRPr="006A69E2">
        <w:t xml:space="preserve"> sworn 15 December 2023, be suppressed until 2</w:t>
      </w:r>
      <w:r w:rsidR="00783507" w:rsidRPr="006A69E2">
        <w:t>6</w:t>
      </w:r>
      <w:r w:rsidR="001A6A96" w:rsidRPr="006A69E2">
        <w:t xml:space="preserve"> March 2025</w:t>
      </w:r>
    </w:p>
    <w:p w14:paraId="37ECFAD9" w14:textId="06C42D2E" w:rsidR="001A6C52" w:rsidRPr="006A69E2" w:rsidRDefault="004F4E99" w:rsidP="004F4E99">
      <w:pPr>
        <w:pStyle w:val="Order1"/>
        <w:numPr>
          <w:ilvl w:val="0"/>
          <w:numId w:val="0"/>
        </w:numPr>
        <w:tabs>
          <w:tab w:val="left" w:pos="720"/>
        </w:tabs>
        <w:ind w:left="720" w:hanging="720"/>
      </w:pPr>
      <w:r w:rsidRPr="006A69E2">
        <w:t>4.</w:t>
      </w:r>
      <w:r w:rsidRPr="006A69E2">
        <w:tab/>
      </w:r>
      <w:r w:rsidR="00760EDD" w:rsidRPr="006A69E2">
        <w:t xml:space="preserve">The plaintiffs’ costs of this application, including reserved costs, be costs in the winding up of the </w:t>
      </w:r>
      <w:r w:rsidR="00A670B7" w:rsidRPr="006A69E2">
        <w:t>d</w:t>
      </w:r>
      <w:r w:rsidR="00760EDD" w:rsidRPr="006A69E2">
        <w:t xml:space="preserve">efendant. </w:t>
      </w:r>
    </w:p>
    <w:p w14:paraId="1960298E" w14:textId="77777777" w:rsidR="001A6C52" w:rsidRPr="006A69E2" w:rsidRDefault="001A6C52" w:rsidP="001A6C52">
      <w:pPr>
        <w:pStyle w:val="BodyText"/>
      </w:pPr>
    </w:p>
    <w:p w14:paraId="1926F472" w14:textId="77777777" w:rsidR="00A431E6" w:rsidRPr="006A69E2" w:rsidRDefault="00A431E6" w:rsidP="001A6C52">
      <w:pPr>
        <w:pStyle w:val="BodyText"/>
      </w:pPr>
    </w:p>
    <w:p w14:paraId="067C7450" w14:textId="57BD3A13" w:rsidR="0050309C" w:rsidRPr="006A69E2" w:rsidRDefault="00E56CAE" w:rsidP="004D53E5">
      <w:pPr>
        <w:pStyle w:val="SingleSpace"/>
      </w:pPr>
      <w:bookmarkStart w:id="23" w:name="OrdersStatement"/>
      <w:r w:rsidRPr="006A69E2">
        <w:t>Note:</w:t>
      </w:r>
      <w:r w:rsidRPr="006A69E2">
        <w:tab/>
        <w:t xml:space="preserve">Entry of orders is dealt with in Rule 39.32 of the </w:t>
      </w:r>
      <w:r w:rsidRPr="006A69E2">
        <w:rPr>
          <w:i/>
        </w:rPr>
        <w:t>Federal Court Rules 2011</w:t>
      </w:r>
      <w:r w:rsidRPr="006A69E2">
        <w:t>.</w:t>
      </w:r>
      <w:bookmarkEnd w:id="23"/>
    </w:p>
    <w:p w14:paraId="21415311" w14:textId="77777777" w:rsidR="00395B24" w:rsidRPr="006A69E2" w:rsidRDefault="00395B24">
      <w:pPr>
        <w:pStyle w:val="NormalHeadings"/>
        <w:spacing w:before="240" w:after="120"/>
        <w:rPr>
          <w:b w:val="0"/>
        </w:rPr>
        <w:sectPr w:rsidR="00395B24" w:rsidRPr="006A69E2" w:rsidSect="0092590B">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14:paraId="621C8020" w14:textId="77777777" w:rsidR="00484F6D" w:rsidRPr="006A69E2" w:rsidRDefault="00484F6D" w:rsidP="00045BB7">
      <w:pPr>
        <w:pStyle w:val="NormalHeadings"/>
        <w:spacing w:line="480" w:lineRule="auto"/>
        <w:jc w:val="center"/>
        <w:rPr>
          <w:sz w:val="28"/>
          <w:szCs w:val="28"/>
        </w:rPr>
      </w:pPr>
      <w:bookmarkStart w:id="24" w:name="ReasonsPage"/>
      <w:bookmarkEnd w:id="24"/>
      <w:r w:rsidRPr="006A69E2">
        <w:rPr>
          <w:sz w:val="28"/>
          <w:szCs w:val="28"/>
        </w:rPr>
        <w:lastRenderedPageBreak/>
        <w:t>REASONS FOR JUDGMENT</w:t>
      </w:r>
    </w:p>
    <w:p w14:paraId="205F0BCF" w14:textId="6654E444" w:rsidR="00122024" w:rsidRPr="006A69E2" w:rsidRDefault="00181FBA" w:rsidP="00182256">
      <w:pPr>
        <w:pStyle w:val="NormalHeadings"/>
        <w:spacing w:line="360" w:lineRule="auto"/>
        <w:jc w:val="left"/>
        <w:rPr>
          <w:sz w:val="26"/>
          <w:szCs w:val="26"/>
        </w:rPr>
      </w:pPr>
      <w:r w:rsidRPr="006A69E2">
        <w:rPr>
          <w:sz w:val="26"/>
          <w:szCs w:val="26"/>
        </w:rPr>
        <w:t>MCEVOY J:</w:t>
      </w:r>
    </w:p>
    <w:p w14:paraId="6F7314FC" w14:textId="3AF71A5C" w:rsidR="000E1F29" w:rsidRPr="006A69E2" w:rsidRDefault="004F4E99" w:rsidP="004F4E99">
      <w:pPr>
        <w:pStyle w:val="ParaNumbering"/>
        <w:numPr>
          <w:ilvl w:val="0"/>
          <w:numId w:val="0"/>
        </w:numPr>
        <w:ind w:hanging="720"/>
      </w:pPr>
      <w:r w:rsidRPr="006A69E2">
        <w:rPr>
          <w:sz w:val="20"/>
        </w:rPr>
        <w:t>1</w:t>
      </w:r>
      <w:r w:rsidRPr="006A69E2">
        <w:rPr>
          <w:sz w:val="20"/>
        </w:rPr>
        <w:tab/>
      </w:r>
      <w:r w:rsidR="00934B2D" w:rsidRPr="006A69E2">
        <w:t xml:space="preserve">By way of originating process dated 19 December 2023, </w:t>
      </w:r>
      <w:r w:rsidR="00CF1152" w:rsidRPr="006A69E2">
        <w:t>the plaintiffs</w:t>
      </w:r>
      <w:r w:rsidR="00691E5D" w:rsidRPr="006A69E2">
        <w:t xml:space="preserve">, </w:t>
      </w:r>
      <w:r w:rsidR="00685350" w:rsidRPr="006A69E2">
        <w:t>being</w:t>
      </w:r>
      <w:r w:rsidR="00BA1BE2" w:rsidRPr="006A69E2">
        <w:t xml:space="preserve"> the eight appointed liquidators</w:t>
      </w:r>
      <w:r w:rsidR="00D40F9F" w:rsidRPr="006A69E2">
        <w:t xml:space="preserve"> of the defendant, Mirror Trading International (Pty) Ltd (in liquidation) (</w:t>
      </w:r>
      <w:r w:rsidR="00D40F9F" w:rsidRPr="006A69E2">
        <w:rPr>
          <w:b/>
          <w:bCs/>
        </w:rPr>
        <w:t>MTI</w:t>
      </w:r>
      <w:r w:rsidR="00D40F9F" w:rsidRPr="006A69E2">
        <w:t>)</w:t>
      </w:r>
      <w:r w:rsidR="00691E5D" w:rsidRPr="006A69E2">
        <w:t>,</w:t>
      </w:r>
      <w:r w:rsidR="00BA1BE2" w:rsidRPr="006A69E2">
        <w:t xml:space="preserve"> </w:t>
      </w:r>
      <w:r w:rsidR="00DF3479" w:rsidRPr="006A69E2">
        <w:t xml:space="preserve">seek a “shelf order” </w:t>
      </w:r>
      <w:r w:rsidR="00242820" w:rsidRPr="006A69E2">
        <w:t xml:space="preserve">pursuant to </w:t>
      </w:r>
      <w:r w:rsidR="00242820" w:rsidRPr="005C5F41">
        <w:t xml:space="preserve">s 588FF(3) of the </w:t>
      </w:r>
      <w:r w:rsidR="00242820" w:rsidRPr="005C5F41">
        <w:rPr>
          <w:b/>
          <w:bCs/>
          <w:i/>
          <w:iCs/>
        </w:rPr>
        <w:t>Corporations Act</w:t>
      </w:r>
      <w:r w:rsidR="00242820" w:rsidRPr="005C5F41">
        <w:rPr>
          <w:i/>
          <w:iCs/>
        </w:rPr>
        <w:t xml:space="preserve"> 2001</w:t>
      </w:r>
      <w:r w:rsidR="00242820" w:rsidRPr="005C5F41">
        <w:t xml:space="preserve"> (</w:t>
      </w:r>
      <w:proofErr w:type="spellStart"/>
      <w:r w:rsidR="00242820" w:rsidRPr="005C5F41">
        <w:t>Cth</w:t>
      </w:r>
      <w:proofErr w:type="spellEnd"/>
      <w:r w:rsidR="00242820" w:rsidRPr="005C5F41">
        <w:t>)</w:t>
      </w:r>
      <w:r w:rsidR="00D40F9F" w:rsidRPr="006A69E2">
        <w:t>.</w:t>
      </w:r>
      <w:r w:rsidR="00DF3479" w:rsidRPr="006A69E2">
        <w:t xml:space="preserve"> </w:t>
      </w:r>
      <w:r w:rsidR="0096611D" w:rsidRPr="006A69E2">
        <w:t>That is to say, they seek an order extending the time for the</w:t>
      </w:r>
      <w:r w:rsidR="00EE23A6">
        <w:t xml:space="preserve">m </w:t>
      </w:r>
      <w:r w:rsidR="0096611D" w:rsidRPr="006A69E2">
        <w:t xml:space="preserve">to make any application for orders about voidable transactions pursuant to </w:t>
      </w:r>
      <w:r w:rsidR="0096611D" w:rsidRPr="005C5F41">
        <w:t>s 588F</w:t>
      </w:r>
      <w:r w:rsidR="00687C19" w:rsidRPr="005C5F41">
        <w:t>E</w:t>
      </w:r>
      <w:r w:rsidR="007D6E3A" w:rsidRPr="005C5F41">
        <w:t xml:space="preserve"> of the Corporations Act</w:t>
      </w:r>
      <w:r w:rsidR="007D6E3A" w:rsidRPr="006A69E2">
        <w:t>.</w:t>
      </w:r>
    </w:p>
    <w:p w14:paraId="6448692C" w14:textId="66288159" w:rsidR="00832BD4" w:rsidRPr="006A69E2" w:rsidRDefault="004F4E99" w:rsidP="004F4E99">
      <w:pPr>
        <w:pStyle w:val="ParaNumbering"/>
        <w:numPr>
          <w:ilvl w:val="0"/>
          <w:numId w:val="0"/>
        </w:numPr>
        <w:ind w:hanging="720"/>
      </w:pPr>
      <w:r w:rsidRPr="006A69E2">
        <w:rPr>
          <w:sz w:val="20"/>
        </w:rPr>
        <w:t>2</w:t>
      </w:r>
      <w:r w:rsidRPr="006A69E2">
        <w:rPr>
          <w:sz w:val="20"/>
        </w:rPr>
        <w:tab/>
      </w:r>
      <w:r w:rsidR="00AB1A0B" w:rsidRPr="006A69E2">
        <w:t>MTI</w:t>
      </w:r>
      <w:r w:rsidR="00832BD4" w:rsidRPr="006A69E2">
        <w:t xml:space="preserve"> </w:t>
      </w:r>
      <w:r w:rsidR="00055220" w:rsidRPr="006A69E2">
        <w:t xml:space="preserve">is a South African company which </w:t>
      </w:r>
      <w:r w:rsidR="00832BD4" w:rsidRPr="006A69E2">
        <w:t>was placed in provisional liquidation by an order of the High Court of South Africa (Western Cape Division, Cape Town)</w:t>
      </w:r>
      <w:r w:rsidR="00597E4A" w:rsidRPr="006A69E2">
        <w:t xml:space="preserve"> (the </w:t>
      </w:r>
      <w:r w:rsidR="00597E4A" w:rsidRPr="006A69E2">
        <w:rPr>
          <w:b/>
          <w:bCs/>
        </w:rPr>
        <w:t>South African court</w:t>
      </w:r>
      <w:r w:rsidR="00597E4A" w:rsidRPr="006A69E2">
        <w:t>)</w:t>
      </w:r>
      <w:r w:rsidR="00832BD4" w:rsidRPr="006A69E2">
        <w:t xml:space="preserve"> on 28 December 2020 and placed under final liquidation by order made on 30</w:t>
      </w:r>
      <w:r w:rsidR="00A54FA7">
        <w:t> </w:t>
      </w:r>
      <w:r w:rsidR="00832BD4" w:rsidRPr="006A69E2">
        <w:t>June</w:t>
      </w:r>
      <w:r w:rsidR="00A54FA7">
        <w:t> </w:t>
      </w:r>
      <w:r w:rsidR="00832BD4" w:rsidRPr="006A69E2">
        <w:t xml:space="preserve">2021. </w:t>
      </w:r>
    </w:p>
    <w:p w14:paraId="388058DA" w14:textId="4605C377" w:rsidR="00F12D17" w:rsidRPr="006A69E2" w:rsidRDefault="004F4E99" w:rsidP="004F4E99">
      <w:pPr>
        <w:pStyle w:val="ParaNumbering"/>
        <w:numPr>
          <w:ilvl w:val="0"/>
          <w:numId w:val="0"/>
        </w:numPr>
        <w:ind w:hanging="720"/>
      </w:pPr>
      <w:r w:rsidRPr="006A69E2">
        <w:rPr>
          <w:sz w:val="20"/>
        </w:rPr>
        <w:t>3</w:t>
      </w:r>
      <w:r w:rsidRPr="006A69E2">
        <w:rPr>
          <w:sz w:val="20"/>
        </w:rPr>
        <w:tab/>
      </w:r>
      <w:r w:rsidR="00E644A3" w:rsidRPr="006A69E2">
        <w:t>On 6 October 2023 the liquidation was recognised in Australia as a foreign main proceeding pursuant to the</w:t>
      </w:r>
      <w:r w:rsidR="00E644A3" w:rsidRPr="006A69E2">
        <w:rPr>
          <w:i/>
          <w:iCs/>
        </w:rPr>
        <w:t xml:space="preserve"> Cross-Border Insolvency Act 2008</w:t>
      </w:r>
      <w:r w:rsidR="00E644A3" w:rsidRPr="006A69E2">
        <w:t xml:space="preserve"> (</w:t>
      </w:r>
      <w:proofErr w:type="spellStart"/>
      <w:r w:rsidR="00E644A3" w:rsidRPr="006A69E2">
        <w:t>Cth</w:t>
      </w:r>
      <w:proofErr w:type="spellEnd"/>
      <w:r w:rsidR="00E644A3" w:rsidRPr="006A69E2">
        <w:t>)</w:t>
      </w:r>
      <w:r w:rsidR="008F05C6" w:rsidRPr="006A69E2">
        <w:t xml:space="preserve">: see </w:t>
      </w:r>
      <w:r w:rsidR="008F05C6" w:rsidRPr="005C5F41">
        <w:rPr>
          <w:i/>
          <w:iCs/>
        </w:rPr>
        <w:t xml:space="preserve">Bester v Mirror Trading International (Pty) Ltd (in </w:t>
      </w:r>
      <w:proofErr w:type="spellStart"/>
      <w:r w:rsidR="008F05C6" w:rsidRPr="005C5F41">
        <w:rPr>
          <w:i/>
          <w:iCs/>
        </w:rPr>
        <w:t>liq</w:t>
      </w:r>
      <w:proofErr w:type="spellEnd"/>
      <w:r w:rsidR="008F05C6" w:rsidRPr="005C5F41">
        <w:rPr>
          <w:i/>
          <w:iCs/>
        </w:rPr>
        <w:t xml:space="preserve">) </w:t>
      </w:r>
      <w:r w:rsidR="008F05C6" w:rsidRPr="005C5F41">
        <w:t>[2023] FCA 1194</w:t>
      </w:r>
      <w:r w:rsidR="00316846" w:rsidRPr="006A69E2">
        <w:t xml:space="preserve"> (Button J)</w:t>
      </w:r>
      <w:r w:rsidR="00746B37" w:rsidRPr="006A69E2">
        <w:t>.</w:t>
      </w:r>
      <w:r w:rsidR="00E74DE5" w:rsidRPr="006A69E2">
        <w:t xml:space="preserve"> </w:t>
      </w:r>
      <w:r w:rsidR="00A579E1" w:rsidRPr="006A69E2">
        <w:t xml:space="preserve"> </w:t>
      </w:r>
    </w:p>
    <w:p w14:paraId="3CB54C71" w14:textId="09100112" w:rsidR="00EB1FB3" w:rsidRPr="006A69E2" w:rsidRDefault="004F4E99" w:rsidP="004F4E99">
      <w:pPr>
        <w:pStyle w:val="ParaNumbering"/>
        <w:numPr>
          <w:ilvl w:val="0"/>
          <w:numId w:val="0"/>
        </w:numPr>
        <w:ind w:hanging="720"/>
      </w:pPr>
      <w:r w:rsidRPr="006A69E2">
        <w:rPr>
          <w:sz w:val="20"/>
        </w:rPr>
        <w:t>4</w:t>
      </w:r>
      <w:r w:rsidRPr="006A69E2">
        <w:rPr>
          <w:sz w:val="20"/>
        </w:rPr>
        <w:tab/>
      </w:r>
      <w:r w:rsidR="00EB1FB3" w:rsidRPr="006A69E2">
        <w:t>The background facts</w:t>
      </w:r>
      <w:r w:rsidR="00A53EAC" w:rsidRPr="006A69E2">
        <w:t xml:space="preserve"> to the liquidation</w:t>
      </w:r>
      <w:r w:rsidR="00EB1FB3" w:rsidRPr="006A69E2">
        <w:t xml:space="preserve"> are set out in more detail in the two supporting affidavits of </w:t>
      </w:r>
      <w:proofErr w:type="spellStart"/>
      <w:r w:rsidR="00EB1FB3" w:rsidRPr="006A69E2">
        <w:t>Chavonnes</w:t>
      </w:r>
      <w:proofErr w:type="spellEnd"/>
      <w:r w:rsidR="00EB1FB3" w:rsidRPr="006A69E2">
        <w:t xml:space="preserve"> Badenhorst St Claire Cooper N.O. sworn 15 December 2023 (filed 19 December</w:t>
      </w:r>
      <w:r w:rsidR="00AE7FE0">
        <w:t xml:space="preserve"> 2023</w:t>
      </w:r>
      <w:r w:rsidR="00EB1FB3" w:rsidRPr="006A69E2">
        <w:t xml:space="preserve">) and 30 January 2024 (filed 31 January 2024). </w:t>
      </w:r>
    </w:p>
    <w:p w14:paraId="20510FCC" w14:textId="15B2D7DD" w:rsidR="00D9116F" w:rsidRPr="006A69E2" w:rsidRDefault="004F4E99" w:rsidP="004F4E99">
      <w:pPr>
        <w:pStyle w:val="ParaNumbering"/>
        <w:numPr>
          <w:ilvl w:val="0"/>
          <w:numId w:val="0"/>
        </w:numPr>
        <w:ind w:hanging="720"/>
      </w:pPr>
      <w:r w:rsidRPr="006A69E2">
        <w:rPr>
          <w:sz w:val="20"/>
        </w:rPr>
        <w:t>5</w:t>
      </w:r>
      <w:r w:rsidRPr="006A69E2">
        <w:rPr>
          <w:sz w:val="20"/>
        </w:rPr>
        <w:tab/>
      </w:r>
      <w:r w:rsidR="00D9116F" w:rsidRPr="006A69E2">
        <w:t xml:space="preserve">For the reasons that follow there will be orders in the terms sought by </w:t>
      </w:r>
      <w:r w:rsidR="006907A8" w:rsidRPr="006A69E2">
        <w:t>the plaintiffs</w:t>
      </w:r>
      <w:r w:rsidR="00D9116F" w:rsidRPr="006A69E2">
        <w:t>.</w:t>
      </w:r>
    </w:p>
    <w:p w14:paraId="03DA2BE7" w14:textId="58E6616C" w:rsidR="00E85242" w:rsidRPr="006A69E2" w:rsidRDefault="004F4E99" w:rsidP="004826F5">
      <w:pPr>
        <w:pStyle w:val="Heading1"/>
      </w:pPr>
      <w:r w:rsidRPr="006A69E2">
        <w:rPr>
          <w:caps w:val="0"/>
        </w:rPr>
        <w:t>RELEVANT BACKGROUND</w:t>
      </w:r>
    </w:p>
    <w:p w14:paraId="29A2F1A8" w14:textId="40CD0E85" w:rsidR="00F72C8F" w:rsidRPr="006A69E2" w:rsidRDefault="004F4E99" w:rsidP="004F4E99">
      <w:pPr>
        <w:pStyle w:val="ParaNumbering"/>
        <w:numPr>
          <w:ilvl w:val="0"/>
          <w:numId w:val="0"/>
        </w:numPr>
        <w:ind w:hanging="720"/>
      </w:pPr>
      <w:r w:rsidRPr="006A69E2">
        <w:rPr>
          <w:sz w:val="20"/>
        </w:rPr>
        <w:t>6</w:t>
      </w:r>
      <w:r w:rsidRPr="006A69E2">
        <w:rPr>
          <w:sz w:val="20"/>
        </w:rPr>
        <w:tab/>
      </w:r>
      <w:r w:rsidR="007C7A64" w:rsidRPr="006A69E2">
        <w:t>A judgment of the South African court dated 26 April 2023 sets out the background to the operations of MTI more fully, as well as that court’s conclusions that (inter alia), MTI operated an illegal Ponzi-type scheme whereby members of the public invested in a bitcoin venture promising high returns. The bitcoin was to be managed with an AI trading bot on the “Trade 300” platform, but that platform did not exist. No pooled investment existed either, with returns to early investors funded by later investment monies.</w:t>
      </w:r>
      <w:r w:rsidR="004C51AB" w:rsidRPr="006A69E2">
        <w:t xml:space="preserve"> </w:t>
      </w:r>
    </w:p>
    <w:p w14:paraId="436334D2" w14:textId="347327DD" w:rsidR="00E85242" w:rsidRPr="006A69E2" w:rsidRDefault="004F4E99" w:rsidP="004F4E99">
      <w:pPr>
        <w:pStyle w:val="ParaNumbering"/>
        <w:numPr>
          <w:ilvl w:val="0"/>
          <w:numId w:val="0"/>
        </w:numPr>
        <w:ind w:hanging="720"/>
      </w:pPr>
      <w:r w:rsidRPr="006A69E2">
        <w:rPr>
          <w:sz w:val="20"/>
        </w:rPr>
        <w:t>7</w:t>
      </w:r>
      <w:r w:rsidRPr="006A69E2">
        <w:rPr>
          <w:sz w:val="20"/>
        </w:rPr>
        <w:tab/>
      </w:r>
      <w:r w:rsidR="00C975B5" w:rsidRPr="006A69E2">
        <w:t>The</w:t>
      </w:r>
      <w:r w:rsidR="00244688" w:rsidRPr="006A69E2">
        <w:t xml:space="preserve"> pl</w:t>
      </w:r>
      <w:r w:rsidR="00EF4F1D" w:rsidRPr="006A69E2">
        <w:t>aintiffs</w:t>
      </w:r>
      <w:r w:rsidR="00C975B5" w:rsidRPr="006A69E2">
        <w:t xml:space="preserve"> </w:t>
      </w:r>
      <w:r w:rsidR="009F7784">
        <w:t>submit</w:t>
      </w:r>
      <w:r w:rsidR="00C975B5" w:rsidRPr="006A69E2">
        <w:t xml:space="preserve"> that </w:t>
      </w:r>
      <w:r w:rsidR="00E85242" w:rsidRPr="006A69E2">
        <w:t>in a Ponzi scheme, any investor who receives a return from the scheme is liable to disgorge it. The reason is</w:t>
      </w:r>
      <w:r w:rsidR="00EF4F1D" w:rsidRPr="006A69E2">
        <w:t xml:space="preserve"> said to be</w:t>
      </w:r>
      <w:r w:rsidR="00E85242" w:rsidRPr="006A69E2">
        <w:t xml:space="preserve"> that the return is the result of their being an early investor, not because any underlying gain on their investment exists as a legal basis for the payment. It is said that in the academic literature analysing Ponzi scheme recoveries, such investors are known as “</w:t>
      </w:r>
      <w:r w:rsidR="00F84FA2" w:rsidRPr="006A69E2">
        <w:t>w</w:t>
      </w:r>
      <w:r w:rsidR="00E85242" w:rsidRPr="006A69E2">
        <w:t xml:space="preserve">inners”, </w:t>
      </w:r>
      <w:r w:rsidR="00C225A9" w:rsidRPr="006A69E2">
        <w:t>as</w:t>
      </w:r>
      <w:r w:rsidR="00E85242" w:rsidRPr="006A69E2">
        <w:t xml:space="preserve"> they receive a return from the scheme. Part of the </w:t>
      </w:r>
      <w:r w:rsidR="00E85242" w:rsidRPr="006A69E2">
        <w:lastRenderedPageBreak/>
        <w:t xml:space="preserve">object of a liquidator in administering an insolvent Ponzi scheme is to identify winners and assess whether it is possible to make a recovery from them so that their returns can be redistributed across all investors. </w:t>
      </w:r>
      <w:r w:rsidR="00D92787">
        <w:t xml:space="preserve">As to the issues which may arise in these situations, see generally </w:t>
      </w:r>
      <w:r w:rsidR="00EF4E86" w:rsidRPr="00277776">
        <w:rPr>
          <w:i/>
          <w:iCs/>
        </w:rPr>
        <w:t>Caron v Jahani (No 2)</w:t>
      </w:r>
      <w:r w:rsidR="00277776">
        <w:t xml:space="preserve"> </w:t>
      </w:r>
      <w:r w:rsidR="00277776" w:rsidRPr="00277776">
        <w:t>(2020) 102 NSWLR 537</w:t>
      </w:r>
      <w:r w:rsidR="00835D55">
        <w:t xml:space="preserve"> (</w:t>
      </w:r>
      <w:r w:rsidR="00CF1729" w:rsidRPr="00CF1729">
        <w:t>Bathurst CJ, Bell P</w:t>
      </w:r>
      <w:r w:rsidR="00CF1729">
        <w:t xml:space="preserve"> and</w:t>
      </w:r>
      <w:r w:rsidR="00CF1729" w:rsidRPr="00CF1729">
        <w:t xml:space="preserve"> Macfarlan</w:t>
      </w:r>
      <w:r w:rsidR="00CF1729">
        <w:t> </w:t>
      </w:r>
      <w:r w:rsidR="00CF1729" w:rsidRPr="00CF1729">
        <w:t>JA</w:t>
      </w:r>
      <w:r w:rsidR="00CF1729">
        <w:t>).</w:t>
      </w:r>
    </w:p>
    <w:p w14:paraId="327A7978" w14:textId="58579EC7" w:rsidR="00832BD4" w:rsidRPr="006A69E2" w:rsidRDefault="004F4E99" w:rsidP="004F4E99">
      <w:pPr>
        <w:pStyle w:val="ParaNumbering"/>
        <w:numPr>
          <w:ilvl w:val="0"/>
          <w:numId w:val="0"/>
        </w:numPr>
        <w:ind w:hanging="720"/>
      </w:pPr>
      <w:r w:rsidRPr="006A69E2">
        <w:rPr>
          <w:sz w:val="20"/>
        </w:rPr>
        <w:t>8</w:t>
      </w:r>
      <w:r w:rsidRPr="006A69E2">
        <w:rPr>
          <w:sz w:val="20"/>
        </w:rPr>
        <w:tab/>
      </w:r>
      <w:r w:rsidR="006907A8" w:rsidRPr="006A69E2">
        <w:t>The plaintiffs</w:t>
      </w:r>
      <w:r w:rsidR="00FC2A73" w:rsidRPr="006A69E2">
        <w:t xml:space="preserve"> have</w:t>
      </w:r>
      <w:r w:rsidR="002712A5" w:rsidRPr="006A69E2">
        <w:t xml:space="preserve"> </w:t>
      </w:r>
      <w:r w:rsidR="00F023EA" w:rsidRPr="006A69E2">
        <w:t>apparently</w:t>
      </w:r>
      <w:r w:rsidR="00FC2A73" w:rsidRPr="006A69E2">
        <w:t xml:space="preserve"> identified over 300,000 investors across 234 countries</w:t>
      </w:r>
      <w:r w:rsidR="00F023EA" w:rsidRPr="006A69E2">
        <w:t>,</w:t>
      </w:r>
      <w:r w:rsidR="00FC2A73" w:rsidRPr="006A69E2">
        <w:t xml:space="preserve"> </w:t>
      </w:r>
      <w:r w:rsidR="00F023EA" w:rsidRPr="006A69E2">
        <w:t>including</w:t>
      </w:r>
      <w:r w:rsidR="00E85242" w:rsidRPr="006A69E2">
        <w:t xml:space="preserve"> 866 Australian participants</w:t>
      </w:r>
      <w:r w:rsidR="00E85242" w:rsidRPr="006A69E2">
        <w:rPr>
          <w:b/>
          <w:bCs/>
        </w:rPr>
        <w:t xml:space="preserve"> </w:t>
      </w:r>
      <w:r w:rsidR="00E85242" w:rsidRPr="006A69E2">
        <w:t>in the scheme</w:t>
      </w:r>
      <w:r w:rsidR="00F023EA" w:rsidRPr="006A69E2">
        <w:t>,</w:t>
      </w:r>
      <w:r w:rsidR="00E85242" w:rsidRPr="006A69E2">
        <w:t xml:space="preserve"> who have received a return of bitcoin from </w:t>
      </w:r>
      <w:r w:rsidR="00AB1A0B" w:rsidRPr="006A69E2">
        <w:t>MTI</w:t>
      </w:r>
      <w:r w:rsidR="00894C2B" w:rsidRPr="006A69E2">
        <w:t xml:space="preserve"> (the </w:t>
      </w:r>
      <w:r w:rsidR="00894C2B" w:rsidRPr="006A69E2">
        <w:rPr>
          <w:b/>
          <w:bCs/>
        </w:rPr>
        <w:t>Australian recipients</w:t>
      </w:r>
      <w:r w:rsidR="00894C2B" w:rsidRPr="006A69E2">
        <w:t>)</w:t>
      </w:r>
      <w:r w:rsidR="00E85242" w:rsidRPr="006A69E2">
        <w:t xml:space="preserve">. The Australian recipients are </w:t>
      </w:r>
      <w:r w:rsidR="00F023EA" w:rsidRPr="006A69E2">
        <w:t xml:space="preserve">said to be </w:t>
      </w:r>
      <w:r w:rsidR="00E85242" w:rsidRPr="006A69E2">
        <w:t>the “</w:t>
      </w:r>
      <w:r w:rsidR="000D02C1" w:rsidRPr="006A69E2">
        <w:t>w</w:t>
      </w:r>
      <w:r w:rsidR="00E85242" w:rsidRPr="006A69E2">
        <w:t xml:space="preserve">inners” of the scheme in this country and are potential defendants to future claims that </w:t>
      </w:r>
      <w:r w:rsidR="00AB1A0B" w:rsidRPr="006A69E2">
        <w:t>MTI</w:t>
      </w:r>
      <w:r w:rsidR="00E85242" w:rsidRPr="006A69E2">
        <w:t xml:space="preserve"> may b</w:t>
      </w:r>
      <w:r w:rsidR="002B66D4" w:rsidRPr="006A69E2">
        <w:t>r</w:t>
      </w:r>
      <w:r w:rsidR="00E85242" w:rsidRPr="006A69E2">
        <w:t xml:space="preserve">ing because of the shelf order. </w:t>
      </w:r>
    </w:p>
    <w:p w14:paraId="798C8F78" w14:textId="36DE0E1E" w:rsidR="0085165B" w:rsidRPr="006A69E2" w:rsidRDefault="004F4E99" w:rsidP="007B2A72">
      <w:pPr>
        <w:pStyle w:val="Heading1"/>
      </w:pPr>
      <w:r w:rsidRPr="006A69E2">
        <w:rPr>
          <w:caps w:val="0"/>
        </w:rPr>
        <w:t>SHELF ORDERS: THE STATUTORY REGIME AND RELEVANT PRINCIPLES</w:t>
      </w:r>
    </w:p>
    <w:p w14:paraId="70899304" w14:textId="73E5F792" w:rsidR="00ED77FD" w:rsidRPr="006A69E2" w:rsidRDefault="004F4E99" w:rsidP="004F4E99">
      <w:pPr>
        <w:pStyle w:val="ParaNumbering"/>
        <w:numPr>
          <w:ilvl w:val="0"/>
          <w:numId w:val="0"/>
        </w:numPr>
        <w:ind w:hanging="720"/>
      </w:pPr>
      <w:r w:rsidRPr="006A69E2">
        <w:rPr>
          <w:sz w:val="20"/>
        </w:rPr>
        <w:t>9</w:t>
      </w:r>
      <w:r w:rsidRPr="006A69E2">
        <w:rPr>
          <w:sz w:val="20"/>
        </w:rPr>
        <w:tab/>
      </w:r>
      <w:r w:rsidR="00B12D94" w:rsidRPr="005C5F41">
        <w:t>Section 588FF(3)</w:t>
      </w:r>
      <w:r w:rsidR="00F30C25" w:rsidRPr="005C5F41">
        <w:t>(a)</w:t>
      </w:r>
      <w:r w:rsidR="00B12D94" w:rsidRPr="005C5F41">
        <w:t xml:space="preserve"> of the</w:t>
      </w:r>
      <w:r w:rsidR="00E91610" w:rsidRPr="005C5F41">
        <w:t xml:space="preserve"> Corporations</w:t>
      </w:r>
      <w:r w:rsidR="00B12D94" w:rsidRPr="005C5F41">
        <w:t xml:space="preserve"> Act</w:t>
      </w:r>
      <w:r w:rsidR="00B12D94" w:rsidRPr="006A69E2">
        <w:t xml:space="preserve"> provides that an application by a liquidator seeking relief in respect of voidable transactions under Division 2 of Part 5.7B may be commenced only during the period beginning on the relation-back day and ending three years after the relation-back day, or 12 months after the appointment of a liquidator, whichever is later</w:t>
      </w:r>
      <w:r w:rsidR="006776D5" w:rsidRPr="006A69E2">
        <w:t>.</w:t>
      </w:r>
      <w:r w:rsidR="00B12D94" w:rsidRPr="006A69E2">
        <w:t xml:space="preserve"> </w:t>
      </w:r>
    </w:p>
    <w:p w14:paraId="69873B98" w14:textId="05D267D5" w:rsidR="00AF3343" w:rsidRPr="006A69E2" w:rsidRDefault="004F4E99" w:rsidP="004F4E99">
      <w:pPr>
        <w:pStyle w:val="ParaNumbering"/>
        <w:numPr>
          <w:ilvl w:val="0"/>
          <w:numId w:val="0"/>
        </w:numPr>
        <w:ind w:hanging="720"/>
      </w:pPr>
      <w:r w:rsidRPr="006A69E2">
        <w:rPr>
          <w:sz w:val="20"/>
        </w:rPr>
        <w:t>10</w:t>
      </w:r>
      <w:r w:rsidRPr="006A69E2">
        <w:rPr>
          <w:sz w:val="20"/>
        </w:rPr>
        <w:tab/>
      </w:r>
      <w:r w:rsidR="00F21858" w:rsidRPr="006A69E2">
        <w:t>The gene</w:t>
      </w:r>
      <w:r w:rsidR="00E8394D" w:rsidRPr="006A69E2">
        <w:t xml:space="preserve">ral limitation in </w:t>
      </w:r>
      <w:r w:rsidR="009575C7" w:rsidRPr="005C5F41">
        <w:t xml:space="preserve">s </w:t>
      </w:r>
      <w:r w:rsidR="00E8394D" w:rsidRPr="005C5F41">
        <w:t>588FF(3)(a) of the</w:t>
      </w:r>
      <w:r w:rsidR="00E91610" w:rsidRPr="005C5F41">
        <w:t xml:space="preserve"> Corporations</w:t>
      </w:r>
      <w:r w:rsidR="00E8394D" w:rsidRPr="005C5F41">
        <w:t xml:space="preserve"> Act</w:t>
      </w:r>
      <w:r w:rsidR="00ED77FD" w:rsidRPr="006A69E2">
        <w:t xml:space="preserve"> </w:t>
      </w:r>
      <w:r w:rsidR="00B12D94" w:rsidRPr="006A69E2">
        <w:t xml:space="preserve">is afforded some flexibility by </w:t>
      </w:r>
      <w:r w:rsidR="00B12D94" w:rsidRPr="005C5F41">
        <w:t>s</w:t>
      </w:r>
      <w:r w:rsidR="007B2A72" w:rsidRPr="005C5F41">
        <w:t> </w:t>
      </w:r>
      <w:r w:rsidR="00B12D94" w:rsidRPr="005C5F41">
        <w:t>588FF(3)(b)</w:t>
      </w:r>
      <w:r w:rsidR="00B12D94" w:rsidRPr="006A69E2">
        <w:t>, which provides that the court may order that</w:t>
      </w:r>
      <w:r w:rsidR="00ED77FD" w:rsidRPr="006A69E2">
        <w:t xml:space="preserve"> </w:t>
      </w:r>
      <w:r w:rsidR="00687C83" w:rsidRPr="006A69E2">
        <w:t>any</w:t>
      </w:r>
      <w:r w:rsidR="00B12D94" w:rsidRPr="006A69E2">
        <w:t xml:space="preserve"> proceedings can be commenced within such longer period as the court orders. In the</w:t>
      </w:r>
      <w:r w:rsidR="00ED77FD" w:rsidRPr="006A69E2">
        <w:t xml:space="preserve"> </w:t>
      </w:r>
      <w:r w:rsidR="00B12D94" w:rsidRPr="006A69E2">
        <w:t>present case, the relation-back day is</w:t>
      </w:r>
      <w:r w:rsidR="005B0B80" w:rsidRPr="006A69E2">
        <w:t xml:space="preserve"> 23 December 202</w:t>
      </w:r>
      <w:r w:rsidR="00C25D28" w:rsidRPr="006A69E2">
        <w:t>0</w:t>
      </w:r>
      <w:r w:rsidR="005B0B80" w:rsidRPr="006A69E2">
        <w:t xml:space="preserve">. </w:t>
      </w:r>
      <w:r w:rsidR="002F0230" w:rsidRPr="006A69E2">
        <w:t>T</w:t>
      </w:r>
      <w:r w:rsidR="005B0B80" w:rsidRPr="006A69E2">
        <w:t>his</w:t>
      </w:r>
      <w:r w:rsidR="00FA0D12" w:rsidRPr="006A69E2">
        <w:t xml:space="preserve"> application was filed on 19 December 2023</w:t>
      </w:r>
      <w:r w:rsidR="005B0B80" w:rsidRPr="006A69E2">
        <w:t xml:space="preserve"> and is accordingly</w:t>
      </w:r>
      <w:r w:rsidR="00112C35" w:rsidRPr="006A69E2">
        <w:t xml:space="preserve"> (just)</w:t>
      </w:r>
      <w:r w:rsidR="005B0B80" w:rsidRPr="006A69E2">
        <w:t xml:space="preserve"> within three years of the relation-back day</w:t>
      </w:r>
      <w:r w:rsidR="00515C86" w:rsidRPr="006A69E2">
        <w:t xml:space="preserve"> and the time limit</w:t>
      </w:r>
      <w:r w:rsidR="005B0B80" w:rsidRPr="006A69E2">
        <w:t xml:space="preserve">. </w:t>
      </w:r>
    </w:p>
    <w:p w14:paraId="2E32056C" w14:textId="01E33E1C" w:rsidR="000B1299" w:rsidRPr="006A69E2" w:rsidRDefault="004F4E99" w:rsidP="004F4E99">
      <w:pPr>
        <w:pStyle w:val="ParaNumbering"/>
        <w:numPr>
          <w:ilvl w:val="0"/>
          <w:numId w:val="0"/>
        </w:numPr>
        <w:ind w:hanging="720"/>
      </w:pPr>
      <w:r w:rsidRPr="006A69E2">
        <w:rPr>
          <w:sz w:val="20"/>
        </w:rPr>
        <w:t>11</w:t>
      </w:r>
      <w:r w:rsidRPr="006A69E2">
        <w:rPr>
          <w:sz w:val="20"/>
        </w:rPr>
        <w:tab/>
      </w:r>
      <w:r w:rsidR="00804D56" w:rsidRPr="006A69E2">
        <w:t>A</w:t>
      </w:r>
      <w:r w:rsidR="00AF3343" w:rsidRPr="006A69E2">
        <w:t>pplications for extensions of time cannot be filed outside the time limit. The power of the court to extend the time within which a liquidator could bring proceedings challenging voidable transactions under s 588FF(3)</w:t>
      </w:r>
      <w:r w:rsidR="007E5343" w:rsidRPr="006A69E2">
        <w:t xml:space="preserve"> of the Corporations Act</w:t>
      </w:r>
      <w:r w:rsidR="00AF3343" w:rsidRPr="006A69E2">
        <w:t xml:space="preserve"> may only be made within the period set out in s</w:t>
      </w:r>
      <w:r w:rsidR="00534DA7" w:rsidRPr="006A69E2">
        <w:t> </w:t>
      </w:r>
      <w:r w:rsidR="00AF3343" w:rsidRPr="006A69E2">
        <w:t xml:space="preserve">588FF(3)(a). </w:t>
      </w:r>
      <w:r w:rsidR="00DC1AB3" w:rsidRPr="006A69E2">
        <w:t xml:space="preserve">Section 588FF(3) </w:t>
      </w:r>
      <w:r w:rsidR="007E5343" w:rsidRPr="006A69E2">
        <w:t xml:space="preserve">of the Corporations Act </w:t>
      </w:r>
      <w:r w:rsidR="00DC1AB3" w:rsidRPr="006A69E2">
        <w:t>i</w:t>
      </w:r>
      <w:r w:rsidR="00AF3343" w:rsidRPr="006A69E2">
        <w:t>s not to be characterised merely as a procedural stipulation as to time</w:t>
      </w:r>
      <w:r w:rsidR="008457A3" w:rsidRPr="006A69E2">
        <w:t xml:space="preserve">: </w:t>
      </w:r>
      <w:r w:rsidR="001968D5" w:rsidRPr="005C5F41">
        <w:rPr>
          <w:i/>
          <w:iCs/>
        </w:rPr>
        <w:t>Grant Samuel Corporate Finance Pty Ltd v Fletcher</w:t>
      </w:r>
      <w:r w:rsidR="001968D5" w:rsidRPr="005C5F41">
        <w:t xml:space="preserve"> (2015)</w:t>
      </w:r>
      <w:r w:rsidR="00D1560B" w:rsidRPr="005C5F41">
        <w:t xml:space="preserve"> 254 CLR 477</w:t>
      </w:r>
      <w:r w:rsidR="001968D5" w:rsidRPr="006A69E2">
        <w:t xml:space="preserve"> at </w:t>
      </w:r>
      <w:r w:rsidR="00BF0115">
        <w:t xml:space="preserve">485 </w:t>
      </w:r>
      <w:r w:rsidR="001968D5" w:rsidRPr="006A69E2">
        <w:t>[17]</w:t>
      </w:r>
      <w:r w:rsidR="00F55CFE" w:rsidRPr="006A69E2">
        <w:t xml:space="preserve"> </w:t>
      </w:r>
      <w:r w:rsidR="001968D5" w:rsidRPr="006A69E2">
        <w:t xml:space="preserve">and </w:t>
      </w:r>
      <w:r w:rsidR="00BF0115">
        <w:t xml:space="preserve">486-487 </w:t>
      </w:r>
      <w:r w:rsidR="001968D5" w:rsidRPr="006A69E2">
        <w:t>[22] – [23]</w:t>
      </w:r>
      <w:r w:rsidR="0039516E" w:rsidRPr="006A69E2">
        <w:t xml:space="preserve"> (French CJ, Hayne, Kiefel, Bell, </w:t>
      </w:r>
      <w:proofErr w:type="spellStart"/>
      <w:r w:rsidR="0039516E" w:rsidRPr="006A69E2">
        <w:t>Gageler</w:t>
      </w:r>
      <w:proofErr w:type="spellEnd"/>
      <w:r w:rsidR="0039516E" w:rsidRPr="006A69E2">
        <w:t xml:space="preserve"> and Keane JJ)</w:t>
      </w:r>
      <w:r w:rsidR="0070308B" w:rsidRPr="006A69E2">
        <w:t>;</w:t>
      </w:r>
      <w:r w:rsidR="00A579E1" w:rsidRPr="006A69E2">
        <w:t xml:space="preserve"> </w:t>
      </w:r>
      <w:r w:rsidR="0070308B" w:rsidRPr="006A69E2">
        <w:t xml:space="preserve">citing </w:t>
      </w:r>
      <w:r w:rsidR="0070308B" w:rsidRPr="005C5F41">
        <w:rPr>
          <w:i/>
          <w:iCs/>
        </w:rPr>
        <w:t xml:space="preserve">Gordon v </w:t>
      </w:r>
      <w:proofErr w:type="spellStart"/>
      <w:r w:rsidR="0070308B" w:rsidRPr="005C5F41">
        <w:rPr>
          <w:i/>
          <w:iCs/>
        </w:rPr>
        <w:t>Tolcher</w:t>
      </w:r>
      <w:proofErr w:type="spellEnd"/>
      <w:r w:rsidR="0070308B" w:rsidRPr="005C5F41">
        <w:t xml:space="preserve"> (2006) 231 CLR 334</w:t>
      </w:r>
      <w:r w:rsidR="0070308B" w:rsidRPr="006A69E2">
        <w:t xml:space="preserve"> at 347 [37]</w:t>
      </w:r>
      <w:r w:rsidR="005D1A02" w:rsidRPr="006A69E2">
        <w:t xml:space="preserve"> (Gleeson</w:t>
      </w:r>
      <w:r w:rsidR="002F1D61">
        <w:t> </w:t>
      </w:r>
      <w:r w:rsidR="005D1A02" w:rsidRPr="006A69E2">
        <w:t xml:space="preserve">CJ, Gummow, Hayne, Callinan and </w:t>
      </w:r>
      <w:proofErr w:type="spellStart"/>
      <w:r w:rsidR="005D1A02" w:rsidRPr="006A69E2">
        <w:t>Heydon</w:t>
      </w:r>
      <w:proofErr w:type="spellEnd"/>
      <w:r w:rsidR="005D1A02" w:rsidRPr="006A69E2">
        <w:t xml:space="preserve"> JJ)</w:t>
      </w:r>
      <w:r w:rsidR="0070308B" w:rsidRPr="006A69E2">
        <w:t>.</w:t>
      </w:r>
    </w:p>
    <w:p w14:paraId="6BFD1A13" w14:textId="23013F39" w:rsidR="005F03E9" w:rsidRPr="006A69E2" w:rsidRDefault="004F4E99" w:rsidP="004F4E99">
      <w:pPr>
        <w:pStyle w:val="ParaNumbering"/>
        <w:numPr>
          <w:ilvl w:val="0"/>
          <w:numId w:val="0"/>
        </w:numPr>
        <w:ind w:hanging="720"/>
      </w:pPr>
      <w:r w:rsidRPr="006A69E2">
        <w:rPr>
          <w:sz w:val="20"/>
        </w:rPr>
        <w:t>12</w:t>
      </w:r>
      <w:r w:rsidRPr="006A69E2">
        <w:rPr>
          <w:sz w:val="20"/>
        </w:rPr>
        <w:tab/>
      </w:r>
      <w:r w:rsidR="005F03E9" w:rsidRPr="006A69E2">
        <w:t xml:space="preserve">Extensions </w:t>
      </w:r>
      <w:r w:rsidR="000B1299" w:rsidRPr="006A69E2">
        <w:t xml:space="preserve">of time </w:t>
      </w:r>
      <w:r w:rsidR="005F03E9" w:rsidRPr="006A69E2">
        <w:t xml:space="preserve">can be granted in respect of an identified recovery. </w:t>
      </w:r>
      <w:r w:rsidR="003E39B0" w:rsidRPr="006A69E2">
        <w:t>However, a</w:t>
      </w:r>
      <w:r w:rsidR="005F03E9" w:rsidRPr="006A69E2">
        <w:t xml:space="preserve"> liquidator may not be in a position to identify all possible defendants or relevant transactions at the time </w:t>
      </w:r>
      <w:r w:rsidR="005F03E9" w:rsidRPr="006A69E2">
        <w:lastRenderedPageBreak/>
        <w:t>of making an application under s 588FF(3)(b)</w:t>
      </w:r>
      <w:r w:rsidR="007E5343" w:rsidRPr="006A69E2">
        <w:t xml:space="preserve"> of the Corporations Act</w:t>
      </w:r>
      <w:r w:rsidR="00931789" w:rsidRPr="006A69E2">
        <w:t>. T</w:t>
      </w:r>
      <w:r w:rsidR="005F03E9" w:rsidRPr="006A69E2">
        <w:t>his has led to applications for orders in general</w:t>
      </w:r>
      <w:r w:rsidR="00233E03" w:rsidRPr="006A69E2">
        <w:t xml:space="preserve"> or blanket</w:t>
      </w:r>
      <w:r w:rsidR="00D56CE0" w:rsidRPr="006A69E2">
        <w:t xml:space="preserve"> </w:t>
      </w:r>
      <w:r w:rsidR="005F03E9" w:rsidRPr="006A69E2">
        <w:t>terms,</w:t>
      </w:r>
      <w:r w:rsidR="00D56CE0" w:rsidRPr="006A69E2">
        <w:t xml:space="preserve"> which are</w:t>
      </w:r>
      <w:r w:rsidR="005F03E9" w:rsidRPr="006A69E2">
        <w:t xml:space="preserve"> known as “shelf orders”.</w:t>
      </w:r>
      <w:r w:rsidR="00A579E1" w:rsidRPr="006A69E2">
        <w:t xml:space="preserve"> </w:t>
      </w:r>
    </w:p>
    <w:p w14:paraId="3FB8F378" w14:textId="23C3A0EC" w:rsidR="005F03E9" w:rsidRPr="006A69E2" w:rsidRDefault="004F4E99" w:rsidP="004F4E99">
      <w:pPr>
        <w:pStyle w:val="ParaNumbering"/>
        <w:numPr>
          <w:ilvl w:val="0"/>
          <w:numId w:val="0"/>
        </w:numPr>
        <w:ind w:hanging="720"/>
      </w:pPr>
      <w:r w:rsidRPr="006A69E2">
        <w:rPr>
          <w:sz w:val="20"/>
        </w:rPr>
        <w:t>13</w:t>
      </w:r>
      <w:r w:rsidRPr="006A69E2">
        <w:rPr>
          <w:sz w:val="20"/>
        </w:rPr>
        <w:tab/>
      </w:r>
      <w:r w:rsidR="005F03E9" w:rsidRPr="006A69E2">
        <w:t xml:space="preserve">The term </w:t>
      </w:r>
      <w:r w:rsidR="00350C13" w:rsidRPr="006A69E2">
        <w:t>is</w:t>
      </w:r>
      <w:r w:rsidR="005F03E9" w:rsidRPr="006A69E2">
        <w:t xml:space="preserve"> said to have originated in </w:t>
      </w:r>
      <w:r w:rsidR="005F03E9" w:rsidRPr="005C5F41">
        <w:rPr>
          <w:i/>
          <w:iCs/>
        </w:rPr>
        <w:t xml:space="preserve">Brown v DML Resources Pty Ltd (No 5) (in </w:t>
      </w:r>
      <w:proofErr w:type="spellStart"/>
      <w:r w:rsidR="005F03E9" w:rsidRPr="005C5F41">
        <w:rPr>
          <w:i/>
          <w:iCs/>
        </w:rPr>
        <w:t>liq</w:t>
      </w:r>
      <w:proofErr w:type="spellEnd"/>
      <w:r w:rsidR="005F03E9" w:rsidRPr="005C5F41">
        <w:rPr>
          <w:i/>
          <w:iCs/>
        </w:rPr>
        <w:t>)</w:t>
      </w:r>
      <w:r w:rsidR="005F03E9" w:rsidRPr="005C5F41">
        <w:t xml:space="preserve"> (2001) 166 FLR 1</w:t>
      </w:r>
      <w:r w:rsidR="005F03E9" w:rsidRPr="006A69E2">
        <w:t xml:space="preserve"> at 8 [31]</w:t>
      </w:r>
      <w:r w:rsidR="00423C2B" w:rsidRPr="006A69E2">
        <w:t xml:space="preserve"> (Austin J)</w:t>
      </w:r>
      <w:r w:rsidR="002C67D6" w:rsidRPr="006A69E2">
        <w:t>;</w:t>
      </w:r>
      <w:r w:rsidR="005F03E9" w:rsidRPr="006A69E2">
        <w:t xml:space="preserve"> </w:t>
      </w:r>
      <w:r w:rsidR="005B2B02" w:rsidRPr="006A69E2">
        <w:t xml:space="preserve">which was itself </w:t>
      </w:r>
      <w:r w:rsidR="005F03E9" w:rsidRPr="006A69E2">
        <w:t xml:space="preserve">cited in </w:t>
      </w:r>
      <w:r w:rsidR="005F03E9" w:rsidRPr="005C5F41">
        <w:rPr>
          <w:b/>
          <w:bCs/>
          <w:i/>
          <w:iCs/>
        </w:rPr>
        <w:t xml:space="preserve">Fortress Credit </w:t>
      </w:r>
      <w:r w:rsidR="005F03E9" w:rsidRPr="005C5F41">
        <w:rPr>
          <w:i/>
          <w:iCs/>
        </w:rPr>
        <w:t>Corporation (Australia) II Pty Ltd v Fletcher</w:t>
      </w:r>
      <w:r w:rsidR="005F03E9" w:rsidRPr="005C5F41">
        <w:t xml:space="preserve"> (2015) 254 CLR 489</w:t>
      </w:r>
      <w:r w:rsidR="005F03E9" w:rsidRPr="006A69E2">
        <w:t xml:space="preserve"> at 495</w:t>
      </w:r>
      <w:r w:rsidR="0056006C" w:rsidRPr="006A69E2">
        <w:t xml:space="preserve"> </w:t>
      </w:r>
      <w:r w:rsidR="002E61DA" w:rsidRPr="006A69E2">
        <w:t xml:space="preserve">[1] </w:t>
      </w:r>
      <w:r w:rsidR="002F74C2" w:rsidRPr="006A69E2">
        <w:t xml:space="preserve">(French CJ, Hayne,  Kiefel, </w:t>
      </w:r>
      <w:proofErr w:type="spellStart"/>
      <w:r w:rsidR="002F74C2" w:rsidRPr="006A69E2">
        <w:t>Gageler</w:t>
      </w:r>
      <w:proofErr w:type="spellEnd"/>
      <w:r w:rsidR="002F74C2" w:rsidRPr="006A69E2">
        <w:t xml:space="preserve"> and Keane JJ)</w:t>
      </w:r>
      <w:r w:rsidR="002C67D6" w:rsidRPr="006A69E2">
        <w:t xml:space="preserve">; </w:t>
      </w:r>
      <w:r w:rsidR="000A2825" w:rsidRPr="006A69E2">
        <w:t xml:space="preserve">see also </w:t>
      </w:r>
      <w:r w:rsidR="000A2825" w:rsidRPr="005C5F41">
        <w:rPr>
          <w:i/>
          <w:iCs/>
        </w:rPr>
        <w:t xml:space="preserve">Blakeley v </w:t>
      </w:r>
      <w:proofErr w:type="spellStart"/>
      <w:r w:rsidR="000A2825" w:rsidRPr="005C5F41">
        <w:rPr>
          <w:i/>
          <w:iCs/>
        </w:rPr>
        <w:t>Ausmart</w:t>
      </w:r>
      <w:proofErr w:type="spellEnd"/>
      <w:r w:rsidR="000A2825" w:rsidRPr="005C5F41">
        <w:rPr>
          <w:i/>
          <w:iCs/>
        </w:rPr>
        <w:t xml:space="preserve"> Services Pty Ltd (in </w:t>
      </w:r>
      <w:proofErr w:type="spellStart"/>
      <w:r w:rsidR="000A2825" w:rsidRPr="005C5F41">
        <w:rPr>
          <w:i/>
          <w:iCs/>
        </w:rPr>
        <w:t>liq</w:t>
      </w:r>
      <w:proofErr w:type="spellEnd"/>
      <w:r w:rsidR="000A2825" w:rsidRPr="005C5F41">
        <w:rPr>
          <w:i/>
          <w:iCs/>
        </w:rPr>
        <w:t xml:space="preserve">), in the matter of </w:t>
      </w:r>
      <w:proofErr w:type="spellStart"/>
      <w:r w:rsidR="000A2825" w:rsidRPr="005C5F41">
        <w:rPr>
          <w:i/>
          <w:iCs/>
        </w:rPr>
        <w:t>Ausmart</w:t>
      </w:r>
      <w:proofErr w:type="spellEnd"/>
      <w:r w:rsidR="000A2825" w:rsidRPr="005C5F41">
        <w:rPr>
          <w:i/>
          <w:iCs/>
        </w:rPr>
        <w:t xml:space="preserve"> Services Pty Ltd (in </w:t>
      </w:r>
      <w:proofErr w:type="spellStart"/>
      <w:r w:rsidR="000A2825" w:rsidRPr="005C5F41">
        <w:rPr>
          <w:i/>
          <w:iCs/>
        </w:rPr>
        <w:t>liq</w:t>
      </w:r>
      <w:proofErr w:type="spellEnd"/>
      <w:r w:rsidR="000A2825" w:rsidRPr="005C5F41">
        <w:rPr>
          <w:i/>
          <w:iCs/>
        </w:rPr>
        <w:t>)</w:t>
      </w:r>
      <w:r w:rsidR="000A2825" w:rsidRPr="005C5F41">
        <w:t xml:space="preserve"> [2021] FCA 1470</w:t>
      </w:r>
      <w:r w:rsidR="000A2825" w:rsidRPr="006A69E2">
        <w:t xml:space="preserve"> at [39]</w:t>
      </w:r>
      <w:r w:rsidR="002C66C0" w:rsidRPr="006A69E2">
        <w:t xml:space="preserve"> (</w:t>
      </w:r>
      <w:r w:rsidR="006E5269" w:rsidRPr="006A69E2">
        <w:t>O’</w:t>
      </w:r>
      <w:r w:rsidR="002C66C0" w:rsidRPr="006A69E2">
        <w:t>Callaghan J)</w:t>
      </w:r>
      <w:r w:rsidR="005F03E9" w:rsidRPr="006A69E2">
        <w:t>. As the High Court held in</w:t>
      </w:r>
      <w:r w:rsidR="000E2541" w:rsidRPr="006A69E2">
        <w:rPr>
          <w:b/>
          <w:bCs/>
          <w:i/>
          <w:iCs/>
        </w:rPr>
        <w:t xml:space="preserve"> </w:t>
      </w:r>
      <w:r w:rsidR="000E2541" w:rsidRPr="006A69E2">
        <w:rPr>
          <w:i/>
          <w:iCs/>
        </w:rPr>
        <w:t>Fortress Credit</w:t>
      </w:r>
      <w:r w:rsidR="004F66D9" w:rsidRPr="006A69E2">
        <w:t xml:space="preserve"> </w:t>
      </w:r>
      <w:r w:rsidR="00583AA6" w:rsidRPr="006A69E2">
        <w:t xml:space="preserve">at </w:t>
      </w:r>
      <w:r w:rsidR="008225CD" w:rsidRPr="006A69E2">
        <w:t>506 [27]</w:t>
      </w:r>
      <w:r w:rsidR="005F03E9" w:rsidRPr="006A69E2">
        <w:t>, the power under s</w:t>
      </w:r>
      <w:r w:rsidR="00890CE3" w:rsidRPr="006A69E2">
        <w:t> </w:t>
      </w:r>
      <w:r w:rsidR="005F03E9" w:rsidRPr="006A69E2">
        <w:t xml:space="preserve">588FF(3)(b) </w:t>
      </w:r>
      <w:r w:rsidR="007E5343" w:rsidRPr="006A69E2">
        <w:t xml:space="preserve">of the Corporations Act </w:t>
      </w:r>
      <w:r w:rsidR="005F03E9" w:rsidRPr="006A69E2">
        <w:t xml:space="preserve">to extend the time within which a company’s liquidators may apply for orders in relation to voidable transactions entered into by </w:t>
      </w:r>
      <w:r w:rsidR="000720D1" w:rsidRPr="006A69E2">
        <w:t>a company</w:t>
      </w:r>
      <w:r w:rsidR="005F03E9" w:rsidRPr="006A69E2">
        <w:t xml:space="preserve"> extends to transactions </w:t>
      </w:r>
      <w:r w:rsidR="00C0695A" w:rsidRPr="006A69E2">
        <w:t xml:space="preserve">that </w:t>
      </w:r>
      <w:r w:rsidR="005871F7" w:rsidRPr="006A69E2">
        <w:t xml:space="preserve">cannot </w:t>
      </w:r>
      <w:r w:rsidR="005F03E9" w:rsidRPr="006A69E2">
        <w:t>be identified at the time of the order.</w:t>
      </w:r>
      <w:r w:rsidR="00177A74" w:rsidRPr="006A69E2">
        <w:t xml:space="preserve"> </w:t>
      </w:r>
    </w:p>
    <w:p w14:paraId="7FD87390" w14:textId="3DDB5E76" w:rsidR="005F03E9" w:rsidRPr="006A69E2" w:rsidRDefault="004F4E99" w:rsidP="004F4E99">
      <w:pPr>
        <w:pStyle w:val="ParaNumbering"/>
        <w:numPr>
          <w:ilvl w:val="0"/>
          <w:numId w:val="0"/>
        </w:numPr>
        <w:ind w:hanging="720"/>
      </w:pPr>
      <w:r w:rsidRPr="006A69E2">
        <w:rPr>
          <w:sz w:val="20"/>
        </w:rPr>
        <w:t>14</w:t>
      </w:r>
      <w:r w:rsidRPr="006A69E2">
        <w:rPr>
          <w:sz w:val="20"/>
        </w:rPr>
        <w:tab/>
      </w:r>
      <w:r w:rsidR="005F03E9" w:rsidRPr="006A69E2">
        <w:t>The principles governing</w:t>
      </w:r>
      <w:r w:rsidR="00224086" w:rsidRPr="006A69E2">
        <w:t xml:space="preserve"> the exercise of discretion in</w:t>
      </w:r>
      <w:r w:rsidR="005F03E9" w:rsidRPr="006A69E2">
        <w:t xml:space="preserve"> an application for an extension generally were summarised by </w:t>
      </w:r>
      <w:proofErr w:type="spellStart"/>
      <w:r w:rsidR="005F03E9" w:rsidRPr="006A69E2">
        <w:t>Sifris</w:t>
      </w:r>
      <w:proofErr w:type="spellEnd"/>
      <w:r w:rsidR="00660575" w:rsidRPr="006A69E2">
        <w:t> </w:t>
      </w:r>
      <w:r w:rsidR="005F03E9" w:rsidRPr="006A69E2">
        <w:t>J in</w:t>
      </w:r>
      <w:r w:rsidR="005F03E9" w:rsidRPr="006A69E2">
        <w:rPr>
          <w:i/>
          <w:iCs/>
        </w:rPr>
        <w:t xml:space="preserve"> </w:t>
      </w:r>
      <w:r w:rsidR="005F03E9" w:rsidRPr="005C5F41">
        <w:rPr>
          <w:i/>
          <w:iCs/>
        </w:rPr>
        <w:t xml:space="preserve">Re </w:t>
      </w:r>
      <w:proofErr w:type="spellStart"/>
      <w:r w:rsidR="005F03E9" w:rsidRPr="005C5F41">
        <w:rPr>
          <w:i/>
          <w:iCs/>
        </w:rPr>
        <w:t>Cohalan</w:t>
      </w:r>
      <w:proofErr w:type="spellEnd"/>
      <w:r w:rsidR="005F03E9" w:rsidRPr="005C5F41">
        <w:rPr>
          <w:i/>
          <w:iCs/>
        </w:rPr>
        <w:t xml:space="preserve"> &amp; Mitchell Roofing (in </w:t>
      </w:r>
      <w:proofErr w:type="spellStart"/>
      <w:r w:rsidR="005F03E9" w:rsidRPr="005C5F41">
        <w:rPr>
          <w:i/>
          <w:iCs/>
        </w:rPr>
        <w:t>liq</w:t>
      </w:r>
      <w:proofErr w:type="spellEnd"/>
      <w:r w:rsidR="005F03E9" w:rsidRPr="005C5F41">
        <w:rPr>
          <w:i/>
          <w:iCs/>
        </w:rPr>
        <w:t xml:space="preserve">) </w:t>
      </w:r>
      <w:r w:rsidR="005F03E9" w:rsidRPr="005C5F41">
        <w:t>[2020] VSC 222</w:t>
      </w:r>
      <w:r w:rsidR="008318CB" w:rsidRPr="006A69E2">
        <w:t xml:space="preserve"> at [30]–[33].</w:t>
      </w:r>
      <w:r w:rsidR="006B32DE">
        <w:t xml:space="preserve"> </w:t>
      </w:r>
      <w:r w:rsidR="000A6C5A" w:rsidRPr="006A69E2">
        <w:t>The factors to be considered were said by his Honour to be as follows:</w:t>
      </w:r>
    </w:p>
    <w:p w14:paraId="4C63C8A2" w14:textId="67979927" w:rsidR="005F03E9" w:rsidRPr="006A69E2" w:rsidRDefault="004F4E99" w:rsidP="004F4E99">
      <w:pPr>
        <w:pStyle w:val="ListNo1alt"/>
        <w:numPr>
          <w:ilvl w:val="0"/>
          <w:numId w:val="0"/>
        </w:numPr>
        <w:tabs>
          <w:tab w:val="left" w:pos="720"/>
        </w:tabs>
        <w:ind w:left="720" w:hanging="720"/>
      </w:pPr>
      <w:r w:rsidRPr="006A69E2">
        <w:t>(a)</w:t>
      </w:r>
      <w:r w:rsidRPr="006A69E2">
        <w:tab/>
      </w:r>
      <w:r w:rsidR="005F03E9" w:rsidRPr="006A69E2">
        <w:t>the adequacy of the liquidator's explanation for the delay in commencing proceedings;</w:t>
      </w:r>
    </w:p>
    <w:p w14:paraId="74FBD0E2" w14:textId="14645182" w:rsidR="005F03E9" w:rsidRPr="006A69E2" w:rsidRDefault="004F4E99" w:rsidP="004F4E99">
      <w:pPr>
        <w:pStyle w:val="ListNo1alt"/>
        <w:numPr>
          <w:ilvl w:val="0"/>
          <w:numId w:val="0"/>
        </w:numPr>
        <w:tabs>
          <w:tab w:val="left" w:pos="720"/>
        </w:tabs>
        <w:ind w:left="720" w:hanging="720"/>
      </w:pPr>
      <w:r w:rsidRPr="006A69E2">
        <w:t>(b)</w:t>
      </w:r>
      <w:r w:rsidRPr="006A69E2">
        <w:tab/>
      </w:r>
      <w:r w:rsidR="005F03E9" w:rsidRPr="006A69E2">
        <w:t>a preliminary view of the merits of the proposed proceedings; and</w:t>
      </w:r>
    </w:p>
    <w:p w14:paraId="6C012765" w14:textId="3AB6DDB6" w:rsidR="005F03E9" w:rsidRPr="006A69E2" w:rsidRDefault="004F4E99" w:rsidP="004F4E99">
      <w:pPr>
        <w:pStyle w:val="ListNo1alt"/>
        <w:numPr>
          <w:ilvl w:val="0"/>
          <w:numId w:val="0"/>
        </w:numPr>
        <w:tabs>
          <w:tab w:val="left" w:pos="720"/>
        </w:tabs>
        <w:ind w:left="720" w:hanging="720"/>
      </w:pPr>
      <w:r w:rsidRPr="006A69E2">
        <w:t>(c)</w:t>
      </w:r>
      <w:r w:rsidRPr="006A69E2">
        <w:tab/>
      </w:r>
      <w:r w:rsidR="005F03E9" w:rsidRPr="006A69E2">
        <w:t>a balancing of the case for granting the extension against any actual prejudice to the respondents that is likely to arise from granting the extension.</w:t>
      </w:r>
    </w:p>
    <w:p w14:paraId="5CBF4EA2" w14:textId="41A038FB" w:rsidR="005F03E9" w:rsidRPr="006A69E2" w:rsidRDefault="004F4E99" w:rsidP="004F4E99">
      <w:pPr>
        <w:pStyle w:val="ParaNumbering"/>
        <w:numPr>
          <w:ilvl w:val="0"/>
          <w:numId w:val="0"/>
        </w:numPr>
        <w:ind w:hanging="720"/>
      </w:pPr>
      <w:r w:rsidRPr="006A69E2">
        <w:rPr>
          <w:sz w:val="20"/>
        </w:rPr>
        <w:t>15</w:t>
      </w:r>
      <w:r w:rsidRPr="006A69E2">
        <w:rPr>
          <w:sz w:val="20"/>
        </w:rPr>
        <w:tab/>
      </w:r>
      <w:r w:rsidR="00992FBA" w:rsidRPr="006A69E2">
        <w:t>It is</w:t>
      </w:r>
      <w:r w:rsidR="00503490" w:rsidRPr="006A69E2">
        <w:t xml:space="preserve"> submitted </w:t>
      </w:r>
      <w:r w:rsidR="00992FBA" w:rsidRPr="006A69E2">
        <w:t>that t</w:t>
      </w:r>
      <w:r w:rsidR="005F03E9" w:rsidRPr="006A69E2">
        <w:t>he</w:t>
      </w:r>
      <w:r w:rsidR="002E2864" w:rsidRPr="006A69E2">
        <w:t>se</w:t>
      </w:r>
      <w:r w:rsidR="005F03E9" w:rsidRPr="006A69E2">
        <w:t xml:space="preserve"> factors </w:t>
      </w:r>
      <w:r w:rsidR="002E2864" w:rsidRPr="006A69E2">
        <w:t>flow</w:t>
      </w:r>
      <w:r w:rsidR="00992FBA" w:rsidRPr="006A69E2">
        <w:t xml:space="preserve"> </w:t>
      </w:r>
      <w:r w:rsidR="005F03E9" w:rsidRPr="006A69E2">
        <w:t xml:space="preserve">from a more general obligation of the </w:t>
      </w:r>
      <w:r w:rsidR="00D2712C" w:rsidRPr="006A69E2">
        <w:t>c</w:t>
      </w:r>
      <w:r w:rsidR="005F03E9" w:rsidRPr="006A69E2">
        <w:t>ourt to consider what is fair and just in all the circumstances</w:t>
      </w:r>
      <w:r w:rsidR="00945FA6" w:rsidRPr="006A69E2">
        <w:t>, as to which see</w:t>
      </w:r>
      <w:r w:rsidR="005F03E9" w:rsidRPr="006A69E2">
        <w:t xml:space="preserve"> </w:t>
      </w:r>
      <w:r w:rsidR="005F03E9" w:rsidRPr="005C5F41">
        <w:rPr>
          <w:b/>
          <w:bCs/>
          <w:i/>
          <w:iCs/>
        </w:rPr>
        <w:t>BP Australia</w:t>
      </w:r>
      <w:r w:rsidR="005F03E9" w:rsidRPr="005C5F41">
        <w:rPr>
          <w:i/>
          <w:iCs/>
        </w:rPr>
        <w:t xml:space="preserve"> Ltd v Brown</w:t>
      </w:r>
      <w:r w:rsidR="005736E3" w:rsidRPr="005C5F41">
        <w:rPr>
          <w:i/>
          <w:iCs/>
        </w:rPr>
        <w:t xml:space="preserve"> </w:t>
      </w:r>
      <w:r w:rsidR="005736E3" w:rsidRPr="005C5F41">
        <w:t>(2003) 58 NSWLR 322</w:t>
      </w:r>
      <w:r w:rsidR="004706F2" w:rsidRPr="006A69E2">
        <w:t xml:space="preserve"> </w:t>
      </w:r>
      <w:r w:rsidR="005736E3" w:rsidRPr="006A69E2">
        <w:t xml:space="preserve">at </w:t>
      </w:r>
      <w:r w:rsidR="00C77077" w:rsidRPr="006A69E2">
        <w:t>3</w:t>
      </w:r>
      <w:r w:rsidR="00CB06FA" w:rsidRPr="006A69E2">
        <w:t xml:space="preserve">57-358 </w:t>
      </w:r>
      <w:r w:rsidR="005736E3" w:rsidRPr="006A69E2">
        <w:t>[187]</w:t>
      </w:r>
      <w:r w:rsidR="002556C4" w:rsidRPr="006A69E2">
        <w:t xml:space="preserve"> (Spigelman CJ, with Mason P and Handley JA agreeing)</w:t>
      </w:r>
      <w:r w:rsidR="005736E3" w:rsidRPr="006A69E2">
        <w:t>.</w:t>
      </w:r>
      <w:r w:rsidR="00177A74" w:rsidRPr="006A69E2">
        <w:t xml:space="preserve"> </w:t>
      </w:r>
    </w:p>
    <w:p w14:paraId="273E157D" w14:textId="53C82E2C" w:rsidR="003C6823" w:rsidRPr="006A69E2" w:rsidRDefault="004F4E99" w:rsidP="004F4E99">
      <w:pPr>
        <w:pStyle w:val="ParaNumbering"/>
        <w:numPr>
          <w:ilvl w:val="0"/>
          <w:numId w:val="0"/>
        </w:numPr>
        <w:ind w:hanging="720"/>
      </w:pPr>
      <w:r w:rsidRPr="006A69E2">
        <w:rPr>
          <w:sz w:val="20"/>
        </w:rPr>
        <w:t>16</w:t>
      </w:r>
      <w:r w:rsidRPr="006A69E2">
        <w:rPr>
          <w:sz w:val="20"/>
        </w:rPr>
        <w:tab/>
      </w:r>
      <w:r w:rsidR="006907A8" w:rsidRPr="006A69E2">
        <w:t>The plaintiffs</w:t>
      </w:r>
      <w:r w:rsidR="002A6A27" w:rsidRPr="006A69E2">
        <w:t xml:space="preserve"> submit that relevant principles </w:t>
      </w:r>
      <w:r w:rsidR="00F50EF1" w:rsidRPr="006A69E2">
        <w:t xml:space="preserve">distilled from other cases in the application of </w:t>
      </w:r>
      <w:r w:rsidR="002A6A27" w:rsidRPr="006A69E2">
        <w:t xml:space="preserve">these factors to the present </w:t>
      </w:r>
      <w:r w:rsidR="00190131" w:rsidRPr="006A69E2">
        <w:t>case</w:t>
      </w:r>
      <w:r w:rsidR="002A6A27" w:rsidRPr="006A69E2">
        <w:t xml:space="preserve"> include:</w:t>
      </w:r>
    </w:p>
    <w:p w14:paraId="4C6DAB5C" w14:textId="1E2A31E0" w:rsidR="00F810CC" w:rsidRPr="006A69E2" w:rsidRDefault="004F4E99" w:rsidP="004F4E99">
      <w:pPr>
        <w:pStyle w:val="ListNo1alt"/>
        <w:numPr>
          <w:ilvl w:val="0"/>
          <w:numId w:val="0"/>
        </w:numPr>
        <w:tabs>
          <w:tab w:val="left" w:pos="720"/>
        </w:tabs>
        <w:ind w:left="720" w:hanging="720"/>
      </w:pPr>
      <w:r w:rsidRPr="006A69E2">
        <w:t>(a)</w:t>
      </w:r>
      <w:r w:rsidRPr="006A69E2">
        <w:tab/>
      </w:r>
      <w:r w:rsidR="00F810CC" w:rsidRPr="006A69E2">
        <w:t>the absence of funding to conduct examinations into voidable transactions is at least one factor to be taken into account in considering the explanation for delay in commencing proceedings</w:t>
      </w:r>
      <w:r w:rsidR="000F51AF" w:rsidRPr="006A69E2">
        <w:t xml:space="preserve">: </w:t>
      </w:r>
      <w:r w:rsidR="000F51AF" w:rsidRPr="005C5F41">
        <w:rPr>
          <w:i/>
          <w:iCs/>
        </w:rPr>
        <w:t>Clout v Andi-Co Australia Pty Ltd</w:t>
      </w:r>
      <w:r w:rsidR="000F51AF" w:rsidRPr="005C5F41">
        <w:t xml:space="preserve"> (2013) 96 ACSR 512</w:t>
      </w:r>
      <w:r w:rsidR="000F51AF" w:rsidRPr="006A69E2">
        <w:t xml:space="preserve"> at </w:t>
      </w:r>
      <w:r w:rsidR="006177D8">
        <w:t xml:space="preserve">521 </w:t>
      </w:r>
      <w:r w:rsidR="000F51AF" w:rsidRPr="006A69E2">
        <w:t>[62]</w:t>
      </w:r>
      <w:r w:rsidR="0087708B" w:rsidRPr="006A69E2">
        <w:t xml:space="preserve"> (Mullins J)</w:t>
      </w:r>
      <w:r w:rsidR="00F810CC" w:rsidRPr="006A69E2">
        <w:t>;</w:t>
      </w:r>
    </w:p>
    <w:p w14:paraId="57563C78" w14:textId="2BE57E47" w:rsidR="00F810CC" w:rsidRPr="006A69E2" w:rsidRDefault="004F4E99" w:rsidP="004F4E99">
      <w:pPr>
        <w:pStyle w:val="ListNo1alt"/>
        <w:numPr>
          <w:ilvl w:val="0"/>
          <w:numId w:val="0"/>
        </w:numPr>
        <w:tabs>
          <w:tab w:val="left" w:pos="720"/>
        </w:tabs>
        <w:ind w:left="720" w:hanging="720"/>
      </w:pPr>
      <w:r w:rsidRPr="006A69E2">
        <w:t>(b)</w:t>
      </w:r>
      <w:r w:rsidRPr="006A69E2">
        <w:tab/>
      </w:r>
      <w:r w:rsidR="00F810CC" w:rsidRPr="006A69E2">
        <w:t xml:space="preserve">a liquidator's hesitancy to act in circumstances where </w:t>
      </w:r>
      <w:r w:rsidR="00204143" w:rsidRPr="006A69E2">
        <w:t xml:space="preserve">he or she is </w:t>
      </w:r>
      <w:r w:rsidR="00F810CC" w:rsidRPr="006A69E2">
        <w:t>without funds may be a relevant factor in considering any explanation for the delay in proceeding</w:t>
      </w:r>
      <w:r w:rsidR="00872F12" w:rsidRPr="006A69E2">
        <w:t xml:space="preserve">: </w:t>
      </w:r>
      <w:r w:rsidR="00872F12" w:rsidRPr="005C5F41">
        <w:rPr>
          <w:i/>
          <w:iCs/>
        </w:rPr>
        <w:t xml:space="preserve">Donnellon Childcare Holdings Pty Ltd (in </w:t>
      </w:r>
      <w:proofErr w:type="spellStart"/>
      <w:r w:rsidR="00872F12" w:rsidRPr="005C5F41">
        <w:rPr>
          <w:i/>
          <w:iCs/>
        </w:rPr>
        <w:t>liq</w:t>
      </w:r>
      <w:proofErr w:type="spellEnd"/>
      <w:r w:rsidR="00872F12" w:rsidRPr="005C5F41">
        <w:rPr>
          <w:i/>
          <w:iCs/>
        </w:rPr>
        <w:t>) v Donnellon</w:t>
      </w:r>
      <w:r w:rsidR="00872F12" w:rsidRPr="005C5F41">
        <w:t xml:space="preserve"> [2020] FCA 1003</w:t>
      </w:r>
      <w:r w:rsidR="00872F12" w:rsidRPr="006A69E2">
        <w:t xml:space="preserve"> at [31]</w:t>
      </w:r>
      <w:r w:rsidR="004916AE" w:rsidRPr="006A69E2">
        <w:t xml:space="preserve"> (Reeves J</w:t>
      </w:r>
      <w:r w:rsidR="00BA2639" w:rsidRPr="006A69E2">
        <w:t>)</w:t>
      </w:r>
      <w:r w:rsidR="00872F12" w:rsidRPr="006A69E2">
        <w:t xml:space="preserve">; </w:t>
      </w:r>
      <w:r w:rsidR="00872F12" w:rsidRPr="005C5F41">
        <w:rPr>
          <w:i/>
          <w:iCs/>
        </w:rPr>
        <w:t>Re Half Price Enterprises Pty Ltd</w:t>
      </w:r>
      <w:r w:rsidR="00872F12" w:rsidRPr="005C5F41">
        <w:t xml:space="preserve"> [2021] FCA 805</w:t>
      </w:r>
      <w:r w:rsidR="00872F12" w:rsidRPr="006A69E2">
        <w:t xml:space="preserve"> at [21]</w:t>
      </w:r>
      <w:r w:rsidR="00FC6D1E" w:rsidRPr="006A69E2">
        <w:t xml:space="preserve"> (Markovic J)</w:t>
      </w:r>
      <w:r w:rsidR="00872F12" w:rsidRPr="006A69E2">
        <w:t>;</w:t>
      </w:r>
    </w:p>
    <w:p w14:paraId="58E03171" w14:textId="66C197B2" w:rsidR="00F810CC" w:rsidRPr="006A69E2" w:rsidRDefault="004F4E99" w:rsidP="004F4E99">
      <w:pPr>
        <w:pStyle w:val="ListNo1alt"/>
        <w:numPr>
          <w:ilvl w:val="0"/>
          <w:numId w:val="0"/>
        </w:numPr>
        <w:tabs>
          <w:tab w:val="left" w:pos="720"/>
        </w:tabs>
        <w:ind w:left="720" w:hanging="720"/>
      </w:pPr>
      <w:r w:rsidRPr="006A69E2">
        <w:lastRenderedPageBreak/>
        <w:t>(c)</w:t>
      </w:r>
      <w:r w:rsidRPr="006A69E2">
        <w:tab/>
      </w:r>
      <w:r w:rsidR="00F810CC" w:rsidRPr="006A69E2">
        <w:t xml:space="preserve">where the liquidator’s purpose in seeking the extension of time is simply to </w:t>
      </w:r>
      <w:r w:rsidR="00B339D7" w:rsidRPr="006A69E2">
        <w:t xml:space="preserve">be put </w:t>
      </w:r>
      <w:r w:rsidR="00F810CC" w:rsidRPr="006A69E2">
        <w:t xml:space="preserve">into a position where </w:t>
      </w:r>
      <w:r w:rsidR="00B339D7" w:rsidRPr="006A69E2">
        <w:t>they</w:t>
      </w:r>
      <w:r w:rsidR="00F810CC" w:rsidRPr="006A69E2">
        <w:t xml:space="preserve"> can properly decide </w:t>
      </w:r>
      <w:r w:rsidR="00BE5868" w:rsidRPr="006A69E2">
        <w:t>whether</w:t>
      </w:r>
      <w:r w:rsidR="00F810CC" w:rsidRPr="006A69E2">
        <w:t xml:space="preserve"> to bring proceedings, a preliminary inquiry into the merits of any consequent proceedings may not always be necessary. There is a risk that in some cases, requiring a preliminary inquiry into the merits may impose an unnecessary burden on both the liquidator and the </w:t>
      </w:r>
      <w:r w:rsidR="006B32DE">
        <w:t>c</w:t>
      </w:r>
      <w:r w:rsidR="00F810CC" w:rsidRPr="006A69E2">
        <w:t xml:space="preserve">ourt, especially in a case where the circumstances appear to give rise to complex or disputed questions of fact and law and the evidence before the </w:t>
      </w:r>
      <w:r w:rsidR="006B32DE">
        <w:t>c</w:t>
      </w:r>
      <w:r w:rsidR="00F810CC" w:rsidRPr="006A69E2">
        <w:t>ourt is manifestly incomplete</w:t>
      </w:r>
      <w:r w:rsidR="005C4C70" w:rsidRPr="006A69E2">
        <w:t xml:space="preserve">: </w:t>
      </w:r>
      <w:r w:rsidR="005C4C70" w:rsidRPr="005C5F41">
        <w:rPr>
          <w:i/>
          <w:iCs/>
        </w:rPr>
        <w:t xml:space="preserve">Green v Chiswell Furniture Pty Ltd (in </w:t>
      </w:r>
      <w:proofErr w:type="spellStart"/>
      <w:r w:rsidR="005C4C70" w:rsidRPr="005C5F41">
        <w:rPr>
          <w:i/>
          <w:iCs/>
        </w:rPr>
        <w:t>liq</w:t>
      </w:r>
      <w:proofErr w:type="spellEnd"/>
      <w:r w:rsidR="005C4C70" w:rsidRPr="005C5F41">
        <w:rPr>
          <w:i/>
          <w:iCs/>
        </w:rPr>
        <w:t>)</w:t>
      </w:r>
      <w:r w:rsidR="005C4C70" w:rsidRPr="005C5F41">
        <w:t xml:space="preserve"> [1999] NSWSC 608</w:t>
      </w:r>
      <w:r w:rsidR="005C4C70" w:rsidRPr="006A69E2">
        <w:t xml:space="preserve"> at [15]-[16]</w:t>
      </w:r>
      <w:r w:rsidR="00066EE6" w:rsidRPr="006A69E2">
        <w:t xml:space="preserve"> (Austin J)</w:t>
      </w:r>
      <w:r w:rsidR="0089606F" w:rsidRPr="006A69E2">
        <w:t xml:space="preserve">; see also </w:t>
      </w:r>
      <w:r w:rsidR="005C4C70" w:rsidRPr="005C5F41">
        <w:rPr>
          <w:i/>
          <w:iCs/>
        </w:rPr>
        <w:t xml:space="preserve">Walker </w:t>
      </w:r>
      <w:r w:rsidR="00A7699D" w:rsidRPr="005C5F41">
        <w:rPr>
          <w:i/>
          <w:iCs/>
        </w:rPr>
        <w:t xml:space="preserve"> </w:t>
      </w:r>
      <w:r w:rsidR="005C4C70" w:rsidRPr="005C5F41">
        <w:rPr>
          <w:i/>
          <w:iCs/>
        </w:rPr>
        <w:t>v CBA Corporate Services (NSW) Pty Ltd</w:t>
      </w:r>
      <w:r w:rsidR="005C4C70" w:rsidRPr="005C5F41">
        <w:t xml:space="preserve"> </w:t>
      </w:r>
      <w:r w:rsidR="00494798" w:rsidRPr="005C5F41">
        <w:t xml:space="preserve"> </w:t>
      </w:r>
      <w:r w:rsidR="005C4C70" w:rsidRPr="005C5F41">
        <w:t>(2012) 88 ACSR 153</w:t>
      </w:r>
      <w:r w:rsidR="005C4C70" w:rsidRPr="006A69E2">
        <w:t xml:space="preserve"> at </w:t>
      </w:r>
      <w:r w:rsidR="00494798" w:rsidRPr="006A69E2">
        <w:t xml:space="preserve">161-162 </w:t>
      </w:r>
      <w:r w:rsidR="005C4C70" w:rsidRPr="006A69E2">
        <w:t>[43]</w:t>
      </w:r>
      <w:r w:rsidR="00E85524" w:rsidRPr="006A69E2">
        <w:t>-[44]</w:t>
      </w:r>
      <w:r w:rsidR="0089606F" w:rsidRPr="006A69E2">
        <w:t xml:space="preserve"> (Nicholas J)</w:t>
      </w:r>
      <w:r w:rsidR="005C4C70" w:rsidRPr="006A69E2">
        <w:t xml:space="preserve">; </w:t>
      </w:r>
    </w:p>
    <w:p w14:paraId="47BEC17F" w14:textId="6EF5CCE0" w:rsidR="00F810CC" w:rsidRPr="006A69E2" w:rsidRDefault="004F4E99" w:rsidP="004F4E99">
      <w:pPr>
        <w:pStyle w:val="ListNo1alt"/>
        <w:numPr>
          <w:ilvl w:val="0"/>
          <w:numId w:val="0"/>
        </w:numPr>
        <w:tabs>
          <w:tab w:val="left" w:pos="720"/>
        </w:tabs>
        <w:ind w:left="720" w:hanging="720"/>
      </w:pPr>
      <w:r w:rsidRPr="006A69E2">
        <w:t>(d)</w:t>
      </w:r>
      <w:r w:rsidRPr="006A69E2">
        <w:tab/>
      </w:r>
      <w:r w:rsidR="00F810CC" w:rsidRPr="006A69E2">
        <w:t>prejudice caused by an extension may be actual prejudice the subject of evidence, or there may be what is termed “presumptive prejudice”. Presumptive prejudice is recognition that facts which were once known may now be forgotten, or their significance may not now be appreciated. The possibility of presumptive prejudice diminishes where related party transactions are involved, as there may be a confluence of knowledge about the transactions;</w:t>
      </w:r>
      <w:r w:rsidR="00FD09DA" w:rsidRPr="006A69E2">
        <w:t xml:space="preserve"> and</w:t>
      </w:r>
    </w:p>
    <w:p w14:paraId="0A516E03" w14:textId="7B650ECD" w:rsidR="00F810CC" w:rsidRPr="006A69E2" w:rsidRDefault="004F4E99" w:rsidP="004F4E99">
      <w:pPr>
        <w:pStyle w:val="ListNo1alt"/>
        <w:numPr>
          <w:ilvl w:val="0"/>
          <w:numId w:val="0"/>
        </w:numPr>
        <w:tabs>
          <w:tab w:val="left" w:pos="720"/>
        </w:tabs>
        <w:ind w:left="720" w:hanging="720"/>
      </w:pPr>
      <w:r w:rsidRPr="006A69E2">
        <w:t>(e)</w:t>
      </w:r>
      <w:r w:rsidRPr="006A69E2">
        <w:tab/>
      </w:r>
      <w:r w:rsidR="00F810CC" w:rsidRPr="006A69E2">
        <w:t xml:space="preserve">a shelf order may not be made for a lengthy </w:t>
      </w:r>
      <w:r w:rsidR="00A243FC" w:rsidRPr="006A69E2">
        <w:t>period</w:t>
      </w:r>
      <w:r w:rsidR="00F810CC" w:rsidRPr="006A69E2">
        <w:t xml:space="preserve"> simply because it is convenient for </w:t>
      </w:r>
      <w:r w:rsidR="006907A8" w:rsidRPr="006A69E2">
        <w:t>the plaintiffs</w:t>
      </w:r>
      <w:r w:rsidR="00F810CC" w:rsidRPr="006A69E2">
        <w:t xml:space="preserve"> to defer commencing prospective proceedings while they seek to determine whether it would be commercial to do so</w:t>
      </w:r>
      <w:r w:rsidR="00622C61" w:rsidRPr="006A69E2">
        <w:t xml:space="preserve">: </w:t>
      </w:r>
      <w:r w:rsidR="00622C61" w:rsidRPr="005C5F41">
        <w:rPr>
          <w:i/>
          <w:iCs/>
        </w:rPr>
        <w:t>Franklyn Scholar (Australia) Pty Ltd</w:t>
      </w:r>
      <w:r w:rsidR="00622C61" w:rsidRPr="005C5F41">
        <w:t xml:space="preserve"> [2020] NSWSC 1902</w:t>
      </w:r>
      <w:r w:rsidR="00622C61" w:rsidRPr="006A69E2">
        <w:t xml:space="preserve"> </w:t>
      </w:r>
      <w:r w:rsidR="002B4104" w:rsidRPr="006A69E2">
        <w:t xml:space="preserve">at [15] </w:t>
      </w:r>
      <w:r w:rsidR="00622C61" w:rsidRPr="006A69E2">
        <w:t xml:space="preserve">(where Black J </w:t>
      </w:r>
      <w:r w:rsidR="00651C62" w:rsidRPr="006A69E2">
        <w:t>nonetheless</w:t>
      </w:r>
      <w:r w:rsidR="00622C61" w:rsidRPr="006A69E2">
        <w:t xml:space="preserve"> granted a short</w:t>
      </w:r>
      <w:r w:rsidR="009927B8" w:rsidRPr="006A69E2">
        <w:t xml:space="preserve"> </w:t>
      </w:r>
      <w:r w:rsidR="00622C61" w:rsidRPr="006A69E2">
        <w:t xml:space="preserve">extension of </w:t>
      </w:r>
      <w:r w:rsidR="006E275A" w:rsidRPr="006A69E2">
        <w:t>three</w:t>
      </w:r>
      <w:r w:rsidR="00622C61" w:rsidRPr="006A69E2">
        <w:t xml:space="preserve"> months</w:t>
      </w:r>
      <w:r w:rsidR="000102C8" w:rsidRPr="006A69E2">
        <w:t>: see at [18]</w:t>
      </w:r>
      <w:r w:rsidR="00622C61" w:rsidRPr="006A69E2">
        <w:t>).</w:t>
      </w:r>
    </w:p>
    <w:p w14:paraId="7A5E3EFD" w14:textId="2927EABD" w:rsidR="00CE31A9" w:rsidRPr="006A69E2" w:rsidRDefault="004F4E99" w:rsidP="004F4E99">
      <w:pPr>
        <w:pStyle w:val="ParaNumbering"/>
        <w:numPr>
          <w:ilvl w:val="0"/>
          <w:numId w:val="0"/>
        </w:numPr>
        <w:ind w:hanging="720"/>
      </w:pPr>
      <w:r w:rsidRPr="006A69E2">
        <w:rPr>
          <w:sz w:val="20"/>
        </w:rPr>
        <w:t>17</w:t>
      </w:r>
      <w:r w:rsidRPr="006A69E2">
        <w:rPr>
          <w:sz w:val="20"/>
        </w:rPr>
        <w:tab/>
      </w:r>
      <w:r w:rsidR="006907A8" w:rsidRPr="006A69E2">
        <w:t>The plaintiffs</w:t>
      </w:r>
      <w:r w:rsidR="00E329C4" w:rsidRPr="006A69E2">
        <w:t xml:space="preserve"> </w:t>
      </w:r>
      <w:r w:rsidR="00E34E13" w:rsidRPr="006A69E2">
        <w:t xml:space="preserve">submit </w:t>
      </w:r>
      <w:r w:rsidR="00E329C4" w:rsidRPr="006A69E2">
        <w:t>that f</w:t>
      </w:r>
      <w:r w:rsidR="00CE31A9" w:rsidRPr="006A69E2">
        <w:t>urther principles governing the making of a shelf order, as opposed to an order extending time to bring a specific claim against an identified defendant, include:</w:t>
      </w:r>
    </w:p>
    <w:p w14:paraId="2E1FA594" w14:textId="283234FF" w:rsidR="00CE31A9" w:rsidRPr="006A69E2" w:rsidRDefault="004F4E99" w:rsidP="004F4E99">
      <w:pPr>
        <w:pStyle w:val="ListNo1alt"/>
        <w:numPr>
          <w:ilvl w:val="0"/>
          <w:numId w:val="0"/>
        </w:numPr>
        <w:tabs>
          <w:tab w:val="left" w:pos="720"/>
        </w:tabs>
        <w:ind w:left="720" w:hanging="720"/>
      </w:pPr>
      <w:r w:rsidRPr="006A69E2">
        <w:t>(a)</w:t>
      </w:r>
      <w:r w:rsidRPr="006A69E2">
        <w:tab/>
      </w:r>
      <w:r w:rsidR="00CE31A9" w:rsidRPr="006A69E2">
        <w:t xml:space="preserve">in </w:t>
      </w:r>
      <w:r w:rsidR="00CE31A9" w:rsidRPr="006A69E2">
        <w:rPr>
          <w:i/>
          <w:iCs/>
        </w:rPr>
        <w:t xml:space="preserve">Fortress Credit </w:t>
      </w:r>
      <w:r w:rsidR="00423852" w:rsidRPr="006A69E2">
        <w:t xml:space="preserve">at [23]–[27] </w:t>
      </w:r>
      <w:r w:rsidR="00526B30" w:rsidRPr="006A69E2">
        <w:t xml:space="preserve">the High Court </w:t>
      </w:r>
      <w:r w:rsidR="00CE31A9" w:rsidRPr="006A69E2">
        <w:t>accepted that shelf orders can be made in appropriate circumstances, resolving a previous controversy in the authorities regarding whether such orders were open;</w:t>
      </w:r>
    </w:p>
    <w:p w14:paraId="458C7D70" w14:textId="082901AE" w:rsidR="00CE31A9" w:rsidRPr="006A69E2" w:rsidRDefault="004F4E99" w:rsidP="004F4E99">
      <w:pPr>
        <w:pStyle w:val="ListNo1alt"/>
        <w:numPr>
          <w:ilvl w:val="0"/>
          <w:numId w:val="0"/>
        </w:numPr>
        <w:tabs>
          <w:tab w:val="left" w:pos="720"/>
        </w:tabs>
        <w:ind w:left="720" w:hanging="720"/>
      </w:pPr>
      <w:r w:rsidRPr="006A69E2">
        <w:t>(b)</w:t>
      </w:r>
      <w:r w:rsidRPr="006A69E2">
        <w:tab/>
      </w:r>
      <w:r w:rsidR="00CE31A9" w:rsidRPr="006A69E2">
        <w:t>a general or blanket extension may be apposite in a large and complex liquidation where potential defendants are unidentified</w:t>
      </w:r>
      <w:r w:rsidR="004549E6" w:rsidRPr="006A69E2">
        <w:t xml:space="preserve">: </w:t>
      </w:r>
      <w:r w:rsidR="004549E6" w:rsidRPr="005C5F41">
        <w:rPr>
          <w:i/>
          <w:iCs/>
        </w:rPr>
        <w:t xml:space="preserve">Re McGrath </w:t>
      </w:r>
      <w:r w:rsidR="002A75EA" w:rsidRPr="005C5F41">
        <w:t>(2004) 48 ACSR 723</w:t>
      </w:r>
      <w:r w:rsidR="004549E6" w:rsidRPr="005C5F41">
        <w:t xml:space="preserve"> at</w:t>
      </w:r>
      <w:r w:rsidR="00391393" w:rsidRPr="005C5F41">
        <w:t xml:space="preserve"> 732</w:t>
      </w:r>
      <w:r w:rsidR="004549E6" w:rsidRPr="005C5F41">
        <w:t xml:space="preserve"> [17]</w:t>
      </w:r>
      <w:r w:rsidR="001B32CB" w:rsidRPr="006A69E2">
        <w:t xml:space="preserve"> (Barrett J)</w:t>
      </w:r>
      <w:r w:rsidR="004549E6" w:rsidRPr="006A69E2">
        <w:t>;</w:t>
      </w:r>
    </w:p>
    <w:p w14:paraId="0D92C7C0" w14:textId="531FDB32" w:rsidR="00CE31A9" w:rsidRPr="006A69E2" w:rsidRDefault="004F4E99" w:rsidP="004F4E99">
      <w:pPr>
        <w:pStyle w:val="ListNo1alt"/>
        <w:numPr>
          <w:ilvl w:val="0"/>
          <w:numId w:val="0"/>
        </w:numPr>
        <w:tabs>
          <w:tab w:val="left" w:pos="720"/>
        </w:tabs>
        <w:ind w:left="720" w:hanging="720"/>
      </w:pPr>
      <w:r w:rsidRPr="006A69E2">
        <w:t>(c)</w:t>
      </w:r>
      <w:r w:rsidRPr="006A69E2">
        <w:tab/>
      </w:r>
      <w:r w:rsidR="00CE31A9" w:rsidRPr="006A69E2">
        <w:t>a shelf order may be justified to enable a liquidator to complete investigations, and identify potentially voidable transactions and defendants</w:t>
      </w:r>
      <w:r w:rsidR="004549E6" w:rsidRPr="006A69E2">
        <w:t xml:space="preserve">: </w:t>
      </w:r>
      <w:r w:rsidR="004549E6" w:rsidRPr="005C5F41">
        <w:rPr>
          <w:b/>
          <w:bCs/>
          <w:i/>
          <w:iCs/>
        </w:rPr>
        <w:t>Horne</w:t>
      </w:r>
      <w:r w:rsidR="004549E6" w:rsidRPr="005C5F41">
        <w:rPr>
          <w:i/>
          <w:iCs/>
        </w:rPr>
        <w:t xml:space="preserve"> v Retirement Guide </w:t>
      </w:r>
      <w:r w:rsidR="004549E6" w:rsidRPr="005C5F41">
        <w:rPr>
          <w:i/>
          <w:iCs/>
        </w:rPr>
        <w:lastRenderedPageBreak/>
        <w:t xml:space="preserve">Management Pty Ltd </w:t>
      </w:r>
      <w:r w:rsidR="004549E6" w:rsidRPr="005C5F41">
        <w:t xml:space="preserve"> </w:t>
      </w:r>
      <w:r w:rsidR="00107B24">
        <w:t xml:space="preserve">(2017) </w:t>
      </w:r>
      <w:r w:rsidR="004549E6" w:rsidRPr="005C5F41">
        <w:t>54 VR 325</w:t>
      </w:r>
      <w:r w:rsidR="004549E6" w:rsidRPr="006A69E2">
        <w:t xml:space="preserve"> at </w:t>
      </w:r>
      <w:r w:rsidR="001D2D8B">
        <w:t xml:space="preserve">341- 342 </w:t>
      </w:r>
      <w:r w:rsidR="004549E6" w:rsidRPr="006A69E2">
        <w:t>[55]</w:t>
      </w:r>
      <w:r w:rsidR="00EE4F1D" w:rsidRPr="006A69E2">
        <w:t xml:space="preserve"> (Warren CJ, Tate and Beach</w:t>
      </w:r>
      <w:r w:rsidR="000379F0">
        <w:t> </w:t>
      </w:r>
      <w:r w:rsidR="00EE4F1D" w:rsidRPr="006A69E2">
        <w:t>JJA)</w:t>
      </w:r>
      <w:r w:rsidR="004549E6" w:rsidRPr="006A69E2">
        <w:t>;</w:t>
      </w:r>
      <w:r w:rsidR="00CE31A9" w:rsidRPr="006A69E2">
        <w:t xml:space="preserve"> and</w:t>
      </w:r>
    </w:p>
    <w:p w14:paraId="105213D6" w14:textId="23857D2D" w:rsidR="00225E27" w:rsidRPr="006A69E2" w:rsidRDefault="004F4E99" w:rsidP="004F4E99">
      <w:pPr>
        <w:pStyle w:val="ListNo1alt"/>
        <w:numPr>
          <w:ilvl w:val="0"/>
          <w:numId w:val="0"/>
        </w:numPr>
        <w:tabs>
          <w:tab w:val="left" w:pos="720"/>
        </w:tabs>
        <w:ind w:left="720" w:hanging="720"/>
      </w:pPr>
      <w:r w:rsidRPr="006A69E2">
        <w:t>(d)</w:t>
      </w:r>
      <w:r w:rsidRPr="006A69E2">
        <w:tab/>
      </w:r>
      <w:r w:rsidR="00225E27" w:rsidRPr="006A69E2">
        <w:t>a liquidator must prove that</w:t>
      </w:r>
      <w:r w:rsidR="00994F66" w:rsidRPr="006A69E2">
        <w:t xml:space="preserve"> he or she has</w:t>
      </w:r>
      <w:r w:rsidR="00225E27" w:rsidRPr="006A69E2">
        <w:t xml:space="preserve"> not been sitting idle in a liquidation to obtain such an order</w:t>
      </w:r>
      <w:r w:rsidR="001B2CCC" w:rsidRPr="006A69E2">
        <w:t xml:space="preserve">: </w:t>
      </w:r>
      <w:r w:rsidR="001B2CCC" w:rsidRPr="005C5F41">
        <w:rPr>
          <w:i/>
          <w:iCs/>
        </w:rPr>
        <w:t xml:space="preserve">ASIC v Karl </w:t>
      </w:r>
      <w:r w:rsidR="001B2CCC" w:rsidRPr="005C5F41">
        <w:rPr>
          <w:b/>
          <w:bCs/>
          <w:i/>
          <w:iCs/>
        </w:rPr>
        <w:t>Suleman</w:t>
      </w:r>
      <w:r w:rsidR="001B2CCC" w:rsidRPr="005C5F41">
        <w:rPr>
          <w:i/>
          <w:iCs/>
        </w:rPr>
        <w:t xml:space="preserve"> </w:t>
      </w:r>
      <w:proofErr w:type="spellStart"/>
      <w:r w:rsidR="001B2CCC" w:rsidRPr="005C5F41">
        <w:rPr>
          <w:i/>
          <w:iCs/>
        </w:rPr>
        <w:t>Enterprizes</w:t>
      </w:r>
      <w:proofErr w:type="spellEnd"/>
      <w:r w:rsidR="001B2CCC" w:rsidRPr="005C5F41">
        <w:rPr>
          <w:i/>
          <w:iCs/>
        </w:rPr>
        <w:t xml:space="preserve"> Pty Ltd (in </w:t>
      </w:r>
      <w:proofErr w:type="spellStart"/>
      <w:r w:rsidR="001B2CCC" w:rsidRPr="005C5F41">
        <w:rPr>
          <w:i/>
          <w:iCs/>
        </w:rPr>
        <w:t>liq</w:t>
      </w:r>
      <w:proofErr w:type="spellEnd"/>
      <w:r w:rsidR="001B2CCC" w:rsidRPr="005C5F41">
        <w:rPr>
          <w:i/>
          <w:iCs/>
        </w:rPr>
        <w:t xml:space="preserve">) </w:t>
      </w:r>
      <w:r w:rsidR="001B2CCC" w:rsidRPr="005C5F41">
        <w:t>(2005) 52 ACSR 103</w:t>
      </w:r>
      <w:r w:rsidR="00391393" w:rsidRPr="006A69E2">
        <w:t xml:space="preserve"> </w:t>
      </w:r>
      <w:r w:rsidR="0051579E" w:rsidRPr="006A69E2">
        <w:t xml:space="preserve">at </w:t>
      </w:r>
      <w:r w:rsidR="007D078E" w:rsidRPr="006A69E2">
        <w:t xml:space="preserve">133 [22]-[23] </w:t>
      </w:r>
      <w:r w:rsidR="00A60651" w:rsidRPr="006A69E2">
        <w:t>(Barrett J)</w:t>
      </w:r>
      <w:r w:rsidR="001B2CCC" w:rsidRPr="006A69E2">
        <w:t>.</w:t>
      </w:r>
    </w:p>
    <w:p w14:paraId="36EEBC6B" w14:textId="05D6FBC6" w:rsidR="00225E27" w:rsidRPr="006A69E2" w:rsidRDefault="004F4E99" w:rsidP="004F4E99">
      <w:pPr>
        <w:pStyle w:val="ParaNumbering"/>
        <w:numPr>
          <w:ilvl w:val="0"/>
          <w:numId w:val="0"/>
        </w:numPr>
        <w:ind w:hanging="720"/>
      </w:pPr>
      <w:r w:rsidRPr="006A69E2">
        <w:rPr>
          <w:sz w:val="20"/>
        </w:rPr>
        <w:t>18</w:t>
      </w:r>
      <w:r w:rsidRPr="006A69E2">
        <w:rPr>
          <w:sz w:val="20"/>
        </w:rPr>
        <w:tab/>
      </w:r>
      <w:r w:rsidR="006907A8" w:rsidRPr="006A69E2">
        <w:t>The plaintiffs</w:t>
      </w:r>
      <w:r w:rsidR="00E07D3A" w:rsidRPr="006A69E2">
        <w:t xml:space="preserve"> further </w:t>
      </w:r>
      <w:r w:rsidR="00352B2A" w:rsidRPr="006A69E2">
        <w:t xml:space="preserve">submit </w:t>
      </w:r>
      <w:r w:rsidR="00E07D3A" w:rsidRPr="006A69E2">
        <w:t>that</w:t>
      </w:r>
      <w:r w:rsidR="00392973" w:rsidRPr="006A69E2">
        <w:t xml:space="preserve"> </w:t>
      </w:r>
      <w:r w:rsidR="00F05589" w:rsidRPr="006A69E2">
        <w:t xml:space="preserve">the </w:t>
      </w:r>
      <w:r w:rsidR="00392973" w:rsidRPr="006A69E2">
        <w:t>p</w:t>
      </w:r>
      <w:r w:rsidR="00225E27" w:rsidRPr="006A69E2">
        <w:t>rinciples relating to giving notice to potential targets of proceedings to be</w:t>
      </w:r>
      <w:r w:rsidR="006E340E" w:rsidRPr="006A69E2">
        <w:t xml:space="preserve"> </w:t>
      </w:r>
      <w:r w:rsidR="00225E27" w:rsidRPr="006A69E2">
        <w:t>brought after the shelf order is made include:</w:t>
      </w:r>
      <w:r w:rsidR="00263D00" w:rsidRPr="006A69E2">
        <w:t xml:space="preserve"> </w:t>
      </w:r>
    </w:p>
    <w:p w14:paraId="243F8758" w14:textId="10180DD2" w:rsidR="004306C4" w:rsidRPr="006A69E2" w:rsidRDefault="004F4E99" w:rsidP="004F4E99">
      <w:pPr>
        <w:pStyle w:val="ListNo1alt"/>
        <w:numPr>
          <w:ilvl w:val="0"/>
          <w:numId w:val="0"/>
        </w:numPr>
        <w:tabs>
          <w:tab w:val="left" w:pos="720"/>
        </w:tabs>
        <w:ind w:left="720" w:hanging="720"/>
      </w:pPr>
      <w:r w:rsidRPr="006A69E2">
        <w:t>(a)</w:t>
      </w:r>
      <w:r w:rsidRPr="006A69E2">
        <w:tab/>
      </w:r>
      <w:r w:rsidR="00225E27" w:rsidRPr="006A69E2">
        <w:t xml:space="preserve">a failure to provide </w:t>
      </w:r>
      <w:r w:rsidR="000B37D5" w:rsidRPr="006A69E2">
        <w:t xml:space="preserve">the </w:t>
      </w:r>
      <w:r w:rsidR="00225E27" w:rsidRPr="006A69E2">
        <w:t>required notice is not fatal to an extension order and</w:t>
      </w:r>
      <w:r w:rsidR="006E340E" w:rsidRPr="006A69E2">
        <w:t xml:space="preserve"> </w:t>
      </w:r>
      <w:r w:rsidR="00225E27" w:rsidRPr="006A69E2">
        <w:t xml:space="preserve">whether an extension order will be made is the subject of the </w:t>
      </w:r>
      <w:r w:rsidR="006B32DE">
        <w:t>c</w:t>
      </w:r>
      <w:r w:rsidR="00225E27" w:rsidRPr="006A69E2">
        <w:t>ourt's</w:t>
      </w:r>
      <w:r w:rsidR="006E340E" w:rsidRPr="006A69E2">
        <w:t xml:space="preserve"> </w:t>
      </w:r>
      <w:r w:rsidR="00225E27" w:rsidRPr="006A69E2">
        <w:t>discretion</w:t>
      </w:r>
      <w:r w:rsidR="00CB6C9D" w:rsidRPr="006A69E2">
        <w:t xml:space="preserve">: </w:t>
      </w:r>
      <w:r w:rsidR="00BC581D" w:rsidRPr="006B1E8D">
        <w:rPr>
          <w:i/>
          <w:iCs/>
        </w:rPr>
        <w:t>Fortress Credit Corporation (Australia) II Pty Ltd v Fletcher</w:t>
      </w:r>
      <w:r w:rsidR="00BC581D" w:rsidRPr="005C5F41">
        <w:t xml:space="preserve"> (2014) 87 NSWLR 728</w:t>
      </w:r>
      <w:r w:rsidR="00075A99" w:rsidRPr="006A69E2">
        <w:t xml:space="preserve"> </w:t>
      </w:r>
      <w:r w:rsidR="00BC581D" w:rsidRPr="006A69E2">
        <w:t>at</w:t>
      </w:r>
      <w:r w:rsidR="000D21B0" w:rsidRPr="006A69E2">
        <w:t xml:space="preserve"> 746-747</w:t>
      </w:r>
      <w:r w:rsidR="00BC581D" w:rsidRPr="006A69E2">
        <w:t xml:space="preserve"> [106]</w:t>
      </w:r>
      <w:r w:rsidR="00E269D7" w:rsidRPr="006A69E2">
        <w:t xml:space="preserve"> (Bat</w:t>
      </w:r>
      <w:r w:rsidR="000F50D9" w:rsidRPr="006A69E2">
        <w:t>hurst</w:t>
      </w:r>
      <w:r w:rsidR="000A0925" w:rsidRPr="006A69E2">
        <w:t> </w:t>
      </w:r>
      <w:r w:rsidR="000F50D9" w:rsidRPr="006A69E2">
        <w:t>CJ)</w:t>
      </w:r>
      <w:r w:rsidR="00BC581D" w:rsidRPr="006A69E2">
        <w:t>.</w:t>
      </w:r>
    </w:p>
    <w:p w14:paraId="2CF01D8D" w14:textId="1079149A" w:rsidR="00225E27" w:rsidRPr="006A69E2" w:rsidRDefault="004F4E99" w:rsidP="004F4E99">
      <w:pPr>
        <w:pStyle w:val="ListNo1alt"/>
        <w:numPr>
          <w:ilvl w:val="0"/>
          <w:numId w:val="0"/>
        </w:numPr>
        <w:tabs>
          <w:tab w:val="left" w:pos="720"/>
        </w:tabs>
        <w:ind w:left="720" w:hanging="720"/>
      </w:pPr>
      <w:r w:rsidRPr="006A69E2">
        <w:t>(b)</w:t>
      </w:r>
      <w:r w:rsidRPr="006A69E2">
        <w:tab/>
      </w:r>
      <w:r w:rsidR="00225E27" w:rsidRPr="006A69E2">
        <w:t>where an order is made without notice, failure to provide notice may render the</w:t>
      </w:r>
      <w:r w:rsidR="006E340E" w:rsidRPr="006A69E2">
        <w:t xml:space="preserve"> </w:t>
      </w:r>
      <w:r w:rsidR="00225E27" w:rsidRPr="006A69E2">
        <w:t>extension liable to be set aside on application by an affected person</w:t>
      </w:r>
      <w:r w:rsidR="003B6CCD" w:rsidRPr="006A69E2">
        <w:t xml:space="preserve">: </w:t>
      </w:r>
      <w:r w:rsidR="003B6CCD" w:rsidRPr="006B1E8D">
        <w:rPr>
          <w:i/>
          <w:iCs/>
        </w:rPr>
        <w:t xml:space="preserve">Fletcher and Others (As Liquidators of </w:t>
      </w:r>
      <w:proofErr w:type="spellStart"/>
      <w:r w:rsidR="003B6CCD" w:rsidRPr="006B1E8D">
        <w:rPr>
          <w:b/>
          <w:bCs/>
          <w:i/>
          <w:iCs/>
        </w:rPr>
        <w:t>Octaviar</w:t>
      </w:r>
      <w:proofErr w:type="spellEnd"/>
      <w:r w:rsidR="003B6CCD" w:rsidRPr="006B1E8D">
        <w:rPr>
          <w:i/>
          <w:iCs/>
        </w:rPr>
        <w:t xml:space="preserve"> Ltd and </w:t>
      </w:r>
      <w:proofErr w:type="spellStart"/>
      <w:r w:rsidR="003B6CCD" w:rsidRPr="006B1E8D">
        <w:rPr>
          <w:i/>
          <w:iCs/>
        </w:rPr>
        <w:t>Octaviar</w:t>
      </w:r>
      <w:proofErr w:type="spellEnd"/>
      <w:r w:rsidR="003B6CCD" w:rsidRPr="006B1E8D">
        <w:rPr>
          <w:i/>
          <w:iCs/>
        </w:rPr>
        <w:t xml:space="preserve"> Administration Pty Ltd) v Anderson and Others</w:t>
      </w:r>
      <w:r w:rsidR="003B6CCD" w:rsidRPr="005C5F41">
        <w:t xml:space="preserve"> (2014) 103 ACSR 236</w:t>
      </w:r>
      <w:r w:rsidR="003B6CCD" w:rsidRPr="006A69E2">
        <w:t xml:space="preserve"> at </w:t>
      </w:r>
      <w:r w:rsidR="00DF6D93" w:rsidRPr="006A69E2">
        <w:t>237</w:t>
      </w:r>
      <w:r w:rsidR="00527C87" w:rsidRPr="006A69E2">
        <w:t xml:space="preserve"> </w:t>
      </w:r>
      <w:r w:rsidR="003B6CCD" w:rsidRPr="006A69E2">
        <w:t>[5]</w:t>
      </w:r>
      <w:r w:rsidR="001D4E04" w:rsidRPr="006A69E2">
        <w:t>-[8]</w:t>
      </w:r>
      <w:r w:rsidR="00EF4D74" w:rsidRPr="006A69E2">
        <w:t xml:space="preserve"> (Beazley P)</w:t>
      </w:r>
      <w:r w:rsidR="001C4435" w:rsidRPr="006A69E2">
        <w:t>;</w:t>
      </w:r>
    </w:p>
    <w:p w14:paraId="455F94B9" w14:textId="37E9694A" w:rsidR="00225E27" w:rsidRPr="006A69E2" w:rsidRDefault="004F4E99" w:rsidP="004F4E99">
      <w:pPr>
        <w:pStyle w:val="ListNo1alt"/>
        <w:numPr>
          <w:ilvl w:val="0"/>
          <w:numId w:val="0"/>
        </w:numPr>
        <w:tabs>
          <w:tab w:val="left" w:pos="720"/>
        </w:tabs>
        <w:ind w:left="720" w:hanging="720"/>
      </w:pPr>
      <w:r w:rsidRPr="006A69E2">
        <w:t>(c)</w:t>
      </w:r>
      <w:r w:rsidRPr="006A69E2">
        <w:tab/>
      </w:r>
      <w:r w:rsidR="00225E27" w:rsidRPr="006A69E2">
        <w:t xml:space="preserve">if </w:t>
      </w:r>
      <w:r w:rsidR="000B37D5" w:rsidRPr="006A69E2">
        <w:t>the</w:t>
      </w:r>
      <w:r w:rsidR="00225E27" w:rsidRPr="006A69E2">
        <w:t xml:space="preserve"> extension order sought is drafted in such a way that the right of any</w:t>
      </w:r>
      <w:r w:rsidR="006E340E" w:rsidRPr="006A69E2">
        <w:t xml:space="preserve"> </w:t>
      </w:r>
      <w:r w:rsidR="00225E27" w:rsidRPr="006A69E2">
        <w:t xml:space="preserve">affected person to object or take issue with </w:t>
      </w:r>
      <w:r w:rsidR="000B37D5" w:rsidRPr="006A69E2">
        <w:t>it</w:t>
      </w:r>
      <w:r w:rsidR="00225E27" w:rsidRPr="006A69E2">
        <w:t xml:space="preserve"> at a later date is</w:t>
      </w:r>
      <w:r w:rsidR="006E340E" w:rsidRPr="006A69E2">
        <w:t xml:space="preserve"> </w:t>
      </w:r>
      <w:r w:rsidR="00225E27" w:rsidRPr="006A69E2">
        <w:t>preserved, the court will be more inclined not to set aside the extension order</w:t>
      </w:r>
      <w:r w:rsidR="006E340E" w:rsidRPr="006A69E2">
        <w:t xml:space="preserve"> </w:t>
      </w:r>
      <w:r w:rsidR="00225E27" w:rsidRPr="006A69E2">
        <w:t>for want of notice</w:t>
      </w:r>
      <w:r w:rsidR="00FB63C2" w:rsidRPr="006A69E2">
        <w:t xml:space="preserve">: </w:t>
      </w:r>
      <w:r w:rsidR="00FB63C2" w:rsidRPr="005C5F41">
        <w:rPr>
          <w:i/>
          <w:iCs/>
        </w:rPr>
        <w:t xml:space="preserve">Re </w:t>
      </w:r>
      <w:r w:rsidR="00FB63C2" w:rsidRPr="005C5F41">
        <w:rPr>
          <w:b/>
          <w:bCs/>
          <w:i/>
          <w:iCs/>
        </w:rPr>
        <w:t>Dudley</w:t>
      </w:r>
      <w:r w:rsidR="00FB63C2" w:rsidRPr="005C5F41">
        <w:rPr>
          <w:i/>
          <w:iCs/>
        </w:rPr>
        <w:t xml:space="preserve"> (as liquidator of Freshwater Bay Investments Pty Ltd (in </w:t>
      </w:r>
      <w:proofErr w:type="spellStart"/>
      <w:r w:rsidR="00FB63C2" w:rsidRPr="005C5F41">
        <w:rPr>
          <w:i/>
          <w:iCs/>
        </w:rPr>
        <w:t>liq</w:t>
      </w:r>
      <w:proofErr w:type="spellEnd"/>
      <w:r w:rsidR="00FB63C2" w:rsidRPr="005C5F41">
        <w:rPr>
          <w:i/>
          <w:iCs/>
        </w:rPr>
        <w:t>) (ACN 105 274 226))</w:t>
      </w:r>
      <w:r w:rsidR="00FB63C2" w:rsidRPr="005C5F41">
        <w:t xml:space="preserve"> (2021) 152 ACSR 532</w:t>
      </w:r>
      <w:r w:rsidR="00DE4FA9" w:rsidRPr="006A69E2">
        <w:t xml:space="preserve"> </w:t>
      </w:r>
      <w:r w:rsidR="00FB63C2" w:rsidRPr="006A69E2">
        <w:t>at</w:t>
      </w:r>
      <w:r w:rsidR="00F2654D" w:rsidRPr="006A69E2">
        <w:t xml:space="preserve"> 538</w:t>
      </w:r>
      <w:r w:rsidR="00FB63C2" w:rsidRPr="006A69E2">
        <w:t xml:space="preserve"> [25]</w:t>
      </w:r>
      <w:r w:rsidR="00E1417D" w:rsidRPr="006A69E2">
        <w:t xml:space="preserve"> (McKerracher J)</w:t>
      </w:r>
      <w:r w:rsidR="00FB63C2" w:rsidRPr="006A69E2">
        <w:t>;</w:t>
      </w:r>
      <w:r w:rsidR="00CD330D" w:rsidRPr="006A69E2">
        <w:t xml:space="preserve"> citing </w:t>
      </w:r>
      <w:r w:rsidR="00CD330D" w:rsidRPr="005C5F41">
        <w:rPr>
          <w:b/>
          <w:bCs/>
          <w:i/>
          <w:iCs/>
        </w:rPr>
        <w:t>Wallman</w:t>
      </w:r>
      <w:r w:rsidR="00CD330D" w:rsidRPr="005C5F41">
        <w:rPr>
          <w:i/>
          <w:iCs/>
        </w:rPr>
        <w:t xml:space="preserve"> (as liquidator of Graffiti Holdings Pty Ltd (in </w:t>
      </w:r>
      <w:proofErr w:type="spellStart"/>
      <w:r w:rsidR="00CD330D" w:rsidRPr="005C5F41">
        <w:rPr>
          <w:i/>
          <w:iCs/>
        </w:rPr>
        <w:t>liq</w:t>
      </w:r>
      <w:proofErr w:type="spellEnd"/>
      <w:r w:rsidR="00CD330D" w:rsidRPr="005C5F41">
        <w:rPr>
          <w:i/>
          <w:iCs/>
        </w:rPr>
        <w:t>)) v Milestone Enterprises Pty Ltd</w:t>
      </w:r>
      <w:r w:rsidR="00CD330D" w:rsidRPr="005C5F41">
        <w:t xml:space="preserve"> </w:t>
      </w:r>
      <w:r w:rsidR="00DA40F4" w:rsidRPr="005C5F41">
        <w:t xml:space="preserve"> </w:t>
      </w:r>
      <w:r w:rsidR="00CD330D" w:rsidRPr="005C5F41">
        <w:t xml:space="preserve">(2006) 205 FLR 68 </w:t>
      </w:r>
      <w:r w:rsidR="00CD330D" w:rsidRPr="006A69E2">
        <w:t>at</w:t>
      </w:r>
      <w:r w:rsidR="006913FA" w:rsidRPr="006A69E2">
        <w:t xml:space="preserve"> 69</w:t>
      </w:r>
      <w:r w:rsidR="00CD330D" w:rsidRPr="006A69E2">
        <w:t xml:space="preserve"> [4] (Master</w:t>
      </w:r>
      <w:r w:rsidR="0028427E">
        <w:t> </w:t>
      </w:r>
      <w:proofErr w:type="spellStart"/>
      <w:r w:rsidR="00CD330D" w:rsidRPr="006A69E2">
        <w:t>Newnes</w:t>
      </w:r>
      <w:proofErr w:type="spellEnd"/>
      <w:r w:rsidR="00CD330D" w:rsidRPr="006A69E2">
        <w:t>).</w:t>
      </w:r>
    </w:p>
    <w:p w14:paraId="27F5221E" w14:textId="4D6507CF" w:rsidR="00225E27" w:rsidRPr="006A69E2" w:rsidRDefault="004F4E99" w:rsidP="004F4E99">
      <w:pPr>
        <w:pStyle w:val="ListNo1alt"/>
        <w:numPr>
          <w:ilvl w:val="0"/>
          <w:numId w:val="0"/>
        </w:numPr>
        <w:tabs>
          <w:tab w:val="left" w:pos="720"/>
        </w:tabs>
        <w:ind w:left="720" w:hanging="720"/>
      </w:pPr>
      <w:r w:rsidRPr="006A69E2">
        <w:t>(d)</w:t>
      </w:r>
      <w:r w:rsidRPr="006A69E2">
        <w:tab/>
      </w:r>
      <w:r w:rsidR="00225E27" w:rsidRPr="006A69E2">
        <w:t>a failure to provide notice to affected persons may be addressed by way of</w:t>
      </w:r>
      <w:r w:rsidR="006E340E" w:rsidRPr="006A69E2">
        <w:t xml:space="preserve"> </w:t>
      </w:r>
      <w:r w:rsidR="00225E27" w:rsidRPr="006A69E2">
        <w:t>case management, rather than refusing the application. For example, the</w:t>
      </w:r>
      <w:r w:rsidR="006E340E" w:rsidRPr="006A69E2">
        <w:t xml:space="preserve"> </w:t>
      </w:r>
      <w:r w:rsidR="002E194E">
        <w:t>c</w:t>
      </w:r>
      <w:r w:rsidR="00225E27" w:rsidRPr="006A69E2">
        <w:t>ourt may require a specific putative defendant to be notified before the</w:t>
      </w:r>
      <w:r w:rsidR="006E340E" w:rsidRPr="006A69E2">
        <w:t xml:space="preserve"> </w:t>
      </w:r>
      <w:r w:rsidR="00225E27" w:rsidRPr="006A69E2">
        <w:t>matter proceeds</w:t>
      </w:r>
      <w:r w:rsidR="001462BD" w:rsidRPr="006A69E2">
        <w:t>:</w:t>
      </w:r>
      <w:r w:rsidR="001462BD" w:rsidRPr="006A69E2">
        <w:rPr>
          <w:i/>
          <w:iCs/>
        </w:rPr>
        <w:t xml:space="preserve"> BP Australia</w:t>
      </w:r>
      <w:r w:rsidR="00C32FC5" w:rsidRPr="006A69E2">
        <w:rPr>
          <w:i/>
          <w:iCs/>
        </w:rPr>
        <w:t xml:space="preserve"> </w:t>
      </w:r>
      <w:r w:rsidR="00426060" w:rsidRPr="006A69E2">
        <w:t xml:space="preserve">at </w:t>
      </w:r>
      <w:r w:rsidR="00CB06FA" w:rsidRPr="006A69E2">
        <w:t xml:space="preserve">348 </w:t>
      </w:r>
      <w:r w:rsidR="00426060" w:rsidRPr="006A69E2">
        <w:t>[136]</w:t>
      </w:r>
      <w:r w:rsidR="00E94147" w:rsidRPr="006A69E2">
        <w:t xml:space="preserve">; </w:t>
      </w:r>
      <w:r w:rsidR="001462BD" w:rsidRPr="006A69E2">
        <w:t>see</w:t>
      </w:r>
      <w:r w:rsidR="00E94147" w:rsidRPr="006A69E2">
        <w:t xml:space="preserve"> also</w:t>
      </w:r>
      <w:r w:rsidR="001462BD" w:rsidRPr="006A69E2">
        <w:t xml:space="preserve"> </w:t>
      </w:r>
      <w:r w:rsidR="001462BD" w:rsidRPr="006A69E2">
        <w:rPr>
          <w:i/>
          <w:iCs/>
        </w:rPr>
        <w:t>Dudley</w:t>
      </w:r>
      <w:r w:rsidR="001462BD" w:rsidRPr="006A69E2">
        <w:t xml:space="preserve"> at </w:t>
      </w:r>
      <w:r w:rsidR="00802170" w:rsidRPr="006A69E2">
        <w:t xml:space="preserve">538 </w:t>
      </w:r>
      <w:r w:rsidR="001462BD" w:rsidRPr="006A69E2">
        <w:t xml:space="preserve">[25], citing </w:t>
      </w:r>
      <w:r w:rsidR="001462BD" w:rsidRPr="006A69E2">
        <w:rPr>
          <w:i/>
          <w:iCs/>
        </w:rPr>
        <w:t>Wallman</w:t>
      </w:r>
      <w:r w:rsidR="00C17354" w:rsidRPr="006A69E2">
        <w:rPr>
          <w:i/>
          <w:iCs/>
        </w:rPr>
        <w:t xml:space="preserve"> </w:t>
      </w:r>
      <w:r w:rsidR="00C17354" w:rsidRPr="006A69E2">
        <w:t>at</w:t>
      </w:r>
      <w:r w:rsidR="00291401" w:rsidRPr="006A69E2">
        <w:t xml:space="preserve"> 69</w:t>
      </w:r>
      <w:r w:rsidR="00C17354" w:rsidRPr="006A69E2">
        <w:t xml:space="preserve"> [4]</w:t>
      </w:r>
      <w:r w:rsidR="001462BD" w:rsidRPr="006A69E2">
        <w:t>.</w:t>
      </w:r>
    </w:p>
    <w:p w14:paraId="66E8FC83" w14:textId="364342C3" w:rsidR="00225E27" w:rsidRPr="006A69E2" w:rsidRDefault="004F4E99" w:rsidP="004F4E99">
      <w:pPr>
        <w:pStyle w:val="ListNo1alt"/>
        <w:numPr>
          <w:ilvl w:val="0"/>
          <w:numId w:val="0"/>
        </w:numPr>
        <w:tabs>
          <w:tab w:val="left" w:pos="720"/>
        </w:tabs>
        <w:ind w:left="720" w:hanging="720"/>
      </w:pPr>
      <w:r w:rsidRPr="006A69E2">
        <w:t>(e)</w:t>
      </w:r>
      <w:r w:rsidRPr="006A69E2">
        <w:tab/>
      </w:r>
      <w:r w:rsidR="00225E27" w:rsidRPr="006A69E2">
        <w:t>as a matter of procedural fairness, the common law requires that if a particular</w:t>
      </w:r>
      <w:r w:rsidR="006E340E" w:rsidRPr="006A69E2">
        <w:t xml:space="preserve"> </w:t>
      </w:r>
      <w:r w:rsidR="00225E27" w:rsidRPr="006A69E2">
        <w:t>creditor is targeted as a likely defendant in voidable preference proceedings,</w:t>
      </w:r>
      <w:r w:rsidR="006E340E" w:rsidRPr="006A69E2">
        <w:t xml:space="preserve"> </w:t>
      </w:r>
      <w:r w:rsidR="00225E27" w:rsidRPr="006A69E2">
        <w:t>that creditor must be given notice of the application for extension of time, and</w:t>
      </w:r>
      <w:r w:rsidR="006E340E" w:rsidRPr="006A69E2">
        <w:t xml:space="preserve"> </w:t>
      </w:r>
      <w:r w:rsidR="00225E27" w:rsidRPr="006A69E2">
        <w:t>may need to be joined as a party to the application for extension of time,</w:t>
      </w:r>
      <w:r w:rsidR="006E340E" w:rsidRPr="006A69E2">
        <w:t xml:space="preserve"> </w:t>
      </w:r>
      <w:r w:rsidR="00225E27" w:rsidRPr="006A69E2">
        <w:t>especially if it responds to a notice by objecting to the proposed order on</w:t>
      </w:r>
      <w:r w:rsidR="006E340E" w:rsidRPr="006A69E2">
        <w:t xml:space="preserve"> </w:t>
      </w:r>
      <w:r w:rsidR="00225E27" w:rsidRPr="006A69E2">
        <w:t>substantive grounds</w:t>
      </w:r>
      <w:r w:rsidR="00E66573" w:rsidRPr="006A69E2">
        <w:t xml:space="preserve">: </w:t>
      </w:r>
      <w:r w:rsidR="00E66573" w:rsidRPr="006A69E2">
        <w:rPr>
          <w:i/>
          <w:iCs/>
        </w:rPr>
        <w:t>BP Australia</w:t>
      </w:r>
      <w:r w:rsidR="00E66573" w:rsidRPr="006A69E2">
        <w:t xml:space="preserve"> at </w:t>
      </w:r>
      <w:r w:rsidR="00CB06FA" w:rsidRPr="006A69E2">
        <w:t xml:space="preserve">351-352 </w:t>
      </w:r>
      <w:r w:rsidR="00E66573" w:rsidRPr="006A69E2">
        <w:t>[154]</w:t>
      </w:r>
      <w:r w:rsidR="003059C1" w:rsidRPr="006A69E2">
        <w:t xml:space="preserve"> </w:t>
      </w:r>
      <w:r w:rsidR="003059C1" w:rsidRPr="006A69E2">
        <w:lastRenderedPageBreak/>
        <w:t>(</w:t>
      </w:r>
      <w:r w:rsidR="00E66573" w:rsidRPr="006A69E2">
        <w:t>referring to the first instance decision of Austin J</w:t>
      </w:r>
      <w:r w:rsidR="003059C1" w:rsidRPr="006A69E2">
        <w:t>)</w:t>
      </w:r>
      <w:r w:rsidR="00E66573" w:rsidRPr="006A69E2">
        <w:t xml:space="preserve">, </w:t>
      </w:r>
      <w:r w:rsidR="00E66573" w:rsidRPr="006A69E2">
        <w:rPr>
          <w:i/>
          <w:iCs/>
        </w:rPr>
        <w:t>Suleman</w:t>
      </w:r>
      <w:r w:rsidR="00E66573" w:rsidRPr="006A69E2">
        <w:t xml:space="preserve"> at</w:t>
      </w:r>
      <w:r w:rsidR="00611EB7" w:rsidRPr="006A69E2">
        <w:t xml:space="preserve"> 105</w:t>
      </w:r>
      <w:r w:rsidR="00E66573" w:rsidRPr="006A69E2">
        <w:t xml:space="preserve"> [7], </w:t>
      </w:r>
      <w:r w:rsidR="00E66573" w:rsidRPr="006A69E2">
        <w:rPr>
          <w:i/>
          <w:iCs/>
        </w:rPr>
        <w:t xml:space="preserve">Horne </w:t>
      </w:r>
      <w:r w:rsidR="00E66573" w:rsidRPr="006A69E2">
        <w:t>at</w:t>
      </w:r>
      <w:r w:rsidR="00431966">
        <w:t xml:space="preserve"> 350-351</w:t>
      </w:r>
      <w:r w:rsidR="00E66573" w:rsidRPr="006A69E2">
        <w:t xml:space="preserve"> [97]; </w:t>
      </w:r>
      <w:r w:rsidR="00225E27" w:rsidRPr="006A69E2">
        <w:t>and</w:t>
      </w:r>
    </w:p>
    <w:p w14:paraId="416B1B7B" w14:textId="4A478EEF" w:rsidR="00942A63" w:rsidRPr="006A69E2" w:rsidRDefault="004F4E99" w:rsidP="004F4E99">
      <w:pPr>
        <w:pStyle w:val="ListNo1alt"/>
        <w:numPr>
          <w:ilvl w:val="0"/>
          <w:numId w:val="0"/>
        </w:numPr>
        <w:tabs>
          <w:tab w:val="left" w:pos="720"/>
        </w:tabs>
        <w:ind w:left="720" w:hanging="720"/>
      </w:pPr>
      <w:r w:rsidRPr="006A69E2">
        <w:t>(f)</w:t>
      </w:r>
      <w:r w:rsidRPr="006A69E2">
        <w:tab/>
      </w:r>
      <w:r w:rsidR="00146734" w:rsidRPr="006A69E2">
        <w:t>i</w:t>
      </w:r>
      <w:r w:rsidR="00225E27" w:rsidRPr="006A69E2">
        <w:t>f there is no targeted creditor and the application for extension is made to</w:t>
      </w:r>
      <w:r w:rsidR="006E340E" w:rsidRPr="006A69E2">
        <w:t xml:space="preserve"> </w:t>
      </w:r>
      <w:r w:rsidR="00225E27" w:rsidRPr="006A69E2">
        <w:t>permit the liquidator to conduct investigations necessary to identify and</w:t>
      </w:r>
      <w:r w:rsidR="006E340E" w:rsidRPr="006A69E2">
        <w:t xml:space="preserve"> </w:t>
      </w:r>
      <w:r w:rsidR="00225E27" w:rsidRPr="006A69E2">
        <w:t xml:space="preserve">explore potentially preferential transactions generally, the </w:t>
      </w:r>
      <w:r w:rsidR="008251EB" w:rsidRPr="006A69E2">
        <w:t>c</w:t>
      </w:r>
      <w:r w:rsidR="00225E27" w:rsidRPr="006A69E2">
        <w:t>ourt may grant the</w:t>
      </w:r>
      <w:r w:rsidR="006E340E" w:rsidRPr="006A69E2">
        <w:t xml:space="preserve"> </w:t>
      </w:r>
      <w:r w:rsidR="00225E27" w:rsidRPr="006A69E2">
        <w:t>extension of time in general terms without specifying any particular</w:t>
      </w:r>
      <w:r w:rsidR="006E340E" w:rsidRPr="006A69E2">
        <w:t xml:space="preserve"> </w:t>
      </w:r>
      <w:r w:rsidR="00225E27" w:rsidRPr="006A69E2">
        <w:t>transactions or defendants</w:t>
      </w:r>
      <w:r w:rsidR="008251EB" w:rsidRPr="006A69E2">
        <w:t>,</w:t>
      </w:r>
      <w:r w:rsidR="00225E27" w:rsidRPr="006A69E2">
        <w:t xml:space="preserve"> and in that event it will not be necessary at any</w:t>
      </w:r>
      <w:r w:rsidR="006E340E" w:rsidRPr="006A69E2">
        <w:t xml:space="preserve"> </w:t>
      </w:r>
      <w:r w:rsidR="00225E27" w:rsidRPr="006A69E2">
        <w:t>stage to join any particular creditor as the defendant to the application for</w:t>
      </w:r>
      <w:r w:rsidR="006E340E" w:rsidRPr="006A69E2">
        <w:t xml:space="preserve"> </w:t>
      </w:r>
      <w:r w:rsidR="00225E27" w:rsidRPr="006A69E2">
        <w:t>extension</w:t>
      </w:r>
      <w:r w:rsidR="00AE3796" w:rsidRPr="006A69E2">
        <w:t xml:space="preserve">: </w:t>
      </w:r>
      <w:r w:rsidR="00AE3796" w:rsidRPr="006A69E2">
        <w:rPr>
          <w:i/>
          <w:iCs/>
        </w:rPr>
        <w:t>BP Australia</w:t>
      </w:r>
      <w:r w:rsidR="00AE3796" w:rsidRPr="006A69E2">
        <w:t xml:space="preserve"> at </w:t>
      </w:r>
      <w:r w:rsidR="00CB06FA" w:rsidRPr="006A69E2">
        <w:t xml:space="preserve">351-352 </w:t>
      </w:r>
      <w:r w:rsidR="00AE3796" w:rsidRPr="006A69E2">
        <w:t>[154]</w:t>
      </w:r>
      <w:r w:rsidR="003059C1" w:rsidRPr="006A69E2">
        <w:t xml:space="preserve"> (referring to the decision of Austin J</w:t>
      </w:r>
      <w:r w:rsidR="00146734" w:rsidRPr="006A69E2">
        <w:t xml:space="preserve"> at first instance</w:t>
      </w:r>
      <w:r w:rsidR="003059C1" w:rsidRPr="006A69E2">
        <w:t>)</w:t>
      </w:r>
      <w:r w:rsidR="00AE3796" w:rsidRPr="006A69E2">
        <w:t xml:space="preserve">; see also </w:t>
      </w:r>
      <w:proofErr w:type="spellStart"/>
      <w:r w:rsidR="00FB2089" w:rsidRPr="006A69E2">
        <w:rPr>
          <w:i/>
          <w:iCs/>
        </w:rPr>
        <w:t>Octaviar</w:t>
      </w:r>
      <w:proofErr w:type="spellEnd"/>
      <w:r w:rsidR="00FB2089" w:rsidRPr="006A69E2">
        <w:t xml:space="preserve"> </w:t>
      </w:r>
      <w:r w:rsidR="00AE3796" w:rsidRPr="006A69E2">
        <w:t xml:space="preserve">at </w:t>
      </w:r>
      <w:r w:rsidR="006D4CCB">
        <w:t xml:space="preserve">248 </w:t>
      </w:r>
      <w:r w:rsidR="00AE3796" w:rsidRPr="006A69E2">
        <w:t>[64]</w:t>
      </w:r>
      <w:r w:rsidR="006D4CCB">
        <w:t xml:space="preserve"> (Barrett JA)</w:t>
      </w:r>
      <w:r w:rsidR="00AE3796" w:rsidRPr="006A69E2">
        <w:t>.</w:t>
      </w:r>
    </w:p>
    <w:p w14:paraId="1A046B7D" w14:textId="78357159" w:rsidR="00D6353D" w:rsidRPr="006A69E2" w:rsidRDefault="004F4E99" w:rsidP="00E20476">
      <w:pPr>
        <w:pStyle w:val="Heading1"/>
      </w:pPr>
      <w:r w:rsidRPr="006A69E2">
        <w:rPr>
          <w:caps w:val="0"/>
        </w:rPr>
        <w:t>CONSIDERATION</w:t>
      </w:r>
    </w:p>
    <w:p w14:paraId="2758F8A3" w14:textId="44376540" w:rsidR="00D6353D" w:rsidRPr="006A69E2" w:rsidRDefault="00DE4BCF" w:rsidP="00D6353D">
      <w:pPr>
        <w:pStyle w:val="Heading2"/>
      </w:pPr>
      <w:r w:rsidRPr="006A69E2">
        <w:t>S</w:t>
      </w:r>
      <w:r w:rsidR="00D6353D" w:rsidRPr="006A69E2">
        <w:t>ervice on putative defendant</w:t>
      </w:r>
      <w:r w:rsidR="000925D2" w:rsidRPr="006A69E2">
        <w:t>s</w:t>
      </w:r>
      <w:r w:rsidR="00D6353D" w:rsidRPr="006A69E2">
        <w:t xml:space="preserve"> </w:t>
      </w:r>
    </w:p>
    <w:p w14:paraId="591F0604" w14:textId="250EF7DD" w:rsidR="000336DD" w:rsidRPr="006A69E2" w:rsidRDefault="004F4E99" w:rsidP="004F4E99">
      <w:pPr>
        <w:pStyle w:val="ParaNumbering"/>
        <w:numPr>
          <w:ilvl w:val="0"/>
          <w:numId w:val="0"/>
        </w:numPr>
        <w:ind w:hanging="720"/>
      </w:pPr>
      <w:r w:rsidRPr="006A69E2">
        <w:rPr>
          <w:sz w:val="20"/>
        </w:rPr>
        <w:t>19</w:t>
      </w:r>
      <w:r w:rsidRPr="006A69E2">
        <w:rPr>
          <w:sz w:val="20"/>
        </w:rPr>
        <w:tab/>
      </w:r>
      <w:r w:rsidR="006907A8" w:rsidRPr="006A69E2">
        <w:t>The plaintiffs</w:t>
      </w:r>
      <w:r w:rsidR="003D32A9" w:rsidRPr="006A69E2">
        <w:t xml:space="preserve"> submit that </w:t>
      </w:r>
      <w:r w:rsidR="006907A8" w:rsidRPr="006A69E2">
        <w:t>the</w:t>
      </w:r>
      <w:r w:rsidR="00223458" w:rsidRPr="006A69E2">
        <w:t>y</w:t>
      </w:r>
      <w:r w:rsidR="00D6353D" w:rsidRPr="006A69E2">
        <w:t xml:space="preserve"> have not been able to determine whether they have a claim on the merits against any of the Australian </w:t>
      </w:r>
      <w:r w:rsidR="00A52695" w:rsidRPr="006A69E2">
        <w:t>r</w:t>
      </w:r>
      <w:r w:rsidR="00D6353D" w:rsidRPr="006A69E2">
        <w:t xml:space="preserve">ecipients. </w:t>
      </w:r>
      <w:r w:rsidR="00C07158" w:rsidRPr="006A69E2">
        <w:t>This is because a</w:t>
      </w:r>
      <w:r w:rsidR="00D6353D" w:rsidRPr="006A69E2">
        <w:t>ll that is</w:t>
      </w:r>
      <w:r w:rsidR="00393018" w:rsidRPr="006A69E2">
        <w:t xml:space="preserve"> presently</w:t>
      </w:r>
      <w:r w:rsidR="00D6353D" w:rsidRPr="006A69E2">
        <w:t xml:space="preserve"> known </w:t>
      </w:r>
      <w:r w:rsidR="001F09B4" w:rsidRPr="006A69E2">
        <w:t>is</w:t>
      </w:r>
      <w:r w:rsidR="00D6353D" w:rsidRPr="006A69E2">
        <w:t xml:space="preserve"> that the</w:t>
      </w:r>
      <w:r w:rsidR="00723FB2" w:rsidRPr="006A69E2">
        <w:t xml:space="preserve"> Australian recipients</w:t>
      </w:r>
      <w:r w:rsidR="00D6353D" w:rsidRPr="006A69E2">
        <w:t xml:space="preserve"> have received bitcoin</w:t>
      </w:r>
      <w:r w:rsidR="0078018D" w:rsidRPr="006A69E2">
        <w:t>. T</w:t>
      </w:r>
      <w:r w:rsidR="00D6353D" w:rsidRPr="006A69E2">
        <w:t xml:space="preserve">he individual circumstances of </w:t>
      </w:r>
      <w:r w:rsidR="00046498" w:rsidRPr="006A69E2">
        <w:t>the relevant acquisition</w:t>
      </w:r>
      <w:r w:rsidR="005C21CF" w:rsidRPr="006A69E2">
        <w:t>s</w:t>
      </w:r>
      <w:r w:rsidR="00046498" w:rsidRPr="006A69E2">
        <w:t xml:space="preserve">, whether the relevant parties can </w:t>
      </w:r>
      <w:r w:rsidR="00D6353D" w:rsidRPr="006A69E2">
        <w:t xml:space="preserve">be located and served, and </w:t>
      </w:r>
      <w:r w:rsidR="007F6E9D" w:rsidRPr="006A69E2">
        <w:t xml:space="preserve">the </w:t>
      </w:r>
      <w:r w:rsidR="00D6353D" w:rsidRPr="006A69E2">
        <w:t>prospects of any recovery</w:t>
      </w:r>
      <w:r w:rsidR="005C21CF" w:rsidRPr="006A69E2">
        <w:t>,</w:t>
      </w:r>
      <w:r w:rsidR="00D6353D" w:rsidRPr="006A69E2">
        <w:t xml:space="preserve"> have not been established. </w:t>
      </w:r>
    </w:p>
    <w:p w14:paraId="11426181" w14:textId="5DF1EC9C" w:rsidR="009D5D1D" w:rsidRPr="006A69E2" w:rsidRDefault="004F4E99" w:rsidP="004F4E99">
      <w:pPr>
        <w:pStyle w:val="ParaNumbering"/>
        <w:numPr>
          <w:ilvl w:val="0"/>
          <w:numId w:val="0"/>
        </w:numPr>
        <w:ind w:hanging="720"/>
      </w:pPr>
      <w:r w:rsidRPr="006A69E2">
        <w:rPr>
          <w:sz w:val="20"/>
        </w:rPr>
        <w:t>20</w:t>
      </w:r>
      <w:r w:rsidRPr="006A69E2">
        <w:rPr>
          <w:sz w:val="20"/>
        </w:rPr>
        <w:tab/>
      </w:r>
      <w:r w:rsidR="006907A8" w:rsidRPr="006A69E2">
        <w:t>The plaintiffs</w:t>
      </w:r>
      <w:r w:rsidR="000336DD" w:rsidRPr="006A69E2">
        <w:t xml:space="preserve"> submit</w:t>
      </w:r>
      <w:r w:rsidR="0048749D">
        <w:t xml:space="preserve"> and I accept that</w:t>
      </w:r>
      <w:r w:rsidR="000336DD" w:rsidRPr="006A69E2">
        <w:t xml:space="preserve"> that there is </w:t>
      </w:r>
      <w:r w:rsidR="005C21CF" w:rsidRPr="006A69E2">
        <w:t>thus</w:t>
      </w:r>
      <w:r w:rsidR="000336DD" w:rsidRPr="006A69E2">
        <w:t xml:space="preserve"> </w:t>
      </w:r>
      <w:r w:rsidR="00D6353D" w:rsidRPr="006A69E2">
        <w:t xml:space="preserve">no natural justice requirement </w:t>
      </w:r>
      <w:r w:rsidR="004B2B38" w:rsidRPr="006A69E2">
        <w:t xml:space="preserve">for them </w:t>
      </w:r>
      <w:r w:rsidR="00D6353D" w:rsidRPr="006A69E2">
        <w:t>to serve any putative defendant since none has been identified</w:t>
      </w:r>
      <w:r w:rsidR="008251EB" w:rsidRPr="006A69E2">
        <w:t>,</w:t>
      </w:r>
      <w:r w:rsidR="00D6353D" w:rsidRPr="006A69E2">
        <w:t xml:space="preserve"> and further investigation is required to determine if there is any such defendant subject to a claim with merit</w:t>
      </w:r>
      <w:r w:rsidR="00A245E0" w:rsidRPr="006A69E2">
        <w:t xml:space="preserve">: applying </w:t>
      </w:r>
      <w:r w:rsidR="00A245E0" w:rsidRPr="006A69E2">
        <w:rPr>
          <w:i/>
          <w:iCs/>
        </w:rPr>
        <w:t>BP</w:t>
      </w:r>
      <w:r w:rsidR="001377DD">
        <w:rPr>
          <w:i/>
          <w:iCs/>
        </w:rPr>
        <w:t> </w:t>
      </w:r>
      <w:r w:rsidR="00ED08DF" w:rsidRPr="006A69E2">
        <w:rPr>
          <w:i/>
          <w:iCs/>
        </w:rPr>
        <w:t xml:space="preserve">Australia </w:t>
      </w:r>
      <w:r w:rsidR="00754D48" w:rsidRPr="006A69E2">
        <w:t xml:space="preserve">at </w:t>
      </w:r>
      <w:r w:rsidR="003F1827" w:rsidRPr="006A69E2">
        <w:t xml:space="preserve">351-352 </w:t>
      </w:r>
      <w:r w:rsidR="00754D48" w:rsidRPr="006A69E2">
        <w:t xml:space="preserve">[154] </w:t>
      </w:r>
      <w:r w:rsidR="00A245E0" w:rsidRPr="006A69E2">
        <w:t xml:space="preserve">and </w:t>
      </w:r>
      <w:proofErr w:type="spellStart"/>
      <w:r w:rsidR="00ED08DF" w:rsidRPr="006A69E2">
        <w:rPr>
          <w:i/>
          <w:iCs/>
        </w:rPr>
        <w:t>Octaviar</w:t>
      </w:r>
      <w:proofErr w:type="spellEnd"/>
      <w:r w:rsidR="00754D48" w:rsidRPr="006A69E2">
        <w:rPr>
          <w:i/>
          <w:iCs/>
        </w:rPr>
        <w:t xml:space="preserve"> </w:t>
      </w:r>
      <w:r w:rsidR="00754D48" w:rsidRPr="006A69E2">
        <w:t xml:space="preserve">at </w:t>
      </w:r>
      <w:r w:rsidR="006D4CCB">
        <w:t xml:space="preserve">248 </w:t>
      </w:r>
      <w:r w:rsidR="00754D48" w:rsidRPr="006A69E2">
        <w:t>[64]</w:t>
      </w:r>
      <w:r w:rsidR="006D4CCB">
        <w:t xml:space="preserve"> (Barrett JA)</w:t>
      </w:r>
      <w:r w:rsidR="00110987" w:rsidRPr="006A69E2">
        <w:t>.</w:t>
      </w:r>
      <w:r w:rsidR="00177A74" w:rsidRPr="006A69E2">
        <w:t xml:space="preserve"> </w:t>
      </w:r>
    </w:p>
    <w:p w14:paraId="5F77E070" w14:textId="40FFDE56" w:rsidR="009D5D1D" w:rsidRPr="006A69E2" w:rsidRDefault="00146111" w:rsidP="009D5D1D">
      <w:pPr>
        <w:pStyle w:val="Heading2"/>
      </w:pPr>
      <w:r w:rsidRPr="006A69E2">
        <w:t>Relevant d</w:t>
      </w:r>
      <w:r w:rsidR="009D5D1D" w:rsidRPr="006A69E2">
        <w:t xml:space="preserve">iscretionary </w:t>
      </w:r>
      <w:r w:rsidR="0085168B" w:rsidRPr="006A69E2">
        <w:t>f</w:t>
      </w:r>
      <w:r w:rsidR="009D5D1D" w:rsidRPr="006A69E2">
        <w:t>actors</w:t>
      </w:r>
    </w:p>
    <w:p w14:paraId="14EA24FF" w14:textId="6B169F80" w:rsidR="009D5D1D" w:rsidRPr="006A69E2" w:rsidRDefault="004F4E99" w:rsidP="004F4E99">
      <w:pPr>
        <w:pStyle w:val="ParaNumbering"/>
        <w:numPr>
          <w:ilvl w:val="0"/>
          <w:numId w:val="0"/>
        </w:numPr>
        <w:ind w:hanging="720"/>
      </w:pPr>
      <w:r w:rsidRPr="006A69E2">
        <w:rPr>
          <w:sz w:val="20"/>
        </w:rPr>
        <w:t>21</w:t>
      </w:r>
      <w:r w:rsidRPr="006A69E2">
        <w:rPr>
          <w:sz w:val="20"/>
        </w:rPr>
        <w:tab/>
      </w:r>
      <w:r w:rsidR="00F856AB" w:rsidRPr="006A69E2">
        <w:t>As will be apparent, t</w:t>
      </w:r>
      <w:r w:rsidR="006907A8" w:rsidRPr="006A69E2">
        <w:t>he plaintiffs</w:t>
      </w:r>
      <w:r w:rsidR="00914D46" w:rsidRPr="006A69E2">
        <w:t xml:space="preserve"> seek the shelf order for the following reasons:</w:t>
      </w:r>
      <w:r w:rsidR="00177A74" w:rsidRPr="006A69E2">
        <w:t xml:space="preserve"> </w:t>
      </w:r>
    </w:p>
    <w:p w14:paraId="3882420D" w14:textId="031F83F9" w:rsidR="009D5D1D" w:rsidRPr="006A69E2" w:rsidRDefault="004F4E99" w:rsidP="004F4E99">
      <w:pPr>
        <w:pStyle w:val="ListNo1alt"/>
        <w:numPr>
          <w:ilvl w:val="0"/>
          <w:numId w:val="0"/>
        </w:numPr>
        <w:tabs>
          <w:tab w:val="left" w:pos="720"/>
        </w:tabs>
        <w:ind w:left="720" w:hanging="720"/>
      </w:pPr>
      <w:r w:rsidRPr="006A69E2">
        <w:t>(a)</w:t>
      </w:r>
      <w:r w:rsidRPr="006A69E2">
        <w:tab/>
      </w:r>
      <w:r w:rsidR="009D5D1D" w:rsidRPr="006A69E2">
        <w:t xml:space="preserve">investigations to date have not been able to determine whether there are voidable transactions that are of merit to pursue in respect of the Australian </w:t>
      </w:r>
      <w:r w:rsidR="00D240C5" w:rsidRPr="006A69E2">
        <w:t>r</w:t>
      </w:r>
      <w:r w:rsidR="009D5D1D" w:rsidRPr="006A69E2">
        <w:t>ecipients;</w:t>
      </w:r>
    </w:p>
    <w:p w14:paraId="11FA1028" w14:textId="4A964D47" w:rsidR="009D5D1D" w:rsidRPr="006A69E2" w:rsidRDefault="004F4E99" w:rsidP="004F4E99">
      <w:pPr>
        <w:pStyle w:val="ListNo1alt"/>
        <w:numPr>
          <w:ilvl w:val="0"/>
          <w:numId w:val="0"/>
        </w:numPr>
        <w:tabs>
          <w:tab w:val="left" w:pos="720"/>
        </w:tabs>
        <w:ind w:left="720" w:hanging="720"/>
      </w:pPr>
      <w:r w:rsidRPr="006A69E2">
        <w:t>(b)</w:t>
      </w:r>
      <w:r w:rsidRPr="006A69E2">
        <w:tab/>
      </w:r>
      <w:r w:rsidR="009D5D1D" w:rsidRPr="006A69E2">
        <w:t>the potential claims involve recovery from “</w:t>
      </w:r>
      <w:r w:rsidR="00F05AF9" w:rsidRPr="006A69E2">
        <w:t>w</w:t>
      </w:r>
      <w:r w:rsidR="009D5D1D" w:rsidRPr="006A69E2">
        <w:t xml:space="preserve">inners” which, in view of the </w:t>
      </w:r>
      <w:r w:rsidR="00AD3BD1" w:rsidRPr="006A69E2">
        <w:t>s</w:t>
      </w:r>
      <w:r w:rsidR="009D5D1D" w:rsidRPr="006A69E2">
        <w:t>cheme, are potentially voidable, and accordingly have potential merit;</w:t>
      </w:r>
    </w:p>
    <w:p w14:paraId="209974B0" w14:textId="58A8461B" w:rsidR="009D5D1D" w:rsidRPr="006A69E2" w:rsidRDefault="004F4E99" w:rsidP="004F4E99">
      <w:pPr>
        <w:pStyle w:val="ListNo1alt"/>
        <w:numPr>
          <w:ilvl w:val="0"/>
          <w:numId w:val="0"/>
        </w:numPr>
        <w:tabs>
          <w:tab w:val="left" w:pos="720"/>
        </w:tabs>
        <w:ind w:left="720" w:hanging="720"/>
      </w:pPr>
      <w:r w:rsidRPr="006A69E2">
        <w:t>(c)</w:t>
      </w:r>
      <w:r w:rsidRPr="006A69E2">
        <w:tab/>
      </w:r>
      <w:r w:rsidR="009D5D1D" w:rsidRPr="006A69E2">
        <w:t xml:space="preserve">further investigation is required to identify the location, means and circumstances of the Australian </w:t>
      </w:r>
      <w:r w:rsidR="00D240C5" w:rsidRPr="006A69E2">
        <w:t>r</w:t>
      </w:r>
      <w:r w:rsidR="009D5D1D" w:rsidRPr="006A69E2">
        <w:t>ecipients of the transfers, among other things;</w:t>
      </w:r>
      <w:r w:rsidR="00914D46" w:rsidRPr="006A69E2">
        <w:t xml:space="preserve"> and</w:t>
      </w:r>
    </w:p>
    <w:p w14:paraId="5420EC53" w14:textId="21E7E77C" w:rsidR="009D5D1D" w:rsidRPr="006A69E2" w:rsidRDefault="004F4E99" w:rsidP="004F4E99">
      <w:pPr>
        <w:pStyle w:val="ListNo1alt"/>
        <w:numPr>
          <w:ilvl w:val="0"/>
          <w:numId w:val="0"/>
        </w:numPr>
        <w:tabs>
          <w:tab w:val="left" w:pos="720"/>
        </w:tabs>
        <w:ind w:left="720" w:hanging="720"/>
      </w:pPr>
      <w:r w:rsidRPr="006A69E2">
        <w:t>(d)</w:t>
      </w:r>
      <w:r w:rsidRPr="006A69E2">
        <w:tab/>
      </w:r>
      <w:r w:rsidR="009D5D1D" w:rsidRPr="006A69E2">
        <w:t>it is not possible to evaluate prejudice to potential defendants other than presumptive prejudice since the merits of specific claims have not been established.</w:t>
      </w:r>
    </w:p>
    <w:p w14:paraId="2547C7B2" w14:textId="5D0B9F37" w:rsidR="009D5D1D" w:rsidRPr="006A69E2" w:rsidRDefault="004F4E99" w:rsidP="004F4E99">
      <w:pPr>
        <w:pStyle w:val="ParaNumbering"/>
        <w:numPr>
          <w:ilvl w:val="0"/>
          <w:numId w:val="0"/>
        </w:numPr>
        <w:ind w:hanging="720"/>
      </w:pPr>
      <w:r w:rsidRPr="006A69E2">
        <w:rPr>
          <w:sz w:val="20"/>
        </w:rPr>
        <w:lastRenderedPageBreak/>
        <w:t>22</w:t>
      </w:r>
      <w:r w:rsidRPr="006A69E2">
        <w:rPr>
          <w:sz w:val="20"/>
        </w:rPr>
        <w:tab/>
      </w:r>
      <w:r w:rsidR="006907A8" w:rsidRPr="006A69E2">
        <w:t>The plaintiffs</w:t>
      </w:r>
      <w:r w:rsidR="00C01CFB" w:rsidRPr="006A69E2">
        <w:t xml:space="preserve"> submit that the following </w:t>
      </w:r>
      <w:r w:rsidR="00AD3BD1" w:rsidRPr="006A69E2">
        <w:t>matters</w:t>
      </w:r>
      <w:r w:rsidR="00C01CFB" w:rsidRPr="006A69E2">
        <w:t xml:space="preserve"> demonstrate that t</w:t>
      </w:r>
      <w:r w:rsidR="009D5D1D" w:rsidRPr="006A69E2">
        <w:t>he reasons for the delay in pursuing these investigations have been properly explaine</w:t>
      </w:r>
      <w:r w:rsidR="00601348" w:rsidRPr="006A69E2">
        <w:t>d</w:t>
      </w:r>
      <w:r w:rsidR="00C01CFB" w:rsidRPr="006A69E2">
        <w:t>:</w:t>
      </w:r>
      <w:r w:rsidR="007953A3" w:rsidRPr="006A69E2">
        <w:t xml:space="preserve"> </w:t>
      </w:r>
    </w:p>
    <w:p w14:paraId="5544BF55" w14:textId="62226864" w:rsidR="009D5D1D" w:rsidRPr="006A69E2" w:rsidRDefault="004F4E99" w:rsidP="004F4E99">
      <w:pPr>
        <w:pStyle w:val="ListNo1alt"/>
        <w:numPr>
          <w:ilvl w:val="0"/>
          <w:numId w:val="0"/>
        </w:numPr>
        <w:tabs>
          <w:tab w:val="left" w:pos="720"/>
        </w:tabs>
        <w:ind w:left="720" w:hanging="720"/>
      </w:pPr>
      <w:r w:rsidRPr="006A69E2">
        <w:t>(a)</w:t>
      </w:r>
      <w:r w:rsidRPr="006A69E2">
        <w:tab/>
      </w:r>
      <w:r w:rsidR="006907A8" w:rsidRPr="006A69E2">
        <w:t>the</w:t>
      </w:r>
      <w:r w:rsidR="00183369">
        <w:t>y</w:t>
      </w:r>
      <w:r w:rsidR="006907A8" w:rsidRPr="006A69E2">
        <w:t xml:space="preserve"> </w:t>
      </w:r>
      <w:r w:rsidR="009D5D1D" w:rsidRPr="006A69E2">
        <w:t xml:space="preserve">were appointed provisionally and the making of final orders for their appointment was delayed by some </w:t>
      </w:r>
      <w:r w:rsidR="00585613" w:rsidRPr="006A69E2">
        <w:t>seven</w:t>
      </w:r>
      <w:r w:rsidR="009D5D1D" w:rsidRPr="006A69E2">
        <w:t xml:space="preserve"> months;</w:t>
      </w:r>
    </w:p>
    <w:p w14:paraId="3CD5F9C1" w14:textId="09C4E8C4" w:rsidR="009D5D1D" w:rsidRPr="006A69E2" w:rsidRDefault="004F4E99" w:rsidP="004F4E99">
      <w:pPr>
        <w:pStyle w:val="ListNo1alt"/>
        <w:numPr>
          <w:ilvl w:val="0"/>
          <w:numId w:val="0"/>
        </w:numPr>
        <w:tabs>
          <w:tab w:val="left" w:pos="720"/>
        </w:tabs>
        <w:ind w:left="720" w:hanging="720"/>
      </w:pPr>
      <w:r w:rsidRPr="006A69E2">
        <w:t>(b)</w:t>
      </w:r>
      <w:r w:rsidRPr="006A69E2">
        <w:tab/>
      </w:r>
      <w:r w:rsidR="009D5D1D" w:rsidRPr="006A69E2">
        <w:t xml:space="preserve">the sheer scale of the scheme, with more than 300,000 investors across 234 countries, has made the investigation of the scheme complex and time consuming; </w:t>
      </w:r>
    </w:p>
    <w:p w14:paraId="22CDEB7A" w14:textId="184AD472" w:rsidR="009121EA" w:rsidRPr="006A69E2" w:rsidRDefault="004F4E99" w:rsidP="004F4E99">
      <w:pPr>
        <w:pStyle w:val="ListNo1alt"/>
        <w:numPr>
          <w:ilvl w:val="0"/>
          <w:numId w:val="0"/>
        </w:numPr>
        <w:tabs>
          <w:tab w:val="left" w:pos="720"/>
        </w:tabs>
        <w:ind w:left="720" w:hanging="720"/>
      </w:pPr>
      <w:r w:rsidRPr="006A69E2">
        <w:t>(c)</w:t>
      </w:r>
      <w:r w:rsidRPr="006A69E2">
        <w:tab/>
      </w:r>
      <w:r w:rsidR="009D5D1D" w:rsidRPr="006A69E2">
        <w:t>the initial investigations culminated in the declaration of the scheme as an illegal Ponzi scheme;</w:t>
      </w:r>
    </w:p>
    <w:p w14:paraId="2A8BAE88" w14:textId="1ECF7867" w:rsidR="00172DBE" w:rsidRPr="006A69E2" w:rsidRDefault="004F4E99" w:rsidP="004F4E99">
      <w:pPr>
        <w:pStyle w:val="ListNo1alt"/>
        <w:numPr>
          <w:ilvl w:val="0"/>
          <w:numId w:val="0"/>
        </w:numPr>
        <w:tabs>
          <w:tab w:val="left" w:pos="720"/>
        </w:tabs>
        <w:ind w:left="720" w:hanging="720"/>
      </w:pPr>
      <w:r w:rsidRPr="006A69E2">
        <w:t>(d)</w:t>
      </w:r>
      <w:r w:rsidRPr="006A69E2">
        <w:tab/>
      </w:r>
      <w:r w:rsidR="006907A8" w:rsidRPr="006A69E2">
        <w:t>the</w:t>
      </w:r>
      <w:r w:rsidR="00183369">
        <w:t>y</w:t>
      </w:r>
      <w:r w:rsidR="009D5D1D" w:rsidRPr="006A69E2">
        <w:t xml:space="preserve"> have received many claims (</w:t>
      </w:r>
      <w:r w:rsidR="008405B6" w:rsidRPr="006A69E2">
        <w:t xml:space="preserve">some </w:t>
      </w:r>
      <w:r w:rsidR="009D5D1D" w:rsidRPr="006A69E2">
        <w:t>8,509 to date) across many</w:t>
      </w:r>
      <w:r w:rsidR="009121EA" w:rsidRPr="006A69E2">
        <w:t xml:space="preserve"> </w:t>
      </w:r>
      <w:r w:rsidR="009D5D1D" w:rsidRPr="006A69E2">
        <w:t>countries, requiring considerable time to investigate;</w:t>
      </w:r>
    </w:p>
    <w:p w14:paraId="61B941F5" w14:textId="248BB5F0" w:rsidR="00172DBE" w:rsidRPr="006A69E2" w:rsidRDefault="004F4E99" w:rsidP="004F4E99">
      <w:pPr>
        <w:pStyle w:val="ListNo1alt"/>
        <w:numPr>
          <w:ilvl w:val="0"/>
          <w:numId w:val="0"/>
        </w:numPr>
        <w:tabs>
          <w:tab w:val="left" w:pos="720"/>
        </w:tabs>
        <w:ind w:left="720" w:hanging="720"/>
      </w:pPr>
      <w:r w:rsidRPr="006A69E2">
        <w:t>(e)</w:t>
      </w:r>
      <w:r w:rsidRPr="006A69E2">
        <w:tab/>
      </w:r>
      <w:r w:rsidR="006907A8" w:rsidRPr="006A69E2">
        <w:t>the</w:t>
      </w:r>
      <w:r w:rsidR="00183369">
        <w:t>y</w:t>
      </w:r>
      <w:r w:rsidR="009D5D1D" w:rsidRPr="006A69E2">
        <w:t xml:space="preserve"> have determined to pursue recoveries in 86 jurisdictions, of which</w:t>
      </w:r>
      <w:r w:rsidR="00172DBE" w:rsidRPr="006A69E2">
        <w:t xml:space="preserve"> </w:t>
      </w:r>
      <w:r w:rsidR="009D5D1D" w:rsidRPr="006A69E2">
        <w:t xml:space="preserve">Australia is </w:t>
      </w:r>
      <w:r w:rsidR="009A43CD" w:rsidRPr="006A69E2">
        <w:t xml:space="preserve">but </w:t>
      </w:r>
      <w:r w:rsidR="009D5D1D" w:rsidRPr="006A69E2">
        <w:t>one;</w:t>
      </w:r>
    </w:p>
    <w:p w14:paraId="3E32F88C" w14:textId="2636EF6B" w:rsidR="006A7978" w:rsidRPr="006A69E2" w:rsidRDefault="004F4E99" w:rsidP="004F4E99">
      <w:pPr>
        <w:pStyle w:val="ListNo1alt"/>
        <w:numPr>
          <w:ilvl w:val="0"/>
          <w:numId w:val="0"/>
        </w:numPr>
        <w:tabs>
          <w:tab w:val="left" w:pos="720"/>
        </w:tabs>
        <w:ind w:left="720" w:hanging="720"/>
      </w:pPr>
      <w:r w:rsidRPr="006A69E2">
        <w:t>(f)</w:t>
      </w:r>
      <w:r w:rsidRPr="006A69E2">
        <w:tab/>
      </w:r>
      <w:r w:rsidR="006907A8" w:rsidRPr="006A69E2">
        <w:t>the</w:t>
      </w:r>
      <w:r w:rsidR="002F4DD1">
        <w:t>y</w:t>
      </w:r>
      <w:r w:rsidR="009D5D1D" w:rsidRPr="006A69E2">
        <w:t xml:space="preserve"> have had to pursue or defend a range of other litigation, including</w:t>
      </w:r>
      <w:r w:rsidR="00172DBE" w:rsidRPr="006A69E2">
        <w:t xml:space="preserve"> </w:t>
      </w:r>
      <w:r w:rsidR="009D5D1D" w:rsidRPr="006A69E2">
        <w:t>recognition claims;</w:t>
      </w:r>
    </w:p>
    <w:p w14:paraId="7E829154" w14:textId="5954D331" w:rsidR="009D5D1D" w:rsidRPr="006A69E2" w:rsidRDefault="004F4E99" w:rsidP="004F4E99">
      <w:pPr>
        <w:pStyle w:val="ListNo1alt"/>
        <w:numPr>
          <w:ilvl w:val="0"/>
          <w:numId w:val="0"/>
        </w:numPr>
        <w:tabs>
          <w:tab w:val="left" w:pos="720"/>
        </w:tabs>
        <w:ind w:left="720" w:hanging="720"/>
      </w:pPr>
      <w:r w:rsidRPr="006A69E2">
        <w:t>(g)</w:t>
      </w:r>
      <w:r w:rsidRPr="006A69E2">
        <w:tab/>
      </w:r>
      <w:r w:rsidR="009D5D1D" w:rsidRPr="006A69E2">
        <w:t>recognition in Australia for the liquidation did not take place until 6 October 2023,</w:t>
      </w:r>
      <w:r w:rsidR="006A7978" w:rsidRPr="006A69E2">
        <w:t xml:space="preserve"> </w:t>
      </w:r>
      <w:r w:rsidR="009D5D1D" w:rsidRPr="006A69E2">
        <w:t xml:space="preserve">following recognition proceedings in </w:t>
      </w:r>
      <w:r w:rsidR="008D3FE4" w:rsidRPr="006A69E2">
        <w:t>four</w:t>
      </w:r>
      <w:r w:rsidR="009D5D1D" w:rsidRPr="006A69E2">
        <w:t xml:space="preserve"> other places</w:t>
      </w:r>
      <w:r w:rsidR="00DE222F" w:rsidRPr="006A69E2">
        <w:t>, and t</w:t>
      </w:r>
      <w:r w:rsidR="009D5D1D" w:rsidRPr="006A69E2">
        <w:t>his application has been</w:t>
      </w:r>
      <w:r w:rsidR="006A7978" w:rsidRPr="006A69E2">
        <w:t xml:space="preserve"> </w:t>
      </w:r>
      <w:r w:rsidR="009D5D1D" w:rsidRPr="006A69E2">
        <w:t xml:space="preserve">made as soon as practicable after </w:t>
      </w:r>
      <w:r w:rsidR="009A43CD" w:rsidRPr="006A69E2">
        <w:t xml:space="preserve">Australian </w:t>
      </w:r>
      <w:r w:rsidR="009D5D1D" w:rsidRPr="006A69E2">
        <w:t>recognition.</w:t>
      </w:r>
    </w:p>
    <w:p w14:paraId="677845AC" w14:textId="4DE806AC" w:rsidR="004A7201" w:rsidRPr="006A69E2" w:rsidRDefault="004F4E99" w:rsidP="004F4E99">
      <w:pPr>
        <w:pStyle w:val="ParaNumbering"/>
        <w:numPr>
          <w:ilvl w:val="0"/>
          <w:numId w:val="0"/>
        </w:numPr>
        <w:ind w:hanging="720"/>
      </w:pPr>
      <w:r w:rsidRPr="006A69E2">
        <w:rPr>
          <w:sz w:val="20"/>
        </w:rPr>
        <w:t>23</w:t>
      </w:r>
      <w:r w:rsidRPr="006A69E2">
        <w:rPr>
          <w:sz w:val="20"/>
        </w:rPr>
        <w:tab/>
      </w:r>
      <w:r w:rsidR="004A7201" w:rsidRPr="006A69E2">
        <w:t>The plaintiffs submit</w:t>
      </w:r>
      <w:r w:rsidR="00C36075">
        <w:t xml:space="preserve"> and I accept</w:t>
      </w:r>
      <w:r w:rsidR="004A7201" w:rsidRPr="006A69E2">
        <w:t xml:space="preserve"> that a shelf order is justified having regard to these matters.</w:t>
      </w:r>
    </w:p>
    <w:p w14:paraId="720E51E0" w14:textId="3E2C8B47" w:rsidR="009D5D1D" w:rsidRPr="006A69E2" w:rsidRDefault="004F4E99" w:rsidP="004F4E99">
      <w:pPr>
        <w:pStyle w:val="ParaNumbering"/>
        <w:numPr>
          <w:ilvl w:val="0"/>
          <w:numId w:val="0"/>
        </w:numPr>
        <w:ind w:hanging="720"/>
      </w:pPr>
      <w:r w:rsidRPr="006A69E2">
        <w:rPr>
          <w:sz w:val="20"/>
        </w:rPr>
        <w:t>24</w:t>
      </w:r>
      <w:r w:rsidRPr="006A69E2">
        <w:rPr>
          <w:sz w:val="20"/>
        </w:rPr>
        <w:tab/>
      </w:r>
      <w:r w:rsidR="006907A8" w:rsidRPr="006A69E2">
        <w:t>The plaintiffs</w:t>
      </w:r>
      <w:r w:rsidR="00CE1FBE" w:rsidRPr="006A69E2">
        <w:t xml:space="preserve"> assert that </w:t>
      </w:r>
      <w:r w:rsidR="009D5D1D" w:rsidRPr="006A69E2">
        <w:t>further justification for the order is that:</w:t>
      </w:r>
      <w:r w:rsidR="007953A3" w:rsidRPr="006A69E2">
        <w:t xml:space="preserve"> </w:t>
      </w:r>
    </w:p>
    <w:p w14:paraId="3186987C" w14:textId="1DC23308" w:rsidR="006A7978" w:rsidRPr="006A69E2" w:rsidRDefault="004F4E99" w:rsidP="004F4E99">
      <w:pPr>
        <w:pStyle w:val="ListNo1alt"/>
        <w:numPr>
          <w:ilvl w:val="0"/>
          <w:numId w:val="0"/>
        </w:numPr>
        <w:tabs>
          <w:tab w:val="left" w:pos="720"/>
        </w:tabs>
        <w:ind w:left="720" w:hanging="720"/>
      </w:pPr>
      <w:r w:rsidRPr="006A69E2">
        <w:t>(a)</w:t>
      </w:r>
      <w:r w:rsidRPr="006A69E2">
        <w:tab/>
      </w:r>
      <w:r w:rsidR="009D5D1D" w:rsidRPr="006A69E2">
        <w:t xml:space="preserve">the liquidation of </w:t>
      </w:r>
      <w:r w:rsidR="00EE54F1" w:rsidRPr="006A69E2">
        <w:t>MTI</w:t>
      </w:r>
      <w:r w:rsidR="009D5D1D" w:rsidRPr="006A69E2">
        <w:t xml:space="preserve"> is large and complex;</w:t>
      </w:r>
    </w:p>
    <w:p w14:paraId="51E59EA0" w14:textId="5FF6E529" w:rsidR="006A7978" w:rsidRPr="006A69E2" w:rsidRDefault="004F4E99" w:rsidP="004F4E99">
      <w:pPr>
        <w:pStyle w:val="ListNo1alt"/>
        <w:numPr>
          <w:ilvl w:val="0"/>
          <w:numId w:val="0"/>
        </w:numPr>
        <w:tabs>
          <w:tab w:val="left" w:pos="720"/>
        </w:tabs>
        <w:ind w:left="720" w:hanging="720"/>
      </w:pPr>
      <w:r w:rsidRPr="006A69E2">
        <w:t>(b)</w:t>
      </w:r>
      <w:r w:rsidRPr="006A69E2">
        <w:tab/>
      </w:r>
      <w:r w:rsidR="009D5D1D" w:rsidRPr="006A69E2">
        <w:t>the complexity is heightened by the tran</w:t>
      </w:r>
      <w:r w:rsidR="00F05AF9" w:rsidRPr="006A69E2">
        <w:t>s</w:t>
      </w:r>
      <w:r w:rsidR="009D5D1D" w:rsidRPr="006A69E2">
        <w:t>national nature of the scheme and the</w:t>
      </w:r>
      <w:r w:rsidR="004F5904" w:rsidRPr="006A69E2">
        <w:t xml:space="preserve"> wide</w:t>
      </w:r>
      <w:r w:rsidR="006A7978" w:rsidRPr="006A69E2">
        <w:t xml:space="preserve"> </w:t>
      </w:r>
      <w:r w:rsidR="009D5D1D" w:rsidRPr="006A69E2">
        <w:t>dispersal of its victims;</w:t>
      </w:r>
    </w:p>
    <w:p w14:paraId="4AFD7BC0" w14:textId="0CE59E4F" w:rsidR="006A7978" w:rsidRPr="006A69E2" w:rsidRDefault="004F4E99" w:rsidP="004F4E99">
      <w:pPr>
        <w:pStyle w:val="ListNo1alt"/>
        <w:numPr>
          <w:ilvl w:val="0"/>
          <w:numId w:val="0"/>
        </w:numPr>
        <w:tabs>
          <w:tab w:val="left" w:pos="720"/>
        </w:tabs>
        <w:ind w:left="720" w:hanging="720"/>
      </w:pPr>
      <w:r w:rsidRPr="006A69E2">
        <w:t>(c)</w:t>
      </w:r>
      <w:r w:rsidRPr="006A69E2">
        <w:tab/>
      </w:r>
      <w:r w:rsidR="009D5D1D" w:rsidRPr="006A69E2">
        <w:t xml:space="preserve">since the </w:t>
      </w:r>
      <w:r w:rsidR="00BB67E4" w:rsidRPr="006A69E2">
        <w:t>s</w:t>
      </w:r>
      <w:r w:rsidR="009D5D1D" w:rsidRPr="006A69E2">
        <w:t xml:space="preserve">cheme pursued by </w:t>
      </w:r>
      <w:r w:rsidR="00EE54F1" w:rsidRPr="006A69E2">
        <w:t>MTI</w:t>
      </w:r>
      <w:r w:rsidR="009D5D1D" w:rsidRPr="006A69E2">
        <w:t xml:space="preserve"> is a fraud against its</w:t>
      </w:r>
      <w:r w:rsidR="006A7978" w:rsidRPr="006A69E2">
        <w:t xml:space="preserve"> </w:t>
      </w:r>
      <w:r w:rsidR="009D5D1D" w:rsidRPr="006A69E2">
        <w:t>victims, the public interest is served by extending time to allow the careful and</w:t>
      </w:r>
      <w:r w:rsidR="006A7978" w:rsidRPr="006A69E2">
        <w:t xml:space="preserve"> </w:t>
      </w:r>
      <w:r w:rsidR="009D5D1D" w:rsidRPr="006A69E2">
        <w:t>deliberative investigation of the potential claims; and</w:t>
      </w:r>
    </w:p>
    <w:p w14:paraId="777BD690" w14:textId="1F6BFD6A" w:rsidR="00D409EC" w:rsidRPr="006A69E2" w:rsidRDefault="004F4E99" w:rsidP="004F4E99">
      <w:pPr>
        <w:pStyle w:val="ListNo1alt"/>
        <w:numPr>
          <w:ilvl w:val="0"/>
          <w:numId w:val="0"/>
        </w:numPr>
        <w:tabs>
          <w:tab w:val="left" w:pos="720"/>
        </w:tabs>
        <w:ind w:left="720" w:hanging="720"/>
      </w:pPr>
      <w:r w:rsidRPr="006A69E2">
        <w:t>(d)</w:t>
      </w:r>
      <w:r w:rsidRPr="006A69E2">
        <w:tab/>
      </w:r>
      <w:r w:rsidR="00E822F6" w:rsidRPr="006A69E2">
        <w:t xml:space="preserve">as </w:t>
      </w:r>
      <w:r w:rsidR="009D5D1D" w:rsidRPr="006A69E2">
        <w:t>it is likely that future claims brought during the extension period</w:t>
      </w:r>
      <w:r w:rsidR="00E23FAA" w:rsidRPr="006A69E2">
        <w:t xml:space="preserve"> would be against</w:t>
      </w:r>
      <w:r w:rsidR="009D5D1D" w:rsidRPr="006A69E2">
        <w:t xml:space="preserve"> “</w:t>
      </w:r>
      <w:r w:rsidR="00F05AF9" w:rsidRPr="006A69E2">
        <w:t>w</w:t>
      </w:r>
      <w:r w:rsidR="009D5D1D" w:rsidRPr="006A69E2">
        <w:t>inners”,</w:t>
      </w:r>
      <w:r w:rsidR="006A7978" w:rsidRPr="006A69E2">
        <w:t xml:space="preserve"> </w:t>
      </w:r>
      <w:r w:rsidR="009D5D1D" w:rsidRPr="006A69E2">
        <w:t>rather than creditors or other commercial arm’s length parties</w:t>
      </w:r>
      <w:r w:rsidR="0059688A" w:rsidRPr="006A69E2">
        <w:t>, c</w:t>
      </w:r>
      <w:r w:rsidR="009D5D1D" w:rsidRPr="006A69E2">
        <w:t>onsideration</w:t>
      </w:r>
      <w:r w:rsidR="006A7978" w:rsidRPr="006A69E2">
        <w:t xml:space="preserve">s </w:t>
      </w:r>
      <w:r w:rsidR="009D5D1D" w:rsidRPr="006A69E2">
        <w:t>of prejudice</w:t>
      </w:r>
      <w:r w:rsidR="00153658" w:rsidRPr="006A69E2">
        <w:t xml:space="preserve"> in the nature of delay</w:t>
      </w:r>
      <w:r w:rsidR="009D5D1D" w:rsidRPr="006A69E2">
        <w:t xml:space="preserve"> are accordingly not as important as they might be in </w:t>
      </w:r>
      <w:r w:rsidR="000E31DE" w:rsidRPr="006A69E2">
        <w:t xml:space="preserve">the case of </w:t>
      </w:r>
      <w:r w:rsidR="009D5D1D" w:rsidRPr="006A69E2">
        <w:t>shelf</w:t>
      </w:r>
      <w:r w:rsidR="00BA6CAD" w:rsidRPr="006A69E2">
        <w:t xml:space="preserve"> </w:t>
      </w:r>
      <w:r w:rsidR="009D5D1D" w:rsidRPr="006A69E2">
        <w:t xml:space="preserve">orders that preserve voidable transactions </w:t>
      </w:r>
      <w:r w:rsidR="002C6EAE" w:rsidRPr="006A69E2">
        <w:t>in other circumstances</w:t>
      </w:r>
      <w:r w:rsidR="009D5D1D" w:rsidRPr="006A69E2">
        <w:t>.</w:t>
      </w:r>
    </w:p>
    <w:p w14:paraId="70C90599" w14:textId="4D6B10B0" w:rsidR="00120F1F" w:rsidRDefault="004F4E99" w:rsidP="004F4E99">
      <w:pPr>
        <w:pStyle w:val="ParaNumbering"/>
        <w:numPr>
          <w:ilvl w:val="0"/>
          <w:numId w:val="0"/>
        </w:numPr>
        <w:ind w:hanging="720"/>
      </w:pPr>
      <w:r>
        <w:rPr>
          <w:sz w:val="20"/>
        </w:rPr>
        <w:lastRenderedPageBreak/>
        <w:t>25</w:t>
      </w:r>
      <w:r>
        <w:rPr>
          <w:sz w:val="20"/>
        </w:rPr>
        <w:tab/>
      </w:r>
      <w:r w:rsidR="00120F1F">
        <w:t>I accept that these matters provide a further basis for the making of the shelf order.</w:t>
      </w:r>
    </w:p>
    <w:p w14:paraId="395A1874" w14:textId="68101E66" w:rsidR="00BA6CAD" w:rsidRPr="006A69E2" w:rsidRDefault="004F4E99" w:rsidP="004F4E99">
      <w:pPr>
        <w:pStyle w:val="ParaNumbering"/>
        <w:numPr>
          <w:ilvl w:val="0"/>
          <w:numId w:val="0"/>
        </w:numPr>
        <w:ind w:hanging="720"/>
      </w:pPr>
      <w:r w:rsidRPr="006A69E2">
        <w:rPr>
          <w:sz w:val="20"/>
        </w:rPr>
        <w:t>26</w:t>
      </w:r>
      <w:r w:rsidRPr="006A69E2">
        <w:rPr>
          <w:sz w:val="20"/>
        </w:rPr>
        <w:tab/>
      </w:r>
      <w:r w:rsidR="006907A8" w:rsidRPr="006A69E2">
        <w:t>The plaintiffs</w:t>
      </w:r>
      <w:r w:rsidR="00ED35C1" w:rsidRPr="006A69E2">
        <w:t xml:space="preserve"> note</w:t>
      </w:r>
      <w:r w:rsidR="00076F7E" w:rsidRPr="006A69E2">
        <w:t xml:space="preserve"> that </w:t>
      </w:r>
      <w:r w:rsidR="00164087" w:rsidRPr="006A69E2">
        <w:t xml:space="preserve">in the circumstances </w:t>
      </w:r>
      <w:r w:rsidR="00076F7E" w:rsidRPr="006A69E2">
        <w:t>n</w:t>
      </w:r>
      <w:r w:rsidR="00BA6CAD" w:rsidRPr="006A69E2">
        <w:t>o potential defendant has been served or given notice of this application. The form of order</w:t>
      </w:r>
      <w:r w:rsidR="00190EA3" w:rsidRPr="006A69E2">
        <w:t xml:space="preserve"> the plaintiffs propose</w:t>
      </w:r>
      <w:r w:rsidR="00BA6CAD" w:rsidRPr="006A69E2">
        <w:t xml:space="preserve"> allows for any future defendant to</w:t>
      </w:r>
      <w:r w:rsidR="00190EA3" w:rsidRPr="006A69E2">
        <w:t xml:space="preserve"> seek to vary or discharge </w:t>
      </w:r>
      <w:r w:rsidR="00BA6CAD" w:rsidRPr="006A69E2">
        <w:t>the shelf order sought</w:t>
      </w:r>
      <w:r w:rsidR="0096525A">
        <w:t xml:space="preserve">, and I accept that this is appropriate. </w:t>
      </w:r>
    </w:p>
    <w:p w14:paraId="269DFAFA" w14:textId="7CBB3DA9" w:rsidR="00381591" w:rsidRPr="006A69E2" w:rsidRDefault="00327179" w:rsidP="00327179">
      <w:pPr>
        <w:pStyle w:val="Heading2"/>
      </w:pPr>
      <w:r w:rsidRPr="006A69E2">
        <w:t>C</w:t>
      </w:r>
      <w:r w:rsidR="00381591" w:rsidRPr="006A69E2">
        <w:t>onclusion</w:t>
      </w:r>
    </w:p>
    <w:p w14:paraId="6858F1BB" w14:textId="66E486B1" w:rsidR="00BD2371" w:rsidRPr="006A69E2" w:rsidRDefault="004F4E99" w:rsidP="004F4E99">
      <w:pPr>
        <w:pStyle w:val="ParaNumbering"/>
        <w:numPr>
          <w:ilvl w:val="0"/>
          <w:numId w:val="0"/>
        </w:numPr>
        <w:ind w:hanging="720"/>
      </w:pPr>
      <w:r w:rsidRPr="006A69E2">
        <w:rPr>
          <w:sz w:val="20"/>
        </w:rPr>
        <w:t>27</w:t>
      </w:r>
      <w:r w:rsidRPr="006A69E2">
        <w:rPr>
          <w:sz w:val="20"/>
        </w:rPr>
        <w:tab/>
      </w:r>
      <w:r w:rsidR="006907A8" w:rsidRPr="006A69E2">
        <w:t>The plaintiffs</w:t>
      </w:r>
      <w:r w:rsidR="003A33A4" w:rsidRPr="006A69E2">
        <w:t xml:space="preserve"> have established </w:t>
      </w:r>
      <w:r w:rsidR="00023100" w:rsidRPr="006A69E2">
        <w:t xml:space="preserve">the </w:t>
      </w:r>
      <w:r w:rsidR="003A33A4" w:rsidRPr="006A69E2">
        <w:t>grounds for a favourable exercise of the discretion</w:t>
      </w:r>
      <w:r w:rsidR="0046762F" w:rsidRPr="006A69E2">
        <w:t xml:space="preserve"> given to the court</w:t>
      </w:r>
      <w:r w:rsidR="003A33A4" w:rsidRPr="006A69E2">
        <w:t xml:space="preserve"> in s 588FF(3)(b)</w:t>
      </w:r>
      <w:r w:rsidR="007E5343" w:rsidRPr="006A69E2">
        <w:t xml:space="preserve"> of the Corporations Act</w:t>
      </w:r>
      <w:r w:rsidR="0046762F" w:rsidRPr="006A69E2">
        <w:t xml:space="preserve"> and </w:t>
      </w:r>
      <w:r w:rsidR="003A33A4" w:rsidRPr="006A69E2">
        <w:t>the orders</w:t>
      </w:r>
      <w:r w:rsidR="00601348" w:rsidRPr="006A69E2">
        <w:t xml:space="preserve"> </w:t>
      </w:r>
      <w:r w:rsidR="007A2902" w:rsidRPr="006A69E2">
        <w:t xml:space="preserve">they have </w:t>
      </w:r>
      <w:r w:rsidR="00601348" w:rsidRPr="006A69E2">
        <w:t>sought</w:t>
      </w:r>
      <w:r w:rsidR="00EF3510">
        <w:t xml:space="preserve"> </w:t>
      </w:r>
      <w:r w:rsidR="0096525A">
        <w:t xml:space="preserve">should </w:t>
      </w:r>
      <w:r w:rsidR="00EF3510">
        <w:t>be made</w:t>
      </w:r>
      <w:r w:rsidR="003A33A4" w:rsidRPr="006A69E2">
        <w:t xml:space="preserve">. </w:t>
      </w:r>
    </w:p>
    <w:p w14:paraId="1D79A914" w14:textId="027A4947" w:rsidR="000E439E" w:rsidRPr="006A69E2" w:rsidRDefault="004F4E99" w:rsidP="000E439E">
      <w:pPr>
        <w:pStyle w:val="Heading1"/>
      </w:pPr>
      <w:r w:rsidRPr="006A69E2">
        <w:rPr>
          <w:caps w:val="0"/>
        </w:rPr>
        <w:t>EXTENSION OF SUPPRESSION ORDER</w:t>
      </w:r>
    </w:p>
    <w:p w14:paraId="342FAE6C" w14:textId="26A36EF5" w:rsidR="006A5861" w:rsidRPr="006A69E2" w:rsidRDefault="004F4E99" w:rsidP="004F4E99">
      <w:pPr>
        <w:pStyle w:val="ParaNumbering"/>
        <w:numPr>
          <w:ilvl w:val="0"/>
          <w:numId w:val="0"/>
        </w:numPr>
        <w:ind w:hanging="720"/>
      </w:pPr>
      <w:r w:rsidRPr="006A69E2">
        <w:rPr>
          <w:sz w:val="20"/>
        </w:rPr>
        <w:t>28</w:t>
      </w:r>
      <w:r w:rsidRPr="006A69E2">
        <w:rPr>
          <w:sz w:val="20"/>
        </w:rPr>
        <w:tab/>
      </w:r>
      <w:r w:rsidR="006A5861" w:rsidRPr="006A69E2">
        <w:t>On 2 February 2024, Anderson J made</w:t>
      </w:r>
      <w:r w:rsidR="00414A05" w:rsidRPr="006A69E2">
        <w:t xml:space="preserve"> a</w:t>
      </w:r>
      <w:r w:rsidR="006A5861" w:rsidRPr="006A69E2">
        <w:t xml:space="preserve"> suppression order</w:t>
      </w:r>
      <w:r w:rsidR="00414A05" w:rsidRPr="006A69E2">
        <w:t xml:space="preserve"> in this proceeding having regard to</w:t>
      </w:r>
      <w:r w:rsidR="00E31515" w:rsidRPr="006A69E2">
        <w:t xml:space="preserve"> </w:t>
      </w:r>
      <w:r w:rsidR="00622767" w:rsidRPr="006A69E2">
        <w:t xml:space="preserve">the contents of the </w:t>
      </w:r>
      <w:r w:rsidR="003A5B40">
        <w:t xml:space="preserve">affidavits </w:t>
      </w:r>
      <w:r w:rsidR="00835DD9">
        <w:t>filed on 19</w:t>
      </w:r>
      <w:r w:rsidR="003A5B40">
        <w:t xml:space="preserve"> </w:t>
      </w:r>
      <w:r w:rsidR="008B056C" w:rsidRPr="006A69E2">
        <w:t>December</w:t>
      </w:r>
      <w:r w:rsidR="00535458" w:rsidRPr="006A69E2">
        <w:t xml:space="preserve"> 2023</w:t>
      </w:r>
      <w:r w:rsidR="008B056C" w:rsidRPr="006A69E2">
        <w:t xml:space="preserve"> </w:t>
      </w:r>
      <w:r w:rsidR="003A5B40">
        <w:t>and 3</w:t>
      </w:r>
      <w:r w:rsidR="00835DD9">
        <w:t>1</w:t>
      </w:r>
      <w:r w:rsidR="00A6407C" w:rsidRPr="006A69E2">
        <w:t xml:space="preserve"> January 2024</w:t>
      </w:r>
      <w:r w:rsidR="008B056C" w:rsidRPr="006A69E2">
        <w:t>.</w:t>
      </w:r>
      <w:r w:rsidR="00622DA0" w:rsidRPr="006A69E2">
        <w:t xml:space="preserve"> </w:t>
      </w:r>
    </w:p>
    <w:p w14:paraId="6AB5DBEB" w14:textId="6E935EA9" w:rsidR="00DB2A68" w:rsidRPr="006A69E2" w:rsidRDefault="004F4E99" w:rsidP="004F4E99">
      <w:pPr>
        <w:pStyle w:val="ParaNumbering"/>
        <w:numPr>
          <w:ilvl w:val="0"/>
          <w:numId w:val="0"/>
        </w:numPr>
        <w:ind w:hanging="720"/>
      </w:pPr>
      <w:r w:rsidRPr="006A69E2">
        <w:rPr>
          <w:sz w:val="20"/>
        </w:rPr>
        <w:t>29</w:t>
      </w:r>
      <w:r w:rsidRPr="006A69E2">
        <w:rPr>
          <w:sz w:val="20"/>
        </w:rPr>
        <w:tab/>
      </w:r>
      <w:r w:rsidR="00DB2A68" w:rsidRPr="006A69E2">
        <w:t xml:space="preserve">That order suppressed </w:t>
      </w:r>
      <w:r w:rsidR="00894BDF" w:rsidRPr="006A69E2">
        <w:t xml:space="preserve">parts of the </w:t>
      </w:r>
      <w:r w:rsidR="004B77F5">
        <w:t xml:space="preserve">19 </w:t>
      </w:r>
      <w:r w:rsidR="008B056C" w:rsidRPr="006A69E2">
        <w:t xml:space="preserve">December </w:t>
      </w:r>
      <w:r w:rsidR="00535458" w:rsidRPr="006A69E2">
        <w:t>2023</w:t>
      </w:r>
      <w:r w:rsidR="00835DD9">
        <w:t xml:space="preserve"> </w:t>
      </w:r>
      <w:r w:rsidR="00894BDF" w:rsidRPr="006A69E2">
        <w:t>a</w:t>
      </w:r>
      <w:r w:rsidR="00DB2A68" w:rsidRPr="006A69E2">
        <w:t xml:space="preserve">ffidavit </w:t>
      </w:r>
      <w:r w:rsidR="00362AB3" w:rsidRPr="006A69E2">
        <w:t>until the determination of this proceeding</w:t>
      </w:r>
      <w:r w:rsidR="005A6A79" w:rsidRPr="006A69E2">
        <w:t xml:space="preserve"> pursuant to</w:t>
      </w:r>
      <w:r w:rsidR="005A6A79" w:rsidRPr="005C5F41">
        <w:t xml:space="preserve"> s</w:t>
      </w:r>
      <w:r w:rsidR="00E95C65" w:rsidRPr="005C5F41">
        <w:t>s</w:t>
      </w:r>
      <w:r w:rsidR="005A6A79" w:rsidRPr="005C5F41">
        <w:t xml:space="preserve"> 37AE, 37AF, 37AG, 37AH of the </w:t>
      </w:r>
      <w:r w:rsidR="005A6A79" w:rsidRPr="005C5F41">
        <w:rPr>
          <w:i/>
          <w:iCs/>
        </w:rPr>
        <w:t>Federal Court of Australia Act 1976</w:t>
      </w:r>
      <w:r w:rsidR="005A6A79" w:rsidRPr="005C5F41">
        <w:t xml:space="preserve"> (</w:t>
      </w:r>
      <w:proofErr w:type="spellStart"/>
      <w:r w:rsidR="005A6A79" w:rsidRPr="005C5F41">
        <w:t>Cth</w:t>
      </w:r>
      <w:proofErr w:type="spellEnd"/>
      <w:r w:rsidR="005A6A79" w:rsidRPr="005C5F41">
        <w:t>)</w:t>
      </w:r>
      <w:r w:rsidR="009E3738" w:rsidRPr="006A69E2">
        <w:t xml:space="preserve"> (</w:t>
      </w:r>
      <w:r w:rsidR="00292EF5" w:rsidRPr="006A69E2">
        <w:t xml:space="preserve">the </w:t>
      </w:r>
      <w:r w:rsidR="009E3738" w:rsidRPr="006A69E2">
        <w:rPr>
          <w:b/>
          <w:bCs/>
        </w:rPr>
        <w:t>Act</w:t>
      </w:r>
      <w:r w:rsidR="009E3738" w:rsidRPr="006A69E2">
        <w:t>)</w:t>
      </w:r>
      <w:r w:rsidR="00846A87" w:rsidRPr="006A69E2">
        <w:t>.</w:t>
      </w:r>
    </w:p>
    <w:p w14:paraId="6E03D43B" w14:textId="2E723621" w:rsidR="005A6A79" w:rsidRPr="006A69E2" w:rsidRDefault="004F4E99" w:rsidP="004F4E99">
      <w:pPr>
        <w:pStyle w:val="ParaNumbering"/>
        <w:numPr>
          <w:ilvl w:val="0"/>
          <w:numId w:val="0"/>
        </w:numPr>
        <w:ind w:hanging="720"/>
      </w:pPr>
      <w:r w:rsidRPr="006A69E2">
        <w:rPr>
          <w:sz w:val="20"/>
        </w:rPr>
        <w:t>30</w:t>
      </w:r>
      <w:r w:rsidRPr="006A69E2">
        <w:rPr>
          <w:sz w:val="20"/>
        </w:rPr>
        <w:tab/>
      </w:r>
      <w:r w:rsidR="009954E6" w:rsidRPr="006A69E2">
        <w:t>T</w:t>
      </w:r>
      <w:r w:rsidR="006907A8" w:rsidRPr="006A69E2">
        <w:t>he plaintiffs</w:t>
      </w:r>
      <w:r w:rsidR="00E95C1E" w:rsidRPr="006A69E2">
        <w:t xml:space="preserve"> seek to have the</w:t>
      </w:r>
      <w:r w:rsidR="005A6A79" w:rsidRPr="006A69E2">
        <w:t xml:space="preserve"> suppression </w:t>
      </w:r>
      <w:r w:rsidR="00C43A95" w:rsidRPr="006A69E2">
        <w:t>orders extended for 12 months</w:t>
      </w:r>
      <w:r w:rsidR="0082619F" w:rsidRPr="006A69E2">
        <w:t xml:space="preserve"> so that it continues for the duration of the shelf order.</w:t>
      </w:r>
    </w:p>
    <w:p w14:paraId="110798D8" w14:textId="2D298F7B" w:rsidR="00FE1A59" w:rsidRPr="006A69E2" w:rsidRDefault="004F4E99" w:rsidP="004F4E99">
      <w:pPr>
        <w:pStyle w:val="ParaNumbering"/>
        <w:numPr>
          <w:ilvl w:val="0"/>
          <w:numId w:val="0"/>
        </w:numPr>
        <w:ind w:hanging="720"/>
      </w:pPr>
      <w:r w:rsidRPr="006A69E2">
        <w:rPr>
          <w:sz w:val="20"/>
        </w:rPr>
        <w:t>31</w:t>
      </w:r>
      <w:r w:rsidRPr="006A69E2">
        <w:rPr>
          <w:sz w:val="20"/>
        </w:rPr>
        <w:tab/>
      </w:r>
      <w:r w:rsidR="00FE1A59" w:rsidRPr="006A69E2">
        <w:t xml:space="preserve">I am satisfied </w:t>
      </w:r>
      <w:r w:rsidR="00294EBD">
        <w:t xml:space="preserve">having regard to the affidavits filed on 19 December 2023 and 31 January 2024 that </w:t>
      </w:r>
      <w:r w:rsidR="001A12A6" w:rsidRPr="006A69E2">
        <w:t xml:space="preserve">the grounds in s </w:t>
      </w:r>
      <w:r w:rsidR="009E3738" w:rsidRPr="006A69E2">
        <w:t>37AG of the</w:t>
      </w:r>
      <w:r w:rsidR="0078729E" w:rsidRPr="006A69E2">
        <w:t xml:space="preserve"> Act</w:t>
      </w:r>
      <w:r w:rsidR="009E3738" w:rsidRPr="006A69E2">
        <w:t xml:space="preserve"> </w:t>
      </w:r>
      <w:r w:rsidR="0078729E" w:rsidRPr="006A69E2">
        <w:t xml:space="preserve">have been established </w:t>
      </w:r>
      <w:r w:rsidR="00FA7C02" w:rsidRPr="006A69E2">
        <w:t>for the purposes of m</w:t>
      </w:r>
      <w:r w:rsidR="001A12A6" w:rsidRPr="006A69E2">
        <w:t>aking a suppression</w:t>
      </w:r>
      <w:r w:rsidR="00DF77BF" w:rsidRPr="006A69E2">
        <w:t xml:space="preserve"> or non-publication</w:t>
      </w:r>
      <w:r w:rsidR="001A12A6" w:rsidRPr="006A69E2">
        <w:t xml:space="preserve"> order </w:t>
      </w:r>
      <w:r w:rsidR="00D8621A" w:rsidRPr="006A69E2">
        <w:t>pursuant to</w:t>
      </w:r>
      <w:r w:rsidR="001A12A6" w:rsidRPr="006A69E2">
        <w:t xml:space="preserve"> s </w:t>
      </w:r>
      <w:r w:rsidR="0078729E" w:rsidRPr="006A69E2">
        <w:t>37AF of the Act</w:t>
      </w:r>
      <w:r w:rsidR="000A1025" w:rsidRPr="006A69E2">
        <w:t>.</w:t>
      </w:r>
    </w:p>
    <w:p w14:paraId="35855DFA" w14:textId="047C3C7F" w:rsidR="008C2797" w:rsidRPr="006A69E2" w:rsidRDefault="004F4E99" w:rsidP="004F4E99">
      <w:pPr>
        <w:pStyle w:val="ParaNumbering"/>
        <w:numPr>
          <w:ilvl w:val="0"/>
          <w:numId w:val="0"/>
        </w:numPr>
        <w:ind w:hanging="720"/>
      </w:pPr>
      <w:r w:rsidRPr="006A69E2">
        <w:rPr>
          <w:sz w:val="20"/>
        </w:rPr>
        <w:t>32</w:t>
      </w:r>
      <w:r w:rsidRPr="006A69E2">
        <w:rPr>
          <w:sz w:val="20"/>
        </w:rPr>
        <w:tab/>
      </w:r>
      <w:r w:rsidR="008C2797" w:rsidRPr="006A69E2">
        <w:t>Accordingly</w:t>
      </w:r>
      <w:r w:rsidR="002242DF">
        <w:t>,</w:t>
      </w:r>
      <w:r w:rsidR="008C2797" w:rsidRPr="006A69E2">
        <w:t xml:space="preserve"> there will also be an order that </w:t>
      </w:r>
      <w:r w:rsidR="001D643F" w:rsidRPr="006A69E2">
        <w:t>paragraphs 14, 15, 16, 16(a)-16(c) (inclusive), 17, 18 and 19, including all annexures referred to therein of the</w:t>
      </w:r>
      <w:r w:rsidR="00C7114A" w:rsidRPr="006A69E2">
        <w:t xml:space="preserve"> </w:t>
      </w:r>
      <w:r w:rsidR="005A780A">
        <w:t xml:space="preserve">affidavit </w:t>
      </w:r>
      <w:r w:rsidR="002A441F">
        <w:t xml:space="preserve">filed </w:t>
      </w:r>
      <w:r w:rsidR="002242DF">
        <w:t xml:space="preserve">on </w:t>
      </w:r>
      <w:r w:rsidR="005A780A">
        <w:t xml:space="preserve">19 </w:t>
      </w:r>
      <w:r w:rsidR="00C7114A" w:rsidRPr="006A69E2">
        <w:t>December</w:t>
      </w:r>
      <w:r w:rsidR="001D643F" w:rsidRPr="006A69E2">
        <w:t xml:space="preserve"> </w:t>
      </w:r>
      <w:r w:rsidR="00535458" w:rsidRPr="006A69E2">
        <w:t xml:space="preserve">2023 </w:t>
      </w:r>
      <w:r w:rsidR="001D643F" w:rsidRPr="006A69E2">
        <w:t>be suppressed until 25 March 2025</w:t>
      </w:r>
      <w:r w:rsidR="00C7114A" w:rsidRPr="006A69E2">
        <w:t>.</w:t>
      </w:r>
    </w:p>
    <w:p w14:paraId="1DA38CA6" w14:textId="77777777" w:rsidR="00AF269D" w:rsidRDefault="00AF269D" w:rsidP="00815065">
      <w:pPr>
        <w:pStyle w:val="BodyText"/>
      </w:pPr>
      <w:bookmarkStart w:id="25" w:name="Certification"/>
    </w:p>
    <w:tbl>
      <w:tblPr>
        <w:tblW w:w="0" w:type="auto"/>
        <w:tblLook w:val="04A0" w:firstRow="1" w:lastRow="0" w:firstColumn="1" w:lastColumn="0" w:noHBand="0" w:noVBand="1"/>
      </w:tblPr>
      <w:tblGrid>
        <w:gridCol w:w="3794"/>
      </w:tblGrid>
      <w:tr w:rsidR="00AF269D" w:rsidRPr="00AF269D" w14:paraId="043CD3C3" w14:textId="77777777">
        <w:tc>
          <w:tcPr>
            <w:tcW w:w="3794" w:type="dxa"/>
            <w:shd w:val="clear" w:color="auto" w:fill="auto"/>
          </w:tcPr>
          <w:p w14:paraId="26577554" w14:textId="3373E1E1" w:rsidR="00AF269D" w:rsidRPr="00AF269D" w:rsidRDefault="00AF269D" w:rsidP="00AF269D">
            <w:pPr>
              <w:pStyle w:val="Normal1linespace"/>
            </w:pPr>
            <w:r w:rsidRPr="00AF269D">
              <w:t xml:space="preserve">I certify that the preceding </w:t>
            </w:r>
            <w:bookmarkStart w:id="26" w:name="NumberWord"/>
            <w:r>
              <w:t>thirty-two</w:t>
            </w:r>
            <w:bookmarkEnd w:id="26"/>
            <w:r w:rsidRPr="00AF269D">
              <w:t xml:space="preserve"> (</w:t>
            </w:r>
            <w:bookmarkStart w:id="27" w:name="NumberNumeral"/>
            <w:r>
              <w:t>32</w:t>
            </w:r>
            <w:bookmarkEnd w:id="27"/>
            <w:r w:rsidRPr="00AF269D">
              <w:t xml:space="preserve">) numbered </w:t>
            </w:r>
            <w:bookmarkStart w:id="28" w:name="CertPara"/>
            <w:r>
              <w:t>paragraphs are</w:t>
            </w:r>
            <w:bookmarkEnd w:id="28"/>
            <w:r w:rsidRPr="00AF269D">
              <w:t xml:space="preserve"> a true copy of the Reasons for Judgment of </w:t>
            </w:r>
            <w:bookmarkStart w:id="29" w:name="bkHonourable"/>
            <w:r w:rsidRPr="00AF269D">
              <w:t xml:space="preserve">the Honourable </w:t>
            </w:r>
            <w:bookmarkStart w:id="30" w:name="Justice"/>
            <w:bookmarkEnd w:id="29"/>
            <w:r>
              <w:t>Justice McEvoy</w:t>
            </w:r>
            <w:bookmarkEnd w:id="30"/>
            <w:r w:rsidRPr="00AF269D">
              <w:t>.</w:t>
            </w:r>
          </w:p>
        </w:tc>
      </w:tr>
    </w:tbl>
    <w:p w14:paraId="232E4A49" w14:textId="77777777" w:rsidR="00AF269D" w:rsidRDefault="00AF269D" w:rsidP="00815065">
      <w:pPr>
        <w:pStyle w:val="BodyText"/>
      </w:pPr>
    </w:p>
    <w:p w14:paraId="6403D3DC" w14:textId="77777777" w:rsidR="0091590D" w:rsidRDefault="0091590D" w:rsidP="00815065">
      <w:pPr>
        <w:pStyle w:val="BodyText"/>
      </w:pPr>
    </w:p>
    <w:p w14:paraId="0EE47F48" w14:textId="77777777" w:rsidR="0091590D" w:rsidRDefault="0091590D" w:rsidP="00815065">
      <w:pPr>
        <w:pStyle w:val="BodyText"/>
      </w:pPr>
    </w:p>
    <w:p w14:paraId="41E4A83D" w14:textId="68D3B33F" w:rsidR="00AF269D" w:rsidRDefault="00AF269D" w:rsidP="00815065">
      <w:pPr>
        <w:pStyle w:val="BodyText"/>
      </w:pPr>
      <w:r>
        <w:lastRenderedPageBreak/>
        <w:t>Associate:</w:t>
      </w:r>
      <w:r w:rsidR="0091590D" w:rsidRPr="0091590D">
        <w:t xml:space="preserve"> </w:t>
      </w:r>
    </w:p>
    <w:p w14:paraId="4A663D20" w14:textId="77777777" w:rsidR="0077417B" w:rsidRDefault="0077417B" w:rsidP="00815065">
      <w:pPr>
        <w:pStyle w:val="BodyText"/>
        <w:tabs>
          <w:tab w:val="left" w:pos="1134"/>
        </w:tabs>
      </w:pPr>
    </w:p>
    <w:p w14:paraId="41ED39E1" w14:textId="3D33F4F3" w:rsidR="00832026" w:rsidRPr="0077417B" w:rsidRDefault="00AF269D" w:rsidP="0077417B">
      <w:pPr>
        <w:pStyle w:val="BodyText"/>
        <w:tabs>
          <w:tab w:val="left" w:pos="1134"/>
        </w:tabs>
      </w:pPr>
      <w:r>
        <w:t>Dated:</w:t>
      </w:r>
      <w:r>
        <w:tab/>
      </w:r>
      <w:bookmarkStart w:id="31" w:name="CertifyDated"/>
      <w:r>
        <w:t>27 March 2024</w:t>
      </w:r>
      <w:bookmarkEnd w:id="25"/>
      <w:bookmarkEnd w:id="31"/>
      <w:r w:rsidR="00832026" w:rsidRPr="00AF269D">
        <w:rPr>
          <w:highlight w:val="yellow"/>
        </w:rPr>
        <w:br w:type="page"/>
      </w:r>
    </w:p>
    <w:p w14:paraId="663EA806" w14:textId="77777777" w:rsidR="00E56CAE" w:rsidRPr="006A69E2" w:rsidRDefault="00E56CAE" w:rsidP="00E91A0F">
      <w:pPr>
        <w:pStyle w:val="NormalHeadings"/>
        <w:spacing w:before="180" w:line="480" w:lineRule="auto"/>
        <w:jc w:val="center"/>
        <w:rPr>
          <w:sz w:val="28"/>
          <w:szCs w:val="28"/>
        </w:rPr>
      </w:pPr>
      <w:bookmarkStart w:id="32" w:name="SOP_Section"/>
      <w:r w:rsidRPr="006A69E2">
        <w:rPr>
          <w:sz w:val="28"/>
          <w:szCs w:val="28"/>
        </w:rPr>
        <w:lastRenderedPageBreak/>
        <w:t>SCHEDULE OF PARTIES</w:t>
      </w:r>
    </w:p>
    <w:p w14:paraId="0CC0C9E5" w14:textId="77777777" w:rsidR="00E56CAE" w:rsidRPr="006A69E2" w:rsidRDefault="00E56CAE" w:rsidP="00663089">
      <w:pPr>
        <w:pStyle w:val="BodyText"/>
      </w:pPr>
    </w:p>
    <w:tbl>
      <w:tblPr>
        <w:tblW w:w="9242" w:type="dxa"/>
        <w:tblLayout w:type="fixed"/>
        <w:tblLook w:val="0000" w:firstRow="0" w:lastRow="0" w:firstColumn="0" w:lastColumn="0" w:noHBand="0" w:noVBand="0"/>
        <w:tblCaption w:val="SOP Table"/>
        <w:tblDescription w:val="SOP Table"/>
      </w:tblPr>
      <w:tblGrid>
        <w:gridCol w:w="3368"/>
        <w:gridCol w:w="5874"/>
      </w:tblGrid>
      <w:tr w:rsidR="00E56CAE" w:rsidRPr="006A69E2" w14:paraId="1CC7E0C5" w14:textId="77777777" w:rsidTr="00E56CAE">
        <w:tc>
          <w:tcPr>
            <w:tcW w:w="3368" w:type="dxa"/>
          </w:tcPr>
          <w:p w14:paraId="5B0E1641" w14:textId="77777777" w:rsidR="00E56CAE" w:rsidRPr="006A69E2" w:rsidRDefault="00E56CAE" w:rsidP="004F5197">
            <w:pPr>
              <w:pStyle w:val="NormalHeadings"/>
              <w:jc w:val="left"/>
              <w:rPr>
                <w:caps/>
                <w:szCs w:val="24"/>
              </w:rPr>
            </w:pPr>
          </w:p>
        </w:tc>
        <w:tc>
          <w:tcPr>
            <w:tcW w:w="5874" w:type="dxa"/>
          </w:tcPr>
          <w:p w14:paraId="4678A111" w14:textId="1DE11591" w:rsidR="00E56CAE" w:rsidRPr="006A69E2" w:rsidRDefault="0091590D" w:rsidP="004F5197">
            <w:pPr>
              <w:pStyle w:val="NormalHeadings"/>
              <w:jc w:val="right"/>
            </w:pPr>
            <w:fldSimple w:instr=" REF  FileNo " w:fldLock="1">
              <w:r w:rsidR="00E56CAE" w:rsidRPr="006A69E2">
                <w:t>VID1084 of 2023</w:t>
              </w:r>
            </w:fldSimple>
          </w:p>
        </w:tc>
      </w:tr>
      <w:tr w:rsidR="00E56CAE" w:rsidRPr="006A69E2" w14:paraId="78CA6498" w14:textId="77777777" w:rsidTr="00E56CAE">
        <w:trPr>
          <w:trHeight w:val="386"/>
        </w:trPr>
        <w:tc>
          <w:tcPr>
            <w:tcW w:w="3368" w:type="dxa"/>
          </w:tcPr>
          <w:p w14:paraId="3B06A601" w14:textId="66D54333" w:rsidR="00E56CAE" w:rsidRPr="006A69E2" w:rsidRDefault="00E56CAE" w:rsidP="0087788E">
            <w:pPr>
              <w:pStyle w:val="BodyTextBold"/>
              <w:spacing w:before="180"/>
              <w:jc w:val="left"/>
            </w:pPr>
            <w:bookmarkStart w:id="33" w:name="SOP_ApplicantsRows" w:colFirst="0" w:colLast="1"/>
            <w:r w:rsidRPr="006A69E2">
              <w:t>Plaintiffs</w:t>
            </w:r>
          </w:p>
        </w:tc>
        <w:tc>
          <w:tcPr>
            <w:tcW w:w="5874" w:type="dxa"/>
            <w:tcMar>
              <w:left w:w="28" w:type="dxa"/>
            </w:tcMar>
          </w:tcPr>
          <w:p w14:paraId="091B564C" w14:textId="77777777" w:rsidR="00E56CAE" w:rsidRPr="006A69E2" w:rsidRDefault="00E56CAE" w:rsidP="0087788E">
            <w:pPr>
              <w:pStyle w:val="BodyText"/>
              <w:jc w:val="left"/>
            </w:pPr>
          </w:p>
        </w:tc>
      </w:tr>
      <w:tr w:rsidR="00E56CAE" w:rsidRPr="006A69E2" w14:paraId="1873CEE0" w14:textId="77777777" w:rsidTr="00E56CAE">
        <w:trPr>
          <w:trHeight w:val="386"/>
        </w:trPr>
        <w:tc>
          <w:tcPr>
            <w:tcW w:w="3368" w:type="dxa"/>
          </w:tcPr>
          <w:p w14:paraId="078203E6" w14:textId="04A29C0D" w:rsidR="00E56CAE" w:rsidRPr="006A69E2" w:rsidRDefault="00E56CAE" w:rsidP="00F2363B">
            <w:pPr>
              <w:pStyle w:val="BodyText"/>
              <w:spacing w:after="240" w:line="240" w:lineRule="auto"/>
              <w:jc w:val="left"/>
            </w:pPr>
            <w:bookmarkStart w:id="34" w:name="SOP_FirstApplicant"/>
            <w:bookmarkEnd w:id="34"/>
            <w:r w:rsidRPr="006A69E2">
              <w:t>Fourth Plaintiff:</w:t>
            </w:r>
          </w:p>
        </w:tc>
        <w:tc>
          <w:tcPr>
            <w:tcW w:w="5874" w:type="dxa"/>
            <w:tcMar>
              <w:left w:w="28" w:type="dxa"/>
            </w:tcMar>
          </w:tcPr>
          <w:p w14:paraId="21DC3897" w14:textId="6D494D40" w:rsidR="00E56CAE" w:rsidRPr="006A69E2" w:rsidRDefault="00E56CAE" w:rsidP="00F2363B">
            <w:pPr>
              <w:pStyle w:val="BodyText"/>
              <w:spacing w:after="240" w:line="240" w:lineRule="auto"/>
              <w:jc w:val="left"/>
            </w:pPr>
            <w:r w:rsidRPr="006A69E2">
              <w:t>JACOLIEN FRIEDA BARNARD N.O.</w:t>
            </w:r>
          </w:p>
        </w:tc>
      </w:tr>
      <w:tr w:rsidR="00E56CAE" w:rsidRPr="006A69E2" w14:paraId="09E74266" w14:textId="77777777" w:rsidTr="00E56CAE">
        <w:trPr>
          <w:trHeight w:val="386"/>
        </w:trPr>
        <w:tc>
          <w:tcPr>
            <w:tcW w:w="3368" w:type="dxa"/>
          </w:tcPr>
          <w:p w14:paraId="0B300138" w14:textId="07EAF509" w:rsidR="00E56CAE" w:rsidRPr="006A69E2" w:rsidRDefault="00E56CAE" w:rsidP="00F2363B">
            <w:pPr>
              <w:pStyle w:val="BodyText"/>
              <w:spacing w:after="240" w:line="240" w:lineRule="auto"/>
              <w:jc w:val="left"/>
            </w:pPr>
            <w:r w:rsidRPr="006A69E2">
              <w:t>Fifth Plaintiff:</w:t>
            </w:r>
          </w:p>
        </w:tc>
        <w:tc>
          <w:tcPr>
            <w:tcW w:w="5874" w:type="dxa"/>
            <w:tcMar>
              <w:left w:w="28" w:type="dxa"/>
            </w:tcMar>
          </w:tcPr>
          <w:p w14:paraId="4BAB68FB" w14:textId="5BC713AA" w:rsidR="00E56CAE" w:rsidRPr="006A69E2" w:rsidRDefault="00E56CAE" w:rsidP="00F2363B">
            <w:pPr>
              <w:pStyle w:val="BodyText"/>
              <w:spacing w:after="240" w:line="240" w:lineRule="auto"/>
              <w:jc w:val="left"/>
            </w:pPr>
            <w:r w:rsidRPr="006A69E2">
              <w:t>DEIDRE BASSON N.O.</w:t>
            </w:r>
          </w:p>
        </w:tc>
      </w:tr>
      <w:tr w:rsidR="00E56CAE" w:rsidRPr="006A69E2" w14:paraId="311C9897" w14:textId="77777777" w:rsidTr="00E56CAE">
        <w:trPr>
          <w:trHeight w:val="386"/>
        </w:trPr>
        <w:tc>
          <w:tcPr>
            <w:tcW w:w="3368" w:type="dxa"/>
          </w:tcPr>
          <w:p w14:paraId="70C77859" w14:textId="31169BD8" w:rsidR="00E56CAE" w:rsidRPr="006A69E2" w:rsidRDefault="00E56CAE" w:rsidP="00F2363B">
            <w:pPr>
              <w:pStyle w:val="BodyText"/>
              <w:spacing w:after="240" w:line="240" w:lineRule="auto"/>
              <w:jc w:val="left"/>
            </w:pPr>
            <w:r w:rsidRPr="006A69E2">
              <w:t>Sixth Plaintiff:</w:t>
            </w:r>
          </w:p>
        </w:tc>
        <w:tc>
          <w:tcPr>
            <w:tcW w:w="5874" w:type="dxa"/>
            <w:tcMar>
              <w:left w:w="28" w:type="dxa"/>
            </w:tcMar>
          </w:tcPr>
          <w:p w14:paraId="2F60D6C9" w14:textId="4B656FC8" w:rsidR="00E56CAE" w:rsidRPr="006A69E2" w:rsidRDefault="00E56CAE" w:rsidP="00F2363B">
            <w:pPr>
              <w:pStyle w:val="BodyText"/>
              <w:spacing w:after="240" w:line="240" w:lineRule="auto"/>
              <w:jc w:val="left"/>
            </w:pPr>
            <w:r w:rsidRPr="006A69E2">
              <w:t>CHAVONNES BADENHORST ST CLAIRE COOPER N.O.</w:t>
            </w:r>
          </w:p>
        </w:tc>
      </w:tr>
      <w:tr w:rsidR="00E56CAE" w:rsidRPr="006A69E2" w14:paraId="72FC2C84" w14:textId="77777777" w:rsidTr="00E56CAE">
        <w:trPr>
          <w:trHeight w:val="386"/>
        </w:trPr>
        <w:tc>
          <w:tcPr>
            <w:tcW w:w="3368" w:type="dxa"/>
          </w:tcPr>
          <w:p w14:paraId="4F613879" w14:textId="4F44BE76" w:rsidR="00E56CAE" w:rsidRPr="006A69E2" w:rsidRDefault="00E56CAE" w:rsidP="00F2363B">
            <w:pPr>
              <w:pStyle w:val="BodyText"/>
              <w:spacing w:after="240" w:line="240" w:lineRule="auto"/>
              <w:jc w:val="left"/>
            </w:pPr>
            <w:r w:rsidRPr="006A69E2">
              <w:t>Seventh Plaintiff:</w:t>
            </w:r>
          </w:p>
        </w:tc>
        <w:tc>
          <w:tcPr>
            <w:tcW w:w="5874" w:type="dxa"/>
            <w:tcMar>
              <w:left w:w="28" w:type="dxa"/>
            </w:tcMar>
          </w:tcPr>
          <w:p w14:paraId="5FC06554" w14:textId="4931DF0E" w:rsidR="00E56CAE" w:rsidRPr="006A69E2" w:rsidRDefault="00E56CAE" w:rsidP="00F2363B">
            <w:pPr>
              <w:pStyle w:val="BodyText"/>
              <w:spacing w:after="240" w:line="240" w:lineRule="auto"/>
              <w:jc w:val="left"/>
            </w:pPr>
            <w:r w:rsidRPr="006A69E2">
              <w:t>DANIEL SANDILE NDLOVU N.O</w:t>
            </w:r>
            <w:r w:rsidR="00275F30" w:rsidRPr="006A69E2">
              <w:t>.</w:t>
            </w:r>
          </w:p>
        </w:tc>
      </w:tr>
      <w:tr w:rsidR="00E56CAE" w:rsidRPr="006A69E2" w14:paraId="4FEFE752" w14:textId="77777777" w:rsidTr="00E56CAE">
        <w:trPr>
          <w:trHeight w:val="386"/>
        </w:trPr>
        <w:tc>
          <w:tcPr>
            <w:tcW w:w="3368" w:type="dxa"/>
          </w:tcPr>
          <w:p w14:paraId="66F0EB83" w14:textId="418A06B0" w:rsidR="00E56CAE" w:rsidRPr="006A69E2" w:rsidRDefault="00E56CAE" w:rsidP="00F2363B">
            <w:pPr>
              <w:pStyle w:val="BodyText"/>
              <w:spacing w:after="240" w:line="240" w:lineRule="auto"/>
              <w:jc w:val="left"/>
            </w:pPr>
            <w:r w:rsidRPr="006A69E2">
              <w:t>Eighth Plaintiff:</w:t>
            </w:r>
          </w:p>
        </w:tc>
        <w:tc>
          <w:tcPr>
            <w:tcW w:w="5874" w:type="dxa"/>
            <w:tcMar>
              <w:left w:w="28" w:type="dxa"/>
            </w:tcMar>
          </w:tcPr>
          <w:p w14:paraId="4387E884" w14:textId="1946E97D" w:rsidR="00E56CAE" w:rsidRPr="006A69E2" w:rsidRDefault="00E56CAE" w:rsidP="00F2363B">
            <w:pPr>
              <w:pStyle w:val="BodyText"/>
              <w:spacing w:after="240" w:line="240" w:lineRule="auto"/>
              <w:jc w:val="left"/>
            </w:pPr>
            <w:r w:rsidRPr="006A69E2">
              <w:t>KEVIN TITUS N.O</w:t>
            </w:r>
            <w:r w:rsidR="00275F30" w:rsidRPr="006A69E2">
              <w:t>.</w:t>
            </w:r>
          </w:p>
        </w:tc>
      </w:tr>
      <w:bookmarkEnd w:id="33"/>
    </w:tbl>
    <w:p w14:paraId="378E0914" w14:textId="77777777" w:rsidR="00E56CAE" w:rsidRPr="006A69E2" w:rsidRDefault="00E56CAE" w:rsidP="002B0E91">
      <w:pPr>
        <w:pStyle w:val="BodyText"/>
      </w:pPr>
    </w:p>
    <w:bookmarkEnd w:id="32"/>
    <w:p w14:paraId="70B8DAB8" w14:textId="77777777" w:rsidR="00832026" w:rsidRPr="006A69E2" w:rsidRDefault="00832026" w:rsidP="00832026">
      <w:pPr>
        <w:pStyle w:val="BodyText"/>
      </w:pPr>
    </w:p>
    <w:sectPr w:rsidR="00832026" w:rsidRPr="006A69E2" w:rsidSect="00A84FD0">
      <w:headerReference w:type="even" r:id="rId19"/>
      <w:headerReference w:type="default" r:id="rId20"/>
      <w:footerReference w:type="default" r:id="rId21"/>
      <w:headerReference w:type="first" r:id="rId22"/>
      <w:footerReference w:type="first" r:id="rId2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93D4F" w14:textId="77777777" w:rsidR="00D76298" w:rsidRDefault="00D76298">
      <w:pPr>
        <w:spacing w:line="20" w:lineRule="exact"/>
      </w:pPr>
    </w:p>
    <w:p w14:paraId="5141E6E0" w14:textId="77777777" w:rsidR="00D76298" w:rsidRDefault="00D76298"/>
    <w:p w14:paraId="6842FDC8" w14:textId="77777777" w:rsidR="00D76298" w:rsidRDefault="00D76298"/>
  </w:endnote>
  <w:endnote w:type="continuationSeparator" w:id="0">
    <w:p w14:paraId="6E380F63" w14:textId="77777777" w:rsidR="00D76298" w:rsidRDefault="00D76298">
      <w:r>
        <w:t xml:space="preserve"> </w:t>
      </w:r>
    </w:p>
    <w:p w14:paraId="77B32E31" w14:textId="77777777" w:rsidR="00D76298" w:rsidRDefault="00D76298"/>
    <w:p w14:paraId="2FFFF6ED" w14:textId="77777777" w:rsidR="00D76298" w:rsidRDefault="00D76298"/>
  </w:endnote>
  <w:endnote w:type="continuationNotice" w:id="1">
    <w:p w14:paraId="5B40C234" w14:textId="77777777" w:rsidR="00D76298" w:rsidRDefault="00D76298">
      <w:r>
        <w:t xml:space="preserve"> </w:t>
      </w:r>
    </w:p>
    <w:p w14:paraId="5E67350F" w14:textId="77777777" w:rsidR="00D76298" w:rsidRDefault="00D76298"/>
    <w:p w14:paraId="386B5711" w14:textId="77777777" w:rsidR="00D76298" w:rsidRDefault="00D762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860BE" w14:textId="77777777" w:rsidR="004F4E99" w:rsidRDefault="004F4E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23B90" w14:textId="4B56DDA5"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9264" behindDoc="0" locked="0" layoutInCell="1" allowOverlap="1" wp14:anchorId="7F9B39D6" wp14:editId="0106C381">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E156B9"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F50EF1">
          <w:rPr>
            <w:bCs/>
            <w:sz w:val="18"/>
            <w:szCs w:val="18"/>
          </w:rPr>
          <w:t>Bester, in the matter of Mirror Trading (Pty) Ltd (in liquidation) [2024] FCA 305</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5130F" w14:textId="77777777" w:rsidR="004F4E99" w:rsidRDefault="004F4E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1A406" w14:textId="03B8A312"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3360" behindDoc="0" locked="0" layoutInCell="1" allowOverlap="1" wp14:anchorId="7B86C99B" wp14:editId="7CF143C8">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24500A"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placeholder>
          <w:docPart w:val="B78C6CBACDD3418F895AF54F98D28A9A"/>
        </w:placeholder>
        <w:dataBinding w:prefixMappings="xmlns:ns0='http://schemas.globalmacros.com/FCA'" w:xpath="/ns0:root[1]/ns0:Name[1]" w:storeItemID="{687E7CCB-4AA5-44E7-B148-17BA2B6F57C0}"/>
        <w:text w:multiLine="1"/>
      </w:sdtPr>
      <w:sdtEndPr/>
      <w:sdtContent>
        <w:r w:rsidR="00F50EF1">
          <w:rPr>
            <w:bCs/>
            <w:sz w:val="18"/>
            <w:szCs w:val="18"/>
          </w:rPr>
          <w:t>Bester, in the matter of Mirror Trading (Pty) Ltd (in liquidation) [2024] FCA 305</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w:t>
    </w:r>
    <w:proofErr w:type="spellStart"/>
    <w:r>
      <w:rPr>
        <w:bCs/>
        <w:sz w:val="20"/>
      </w:rPr>
      <w:t>i</w:t>
    </w:r>
    <w:proofErr w:type="spellEnd"/>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F87DA" w14:textId="708016BD"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1312" behindDoc="0" locked="0" layoutInCell="1" allowOverlap="1" wp14:anchorId="4EC23A6E" wp14:editId="0C4861A9">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3FA5E0"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placeholder>
          <w:docPart w:val="59A725BB84004216B8D78F7D48B4C882"/>
        </w:placeholder>
        <w:dataBinding w:prefixMappings="xmlns:ns0='http://schemas.globalmacros.com/FCA'" w:xpath="/ns0:root[1]/ns0:Name[1]" w:storeItemID="{687E7CCB-4AA5-44E7-B148-17BA2B6F57C0}"/>
        <w:text w:multiLine="1"/>
      </w:sdtPr>
      <w:sdtEndPr/>
      <w:sdtContent>
        <w:r w:rsidR="00F50EF1">
          <w:rPr>
            <w:bCs/>
            <w:sz w:val="18"/>
            <w:szCs w:val="18"/>
          </w:rPr>
          <w:t>Bester, in the matter of Mirror Trading (Pty) Ltd (in liquidation) [2024] FCA 305</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proofErr w:type="spellStart"/>
    <w:r>
      <w:rPr>
        <w:bCs/>
        <w:sz w:val="20"/>
      </w:rPr>
      <w:t>i</w:t>
    </w:r>
    <w:proofErr w:type="spellEnd"/>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2B59F" w14:textId="3454E6F3"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7456" behindDoc="0" locked="0" layoutInCell="1" allowOverlap="1" wp14:anchorId="490A75EC" wp14:editId="315AB414">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50C308"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placeholder>
          <w:docPart w:val="16B6BEA8E2D849228A0FCD1DFF545FFB"/>
        </w:placeholder>
        <w:dataBinding w:prefixMappings="xmlns:ns0='http://schemas.globalmacros.com/FCA'" w:xpath="/ns0:root[1]/ns0:Name[1]" w:storeItemID="{687E7CCB-4AA5-44E7-B148-17BA2B6F57C0}"/>
        <w:text w:multiLine="1"/>
      </w:sdtPr>
      <w:sdtEndPr/>
      <w:sdtContent>
        <w:r w:rsidR="00F50EF1">
          <w:rPr>
            <w:bCs/>
            <w:sz w:val="18"/>
            <w:szCs w:val="18"/>
          </w:rPr>
          <w:t>Bester, in the matter of Mirror Trading (Pty) Ltd (in liquidation) [2024] FCA 305</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2</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005D5" w14:textId="0496959A"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5408" behindDoc="0" locked="0" layoutInCell="1" allowOverlap="1" wp14:anchorId="7FBB38D5" wp14:editId="4C802DDA">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451B3F"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placeholder>
          <w:docPart w:val="8C874C7E7B4B43B7A0B24534F26EB043"/>
        </w:placeholder>
        <w:dataBinding w:prefixMappings="xmlns:ns0='http://schemas.globalmacros.com/FCA'" w:xpath="/ns0:root[1]/ns0:Name[1]" w:storeItemID="{687E7CCB-4AA5-44E7-B148-17BA2B6F57C0}"/>
        <w:text w:multiLine="1"/>
      </w:sdtPr>
      <w:sdtEndPr/>
      <w:sdtContent>
        <w:r w:rsidR="00F50EF1">
          <w:rPr>
            <w:bCs/>
            <w:sz w:val="18"/>
            <w:szCs w:val="18"/>
          </w:rPr>
          <w:t>Bester, in the matter of Mirror Trading (Pty) Ltd (in liquidation) [2024] FCA 305</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41844" w14:textId="77777777" w:rsidR="00D76298" w:rsidRDefault="00D76298"/>
  </w:footnote>
  <w:footnote w:type="continuationSeparator" w:id="0">
    <w:p w14:paraId="3DECE1EC" w14:textId="77777777" w:rsidR="00D76298" w:rsidRDefault="00D76298">
      <w:r>
        <w:continuationSeparator/>
      </w:r>
    </w:p>
    <w:p w14:paraId="43A3F59F" w14:textId="77777777" w:rsidR="00D76298" w:rsidRDefault="00D76298"/>
    <w:p w14:paraId="0412BB45" w14:textId="77777777" w:rsidR="00D76298" w:rsidRDefault="00D762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2A87" w14:textId="77777777" w:rsidR="004F4E99" w:rsidRDefault="004F4E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2A944" w14:textId="77777777" w:rsidR="004F4E99" w:rsidRDefault="004F4E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12346" w14:textId="77777777" w:rsidR="004F4E99" w:rsidRDefault="004F4E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31B2D"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47BAB" w14:textId="77777777" w:rsidR="00395B24" w:rsidRDefault="00395B2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C5B91" w14:textId="77777777" w:rsidR="00395B24" w:rsidRDefault="00395B2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73410" w14:textId="77777777" w:rsidR="00395B24" w:rsidRDefault="00395B2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95D0"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4AF4CB0E"/>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1754206222">
    <w:abstractNumId w:val="14"/>
  </w:num>
  <w:num w:numId="2" w16cid:durableId="1664507417">
    <w:abstractNumId w:val="9"/>
  </w:num>
  <w:num w:numId="3" w16cid:durableId="1876232904">
    <w:abstractNumId w:val="7"/>
  </w:num>
  <w:num w:numId="4" w16cid:durableId="316883051">
    <w:abstractNumId w:val="6"/>
  </w:num>
  <w:num w:numId="5" w16cid:durableId="1715930085">
    <w:abstractNumId w:val="5"/>
  </w:num>
  <w:num w:numId="6" w16cid:durableId="359941191">
    <w:abstractNumId w:val="4"/>
  </w:num>
  <w:num w:numId="7" w16cid:durableId="1307007241">
    <w:abstractNumId w:val="8"/>
  </w:num>
  <w:num w:numId="8" w16cid:durableId="1332024339">
    <w:abstractNumId w:val="3"/>
  </w:num>
  <w:num w:numId="9" w16cid:durableId="215973488">
    <w:abstractNumId w:val="2"/>
  </w:num>
  <w:num w:numId="10" w16cid:durableId="1704859885">
    <w:abstractNumId w:val="1"/>
  </w:num>
  <w:num w:numId="11" w16cid:durableId="841241369">
    <w:abstractNumId w:val="0"/>
  </w:num>
  <w:num w:numId="12" w16cid:durableId="689137647">
    <w:abstractNumId w:val="22"/>
  </w:num>
  <w:num w:numId="13" w16cid:durableId="1117136495">
    <w:abstractNumId w:val="20"/>
  </w:num>
  <w:num w:numId="14" w16cid:durableId="1747918473">
    <w:abstractNumId w:val="21"/>
  </w:num>
  <w:num w:numId="15" w16cid:durableId="1348798080">
    <w:abstractNumId w:val="24"/>
  </w:num>
  <w:num w:numId="16" w16cid:durableId="231938543">
    <w:abstractNumId w:val="13"/>
  </w:num>
  <w:num w:numId="17" w16cid:durableId="2109159417">
    <w:abstractNumId w:val="23"/>
  </w:num>
  <w:num w:numId="18" w16cid:durableId="2010593265">
    <w:abstractNumId w:val="11"/>
  </w:num>
  <w:num w:numId="19" w16cid:durableId="505677094">
    <w:abstractNumId w:val="18"/>
  </w:num>
  <w:num w:numId="20" w16cid:durableId="1461265238">
    <w:abstractNumId w:val="15"/>
  </w:num>
  <w:num w:numId="21" w16cid:durableId="466439401">
    <w:abstractNumId w:val="16"/>
  </w:num>
  <w:num w:numId="22" w16cid:durableId="1517891414">
    <w:abstractNumId w:val="19"/>
  </w:num>
  <w:num w:numId="23" w16cid:durableId="302462807">
    <w:abstractNumId w:val="10"/>
  </w:num>
  <w:num w:numId="24" w16cid:durableId="337735542">
    <w:abstractNumId w:val="10"/>
    <w:lvlOverride w:ilvl="0">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lvl w:ilvl="1">
        <w:start w:val="1"/>
        <w:numFmt w:val="lowerRoman"/>
        <w:pStyle w:val="ListNo2alt"/>
        <w:lvlText w:val="(%2)"/>
        <w:lvlJc w:val="left"/>
        <w:pPr>
          <w:tabs>
            <w:tab w:val="num" w:pos="1440"/>
          </w:tabs>
          <w:ind w:left="1440" w:hanging="720"/>
        </w:pPr>
        <w:rPr>
          <w:rFonts w:hint="default"/>
        </w:rPr>
      </w:lvl>
    </w:lvlOverride>
    <w:lvlOverride w:ilvl="2">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lvl w:ilvl="4">
        <w:start w:val="1"/>
        <w:numFmt w:val="none"/>
        <w:lvlRestart w:val="0"/>
        <w:suff w:val="nothing"/>
        <w:lvlText w:val=""/>
        <w:lvlJc w:val="left"/>
        <w:pPr>
          <w:ind w:left="-32767" w:firstLine="0"/>
        </w:pPr>
        <w:rPr>
          <w:rFonts w:hint="default"/>
        </w:rPr>
      </w:lvl>
    </w:lvlOverride>
    <w:lvlOverride w:ilvl="5">
      <w:lvl w:ilvl="5">
        <w:start w:val="1"/>
        <w:numFmt w:val="none"/>
        <w:lvlRestart w:val="0"/>
        <w:suff w:val="nothing"/>
        <w:lvlText w:val=""/>
        <w:lvlJc w:val="left"/>
        <w:pPr>
          <w:ind w:left="-32767" w:firstLine="0"/>
        </w:pPr>
        <w:rPr>
          <w:rFonts w:hint="default"/>
        </w:rPr>
      </w:lvl>
    </w:lvlOverride>
    <w:lvlOverride w:ilvl="6">
      <w:lvl w:ilvl="6">
        <w:start w:val="1"/>
        <w:numFmt w:val="none"/>
        <w:lvlRestart w:val="0"/>
        <w:suff w:val="nothing"/>
        <w:lvlText w:val=""/>
        <w:lvlJc w:val="left"/>
        <w:pPr>
          <w:ind w:left="-32767" w:firstLine="0"/>
        </w:pPr>
        <w:rPr>
          <w:rFonts w:hint="default"/>
        </w:rPr>
      </w:lvl>
    </w:lvlOverride>
    <w:lvlOverride w:ilvl="7">
      <w:lvl w:ilvl="7">
        <w:start w:val="1"/>
        <w:numFmt w:val="none"/>
        <w:lvlRestart w:val="0"/>
        <w:suff w:val="nothing"/>
        <w:lvlText w:val=""/>
        <w:lvlJc w:val="left"/>
        <w:pPr>
          <w:ind w:left="-32767" w:firstLine="0"/>
        </w:pPr>
        <w:rPr>
          <w:rFonts w:hint="default"/>
        </w:rPr>
      </w:lvl>
    </w:lvlOverride>
    <w:lvlOverride w:ilvl="8">
      <w:lvl w:ilvl="8">
        <w:start w:val="1"/>
        <w:numFmt w:val="none"/>
        <w:lvlRestart w:val="0"/>
        <w:suff w:val="nothing"/>
        <w:lvlText w:val=""/>
        <w:lvlJc w:val="left"/>
        <w:pPr>
          <w:ind w:left="-32767" w:firstLine="0"/>
        </w:pPr>
        <w:rPr>
          <w:rFonts w:hint="default"/>
        </w:rPr>
      </w:lvl>
    </w:lvlOverride>
  </w:num>
  <w:num w:numId="25" w16cid:durableId="806166519">
    <w:abstractNumId w:val="12"/>
  </w:num>
  <w:num w:numId="26" w16cid:durableId="1648432045">
    <w:abstractNumId w:val="17"/>
  </w:num>
  <w:num w:numId="27" w16cid:durableId="1611350304">
    <w:abstractNumId w:val="17"/>
  </w:num>
  <w:num w:numId="28" w16cid:durableId="539171850">
    <w:abstractNumId w:val="17"/>
  </w:num>
  <w:num w:numId="29" w16cid:durableId="1707102277">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0" w16cid:durableId="556622740">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845535">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10022011">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iCs w:val="0"/>
        </w:rPr>
      </w:lvl>
    </w:lvlOverride>
  </w:num>
  <w:num w:numId="33" w16cid:durableId="252476190">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75462095">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decimal"/>
        <w:pStyle w:val="ListNo2alt"/>
        <w:lvlText w:val=""/>
        <w:lvlJc w:val="left"/>
      </w:lvl>
    </w:lvlOverride>
    <w:lvlOverride w:ilvl="2">
      <w:startOverride w:val="1"/>
      <w:lvl w:ilvl="2">
        <w:start w:val="1"/>
        <w:numFmt w:val="decimal"/>
        <w:pStyle w:val="ListNo3alt"/>
        <w:lvlText w:val=""/>
        <w:lvlJc w:val="left"/>
      </w:lvl>
    </w:lvlOverride>
    <w:lvlOverride w:ilvl="3">
      <w:lvl w:ilvl="3">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5" w16cid:durableId="1816489567">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6904711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14844287">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06784999">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 w:numId="39" w16cid:durableId="122696951">
    <w:abstractNumId w:val="10"/>
    <w:lvlOverride w:ilvl="0">
      <w:startOverride w:val="1"/>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lvlOverride w:ilvl="1">
      <w:startOverride w:val="1"/>
      <w:lvl w:ilvl="1">
        <w:start w:val="1"/>
        <w:numFmt w:val="lowerRoman"/>
        <w:pStyle w:val="ListNo2alt"/>
        <w:lvlText w:val="(%2)"/>
        <w:lvlJc w:val="left"/>
        <w:pPr>
          <w:tabs>
            <w:tab w:val="num" w:pos="1440"/>
          </w:tabs>
          <w:ind w:left="1440" w:hanging="720"/>
        </w:pPr>
        <w:rPr>
          <w:rFonts w:hint="default"/>
        </w:rPr>
      </w:lvl>
    </w:lvlOverride>
    <w:lvlOverride w:ilvl="2">
      <w:startOverride w:val="1"/>
      <w:lvl w:ilvl="2">
        <w:start w:val="1"/>
        <w:numFmt w:val="upperLetter"/>
        <w:pStyle w:val="ListNo3alt"/>
        <w:lvlText w:val="(%3)"/>
        <w:lvlJc w:val="left"/>
        <w:pPr>
          <w:tabs>
            <w:tab w:val="num" w:pos="2160"/>
          </w:tabs>
          <w:ind w:left="2160" w:hanging="720"/>
        </w:pPr>
        <w:rPr>
          <w:rFonts w:hint="default"/>
        </w:rPr>
      </w:lvl>
    </w:lvlOverride>
    <w:lvlOverride w:ilvl="3">
      <w:lvl w:ilvl="3">
        <w:numFmt w:val="none"/>
        <w:lvlRestart w:val="0"/>
        <w:suff w:val="nothing"/>
        <w:lvlText w:val=""/>
        <w:lvlJc w:val="left"/>
        <w:pPr>
          <w:ind w:left="-32767" w:firstLine="0"/>
        </w:pPr>
        <w:rPr>
          <w:rFonts w:hint="default"/>
        </w:rPr>
      </w:lvl>
    </w:lvlOverride>
    <w:lvlOverride w:ilvl="4">
      <w:startOverride w:val="1"/>
      <w:lvl w:ilvl="4">
        <w:start w:val="1"/>
        <w:numFmt w:val="none"/>
        <w:lvlRestart w:val="0"/>
        <w:suff w:val="nothing"/>
        <w:lvlText w:val=""/>
        <w:lvlJc w:val="left"/>
        <w:pPr>
          <w:ind w:left="-32767" w:firstLine="0"/>
        </w:pPr>
        <w:rPr>
          <w:rFonts w:hint="default"/>
        </w:rPr>
      </w:lvl>
    </w:lvlOverride>
    <w:lvlOverride w:ilvl="5">
      <w:startOverride w:val="1"/>
      <w:lvl w:ilvl="5">
        <w:start w:val="1"/>
        <w:numFmt w:val="none"/>
        <w:lvlRestart w:val="0"/>
        <w:suff w:val="nothing"/>
        <w:lvlText w:val=""/>
        <w:lvlJc w:val="left"/>
        <w:pPr>
          <w:ind w:left="-32767" w:firstLine="0"/>
        </w:pPr>
        <w:rPr>
          <w:rFonts w:hint="default"/>
        </w:rPr>
      </w:lvl>
    </w:lvlOverride>
    <w:lvlOverride w:ilvl="6">
      <w:startOverride w:val="1"/>
      <w:lvl w:ilvl="6">
        <w:start w:val="1"/>
        <w:numFmt w:val="none"/>
        <w:lvlRestart w:val="0"/>
        <w:suff w:val="nothing"/>
        <w:lvlText w:val=""/>
        <w:lvlJc w:val="left"/>
        <w:pPr>
          <w:ind w:left="-32767" w:firstLine="0"/>
        </w:pPr>
        <w:rPr>
          <w:rFonts w:hint="default"/>
        </w:rPr>
      </w:lvl>
    </w:lvlOverride>
    <w:lvlOverride w:ilvl="7">
      <w:startOverride w:val="1"/>
      <w:lvl w:ilvl="7">
        <w:start w:val="1"/>
        <w:numFmt w:val="none"/>
        <w:lvlRestart w:val="0"/>
        <w:suff w:val="nothing"/>
        <w:lvlText w:val=""/>
        <w:lvlJc w:val="left"/>
        <w:pPr>
          <w:ind w:left="-32767" w:firstLine="0"/>
        </w:pPr>
        <w:rPr>
          <w:rFonts w:hint="default"/>
        </w:rPr>
      </w:lvl>
    </w:lvlOverride>
    <w:lvlOverride w:ilvl="8">
      <w:startOverride w:val="1"/>
      <w:lvl w:ilvl="8">
        <w:start w:val="1"/>
        <w:numFmt w:val="none"/>
        <w:lvlRestart w:val="0"/>
        <w:suff w:val="nothing"/>
        <w:lvlText w:val=""/>
        <w:lvlJc w:val="left"/>
        <w:pPr>
          <w:ind w:left="-32767" w:firstLine="0"/>
        </w:pPr>
        <w:rPr>
          <w:rFonts w:hint="default"/>
        </w:rPr>
      </w:lvl>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026"/>
    <w:rsid w:val="00000747"/>
    <w:rsid w:val="000060E7"/>
    <w:rsid w:val="000102C8"/>
    <w:rsid w:val="000115C5"/>
    <w:rsid w:val="0001469E"/>
    <w:rsid w:val="00015993"/>
    <w:rsid w:val="00021CCB"/>
    <w:rsid w:val="00022289"/>
    <w:rsid w:val="00022B58"/>
    <w:rsid w:val="00023100"/>
    <w:rsid w:val="000237E9"/>
    <w:rsid w:val="00027398"/>
    <w:rsid w:val="00027421"/>
    <w:rsid w:val="0003201A"/>
    <w:rsid w:val="0003207A"/>
    <w:rsid w:val="00032F9F"/>
    <w:rsid w:val="000336DD"/>
    <w:rsid w:val="0003387A"/>
    <w:rsid w:val="0003484B"/>
    <w:rsid w:val="000379F0"/>
    <w:rsid w:val="00040F86"/>
    <w:rsid w:val="00041C07"/>
    <w:rsid w:val="00043F72"/>
    <w:rsid w:val="00045BB7"/>
    <w:rsid w:val="00046498"/>
    <w:rsid w:val="000504D2"/>
    <w:rsid w:val="00055220"/>
    <w:rsid w:val="00055719"/>
    <w:rsid w:val="0005641B"/>
    <w:rsid w:val="0006196A"/>
    <w:rsid w:val="00064AF1"/>
    <w:rsid w:val="000650F0"/>
    <w:rsid w:val="00066EE6"/>
    <w:rsid w:val="00071FB3"/>
    <w:rsid w:val="000720D1"/>
    <w:rsid w:val="00075A99"/>
    <w:rsid w:val="00076024"/>
    <w:rsid w:val="000768A5"/>
    <w:rsid w:val="00076F7E"/>
    <w:rsid w:val="00077768"/>
    <w:rsid w:val="00081497"/>
    <w:rsid w:val="000831EC"/>
    <w:rsid w:val="00083870"/>
    <w:rsid w:val="00084126"/>
    <w:rsid w:val="00085255"/>
    <w:rsid w:val="00086DD5"/>
    <w:rsid w:val="000925D2"/>
    <w:rsid w:val="00093B2E"/>
    <w:rsid w:val="000A0925"/>
    <w:rsid w:val="000A1025"/>
    <w:rsid w:val="000A1208"/>
    <w:rsid w:val="000A2825"/>
    <w:rsid w:val="000A2E76"/>
    <w:rsid w:val="000A4807"/>
    <w:rsid w:val="000A4BE4"/>
    <w:rsid w:val="000A6386"/>
    <w:rsid w:val="000A6C5A"/>
    <w:rsid w:val="000B1299"/>
    <w:rsid w:val="000B37D5"/>
    <w:rsid w:val="000B7AAA"/>
    <w:rsid w:val="000C023E"/>
    <w:rsid w:val="000C30C2"/>
    <w:rsid w:val="000C3E44"/>
    <w:rsid w:val="000C405D"/>
    <w:rsid w:val="000C442F"/>
    <w:rsid w:val="000C5195"/>
    <w:rsid w:val="000C62EF"/>
    <w:rsid w:val="000D02C1"/>
    <w:rsid w:val="000D2137"/>
    <w:rsid w:val="000D21B0"/>
    <w:rsid w:val="000D3FD2"/>
    <w:rsid w:val="000D4B2E"/>
    <w:rsid w:val="000E070D"/>
    <w:rsid w:val="000E1F29"/>
    <w:rsid w:val="000E23AC"/>
    <w:rsid w:val="000E2541"/>
    <w:rsid w:val="000E31DE"/>
    <w:rsid w:val="000E3FC8"/>
    <w:rsid w:val="000E439E"/>
    <w:rsid w:val="000E78D4"/>
    <w:rsid w:val="000E7BAE"/>
    <w:rsid w:val="000F081D"/>
    <w:rsid w:val="000F133D"/>
    <w:rsid w:val="000F50D9"/>
    <w:rsid w:val="000F51AF"/>
    <w:rsid w:val="000F6073"/>
    <w:rsid w:val="0010536B"/>
    <w:rsid w:val="00105976"/>
    <w:rsid w:val="00107B24"/>
    <w:rsid w:val="00110987"/>
    <w:rsid w:val="0011145C"/>
    <w:rsid w:val="001128BD"/>
    <w:rsid w:val="00112C35"/>
    <w:rsid w:val="0011419D"/>
    <w:rsid w:val="00114B02"/>
    <w:rsid w:val="00120F1F"/>
    <w:rsid w:val="00122024"/>
    <w:rsid w:val="001226C0"/>
    <w:rsid w:val="00126EC8"/>
    <w:rsid w:val="0012731C"/>
    <w:rsid w:val="00132054"/>
    <w:rsid w:val="001334A3"/>
    <w:rsid w:val="00134964"/>
    <w:rsid w:val="001351B9"/>
    <w:rsid w:val="0013713B"/>
    <w:rsid w:val="001377DD"/>
    <w:rsid w:val="00146111"/>
    <w:rsid w:val="001462BD"/>
    <w:rsid w:val="00146734"/>
    <w:rsid w:val="00153658"/>
    <w:rsid w:val="00154CC6"/>
    <w:rsid w:val="001552B7"/>
    <w:rsid w:val="00155CD2"/>
    <w:rsid w:val="001568B0"/>
    <w:rsid w:val="00164087"/>
    <w:rsid w:val="00170C74"/>
    <w:rsid w:val="00172025"/>
    <w:rsid w:val="001727A4"/>
    <w:rsid w:val="00172DBE"/>
    <w:rsid w:val="0017376C"/>
    <w:rsid w:val="001738AB"/>
    <w:rsid w:val="001765E0"/>
    <w:rsid w:val="00177759"/>
    <w:rsid w:val="00177A74"/>
    <w:rsid w:val="00180BB3"/>
    <w:rsid w:val="00181FBA"/>
    <w:rsid w:val="00182256"/>
    <w:rsid w:val="00183369"/>
    <w:rsid w:val="00183C66"/>
    <w:rsid w:val="001846A3"/>
    <w:rsid w:val="00185DD6"/>
    <w:rsid w:val="00185E6B"/>
    <w:rsid w:val="00187BBC"/>
    <w:rsid w:val="00190131"/>
    <w:rsid w:val="00190BEE"/>
    <w:rsid w:val="00190EA3"/>
    <w:rsid w:val="001932F3"/>
    <w:rsid w:val="0019660F"/>
    <w:rsid w:val="001968D5"/>
    <w:rsid w:val="001A12A6"/>
    <w:rsid w:val="001A27C0"/>
    <w:rsid w:val="001A2B40"/>
    <w:rsid w:val="001A4309"/>
    <w:rsid w:val="001A46AE"/>
    <w:rsid w:val="001A6A96"/>
    <w:rsid w:val="001A6C52"/>
    <w:rsid w:val="001B1053"/>
    <w:rsid w:val="001B14AC"/>
    <w:rsid w:val="001B2CCC"/>
    <w:rsid w:val="001B32CB"/>
    <w:rsid w:val="001B495B"/>
    <w:rsid w:val="001B7940"/>
    <w:rsid w:val="001C171A"/>
    <w:rsid w:val="001C2A22"/>
    <w:rsid w:val="001C2FE0"/>
    <w:rsid w:val="001C37CA"/>
    <w:rsid w:val="001C3C80"/>
    <w:rsid w:val="001C4085"/>
    <w:rsid w:val="001C4435"/>
    <w:rsid w:val="001D0652"/>
    <w:rsid w:val="001D1877"/>
    <w:rsid w:val="001D2D8B"/>
    <w:rsid w:val="001D4303"/>
    <w:rsid w:val="001D4E04"/>
    <w:rsid w:val="001D643F"/>
    <w:rsid w:val="001D6746"/>
    <w:rsid w:val="001E0C61"/>
    <w:rsid w:val="001E1C29"/>
    <w:rsid w:val="001E3B49"/>
    <w:rsid w:val="001E4A05"/>
    <w:rsid w:val="001E51F2"/>
    <w:rsid w:val="001E5592"/>
    <w:rsid w:val="001E6A19"/>
    <w:rsid w:val="001E7388"/>
    <w:rsid w:val="001E753C"/>
    <w:rsid w:val="001F09B4"/>
    <w:rsid w:val="001F13DD"/>
    <w:rsid w:val="001F2473"/>
    <w:rsid w:val="001F2DBC"/>
    <w:rsid w:val="001F3857"/>
    <w:rsid w:val="001F5C99"/>
    <w:rsid w:val="001F73E8"/>
    <w:rsid w:val="0020262C"/>
    <w:rsid w:val="00202723"/>
    <w:rsid w:val="00204143"/>
    <w:rsid w:val="002051C7"/>
    <w:rsid w:val="0021193B"/>
    <w:rsid w:val="00211A3E"/>
    <w:rsid w:val="00213F20"/>
    <w:rsid w:val="00214055"/>
    <w:rsid w:val="00215BCA"/>
    <w:rsid w:val="002160F5"/>
    <w:rsid w:val="00217AC4"/>
    <w:rsid w:val="00221461"/>
    <w:rsid w:val="00223458"/>
    <w:rsid w:val="00224086"/>
    <w:rsid w:val="002242DF"/>
    <w:rsid w:val="00224537"/>
    <w:rsid w:val="00225E27"/>
    <w:rsid w:val="00233E03"/>
    <w:rsid w:val="00235956"/>
    <w:rsid w:val="00240A6A"/>
    <w:rsid w:val="00240CB8"/>
    <w:rsid w:val="00242820"/>
    <w:rsid w:val="0024378C"/>
    <w:rsid w:val="00243E5E"/>
    <w:rsid w:val="00244688"/>
    <w:rsid w:val="002458A1"/>
    <w:rsid w:val="002467A6"/>
    <w:rsid w:val="00247C9A"/>
    <w:rsid w:val="00250575"/>
    <w:rsid w:val="0025160C"/>
    <w:rsid w:val="002535D0"/>
    <w:rsid w:val="002539B3"/>
    <w:rsid w:val="002556C4"/>
    <w:rsid w:val="00256336"/>
    <w:rsid w:val="00257C3E"/>
    <w:rsid w:val="002602C2"/>
    <w:rsid w:val="00263D00"/>
    <w:rsid w:val="002666C9"/>
    <w:rsid w:val="00270136"/>
    <w:rsid w:val="00270FD7"/>
    <w:rsid w:val="002712A5"/>
    <w:rsid w:val="00271B02"/>
    <w:rsid w:val="00274F5B"/>
    <w:rsid w:val="00275F30"/>
    <w:rsid w:val="00277776"/>
    <w:rsid w:val="00280836"/>
    <w:rsid w:val="00282E1A"/>
    <w:rsid w:val="002840F1"/>
    <w:rsid w:val="0028427E"/>
    <w:rsid w:val="00285922"/>
    <w:rsid w:val="0029113B"/>
    <w:rsid w:val="00291401"/>
    <w:rsid w:val="002929BA"/>
    <w:rsid w:val="00292EF5"/>
    <w:rsid w:val="002934C0"/>
    <w:rsid w:val="00293E1F"/>
    <w:rsid w:val="00294EBD"/>
    <w:rsid w:val="00296667"/>
    <w:rsid w:val="0029764C"/>
    <w:rsid w:val="002A1B50"/>
    <w:rsid w:val="002A441F"/>
    <w:rsid w:val="002A4A9F"/>
    <w:rsid w:val="002A6A27"/>
    <w:rsid w:val="002A75EA"/>
    <w:rsid w:val="002B0E91"/>
    <w:rsid w:val="002B132C"/>
    <w:rsid w:val="002B2A70"/>
    <w:rsid w:val="002B2CD3"/>
    <w:rsid w:val="002B3F23"/>
    <w:rsid w:val="002B4104"/>
    <w:rsid w:val="002B48C0"/>
    <w:rsid w:val="002B4EB5"/>
    <w:rsid w:val="002B5AF5"/>
    <w:rsid w:val="002B66D4"/>
    <w:rsid w:val="002B6779"/>
    <w:rsid w:val="002B71C0"/>
    <w:rsid w:val="002B7A34"/>
    <w:rsid w:val="002B7EB1"/>
    <w:rsid w:val="002C31AD"/>
    <w:rsid w:val="002C5C2A"/>
    <w:rsid w:val="002C66C0"/>
    <w:rsid w:val="002C67D6"/>
    <w:rsid w:val="002C685D"/>
    <w:rsid w:val="002C6EAE"/>
    <w:rsid w:val="002C7385"/>
    <w:rsid w:val="002D2A9E"/>
    <w:rsid w:val="002D2DBB"/>
    <w:rsid w:val="002D36C4"/>
    <w:rsid w:val="002D37D8"/>
    <w:rsid w:val="002D54A6"/>
    <w:rsid w:val="002D591E"/>
    <w:rsid w:val="002D6BE7"/>
    <w:rsid w:val="002E194E"/>
    <w:rsid w:val="002E2864"/>
    <w:rsid w:val="002E3779"/>
    <w:rsid w:val="002E4109"/>
    <w:rsid w:val="002E5BF9"/>
    <w:rsid w:val="002E61DA"/>
    <w:rsid w:val="002E6A7A"/>
    <w:rsid w:val="002F0230"/>
    <w:rsid w:val="002F1D61"/>
    <w:rsid w:val="002F1E49"/>
    <w:rsid w:val="002F4DD1"/>
    <w:rsid w:val="002F4E9C"/>
    <w:rsid w:val="002F5831"/>
    <w:rsid w:val="002F6E15"/>
    <w:rsid w:val="002F74C2"/>
    <w:rsid w:val="002F7DF1"/>
    <w:rsid w:val="00302F4E"/>
    <w:rsid w:val="003059C1"/>
    <w:rsid w:val="00305FE9"/>
    <w:rsid w:val="0031256C"/>
    <w:rsid w:val="00314D6C"/>
    <w:rsid w:val="00316846"/>
    <w:rsid w:val="00316D2A"/>
    <w:rsid w:val="00322A7C"/>
    <w:rsid w:val="00322EEC"/>
    <w:rsid w:val="00323061"/>
    <w:rsid w:val="0032671A"/>
    <w:rsid w:val="00327179"/>
    <w:rsid w:val="00332AB5"/>
    <w:rsid w:val="00336E34"/>
    <w:rsid w:val="003402D3"/>
    <w:rsid w:val="0034068E"/>
    <w:rsid w:val="00343ABC"/>
    <w:rsid w:val="003461BA"/>
    <w:rsid w:val="003463FE"/>
    <w:rsid w:val="003472FC"/>
    <w:rsid w:val="00347D41"/>
    <w:rsid w:val="00350C13"/>
    <w:rsid w:val="00352B2A"/>
    <w:rsid w:val="003554B3"/>
    <w:rsid w:val="00356632"/>
    <w:rsid w:val="00357C7E"/>
    <w:rsid w:val="00362AB3"/>
    <w:rsid w:val="003653B6"/>
    <w:rsid w:val="00370327"/>
    <w:rsid w:val="003708AC"/>
    <w:rsid w:val="00374CC4"/>
    <w:rsid w:val="003774B2"/>
    <w:rsid w:val="00380F2D"/>
    <w:rsid w:val="00381591"/>
    <w:rsid w:val="003830B4"/>
    <w:rsid w:val="003845A9"/>
    <w:rsid w:val="003850C9"/>
    <w:rsid w:val="003850D1"/>
    <w:rsid w:val="00387951"/>
    <w:rsid w:val="00390883"/>
    <w:rsid w:val="00391393"/>
    <w:rsid w:val="003922F8"/>
    <w:rsid w:val="00392973"/>
    <w:rsid w:val="00393018"/>
    <w:rsid w:val="0039360D"/>
    <w:rsid w:val="0039516E"/>
    <w:rsid w:val="00395B24"/>
    <w:rsid w:val="00396DE1"/>
    <w:rsid w:val="003A2D38"/>
    <w:rsid w:val="003A33A4"/>
    <w:rsid w:val="003A5B40"/>
    <w:rsid w:val="003A79AC"/>
    <w:rsid w:val="003A7ECC"/>
    <w:rsid w:val="003B2C72"/>
    <w:rsid w:val="003B58B4"/>
    <w:rsid w:val="003B6CCD"/>
    <w:rsid w:val="003C1333"/>
    <w:rsid w:val="003C20FF"/>
    <w:rsid w:val="003C31A0"/>
    <w:rsid w:val="003C550A"/>
    <w:rsid w:val="003C6055"/>
    <w:rsid w:val="003C6823"/>
    <w:rsid w:val="003D2650"/>
    <w:rsid w:val="003D32A9"/>
    <w:rsid w:val="003D560C"/>
    <w:rsid w:val="003D5C00"/>
    <w:rsid w:val="003E3154"/>
    <w:rsid w:val="003E39B0"/>
    <w:rsid w:val="003E5874"/>
    <w:rsid w:val="003E72D3"/>
    <w:rsid w:val="003F1827"/>
    <w:rsid w:val="003F193E"/>
    <w:rsid w:val="003F242C"/>
    <w:rsid w:val="003F34F1"/>
    <w:rsid w:val="003F7AD0"/>
    <w:rsid w:val="004031D8"/>
    <w:rsid w:val="004104B6"/>
    <w:rsid w:val="00411AE8"/>
    <w:rsid w:val="00413B74"/>
    <w:rsid w:val="00414A05"/>
    <w:rsid w:val="00417D8D"/>
    <w:rsid w:val="00423852"/>
    <w:rsid w:val="00423C2B"/>
    <w:rsid w:val="00426060"/>
    <w:rsid w:val="004306C4"/>
    <w:rsid w:val="00431966"/>
    <w:rsid w:val="004342F3"/>
    <w:rsid w:val="00435C5F"/>
    <w:rsid w:val="00436155"/>
    <w:rsid w:val="00436460"/>
    <w:rsid w:val="004416F6"/>
    <w:rsid w:val="00441E98"/>
    <w:rsid w:val="00450F3A"/>
    <w:rsid w:val="004532F7"/>
    <w:rsid w:val="004549E6"/>
    <w:rsid w:val="0045587D"/>
    <w:rsid w:val="00464D51"/>
    <w:rsid w:val="0046762F"/>
    <w:rsid w:val="004706F2"/>
    <w:rsid w:val="00471E35"/>
    <w:rsid w:val="00472027"/>
    <w:rsid w:val="00473AF3"/>
    <w:rsid w:val="004804CF"/>
    <w:rsid w:val="00482274"/>
    <w:rsid w:val="004826F5"/>
    <w:rsid w:val="00483314"/>
    <w:rsid w:val="00484962"/>
    <w:rsid w:val="00484F6D"/>
    <w:rsid w:val="00484FB7"/>
    <w:rsid w:val="0048554D"/>
    <w:rsid w:val="0048749D"/>
    <w:rsid w:val="00490A2A"/>
    <w:rsid w:val="004916AE"/>
    <w:rsid w:val="0049338A"/>
    <w:rsid w:val="00493931"/>
    <w:rsid w:val="0049417F"/>
    <w:rsid w:val="00494798"/>
    <w:rsid w:val="00496D41"/>
    <w:rsid w:val="004A6602"/>
    <w:rsid w:val="004A7201"/>
    <w:rsid w:val="004A75C4"/>
    <w:rsid w:val="004A7F51"/>
    <w:rsid w:val="004B2B38"/>
    <w:rsid w:val="004B3EFA"/>
    <w:rsid w:val="004B6A8E"/>
    <w:rsid w:val="004B77F5"/>
    <w:rsid w:val="004C07A9"/>
    <w:rsid w:val="004C2A87"/>
    <w:rsid w:val="004C386A"/>
    <w:rsid w:val="004C4D7B"/>
    <w:rsid w:val="004C4ED3"/>
    <w:rsid w:val="004C51AB"/>
    <w:rsid w:val="004C667B"/>
    <w:rsid w:val="004C7ECD"/>
    <w:rsid w:val="004D2319"/>
    <w:rsid w:val="004D2EA5"/>
    <w:rsid w:val="004D32A6"/>
    <w:rsid w:val="004D53E5"/>
    <w:rsid w:val="004D7950"/>
    <w:rsid w:val="004E1BB2"/>
    <w:rsid w:val="004E6DC4"/>
    <w:rsid w:val="004F0FA0"/>
    <w:rsid w:val="004F21C1"/>
    <w:rsid w:val="004F2798"/>
    <w:rsid w:val="004F3F85"/>
    <w:rsid w:val="004F4E99"/>
    <w:rsid w:val="004F5904"/>
    <w:rsid w:val="004F66D9"/>
    <w:rsid w:val="00501A12"/>
    <w:rsid w:val="0050309C"/>
    <w:rsid w:val="00503490"/>
    <w:rsid w:val="00504B3A"/>
    <w:rsid w:val="0051327C"/>
    <w:rsid w:val="0051346D"/>
    <w:rsid w:val="00513EAE"/>
    <w:rsid w:val="0051434F"/>
    <w:rsid w:val="0051579E"/>
    <w:rsid w:val="00515C86"/>
    <w:rsid w:val="00516806"/>
    <w:rsid w:val="0052098C"/>
    <w:rsid w:val="00525A49"/>
    <w:rsid w:val="005262D1"/>
    <w:rsid w:val="00526B30"/>
    <w:rsid w:val="00527C87"/>
    <w:rsid w:val="00530876"/>
    <w:rsid w:val="00534DA7"/>
    <w:rsid w:val="00535458"/>
    <w:rsid w:val="00535613"/>
    <w:rsid w:val="005359EB"/>
    <w:rsid w:val="0054254A"/>
    <w:rsid w:val="00542D6C"/>
    <w:rsid w:val="0054500B"/>
    <w:rsid w:val="005465D8"/>
    <w:rsid w:val="005466B5"/>
    <w:rsid w:val="00547D12"/>
    <w:rsid w:val="00554314"/>
    <w:rsid w:val="0056006C"/>
    <w:rsid w:val="005603D2"/>
    <w:rsid w:val="00562829"/>
    <w:rsid w:val="005629B3"/>
    <w:rsid w:val="0057091E"/>
    <w:rsid w:val="0057128A"/>
    <w:rsid w:val="00571AD9"/>
    <w:rsid w:val="005724F6"/>
    <w:rsid w:val="005736E3"/>
    <w:rsid w:val="00573AC4"/>
    <w:rsid w:val="00573FE9"/>
    <w:rsid w:val="005801FC"/>
    <w:rsid w:val="0058148D"/>
    <w:rsid w:val="00583AA6"/>
    <w:rsid w:val="00585613"/>
    <w:rsid w:val="00585BA9"/>
    <w:rsid w:val="005871F7"/>
    <w:rsid w:val="00587359"/>
    <w:rsid w:val="00593E59"/>
    <w:rsid w:val="00594E57"/>
    <w:rsid w:val="00595016"/>
    <w:rsid w:val="0059688A"/>
    <w:rsid w:val="00596DF5"/>
    <w:rsid w:val="00597AAE"/>
    <w:rsid w:val="00597E4A"/>
    <w:rsid w:val="005A10C5"/>
    <w:rsid w:val="005A222C"/>
    <w:rsid w:val="005A4DF8"/>
    <w:rsid w:val="005A6A79"/>
    <w:rsid w:val="005A780A"/>
    <w:rsid w:val="005A78C8"/>
    <w:rsid w:val="005B0B80"/>
    <w:rsid w:val="005B1426"/>
    <w:rsid w:val="005B2B02"/>
    <w:rsid w:val="005B5CE4"/>
    <w:rsid w:val="005B709A"/>
    <w:rsid w:val="005C0A8E"/>
    <w:rsid w:val="005C1767"/>
    <w:rsid w:val="005C185C"/>
    <w:rsid w:val="005C21CF"/>
    <w:rsid w:val="005C296F"/>
    <w:rsid w:val="005C42EF"/>
    <w:rsid w:val="005C4C70"/>
    <w:rsid w:val="005C5F41"/>
    <w:rsid w:val="005D10D4"/>
    <w:rsid w:val="005D1A02"/>
    <w:rsid w:val="005D333C"/>
    <w:rsid w:val="005D61CF"/>
    <w:rsid w:val="005D7E5A"/>
    <w:rsid w:val="005E02F5"/>
    <w:rsid w:val="005E0510"/>
    <w:rsid w:val="005E1411"/>
    <w:rsid w:val="005E176E"/>
    <w:rsid w:val="005E218E"/>
    <w:rsid w:val="005E2600"/>
    <w:rsid w:val="005E35A0"/>
    <w:rsid w:val="005F03E9"/>
    <w:rsid w:val="005F0D1B"/>
    <w:rsid w:val="005F1365"/>
    <w:rsid w:val="005F1865"/>
    <w:rsid w:val="006007BD"/>
    <w:rsid w:val="00601348"/>
    <w:rsid w:val="006013C8"/>
    <w:rsid w:val="0060270D"/>
    <w:rsid w:val="00604342"/>
    <w:rsid w:val="00604611"/>
    <w:rsid w:val="00611586"/>
    <w:rsid w:val="00611EB7"/>
    <w:rsid w:val="00612D26"/>
    <w:rsid w:val="006149B7"/>
    <w:rsid w:val="00615855"/>
    <w:rsid w:val="006177D8"/>
    <w:rsid w:val="00620DA8"/>
    <w:rsid w:val="00621887"/>
    <w:rsid w:val="00621B1C"/>
    <w:rsid w:val="00622767"/>
    <w:rsid w:val="00622C61"/>
    <w:rsid w:val="00622DA0"/>
    <w:rsid w:val="00624520"/>
    <w:rsid w:val="00627185"/>
    <w:rsid w:val="006271F5"/>
    <w:rsid w:val="00631553"/>
    <w:rsid w:val="00632300"/>
    <w:rsid w:val="00632BB7"/>
    <w:rsid w:val="00635B36"/>
    <w:rsid w:val="00636871"/>
    <w:rsid w:val="0063751C"/>
    <w:rsid w:val="00640EE1"/>
    <w:rsid w:val="00640F4E"/>
    <w:rsid w:val="006424D6"/>
    <w:rsid w:val="00643DE0"/>
    <w:rsid w:val="0064437D"/>
    <w:rsid w:val="00644E85"/>
    <w:rsid w:val="00646B19"/>
    <w:rsid w:val="006475BE"/>
    <w:rsid w:val="00647BD7"/>
    <w:rsid w:val="006516D8"/>
    <w:rsid w:val="00651C62"/>
    <w:rsid w:val="00652C52"/>
    <w:rsid w:val="00654FCE"/>
    <w:rsid w:val="00660575"/>
    <w:rsid w:val="0066063F"/>
    <w:rsid w:val="00662BB0"/>
    <w:rsid w:val="00663878"/>
    <w:rsid w:val="0066562D"/>
    <w:rsid w:val="006660ED"/>
    <w:rsid w:val="00667773"/>
    <w:rsid w:val="00670743"/>
    <w:rsid w:val="006776D5"/>
    <w:rsid w:val="00677A02"/>
    <w:rsid w:val="00680A85"/>
    <w:rsid w:val="00681985"/>
    <w:rsid w:val="00681ADF"/>
    <w:rsid w:val="00685350"/>
    <w:rsid w:val="00687C19"/>
    <w:rsid w:val="00687C83"/>
    <w:rsid w:val="006907A8"/>
    <w:rsid w:val="00690EE2"/>
    <w:rsid w:val="006913FA"/>
    <w:rsid w:val="00691E5D"/>
    <w:rsid w:val="00693854"/>
    <w:rsid w:val="006940C1"/>
    <w:rsid w:val="00694BEB"/>
    <w:rsid w:val="006A0E20"/>
    <w:rsid w:val="006A24E3"/>
    <w:rsid w:val="006A5695"/>
    <w:rsid w:val="006A5861"/>
    <w:rsid w:val="006A69E2"/>
    <w:rsid w:val="006A7978"/>
    <w:rsid w:val="006B0439"/>
    <w:rsid w:val="006B1E8D"/>
    <w:rsid w:val="006B24E0"/>
    <w:rsid w:val="006B32DE"/>
    <w:rsid w:val="006B3904"/>
    <w:rsid w:val="006B5B7D"/>
    <w:rsid w:val="006B6935"/>
    <w:rsid w:val="006C0DCA"/>
    <w:rsid w:val="006C5B46"/>
    <w:rsid w:val="006C6E39"/>
    <w:rsid w:val="006C76F3"/>
    <w:rsid w:val="006D0ECF"/>
    <w:rsid w:val="006D3D5B"/>
    <w:rsid w:val="006D4C92"/>
    <w:rsid w:val="006D4CCB"/>
    <w:rsid w:val="006D4EB6"/>
    <w:rsid w:val="006D5710"/>
    <w:rsid w:val="006D688D"/>
    <w:rsid w:val="006D7FBC"/>
    <w:rsid w:val="006E275A"/>
    <w:rsid w:val="006E285B"/>
    <w:rsid w:val="006E340E"/>
    <w:rsid w:val="006E35BF"/>
    <w:rsid w:val="006E5269"/>
    <w:rsid w:val="006E7850"/>
    <w:rsid w:val="006F19D8"/>
    <w:rsid w:val="006F46D6"/>
    <w:rsid w:val="006F4BBB"/>
    <w:rsid w:val="0070047F"/>
    <w:rsid w:val="007028D9"/>
    <w:rsid w:val="00702CFE"/>
    <w:rsid w:val="0070308B"/>
    <w:rsid w:val="00707218"/>
    <w:rsid w:val="00710335"/>
    <w:rsid w:val="00710D04"/>
    <w:rsid w:val="00712B1D"/>
    <w:rsid w:val="00715751"/>
    <w:rsid w:val="007171BA"/>
    <w:rsid w:val="00717616"/>
    <w:rsid w:val="00721DB4"/>
    <w:rsid w:val="00723FB2"/>
    <w:rsid w:val="007325D9"/>
    <w:rsid w:val="0073413F"/>
    <w:rsid w:val="0073583B"/>
    <w:rsid w:val="007360CA"/>
    <w:rsid w:val="00736464"/>
    <w:rsid w:val="007459C5"/>
    <w:rsid w:val="0074667B"/>
    <w:rsid w:val="00746B37"/>
    <w:rsid w:val="007470BD"/>
    <w:rsid w:val="00747B00"/>
    <w:rsid w:val="00754D48"/>
    <w:rsid w:val="00760EC0"/>
    <w:rsid w:val="00760EDD"/>
    <w:rsid w:val="0077016D"/>
    <w:rsid w:val="007711BD"/>
    <w:rsid w:val="0077261E"/>
    <w:rsid w:val="00773500"/>
    <w:rsid w:val="0077417B"/>
    <w:rsid w:val="00774B67"/>
    <w:rsid w:val="0078003A"/>
    <w:rsid w:val="0078018D"/>
    <w:rsid w:val="00780771"/>
    <w:rsid w:val="00783507"/>
    <w:rsid w:val="0078729E"/>
    <w:rsid w:val="007902F1"/>
    <w:rsid w:val="007927D2"/>
    <w:rsid w:val="007929CF"/>
    <w:rsid w:val="0079443E"/>
    <w:rsid w:val="007953A3"/>
    <w:rsid w:val="00797BA8"/>
    <w:rsid w:val="007A081D"/>
    <w:rsid w:val="007A2902"/>
    <w:rsid w:val="007A49E7"/>
    <w:rsid w:val="007A6F28"/>
    <w:rsid w:val="007B03C6"/>
    <w:rsid w:val="007B0DB1"/>
    <w:rsid w:val="007B2072"/>
    <w:rsid w:val="007B2A72"/>
    <w:rsid w:val="007B5673"/>
    <w:rsid w:val="007B5856"/>
    <w:rsid w:val="007B5C69"/>
    <w:rsid w:val="007B6387"/>
    <w:rsid w:val="007B7238"/>
    <w:rsid w:val="007B76FF"/>
    <w:rsid w:val="007C3BF6"/>
    <w:rsid w:val="007C67B3"/>
    <w:rsid w:val="007C7A64"/>
    <w:rsid w:val="007D078E"/>
    <w:rsid w:val="007D0FD2"/>
    <w:rsid w:val="007D2EF8"/>
    <w:rsid w:val="007D3F3B"/>
    <w:rsid w:val="007D4B49"/>
    <w:rsid w:val="007D561F"/>
    <w:rsid w:val="007D6E3A"/>
    <w:rsid w:val="007D7FD2"/>
    <w:rsid w:val="007E13D9"/>
    <w:rsid w:val="007E24CB"/>
    <w:rsid w:val="007E2AEC"/>
    <w:rsid w:val="007E41BE"/>
    <w:rsid w:val="007E4DB6"/>
    <w:rsid w:val="007E5343"/>
    <w:rsid w:val="007E6733"/>
    <w:rsid w:val="007E7CD4"/>
    <w:rsid w:val="007F12AC"/>
    <w:rsid w:val="007F36DF"/>
    <w:rsid w:val="007F4501"/>
    <w:rsid w:val="007F4C59"/>
    <w:rsid w:val="007F60DF"/>
    <w:rsid w:val="007F6E9D"/>
    <w:rsid w:val="007F7A53"/>
    <w:rsid w:val="00801800"/>
    <w:rsid w:val="00801861"/>
    <w:rsid w:val="00801B5B"/>
    <w:rsid w:val="00802170"/>
    <w:rsid w:val="00803852"/>
    <w:rsid w:val="00804D56"/>
    <w:rsid w:val="00805A30"/>
    <w:rsid w:val="00816D33"/>
    <w:rsid w:val="00820F22"/>
    <w:rsid w:val="008216E7"/>
    <w:rsid w:val="008225CD"/>
    <w:rsid w:val="008251EB"/>
    <w:rsid w:val="00825BE6"/>
    <w:rsid w:val="0082619F"/>
    <w:rsid w:val="008276B4"/>
    <w:rsid w:val="00827FD5"/>
    <w:rsid w:val="008318CB"/>
    <w:rsid w:val="00831927"/>
    <w:rsid w:val="00832026"/>
    <w:rsid w:val="00832BD4"/>
    <w:rsid w:val="008354A6"/>
    <w:rsid w:val="00835D55"/>
    <w:rsid w:val="00835DD9"/>
    <w:rsid w:val="00837288"/>
    <w:rsid w:val="008405B6"/>
    <w:rsid w:val="00841B53"/>
    <w:rsid w:val="00841BD3"/>
    <w:rsid w:val="0084273D"/>
    <w:rsid w:val="00844E3F"/>
    <w:rsid w:val="008457A3"/>
    <w:rsid w:val="00845A83"/>
    <w:rsid w:val="00846A87"/>
    <w:rsid w:val="00846BB9"/>
    <w:rsid w:val="0085165B"/>
    <w:rsid w:val="0085168B"/>
    <w:rsid w:val="008649D5"/>
    <w:rsid w:val="00870DD6"/>
    <w:rsid w:val="008712BB"/>
    <w:rsid w:val="00872F12"/>
    <w:rsid w:val="0087638A"/>
    <w:rsid w:val="0087708B"/>
    <w:rsid w:val="008830E7"/>
    <w:rsid w:val="00884B3D"/>
    <w:rsid w:val="00890CE3"/>
    <w:rsid w:val="00890EDE"/>
    <w:rsid w:val="00892B38"/>
    <w:rsid w:val="00894BDF"/>
    <w:rsid w:val="00894C2B"/>
    <w:rsid w:val="0089606F"/>
    <w:rsid w:val="008A1741"/>
    <w:rsid w:val="008A2484"/>
    <w:rsid w:val="008A52F3"/>
    <w:rsid w:val="008B056C"/>
    <w:rsid w:val="008C26D9"/>
    <w:rsid w:val="008C2797"/>
    <w:rsid w:val="008C6D50"/>
    <w:rsid w:val="008C7167"/>
    <w:rsid w:val="008C7503"/>
    <w:rsid w:val="008C78F1"/>
    <w:rsid w:val="008D1617"/>
    <w:rsid w:val="008D23E3"/>
    <w:rsid w:val="008D330F"/>
    <w:rsid w:val="008D3FE4"/>
    <w:rsid w:val="008D48C1"/>
    <w:rsid w:val="008E29F0"/>
    <w:rsid w:val="008E6315"/>
    <w:rsid w:val="008F0480"/>
    <w:rsid w:val="008F05C6"/>
    <w:rsid w:val="008F07FC"/>
    <w:rsid w:val="008F11E0"/>
    <w:rsid w:val="008F3EA7"/>
    <w:rsid w:val="008F6EAC"/>
    <w:rsid w:val="008F78BC"/>
    <w:rsid w:val="008F7B63"/>
    <w:rsid w:val="008F7D6A"/>
    <w:rsid w:val="00901C86"/>
    <w:rsid w:val="00903603"/>
    <w:rsid w:val="009051C2"/>
    <w:rsid w:val="009054CB"/>
    <w:rsid w:val="009116E5"/>
    <w:rsid w:val="00911F8D"/>
    <w:rsid w:val="009121EA"/>
    <w:rsid w:val="00912F94"/>
    <w:rsid w:val="00913810"/>
    <w:rsid w:val="00914D46"/>
    <w:rsid w:val="009152FA"/>
    <w:rsid w:val="0091590D"/>
    <w:rsid w:val="00916C50"/>
    <w:rsid w:val="009171BC"/>
    <w:rsid w:val="0092497E"/>
    <w:rsid w:val="0092590B"/>
    <w:rsid w:val="00925BF3"/>
    <w:rsid w:val="00925E60"/>
    <w:rsid w:val="009264B3"/>
    <w:rsid w:val="00931789"/>
    <w:rsid w:val="00931E4C"/>
    <w:rsid w:val="00934B2D"/>
    <w:rsid w:val="009365E0"/>
    <w:rsid w:val="0094089E"/>
    <w:rsid w:val="00940AEB"/>
    <w:rsid w:val="00940D34"/>
    <w:rsid w:val="00942A63"/>
    <w:rsid w:val="00942BA2"/>
    <w:rsid w:val="009432B7"/>
    <w:rsid w:val="0094457E"/>
    <w:rsid w:val="00944C86"/>
    <w:rsid w:val="00945FA6"/>
    <w:rsid w:val="00946E76"/>
    <w:rsid w:val="00947C02"/>
    <w:rsid w:val="00950BE6"/>
    <w:rsid w:val="00952E2C"/>
    <w:rsid w:val="009542A7"/>
    <w:rsid w:val="009557E9"/>
    <w:rsid w:val="009575C7"/>
    <w:rsid w:val="00957DE8"/>
    <w:rsid w:val="00960C95"/>
    <w:rsid w:val="00960ECB"/>
    <w:rsid w:val="009615D6"/>
    <w:rsid w:val="0096525A"/>
    <w:rsid w:val="0096611D"/>
    <w:rsid w:val="00967855"/>
    <w:rsid w:val="00971CD1"/>
    <w:rsid w:val="00974709"/>
    <w:rsid w:val="009747CF"/>
    <w:rsid w:val="00975591"/>
    <w:rsid w:val="009801AE"/>
    <w:rsid w:val="00980736"/>
    <w:rsid w:val="00980D74"/>
    <w:rsid w:val="00981A39"/>
    <w:rsid w:val="00982D56"/>
    <w:rsid w:val="00983DBF"/>
    <w:rsid w:val="00987097"/>
    <w:rsid w:val="00991123"/>
    <w:rsid w:val="00991383"/>
    <w:rsid w:val="00991CAB"/>
    <w:rsid w:val="009927B8"/>
    <w:rsid w:val="00992FBA"/>
    <w:rsid w:val="009930B4"/>
    <w:rsid w:val="00994F66"/>
    <w:rsid w:val="009954E6"/>
    <w:rsid w:val="00996E0D"/>
    <w:rsid w:val="00997976"/>
    <w:rsid w:val="009A2D3F"/>
    <w:rsid w:val="009A3070"/>
    <w:rsid w:val="009A3A9C"/>
    <w:rsid w:val="009A43CD"/>
    <w:rsid w:val="009B046C"/>
    <w:rsid w:val="009B13FA"/>
    <w:rsid w:val="009B1E2D"/>
    <w:rsid w:val="009B50C3"/>
    <w:rsid w:val="009C59FB"/>
    <w:rsid w:val="009C6F3B"/>
    <w:rsid w:val="009D1467"/>
    <w:rsid w:val="009D2839"/>
    <w:rsid w:val="009D328D"/>
    <w:rsid w:val="009D5613"/>
    <w:rsid w:val="009D5D1D"/>
    <w:rsid w:val="009D736A"/>
    <w:rsid w:val="009E2AA7"/>
    <w:rsid w:val="009E3738"/>
    <w:rsid w:val="009E4FA6"/>
    <w:rsid w:val="009E7D93"/>
    <w:rsid w:val="009F3C34"/>
    <w:rsid w:val="009F462C"/>
    <w:rsid w:val="009F47C0"/>
    <w:rsid w:val="009F5C33"/>
    <w:rsid w:val="009F69CE"/>
    <w:rsid w:val="009F7784"/>
    <w:rsid w:val="00A026F0"/>
    <w:rsid w:val="00A02F10"/>
    <w:rsid w:val="00A03EAC"/>
    <w:rsid w:val="00A04507"/>
    <w:rsid w:val="00A04DBB"/>
    <w:rsid w:val="00A05FE5"/>
    <w:rsid w:val="00A07EA0"/>
    <w:rsid w:val="00A11CA6"/>
    <w:rsid w:val="00A17C85"/>
    <w:rsid w:val="00A20C49"/>
    <w:rsid w:val="00A20F08"/>
    <w:rsid w:val="00A22932"/>
    <w:rsid w:val="00A243FC"/>
    <w:rsid w:val="00A245E0"/>
    <w:rsid w:val="00A24A6D"/>
    <w:rsid w:val="00A268EC"/>
    <w:rsid w:val="00A269CA"/>
    <w:rsid w:val="00A336EE"/>
    <w:rsid w:val="00A33F46"/>
    <w:rsid w:val="00A3427E"/>
    <w:rsid w:val="00A34CCD"/>
    <w:rsid w:val="00A359AC"/>
    <w:rsid w:val="00A37C4F"/>
    <w:rsid w:val="00A40337"/>
    <w:rsid w:val="00A4084E"/>
    <w:rsid w:val="00A4091F"/>
    <w:rsid w:val="00A40F83"/>
    <w:rsid w:val="00A410FB"/>
    <w:rsid w:val="00A41413"/>
    <w:rsid w:val="00A41482"/>
    <w:rsid w:val="00A431E6"/>
    <w:rsid w:val="00A436E8"/>
    <w:rsid w:val="00A445DC"/>
    <w:rsid w:val="00A45FB1"/>
    <w:rsid w:val="00A46A0F"/>
    <w:rsid w:val="00A46CCC"/>
    <w:rsid w:val="00A47996"/>
    <w:rsid w:val="00A51CFE"/>
    <w:rsid w:val="00A5204D"/>
    <w:rsid w:val="00A52695"/>
    <w:rsid w:val="00A52B10"/>
    <w:rsid w:val="00A53EAC"/>
    <w:rsid w:val="00A54FA7"/>
    <w:rsid w:val="00A56E77"/>
    <w:rsid w:val="00A579E1"/>
    <w:rsid w:val="00A60651"/>
    <w:rsid w:val="00A60967"/>
    <w:rsid w:val="00A61605"/>
    <w:rsid w:val="00A62AE5"/>
    <w:rsid w:val="00A6407C"/>
    <w:rsid w:val="00A64D23"/>
    <w:rsid w:val="00A65F97"/>
    <w:rsid w:val="00A66BFA"/>
    <w:rsid w:val="00A670B7"/>
    <w:rsid w:val="00A703B9"/>
    <w:rsid w:val="00A73B04"/>
    <w:rsid w:val="00A7699D"/>
    <w:rsid w:val="00A76C13"/>
    <w:rsid w:val="00A84C40"/>
    <w:rsid w:val="00A84D3A"/>
    <w:rsid w:val="00A84F29"/>
    <w:rsid w:val="00A84FD0"/>
    <w:rsid w:val="00A86003"/>
    <w:rsid w:val="00A92E79"/>
    <w:rsid w:val="00A939FA"/>
    <w:rsid w:val="00A950B6"/>
    <w:rsid w:val="00A95D45"/>
    <w:rsid w:val="00A96385"/>
    <w:rsid w:val="00AA3EA8"/>
    <w:rsid w:val="00AB18F8"/>
    <w:rsid w:val="00AB1A0B"/>
    <w:rsid w:val="00AB3757"/>
    <w:rsid w:val="00AB41C1"/>
    <w:rsid w:val="00AB4CF2"/>
    <w:rsid w:val="00AB6CCA"/>
    <w:rsid w:val="00AC223F"/>
    <w:rsid w:val="00AC33B1"/>
    <w:rsid w:val="00AC5E32"/>
    <w:rsid w:val="00AD12A8"/>
    <w:rsid w:val="00AD2006"/>
    <w:rsid w:val="00AD25EC"/>
    <w:rsid w:val="00AD3BD1"/>
    <w:rsid w:val="00AD556D"/>
    <w:rsid w:val="00AE023F"/>
    <w:rsid w:val="00AE3796"/>
    <w:rsid w:val="00AE75CA"/>
    <w:rsid w:val="00AE7FE0"/>
    <w:rsid w:val="00AF269D"/>
    <w:rsid w:val="00AF3343"/>
    <w:rsid w:val="00AF3577"/>
    <w:rsid w:val="00AF35F9"/>
    <w:rsid w:val="00B0424C"/>
    <w:rsid w:val="00B05C7D"/>
    <w:rsid w:val="00B06CFA"/>
    <w:rsid w:val="00B07468"/>
    <w:rsid w:val="00B12D94"/>
    <w:rsid w:val="00B13F98"/>
    <w:rsid w:val="00B14B17"/>
    <w:rsid w:val="00B15D57"/>
    <w:rsid w:val="00B16347"/>
    <w:rsid w:val="00B16BA0"/>
    <w:rsid w:val="00B17D6E"/>
    <w:rsid w:val="00B21F72"/>
    <w:rsid w:val="00B2435E"/>
    <w:rsid w:val="00B26D73"/>
    <w:rsid w:val="00B32CC3"/>
    <w:rsid w:val="00B33238"/>
    <w:rsid w:val="00B339D7"/>
    <w:rsid w:val="00B346C3"/>
    <w:rsid w:val="00B360A0"/>
    <w:rsid w:val="00B4005C"/>
    <w:rsid w:val="00B40BEB"/>
    <w:rsid w:val="00B42091"/>
    <w:rsid w:val="00B4227E"/>
    <w:rsid w:val="00B4471C"/>
    <w:rsid w:val="00B451A6"/>
    <w:rsid w:val="00B56D6E"/>
    <w:rsid w:val="00B64347"/>
    <w:rsid w:val="00B65DC6"/>
    <w:rsid w:val="00B67AC2"/>
    <w:rsid w:val="00B70A12"/>
    <w:rsid w:val="00B722DE"/>
    <w:rsid w:val="00B751E3"/>
    <w:rsid w:val="00B75BA6"/>
    <w:rsid w:val="00B76C44"/>
    <w:rsid w:val="00B8184A"/>
    <w:rsid w:val="00B82283"/>
    <w:rsid w:val="00B828D8"/>
    <w:rsid w:val="00B82D3F"/>
    <w:rsid w:val="00B82DB8"/>
    <w:rsid w:val="00B83F87"/>
    <w:rsid w:val="00B87CDC"/>
    <w:rsid w:val="00B910C1"/>
    <w:rsid w:val="00BA1BE2"/>
    <w:rsid w:val="00BA2639"/>
    <w:rsid w:val="00BA2CA4"/>
    <w:rsid w:val="00BA2EFA"/>
    <w:rsid w:val="00BA33D2"/>
    <w:rsid w:val="00BA3DBC"/>
    <w:rsid w:val="00BA6CAD"/>
    <w:rsid w:val="00BA707A"/>
    <w:rsid w:val="00BB1AFB"/>
    <w:rsid w:val="00BB27AE"/>
    <w:rsid w:val="00BB2DA2"/>
    <w:rsid w:val="00BB56DC"/>
    <w:rsid w:val="00BB67E4"/>
    <w:rsid w:val="00BC581D"/>
    <w:rsid w:val="00BC7D0F"/>
    <w:rsid w:val="00BD2371"/>
    <w:rsid w:val="00BD759C"/>
    <w:rsid w:val="00BE183D"/>
    <w:rsid w:val="00BE5868"/>
    <w:rsid w:val="00BE62E0"/>
    <w:rsid w:val="00BF0115"/>
    <w:rsid w:val="00BF2258"/>
    <w:rsid w:val="00BF24C2"/>
    <w:rsid w:val="00BF2922"/>
    <w:rsid w:val="00BF310A"/>
    <w:rsid w:val="00BF53FD"/>
    <w:rsid w:val="00BF5D7A"/>
    <w:rsid w:val="00BF7514"/>
    <w:rsid w:val="00BF7994"/>
    <w:rsid w:val="00C01C2E"/>
    <w:rsid w:val="00C01CFB"/>
    <w:rsid w:val="00C02D33"/>
    <w:rsid w:val="00C04B53"/>
    <w:rsid w:val="00C05DA4"/>
    <w:rsid w:val="00C0695A"/>
    <w:rsid w:val="00C07158"/>
    <w:rsid w:val="00C1232C"/>
    <w:rsid w:val="00C13832"/>
    <w:rsid w:val="00C17354"/>
    <w:rsid w:val="00C225A9"/>
    <w:rsid w:val="00C22B21"/>
    <w:rsid w:val="00C25D28"/>
    <w:rsid w:val="00C27C6B"/>
    <w:rsid w:val="00C3213E"/>
    <w:rsid w:val="00C32FC5"/>
    <w:rsid w:val="00C3594D"/>
    <w:rsid w:val="00C36075"/>
    <w:rsid w:val="00C36442"/>
    <w:rsid w:val="00C37A1D"/>
    <w:rsid w:val="00C400CE"/>
    <w:rsid w:val="00C410FD"/>
    <w:rsid w:val="00C43A95"/>
    <w:rsid w:val="00C457DE"/>
    <w:rsid w:val="00C47775"/>
    <w:rsid w:val="00C47DD3"/>
    <w:rsid w:val="00C50FD9"/>
    <w:rsid w:val="00C5316F"/>
    <w:rsid w:val="00C53562"/>
    <w:rsid w:val="00C539FB"/>
    <w:rsid w:val="00C554DC"/>
    <w:rsid w:val="00C57C9F"/>
    <w:rsid w:val="00C61239"/>
    <w:rsid w:val="00C65EF1"/>
    <w:rsid w:val="00C66AA3"/>
    <w:rsid w:val="00C66E57"/>
    <w:rsid w:val="00C7114A"/>
    <w:rsid w:val="00C724D7"/>
    <w:rsid w:val="00C74150"/>
    <w:rsid w:val="00C75070"/>
    <w:rsid w:val="00C75594"/>
    <w:rsid w:val="00C77077"/>
    <w:rsid w:val="00C772C9"/>
    <w:rsid w:val="00C85982"/>
    <w:rsid w:val="00C9375A"/>
    <w:rsid w:val="00C96CEB"/>
    <w:rsid w:val="00C975B5"/>
    <w:rsid w:val="00C979C6"/>
    <w:rsid w:val="00CA0466"/>
    <w:rsid w:val="00CA246D"/>
    <w:rsid w:val="00CA50D9"/>
    <w:rsid w:val="00CB06FA"/>
    <w:rsid w:val="00CB3054"/>
    <w:rsid w:val="00CB5636"/>
    <w:rsid w:val="00CB5F30"/>
    <w:rsid w:val="00CB635D"/>
    <w:rsid w:val="00CB6C9D"/>
    <w:rsid w:val="00CC23E7"/>
    <w:rsid w:val="00CC3EE5"/>
    <w:rsid w:val="00CC6E47"/>
    <w:rsid w:val="00CC7B8F"/>
    <w:rsid w:val="00CD1346"/>
    <w:rsid w:val="00CD330D"/>
    <w:rsid w:val="00CD3915"/>
    <w:rsid w:val="00CD410E"/>
    <w:rsid w:val="00CD5BFA"/>
    <w:rsid w:val="00CE1FBE"/>
    <w:rsid w:val="00CE31A9"/>
    <w:rsid w:val="00CE425C"/>
    <w:rsid w:val="00CE58AC"/>
    <w:rsid w:val="00CF1152"/>
    <w:rsid w:val="00CF1729"/>
    <w:rsid w:val="00CF1A6C"/>
    <w:rsid w:val="00CF2210"/>
    <w:rsid w:val="00CF597B"/>
    <w:rsid w:val="00CF5A80"/>
    <w:rsid w:val="00D016A3"/>
    <w:rsid w:val="00D045EE"/>
    <w:rsid w:val="00D05091"/>
    <w:rsid w:val="00D10CA6"/>
    <w:rsid w:val="00D10F21"/>
    <w:rsid w:val="00D11E5E"/>
    <w:rsid w:val="00D12BFB"/>
    <w:rsid w:val="00D134CF"/>
    <w:rsid w:val="00D1560B"/>
    <w:rsid w:val="00D1573B"/>
    <w:rsid w:val="00D1789F"/>
    <w:rsid w:val="00D240C5"/>
    <w:rsid w:val="00D24806"/>
    <w:rsid w:val="00D2712C"/>
    <w:rsid w:val="00D34040"/>
    <w:rsid w:val="00D34E69"/>
    <w:rsid w:val="00D36C78"/>
    <w:rsid w:val="00D375EE"/>
    <w:rsid w:val="00D409EC"/>
    <w:rsid w:val="00D40F9F"/>
    <w:rsid w:val="00D43D3E"/>
    <w:rsid w:val="00D443AE"/>
    <w:rsid w:val="00D460DD"/>
    <w:rsid w:val="00D46434"/>
    <w:rsid w:val="00D47EAA"/>
    <w:rsid w:val="00D522AA"/>
    <w:rsid w:val="00D55AE8"/>
    <w:rsid w:val="00D56056"/>
    <w:rsid w:val="00D56CE0"/>
    <w:rsid w:val="00D6085F"/>
    <w:rsid w:val="00D62699"/>
    <w:rsid w:val="00D6353D"/>
    <w:rsid w:val="00D7087B"/>
    <w:rsid w:val="00D76298"/>
    <w:rsid w:val="00D778E9"/>
    <w:rsid w:val="00D812BF"/>
    <w:rsid w:val="00D82620"/>
    <w:rsid w:val="00D841F0"/>
    <w:rsid w:val="00D85707"/>
    <w:rsid w:val="00D8621A"/>
    <w:rsid w:val="00D9116F"/>
    <w:rsid w:val="00D92787"/>
    <w:rsid w:val="00D96DD2"/>
    <w:rsid w:val="00D97075"/>
    <w:rsid w:val="00D9725F"/>
    <w:rsid w:val="00DA01B1"/>
    <w:rsid w:val="00DA11A2"/>
    <w:rsid w:val="00DA14ED"/>
    <w:rsid w:val="00DA1A53"/>
    <w:rsid w:val="00DA26D6"/>
    <w:rsid w:val="00DA2ACB"/>
    <w:rsid w:val="00DA40F4"/>
    <w:rsid w:val="00DA7A39"/>
    <w:rsid w:val="00DB282E"/>
    <w:rsid w:val="00DB2A68"/>
    <w:rsid w:val="00DB2EF1"/>
    <w:rsid w:val="00DB3DE1"/>
    <w:rsid w:val="00DB5DA0"/>
    <w:rsid w:val="00DB716C"/>
    <w:rsid w:val="00DC1AB3"/>
    <w:rsid w:val="00DC4F9E"/>
    <w:rsid w:val="00DC5C85"/>
    <w:rsid w:val="00DC6396"/>
    <w:rsid w:val="00DC7C5D"/>
    <w:rsid w:val="00DD4236"/>
    <w:rsid w:val="00DD44F1"/>
    <w:rsid w:val="00DD6957"/>
    <w:rsid w:val="00DD6E7A"/>
    <w:rsid w:val="00DE222F"/>
    <w:rsid w:val="00DE3067"/>
    <w:rsid w:val="00DE4BCF"/>
    <w:rsid w:val="00DE4FA9"/>
    <w:rsid w:val="00DF3479"/>
    <w:rsid w:val="00DF3EEE"/>
    <w:rsid w:val="00DF6D93"/>
    <w:rsid w:val="00DF75E1"/>
    <w:rsid w:val="00DF77BF"/>
    <w:rsid w:val="00E027BC"/>
    <w:rsid w:val="00E045BE"/>
    <w:rsid w:val="00E07D3A"/>
    <w:rsid w:val="00E10F0D"/>
    <w:rsid w:val="00E1417D"/>
    <w:rsid w:val="00E14EA5"/>
    <w:rsid w:val="00E16D5F"/>
    <w:rsid w:val="00E20476"/>
    <w:rsid w:val="00E2070E"/>
    <w:rsid w:val="00E21133"/>
    <w:rsid w:val="00E227E5"/>
    <w:rsid w:val="00E2327E"/>
    <w:rsid w:val="00E23577"/>
    <w:rsid w:val="00E236EA"/>
    <w:rsid w:val="00E23FAA"/>
    <w:rsid w:val="00E266EF"/>
    <w:rsid w:val="00E269D7"/>
    <w:rsid w:val="00E31515"/>
    <w:rsid w:val="00E326A8"/>
    <w:rsid w:val="00E329C4"/>
    <w:rsid w:val="00E3332C"/>
    <w:rsid w:val="00E34CB0"/>
    <w:rsid w:val="00E34E13"/>
    <w:rsid w:val="00E436A3"/>
    <w:rsid w:val="00E44D59"/>
    <w:rsid w:val="00E47428"/>
    <w:rsid w:val="00E520AB"/>
    <w:rsid w:val="00E56C8E"/>
    <w:rsid w:val="00E56CAE"/>
    <w:rsid w:val="00E56F9D"/>
    <w:rsid w:val="00E5716B"/>
    <w:rsid w:val="00E57F1F"/>
    <w:rsid w:val="00E644A3"/>
    <w:rsid w:val="00E66573"/>
    <w:rsid w:val="00E66B9F"/>
    <w:rsid w:val="00E70A6A"/>
    <w:rsid w:val="00E710D6"/>
    <w:rsid w:val="00E73DA4"/>
    <w:rsid w:val="00E74DE5"/>
    <w:rsid w:val="00E76E45"/>
    <w:rsid w:val="00E777C9"/>
    <w:rsid w:val="00E81DA6"/>
    <w:rsid w:val="00E822F6"/>
    <w:rsid w:val="00E838C4"/>
    <w:rsid w:val="00E8394D"/>
    <w:rsid w:val="00E84212"/>
    <w:rsid w:val="00E85242"/>
    <w:rsid w:val="00E85524"/>
    <w:rsid w:val="00E85699"/>
    <w:rsid w:val="00E86853"/>
    <w:rsid w:val="00E871FF"/>
    <w:rsid w:val="00E9086C"/>
    <w:rsid w:val="00E90AAA"/>
    <w:rsid w:val="00E91610"/>
    <w:rsid w:val="00E91A0F"/>
    <w:rsid w:val="00E91F62"/>
    <w:rsid w:val="00E92976"/>
    <w:rsid w:val="00E94147"/>
    <w:rsid w:val="00E94A71"/>
    <w:rsid w:val="00E94CBF"/>
    <w:rsid w:val="00E95C1E"/>
    <w:rsid w:val="00E95C65"/>
    <w:rsid w:val="00EA03CE"/>
    <w:rsid w:val="00EA197E"/>
    <w:rsid w:val="00EA23E5"/>
    <w:rsid w:val="00EA3990"/>
    <w:rsid w:val="00EA4E2E"/>
    <w:rsid w:val="00EB1FB3"/>
    <w:rsid w:val="00EB2417"/>
    <w:rsid w:val="00EB2CCB"/>
    <w:rsid w:val="00EB716B"/>
    <w:rsid w:val="00EB7A25"/>
    <w:rsid w:val="00EC01E1"/>
    <w:rsid w:val="00EC0F3E"/>
    <w:rsid w:val="00EC269E"/>
    <w:rsid w:val="00EC57A7"/>
    <w:rsid w:val="00ED0817"/>
    <w:rsid w:val="00ED08DF"/>
    <w:rsid w:val="00ED35C1"/>
    <w:rsid w:val="00ED77FD"/>
    <w:rsid w:val="00ED7DD9"/>
    <w:rsid w:val="00EE23A6"/>
    <w:rsid w:val="00EE445B"/>
    <w:rsid w:val="00EE4F1D"/>
    <w:rsid w:val="00EE54F1"/>
    <w:rsid w:val="00EE669B"/>
    <w:rsid w:val="00EF3113"/>
    <w:rsid w:val="00EF3510"/>
    <w:rsid w:val="00EF3F84"/>
    <w:rsid w:val="00EF3F89"/>
    <w:rsid w:val="00EF4D74"/>
    <w:rsid w:val="00EF4E86"/>
    <w:rsid w:val="00EF4F1D"/>
    <w:rsid w:val="00EF5CE6"/>
    <w:rsid w:val="00F023EA"/>
    <w:rsid w:val="00F045C3"/>
    <w:rsid w:val="00F05589"/>
    <w:rsid w:val="00F05AF9"/>
    <w:rsid w:val="00F11A14"/>
    <w:rsid w:val="00F12D17"/>
    <w:rsid w:val="00F160BD"/>
    <w:rsid w:val="00F176AC"/>
    <w:rsid w:val="00F17CFB"/>
    <w:rsid w:val="00F21858"/>
    <w:rsid w:val="00F2654D"/>
    <w:rsid w:val="00F26F28"/>
    <w:rsid w:val="00F27714"/>
    <w:rsid w:val="00F30C25"/>
    <w:rsid w:val="00F3276E"/>
    <w:rsid w:val="00F33D3C"/>
    <w:rsid w:val="00F37A91"/>
    <w:rsid w:val="00F408A0"/>
    <w:rsid w:val="00F45CF5"/>
    <w:rsid w:val="00F47DB0"/>
    <w:rsid w:val="00F50C3F"/>
    <w:rsid w:val="00F50E34"/>
    <w:rsid w:val="00F50EF1"/>
    <w:rsid w:val="00F51AFB"/>
    <w:rsid w:val="00F53EF7"/>
    <w:rsid w:val="00F54BF2"/>
    <w:rsid w:val="00F55CFE"/>
    <w:rsid w:val="00F666ED"/>
    <w:rsid w:val="00F71597"/>
    <w:rsid w:val="00F72C8F"/>
    <w:rsid w:val="00F775AC"/>
    <w:rsid w:val="00F810CC"/>
    <w:rsid w:val="00F821B8"/>
    <w:rsid w:val="00F84FA2"/>
    <w:rsid w:val="00F856AB"/>
    <w:rsid w:val="00F8792F"/>
    <w:rsid w:val="00F9214D"/>
    <w:rsid w:val="00F92355"/>
    <w:rsid w:val="00F93963"/>
    <w:rsid w:val="00F94291"/>
    <w:rsid w:val="00F9563A"/>
    <w:rsid w:val="00FA0D12"/>
    <w:rsid w:val="00FA298A"/>
    <w:rsid w:val="00FA5B66"/>
    <w:rsid w:val="00FA7C02"/>
    <w:rsid w:val="00FB0B9C"/>
    <w:rsid w:val="00FB2089"/>
    <w:rsid w:val="00FB30EB"/>
    <w:rsid w:val="00FB3864"/>
    <w:rsid w:val="00FB63C2"/>
    <w:rsid w:val="00FB7982"/>
    <w:rsid w:val="00FC0734"/>
    <w:rsid w:val="00FC0FC5"/>
    <w:rsid w:val="00FC2195"/>
    <w:rsid w:val="00FC2A73"/>
    <w:rsid w:val="00FC588F"/>
    <w:rsid w:val="00FC6879"/>
    <w:rsid w:val="00FC6D1E"/>
    <w:rsid w:val="00FC7CF0"/>
    <w:rsid w:val="00FD09DA"/>
    <w:rsid w:val="00FD43C2"/>
    <w:rsid w:val="00FD491F"/>
    <w:rsid w:val="00FD57CC"/>
    <w:rsid w:val="00FD6BC8"/>
    <w:rsid w:val="00FE1A59"/>
    <w:rsid w:val="00FE1B30"/>
    <w:rsid w:val="00FE7B44"/>
    <w:rsid w:val="00FF661A"/>
    <w:rsid w:val="00FF6C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D73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styleId="Revision">
    <w:name w:val="Revision"/>
    <w:hidden/>
    <w:uiPriority w:val="99"/>
    <w:semiHidden/>
    <w:rsid w:val="00A6096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asey\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0778A2671E47DBAF72311520DB4865"/>
        <w:category>
          <w:name w:val="General"/>
          <w:gallery w:val="placeholder"/>
        </w:category>
        <w:types>
          <w:type w:val="bbPlcHdr"/>
        </w:types>
        <w:behaviors>
          <w:behavior w:val="content"/>
        </w:behaviors>
        <w:guid w:val="{3D8C0A37-BD38-45D6-8A5B-088285AD2C0A}"/>
      </w:docPartPr>
      <w:docPartBody>
        <w:p w:rsidR="00A97C52" w:rsidRDefault="00A97C52">
          <w:pPr>
            <w:pStyle w:val="FA0778A2671E47DBAF72311520DB4865"/>
          </w:pPr>
          <w:r>
            <w:rPr>
              <w:rStyle w:val="PlaceholderText"/>
            </w:rPr>
            <w:t>MNC Text</w:t>
          </w:r>
        </w:p>
      </w:docPartBody>
    </w:docPart>
    <w:docPart>
      <w:docPartPr>
        <w:name w:val="B78C6CBACDD3418F895AF54F98D28A9A"/>
        <w:category>
          <w:name w:val="General"/>
          <w:gallery w:val="placeholder"/>
        </w:category>
        <w:types>
          <w:type w:val="bbPlcHdr"/>
        </w:types>
        <w:behaviors>
          <w:behavior w:val="content"/>
        </w:behaviors>
        <w:guid w:val="{19E4EC2C-8A75-4A0D-914A-DD3D8CD2CE3A}"/>
      </w:docPartPr>
      <w:docPartBody>
        <w:p w:rsidR="00A97C52" w:rsidRDefault="00A97C52">
          <w:pPr>
            <w:pStyle w:val="B78C6CBACDD3418F895AF54F98D28A9A"/>
          </w:pPr>
          <w:r w:rsidRPr="005C44BE">
            <w:rPr>
              <w:rStyle w:val="PlaceholderText"/>
            </w:rPr>
            <w:t>Click or tap here to enter text.</w:t>
          </w:r>
        </w:p>
      </w:docPartBody>
    </w:docPart>
    <w:docPart>
      <w:docPartPr>
        <w:name w:val="59A725BB84004216B8D78F7D48B4C882"/>
        <w:category>
          <w:name w:val="General"/>
          <w:gallery w:val="placeholder"/>
        </w:category>
        <w:types>
          <w:type w:val="bbPlcHdr"/>
        </w:types>
        <w:behaviors>
          <w:behavior w:val="content"/>
        </w:behaviors>
        <w:guid w:val="{83506D55-9877-40BD-8C5F-6151F71031B0}"/>
      </w:docPartPr>
      <w:docPartBody>
        <w:p w:rsidR="00A97C52" w:rsidRDefault="00A97C52">
          <w:pPr>
            <w:pStyle w:val="59A725BB84004216B8D78F7D48B4C882"/>
          </w:pPr>
          <w:r w:rsidRPr="005C44BE">
            <w:rPr>
              <w:rStyle w:val="PlaceholderText"/>
            </w:rPr>
            <w:t>Click or tap here to enter text.</w:t>
          </w:r>
        </w:p>
      </w:docPartBody>
    </w:docPart>
    <w:docPart>
      <w:docPartPr>
        <w:name w:val="16B6BEA8E2D849228A0FCD1DFF545FFB"/>
        <w:category>
          <w:name w:val="General"/>
          <w:gallery w:val="placeholder"/>
        </w:category>
        <w:types>
          <w:type w:val="bbPlcHdr"/>
        </w:types>
        <w:behaviors>
          <w:behavior w:val="content"/>
        </w:behaviors>
        <w:guid w:val="{E303994F-8D2D-4C0E-AE3E-C65765890E4C}"/>
      </w:docPartPr>
      <w:docPartBody>
        <w:p w:rsidR="00A97C52" w:rsidRDefault="00A97C52">
          <w:pPr>
            <w:pStyle w:val="16B6BEA8E2D849228A0FCD1DFF545FFB"/>
          </w:pPr>
          <w:r w:rsidRPr="005C44BE">
            <w:rPr>
              <w:rStyle w:val="PlaceholderText"/>
            </w:rPr>
            <w:t>Click or tap here to enter text.</w:t>
          </w:r>
        </w:p>
      </w:docPartBody>
    </w:docPart>
    <w:docPart>
      <w:docPartPr>
        <w:name w:val="8C874C7E7B4B43B7A0B24534F26EB043"/>
        <w:category>
          <w:name w:val="General"/>
          <w:gallery w:val="placeholder"/>
        </w:category>
        <w:types>
          <w:type w:val="bbPlcHdr"/>
        </w:types>
        <w:behaviors>
          <w:behavior w:val="content"/>
        </w:behaviors>
        <w:guid w:val="{8B5C90CF-91FB-4EDE-9CA8-63C492F135FC}"/>
      </w:docPartPr>
      <w:docPartBody>
        <w:p w:rsidR="00A97C52" w:rsidRDefault="00A97C52">
          <w:pPr>
            <w:pStyle w:val="8C874C7E7B4B43B7A0B24534F26EB043"/>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C52"/>
    <w:rsid w:val="002A1AF6"/>
    <w:rsid w:val="00A97C52"/>
    <w:rsid w:val="00BC6928"/>
    <w:rsid w:val="00F72D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A0778A2671E47DBAF72311520DB4865">
    <w:name w:val="FA0778A2671E47DBAF72311520DB4865"/>
  </w:style>
  <w:style w:type="paragraph" w:customStyle="1" w:styleId="B78C6CBACDD3418F895AF54F98D28A9A">
    <w:name w:val="B78C6CBACDD3418F895AF54F98D28A9A"/>
  </w:style>
  <w:style w:type="paragraph" w:customStyle="1" w:styleId="59A725BB84004216B8D78F7D48B4C882">
    <w:name w:val="59A725BB84004216B8D78F7D48B4C882"/>
  </w:style>
  <w:style w:type="paragraph" w:customStyle="1" w:styleId="16B6BEA8E2D849228A0FCD1DFF545FFB">
    <w:name w:val="16B6BEA8E2D849228A0FCD1DFF545FFB"/>
  </w:style>
  <w:style w:type="paragraph" w:customStyle="1" w:styleId="8C874C7E7B4B43B7A0B24534F26EB043">
    <w:name w:val="8C874C7E7B4B43B7A0B24534F26EB0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Bester, in the matter of Mirror Trading (Pty) Ltd (in liquidation) [2024] FCA 305</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D2491BDD-2516-4911-AD38-40105538E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0</TotalTime>
  <Pages>13</Pages>
  <Words>3784</Words>
  <Characters>19092</Characters>
  <Application>Microsoft Office Word</Application>
  <DocSecurity>0</DocSecurity>
  <PresentationFormat/>
  <Lines>159</Lines>
  <Paragraphs>45</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Bester, in the matter of Mirror Trading (Pty) Ltd (in liquidation) [2024] FCA 305</vt:lpstr>
    </vt:vector>
  </TitlesOfParts>
  <Manager/>
  <Company/>
  <LinksUpToDate>false</LinksUpToDate>
  <CharactersWithSpaces>22831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2024-03-26T03:46:00Z</cp:lastPrinted>
  <dcterms:created xsi:type="dcterms:W3CDTF">2024-03-27T21:55:00Z</dcterms:created>
  <dcterms:modified xsi:type="dcterms:W3CDTF">2024-03-27T22:13:00Z</dcterms:modified>
  <cp:category/>
  <cp:contentStatus/>
  <dc:language/>
  <cp:version/>
</cp:coreProperties>
</file>