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2.xml" ContentType="application/vnd.openxmlformats-officedocument.wordprocessingml.footer+xml"/>
  <Override PartName="/word/header1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21B2E" w:rsidRDefault="00944D15">
      <w:pPr>
        <w:pStyle w:val="NormalHeadings"/>
        <w:jc w:val="center"/>
        <w:rPr>
          <w:sz w:val="32"/>
        </w:rPr>
      </w:pPr>
      <w:r>
        <w:rPr>
          <w:sz w:val="32"/>
        </w:rPr>
        <w:t>FEDERAL COURT OF AUSTRALIA</w:t>
      </w:r>
    </w:p>
    <w:p w:rsidR="00C21B2E" w:rsidRDefault="00C21B2E">
      <w:pPr>
        <w:pStyle w:val="NormalHeadings"/>
        <w:jc w:val="center"/>
        <w:rPr>
          <w:sz w:val="32"/>
        </w:rPr>
      </w:pPr>
    </w:p>
    <w:p w:rsidR="00C21B2E" w:rsidRDefault="006166F1">
      <w:pPr>
        <w:pStyle w:val="MediaNeutralStyle"/>
      </w:pPr>
      <w:bookmarkStart w:id="0" w:name="MNC"/>
      <w:r>
        <w:t xml:space="preserve">Lander v State of South Australia [2014] </w:t>
      </w:r>
      <w:proofErr w:type="spellStart"/>
      <w:r>
        <w:t>FCA</w:t>
      </w:r>
      <w:proofErr w:type="spellEnd"/>
      <w:r>
        <w:t xml:space="preserve"> </w:t>
      </w:r>
      <w:r w:rsidR="0054573D">
        <w:t>125</w:t>
      </w:r>
      <w:r>
        <w:t xml:space="preserve"> </w:t>
      </w:r>
      <w:bookmarkEnd w:id="0"/>
    </w:p>
    <w:p w:rsidR="00C21B2E" w:rsidRDefault="00C21B2E">
      <w:pPr>
        <w:pStyle w:val="Normal1linespace"/>
      </w:pPr>
    </w:p>
    <w:tbl>
      <w:tblPr>
        <w:tblW w:w="0" w:type="auto"/>
        <w:tblLook w:val="01E0" w:firstRow="1" w:lastRow="1" w:firstColumn="1" w:lastColumn="1" w:noHBand="0" w:noVBand="0"/>
      </w:tblPr>
      <w:tblGrid>
        <w:gridCol w:w="3085"/>
        <w:gridCol w:w="5954"/>
        <w:gridCol w:w="25"/>
      </w:tblGrid>
      <w:tr w:rsidR="00C21B2E">
        <w:trPr>
          <w:gridAfter w:val="1"/>
          <w:wAfter w:w="25" w:type="dxa"/>
        </w:trPr>
        <w:tc>
          <w:tcPr>
            <w:tcW w:w="3085" w:type="dxa"/>
            <w:shd w:val="clear" w:color="auto" w:fill="auto"/>
          </w:tcPr>
          <w:p w:rsidR="00C21B2E" w:rsidRDefault="00944D15">
            <w:pPr>
              <w:pStyle w:val="Normal1linespace"/>
              <w:widowControl w:val="0"/>
            </w:pPr>
            <w:r>
              <w:t>Citation:</w:t>
            </w:r>
          </w:p>
        </w:tc>
        <w:tc>
          <w:tcPr>
            <w:tcW w:w="5954" w:type="dxa"/>
            <w:shd w:val="clear" w:color="auto" w:fill="auto"/>
          </w:tcPr>
          <w:p w:rsidR="00C21B2E" w:rsidRDefault="006166F1" w:rsidP="0054573D">
            <w:pPr>
              <w:pStyle w:val="Normal1linespace"/>
              <w:widowControl w:val="0"/>
              <w:jc w:val="left"/>
            </w:pPr>
            <w:r>
              <w:t xml:space="preserve">Lander v State of South Australia [2014] </w:t>
            </w:r>
            <w:proofErr w:type="spellStart"/>
            <w:r>
              <w:t>FCA</w:t>
            </w:r>
            <w:proofErr w:type="spellEnd"/>
            <w:r>
              <w:t xml:space="preserve"> </w:t>
            </w:r>
            <w:r w:rsidR="0054573D">
              <w:t>125</w:t>
            </w:r>
          </w:p>
        </w:tc>
      </w:tr>
      <w:tr w:rsidR="00C21B2E">
        <w:trPr>
          <w:gridAfter w:val="1"/>
          <w:wAfter w:w="25" w:type="dxa"/>
        </w:trPr>
        <w:tc>
          <w:tcPr>
            <w:tcW w:w="3085" w:type="dxa"/>
            <w:shd w:val="clear" w:color="auto" w:fill="auto"/>
          </w:tcPr>
          <w:p w:rsidR="00C21B2E" w:rsidRDefault="00C21B2E">
            <w:pPr>
              <w:pStyle w:val="Normal1linespace"/>
              <w:widowControl w:val="0"/>
            </w:pPr>
          </w:p>
        </w:tc>
        <w:tc>
          <w:tcPr>
            <w:tcW w:w="5954" w:type="dxa"/>
            <w:shd w:val="clear" w:color="auto" w:fill="auto"/>
          </w:tcPr>
          <w:p w:rsidR="00C21B2E" w:rsidRDefault="00C21B2E">
            <w:pPr>
              <w:pStyle w:val="Normal1linespace"/>
              <w:widowControl w:val="0"/>
              <w:jc w:val="left"/>
            </w:pPr>
          </w:p>
        </w:tc>
      </w:tr>
      <w:tr w:rsidR="00C21B2E">
        <w:trPr>
          <w:gridAfter w:val="1"/>
          <w:wAfter w:w="25" w:type="dxa"/>
        </w:trPr>
        <w:tc>
          <w:tcPr>
            <w:tcW w:w="3085" w:type="dxa"/>
            <w:shd w:val="clear" w:color="auto" w:fill="auto"/>
          </w:tcPr>
          <w:p w:rsidR="00C21B2E" w:rsidRDefault="00944D15">
            <w:pPr>
              <w:pStyle w:val="Normal1linespace"/>
              <w:widowControl w:val="0"/>
            </w:pPr>
            <w:r>
              <w:t>Parties:</w:t>
            </w:r>
          </w:p>
        </w:tc>
        <w:tc>
          <w:tcPr>
            <w:tcW w:w="5954" w:type="dxa"/>
            <w:shd w:val="clear" w:color="auto" w:fill="auto"/>
          </w:tcPr>
          <w:p w:rsidR="00C21B2E" w:rsidRDefault="00195473">
            <w:pPr>
              <w:pStyle w:val="Normal1linespace"/>
              <w:widowControl w:val="0"/>
              <w:jc w:val="left"/>
              <w:rPr>
                <w:b/>
              </w:rPr>
            </w:pPr>
            <w:bookmarkStart w:id="1" w:name="JudgmentFP"/>
            <w:r>
              <w:rPr>
                <w:b/>
              </w:rPr>
              <w:t>EDWARD LANDER AND OTHERS NAMED IN THE SCHEDULE OF PARTIES v STATE OF SOUTH AUSTRALIA AND OTHERS NAMED IN THE SCHEDULE OF PARTIES</w:t>
            </w:r>
            <w:bookmarkEnd w:id="1"/>
          </w:p>
        </w:tc>
      </w:tr>
      <w:tr w:rsidR="00C21B2E">
        <w:trPr>
          <w:gridAfter w:val="1"/>
          <w:wAfter w:w="25" w:type="dxa"/>
        </w:trPr>
        <w:tc>
          <w:tcPr>
            <w:tcW w:w="3085" w:type="dxa"/>
            <w:shd w:val="clear" w:color="auto" w:fill="auto"/>
          </w:tcPr>
          <w:p w:rsidR="00C21B2E" w:rsidRDefault="00C21B2E">
            <w:pPr>
              <w:pStyle w:val="Normal1linespace"/>
              <w:widowControl w:val="0"/>
            </w:pPr>
          </w:p>
        </w:tc>
        <w:tc>
          <w:tcPr>
            <w:tcW w:w="5954" w:type="dxa"/>
            <w:shd w:val="clear" w:color="auto" w:fill="auto"/>
          </w:tcPr>
          <w:p w:rsidR="00C21B2E" w:rsidRDefault="00C21B2E">
            <w:pPr>
              <w:pStyle w:val="Normal1linespace"/>
              <w:widowControl w:val="0"/>
              <w:jc w:val="left"/>
            </w:pPr>
          </w:p>
        </w:tc>
      </w:tr>
      <w:tr w:rsidR="00C21B2E">
        <w:trPr>
          <w:gridAfter w:val="1"/>
          <w:wAfter w:w="25" w:type="dxa"/>
        </w:trPr>
        <w:tc>
          <w:tcPr>
            <w:tcW w:w="3085" w:type="dxa"/>
            <w:shd w:val="clear" w:color="auto" w:fill="auto"/>
          </w:tcPr>
          <w:p w:rsidR="00C21B2E" w:rsidRDefault="00944D15" w:rsidP="0027538A">
            <w:pPr>
              <w:pStyle w:val="Normal1linespace"/>
              <w:widowControl w:val="0"/>
            </w:pPr>
            <w:r>
              <w:t>File number:</w:t>
            </w:r>
          </w:p>
        </w:tc>
        <w:tc>
          <w:tcPr>
            <w:tcW w:w="5954" w:type="dxa"/>
            <w:shd w:val="clear" w:color="auto" w:fill="auto"/>
          </w:tcPr>
          <w:p w:rsidR="00C21B2E" w:rsidRDefault="00944D15">
            <w:pPr>
              <w:pStyle w:val="Normal1linespace"/>
              <w:widowControl w:val="0"/>
              <w:jc w:val="left"/>
            </w:pPr>
            <w:r>
              <w:rPr>
                <w:szCs w:val="24"/>
              </w:rPr>
              <w:fldChar w:fldCharType="begin" w:fldLock="1"/>
            </w:r>
            <w:r>
              <w:rPr>
                <w:szCs w:val="24"/>
              </w:rPr>
              <w:instrText xml:space="preserve"> REF  Num  \* MERGEFORMAT </w:instrText>
            </w:r>
            <w:r>
              <w:rPr>
                <w:szCs w:val="24"/>
              </w:rPr>
              <w:fldChar w:fldCharType="separate"/>
            </w:r>
            <w:r w:rsidR="00195473">
              <w:rPr>
                <w:szCs w:val="24"/>
              </w:rPr>
              <w:t>SAD 163 of 2008</w:t>
            </w:r>
            <w:r>
              <w:rPr>
                <w:szCs w:val="24"/>
              </w:rPr>
              <w:fldChar w:fldCharType="end"/>
            </w:r>
          </w:p>
        </w:tc>
      </w:tr>
      <w:tr w:rsidR="00C21B2E">
        <w:trPr>
          <w:gridAfter w:val="1"/>
          <w:wAfter w:w="25" w:type="dxa"/>
        </w:trPr>
        <w:tc>
          <w:tcPr>
            <w:tcW w:w="3085" w:type="dxa"/>
            <w:shd w:val="clear" w:color="auto" w:fill="auto"/>
          </w:tcPr>
          <w:p w:rsidR="00C21B2E" w:rsidRDefault="00C21B2E">
            <w:pPr>
              <w:pStyle w:val="Normal1linespace"/>
              <w:widowControl w:val="0"/>
            </w:pPr>
          </w:p>
        </w:tc>
        <w:tc>
          <w:tcPr>
            <w:tcW w:w="5954" w:type="dxa"/>
            <w:shd w:val="clear" w:color="auto" w:fill="auto"/>
          </w:tcPr>
          <w:p w:rsidR="00C21B2E" w:rsidRDefault="00C21B2E">
            <w:pPr>
              <w:pStyle w:val="Normal1linespace"/>
              <w:widowControl w:val="0"/>
              <w:jc w:val="left"/>
            </w:pPr>
          </w:p>
        </w:tc>
      </w:tr>
      <w:tr w:rsidR="00C21B2E">
        <w:trPr>
          <w:gridAfter w:val="1"/>
          <w:wAfter w:w="25" w:type="dxa"/>
        </w:trPr>
        <w:tc>
          <w:tcPr>
            <w:tcW w:w="3085" w:type="dxa"/>
            <w:shd w:val="clear" w:color="auto" w:fill="auto"/>
          </w:tcPr>
          <w:p w:rsidR="00C21B2E" w:rsidRDefault="00944D15" w:rsidP="0027538A">
            <w:pPr>
              <w:pStyle w:val="Normal1linespace"/>
              <w:widowControl w:val="0"/>
            </w:pPr>
            <w:r>
              <w:t>Judge:</w:t>
            </w:r>
          </w:p>
        </w:tc>
        <w:tc>
          <w:tcPr>
            <w:tcW w:w="5954" w:type="dxa"/>
            <w:shd w:val="clear" w:color="auto" w:fill="auto"/>
          </w:tcPr>
          <w:p w:rsidR="00C21B2E" w:rsidRDefault="0027538A">
            <w:pPr>
              <w:pStyle w:val="Normal1linespace"/>
              <w:widowControl w:val="0"/>
              <w:jc w:val="left"/>
              <w:rPr>
                <w:b/>
              </w:rPr>
            </w:pPr>
            <w:r>
              <w:rPr>
                <w:b/>
              </w:rPr>
              <w:t>WHITE J</w:t>
            </w:r>
            <w:bookmarkStart w:id="2" w:name="_GoBack"/>
            <w:bookmarkEnd w:id="2"/>
          </w:p>
        </w:tc>
      </w:tr>
      <w:tr w:rsidR="00C21B2E">
        <w:trPr>
          <w:gridAfter w:val="1"/>
          <w:wAfter w:w="25" w:type="dxa"/>
        </w:trPr>
        <w:tc>
          <w:tcPr>
            <w:tcW w:w="3085" w:type="dxa"/>
            <w:shd w:val="clear" w:color="auto" w:fill="auto"/>
          </w:tcPr>
          <w:p w:rsidR="00C21B2E" w:rsidRDefault="00C21B2E">
            <w:pPr>
              <w:pStyle w:val="Normal1linespace"/>
              <w:widowControl w:val="0"/>
            </w:pPr>
          </w:p>
        </w:tc>
        <w:tc>
          <w:tcPr>
            <w:tcW w:w="5954" w:type="dxa"/>
            <w:shd w:val="clear" w:color="auto" w:fill="auto"/>
          </w:tcPr>
          <w:p w:rsidR="00C21B2E" w:rsidRDefault="00C21B2E">
            <w:pPr>
              <w:pStyle w:val="Normal1linespace"/>
              <w:widowControl w:val="0"/>
              <w:jc w:val="left"/>
            </w:pPr>
          </w:p>
        </w:tc>
      </w:tr>
      <w:tr w:rsidR="00C21B2E">
        <w:trPr>
          <w:gridAfter w:val="1"/>
          <w:wAfter w:w="25" w:type="dxa"/>
        </w:trPr>
        <w:tc>
          <w:tcPr>
            <w:tcW w:w="3085" w:type="dxa"/>
            <w:shd w:val="clear" w:color="auto" w:fill="auto"/>
          </w:tcPr>
          <w:p w:rsidR="00C21B2E" w:rsidRDefault="00944D15">
            <w:pPr>
              <w:pStyle w:val="Normal1linespace"/>
              <w:widowControl w:val="0"/>
            </w:pPr>
            <w:r>
              <w:t>Date of judgment:</w:t>
            </w:r>
          </w:p>
        </w:tc>
        <w:tc>
          <w:tcPr>
            <w:tcW w:w="5954" w:type="dxa"/>
            <w:shd w:val="clear" w:color="auto" w:fill="auto"/>
          </w:tcPr>
          <w:p w:rsidR="00C21B2E" w:rsidRDefault="006166F1">
            <w:pPr>
              <w:pStyle w:val="Normal1linespace"/>
              <w:widowControl w:val="0"/>
              <w:jc w:val="left"/>
            </w:pPr>
            <w:bookmarkStart w:id="3" w:name="JudgmentDate"/>
            <w:r>
              <w:t>26 February</w:t>
            </w:r>
            <w:r w:rsidR="00195473">
              <w:t xml:space="preserve"> 2014</w:t>
            </w:r>
            <w:bookmarkEnd w:id="3"/>
          </w:p>
        </w:tc>
      </w:tr>
      <w:tr w:rsidR="00C21B2E">
        <w:trPr>
          <w:gridAfter w:val="1"/>
          <w:wAfter w:w="25" w:type="dxa"/>
        </w:trPr>
        <w:tc>
          <w:tcPr>
            <w:tcW w:w="3085" w:type="dxa"/>
            <w:shd w:val="clear" w:color="auto" w:fill="auto"/>
          </w:tcPr>
          <w:p w:rsidR="00C21B2E" w:rsidRDefault="00C21B2E">
            <w:pPr>
              <w:pStyle w:val="Normal1linespace"/>
              <w:widowControl w:val="0"/>
            </w:pPr>
          </w:p>
        </w:tc>
        <w:tc>
          <w:tcPr>
            <w:tcW w:w="5954" w:type="dxa"/>
            <w:shd w:val="clear" w:color="auto" w:fill="auto"/>
          </w:tcPr>
          <w:p w:rsidR="00C21B2E" w:rsidRDefault="00C21B2E">
            <w:pPr>
              <w:pStyle w:val="Normal1linespace"/>
              <w:widowControl w:val="0"/>
              <w:jc w:val="left"/>
            </w:pPr>
          </w:p>
        </w:tc>
      </w:tr>
      <w:tr w:rsidR="006166F1">
        <w:trPr>
          <w:gridAfter w:val="1"/>
          <w:wAfter w:w="25" w:type="dxa"/>
        </w:trPr>
        <w:tc>
          <w:tcPr>
            <w:tcW w:w="3085" w:type="dxa"/>
            <w:shd w:val="clear" w:color="auto" w:fill="auto"/>
          </w:tcPr>
          <w:p w:rsidR="006166F1" w:rsidRDefault="006166F1">
            <w:pPr>
              <w:pStyle w:val="Normal1linespace"/>
              <w:widowControl w:val="0"/>
            </w:pPr>
            <w:r>
              <w:t>Catchwords:</w:t>
            </w:r>
          </w:p>
        </w:tc>
        <w:tc>
          <w:tcPr>
            <w:tcW w:w="5954" w:type="dxa"/>
            <w:shd w:val="clear" w:color="auto" w:fill="auto"/>
          </w:tcPr>
          <w:p w:rsidR="006166F1" w:rsidRDefault="006166F1" w:rsidP="006166F1">
            <w:pPr>
              <w:spacing w:line="240" w:lineRule="auto"/>
            </w:pPr>
            <w:bookmarkStart w:id="4" w:name="Catchwords"/>
            <w:r>
              <w:rPr>
                <w:b/>
              </w:rPr>
              <w:t xml:space="preserve">NATIVE TITLE </w:t>
            </w:r>
            <w:r>
              <w:t xml:space="preserve">– consent determination – </w:t>
            </w:r>
            <w:r>
              <w:rPr>
                <w:szCs w:val="24"/>
              </w:rPr>
              <w:t xml:space="preserve">approach to </w:t>
            </w:r>
            <w:r w:rsidRPr="00B94968">
              <w:rPr>
                <w:szCs w:val="24"/>
              </w:rPr>
              <w:t>r</w:t>
            </w:r>
            <w:r>
              <w:rPr>
                <w:szCs w:val="24"/>
              </w:rPr>
              <w:t>esolution by agreement of claim</w:t>
            </w:r>
            <w:r w:rsidRPr="00B94968">
              <w:rPr>
                <w:szCs w:val="24"/>
              </w:rPr>
              <w:t xml:space="preserve"> for determination of native title</w:t>
            </w:r>
            <w:r>
              <w:t xml:space="preserve"> – whether orders under s </w:t>
            </w:r>
            <w:proofErr w:type="spellStart"/>
            <w:r>
              <w:t>87A</w:t>
            </w:r>
            <w:proofErr w:type="spellEnd"/>
            <w:r>
              <w:t xml:space="preserve"> of the </w:t>
            </w:r>
            <w:r w:rsidRPr="004627B2">
              <w:rPr>
                <w:i/>
              </w:rPr>
              <w:t>Native Title Act 1993</w:t>
            </w:r>
            <w:r>
              <w:t xml:space="preserve"> (</w:t>
            </w:r>
            <w:proofErr w:type="spellStart"/>
            <w:r>
              <w:t>Cth</w:t>
            </w:r>
            <w:proofErr w:type="spellEnd"/>
            <w:r>
              <w:t xml:space="preserve">) appropriate and within the Court’s power </w:t>
            </w:r>
            <w:bookmarkEnd w:id="4"/>
          </w:p>
        </w:tc>
      </w:tr>
      <w:tr w:rsidR="006166F1">
        <w:trPr>
          <w:gridAfter w:val="1"/>
          <w:wAfter w:w="25" w:type="dxa"/>
        </w:trPr>
        <w:tc>
          <w:tcPr>
            <w:tcW w:w="3085" w:type="dxa"/>
            <w:shd w:val="clear" w:color="auto" w:fill="auto"/>
          </w:tcPr>
          <w:p w:rsidR="006166F1" w:rsidRDefault="006166F1">
            <w:pPr>
              <w:pStyle w:val="Normal1linespace"/>
              <w:widowControl w:val="0"/>
            </w:pPr>
          </w:p>
        </w:tc>
        <w:tc>
          <w:tcPr>
            <w:tcW w:w="5954" w:type="dxa"/>
            <w:shd w:val="clear" w:color="auto" w:fill="auto"/>
          </w:tcPr>
          <w:p w:rsidR="006166F1" w:rsidRDefault="006166F1">
            <w:pPr>
              <w:pStyle w:val="Normal1linespace"/>
              <w:widowControl w:val="0"/>
              <w:jc w:val="left"/>
            </w:pPr>
          </w:p>
        </w:tc>
      </w:tr>
      <w:tr w:rsidR="006166F1">
        <w:trPr>
          <w:gridAfter w:val="1"/>
          <w:wAfter w:w="25" w:type="dxa"/>
        </w:trPr>
        <w:tc>
          <w:tcPr>
            <w:tcW w:w="3085" w:type="dxa"/>
            <w:shd w:val="clear" w:color="auto" w:fill="auto"/>
          </w:tcPr>
          <w:p w:rsidR="006166F1" w:rsidRDefault="006166F1">
            <w:pPr>
              <w:pStyle w:val="Normal1linespace"/>
              <w:widowControl w:val="0"/>
            </w:pPr>
            <w:r>
              <w:t>Legislation:</w:t>
            </w:r>
          </w:p>
        </w:tc>
        <w:tc>
          <w:tcPr>
            <w:tcW w:w="5954" w:type="dxa"/>
            <w:shd w:val="clear" w:color="auto" w:fill="auto"/>
          </w:tcPr>
          <w:p w:rsidR="006166F1" w:rsidRDefault="006166F1" w:rsidP="006166F1">
            <w:pPr>
              <w:spacing w:line="240" w:lineRule="auto"/>
            </w:pPr>
            <w:bookmarkStart w:id="5" w:name="Legislation"/>
            <w:r>
              <w:rPr>
                <w:i/>
              </w:rPr>
              <w:t xml:space="preserve">Native Title Act 1993 </w:t>
            </w:r>
            <w:r>
              <w:t>(</w:t>
            </w:r>
            <w:proofErr w:type="spellStart"/>
            <w:r>
              <w:t>Cth</w:t>
            </w:r>
            <w:proofErr w:type="spellEnd"/>
            <w:r>
              <w:t>),</w:t>
            </w:r>
            <w:r w:rsidRPr="00CB4AD9">
              <w:t xml:space="preserve"> </w:t>
            </w:r>
            <w:proofErr w:type="spellStart"/>
            <w:r>
              <w:t>ss</w:t>
            </w:r>
            <w:proofErr w:type="spellEnd"/>
            <w:r>
              <w:t xml:space="preserve"> 55, 56, 66, 87, </w:t>
            </w:r>
            <w:proofErr w:type="spellStart"/>
            <w:r>
              <w:t>87A</w:t>
            </w:r>
            <w:proofErr w:type="spellEnd"/>
            <w:r>
              <w:t xml:space="preserve">, </w:t>
            </w:r>
            <w:proofErr w:type="spellStart"/>
            <w:r>
              <w:t>94A</w:t>
            </w:r>
            <w:proofErr w:type="spellEnd"/>
            <w:r>
              <w:t xml:space="preserve">, 223, 225 </w:t>
            </w:r>
            <w:bookmarkEnd w:id="5"/>
          </w:p>
        </w:tc>
      </w:tr>
      <w:tr w:rsidR="006166F1">
        <w:trPr>
          <w:gridAfter w:val="1"/>
          <w:wAfter w:w="25" w:type="dxa"/>
        </w:trPr>
        <w:tc>
          <w:tcPr>
            <w:tcW w:w="3085" w:type="dxa"/>
            <w:shd w:val="clear" w:color="auto" w:fill="auto"/>
          </w:tcPr>
          <w:p w:rsidR="006166F1" w:rsidRDefault="006166F1">
            <w:pPr>
              <w:pStyle w:val="Normal1linespace"/>
              <w:widowControl w:val="0"/>
            </w:pPr>
          </w:p>
        </w:tc>
        <w:tc>
          <w:tcPr>
            <w:tcW w:w="5954" w:type="dxa"/>
            <w:shd w:val="clear" w:color="auto" w:fill="auto"/>
          </w:tcPr>
          <w:p w:rsidR="006166F1" w:rsidRDefault="006166F1">
            <w:pPr>
              <w:pStyle w:val="Normal1linespace"/>
              <w:widowControl w:val="0"/>
              <w:jc w:val="left"/>
            </w:pPr>
          </w:p>
        </w:tc>
      </w:tr>
      <w:tr w:rsidR="006166F1">
        <w:trPr>
          <w:gridAfter w:val="1"/>
          <w:wAfter w:w="25" w:type="dxa"/>
        </w:trPr>
        <w:tc>
          <w:tcPr>
            <w:tcW w:w="3085" w:type="dxa"/>
            <w:shd w:val="clear" w:color="auto" w:fill="auto"/>
          </w:tcPr>
          <w:p w:rsidR="006166F1" w:rsidRDefault="006166F1">
            <w:pPr>
              <w:pStyle w:val="Normal1linespace"/>
              <w:widowControl w:val="0"/>
            </w:pPr>
            <w:r>
              <w:t>Cases cited:</w:t>
            </w:r>
          </w:p>
        </w:tc>
        <w:tc>
          <w:tcPr>
            <w:tcW w:w="5954" w:type="dxa"/>
            <w:shd w:val="clear" w:color="auto" w:fill="auto"/>
          </w:tcPr>
          <w:p w:rsidR="006166F1" w:rsidRDefault="006166F1" w:rsidP="006166F1">
            <w:pPr>
              <w:spacing w:line="240" w:lineRule="auto"/>
              <w:rPr>
                <w:i/>
              </w:rPr>
            </w:pPr>
            <w:bookmarkStart w:id="6" w:name="Cases_Cited"/>
            <w:r>
              <w:rPr>
                <w:i/>
              </w:rPr>
              <w:t xml:space="preserve">Brown (on behalf of the </w:t>
            </w:r>
            <w:proofErr w:type="spellStart"/>
            <w:r>
              <w:rPr>
                <w:i/>
              </w:rPr>
              <w:t>Ngarla</w:t>
            </w:r>
            <w:proofErr w:type="spellEnd"/>
            <w:r>
              <w:rPr>
                <w:i/>
              </w:rPr>
              <w:t xml:space="preserve"> People) v State of Western Australia</w:t>
            </w:r>
            <w:r>
              <w:t xml:space="preserve"> [2012] </w:t>
            </w:r>
            <w:proofErr w:type="spellStart"/>
            <w:r>
              <w:t>FCAFC</w:t>
            </w:r>
            <w:proofErr w:type="spellEnd"/>
            <w:r>
              <w:t xml:space="preserve"> 154; (2012) 208 </w:t>
            </w:r>
            <w:proofErr w:type="spellStart"/>
            <w:r>
              <w:t>FCR</w:t>
            </w:r>
            <w:proofErr w:type="spellEnd"/>
            <w:r>
              <w:t xml:space="preserve"> 505</w:t>
            </w:r>
          </w:p>
          <w:p w:rsidR="006166F1" w:rsidRDefault="006166F1" w:rsidP="006166F1">
            <w:pPr>
              <w:spacing w:line="240" w:lineRule="auto"/>
            </w:pPr>
            <w:r>
              <w:rPr>
                <w:i/>
              </w:rPr>
              <w:t xml:space="preserve">Cox on behalf of the </w:t>
            </w:r>
            <w:proofErr w:type="spellStart"/>
            <w:r>
              <w:rPr>
                <w:i/>
              </w:rPr>
              <w:t>Yungngora</w:t>
            </w:r>
            <w:proofErr w:type="spellEnd"/>
            <w:r>
              <w:rPr>
                <w:i/>
              </w:rPr>
              <w:t xml:space="preserve"> People v State of Western Australia </w:t>
            </w:r>
            <w:r>
              <w:t xml:space="preserve">[2007] </w:t>
            </w:r>
            <w:proofErr w:type="spellStart"/>
            <w:r>
              <w:t>FCA</w:t>
            </w:r>
            <w:proofErr w:type="spellEnd"/>
            <w:r>
              <w:t xml:space="preserve"> 588</w:t>
            </w:r>
          </w:p>
          <w:p w:rsidR="006166F1" w:rsidRDefault="006166F1" w:rsidP="006166F1">
            <w:pPr>
              <w:spacing w:line="240" w:lineRule="auto"/>
            </w:pPr>
            <w:r>
              <w:rPr>
                <w:i/>
              </w:rPr>
              <w:t>De Rose v South Australia (No 2)</w:t>
            </w:r>
            <w:r>
              <w:t xml:space="preserve"> [2005] </w:t>
            </w:r>
            <w:proofErr w:type="spellStart"/>
            <w:r>
              <w:t>FCAFC</w:t>
            </w:r>
            <w:proofErr w:type="spellEnd"/>
            <w:r>
              <w:t xml:space="preserve"> 110; (2005) 145 </w:t>
            </w:r>
            <w:proofErr w:type="spellStart"/>
            <w:r>
              <w:t>FCR</w:t>
            </w:r>
            <w:proofErr w:type="spellEnd"/>
            <w:r>
              <w:t xml:space="preserve"> 290</w:t>
            </w:r>
          </w:p>
          <w:p w:rsidR="006166F1" w:rsidRDefault="006166F1" w:rsidP="006166F1">
            <w:pPr>
              <w:spacing w:line="240" w:lineRule="auto"/>
              <w:rPr>
                <w:i/>
              </w:rPr>
            </w:pPr>
            <w:r>
              <w:rPr>
                <w:i/>
              </w:rPr>
              <w:t>King v State of South Australia</w:t>
            </w:r>
            <w:r>
              <w:t xml:space="preserve"> [2011] </w:t>
            </w:r>
            <w:proofErr w:type="spellStart"/>
            <w:r>
              <w:t>FCA</w:t>
            </w:r>
            <w:proofErr w:type="spellEnd"/>
            <w:r>
              <w:t xml:space="preserve"> 1386; (2011) 285 </w:t>
            </w:r>
            <w:proofErr w:type="spellStart"/>
            <w:r>
              <w:t>ALR</w:t>
            </w:r>
            <w:proofErr w:type="spellEnd"/>
            <w:r>
              <w:t xml:space="preserve"> 454</w:t>
            </w:r>
          </w:p>
          <w:p w:rsidR="006166F1" w:rsidRDefault="006166F1" w:rsidP="006166F1">
            <w:pPr>
              <w:spacing w:line="240" w:lineRule="auto"/>
            </w:pPr>
            <w:r>
              <w:rPr>
                <w:i/>
              </w:rPr>
              <w:t xml:space="preserve">Lander v State of South Australia </w:t>
            </w:r>
            <w:r>
              <w:t xml:space="preserve">[2012] </w:t>
            </w:r>
            <w:proofErr w:type="spellStart"/>
            <w:r>
              <w:t>FCA</w:t>
            </w:r>
            <w:proofErr w:type="spellEnd"/>
            <w:r>
              <w:t xml:space="preserve"> 427</w:t>
            </w:r>
          </w:p>
          <w:p w:rsidR="006166F1" w:rsidRDefault="006166F1" w:rsidP="006166F1">
            <w:pPr>
              <w:spacing w:line="240" w:lineRule="auto"/>
            </w:pPr>
            <w:r>
              <w:rPr>
                <w:i/>
              </w:rPr>
              <w:t xml:space="preserve">Lovett on behalf of the </w:t>
            </w:r>
            <w:proofErr w:type="spellStart"/>
            <w:r>
              <w:rPr>
                <w:i/>
              </w:rPr>
              <w:t>Gunditjmara</w:t>
            </w:r>
            <w:proofErr w:type="spellEnd"/>
            <w:r>
              <w:rPr>
                <w:i/>
              </w:rPr>
              <w:t xml:space="preserve"> People v State of Victoria </w:t>
            </w:r>
            <w:r>
              <w:t xml:space="preserve">[2007] </w:t>
            </w:r>
            <w:proofErr w:type="spellStart"/>
            <w:r>
              <w:t>FCA</w:t>
            </w:r>
            <w:proofErr w:type="spellEnd"/>
            <w:r>
              <w:t xml:space="preserve"> 474</w:t>
            </w:r>
          </w:p>
          <w:p w:rsidR="006166F1" w:rsidRDefault="006166F1" w:rsidP="006166F1">
            <w:pPr>
              <w:spacing w:line="240" w:lineRule="auto"/>
            </w:pPr>
            <w:r>
              <w:rPr>
                <w:i/>
              </w:rPr>
              <w:t xml:space="preserve">Members of the </w:t>
            </w:r>
            <w:proofErr w:type="spellStart"/>
            <w:r>
              <w:rPr>
                <w:i/>
              </w:rPr>
              <w:t>Yorta</w:t>
            </w:r>
            <w:proofErr w:type="spellEnd"/>
            <w:r>
              <w:rPr>
                <w:i/>
              </w:rPr>
              <w:t xml:space="preserve"> </w:t>
            </w:r>
            <w:proofErr w:type="spellStart"/>
            <w:r>
              <w:rPr>
                <w:i/>
              </w:rPr>
              <w:t>Yorta</w:t>
            </w:r>
            <w:proofErr w:type="spellEnd"/>
            <w:r>
              <w:rPr>
                <w:i/>
              </w:rPr>
              <w:t xml:space="preserve"> Aboriginal Community v Victoria</w:t>
            </w:r>
            <w:r>
              <w:t xml:space="preserve"> [2002] HCA 58; (2002) 214 </w:t>
            </w:r>
            <w:proofErr w:type="spellStart"/>
            <w:r>
              <w:t>CLR</w:t>
            </w:r>
            <w:proofErr w:type="spellEnd"/>
            <w:r>
              <w:t xml:space="preserve"> 422</w:t>
            </w:r>
          </w:p>
          <w:p w:rsidR="006166F1" w:rsidRDefault="006166F1" w:rsidP="006166F1">
            <w:pPr>
              <w:spacing w:line="240" w:lineRule="auto"/>
            </w:pPr>
            <w:r>
              <w:rPr>
                <w:i/>
              </w:rPr>
              <w:t xml:space="preserve">Nelson v Northern Territory of Australia </w:t>
            </w:r>
            <w:r>
              <w:t xml:space="preserve">[2010] </w:t>
            </w:r>
            <w:proofErr w:type="spellStart"/>
            <w:r>
              <w:t>FCA</w:t>
            </w:r>
            <w:proofErr w:type="spellEnd"/>
            <w:r>
              <w:t xml:space="preserve"> 1343; (2010) 190 </w:t>
            </w:r>
            <w:proofErr w:type="spellStart"/>
            <w:r>
              <w:t>FCR</w:t>
            </w:r>
            <w:proofErr w:type="spellEnd"/>
            <w:r>
              <w:t xml:space="preserve"> 344</w:t>
            </w:r>
          </w:p>
          <w:p w:rsidR="006166F1" w:rsidRDefault="006166F1" w:rsidP="006166F1">
            <w:pPr>
              <w:spacing w:line="240" w:lineRule="auto"/>
            </w:pPr>
            <w:r>
              <w:rPr>
                <w:i/>
              </w:rPr>
              <w:t>Risk v Northern Territory of Australia</w:t>
            </w:r>
            <w:r>
              <w:t xml:space="preserve"> [2006] </w:t>
            </w:r>
            <w:proofErr w:type="spellStart"/>
            <w:r>
              <w:t>FCA</w:t>
            </w:r>
            <w:proofErr w:type="spellEnd"/>
            <w:r>
              <w:t xml:space="preserve"> 404</w:t>
            </w:r>
          </w:p>
          <w:p w:rsidR="006166F1" w:rsidRDefault="006166F1" w:rsidP="006166F1">
            <w:pPr>
              <w:spacing w:line="240" w:lineRule="auto"/>
            </w:pPr>
            <w:r>
              <w:rPr>
                <w:i/>
              </w:rPr>
              <w:t>Smith v Western Australia</w:t>
            </w:r>
            <w:r>
              <w:t xml:space="preserve"> [2000] </w:t>
            </w:r>
            <w:proofErr w:type="spellStart"/>
            <w:r>
              <w:t>FCA</w:t>
            </w:r>
            <w:proofErr w:type="spellEnd"/>
            <w:r>
              <w:t xml:space="preserve"> 1249; (2000) 104 </w:t>
            </w:r>
            <w:proofErr w:type="spellStart"/>
            <w:r>
              <w:t>FCR</w:t>
            </w:r>
            <w:proofErr w:type="spellEnd"/>
            <w:r>
              <w:t xml:space="preserve"> 494</w:t>
            </w:r>
            <w:bookmarkEnd w:id="6"/>
          </w:p>
        </w:tc>
      </w:tr>
      <w:tr w:rsidR="006166F1" w:rsidRPr="001D7816" w:rsidTr="00532141">
        <w:tblPrEx>
          <w:tblCellSpacing w:w="8" w:type="dxa"/>
        </w:tblPrEx>
        <w:trPr>
          <w:tblCellSpacing w:w="8" w:type="dxa"/>
        </w:trPr>
        <w:tc>
          <w:tcPr>
            <w:tcW w:w="3085" w:type="dxa"/>
            <w:shd w:val="clear" w:color="auto" w:fill="auto"/>
          </w:tcPr>
          <w:p w:rsidR="006166F1" w:rsidRDefault="006166F1" w:rsidP="003D17C8">
            <w:pPr>
              <w:pStyle w:val="Normal1linespace"/>
              <w:jc w:val="left"/>
            </w:pPr>
          </w:p>
        </w:tc>
        <w:tc>
          <w:tcPr>
            <w:tcW w:w="5979" w:type="dxa"/>
            <w:gridSpan w:val="2"/>
            <w:shd w:val="clear" w:color="auto" w:fill="auto"/>
          </w:tcPr>
          <w:p w:rsidR="006166F1" w:rsidRDefault="006166F1" w:rsidP="003D17C8">
            <w:pPr>
              <w:pStyle w:val="Normal1linespace"/>
              <w:jc w:val="left"/>
            </w:pPr>
          </w:p>
        </w:tc>
      </w:tr>
      <w:tr w:rsidR="006166F1" w:rsidRPr="001D7816" w:rsidTr="00532141">
        <w:tblPrEx>
          <w:tblCellSpacing w:w="8" w:type="dxa"/>
        </w:tblPrEx>
        <w:trPr>
          <w:tblCellSpacing w:w="8" w:type="dxa"/>
        </w:trPr>
        <w:tc>
          <w:tcPr>
            <w:tcW w:w="3085" w:type="dxa"/>
            <w:shd w:val="clear" w:color="auto" w:fill="auto"/>
          </w:tcPr>
          <w:p w:rsidR="006166F1" w:rsidRDefault="006166F1" w:rsidP="003D17C8">
            <w:pPr>
              <w:pStyle w:val="Normal1linespace"/>
              <w:jc w:val="left"/>
            </w:pPr>
            <w:bookmarkStart w:id="7" w:name="CounselDate"/>
            <w:r>
              <w:t>Date of hearing:</w:t>
            </w:r>
          </w:p>
        </w:tc>
        <w:tc>
          <w:tcPr>
            <w:tcW w:w="5979" w:type="dxa"/>
            <w:gridSpan w:val="2"/>
            <w:shd w:val="clear" w:color="auto" w:fill="auto"/>
          </w:tcPr>
          <w:p w:rsidR="006166F1" w:rsidRDefault="006166F1" w:rsidP="003D17C8">
            <w:pPr>
              <w:pStyle w:val="Normal1linespace"/>
              <w:jc w:val="left"/>
            </w:pPr>
            <w:bookmarkStart w:id="8" w:name="HearingDate"/>
            <w:r>
              <w:t>26 February 2014</w:t>
            </w:r>
            <w:bookmarkEnd w:id="8"/>
          </w:p>
        </w:tc>
      </w:tr>
      <w:tr w:rsidR="006166F1" w:rsidRPr="001D7816" w:rsidTr="00532141">
        <w:tblPrEx>
          <w:tblCellSpacing w:w="8" w:type="dxa"/>
        </w:tblPrEx>
        <w:trPr>
          <w:tblCellSpacing w:w="8" w:type="dxa"/>
        </w:trPr>
        <w:tc>
          <w:tcPr>
            <w:tcW w:w="3085" w:type="dxa"/>
            <w:shd w:val="clear" w:color="auto" w:fill="auto"/>
          </w:tcPr>
          <w:p w:rsidR="006166F1" w:rsidRDefault="006166F1" w:rsidP="003D17C8">
            <w:pPr>
              <w:pStyle w:val="Normal1linespace"/>
              <w:jc w:val="left"/>
            </w:pPr>
          </w:p>
        </w:tc>
        <w:tc>
          <w:tcPr>
            <w:tcW w:w="5979" w:type="dxa"/>
            <w:gridSpan w:val="2"/>
            <w:shd w:val="clear" w:color="auto" w:fill="auto"/>
          </w:tcPr>
          <w:p w:rsidR="006166F1" w:rsidRDefault="006166F1" w:rsidP="003D17C8">
            <w:pPr>
              <w:pStyle w:val="Normal1linespace"/>
              <w:jc w:val="left"/>
            </w:pPr>
          </w:p>
        </w:tc>
      </w:tr>
      <w:bookmarkEnd w:id="7"/>
      <w:tr w:rsidR="006166F1" w:rsidRPr="001D7816" w:rsidTr="00532141">
        <w:tblPrEx>
          <w:tblCellSpacing w:w="8" w:type="dxa"/>
        </w:tblPrEx>
        <w:trPr>
          <w:tblCellSpacing w:w="8" w:type="dxa"/>
        </w:trPr>
        <w:tc>
          <w:tcPr>
            <w:tcW w:w="3085" w:type="dxa"/>
            <w:shd w:val="clear" w:color="auto" w:fill="auto"/>
          </w:tcPr>
          <w:p w:rsidR="006166F1" w:rsidRDefault="006166F1" w:rsidP="003D17C8">
            <w:pPr>
              <w:pStyle w:val="Normal1linespace"/>
              <w:jc w:val="left"/>
            </w:pPr>
            <w:r>
              <w:t>Place:</w:t>
            </w:r>
          </w:p>
        </w:tc>
        <w:tc>
          <w:tcPr>
            <w:tcW w:w="5979" w:type="dxa"/>
            <w:gridSpan w:val="2"/>
            <w:shd w:val="clear" w:color="auto" w:fill="auto"/>
          </w:tcPr>
          <w:p w:rsidR="006166F1" w:rsidRDefault="006166F1" w:rsidP="003D17C8">
            <w:pPr>
              <w:pStyle w:val="Normal1linespace"/>
              <w:jc w:val="left"/>
            </w:pPr>
            <w:r>
              <w:t>Port Augusta</w:t>
            </w:r>
          </w:p>
        </w:tc>
      </w:tr>
      <w:tr w:rsidR="006166F1" w:rsidRPr="001D7816" w:rsidTr="00532141">
        <w:tblPrEx>
          <w:tblCellSpacing w:w="8" w:type="dxa"/>
        </w:tblPrEx>
        <w:trPr>
          <w:tblCellSpacing w:w="8" w:type="dxa"/>
        </w:trPr>
        <w:tc>
          <w:tcPr>
            <w:tcW w:w="3085" w:type="dxa"/>
            <w:shd w:val="clear" w:color="auto" w:fill="auto"/>
          </w:tcPr>
          <w:p w:rsidR="006166F1" w:rsidRDefault="006166F1" w:rsidP="003D17C8">
            <w:pPr>
              <w:pStyle w:val="Normal1linespace"/>
              <w:jc w:val="left"/>
            </w:pPr>
          </w:p>
        </w:tc>
        <w:tc>
          <w:tcPr>
            <w:tcW w:w="5979" w:type="dxa"/>
            <w:gridSpan w:val="2"/>
            <w:shd w:val="clear" w:color="auto" w:fill="auto"/>
          </w:tcPr>
          <w:p w:rsidR="006166F1" w:rsidRDefault="006166F1" w:rsidP="003D17C8">
            <w:pPr>
              <w:pStyle w:val="Normal1linespace"/>
              <w:jc w:val="left"/>
            </w:pPr>
          </w:p>
        </w:tc>
      </w:tr>
      <w:tr w:rsidR="006166F1" w:rsidRPr="001D7816" w:rsidTr="00532141">
        <w:tblPrEx>
          <w:tblCellSpacing w:w="8" w:type="dxa"/>
        </w:tblPrEx>
        <w:trPr>
          <w:tblCellSpacing w:w="8" w:type="dxa"/>
        </w:trPr>
        <w:tc>
          <w:tcPr>
            <w:tcW w:w="3085" w:type="dxa"/>
            <w:shd w:val="clear" w:color="auto" w:fill="auto"/>
          </w:tcPr>
          <w:p w:rsidR="006166F1" w:rsidRDefault="006166F1" w:rsidP="003D17C8">
            <w:pPr>
              <w:pStyle w:val="Normal1linespace"/>
              <w:jc w:val="left"/>
            </w:pPr>
            <w:r>
              <w:lastRenderedPageBreak/>
              <w:t>Division:</w:t>
            </w:r>
          </w:p>
        </w:tc>
        <w:tc>
          <w:tcPr>
            <w:tcW w:w="5979" w:type="dxa"/>
            <w:gridSpan w:val="2"/>
            <w:shd w:val="clear" w:color="auto" w:fill="auto"/>
          </w:tcPr>
          <w:p w:rsidR="006166F1" w:rsidRDefault="00E37899" w:rsidP="003D17C8">
            <w:pPr>
              <w:pStyle w:val="Normal1linespace"/>
              <w:jc w:val="left"/>
            </w:pPr>
            <w:r>
              <w:t>GENERAL DIVISION</w:t>
            </w:r>
          </w:p>
        </w:tc>
      </w:tr>
      <w:tr w:rsidR="006166F1" w:rsidRPr="001D7816" w:rsidTr="00532141">
        <w:tblPrEx>
          <w:tblCellSpacing w:w="8" w:type="dxa"/>
        </w:tblPrEx>
        <w:trPr>
          <w:tblCellSpacing w:w="8" w:type="dxa"/>
        </w:trPr>
        <w:tc>
          <w:tcPr>
            <w:tcW w:w="3085" w:type="dxa"/>
            <w:shd w:val="clear" w:color="auto" w:fill="auto"/>
          </w:tcPr>
          <w:p w:rsidR="006166F1" w:rsidRDefault="006166F1" w:rsidP="003D17C8">
            <w:pPr>
              <w:pStyle w:val="Normal1linespace"/>
              <w:jc w:val="left"/>
            </w:pPr>
          </w:p>
        </w:tc>
        <w:tc>
          <w:tcPr>
            <w:tcW w:w="5979" w:type="dxa"/>
            <w:gridSpan w:val="2"/>
            <w:shd w:val="clear" w:color="auto" w:fill="auto"/>
          </w:tcPr>
          <w:p w:rsidR="006166F1" w:rsidRDefault="006166F1" w:rsidP="003D17C8">
            <w:pPr>
              <w:pStyle w:val="Normal1linespace"/>
              <w:jc w:val="left"/>
            </w:pPr>
          </w:p>
        </w:tc>
      </w:tr>
      <w:tr w:rsidR="006166F1" w:rsidRPr="001D7816" w:rsidTr="00532141">
        <w:tblPrEx>
          <w:tblCellSpacing w:w="8" w:type="dxa"/>
        </w:tblPrEx>
        <w:trPr>
          <w:tblCellSpacing w:w="8" w:type="dxa"/>
        </w:trPr>
        <w:tc>
          <w:tcPr>
            <w:tcW w:w="3085" w:type="dxa"/>
            <w:shd w:val="clear" w:color="auto" w:fill="auto"/>
          </w:tcPr>
          <w:p w:rsidR="006166F1" w:rsidRDefault="006166F1" w:rsidP="003D17C8">
            <w:pPr>
              <w:pStyle w:val="Normal1linespace"/>
              <w:jc w:val="left"/>
            </w:pPr>
            <w:r>
              <w:t>Category:</w:t>
            </w:r>
          </w:p>
        </w:tc>
        <w:tc>
          <w:tcPr>
            <w:tcW w:w="5979" w:type="dxa"/>
            <w:gridSpan w:val="2"/>
            <w:shd w:val="clear" w:color="auto" w:fill="auto"/>
          </w:tcPr>
          <w:p w:rsidR="006166F1" w:rsidRDefault="006166F1" w:rsidP="003D17C8">
            <w:pPr>
              <w:pStyle w:val="Normal1linespace"/>
              <w:jc w:val="left"/>
            </w:pPr>
            <w:r>
              <w:t>Catchwords</w:t>
            </w:r>
          </w:p>
        </w:tc>
      </w:tr>
      <w:tr w:rsidR="006166F1" w:rsidRPr="001D7816" w:rsidTr="00532141">
        <w:tblPrEx>
          <w:tblCellSpacing w:w="8" w:type="dxa"/>
        </w:tblPrEx>
        <w:trPr>
          <w:tblCellSpacing w:w="8" w:type="dxa"/>
        </w:trPr>
        <w:tc>
          <w:tcPr>
            <w:tcW w:w="3085" w:type="dxa"/>
            <w:shd w:val="clear" w:color="auto" w:fill="auto"/>
          </w:tcPr>
          <w:p w:rsidR="006166F1" w:rsidRDefault="006166F1" w:rsidP="003D17C8">
            <w:pPr>
              <w:pStyle w:val="Normal1linespace"/>
              <w:jc w:val="left"/>
            </w:pPr>
          </w:p>
        </w:tc>
        <w:tc>
          <w:tcPr>
            <w:tcW w:w="5979" w:type="dxa"/>
            <w:gridSpan w:val="2"/>
            <w:shd w:val="clear" w:color="auto" w:fill="auto"/>
          </w:tcPr>
          <w:p w:rsidR="006166F1" w:rsidRDefault="006166F1" w:rsidP="003D17C8">
            <w:pPr>
              <w:pStyle w:val="Normal1linespace"/>
              <w:jc w:val="left"/>
            </w:pPr>
          </w:p>
        </w:tc>
      </w:tr>
      <w:tr w:rsidR="006166F1" w:rsidRPr="001D7816" w:rsidTr="00532141">
        <w:tblPrEx>
          <w:tblCellSpacing w:w="8" w:type="dxa"/>
        </w:tblPrEx>
        <w:trPr>
          <w:tblCellSpacing w:w="8" w:type="dxa"/>
        </w:trPr>
        <w:tc>
          <w:tcPr>
            <w:tcW w:w="3085" w:type="dxa"/>
            <w:shd w:val="clear" w:color="auto" w:fill="auto"/>
          </w:tcPr>
          <w:p w:rsidR="006166F1" w:rsidRDefault="006166F1" w:rsidP="003D17C8">
            <w:pPr>
              <w:pStyle w:val="Normal1linespace"/>
              <w:jc w:val="left"/>
            </w:pPr>
            <w:r>
              <w:t>Number of paragraphs:</w:t>
            </w:r>
          </w:p>
        </w:tc>
        <w:tc>
          <w:tcPr>
            <w:tcW w:w="5979" w:type="dxa"/>
            <w:gridSpan w:val="2"/>
            <w:shd w:val="clear" w:color="auto" w:fill="auto"/>
          </w:tcPr>
          <w:p w:rsidR="006166F1" w:rsidRDefault="006166F1" w:rsidP="003D17C8">
            <w:pPr>
              <w:pStyle w:val="Normal1linespace"/>
              <w:jc w:val="left"/>
            </w:pPr>
            <w:bookmarkStart w:id="9" w:name="PlaceCategoryParagraphs"/>
            <w:r>
              <w:t>58</w:t>
            </w:r>
            <w:bookmarkEnd w:id="9"/>
          </w:p>
        </w:tc>
      </w:tr>
      <w:tr w:rsidR="006166F1" w:rsidRPr="001D7816" w:rsidTr="00532141">
        <w:tblPrEx>
          <w:tblCellSpacing w:w="8" w:type="dxa"/>
        </w:tblPrEx>
        <w:trPr>
          <w:tblCellSpacing w:w="8" w:type="dxa"/>
        </w:trPr>
        <w:tc>
          <w:tcPr>
            <w:tcW w:w="3085" w:type="dxa"/>
            <w:shd w:val="clear" w:color="auto" w:fill="auto"/>
          </w:tcPr>
          <w:p w:rsidR="006166F1" w:rsidRDefault="006166F1" w:rsidP="003D17C8">
            <w:pPr>
              <w:pStyle w:val="Normal1linespace"/>
              <w:jc w:val="left"/>
            </w:pPr>
          </w:p>
        </w:tc>
        <w:tc>
          <w:tcPr>
            <w:tcW w:w="5979" w:type="dxa"/>
            <w:gridSpan w:val="2"/>
            <w:shd w:val="clear" w:color="auto" w:fill="auto"/>
          </w:tcPr>
          <w:p w:rsidR="006166F1" w:rsidRDefault="006166F1" w:rsidP="003D17C8">
            <w:pPr>
              <w:pStyle w:val="Normal1linespace"/>
              <w:jc w:val="left"/>
            </w:pPr>
          </w:p>
        </w:tc>
      </w:tr>
      <w:tr w:rsidR="006166F1" w:rsidRPr="001D7816" w:rsidTr="00532141">
        <w:tblPrEx>
          <w:tblCellSpacing w:w="8" w:type="dxa"/>
        </w:tblPrEx>
        <w:trPr>
          <w:tblCellSpacing w:w="8" w:type="dxa"/>
        </w:trPr>
        <w:tc>
          <w:tcPr>
            <w:tcW w:w="3085" w:type="dxa"/>
            <w:shd w:val="clear" w:color="auto" w:fill="auto"/>
          </w:tcPr>
          <w:p w:rsidR="006166F1" w:rsidRDefault="006166F1" w:rsidP="003D17C8">
            <w:pPr>
              <w:pStyle w:val="Normal1linespace"/>
              <w:jc w:val="left"/>
            </w:pPr>
            <w:bookmarkStart w:id="10" w:name="Counsel"/>
            <w:r>
              <w:t>Counsel for the Applicant</w:t>
            </w:r>
            <w:r w:rsidR="005B5FEF">
              <w:t>s</w:t>
            </w:r>
            <w:r>
              <w:t>:</w:t>
            </w:r>
          </w:p>
        </w:tc>
        <w:tc>
          <w:tcPr>
            <w:tcW w:w="5979" w:type="dxa"/>
            <w:gridSpan w:val="2"/>
            <w:shd w:val="clear" w:color="auto" w:fill="auto"/>
          </w:tcPr>
          <w:p w:rsidR="006166F1" w:rsidRDefault="00E37899" w:rsidP="003D17C8">
            <w:pPr>
              <w:pStyle w:val="Normal1linespace"/>
              <w:jc w:val="left"/>
            </w:pPr>
            <w:bookmarkStart w:id="11" w:name="AppCounsel"/>
            <w:bookmarkEnd w:id="11"/>
            <w:r>
              <w:t>Mr Stephen Kenn</w:t>
            </w:r>
            <w:r w:rsidR="005B5FEF">
              <w:t>y</w:t>
            </w:r>
          </w:p>
        </w:tc>
      </w:tr>
      <w:tr w:rsidR="006166F1" w:rsidRPr="001D7816" w:rsidTr="00532141">
        <w:tblPrEx>
          <w:tblCellSpacing w:w="8" w:type="dxa"/>
        </w:tblPrEx>
        <w:trPr>
          <w:tblCellSpacing w:w="8" w:type="dxa"/>
        </w:trPr>
        <w:tc>
          <w:tcPr>
            <w:tcW w:w="3085" w:type="dxa"/>
            <w:shd w:val="clear" w:color="auto" w:fill="auto"/>
          </w:tcPr>
          <w:p w:rsidR="006166F1" w:rsidRDefault="006166F1" w:rsidP="003D17C8">
            <w:pPr>
              <w:pStyle w:val="Normal1linespace"/>
              <w:jc w:val="left"/>
            </w:pPr>
          </w:p>
        </w:tc>
        <w:tc>
          <w:tcPr>
            <w:tcW w:w="5979" w:type="dxa"/>
            <w:gridSpan w:val="2"/>
            <w:shd w:val="clear" w:color="auto" w:fill="auto"/>
          </w:tcPr>
          <w:p w:rsidR="006166F1" w:rsidRDefault="006166F1" w:rsidP="003D17C8">
            <w:pPr>
              <w:pStyle w:val="Normal1linespace"/>
              <w:jc w:val="left"/>
            </w:pPr>
          </w:p>
        </w:tc>
      </w:tr>
      <w:tr w:rsidR="006166F1" w:rsidRPr="001D7816" w:rsidTr="00532141">
        <w:tblPrEx>
          <w:tblCellSpacing w:w="8" w:type="dxa"/>
        </w:tblPrEx>
        <w:trPr>
          <w:tblCellSpacing w:w="8" w:type="dxa"/>
        </w:trPr>
        <w:tc>
          <w:tcPr>
            <w:tcW w:w="3085" w:type="dxa"/>
            <w:shd w:val="clear" w:color="auto" w:fill="auto"/>
          </w:tcPr>
          <w:p w:rsidR="006166F1" w:rsidRDefault="006166F1" w:rsidP="003D17C8">
            <w:pPr>
              <w:pStyle w:val="Normal1linespace"/>
              <w:jc w:val="left"/>
            </w:pPr>
            <w:r>
              <w:t>Solicitor for the Applicant</w:t>
            </w:r>
            <w:r w:rsidR="005B5FEF">
              <w:t>s</w:t>
            </w:r>
            <w:r>
              <w:t>:</w:t>
            </w:r>
          </w:p>
        </w:tc>
        <w:tc>
          <w:tcPr>
            <w:tcW w:w="5979" w:type="dxa"/>
            <w:gridSpan w:val="2"/>
            <w:shd w:val="clear" w:color="auto" w:fill="auto"/>
          </w:tcPr>
          <w:p w:rsidR="006166F1" w:rsidRDefault="005B5FEF" w:rsidP="003D17C8">
            <w:pPr>
              <w:pStyle w:val="Normal1linespace"/>
              <w:jc w:val="left"/>
            </w:pPr>
            <w:proofErr w:type="spellStart"/>
            <w:r>
              <w:t>Camatta</w:t>
            </w:r>
            <w:proofErr w:type="spellEnd"/>
            <w:r>
              <w:t xml:space="preserve"> </w:t>
            </w:r>
            <w:proofErr w:type="spellStart"/>
            <w:r>
              <w:t>Lempens</w:t>
            </w:r>
            <w:proofErr w:type="spellEnd"/>
          </w:p>
        </w:tc>
      </w:tr>
      <w:tr w:rsidR="006166F1" w:rsidRPr="001D7816" w:rsidTr="00532141">
        <w:tblPrEx>
          <w:tblCellSpacing w:w="8" w:type="dxa"/>
        </w:tblPrEx>
        <w:trPr>
          <w:tblCellSpacing w:w="8" w:type="dxa"/>
        </w:trPr>
        <w:tc>
          <w:tcPr>
            <w:tcW w:w="3085" w:type="dxa"/>
            <w:shd w:val="clear" w:color="auto" w:fill="auto"/>
          </w:tcPr>
          <w:p w:rsidR="006166F1" w:rsidRDefault="006166F1" w:rsidP="003D17C8">
            <w:pPr>
              <w:pStyle w:val="Normal1linespace"/>
              <w:jc w:val="left"/>
            </w:pPr>
          </w:p>
        </w:tc>
        <w:tc>
          <w:tcPr>
            <w:tcW w:w="5979" w:type="dxa"/>
            <w:gridSpan w:val="2"/>
            <w:shd w:val="clear" w:color="auto" w:fill="auto"/>
          </w:tcPr>
          <w:p w:rsidR="006166F1" w:rsidRDefault="006166F1" w:rsidP="003D17C8">
            <w:pPr>
              <w:pStyle w:val="Normal1linespace"/>
              <w:jc w:val="left"/>
            </w:pPr>
          </w:p>
        </w:tc>
      </w:tr>
      <w:tr w:rsidR="005B5FEF" w:rsidRPr="001D7816" w:rsidTr="0054573D">
        <w:tblPrEx>
          <w:tblCellSpacing w:w="8" w:type="dxa"/>
        </w:tblPrEx>
        <w:trPr>
          <w:tblCellSpacing w:w="8" w:type="dxa"/>
        </w:trPr>
        <w:tc>
          <w:tcPr>
            <w:tcW w:w="3085" w:type="dxa"/>
            <w:shd w:val="clear" w:color="auto" w:fill="auto"/>
          </w:tcPr>
          <w:p w:rsidR="005B5FEF" w:rsidRDefault="005B5FEF" w:rsidP="0054573D">
            <w:pPr>
              <w:pStyle w:val="Normal1linespace"/>
              <w:jc w:val="left"/>
            </w:pPr>
            <w:r>
              <w:t>Counsel for the State of South Australia:</w:t>
            </w:r>
          </w:p>
        </w:tc>
        <w:tc>
          <w:tcPr>
            <w:tcW w:w="5979" w:type="dxa"/>
            <w:gridSpan w:val="2"/>
            <w:shd w:val="clear" w:color="auto" w:fill="auto"/>
          </w:tcPr>
          <w:p w:rsidR="005B5FEF" w:rsidRDefault="005B5FEF" w:rsidP="0054573D">
            <w:pPr>
              <w:pStyle w:val="Normal1linespace"/>
              <w:jc w:val="left"/>
            </w:pPr>
            <w:r>
              <w:t>Mr Peter Tonkin</w:t>
            </w:r>
          </w:p>
        </w:tc>
      </w:tr>
      <w:tr w:rsidR="005B5FEF" w:rsidRPr="001D7816" w:rsidTr="0054573D">
        <w:tblPrEx>
          <w:tblCellSpacing w:w="8" w:type="dxa"/>
        </w:tblPrEx>
        <w:trPr>
          <w:tblCellSpacing w:w="8" w:type="dxa"/>
        </w:trPr>
        <w:tc>
          <w:tcPr>
            <w:tcW w:w="3085" w:type="dxa"/>
            <w:shd w:val="clear" w:color="auto" w:fill="auto"/>
          </w:tcPr>
          <w:p w:rsidR="005B5FEF" w:rsidRDefault="005B5FEF" w:rsidP="0054573D">
            <w:pPr>
              <w:pStyle w:val="Normal1linespace"/>
              <w:jc w:val="left"/>
            </w:pPr>
          </w:p>
        </w:tc>
        <w:tc>
          <w:tcPr>
            <w:tcW w:w="5979" w:type="dxa"/>
            <w:gridSpan w:val="2"/>
            <w:shd w:val="clear" w:color="auto" w:fill="auto"/>
          </w:tcPr>
          <w:p w:rsidR="005B5FEF" w:rsidRDefault="005B5FEF" w:rsidP="0054573D">
            <w:pPr>
              <w:pStyle w:val="Normal1linespace"/>
              <w:jc w:val="left"/>
            </w:pPr>
          </w:p>
        </w:tc>
      </w:tr>
      <w:tr w:rsidR="005B5FEF" w:rsidRPr="001D7816" w:rsidTr="0054573D">
        <w:tblPrEx>
          <w:tblCellSpacing w:w="8" w:type="dxa"/>
        </w:tblPrEx>
        <w:trPr>
          <w:tblCellSpacing w:w="8" w:type="dxa"/>
        </w:trPr>
        <w:tc>
          <w:tcPr>
            <w:tcW w:w="3085" w:type="dxa"/>
            <w:shd w:val="clear" w:color="auto" w:fill="auto"/>
          </w:tcPr>
          <w:p w:rsidR="005B5FEF" w:rsidRDefault="005B5FEF" w:rsidP="0054573D">
            <w:pPr>
              <w:pStyle w:val="Normal1linespace"/>
              <w:jc w:val="left"/>
            </w:pPr>
            <w:r>
              <w:t>Solicitor for the State of South Australia:</w:t>
            </w:r>
          </w:p>
        </w:tc>
        <w:tc>
          <w:tcPr>
            <w:tcW w:w="5979" w:type="dxa"/>
            <w:gridSpan w:val="2"/>
            <w:shd w:val="clear" w:color="auto" w:fill="auto"/>
          </w:tcPr>
          <w:p w:rsidR="005B5FEF" w:rsidRDefault="005B5FEF" w:rsidP="0054573D">
            <w:pPr>
              <w:pStyle w:val="Normal1linespace"/>
              <w:jc w:val="left"/>
            </w:pPr>
            <w:r>
              <w:t>Crown Solicitor’s Office (SA)</w:t>
            </w:r>
          </w:p>
        </w:tc>
      </w:tr>
      <w:tr w:rsidR="005B5FEF" w:rsidRPr="001D7816" w:rsidTr="0054573D">
        <w:tblPrEx>
          <w:tblCellSpacing w:w="8" w:type="dxa"/>
        </w:tblPrEx>
        <w:trPr>
          <w:tblCellSpacing w:w="8" w:type="dxa"/>
        </w:trPr>
        <w:tc>
          <w:tcPr>
            <w:tcW w:w="3085" w:type="dxa"/>
            <w:shd w:val="clear" w:color="auto" w:fill="auto"/>
          </w:tcPr>
          <w:p w:rsidR="005B5FEF" w:rsidRDefault="005B5FEF" w:rsidP="0054573D">
            <w:pPr>
              <w:pStyle w:val="Normal1linespace"/>
              <w:jc w:val="left"/>
            </w:pPr>
          </w:p>
        </w:tc>
        <w:tc>
          <w:tcPr>
            <w:tcW w:w="5979" w:type="dxa"/>
            <w:gridSpan w:val="2"/>
            <w:shd w:val="clear" w:color="auto" w:fill="auto"/>
          </w:tcPr>
          <w:p w:rsidR="005B5FEF" w:rsidRDefault="005B5FEF" w:rsidP="0054573D">
            <w:pPr>
              <w:pStyle w:val="Normal1linespace"/>
              <w:jc w:val="left"/>
            </w:pPr>
          </w:p>
        </w:tc>
      </w:tr>
      <w:tr w:rsidR="005B5FEF" w:rsidRPr="001D7816" w:rsidTr="0054573D">
        <w:tblPrEx>
          <w:tblCellSpacing w:w="8" w:type="dxa"/>
        </w:tblPrEx>
        <w:trPr>
          <w:tblCellSpacing w:w="8" w:type="dxa"/>
        </w:trPr>
        <w:tc>
          <w:tcPr>
            <w:tcW w:w="3085" w:type="dxa"/>
            <w:shd w:val="clear" w:color="auto" w:fill="auto"/>
          </w:tcPr>
          <w:p w:rsidR="005B5FEF" w:rsidRDefault="005B5FEF" w:rsidP="0054573D">
            <w:pPr>
              <w:pStyle w:val="Normal1linespace"/>
              <w:jc w:val="left"/>
            </w:pPr>
            <w:r>
              <w:t>Counsel for Epic Energy South Australia Pty Ltd:</w:t>
            </w:r>
          </w:p>
        </w:tc>
        <w:tc>
          <w:tcPr>
            <w:tcW w:w="5979" w:type="dxa"/>
            <w:gridSpan w:val="2"/>
            <w:shd w:val="clear" w:color="auto" w:fill="auto"/>
          </w:tcPr>
          <w:p w:rsidR="005B5FEF" w:rsidRDefault="005B5FEF" w:rsidP="0054573D">
            <w:pPr>
              <w:pStyle w:val="Normal1linespace"/>
              <w:jc w:val="left"/>
            </w:pPr>
            <w:r>
              <w:t>Mr Ewan Vickery</w:t>
            </w:r>
          </w:p>
        </w:tc>
      </w:tr>
      <w:tr w:rsidR="005B5FEF" w:rsidRPr="001D7816" w:rsidTr="0054573D">
        <w:tblPrEx>
          <w:tblCellSpacing w:w="8" w:type="dxa"/>
        </w:tblPrEx>
        <w:trPr>
          <w:tblCellSpacing w:w="8" w:type="dxa"/>
        </w:trPr>
        <w:tc>
          <w:tcPr>
            <w:tcW w:w="3085" w:type="dxa"/>
            <w:shd w:val="clear" w:color="auto" w:fill="auto"/>
          </w:tcPr>
          <w:p w:rsidR="005B5FEF" w:rsidRDefault="005B5FEF" w:rsidP="0054573D">
            <w:pPr>
              <w:pStyle w:val="Normal1linespace"/>
              <w:jc w:val="left"/>
            </w:pPr>
          </w:p>
        </w:tc>
        <w:tc>
          <w:tcPr>
            <w:tcW w:w="5979" w:type="dxa"/>
            <w:gridSpan w:val="2"/>
            <w:shd w:val="clear" w:color="auto" w:fill="auto"/>
          </w:tcPr>
          <w:p w:rsidR="005B5FEF" w:rsidRDefault="005B5FEF" w:rsidP="0054573D">
            <w:pPr>
              <w:pStyle w:val="Normal1linespace"/>
              <w:jc w:val="left"/>
            </w:pPr>
          </w:p>
        </w:tc>
      </w:tr>
      <w:tr w:rsidR="005B5FEF" w:rsidRPr="001D7816" w:rsidTr="0054573D">
        <w:tblPrEx>
          <w:tblCellSpacing w:w="8" w:type="dxa"/>
        </w:tblPrEx>
        <w:trPr>
          <w:tblCellSpacing w:w="8" w:type="dxa"/>
        </w:trPr>
        <w:tc>
          <w:tcPr>
            <w:tcW w:w="3085" w:type="dxa"/>
            <w:shd w:val="clear" w:color="auto" w:fill="auto"/>
          </w:tcPr>
          <w:p w:rsidR="005B5FEF" w:rsidRDefault="005B5FEF" w:rsidP="0054573D">
            <w:pPr>
              <w:pStyle w:val="Normal1linespace"/>
              <w:jc w:val="left"/>
            </w:pPr>
            <w:r>
              <w:t>Solicitor for Epic Energy South Australia Pty Ltd:</w:t>
            </w:r>
          </w:p>
        </w:tc>
        <w:tc>
          <w:tcPr>
            <w:tcW w:w="5979" w:type="dxa"/>
            <w:gridSpan w:val="2"/>
            <w:shd w:val="clear" w:color="auto" w:fill="auto"/>
          </w:tcPr>
          <w:p w:rsidR="005B5FEF" w:rsidRDefault="005B5FEF" w:rsidP="0054573D">
            <w:pPr>
              <w:pStyle w:val="Normal1linespace"/>
              <w:jc w:val="left"/>
            </w:pPr>
            <w:r>
              <w:t>Minter Ellison</w:t>
            </w:r>
          </w:p>
        </w:tc>
      </w:tr>
      <w:tr w:rsidR="005B5FEF" w:rsidRPr="001D7816" w:rsidTr="0054573D">
        <w:tblPrEx>
          <w:tblCellSpacing w:w="8" w:type="dxa"/>
        </w:tblPrEx>
        <w:trPr>
          <w:tblCellSpacing w:w="8" w:type="dxa"/>
        </w:trPr>
        <w:tc>
          <w:tcPr>
            <w:tcW w:w="3085" w:type="dxa"/>
            <w:shd w:val="clear" w:color="auto" w:fill="auto"/>
          </w:tcPr>
          <w:p w:rsidR="005B5FEF" w:rsidRDefault="005B5FEF" w:rsidP="0054573D">
            <w:pPr>
              <w:pStyle w:val="Normal1linespace"/>
              <w:jc w:val="left"/>
            </w:pPr>
          </w:p>
        </w:tc>
        <w:tc>
          <w:tcPr>
            <w:tcW w:w="5979" w:type="dxa"/>
            <w:gridSpan w:val="2"/>
            <w:shd w:val="clear" w:color="auto" w:fill="auto"/>
          </w:tcPr>
          <w:p w:rsidR="005B5FEF" w:rsidRDefault="005B5FEF" w:rsidP="0054573D">
            <w:pPr>
              <w:pStyle w:val="Normal1linespace"/>
              <w:jc w:val="left"/>
            </w:pPr>
          </w:p>
        </w:tc>
      </w:tr>
      <w:tr w:rsidR="005B5FEF" w:rsidRPr="001D7816" w:rsidTr="0054573D">
        <w:tblPrEx>
          <w:tblCellSpacing w:w="8" w:type="dxa"/>
        </w:tblPrEx>
        <w:trPr>
          <w:tblCellSpacing w:w="8" w:type="dxa"/>
        </w:trPr>
        <w:tc>
          <w:tcPr>
            <w:tcW w:w="3085" w:type="dxa"/>
            <w:shd w:val="clear" w:color="auto" w:fill="auto"/>
          </w:tcPr>
          <w:p w:rsidR="005B5FEF" w:rsidRDefault="00352009" w:rsidP="0054573D">
            <w:pPr>
              <w:pStyle w:val="Normal1linespace"/>
              <w:jc w:val="left"/>
            </w:pPr>
            <w:r>
              <w:t xml:space="preserve">Counsel for </w:t>
            </w:r>
            <w:proofErr w:type="spellStart"/>
            <w:r>
              <w:t>Broshul</w:t>
            </w:r>
            <w:proofErr w:type="spellEnd"/>
            <w:r>
              <w:t xml:space="preserve"> Pty Ltd and </w:t>
            </w:r>
            <w:proofErr w:type="spellStart"/>
            <w:r>
              <w:t>Mumwil</w:t>
            </w:r>
            <w:proofErr w:type="spellEnd"/>
            <w:r>
              <w:t xml:space="preserve"> Pty Ltd:</w:t>
            </w:r>
          </w:p>
        </w:tc>
        <w:tc>
          <w:tcPr>
            <w:tcW w:w="5979" w:type="dxa"/>
            <w:gridSpan w:val="2"/>
            <w:shd w:val="clear" w:color="auto" w:fill="auto"/>
          </w:tcPr>
          <w:p w:rsidR="005B5FEF" w:rsidRDefault="005B5FEF" w:rsidP="0054573D">
            <w:pPr>
              <w:pStyle w:val="Normal1linespace"/>
              <w:jc w:val="left"/>
            </w:pPr>
            <w:r>
              <w:t>Mr Tim Mellor</w:t>
            </w:r>
          </w:p>
        </w:tc>
      </w:tr>
      <w:tr w:rsidR="005B5FEF" w:rsidRPr="001D7816" w:rsidTr="0054573D">
        <w:tblPrEx>
          <w:tblCellSpacing w:w="8" w:type="dxa"/>
        </w:tblPrEx>
        <w:trPr>
          <w:tblCellSpacing w:w="8" w:type="dxa"/>
        </w:trPr>
        <w:tc>
          <w:tcPr>
            <w:tcW w:w="3085" w:type="dxa"/>
            <w:shd w:val="clear" w:color="auto" w:fill="auto"/>
          </w:tcPr>
          <w:p w:rsidR="005B5FEF" w:rsidRDefault="005B5FEF" w:rsidP="0054573D">
            <w:pPr>
              <w:pStyle w:val="Normal1linespace"/>
              <w:jc w:val="left"/>
            </w:pPr>
          </w:p>
        </w:tc>
        <w:tc>
          <w:tcPr>
            <w:tcW w:w="5979" w:type="dxa"/>
            <w:gridSpan w:val="2"/>
            <w:shd w:val="clear" w:color="auto" w:fill="auto"/>
          </w:tcPr>
          <w:p w:rsidR="005B5FEF" w:rsidRDefault="005B5FEF" w:rsidP="0054573D">
            <w:pPr>
              <w:pStyle w:val="Normal1linespace"/>
              <w:jc w:val="left"/>
            </w:pPr>
          </w:p>
        </w:tc>
      </w:tr>
      <w:tr w:rsidR="00352009" w:rsidRPr="001D7816" w:rsidTr="0054573D">
        <w:tblPrEx>
          <w:tblCellSpacing w:w="8" w:type="dxa"/>
        </w:tblPrEx>
        <w:trPr>
          <w:tblCellSpacing w:w="8" w:type="dxa"/>
        </w:trPr>
        <w:tc>
          <w:tcPr>
            <w:tcW w:w="3085" w:type="dxa"/>
            <w:shd w:val="clear" w:color="auto" w:fill="auto"/>
          </w:tcPr>
          <w:p w:rsidR="00352009" w:rsidRDefault="00352009" w:rsidP="00111D57">
            <w:pPr>
              <w:pStyle w:val="Normal1linespace"/>
              <w:jc w:val="left"/>
            </w:pPr>
            <w:r>
              <w:t xml:space="preserve">Solicitor for </w:t>
            </w:r>
            <w:proofErr w:type="spellStart"/>
            <w:r>
              <w:t>Broshul</w:t>
            </w:r>
            <w:proofErr w:type="spellEnd"/>
            <w:r>
              <w:t xml:space="preserve"> Pty Ltd and </w:t>
            </w:r>
            <w:proofErr w:type="spellStart"/>
            <w:r>
              <w:t>Mumwil</w:t>
            </w:r>
            <w:proofErr w:type="spellEnd"/>
            <w:r>
              <w:t xml:space="preserve"> Pty Ltd:</w:t>
            </w:r>
          </w:p>
        </w:tc>
        <w:tc>
          <w:tcPr>
            <w:tcW w:w="5979" w:type="dxa"/>
            <w:gridSpan w:val="2"/>
            <w:shd w:val="clear" w:color="auto" w:fill="auto"/>
          </w:tcPr>
          <w:p w:rsidR="00352009" w:rsidRDefault="00352009" w:rsidP="0054573D">
            <w:pPr>
              <w:pStyle w:val="Normal1linespace"/>
              <w:jc w:val="left"/>
            </w:pPr>
            <w:r>
              <w:t>Mellor Olsson</w:t>
            </w:r>
          </w:p>
        </w:tc>
      </w:tr>
      <w:tr w:rsidR="005B5FEF" w:rsidRPr="001D7816" w:rsidTr="0054573D">
        <w:tblPrEx>
          <w:tblCellSpacing w:w="8" w:type="dxa"/>
        </w:tblPrEx>
        <w:trPr>
          <w:tblCellSpacing w:w="8" w:type="dxa"/>
        </w:trPr>
        <w:tc>
          <w:tcPr>
            <w:tcW w:w="3085" w:type="dxa"/>
            <w:shd w:val="clear" w:color="auto" w:fill="auto"/>
          </w:tcPr>
          <w:p w:rsidR="005B5FEF" w:rsidRDefault="005B5FEF" w:rsidP="0054573D">
            <w:pPr>
              <w:pStyle w:val="Normal1linespace"/>
              <w:jc w:val="left"/>
            </w:pPr>
          </w:p>
        </w:tc>
        <w:tc>
          <w:tcPr>
            <w:tcW w:w="5979" w:type="dxa"/>
            <w:gridSpan w:val="2"/>
            <w:shd w:val="clear" w:color="auto" w:fill="auto"/>
          </w:tcPr>
          <w:p w:rsidR="005B5FEF" w:rsidRDefault="005B5FEF" w:rsidP="0054573D">
            <w:pPr>
              <w:pStyle w:val="Normal1linespace"/>
              <w:jc w:val="left"/>
            </w:pPr>
          </w:p>
        </w:tc>
      </w:tr>
      <w:tr w:rsidR="005B5FEF" w:rsidRPr="001D7816" w:rsidTr="0054573D">
        <w:tblPrEx>
          <w:tblCellSpacing w:w="8" w:type="dxa"/>
        </w:tblPrEx>
        <w:trPr>
          <w:tblCellSpacing w:w="8" w:type="dxa"/>
        </w:trPr>
        <w:tc>
          <w:tcPr>
            <w:tcW w:w="3085" w:type="dxa"/>
            <w:shd w:val="clear" w:color="auto" w:fill="auto"/>
          </w:tcPr>
          <w:p w:rsidR="005B5FEF" w:rsidRDefault="005B5FEF" w:rsidP="0054573D">
            <w:pPr>
              <w:pStyle w:val="Normal1linespace"/>
              <w:jc w:val="left"/>
            </w:pPr>
            <w:r>
              <w:t>Counsel for South Australian Native Title Services Ltd:</w:t>
            </w:r>
          </w:p>
        </w:tc>
        <w:tc>
          <w:tcPr>
            <w:tcW w:w="5979" w:type="dxa"/>
            <w:gridSpan w:val="2"/>
            <w:shd w:val="clear" w:color="auto" w:fill="auto"/>
          </w:tcPr>
          <w:p w:rsidR="005B5FEF" w:rsidRDefault="005B5FEF" w:rsidP="0054573D">
            <w:pPr>
              <w:pStyle w:val="Normal1linespace"/>
              <w:jc w:val="left"/>
            </w:pPr>
            <w:r>
              <w:t xml:space="preserve">Mr Andrew </w:t>
            </w:r>
            <w:proofErr w:type="spellStart"/>
            <w:r>
              <w:t>Beckworth</w:t>
            </w:r>
            <w:proofErr w:type="spellEnd"/>
          </w:p>
        </w:tc>
      </w:tr>
      <w:tr w:rsidR="005B5FEF" w:rsidRPr="001D7816" w:rsidTr="0054573D">
        <w:tblPrEx>
          <w:tblCellSpacing w:w="8" w:type="dxa"/>
        </w:tblPrEx>
        <w:trPr>
          <w:tblCellSpacing w:w="8" w:type="dxa"/>
        </w:trPr>
        <w:tc>
          <w:tcPr>
            <w:tcW w:w="3085" w:type="dxa"/>
            <w:shd w:val="clear" w:color="auto" w:fill="auto"/>
          </w:tcPr>
          <w:p w:rsidR="005B5FEF" w:rsidRDefault="005B5FEF" w:rsidP="0054573D">
            <w:pPr>
              <w:pStyle w:val="Normal1linespace"/>
              <w:jc w:val="left"/>
            </w:pPr>
          </w:p>
        </w:tc>
        <w:tc>
          <w:tcPr>
            <w:tcW w:w="5979" w:type="dxa"/>
            <w:gridSpan w:val="2"/>
            <w:shd w:val="clear" w:color="auto" w:fill="auto"/>
          </w:tcPr>
          <w:p w:rsidR="005B5FEF" w:rsidRDefault="005B5FEF" w:rsidP="0054573D">
            <w:pPr>
              <w:pStyle w:val="Normal1linespace"/>
              <w:jc w:val="left"/>
            </w:pPr>
          </w:p>
        </w:tc>
      </w:tr>
      <w:tr w:rsidR="005B5FEF" w:rsidRPr="001D7816" w:rsidTr="0054573D">
        <w:tblPrEx>
          <w:tblCellSpacing w:w="8" w:type="dxa"/>
        </w:tblPrEx>
        <w:trPr>
          <w:tblCellSpacing w:w="8" w:type="dxa"/>
        </w:trPr>
        <w:tc>
          <w:tcPr>
            <w:tcW w:w="3085" w:type="dxa"/>
            <w:shd w:val="clear" w:color="auto" w:fill="auto"/>
          </w:tcPr>
          <w:p w:rsidR="005B5FEF" w:rsidRDefault="005B5FEF" w:rsidP="0054573D">
            <w:pPr>
              <w:pStyle w:val="Normal1linespace"/>
              <w:jc w:val="left"/>
            </w:pPr>
            <w:r>
              <w:t>Solicitor for South Australian Native Title Services Ltd:</w:t>
            </w:r>
          </w:p>
        </w:tc>
        <w:tc>
          <w:tcPr>
            <w:tcW w:w="5979" w:type="dxa"/>
            <w:gridSpan w:val="2"/>
            <w:shd w:val="clear" w:color="auto" w:fill="auto"/>
          </w:tcPr>
          <w:p w:rsidR="005B5FEF" w:rsidRDefault="005B5FEF" w:rsidP="0054573D">
            <w:pPr>
              <w:pStyle w:val="Normal1linespace"/>
              <w:jc w:val="left"/>
            </w:pPr>
            <w:r>
              <w:t>South Australian Native Title Services Ltd</w:t>
            </w:r>
          </w:p>
        </w:tc>
      </w:tr>
      <w:bookmarkEnd w:id="10"/>
    </w:tbl>
    <w:p w:rsidR="00532141" w:rsidRDefault="00532141" w:rsidP="00532141">
      <w:pPr>
        <w:pStyle w:val="Normal1linespace"/>
      </w:pPr>
    </w:p>
    <w:p w:rsidR="00532141" w:rsidRDefault="00532141" w:rsidP="00532141">
      <w:pPr>
        <w:pStyle w:val="Normal1linespace"/>
      </w:pPr>
    </w:p>
    <w:p w:rsidR="00730854" w:rsidRDefault="00730854" w:rsidP="00532141">
      <w:pPr>
        <w:spacing w:before="120" w:after="240"/>
        <w:rPr>
          <w:rFonts w:cs="Arial"/>
          <w:b/>
        </w:rPr>
        <w:sectPr w:rsidR="00730854">
          <w:headerReference w:type="default" r:id="rId9"/>
          <w:endnotePr>
            <w:numFmt w:val="decimal"/>
          </w:endnotePr>
          <w:type w:val="continuous"/>
          <w:pgSz w:w="11907" w:h="16840" w:code="9"/>
          <w:pgMar w:top="1440" w:right="1440" w:bottom="1440" w:left="1440" w:header="851" w:footer="851" w:gutter="0"/>
          <w:pgNumType w:start="1"/>
          <w:cols w:space="720"/>
          <w:noEndnote/>
          <w:titlePg/>
        </w:sectPr>
      </w:pPr>
    </w:p>
    <w:p w:rsidR="00654D4A" w:rsidRPr="0023277A" w:rsidRDefault="00654D4A" w:rsidP="00654D4A">
      <w:pPr>
        <w:spacing w:after="240"/>
      </w:pPr>
    </w:p>
    <w:tbl>
      <w:tblPr>
        <w:tblW w:w="0" w:type="auto"/>
        <w:tblLayout w:type="fixed"/>
        <w:tblLook w:val="0000" w:firstRow="0" w:lastRow="0" w:firstColumn="0" w:lastColumn="0" w:noHBand="0" w:noVBand="0"/>
      </w:tblPr>
      <w:tblGrid>
        <w:gridCol w:w="6771"/>
        <w:gridCol w:w="2471"/>
      </w:tblGrid>
      <w:tr w:rsidR="00654D4A" w:rsidTr="006166F1">
        <w:tc>
          <w:tcPr>
            <w:tcW w:w="6771" w:type="dxa"/>
          </w:tcPr>
          <w:p w:rsidR="00654D4A" w:rsidRDefault="00654D4A" w:rsidP="006166F1">
            <w:pPr>
              <w:pStyle w:val="NormalHeadings"/>
              <w:spacing w:after="120"/>
              <w:jc w:val="left"/>
              <w:rPr>
                <w:caps/>
                <w:szCs w:val="24"/>
              </w:rPr>
            </w:pPr>
            <w:r>
              <w:rPr>
                <w:caps/>
                <w:szCs w:val="24"/>
              </w:rPr>
              <w:t>IN THE FEDERAL COURT OF AUSTRALIA</w:t>
            </w:r>
          </w:p>
        </w:tc>
        <w:tc>
          <w:tcPr>
            <w:tcW w:w="2471" w:type="dxa"/>
          </w:tcPr>
          <w:p w:rsidR="00654D4A" w:rsidRDefault="00654D4A" w:rsidP="006166F1">
            <w:pPr>
              <w:pStyle w:val="NormalHeadings"/>
              <w:jc w:val="left"/>
              <w:rPr>
                <w:caps/>
                <w:szCs w:val="24"/>
              </w:rPr>
            </w:pPr>
          </w:p>
        </w:tc>
      </w:tr>
      <w:tr w:rsidR="00654D4A" w:rsidTr="006166F1">
        <w:tc>
          <w:tcPr>
            <w:tcW w:w="6771" w:type="dxa"/>
          </w:tcPr>
          <w:p w:rsidR="00654D4A" w:rsidRDefault="00654D4A" w:rsidP="006166F1">
            <w:pPr>
              <w:pStyle w:val="NormalHeadings"/>
              <w:spacing w:after="120"/>
              <w:jc w:val="left"/>
              <w:rPr>
                <w:caps/>
                <w:szCs w:val="24"/>
              </w:rPr>
            </w:pPr>
            <w:r>
              <w:rPr>
                <w:caps/>
                <w:szCs w:val="24"/>
              </w:rPr>
              <w:t>SOUTH AUSTRALIA DISTRICT REGISTRY</w:t>
            </w:r>
          </w:p>
        </w:tc>
        <w:tc>
          <w:tcPr>
            <w:tcW w:w="2471" w:type="dxa"/>
          </w:tcPr>
          <w:p w:rsidR="00654D4A" w:rsidRDefault="00654D4A" w:rsidP="006166F1">
            <w:pPr>
              <w:pStyle w:val="NormalHeadings"/>
              <w:tabs>
                <w:tab w:val="right" w:pos="3609"/>
              </w:tabs>
              <w:jc w:val="right"/>
              <w:rPr>
                <w:szCs w:val="24"/>
              </w:rPr>
            </w:pPr>
          </w:p>
        </w:tc>
      </w:tr>
      <w:tr w:rsidR="00654D4A" w:rsidTr="006166F1">
        <w:tc>
          <w:tcPr>
            <w:tcW w:w="6771" w:type="dxa"/>
          </w:tcPr>
          <w:p w:rsidR="00654D4A" w:rsidRDefault="00654D4A" w:rsidP="006166F1">
            <w:pPr>
              <w:pStyle w:val="NormalHeadings"/>
              <w:spacing w:after="120"/>
              <w:jc w:val="left"/>
              <w:rPr>
                <w:caps/>
                <w:szCs w:val="24"/>
              </w:rPr>
            </w:pPr>
            <w:r>
              <w:rPr>
                <w:caps/>
                <w:szCs w:val="24"/>
              </w:rPr>
              <w:t>GENERAL DIVISION</w:t>
            </w:r>
          </w:p>
        </w:tc>
        <w:tc>
          <w:tcPr>
            <w:tcW w:w="2471" w:type="dxa"/>
          </w:tcPr>
          <w:p w:rsidR="00654D4A" w:rsidRDefault="00654D4A" w:rsidP="006166F1">
            <w:pPr>
              <w:pStyle w:val="NormalHeadings"/>
              <w:tabs>
                <w:tab w:val="right" w:pos="3609"/>
              </w:tabs>
              <w:jc w:val="right"/>
              <w:rPr>
                <w:szCs w:val="24"/>
              </w:rPr>
            </w:pPr>
            <w:r>
              <w:rPr>
                <w:szCs w:val="24"/>
              </w:rPr>
              <w:t>SAD 163 of 2008</w:t>
            </w:r>
          </w:p>
        </w:tc>
      </w:tr>
    </w:tbl>
    <w:p w:rsidR="00654D4A" w:rsidRDefault="00654D4A" w:rsidP="00654D4A">
      <w:pPr>
        <w:pStyle w:val="AppealTable"/>
        <w:rPr>
          <w:sz w:val="24"/>
        </w:rPr>
      </w:pPr>
    </w:p>
    <w:p w:rsidR="00654D4A" w:rsidRDefault="00654D4A" w:rsidP="00654D4A">
      <w:pPr>
        <w:pStyle w:val="AppealTable"/>
        <w:rPr>
          <w:sz w:val="24"/>
        </w:rPr>
      </w:pPr>
      <w:proofErr w:type="spellStart"/>
      <w:r>
        <w:rPr>
          <w:sz w:val="24"/>
        </w:rPr>
        <w:t>DIERI</w:t>
      </w:r>
      <w:proofErr w:type="spellEnd"/>
      <w:r>
        <w:rPr>
          <w:sz w:val="24"/>
        </w:rPr>
        <w:t xml:space="preserve"> NO 2 NATIVE TITLE CLAIM</w:t>
      </w:r>
    </w:p>
    <w:p w:rsidR="00654D4A" w:rsidRPr="00391B76" w:rsidRDefault="00654D4A" w:rsidP="00654D4A">
      <w:pPr>
        <w:pStyle w:val="AppealTable"/>
        <w:rPr>
          <w:sz w:val="24"/>
        </w:rPr>
      </w:pPr>
      <w:r w:rsidRPr="00391B76">
        <w:rPr>
          <w:sz w:val="24"/>
        </w:rPr>
        <w:t xml:space="preserve"> </w:t>
      </w:r>
    </w:p>
    <w:tbl>
      <w:tblPr>
        <w:tblW w:w="0" w:type="auto"/>
        <w:tblLayout w:type="fixed"/>
        <w:tblLook w:val="0000" w:firstRow="0" w:lastRow="0" w:firstColumn="0" w:lastColumn="0" w:noHBand="0" w:noVBand="0"/>
      </w:tblPr>
      <w:tblGrid>
        <w:gridCol w:w="2376"/>
        <w:gridCol w:w="6866"/>
      </w:tblGrid>
      <w:tr w:rsidR="00654D4A" w:rsidTr="006166F1">
        <w:trPr>
          <w:trHeight w:val="386"/>
        </w:trPr>
        <w:tc>
          <w:tcPr>
            <w:tcW w:w="2376" w:type="dxa"/>
          </w:tcPr>
          <w:p w:rsidR="00654D4A" w:rsidRDefault="00654D4A" w:rsidP="006166F1">
            <w:pPr>
              <w:pStyle w:val="NormalHeadings"/>
              <w:jc w:val="left"/>
              <w:rPr>
                <w:caps/>
                <w:szCs w:val="24"/>
              </w:rPr>
            </w:pPr>
            <w:r>
              <w:rPr>
                <w:caps/>
                <w:szCs w:val="24"/>
              </w:rPr>
              <w:t>BETWEEN:</w:t>
            </w:r>
          </w:p>
        </w:tc>
        <w:tc>
          <w:tcPr>
            <w:tcW w:w="6866" w:type="dxa"/>
          </w:tcPr>
          <w:p w:rsidR="00654D4A" w:rsidRDefault="00654D4A" w:rsidP="006166F1">
            <w:pPr>
              <w:pStyle w:val="NormalHeadings"/>
              <w:jc w:val="left"/>
              <w:rPr>
                <w:szCs w:val="24"/>
              </w:rPr>
            </w:pPr>
            <w:r>
              <w:rPr>
                <w:szCs w:val="24"/>
              </w:rPr>
              <w:t>EDWARD LANDER AND OTHERS NAMED IN THE SCHEDULE OF PARTIES</w:t>
            </w:r>
          </w:p>
          <w:p w:rsidR="00654D4A" w:rsidRDefault="00654D4A" w:rsidP="006166F1">
            <w:pPr>
              <w:pStyle w:val="NormalHeadings"/>
              <w:jc w:val="left"/>
              <w:rPr>
                <w:szCs w:val="24"/>
              </w:rPr>
            </w:pPr>
            <w:r>
              <w:rPr>
                <w:szCs w:val="24"/>
              </w:rPr>
              <w:t>Applicant</w:t>
            </w:r>
          </w:p>
          <w:p w:rsidR="00654D4A" w:rsidRDefault="00654D4A" w:rsidP="006166F1">
            <w:pPr>
              <w:pStyle w:val="NormalHeadings"/>
              <w:jc w:val="left"/>
              <w:rPr>
                <w:szCs w:val="24"/>
              </w:rPr>
            </w:pPr>
          </w:p>
        </w:tc>
      </w:tr>
      <w:tr w:rsidR="00654D4A" w:rsidTr="006166F1">
        <w:trPr>
          <w:trHeight w:val="386"/>
        </w:trPr>
        <w:tc>
          <w:tcPr>
            <w:tcW w:w="2376" w:type="dxa"/>
          </w:tcPr>
          <w:p w:rsidR="00654D4A" w:rsidRDefault="00654D4A" w:rsidP="006166F1">
            <w:pPr>
              <w:pStyle w:val="NormalHeadings"/>
              <w:jc w:val="left"/>
              <w:rPr>
                <w:caps/>
                <w:szCs w:val="24"/>
              </w:rPr>
            </w:pPr>
            <w:r>
              <w:rPr>
                <w:caps/>
                <w:szCs w:val="24"/>
              </w:rPr>
              <w:t>AND:</w:t>
            </w:r>
          </w:p>
        </w:tc>
        <w:tc>
          <w:tcPr>
            <w:tcW w:w="6866" w:type="dxa"/>
          </w:tcPr>
          <w:p w:rsidR="00654D4A" w:rsidRDefault="00654D4A" w:rsidP="006166F1">
            <w:pPr>
              <w:pStyle w:val="NormalHeadings"/>
              <w:jc w:val="left"/>
              <w:rPr>
                <w:szCs w:val="24"/>
              </w:rPr>
            </w:pPr>
            <w:r>
              <w:rPr>
                <w:szCs w:val="24"/>
              </w:rPr>
              <w:t>STATE OF SOUTH AUSTRALIA AND OTHERS NAMED IN THE SCHEDULE OF PARTIES</w:t>
            </w:r>
          </w:p>
          <w:p w:rsidR="00654D4A" w:rsidRDefault="00654D4A" w:rsidP="006166F1">
            <w:pPr>
              <w:pStyle w:val="NormalHeadings"/>
              <w:jc w:val="left"/>
              <w:rPr>
                <w:szCs w:val="24"/>
              </w:rPr>
            </w:pPr>
            <w:r>
              <w:rPr>
                <w:szCs w:val="24"/>
              </w:rPr>
              <w:t>Respondent</w:t>
            </w:r>
          </w:p>
          <w:p w:rsidR="00654D4A" w:rsidRDefault="00654D4A" w:rsidP="006166F1">
            <w:pPr>
              <w:pStyle w:val="NormalHeadings"/>
              <w:jc w:val="left"/>
              <w:rPr>
                <w:szCs w:val="24"/>
              </w:rPr>
            </w:pPr>
          </w:p>
        </w:tc>
      </w:tr>
    </w:tbl>
    <w:p w:rsidR="00654D4A" w:rsidRDefault="00654D4A" w:rsidP="00654D4A">
      <w:pPr>
        <w:pStyle w:val="NormalHeadings"/>
      </w:pPr>
    </w:p>
    <w:tbl>
      <w:tblPr>
        <w:tblW w:w="0" w:type="auto"/>
        <w:tblLayout w:type="fixed"/>
        <w:tblLook w:val="0000" w:firstRow="0" w:lastRow="0" w:firstColumn="0" w:lastColumn="0" w:noHBand="0" w:noVBand="0"/>
      </w:tblPr>
      <w:tblGrid>
        <w:gridCol w:w="2376"/>
        <w:gridCol w:w="6866"/>
      </w:tblGrid>
      <w:tr w:rsidR="00654D4A" w:rsidTr="006166F1">
        <w:tc>
          <w:tcPr>
            <w:tcW w:w="2376" w:type="dxa"/>
          </w:tcPr>
          <w:p w:rsidR="00654D4A" w:rsidRDefault="00654D4A" w:rsidP="006166F1">
            <w:pPr>
              <w:pStyle w:val="NormalHeadings"/>
              <w:spacing w:after="120"/>
              <w:jc w:val="left"/>
              <w:rPr>
                <w:caps/>
                <w:szCs w:val="24"/>
              </w:rPr>
            </w:pPr>
            <w:r>
              <w:rPr>
                <w:caps/>
                <w:szCs w:val="24"/>
              </w:rPr>
              <w:t>JUDGE:</w:t>
            </w:r>
          </w:p>
        </w:tc>
        <w:tc>
          <w:tcPr>
            <w:tcW w:w="6866" w:type="dxa"/>
          </w:tcPr>
          <w:p w:rsidR="00654D4A" w:rsidRDefault="00654D4A" w:rsidP="006166F1">
            <w:pPr>
              <w:pStyle w:val="NormalHeadings"/>
              <w:jc w:val="left"/>
              <w:rPr>
                <w:caps/>
                <w:szCs w:val="24"/>
              </w:rPr>
            </w:pPr>
            <w:r>
              <w:rPr>
                <w:caps/>
                <w:szCs w:val="24"/>
              </w:rPr>
              <w:t>white j</w:t>
            </w:r>
          </w:p>
        </w:tc>
      </w:tr>
      <w:tr w:rsidR="00654D4A" w:rsidTr="006166F1">
        <w:tc>
          <w:tcPr>
            <w:tcW w:w="2376" w:type="dxa"/>
          </w:tcPr>
          <w:p w:rsidR="00654D4A" w:rsidRDefault="00654D4A" w:rsidP="006166F1">
            <w:pPr>
              <w:pStyle w:val="NormalHeadings"/>
              <w:spacing w:after="120"/>
              <w:jc w:val="left"/>
              <w:rPr>
                <w:caps/>
                <w:szCs w:val="24"/>
              </w:rPr>
            </w:pPr>
            <w:r>
              <w:rPr>
                <w:caps/>
                <w:szCs w:val="24"/>
              </w:rPr>
              <w:t>DATE OF ORDER:</w:t>
            </w:r>
          </w:p>
        </w:tc>
        <w:tc>
          <w:tcPr>
            <w:tcW w:w="6866" w:type="dxa"/>
          </w:tcPr>
          <w:p w:rsidR="00654D4A" w:rsidRDefault="006166F1" w:rsidP="006166F1">
            <w:pPr>
              <w:pStyle w:val="NormalHeadings"/>
              <w:jc w:val="left"/>
              <w:rPr>
                <w:caps/>
                <w:szCs w:val="24"/>
              </w:rPr>
            </w:pPr>
            <w:r>
              <w:rPr>
                <w:caps/>
                <w:szCs w:val="24"/>
              </w:rPr>
              <w:t>26 February</w:t>
            </w:r>
            <w:r w:rsidR="00654D4A">
              <w:rPr>
                <w:caps/>
                <w:szCs w:val="24"/>
              </w:rPr>
              <w:t xml:space="preserve"> 2014</w:t>
            </w:r>
          </w:p>
        </w:tc>
      </w:tr>
      <w:tr w:rsidR="00654D4A" w:rsidTr="006166F1">
        <w:tc>
          <w:tcPr>
            <w:tcW w:w="2376" w:type="dxa"/>
          </w:tcPr>
          <w:p w:rsidR="00654D4A" w:rsidRDefault="00654D4A" w:rsidP="006166F1">
            <w:pPr>
              <w:pStyle w:val="NormalHeadings"/>
              <w:spacing w:after="120"/>
              <w:jc w:val="left"/>
              <w:rPr>
                <w:caps/>
                <w:szCs w:val="24"/>
              </w:rPr>
            </w:pPr>
            <w:r>
              <w:rPr>
                <w:caps/>
                <w:szCs w:val="24"/>
              </w:rPr>
              <w:t>WHERE MADE:</w:t>
            </w:r>
          </w:p>
        </w:tc>
        <w:tc>
          <w:tcPr>
            <w:tcW w:w="6866" w:type="dxa"/>
          </w:tcPr>
          <w:p w:rsidR="00654D4A" w:rsidRDefault="006166F1" w:rsidP="006166F1">
            <w:pPr>
              <w:pStyle w:val="NormalHeadings"/>
              <w:jc w:val="left"/>
              <w:rPr>
                <w:caps/>
                <w:szCs w:val="24"/>
              </w:rPr>
            </w:pPr>
            <w:r>
              <w:rPr>
                <w:caps/>
                <w:szCs w:val="24"/>
              </w:rPr>
              <w:t>port augusta</w:t>
            </w:r>
          </w:p>
        </w:tc>
      </w:tr>
    </w:tbl>
    <w:p w:rsidR="00654D4A" w:rsidRDefault="00654D4A" w:rsidP="00654D4A">
      <w:pPr>
        <w:pStyle w:val="NormalHeadings"/>
        <w:rPr>
          <w:b w:val="0"/>
        </w:rPr>
      </w:pPr>
    </w:p>
    <w:p w:rsidR="00532141" w:rsidRDefault="00532141" w:rsidP="00532141">
      <w:pPr>
        <w:spacing w:before="120" w:after="240"/>
        <w:rPr>
          <w:rFonts w:cs="Arial"/>
          <w:b/>
        </w:rPr>
      </w:pPr>
      <w:r>
        <w:rPr>
          <w:rFonts w:cs="Arial"/>
          <w:b/>
        </w:rPr>
        <w:t>THE COURT NOTES THAT:</w:t>
      </w:r>
    </w:p>
    <w:p w:rsidR="00532141" w:rsidRDefault="00532141" w:rsidP="008A43A4">
      <w:pPr>
        <w:numPr>
          <w:ilvl w:val="0"/>
          <w:numId w:val="19"/>
        </w:numPr>
        <w:tabs>
          <w:tab w:val="clear" w:pos="724"/>
          <w:tab w:val="num" w:pos="993"/>
        </w:tabs>
        <w:spacing w:before="120" w:after="240"/>
        <w:ind w:left="993" w:hanging="629"/>
        <w:rPr>
          <w:rFonts w:cs="Arial"/>
        </w:rPr>
      </w:pPr>
      <w:r>
        <w:rPr>
          <w:rFonts w:cs="Arial"/>
        </w:rPr>
        <w:t>This determination covers part of the land and waters which:</w:t>
      </w:r>
    </w:p>
    <w:p w:rsidR="00532141" w:rsidRDefault="00532141" w:rsidP="008A43A4">
      <w:pPr>
        <w:numPr>
          <w:ilvl w:val="2"/>
          <w:numId w:val="19"/>
        </w:numPr>
        <w:tabs>
          <w:tab w:val="clear" w:pos="1080"/>
          <w:tab w:val="num" w:pos="1560"/>
        </w:tabs>
        <w:spacing w:before="120" w:after="240"/>
        <w:ind w:left="1560" w:hanging="567"/>
        <w:rPr>
          <w:rFonts w:cs="Arial"/>
        </w:rPr>
      </w:pPr>
      <w:r>
        <w:rPr>
          <w:rFonts w:cs="Arial"/>
        </w:rPr>
        <w:t xml:space="preserve">are subject to the </w:t>
      </w:r>
      <w:proofErr w:type="spellStart"/>
      <w:r>
        <w:rPr>
          <w:rFonts w:cs="Arial"/>
        </w:rPr>
        <w:t>Dieri</w:t>
      </w:r>
      <w:proofErr w:type="spellEnd"/>
      <w:r>
        <w:rPr>
          <w:rFonts w:cs="Arial"/>
        </w:rPr>
        <w:t xml:space="preserve"> No 2 Native Title Determination A</w:t>
      </w:r>
      <w:r w:rsidR="0054573D">
        <w:rPr>
          <w:rFonts w:cs="Arial"/>
        </w:rPr>
        <w:t>pplication (SAD 163 of 2008) (“</w:t>
      </w:r>
      <w:r>
        <w:rPr>
          <w:rFonts w:cs="Arial"/>
        </w:rPr>
        <w:t xml:space="preserve">the </w:t>
      </w:r>
      <w:proofErr w:type="spellStart"/>
      <w:r>
        <w:rPr>
          <w:rFonts w:cs="Arial"/>
        </w:rPr>
        <w:t>Dieri</w:t>
      </w:r>
      <w:proofErr w:type="spellEnd"/>
      <w:r>
        <w:rPr>
          <w:rFonts w:cs="Arial"/>
        </w:rPr>
        <w:t xml:space="preserve"> No 2 Claim”); and</w:t>
      </w:r>
    </w:p>
    <w:p w:rsidR="00532141" w:rsidRDefault="00532141" w:rsidP="008A43A4">
      <w:pPr>
        <w:numPr>
          <w:ilvl w:val="2"/>
          <w:numId w:val="19"/>
        </w:numPr>
        <w:tabs>
          <w:tab w:val="clear" w:pos="1080"/>
          <w:tab w:val="num" w:pos="1560"/>
        </w:tabs>
        <w:spacing w:before="120" w:after="240"/>
        <w:ind w:left="1560" w:hanging="567"/>
        <w:rPr>
          <w:rFonts w:cs="Arial"/>
        </w:rPr>
      </w:pPr>
      <w:r>
        <w:rPr>
          <w:rFonts w:cs="Arial"/>
        </w:rPr>
        <w:t xml:space="preserve">form part of the undetermined area of the </w:t>
      </w:r>
      <w:proofErr w:type="spellStart"/>
      <w:r>
        <w:rPr>
          <w:rFonts w:cs="Arial"/>
        </w:rPr>
        <w:t>Adnyamathanha</w:t>
      </w:r>
      <w:proofErr w:type="spellEnd"/>
      <w:r>
        <w:rPr>
          <w:rFonts w:cs="Arial"/>
        </w:rPr>
        <w:t xml:space="preserve"> No 1 Native Title Determination Application (SAD 6001 of 1998) (“the </w:t>
      </w:r>
      <w:proofErr w:type="spellStart"/>
      <w:r w:rsidRPr="00DC17B0">
        <w:rPr>
          <w:rFonts w:cs="Arial"/>
          <w:sz w:val="23"/>
        </w:rPr>
        <w:t>Adnyamathanha</w:t>
      </w:r>
      <w:proofErr w:type="spellEnd"/>
      <w:r>
        <w:rPr>
          <w:rFonts w:cs="Arial"/>
        </w:rPr>
        <w:t xml:space="preserve"> claim”) which overlaps the </w:t>
      </w:r>
      <w:proofErr w:type="spellStart"/>
      <w:r>
        <w:rPr>
          <w:rFonts w:cs="Arial"/>
        </w:rPr>
        <w:t>Dieri</w:t>
      </w:r>
      <w:proofErr w:type="spellEnd"/>
      <w:r>
        <w:rPr>
          <w:rFonts w:cs="Arial"/>
        </w:rPr>
        <w:t xml:space="preserve"> No 2 </w:t>
      </w:r>
      <w:r w:rsidR="0054573D">
        <w:rPr>
          <w:rFonts w:cs="Arial"/>
        </w:rPr>
        <w:t>C</w:t>
      </w:r>
      <w:r>
        <w:rPr>
          <w:rFonts w:cs="Arial"/>
        </w:rPr>
        <w:t>laim.</w:t>
      </w:r>
    </w:p>
    <w:p w:rsidR="00532141" w:rsidRDefault="00532141" w:rsidP="008A43A4">
      <w:pPr>
        <w:numPr>
          <w:ilvl w:val="0"/>
          <w:numId w:val="19"/>
        </w:numPr>
        <w:tabs>
          <w:tab w:val="clear" w:pos="724"/>
          <w:tab w:val="num" w:pos="993"/>
        </w:tabs>
        <w:spacing w:before="120" w:after="240"/>
        <w:ind w:left="993" w:hanging="629"/>
        <w:rPr>
          <w:rFonts w:cs="Arial"/>
        </w:rPr>
      </w:pPr>
      <w:r>
        <w:rPr>
          <w:rFonts w:cs="Arial"/>
        </w:rPr>
        <w:t xml:space="preserve">This determination is being made together with a consent determination over the remaining part of the </w:t>
      </w:r>
      <w:proofErr w:type="spellStart"/>
      <w:r>
        <w:rPr>
          <w:rFonts w:cs="Arial"/>
        </w:rPr>
        <w:t>Dieri</w:t>
      </w:r>
      <w:proofErr w:type="spellEnd"/>
      <w:r>
        <w:rPr>
          <w:rFonts w:cs="Arial"/>
        </w:rPr>
        <w:t xml:space="preserve"> No 2 claim in favour of the </w:t>
      </w:r>
      <w:proofErr w:type="spellStart"/>
      <w:r>
        <w:rPr>
          <w:rFonts w:cs="Arial"/>
        </w:rPr>
        <w:t>Adnyamathanha</w:t>
      </w:r>
      <w:proofErr w:type="spellEnd"/>
      <w:r>
        <w:rPr>
          <w:rFonts w:cs="Arial"/>
        </w:rPr>
        <w:t xml:space="preserve"> People.</w:t>
      </w:r>
    </w:p>
    <w:p w:rsidR="00532141" w:rsidRDefault="00532141" w:rsidP="008A43A4">
      <w:pPr>
        <w:numPr>
          <w:ilvl w:val="0"/>
          <w:numId w:val="19"/>
        </w:numPr>
        <w:tabs>
          <w:tab w:val="clear" w:pos="724"/>
          <w:tab w:val="num" w:pos="993"/>
        </w:tabs>
        <w:spacing w:before="120" w:after="240"/>
        <w:ind w:left="993" w:hanging="629"/>
        <w:rPr>
          <w:rFonts w:cs="Arial"/>
        </w:rPr>
      </w:pPr>
      <w:r>
        <w:rPr>
          <w:rFonts w:cs="Arial"/>
        </w:rPr>
        <w:t>The Parties to this determination (“the Parties”) agree that those areas listed in Schedule 2 are not included in the Determination Ar</w:t>
      </w:r>
      <w:r w:rsidR="005B5FEF">
        <w:rPr>
          <w:rFonts w:cs="Arial"/>
        </w:rPr>
        <w:t xml:space="preserve">ea having been excluded by the </w:t>
      </w:r>
      <w:r>
        <w:rPr>
          <w:rFonts w:cs="Arial"/>
        </w:rPr>
        <w:t>Applicants’ applications for a determination of native title.</w:t>
      </w:r>
    </w:p>
    <w:p w:rsidR="00532141" w:rsidRDefault="00532141" w:rsidP="008A43A4">
      <w:pPr>
        <w:numPr>
          <w:ilvl w:val="0"/>
          <w:numId w:val="19"/>
        </w:numPr>
        <w:tabs>
          <w:tab w:val="clear" w:pos="724"/>
          <w:tab w:val="num" w:pos="993"/>
        </w:tabs>
        <w:spacing w:before="120" w:after="240"/>
        <w:ind w:left="993" w:hanging="629"/>
        <w:rPr>
          <w:rFonts w:cs="Arial"/>
        </w:rPr>
      </w:pPr>
      <w:r>
        <w:rPr>
          <w:rFonts w:cs="Arial"/>
        </w:rPr>
        <w:t xml:space="preserve">The Parties have now reached agreement as to the terms of a determination of native title to be made in relation to the Determination Area.  They have filed an </w:t>
      </w:r>
      <w:r>
        <w:rPr>
          <w:rFonts w:cs="Arial"/>
        </w:rPr>
        <w:lastRenderedPageBreak/>
        <w:t xml:space="preserve">agreement in writing with this Court pursuant to section </w:t>
      </w:r>
      <w:proofErr w:type="spellStart"/>
      <w:r>
        <w:rPr>
          <w:rFonts w:cs="Arial"/>
        </w:rPr>
        <w:t>87A</w:t>
      </w:r>
      <w:proofErr w:type="spellEnd"/>
      <w:r>
        <w:rPr>
          <w:rFonts w:cs="Arial"/>
        </w:rPr>
        <w:t xml:space="preserve"> (1) of the </w:t>
      </w:r>
      <w:r>
        <w:rPr>
          <w:rFonts w:cs="Arial"/>
          <w:i/>
        </w:rPr>
        <w:t xml:space="preserve">Native Title Act </w:t>
      </w:r>
      <w:r>
        <w:rPr>
          <w:rFonts w:cs="Arial"/>
          <w:i/>
          <w:iCs/>
        </w:rPr>
        <w:t>1993</w:t>
      </w:r>
      <w:r>
        <w:rPr>
          <w:rFonts w:cs="Arial"/>
        </w:rPr>
        <w:t xml:space="preserve"> (</w:t>
      </w:r>
      <w:proofErr w:type="spellStart"/>
      <w:r>
        <w:rPr>
          <w:rFonts w:cs="Arial"/>
        </w:rPr>
        <w:t>Cth</w:t>
      </w:r>
      <w:proofErr w:type="spellEnd"/>
      <w:r>
        <w:rPr>
          <w:rFonts w:cs="Arial"/>
        </w:rPr>
        <w:t>) (“</w:t>
      </w:r>
      <w:r w:rsidRPr="0054573D">
        <w:rPr>
          <w:rFonts w:cs="Arial"/>
        </w:rPr>
        <w:t>the Native Title Act”)</w:t>
      </w:r>
      <w:r>
        <w:rPr>
          <w:rFonts w:cs="Arial"/>
        </w:rPr>
        <w:t xml:space="preserve"> to seek the making of consent orders for a determination.</w:t>
      </w:r>
    </w:p>
    <w:p w:rsidR="00532141" w:rsidRPr="00D35549" w:rsidRDefault="00532141" w:rsidP="008A43A4">
      <w:pPr>
        <w:numPr>
          <w:ilvl w:val="0"/>
          <w:numId w:val="19"/>
        </w:numPr>
        <w:tabs>
          <w:tab w:val="clear" w:pos="724"/>
          <w:tab w:val="num" w:pos="993"/>
        </w:tabs>
        <w:spacing w:before="120" w:after="240"/>
        <w:ind w:left="993" w:hanging="629"/>
        <w:rPr>
          <w:rFonts w:cs="Arial"/>
        </w:rPr>
      </w:pPr>
      <w:r>
        <w:rPr>
          <w:rFonts w:cs="Arial"/>
        </w:rPr>
        <w:t xml:space="preserve">The Parties acknowledge that the effect of the making of this determination will be that </w:t>
      </w:r>
      <w:r w:rsidRPr="00D35549">
        <w:rPr>
          <w:rFonts w:cs="Arial"/>
        </w:rPr>
        <w:t xml:space="preserve">those </w:t>
      </w:r>
      <w:proofErr w:type="spellStart"/>
      <w:r w:rsidRPr="00D35549">
        <w:rPr>
          <w:rFonts w:cs="Arial"/>
        </w:rPr>
        <w:t>Dieri</w:t>
      </w:r>
      <w:proofErr w:type="spellEnd"/>
      <w:r w:rsidRPr="00D35549">
        <w:rPr>
          <w:rFonts w:cs="Arial"/>
        </w:rPr>
        <w:t xml:space="preserve"> people described in Paragraph 6, in accordance with their traditional laws and customs, will be recognised as the native title holders for the Determination Area</w:t>
      </w:r>
      <w:r>
        <w:rPr>
          <w:rFonts w:cs="Arial"/>
        </w:rPr>
        <w:t>.</w:t>
      </w:r>
    </w:p>
    <w:p w:rsidR="00532141" w:rsidRPr="00D35549" w:rsidRDefault="00532141" w:rsidP="008A43A4">
      <w:pPr>
        <w:numPr>
          <w:ilvl w:val="0"/>
          <w:numId w:val="19"/>
        </w:numPr>
        <w:tabs>
          <w:tab w:val="clear" w:pos="724"/>
          <w:tab w:val="num" w:pos="993"/>
        </w:tabs>
        <w:spacing w:before="120" w:after="240"/>
        <w:ind w:left="993" w:hanging="629"/>
        <w:rPr>
          <w:rFonts w:cs="Arial"/>
          <w:u w:val="single"/>
        </w:rPr>
      </w:pPr>
      <w:r w:rsidRPr="00696775">
        <w:rPr>
          <w:rFonts w:cs="Arial"/>
        </w:rPr>
        <w:t xml:space="preserve">The Parties have agreed that </w:t>
      </w:r>
      <w:r w:rsidRPr="001F182D">
        <w:rPr>
          <w:rFonts w:cs="Arial"/>
        </w:rPr>
        <w:t xml:space="preserve">the prospective registered native title body corporate in respect of </w:t>
      </w:r>
      <w:r>
        <w:rPr>
          <w:rFonts w:cs="Arial"/>
        </w:rPr>
        <w:t>the</w:t>
      </w:r>
      <w:r w:rsidRPr="001F182D">
        <w:rPr>
          <w:rFonts w:cs="Arial"/>
        </w:rPr>
        <w:t xml:space="preserve"> Determination Area, </w:t>
      </w:r>
      <w:proofErr w:type="spellStart"/>
      <w:r w:rsidRPr="001F182D">
        <w:rPr>
          <w:rFonts w:cs="Arial"/>
        </w:rPr>
        <w:t>Dieri</w:t>
      </w:r>
      <w:proofErr w:type="spellEnd"/>
      <w:r w:rsidRPr="001F182D">
        <w:rPr>
          <w:rFonts w:cs="Arial"/>
        </w:rPr>
        <w:t xml:space="preserve"> Aboriginal Corporation </w:t>
      </w:r>
      <w:proofErr w:type="spellStart"/>
      <w:r w:rsidRPr="001F182D">
        <w:rPr>
          <w:rFonts w:cs="Arial"/>
        </w:rPr>
        <w:t>RNTBC</w:t>
      </w:r>
      <w:proofErr w:type="spellEnd"/>
      <w:r>
        <w:rPr>
          <w:rFonts w:cs="Arial"/>
        </w:rPr>
        <w:t>,</w:t>
      </w:r>
      <w:r w:rsidRPr="00AD1698">
        <w:rPr>
          <w:rFonts w:cs="Arial"/>
        </w:rPr>
        <w:t xml:space="preserve"> </w:t>
      </w:r>
      <w:r w:rsidRPr="00D35549">
        <w:rPr>
          <w:rFonts w:cs="Arial"/>
        </w:rPr>
        <w:t xml:space="preserve">may have liberty to apply to seek a variation of the determination of native title in this matter, as it relates to pastoral improvements in </w:t>
      </w:r>
      <w:r>
        <w:rPr>
          <w:rFonts w:cs="Arial"/>
        </w:rPr>
        <w:t>the</w:t>
      </w:r>
      <w:r w:rsidRPr="00D35549">
        <w:rPr>
          <w:rFonts w:cs="Arial"/>
        </w:rPr>
        <w:t xml:space="preserve"> Determination Area in the event that the ruling of the Federal Court of Australia </w:t>
      </w:r>
      <w:r w:rsidRPr="00532141">
        <w:rPr>
          <w:rFonts w:cs="Arial"/>
        </w:rPr>
        <w:t xml:space="preserve">in </w:t>
      </w:r>
      <w:r w:rsidRPr="00532141">
        <w:rPr>
          <w:rFonts w:cs="Arial"/>
          <w:i/>
        </w:rPr>
        <w:t>De Rose v South Australia (</w:t>
      </w:r>
      <w:proofErr w:type="spellStart"/>
      <w:r w:rsidRPr="00532141">
        <w:rPr>
          <w:rFonts w:cs="Arial"/>
          <w:i/>
        </w:rPr>
        <w:t>No.2</w:t>
      </w:r>
      <w:proofErr w:type="spellEnd"/>
      <w:r w:rsidRPr="00532141">
        <w:rPr>
          <w:rFonts w:cs="Arial"/>
          <w:i/>
        </w:rPr>
        <w:t>)</w:t>
      </w:r>
      <w:r w:rsidRPr="00D35549">
        <w:rPr>
          <w:rFonts w:cs="Arial"/>
          <w:i/>
        </w:rPr>
        <w:t xml:space="preserve"> </w:t>
      </w:r>
      <w:r w:rsidRPr="00D35549">
        <w:rPr>
          <w:rFonts w:cs="Arial"/>
        </w:rPr>
        <w:t xml:space="preserve">[2005] </w:t>
      </w:r>
      <w:proofErr w:type="spellStart"/>
      <w:r w:rsidRPr="00D35549">
        <w:rPr>
          <w:rFonts w:cs="Arial"/>
        </w:rPr>
        <w:t>FCAFC</w:t>
      </w:r>
      <w:proofErr w:type="spellEnd"/>
      <w:r w:rsidRPr="00D35549">
        <w:rPr>
          <w:rFonts w:cs="Arial"/>
        </w:rPr>
        <w:t xml:space="preserve"> 110; </w:t>
      </w:r>
      <w:r w:rsidR="0054573D">
        <w:rPr>
          <w:rFonts w:cs="Arial"/>
        </w:rPr>
        <w:t xml:space="preserve">(2005) </w:t>
      </w:r>
      <w:r w:rsidRPr="00D35549">
        <w:rPr>
          <w:rFonts w:cs="Arial"/>
        </w:rPr>
        <w:t xml:space="preserve">145 </w:t>
      </w:r>
      <w:proofErr w:type="spellStart"/>
      <w:r w:rsidRPr="00D35549">
        <w:rPr>
          <w:rFonts w:cs="Arial"/>
        </w:rPr>
        <w:t>FCR</w:t>
      </w:r>
      <w:proofErr w:type="spellEnd"/>
      <w:r w:rsidRPr="00D35549">
        <w:rPr>
          <w:rFonts w:cs="Arial"/>
        </w:rPr>
        <w:t xml:space="preserve"> 290 with respect to pastoral improvements is overturned, set aside or otherwise found to be an incorrect legal ruling by the High Court of Australia in the context of an appeal to the High Court of Australia from the decision of the Federal Court of Australia in </w:t>
      </w:r>
      <w:r w:rsidRPr="00532141">
        <w:rPr>
          <w:rFonts w:cs="Arial"/>
          <w:i/>
        </w:rPr>
        <w:t xml:space="preserve">Brown (on behalf of the </w:t>
      </w:r>
      <w:proofErr w:type="spellStart"/>
      <w:r w:rsidRPr="00532141">
        <w:rPr>
          <w:rFonts w:cs="Arial"/>
          <w:i/>
        </w:rPr>
        <w:t>Ngarla</w:t>
      </w:r>
      <w:proofErr w:type="spellEnd"/>
      <w:r w:rsidRPr="00532141">
        <w:rPr>
          <w:rFonts w:cs="Arial"/>
          <w:i/>
        </w:rPr>
        <w:t xml:space="preserve"> People) v State of Western Australia </w:t>
      </w:r>
      <w:r w:rsidRPr="00D35549">
        <w:rPr>
          <w:rFonts w:cs="Arial"/>
        </w:rPr>
        <w:t xml:space="preserve">[2012] </w:t>
      </w:r>
      <w:proofErr w:type="spellStart"/>
      <w:r w:rsidRPr="00D35549">
        <w:rPr>
          <w:rFonts w:cs="Arial"/>
        </w:rPr>
        <w:t>FCAFC</w:t>
      </w:r>
      <w:proofErr w:type="spellEnd"/>
      <w:r w:rsidRPr="00D35549">
        <w:rPr>
          <w:rFonts w:cs="Arial"/>
        </w:rPr>
        <w:t xml:space="preserve"> 154</w:t>
      </w:r>
      <w:r w:rsidR="0054573D">
        <w:rPr>
          <w:rFonts w:cs="Arial"/>
        </w:rPr>
        <w:t xml:space="preserve">; (2012) 208 </w:t>
      </w:r>
      <w:proofErr w:type="spellStart"/>
      <w:r w:rsidR="0054573D">
        <w:rPr>
          <w:rFonts w:cs="Arial"/>
        </w:rPr>
        <w:t>FCR</w:t>
      </w:r>
      <w:proofErr w:type="spellEnd"/>
      <w:r w:rsidR="0054573D">
        <w:rPr>
          <w:rFonts w:cs="Arial"/>
        </w:rPr>
        <w:t xml:space="preserve"> 505</w:t>
      </w:r>
      <w:r w:rsidRPr="00D35549">
        <w:rPr>
          <w:rFonts w:cs="Arial"/>
          <w:i/>
        </w:rPr>
        <w:t>.</w:t>
      </w:r>
    </w:p>
    <w:p w:rsidR="00C21B2E" w:rsidRDefault="00532141" w:rsidP="008A43A4">
      <w:pPr>
        <w:numPr>
          <w:ilvl w:val="0"/>
          <w:numId w:val="19"/>
        </w:numPr>
        <w:tabs>
          <w:tab w:val="clear" w:pos="724"/>
          <w:tab w:val="num" w:pos="993"/>
        </w:tabs>
        <w:spacing w:before="120" w:after="240"/>
        <w:ind w:left="993" w:hanging="629"/>
      </w:pPr>
      <w:r>
        <w:rPr>
          <w:rFonts w:cs="Arial"/>
        </w:rPr>
        <w:t>The Parties have requested that the Court make a determination over the Determination Area without a trial.</w:t>
      </w:r>
    </w:p>
    <w:p w:rsidR="00532141" w:rsidRDefault="00532141" w:rsidP="00730854">
      <w:pPr>
        <w:keepNext/>
        <w:tabs>
          <w:tab w:val="left" w:pos="0"/>
          <w:tab w:val="left" w:pos="9014"/>
        </w:tabs>
        <w:spacing w:after="240" w:line="240" w:lineRule="auto"/>
        <w:rPr>
          <w:rFonts w:cs="Arial"/>
          <w:b/>
          <w:bCs/>
        </w:rPr>
      </w:pPr>
      <w:r>
        <w:rPr>
          <w:rFonts w:cs="Arial"/>
          <w:b/>
          <w:bCs/>
        </w:rPr>
        <w:t xml:space="preserve">BY CONSENT THE COURT MAKES THE FOLLOWING DETERMINATION OF NATIVE TITLE PURSUANT TO SECTIONS </w:t>
      </w:r>
      <w:proofErr w:type="spellStart"/>
      <w:r>
        <w:rPr>
          <w:rFonts w:cs="Arial"/>
          <w:b/>
          <w:bCs/>
        </w:rPr>
        <w:t>87A</w:t>
      </w:r>
      <w:proofErr w:type="spellEnd"/>
      <w:r>
        <w:rPr>
          <w:rFonts w:cs="Arial"/>
          <w:b/>
          <w:bCs/>
        </w:rPr>
        <w:t xml:space="preserve"> OF THE NATIVE TITLE ACT:</w:t>
      </w:r>
    </w:p>
    <w:p w:rsidR="00532141" w:rsidRDefault="00532141" w:rsidP="008A43A4">
      <w:pPr>
        <w:numPr>
          <w:ilvl w:val="0"/>
          <w:numId w:val="20"/>
        </w:numPr>
        <w:tabs>
          <w:tab w:val="clear" w:pos="567"/>
          <w:tab w:val="num" w:pos="715"/>
        </w:tabs>
        <w:spacing w:after="240"/>
        <w:ind w:left="709" w:hanging="709"/>
      </w:pPr>
      <w:r>
        <w:t xml:space="preserve">In this determination including its schedules, unless the contrary intention appears, the words and expressions used have the same meaning as they are given in Part 15 of the </w:t>
      </w:r>
      <w:r w:rsidRPr="0054573D">
        <w:t>Native Title Act.</w:t>
      </w:r>
      <w:r>
        <w:t xml:space="preserve"> </w:t>
      </w:r>
    </w:p>
    <w:p w:rsidR="00532141" w:rsidRDefault="00532141" w:rsidP="008A43A4">
      <w:pPr>
        <w:numPr>
          <w:ilvl w:val="0"/>
          <w:numId w:val="20"/>
        </w:numPr>
        <w:tabs>
          <w:tab w:val="clear" w:pos="567"/>
          <w:tab w:val="num" w:pos="715"/>
        </w:tabs>
        <w:spacing w:after="240"/>
        <w:ind w:left="709" w:hanging="709"/>
        <w:rPr>
          <w:rFonts w:cs="Arial"/>
        </w:rPr>
      </w:pPr>
      <w:r>
        <w:rPr>
          <w:rFonts w:cs="Arial"/>
        </w:rPr>
        <w:t xml:space="preserve">In </w:t>
      </w:r>
      <w:r w:rsidRPr="00730854">
        <w:t>this</w:t>
      </w:r>
      <w:r>
        <w:rPr>
          <w:rFonts w:cs="Arial"/>
        </w:rPr>
        <w:t xml:space="preserve"> determination:</w:t>
      </w:r>
    </w:p>
    <w:p w:rsidR="00532141" w:rsidRPr="00811B65" w:rsidRDefault="00532141" w:rsidP="008A43A4">
      <w:pPr>
        <w:numPr>
          <w:ilvl w:val="1"/>
          <w:numId w:val="20"/>
        </w:numPr>
        <w:tabs>
          <w:tab w:val="clear" w:pos="1139"/>
          <w:tab w:val="num" w:pos="1418"/>
        </w:tabs>
        <w:spacing w:after="240"/>
        <w:ind w:left="1418" w:hanging="709"/>
        <w:rPr>
          <w:rFonts w:cs="Arial"/>
        </w:rPr>
      </w:pPr>
      <w:r w:rsidRPr="00811B65">
        <w:rPr>
          <w:rFonts w:cs="Arial"/>
        </w:rPr>
        <w:t xml:space="preserve">“Determination Area” means that part of the land and waters of the </w:t>
      </w:r>
      <w:proofErr w:type="spellStart"/>
      <w:r w:rsidRPr="00811B65">
        <w:rPr>
          <w:rFonts w:cs="Arial"/>
        </w:rPr>
        <w:t>Dieri</w:t>
      </w:r>
      <w:proofErr w:type="spellEnd"/>
      <w:r w:rsidRPr="00811B65">
        <w:rPr>
          <w:rFonts w:cs="Arial"/>
        </w:rPr>
        <w:t xml:space="preserve"> No</w:t>
      </w:r>
      <w:r w:rsidR="0054573D">
        <w:rPr>
          <w:rFonts w:cs="Arial"/>
        </w:rPr>
        <w:t> </w:t>
      </w:r>
      <w:r w:rsidRPr="00811B65">
        <w:rPr>
          <w:rFonts w:cs="Arial"/>
        </w:rPr>
        <w:t xml:space="preserve">2  </w:t>
      </w:r>
      <w:r w:rsidR="0054573D">
        <w:rPr>
          <w:rFonts w:cs="Arial"/>
        </w:rPr>
        <w:t>C</w:t>
      </w:r>
      <w:r w:rsidRPr="00811B65">
        <w:rPr>
          <w:rFonts w:cs="Arial"/>
        </w:rPr>
        <w:t xml:space="preserve">laim and the overlapping part of the </w:t>
      </w:r>
      <w:proofErr w:type="spellStart"/>
      <w:r w:rsidRPr="00811B65">
        <w:rPr>
          <w:rFonts w:cs="Arial"/>
          <w:sz w:val="23"/>
        </w:rPr>
        <w:t>Adnyamathanha</w:t>
      </w:r>
      <w:proofErr w:type="spellEnd"/>
      <w:r w:rsidRPr="00811B65">
        <w:rPr>
          <w:rFonts w:cs="Arial"/>
        </w:rPr>
        <w:t xml:space="preserve"> </w:t>
      </w:r>
      <w:r w:rsidR="0054573D">
        <w:rPr>
          <w:rFonts w:cs="Arial"/>
        </w:rPr>
        <w:t>No </w:t>
      </w:r>
      <w:r w:rsidRPr="00811B65">
        <w:rPr>
          <w:rFonts w:cs="Arial"/>
        </w:rPr>
        <w:t xml:space="preserve">1 claim as is described in </w:t>
      </w:r>
      <w:r w:rsidRPr="0054573D">
        <w:rPr>
          <w:rFonts w:cs="Arial"/>
        </w:rPr>
        <w:t>Schedule 1</w:t>
      </w:r>
      <w:r w:rsidRPr="00811B65">
        <w:rPr>
          <w:rFonts w:cs="Arial"/>
        </w:rPr>
        <w:t xml:space="preserve"> (and shown in the maps forming part of that </w:t>
      </w:r>
      <w:r w:rsidRPr="00811B65">
        <w:rPr>
          <w:rFonts w:cs="Arial"/>
        </w:rPr>
        <w:lastRenderedPageBreak/>
        <w:t>Schedule), apart from those excluded areas which are described in Paragraph 16 and in</w:t>
      </w:r>
      <w:r w:rsidRPr="00811B65">
        <w:rPr>
          <w:rFonts w:cs="Arial"/>
          <w:i/>
        </w:rPr>
        <w:t xml:space="preserve"> </w:t>
      </w:r>
      <w:r w:rsidRPr="0054573D">
        <w:rPr>
          <w:rFonts w:cs="Arial"/>
        </w:rPr>
        <w:t>Schedule 2</w:t>
      </w:r>
      <w:r w:rsidRPr="00811B65">
        <w:rPr>
          <w:rFonts w:cs="Arial"/>
        </w:rPr>
        <w:t xml:space="preserve"> (“excluded areas”);</w:t>
      </w:r>
    </w:p>
    <w:p w:rsidR="00532141" w:rsidRPr="00696775" w:rsidRDefault="00532141" w:rsidP="008A43A4">
      <w:pPr>
        <w:numPr>
          <w:ilvl w:val="1"/>
          <w:numId w:val="20"/>
        </w:numPr>
        <w:tabs>
          <w:tab w:val="clear" w:pos="1139"/>
          <w:tab w:val="num" w:pos="1418"/>
        </w:tabs>
        <w:spacing w:after="240"/>
        <w:ind w:left="1418" w:hanging="709"/>
        <w:rPr>
          <w:rFonts w:cs="Arial"/>
        </w:rPr>
      </w:pPr>
      <w:r>
        <w:rPr>
          <w:rFonts w:cs="Arial"/>
        </w:rPr>
        <w:t>“</w:t>
      </w:r>
      <w:proofErr w:type="spellStart"/>
      <w:r>
        <w:rPr>
          <w:rFonts w:cs="Arial"/>
        </w:rPr>
        <w:t>Adnyamathanha</w:t>
      </w:r>
      <w:proofErr w:type="spellEnd"/>
      <w:r>
        <w:rPr>
          <w:rFonts w:cs="Arial"/>
        </w:rPr>
        <w:t xml:space="preserve"> Determination Area” means the area of the consent determination being made in favour of the </w:t>
      </w:r>
      <w:proofErr w:type="spellStart"/>
      <w:r>
        <w:rPr>
          <w:rFonts w:cs="Arial"/>
        </w:rPr>
        <w:t>Adnyamathanha</w:t>
      </w:r>
      <w:proofErr w:type="spellEnd"/>
      <w:r>
        <w:rPr>
          <w:rFonts w:cs="Arial"/>
        </w:rPr>
        <w:t xml:space="preserve"> people over the</w:t>
      </w:r>
      <w:r w:rsidR="0054573D">
        <w:rPr>
          <w:rFonts w:cs="Arial"/>
        </w:rPr>
        <w:t xml:space="preserve"> remaining area of the </w:t>
      </w:r>
      <w:proofErr w:type="spellStart"/>
      <w:r w:rsidR="0054573D">
        <w:rPr>
          <w:rFonts w:cs="Arial"/>
        </w:rPr>
        <w:t>Dieri</w:t>
      </w:r>
      <w:proofErr w:type="spellEnd"/>
      <w:r w:rsidR="0054573D">
        <w:rPr>
          <w:rFonts w:cs="Arial"/>
        </w:rPr>
        <w:t xml:space="preserve"> No </w:t>
      </w:r>
      <w:r>
        <w:rPr>
          <w:rFonts w:cs="Arial"/>
        </w:rPr>
        <w:t>2 claim.</w:t>
      </w:r>
    </w:p>
    <w:p w:rsidR="00532141" w:rsidRDefault="00532141" w:rsidP="008A43A4">
      <w:pPr>
        <w:numPr>
          <w:ilvl w:val="0"/>
          <w:numId w:val="20"/>
        </w:numPr>
        <w:tabs>
          <w:tab w:val="clear" w:pos="567"/>
          <w:tab w:val="num" w:pos="715"/>
        </w:tabs>
        <w:spacing w:after="240"/>
        <w:ind w:left="709" w:hanging="709"/>
        <w:rPr>
          <w:rFonts w:cs="Arial"/>
        </w:rPr>
      </w:pPr>
      <w:r>
        <w:rPr>
          <w:rFonts w:cs="Arial"/>
        </w:rPr>
        <w:t xml:space="preserve">In this </w:t>
      </w:r>
      <w:r w:rsidRPr="00730854">
        <w:t>determination</w:t>
      </w:r>
      <w:r>
        <w:rPr>
          <w:rFonts w:cs="Arial"/>
        </w:rPr>
        <w:t xml:space="preserve"> including its schedules, in the event of an inconsistency between a description of an area in a schedule and the depiction of that area on the map in </w:t>
      </w:r>
      <w:r w:rsidRPr="0054573D">
        <w:rPr>
          <w:rFonts w:cs="Arial"/>
          <w:iCs/>
        </w:rPr>
        <w:t>Schedule 1</w:t>
      </w:r>
      <w:r>
        <w:rPr>
          <w:rFonts w:cs="Arial"/>
        </w:rPr>
        <w:t>, the written description shall prevail.</w:t>
      </w:r>
    </w:p>
    <w:p w:rsidR="00532141" w:rsidRDefault="00532141" w:rsidP="00532141">
      <w:pPr>
        <w:spacing w:after="240"/>
        <w:rPr>
          <w:rFonts w:cs="Arial"/>
          <w:b/>
        </w:rPr>
      </w:pPr>
      <w:r>
        <w:rPr>
          <w:rFonts w:cs="Arial"/>
          <w:b/>
        </w:rPr>
        <w:t>Existence of Native Title</w:t>
      </w:r>
    </w:p>
    <w:p w:rsidR="00532141" w:rsidRDefault="00532141" w:rsidP="008A43A4">
      <w:pPr>
        <w:numPr>
          <w:ilvl w:val="0"/>
          <w:numId w:val="20"/>
        </w:numPr>
        <w:tabs>
          <w:tab w:val="clear" w:pos="567"/>
          <w:tab w:val="num" w:pos="715"/>
        </w:tabs>
        <w:spacing w:after="240"/>
        <w:ind w:left="709" w:hanging="709"/>
        <w:rPr>
          <w:rFonts w:cs="Arial"/>
          <w:szCs w:val="22"/>
        </w:rPr>
      </w:pPr>
      <w:r>
        <w:rPr>
          <w:rFonts w:cs="Arial"/>
        </w:rPr>
        <w:t>Subject to Paragraphs 12 to 16 herein, native title exists in the Determination Area.</w:t>
      </w:r>
    </w:p>
    <w:p w:rsidR="00532141" w:rsidRDefault="00532141" w:rsidP="008A43A4">
      <w:pPr>
        <w:numPr>
          <w:ilvl w:val="0"/>
          <w:numId w:val="20"/>
        </w:numPr>
        <w:tabs>
          <w:tab w:val="clear" w:pos="567"/>
          <w:tab w:val="num" w:pos="715"/>
        </w:tabs>
        <w:spacing w:after="240"/>
        <w:ind w:left="709" w:hanging="709"/>
        <w:rPr>
          <w:rFonts w:cs="Arial"/>
        </w:rPr>
      </w:pPr>
      <w:r>
        <w:rPr>
          <w:rFonts w:cs="Arial"/>
        </w:rPr>
        <w:t xml:space="preserve">Native title does not exist in relation to the areas and resources described in Paragraphs 12, 15 and 16 herein. </w:t>
      </w:r>
    </w:p>
    <w:p w:rsidR="00532141" w:rsidRDefault="00532141" w:rsidP="00532141">
      <w:pPr>
        <w:spacing w:after="240"/>
        <w:rPr>
          <w:b/>
        </w:rPr>
      </w:pPr>
      <w:r>
        <w:rPr>
          <w:b/>
        </w:rPr>
        <w:t>The Native Title Holders</w:t>
      </w:r>
    </w:p>
    <w:p w:rsidR="00532141" w:rsidRPr="00126FA2" w:rsidRDefault="00532141" w:rsidP="008A43A4">
      <w:pPr>
        <w:numPr>
          <w:ilvl w:val="0"/>
          <w:numId w:val="20"/>
        </w:numPr>
        <w:tabs>
          <w:tab w:val="clear" w:pos="567"/>
          <w:tab w:val="num" w:pos="715"/>
        </w:tabs>
        <w:spacing w:after="240"/>
        <w:ind w:left="709" w:hanging="709"/>
        <w:rPr>
          <w:rFonts w:cs="Arial"/>
        </w:rPr>
      </w:pPr>
      <w:r w:rsidRPr="00126FA2">
        <w:rPr>
          <w:rFonts w:cs="Arial"/>
        </w:rPr>
        <w:t>The Native Title Holders in relation to the Determination Area are those living Aboriginal persons who are described in Schedule 3 who:</w:t>
      </w:r>
    </w:p>
    <w:p w:rsidR="00532141" w:rsidRDefault="0054573D" w:rsidP="008A43A4">
      <w:pPr>
        <w:numPr>
          <w:ilvl w:val="1"/>
          <w:numId w:val="20"/>
        </w:numPr>
        <w:tabs>
          <w:tab w:val="clear" w:pos="1139"/>
          <w:tab w:val="num" w:pos="1418"/>
        </w:tabs>
        <w:spacing w:after="240"/>
        <w:ind w:left="1418" w:hanging="709"/>
        <w:rPr>
          <w:rFonts w:cs="Arial"/>
        </w:rPr>
      </w:pPr>
      <w:r>
        <w:rPr>
          <w:rFonts w:cs="Arial"/>
        </w:rPr>
        <w:t xml:space="preserve">identify as </w:t>
      </w:r>
      <w:proofErr w:type="spellStart"/>
      <w:r>
        <w:rPr>
          <w:rFonts w:cs="Arial"/>
        </w:rPr>
        <w:t>Dieri</w:t>
      </w:r>
      <w:proofErr w:type="spellEnd"/>
      <w:r w:rsidR="00532141">
        <w:rPr>
          <w:rFonts w:cs="Arial"/>
        </w:rPr>
        <w:t xml:space="preserve">; and </w:t>
      </w:r>
    </w:p>
    <w:p w:rsidR="00532141" w:rsidRDefault="00532141" w:rsidP="008A43A4">
      <w:pPr>
        <w:numPr>
          <w:ilvl w:val="1"/>
          <w:numId w:val="20"/>
        </w:numPr>
        <w:tabs>
          <w:tab w:val="clear" w:pos="1139"/>
          <w:tab w:val="num" w:pos="1418"/>
        </w:tabs>
        <w:spacing w:after="240"/>
        <w:ind w:left="1418" w:hanging="709"/>
        <w:rPr>
          <w:rFonts w:cs="Arial"/>
        </w:rPr>
      </w:pPr>
      <w:r>
        <w:rPr>
          <w:rFonts w:cs="Arial"/>
        </w:rPr>
        <w:t xml:space="preserve">are recognised by other Native Title Holders under the relevant </w:t>
      </w:r>
      <w:proofErr w:type="spellStart"/>
      <w:r>
        <w:rPr>
          <w:rFonts w:cs="Arial"/>
        </w:rPr>
        <w:t>Dieri</w:t>
      </w:r>
      <w:proofErr w:type="spellEnd"/>
      <w:r>
        <w:rPr>
          <w:rFonts w:cs="Arial"/>
        </w:rPr>
        <w:t xml:space="preserve"> traditional laws and customs as having maintained an affiliation with, and continuing to hold native title rights and interests in the Determination Area.</w:t>
      </w:r>
    </w:p>
    <w:p w:rsidR="00532141" w:rsidRPr="007D0C2D" w:rsidRDefault="00532141" w:rsidP="00532141">
      <w:pPr>
        <w:spacing w:after="240"/>
        <w:rPr>
          <w:b/>
        </w:rPr>
      </w:pPr>
      <w:r w:rsidRPr="0023277A">
        <w:rPr>
          <w:b/>
        </w:rPr>
        <w:t>Native title rights and interests</w:t>
      </w:r>
    </w:p>
    <w:p w:rsidR="00532141" w:rsidRDefault="00532141" w:rsidP="008A43A4">
      <w:pPr>
        <w:numPr>
          <w:ilvl w:val="0"/>
          <w:numId w:val="20"/>
        </w:numPr>
        <w:tabs>
          <w:tab w:val="clear" w:pos="567"/>
          <w:tab w:val="num" w:pos="715"/>
        </w:tabs>
        <w:spacing w:after="240"/>
        <w:ind w:left="709" w:hanging="709"/>
      </w:pPr>
      <w:r>
        <w:t xml:space="preserve">Subject to </w:t>
      </w:r>
      <w:r w:rsidRPr="00730854">
        <w:rPr>
          <w:rFonts w:cs="Arial"/>
        </w:rPr>
        <w:t>Paragraphs</w:t>
      </w:r>
      <w:r>
        <w:t xml:space="preserve"> 8, 9 and 10, the nature and extent of the native title rights and interests held by the Native Title Holders are rights to use, stay on and enjoy the land and waters of the Determination Area, being:</w:t>
      </w:r>
    </w:p>
    <w:p w:rsidR="00532141" w:rsidRDefault="00532141" w:rsidP="008A43A4">
      <w:pPr>
        <w:numPr>
          <w:ilvl w:val="1"/>
          <w:numId w:val="20"/>
        </w:numPr>
        <w:tabs>
          <w:tab w:val="clear" w:pos="1139"/>
          <w:tab w:val="num" w:pos="1418"/>
        </w:tabs>
        <w:spacing w:after="240"/>
        <w:ind w:left="1418" w:hanging="709"/>
      </w:pPr>
      <w:r>
        <w:t xml:space="preserve">The </w:t>
      </w:r>
      <w:r w:rsidRPr="005227D2">
        <w:rPr>
          <w:rFonts w:cs="Arial"/>
        </w:rPr>
        <w:t>right</w:t>
      </w:r>
      <w:r>
        <w:t xml:space="preserve"> to access and move about the Determination Area;</w:t>
      </w:r>
    </w:p>
    <w:p w:rsidR="00532141" w:rsidRDefault="00532141" w:rsidP="008A43A4">
      <w:pPr>
        <w:numPr>
          <w:ilvl w:val="1"/>
          <w:numId w:val="20"/>
        </w:numPr>
        <w:tabs>
          <w:tab w:val="clear" w:pos="1139"/>
          <w:tab w:val="num" w:pos="1418"/>
        </w:tabs>
        <w:spacing w:after="240"/>
        <w:ind w:left="1418" w:hanging="709"/>
      </w:pPr>
      <w:r>
        <w:t>The right to live, to camp and to erect shelters on the Determination Area;</w:t>
      </w:r>
    </w:p>
    <w:p w:rsidR="00532141" w:rsidRDefault="00532141" w:rsidP="008A43A4">
      <w:pPr>
        <w:numPr>
          <w:ilvl w:val="1"/>
          <w:numId w:val="20"/>
        </w:numPr>
        <w:tabs>
          <w:tab w:val="clear" w:pos="1139"/>
          <w:tab w:val="num" w:pos="1418"/>
        </w:tabs>
        <w:spacing w:after="240"/>
        <w:ind w:left="1418" w:hanging="709"/>
      </w:pPr>
      <w:r>
        <w:lastRenderedPageBreak/>
        <w:t>The right to hunt and fish on the Determination Area;</w:t>
      </w:r>
    </w:p>
    <w:p w:rsidR="00532141" w:rsidRDefault="00532141" w:rsidP="008A43A4">
      <w:pPr>
        <w:numPr>
          <w:ilvl w:val="1"/>
          <w:numId w:val="20"/>
        </w:numPr>
        <w:tabs>
          <w:tab w:val="clear" w:pos="1139"/>
          <w:tab w:val="num" w:pos="1418"/>
        </w:tabs>
        <w:spacing w:after="240"/>
        <w:ind w:left="1418" w:hanging="709"/>
      </w:pPr>
      <w:r>
        <w:t xml:space="preserve">The right to </w:t>
      </w:r>
      <w:r w:rsidRPr="005227D2">
        <w:rPr>
          <w:rFonts w:cs="Arial"/>
        </w:rPr>
        <w:t>g</w:t>
      </w:r>
      <w:r>
        <w:t>ather and use the natural resources of the Determination Area such as food, plants, timber, resin, ochre and soil;</w:t>
      </w:r>
    </w:p>
    <w:p w:rsidR="00532141" w:rsidRDefault="00532141" w:rsidP="008A43A4">
      <w:pPr>
        <w:numPr>
          <w:ilvl w:val="1"/>
          <w:numId w:val="20"/>
        </w:numPr>
        <w:tabs>
          <w:tab w:val="clear" w:pos="1139"/>
          <w:tab w:val="num" w:pos="1418"/>
        </w:tabs>
        <w:spacing w:after="240"/>
        <w:ind w:left="1418" w:hanging="709"/>
      </w:pPr>
      <w:r>
        <w:t xml:space="preserve">The right to </w:t>
      </w:r>
      <w:r w:rsidRPr="005227D2">
        <w:rPr>
          <w:rFonts w:cs="Arial"/>
        </w:rPr>
        <w:t>cook</w:t>
      </w:r>
      <w:r>
        <w:t xml:space="preserve"> and to light fires for cooking and camping purposes on the Determination Area;</w:t>
      </w:r>
    </w:p>
    <w:p w:rsidR="00532141" w:rsidRDefault="00532141" w:rsidP="008A43A4">
      <w:pPr>
        <w:numPr>
          <w:ilvl w:val="1"/>
          <w:numId w:val="20"/>
        </w:numPr>
        <w:tabs>
          <w:tab w:val="clear" w:pos="1139"/>
          <w:tab w:val="num" w:pos="1418"/>
        </w:tabs>
        <w:spacing w:after="240"/>
        <w:ind w:left="1418" w:hanging="709"/>
      </w:pPr>
      <w:r>
        <w:t xml:space="preserve">The right to use </w:t>
      </w:r>
      <w:r w:rsidRPr="005227D2">
        <w:rPr>
          <w:rFonts w:cs="Arial"/>
        </w:rPr>
        <w:t>the</w:t>
      </w:r>
      <w:r>
        <w:t xml:space="preserve"> natural water resources of the Determination Area;</w:t>
      </w:r>
    </w:p>
    <w:p w:rsidR="00532141" w:rsidRDefault="00532141" w:rsidP="008A43A4">
      <w:pPr>
        <w:numPr>
          <w:ilvl w:val="1"/>
          <w:numId w:val="20"/>
        </w:numPr>
        <w:tabs>
          <w:tab w:val="clear" w:pos="1139"/>
          <w:tab w:val="num" w:pos="1418"/>
        </w:tabs>
        <w:spacing w:after="240"/>
        <w:ind w:left="1418" w:hanging="709"/>
      </w:pPr>
      <w:r>
        <w:t xml:space="preserve">The right to </w:t>
      </w:r>
      <w:r w:rsidRPr="005227D2">
        <w:rPr>
          <w:rFonts w:cs="Arial"/>
        </w:rPr>
        <w:t>distribute</w:t>
      </w:r>
      <w:r>
        <w:t xml:space="preserve">, trade or exchange the natural resources of the Determination Area; </w:t>
      </w:r>
    </w:p>
    <w:p w:rsidR="00532141" w:rsidRDefault="00532141" w:rsidP="008A43A4">
      <w:pPr>
        <w:numPr>
          <w:ilvl w:val="1"/>
          <w:numId w:val="20"/>
        </w:numPr>
        <w:tabs>
          <w:tab w:val="clear" w:pos="1139"/>
          <w:tab w:val="num" w:pos="1418"/>
        </w:tabs>
        <w:spacing w:after="240"/>
        <w:ind w:left="1418" w:hanging="709"/>
      </w:pPr>
      <w:r>
        <w:t xml:space="preserve">The right to conduct </w:t>
      </w:r>
      <w:r w:rsidRPr="005227D2">
        <w:rPr>
          <w:rFonts w:cs="Arial"/>
        </w:rPr>
        <w:t>ceremonies</w:t>
      </w:r>
      <w:r>
        <w:t xml:space="preserve"> and hold meetings on the Determination Area;</w:t>
      </w:r>
    </w:p>
    <w:p w:rsidR="00532141" w:rsidRDefault="00532141" w:rsidP="008A43A4">
      <w:pPr>
        <w:numPr>
          <w:ilvl w:val="1"/>
          <w:numId w:val="20"/>
        </w:numPr>
        <w:tabs>
          <w:tab w:val="clear" w:pos="1139"/>
          <w:tab w:val="num" w:pos="1418"/>
        </w:tabs>
        <w:spacing w:after="240"/>
        <w:ind w:left="1418" w:hanging="709"/>
      </w:pPr>
      <w:r>
        <w:t xml:space="preserve">The right to </w:t>
      </w:r>
      <w:r w:rsidRPr="005227D2">
        <w:rPr>
          <w:rFonts w:cs="Arial"/>
        </w:rPr>
        <w:t>engage</w:t>
      </w:r>
      <w:r>
        <w:t xml:space="preserve"> and participate in cultural activities on the Determination Area including those relating to births and deaths;</w:t>
      </w:r>
    </w:p>
    <w:p w:rsidR="00532141" w:rsidRDefault="00532141" w:rsidP="008A43A4">
      <w:pPr>
        <w:numPr>
          <w:ilvl w:val="1"/>
          <w:numId w:val="20"/>
        </w:numPr>
        <w:tabs>
          <w:tab w:val="clear" w:pos="1139"/>
          <w:tab w:val="num" w:pos="1418"/>
        </w:tabs>
        <w:spacing w:after="240"/>
        <w:ind w:left="1418" w:hanging="709"/>
      </w:pPr>
      <w:r>
        <w:t xml:space="preserve">The right to carry </w:t>
      </w:r>
      <w:r w:rsidRPr="005227D2">
        <w:rPr>
          <w:rFonts w:cs="Arial"/>
        </w:rPr>
        <w:t>out</w:t>
      </w:r>
      <w:r>
        <w:t xml:space="preserve"> and maintain burials of deceased native title holders and of their ancestors within the Determination Area;</w:t>
      </w:r>
    </w:p>
    <w:p w:rsidR="00532141" w:rsidRDefault="00532141" w:rsidP="008A43A4">
      <w:pPr>
        <w:numPr>
          <w:ilvl w:val="1"/>
          <w:numId w:val="20"/>
        </w:numPr>
        <w:tabs>
          <w:tab w:val="clear" w:pos="1139"/>
          <w:tab w:val="num" w:pos="1418"/>
        </w:tabs>
        <w:spacing w:after="240"/>
        <w:ind w:left="1418" w:hanging="709"/>
      </w:pPr>
      <w:r>
        <w:t>The right to teach on the Determination Area the physical and spiritual attributes of locations and sites within the Determination Area;</w:t>
      </w:r>
    </w:p>
    <w:p w:rsidR="00532141" w:rsidRDefault="00532141" w:rsidP="008A43A4">
      <w:pPr>
        <w:numPr>
          <w:ilvl w:val="1"/>
          <w:numId w:val="20"/>
        </w:numPr>
        <w:tabs>
          <w:tab w:val="clear" w:pos="1139"/>
          <w:tab w:val="num" w:pos="1418"/>
        </w:tabs>
        <w:spacing w:after="240"/>
        <w:ind w:left="1418" w:hanging="709"/>
      </w:pPr>
      <w:r>
        <w:t>The right to visit, maintain and preserve sites and places of cultural or spiritual significance to Native Title Holders within the Determination Area;</w:t>
      </w:r>
    </w:p>
    <w:p w:rsidR="00532141" w:rsidRDefault="00532141" w:rsidP="008A43A4">
      <w:pPr>
        <w:numPr>
          <w:ilvl w:val="1"/>
          <w:numId w:val="20"/>
        </w:numPr>
        <w:tabs>
          <w:tab w:val="clear" w:pos="1139"/>
          <w:tab w:val="num" w:pos="1418"/>
        </w:tabs>
        <w:spacing w:after="240"/>
        <w:ind w:left="1418" w:hanging="709"/>
      </w:pPr>
      <w:r>
        <w:t>The right to speak for and make decisions in relation to the Determination Area about the use and enjoyment of the Determination Area by Aboriginal people who recognise themselves to be governed by the traditional laws and customs acknowledged by the Native Title Holders of the Determination Area;</w:t>
      </w:r>
    </w:p>
    <w:p w:rsidR="00532141" w:rsidRPr="00C57160" w:rsidRDefault="00532141" w:rsidP="008A43A4">
      <w:pPr>
        <w:numPr>
          <w:ilvl w:val="1"/>
          <w:numId w:val="20"/>
        </w:numPr>
        <w:tabs>
          <w:tab w:val="clear" w:pos="1139"/>
          <w:tab w:val="num" w:pos="1418"/>
        </w:tabs>
        <w:spacing w:after="240"/>
        <w:ind w:left="1418" w:hanging="709"/>
      </w:pPr>
      <w:r>
        <w:rPr>
          <w:rFonts w:cs="Arial"/>
        </w:rPr>
        <w:t>The right to be accompanied on to the Determination Area by those people who, though not Native Title Holders, are:</w:t>
      </w:r>
    </w:p>
    <w:p w:rsidR="00532141" w:rsidRDefault="00532141" w:rsidP="008A43A4">
      <w:pPr>
        <w:numPr>
          <w:ilvl w:val="2"/>
          <w:numId w:val="20"/>
        </w:numPr>
        <w:tabs>
          <w:tab w:val="clear" w:pos="1854"/>
          <w:tab w:val="num" w:pos="2127"/>
        </w:tabs>
        <w:spacing w:after="240"/>
        <w:ind w:left="2127" w:hanging="709"/>
        <w:rPr>
          <w:rFonts w:cs="Arial"/>
        </w:rPr>
      </w:pPr>
      <w:r>
        <w:rPr>
          <w:rFonts w:cs="Arial"/>
        </w:rPr>
        <w:t>spouses of Native Title Holders; or</w:t>
      </w:r>
    </w:p>
    <w:p w:rsidR="00532141" w:rsidRDefault="00532141" w:rsidP="008A43A4">
      <w:pPr>
        <w:numPr>
          <w:ilvl w:val="2"/>
          <w:numId w:val="20"/>
        </w:numPr>
        <w:tabs>
          <w:tab w:val="clear" w:pos="1854"/>
          <w:tab w:val="num" w:pos="2127"/>
        </w:tabs>
        <w:spacing w:after="240"/>
        <w:ind w:left="2127" w:hanging="709"/>
        <w:rPr>
          <w:rFonts w:cs="Arial"/>
        </w:rPr>
      </w:pPr>
      <w:r>
        <w:rPr>
          <w:rFonts w:cs="Arial"/>
        </w:rPr>
        <w:lastRenderedPageBreak/>
        <w:t>people required by traditional law and custom for the performance of ceremonies or cultural activities on the Determination Area; or</w:t>
      </w:r>
    </w:p>
    <w:p w:rsidR="00532141" w:rsidRPr="00C57160" w:rsidRDefault="00532141" w:rsidP="008A43A4">
      <w:pPr>
        <w:numPr>
          <w:ilvl w:val="2"/>
          <w:numId w:val="20"/>
        </w:numPr>
        <w:tabs>
          <w:tab w:val="clear" w:pos="1854"/>
          <w:tab w:val="num" w:pos="2127"/>
        </w:tabs>
        <w:spacing w:after="240"/>
        <w:ind w:left="2127" w:hanging="709"/>
      </w:pPr>
      <w:r>
        <w:rPr>
          <w:rFonts w:cs="Arial"/>
        </w:rPr>
        <w:t xml:space="preserve">people who have rights in relation to the Determination Area according to the traditional laws and customs acknowledged by the Native Title Holders. </w:t>
      </w:r>
    </w:p>
    <w:p w:rsidR="00532141" w:rsidRDefault="00532141" w:rsidP="008A43A4">
      <w:pPr>
        <w:numPr>
          <w:ilvl w:val="0"/>
          <w:numId w:val="20"/>
        </w:numPr>
        <w:tabs>
          <w:tab w:val="clear" w:pos="567"/>
          <w:tab w:val="num" w:pos="715"/>
        </w:tabs>
        <w:spacing w:after="240"/>
        <w:ind w:left="709" w:hanging="709"/>
      </w:pPr>
      <w:r>
        <w:t xml:space="preserve">The native </w:t>
      </w:r>
      <w:r w:rsidRPr="00730854">
        <w:rPr>
          <w:rFonts w:cs="Arial"/>
        </w:rPr>
        <w:t>title</w:t>
      </w:r>
      <w:r>
        <w:t xml:space="preserve"> rights and interests described in Paragraph 7 do not confer possession, occupation, use and enjoyment of the Determination Area on the Native Title Holders to the exclusion of others.</w:t>
      </w:r>
    </w:p>
    <w:p w:rsidR="00532141" w:rsidRDefault="00532141" w:rsidP="008A43A4">
      <w:pPr>
        <w:numPr>
          <w:ilvl w:val="0"/>
          <w:numId w:val="20"/>
        </w:numPr>
        <w:tabs>
          <w:tab w:val="clear" w:pos="567"/>
          <w:tab w:val="num" w:pos="715"/>
        </w:tabs>
        <w:spacing w:after="240"/>
        <w:ind w:left="709" w:hanging="709"/>
      </w:pPr>
      <w:r>
        <w:t>The native title rights and interests are</w:t>
      </w:r>
      <w:r>
        <w:rPr>
          <w:b/>
          <w:bCs/>
        </w:rPr>
        <w:t xml:space="preserve"> </w:t>
      </w:r>
      <w:r>
        <w:t>for personal, domestic and non-commercial communal use.</w:t>
      </w:r>
    </w:p>
    <w:p w:rsidR="00532141" w:rsidRDefault="00532141" w:rsidP="008A43A4">
      <w:pPr>
        <w:numPr>
          <w:ilvl w:val="0"/>
          <w:numId w:val="20"/>
        </w:numPr>
        <w:tabs>
          <w:tab w:val="clear" w:pos="567"/>
          <w:tab w:val="num" w:pos="715"/>
        </w:tabs>
        <w:spacing w:after="240"/>
        <w:ind w:left="709" w:hanging="709"/>
      </w:pPr>
      <w:r>
        <w:t xml:space="preserve">The native </w:t>
      </w:r>
      <w:r w:rsidRPr="00730854">
        <w:rPr>
          <w:rFonts w:cs="Arial"/>
        </w:rPr>
        <w:t>title</w:t>
      </w:r>
      <w:r>
        <w:t xml:space="preserve"> rights and interests are subject to and exercisable in accordance with:</w:t>
      </w:r>
    </w:p>
    <w:p w:rsidR="00532141" w:rsidRDefault="00532141" w:rsidP="008A43A4">
      <w:pPr>
        <w:numPr>
          <w:ilvl w:val="1"/>
          <w:numId w:val="20"/>
        </w:numPr>
        <w:tabs>
          <w:tab w:val="clear" w:pos="1139"/>
          <w:tab w:val="num" w:pos="1418"/>
        </w:tabs>
        <w:spacing w:after="240"/>
        <w:ind w:left="1418" w:hanging="709"/>
      </w:pPr>
      <w:r>
        <w:t xml:space="preserve">the traditional </w:t>
      </w:r>
      <w:r w:rsidRPr="005227D2">
        <w:rPr>
          <w:rFonts w:cs="Arial"/>
        </w:rPr>
        <w:t>laws</w:t>
      </w:r>
      <w:r>
        <w:t xml:space="preserve"> and customs of the Native Title Holders;</w:t>
      </w:r>
    </w:p>
    <w:p w:rsidR="00532141" w:rsidRDefault="00532141" w:rsidP="008A43A4">
      <w:pPr>
        <w:numPr>
          <w:ilvl w:val="1"/>
          <w:numId w:val="20"/>
        </w:numPr>
        <w:tabs>
          <w:tab w:val="clear" w:pos="1139"/>
          <w:tab w:val="num" w:pos="1418"/>
        </w:tabs>
        <w:spacing w:after="240"/>
        <w:ind w:left="1418" w:hanging="709"/>
      </w:pPr>
      <w:r>
        <w:t xml:space="preserve">the valid laws of </w:t>
      </w:r>
      <w:r w:rsidRPr="005227D2">
        <w:rPr>
          <w:rFonts w:cs="Arial"/>
        </w:rPr>
        <w:t>the</w:t>
      </w:r>
      <w:r>
        <w:t xml:space="preserve"> State and Commonwealth, including the common law.</w:t>
      </w:r>
    </w:p>
    <w:p w:rsidR="00532141" w:rsidRPr="00623BA8" w:rsidRDefault="00532141" w:rsidP="005227D2">
      <w:pPr>
        <w:spacing w:after="240"/>
        <w:ind w:left="709"/>
      </w:pPr>
      <w:r>
        <w:t xml:space="preserve">For the </w:t>
      </w:r>
      <w:r w:rsidRPr="00730854">
        <w:rPr>
          <w:rFonts w:cs="Arial"/>
        </w:rPr>
        <w:t>avoidance</w:t>
      </w:r>
      <w:r>
        <w:t xml:space="preserve"> of doubt, the native title rights and interests expressed in Paragraph 7(f) are subject to the </w:t>
      </w:r>
      <w:r>
        <w:rPr>
          <w:i/>
        </w:rPr>
        <w:t xml:space="preserve">Natural Resources Management Act </w:t>
      </w:r>
      <w:r w:rsidRPr="0054573D">
        <w:rPr>
          <w:i/>
        </w:rPr>
        <w:t>2004</w:t>
      </w:r>
      <w:r>
        <w:t xml:space="preserve"> (SA).</w:t>
      </w:r>
    </w:p>
    <w:p w:rsidR="00532141" w:rsidRDefault="00532141" w:rsidP="00314A32">
      <w:pPr>
        <w:keepNext/>
        <w:spacing w:after="240"/>
      </w:pPr>
      <w:r>
        <w:rPr>
          <w:b/>
          <w:bCs/>
        </w:rPr>
        <w:t xml:space="preserve">Nature and extent of </w:t>
      </w:r>
      <w:r w:rsidRPr="007D0C2D">
        <w:rPr>
          <w:b/>
          <w:bCs/>
        </w:rPr>
        <w:t>other</w:t>
      </w:r>
      <w:r w:rsidRPr="0023277A">
        <w:rPr>
          <w:b/>
          <w:bCs/>
        </w:rPr>
        <w:t xml:space="preserve"> rights and interests</w:t>
      </w:r>
      <w:r>
        <w:rPr>
          <w:b/>
          <w:bCs/>
        </w:rPr>
        <w:t xml:space="preserve"> and Relationship with Native Title</w:t>
      </w:r>
    </w:p>
    <w:p w:rsidR="00532141" w:rsidRDefault="00532141" w:rsidP="008A43A4">
      <w:pPr>
        <w:keepNext/>
        <w:numPr>
          <w:ilvl w:val="0"/>
          <w:numId w:val="20"/>
        </w:numPr>
        <w:tabs>
          <w:tab w:val="clear" w:pos="567"/>
          <w:tab w:val="num" w:pos="715"/>
        </w:tabs>
        <w:spacing w:after="240"/>
        <w:ind w:left="709" w:hanging="709"/>
        <w:rPr>
          <w:rFonts w:cs="Arial"/>
        </w:rPr>
      </w:pPr>
      <w:r>
        <w:t>The nature and extent of other rights and interests in relation to the Determination Area are:</w:t>
      </w:r>
    </w:p>
    <w:p w:rsidR="00532141" w:rsidRDefault="00532141" w:rsidP="008A43A4">
      <w:pPr>
        <w:numPr>
          <w:ilvl w:val="1"/>
          <w:numId w:val="20"/>
        </w:numPr>
        <w:tabs>
          <w:tab w:val="clear" w:pos="1139"/>
          <w:tab w:val="num" w:pos="1418"/>
        </w:tabs>
        <w:spacing w:after="240"/>
        <w:ind w:left="1418" w:hanging="709"/>
        <w:rPr>
          <w:rFonts w:cs="Arial"/>
        </w:rPr>
      </w:pPr>
      <w:r>
        <w:rPr>
          <w:rFonts w:cs="Arial"/>
        </w:rPr>
        <w:t>The rights and interests within the Determination Area created by the pastora</w:t>
      </w:r>
      <w:r w:rsidR="0054573D">
        <w:rPr>
          <w:rFonts w:cs="Arial"/>
        </w:rPr>
        <w:t>l leases described in Schedule 4</w:t>
      </w:r>
      <w:r>
        <w:rPr>
          <w:rFonts w:cs="Arial"/>
        </w:rPr>
        <w:t>;</w:t>
      </w:r>
    </w:p>
    <w:p w:rsidR="00532141" w:rsidRDefault="00532141" w:rsidP="008A43A4">
      <w:pPr>
        <w:numPr>
          <w:ilvl w:val="1"/>
          <w:numId w:val="20"/>
        </w:numPr>
        <w:tabs>
          <w:tab w:val="clear" w:pos="1139"/>
          <w:tab w:val="num" w:pos="1418"/>
        </w:tabs>
        <w:spacing w:after="240"/>
        <w:ind w:left="1418" w:hanging="709"/>
        <w:rPr>
          <w:rFonts w:cs="Arial"/>
        </w:rPr>
      </w:pPr>
      <w:r>
        <w:rPr>
          <w:rFonts w:cs="Arial"/>
        </w:rPr>
        <w:t>the interests of the Crown in right of the State of South Australia;</w:t>
      </w:r>
    </w:p>
    <w:p w:rsidR="00532141" w:rsidRDefault="00532141" w:rsidP="008A43A4">
      <w:pPr>
        <w:numPr>
          <w:ilvl w:val="1"/>
          <w:numId w:val="20"/>
        </w:numPr>
        <w:tabs>
          <w:tab w:val="clear" w:pos="1139"/>
          <w:tab w:val="num" w:pos="1418"/>
        </w:tabs>
        <w:spacing w:after="240"/>
        <w:ind w:left="1418" w:hanging="709"/>
        <w:rPr>
          <w:rFonts w:cs="Arial"/>
        </w:rPr>
      </w:pPr>
      <w:r>
        <w:rPr>
          <w:rFonts w:cs="Arial"/>
        </w:rPr>
        <w:t>the interests of persons to whom valid or validated rights and interests have been granted or recognised by the Crown in right of the State of South Australia or by the Commonwealth of Australia pursuant to statute or otherwise in the exercise of executive power;</w:t>
      </w:r>
    </w:p>
    <w:p w:rsidR="00532141" w:rsidRDefault="00532141" w:rsidP="008A43A4">
      <w:pPr>
        <w:numPr>
          <w:ilvl w:val="1"/>
          <w:numId w:val="20"/>
        </w:numPr>
        <w:tabs>
          <w:tab w:val="clear" w:pos="1139"/>
          <w:tab w:val="num" w:pos="1418"/>
        </w:tabs>
        <w:spacing w:after="240"/>
        <w:ind w:left="1418" w:hanging="709"/>
        <w:rPr>
          <w:rFonts w:cs="Arial"/>
        </w:rPr>
      </w:pPr>
      <w:r>
        <w:rPr>
          <w:rFonts w:cs="Arial"/>
        </w:rPr>
        <w:lastRenderedPageBreak/>
        <w:t>rights or interests held by reason of the force and operation of the laws of the State or of the Commonwealth;</w:t>
      </w:r>
    </w:p>
    <w:p w:rsidR="00532141" w:rsidRDefault="00532141" w:rsidP="008A43A4">
      <w:pPr>
        <w:numPr>
          <w:ilvl w:val="1"/>
          <w:numId w:val="20"/>
        </w:numPr>
        <w:tabs>
          <w:tab w:val="clear" w:pos="1139"/>
          <w:tab w:val="num" w:pos="1418"/>
        </w:tabs>
        <w:spacing w:after="240"/>
        <w:ind w:left="1418" w:hanging="709"/>
        <w:rPr>
          <w:rFonts w:cs="Arial"/>
        </w:rPr>
      </w:pPr>
      <w:r>
        <w:rPr>
          <w:rFonts w:cs="Arial"/>
        </w:rPr>
        <w:t>the rights to access land by an employee or agent or instrumentality of the State, Commonwealth or other statutory authority as required in the performance of his or her statutory or common law duties (in accordance with any valid legislation);</w:t>
      </w:r>
    </w:p>
    <w:p w:rsidR="00532141" w:rsidRDefault="00532141" w:rsidP="008A43A4">
      <w:pPr>
        <w:numPr>
          <w:ilvl w:val="1"/>
          <w:numId w:val="20"/>
        </w:numPr>
        <w:tabs>
          <w:tab w:val="clear" w:pos="1139"/>
          <w:tab w:val="num" w:pos="1418"/>
        </w:tabs>
        <w:spacing w:after="240"/>
        <w:ind w:left="1418" w:hanging="709"/>
        <w:rPr>
          <w:rFonts w:cs="Arial"/>
          <w:szCs w:val="22"/>
        </w:rPr>
      </w:pPr>
      <w:r>
        <w:rPr>
          <w:rFonts w:cs="Arial"/>
          <w:szCs w:val="22"/>
        </w:rPr>
        <w:t xml:space="preserve">the rights and </w:t>
      </w:r>
      <w:r w:rsidRPr="005227D2">
        <w:rPr>
          <w:rFonts w:cs="Arial"/>
        </w:rPr>
        <w:t>interests</w:t>
      </w:r>
      <w:r>
        <w:rPr>
          <w:rFonts w:cs="Arial"/>
          <w:szCs w:val="22"/>
        </w:rPr>
        <w:t xml:space="preserve"> of Telstra Corporation Limited:</w:t>
      </w:r>
    </w:p>
    <w:p w:rsidR="00532141" w:rsidRDefault="00532141" w:rsidP="008A43A4">
      <w:pPr>
        <w:numPr>
          <w:ilvl w:val="2"/>
          <w:numId w:val="20"/>
        </w:numPr>
        <w:tabs>
          <w:tab w:val="clear" w:pos="1854"/>
          <w:tab w:val="num" w:pos="2127"/>
        </w:tabs>
        <w:spacing w:after="240"/>
        <w:ind w:left="2127" w:hanging="709"/>
        <w:rPr>
          <w:rFonts w:cs="Arial"/>
          <w:szCs w:val="22"/>
        </w:rPr>
      </w:pPr>
      <w:r>
        <w:rPr>
          <w:rFonts w:cs="Arial"/>
          <w:szCs w:val="22"/>
        </w:rPr>
        <w:t xml:space="preserve">as the </w:t>
      </w:r>
      <w:r w:rsidRPr="005227D2">
        <w:rPr>
          <w:rFonts w:cs="Arial"/>
        </w:rPr>
        <w:t>owner</w:t>
      </w:r>
      <w:r>
        <w:rPr>
          <w:rFonts w:cs="Arial"/>
          <w:szCs w:val="22"/>
        </w:rPr>
        <w:t xml:space="preserve"> or operator of telecommunications facilities within the Determination Area;</w:t>
      </w:r>
    </w:p>
    <w:p w:rsidR="00532141" w:rsidRDefault="00532141" w:rsidP="008A43A4">
      <w:pPr>
        <w:numPr>
          <w:ilvl w:val="2"/>
          <w:numId w:val="20"/>
        </w:numPr>
        <w:tabs>
          <w:tab w:val="clear" w:pos="1854"/>
          <w:tab w:val="num" w:pos="2127"/>
        </w:tabs>
        <w:spacing w:after="240"/>
        <w:ind w:left="2127" w:hanging="709"/>
        <w:rPr>
          <w:rFonts w:cs="Arial"/>
          <w:szCs w:val="22"/>
        </w:rPr>
      </w:pPr>
      <w:r>
        <w:rPr>
          <w:rFonts w:cs="Arial"/>
          <w:szCs w:val="22"/>
        </w:rPr>
        <w:t xml:space="preserve">created </w:t>
      </w:r>
      <w:r w:rsidRPr="005227D2">
        <w:rPr>
          <w:rFonts w:cs="Arial"/>
        </w:rPr>
        <w:t>pursuant</w:t>
      </w:r>
      <w:r>
        <w:rPr>
          <w:rFonts w:cs="Arial"/>
          <w:szCs w:val="22"/>
        </w:rPr>
        <w:t xml:space="preserve"> to the </w:t>
      </w:r>
      <w:r>
        <w:rPr>
          <w:rFonts w:cs="Arial"/>
          <w:i/>
          <w:iCs/>
          <w:szCs w:val="22"/>
        </w:rPr>
        <w:t>Post and Telegraph Act 1901</w:t>
      </w:r>
      <w:r>
        <w:rPr>
          <w:rFonts w:cs="Arial"/>
          <w:szCs w:val="22"/>
        </w:rPr>
        <w:t xml:space="preserve"> (</w:t>
      </w:r>
      <w:proofErr w:type="spellStart"/>
      <w:r>
        <w:rPr>
          <w:rFonts w:cs="Arial"/>
          <w:szCs w:val="22"/>
        </w:rPr>
        <w:t>Cth</w:t>
      </w:r>
      <w:proofErr w:type="spellEnd"/>
      <w:r>
        <w:rPr>
          <w:rFonts w:cs="Arial"/>
          <w:szCs w:val="22"/>
        </w:rPr>
        <w:t xml:space="preserve">), the </w:t>
      </w:r>
      <w:r>
        <w:rPr>
          <w:rFonts w:cs="Arial"/>
          <w:i/>
          <w:iCs/>
          <w:szCs w:val="22"/>
        </w:rPr>
        <w:t>Telecommunications Act</w:t>
      </w:r>
      <w:r>
        <w:rPr>
          <w:rFonts w:cs="Arial"/>
          <w:szCs w:val="22"/>
        </w:rPr>
        <w:t xml:space="preserve"> </w:t>
      </w:r>
      <w:r>
        <w:rPr>
          <w:rFonts w:cs="Arial"/>
          <w:i/>
          <w:iCs/>
          <w:szCs w:val="22"/>
        </w:rPr>
        <w:t>1975</w:t>
      </w:r>
      <w:r>
        <w:rPr>
          <w:rFonts w:cs="Arial"/>
          <w:szCs w:val="22"/>
        </w:rPr>
        <w:t xml:space="preserve"> (</w:t>
      </w:r>
      <w:proofErr w:type="spellStart"/>
      <w:r>
        <w:rPr>
          <w:rFonts w:cs="Arial"/>
          <w:szCs w:val="22"/>
        </w:rPr>
        <w:t>Cth</w:t>
      </w:r>
      <w:proofErr w:type="spellEnd"/>
      <w:r>
        <w:rPr>
          <w:rFonts w:cs="Arial"/>
          <w:szCs w:val="22"/>
        </w:rPr>
        <w:t xml:space="preserve">), the </w:t>
      </w:r>
      <w:r>
        <w:rPr>
          <w:rFonts w:cs="Arial"/>
          <w:i/>
          <w:iCs/>
          <w:szCs w:val="22"/>
        </w:rPr>
        <w:t>Australian Telecommunications Corporation Act</w:t>
      </w:r>
      <w:r>
        <w:rPr>
          <w:rFonts w:cs="Arial"/>
          <w:szCs w:val="22"/>
        </w:rPr>
        <w:t xml:space="preserve"> </w:t>
      </w:r>
      <w:r>
        <w:rPr>
          <w:rFonts w:cs="Arial"/>
          <w:i/>
          <w:iCs/>
          <w:szCs w:val="22"/>
        </w:rPr>
        <w:t>1989</w:t>
      </w:r>
      <w:r>
        <w:rPr>
          <w:rFonts w:cs="Arial"/>
          <w:szCs w:val="22"/>
        </w:rPr>
        <w:t xml:space="preserve"> (</w:t>
      </w:r>
      <w:proofErr w:type="spellStart"/>
      <w:r>
        <w:rPr>
          <w:rFonts w:cs="Arial"/>
          <w:szCs w:val="22"/>
        </w:rPr>
        <w:t>Cth</w:t>
      </w:r>
      <w:proofErr w:type="spellEnd"/>
      <w:r>
        <w:rPr>
          <w:rFonts w:cs="Arial"/>
          <w:szCs w:val="22"/>
        </w:rPr>
        <w:t xml:space="preserve">), the </w:t>
      </w:r>
      <w:r>
        <w:rPr>
          <w:rFonts w:cs="Arial"/>
          <w:i/>
          <w:iCs/>
          <w:szCs w:val="22"/>
        </w:rPr>
        <w:t>Telecommunications Act 1991</w:t>
      </w:r>
      <w:r>
        <w:rPr>
          <w:rFonts w:cs="Arial"/>
          <w:szCs w:val="22"/>
        </w:rPr>
        <w:t xml:space="preserve"> (</w:t>
      </w:r>
      <w:proofErr w:type="spellStart"/>
      <w:r>
        <w:rPr>
          <w:rFonts w:cs="Arial"/>
          <w:szCs w:val="22"/>
        </w:rPr>
        <w:t>Cth</w:t>
      </w:r>
      <w:proofErr w:type="spellEnd"/>
      <w:r>
        <w:rPr>
          <w:rFonts w:cs="Arial"/>
          <w:szCs w:val="22"/>
        </w:rPr>
        <w:t xml:space="preserve">) and the </w:t>
      </w:r>
      <w:r>
        <w:rPr>
          <w:rFonts w:cs="Arial"/>
          <w:i/>
          <w:iCs/>
          <w:szCs w:val="22"/>
        </w:rPr>
        <w:t>Telecommunications Act</w:t>
      </w:r>
      <w:r>
        <w:rPr>
          <w:rFonts w:cs="Arial"/>
          <w:szCs w:val="22"/>
        </w:rPr>
        <w:t xml:space="preserve"> </w:t>
      </w:r>
      <w:r>
        <w:rPr>
          <w:rFonts w:cs="Arial"/>
          <w:i/>
          <w:iCs/>
          <w:szCs w:val="22"/>
        </w:rPr>
        <w:t xml:space="preserve">1997 </w:t>
      </w:r>
      <w:r>
        <w:rPr>
          <w:rFonts w:cs="Arial"/>
          <w:szCs w:val="22"/>
        </w:rPr>
        <w:t>(</w:t>
      </w:r>
      <w:proofErr w:type="spellStart"/>
      <w:r>
        <w:rPr>
          <w:rFonts w:cs="Arial"/>
          <w:szCs w:val="22"/>
        </w:rPr>
        <w:t>Cth</w:t>
      </w:r>
      <w:proofErr w:type="spellEnd"/>
      <w:r>
        <w:rPr>
          <w:rFonts w:cs="Arial"/>
          <w:szCs w:val="22"/>
        </w:rPr>
        <w:t>), including:</w:t>
      </w:r>
    </w:p>
    <w:p w:rsidR="00532141" w:rsidRDefault="00532141" w:rsidP="008A43A4">
      <w:pPr>
        <w:numPr>
          <w:ilvl w:val="0"/>
          <w:numId w:val="21"/>
        </w:numPr>
        <w:tabs>
          <w:tab w:val="clear" w:pos="2155"/>
        </w:tabs>
        <w:spacing w:after="120"/>
        <w:ind w:left="2835" w:hanging="708"/>
        <w:jc w:val="left"/>
        <w:rPr>
          <w:rFonts w:cs="Arial"/>
          <w:szCs w:val="22"/>
        </w:rPr>
      </w:pPr>
      <w:r>
        <w:rPr>
          <w:rFonts w:cs="Arial"/>
          <w:szCs w:val="22"/>
        </w:rPr>
        <w:t>to inspect land;</w:t>
      </w:r>
    </w:p>
    <w:p w:rsidR="00532141" w:rsidRDefault="00532141" w:rsidP="008A43A4">
      <w:pPr>
        <w:numPr>
          <w:ilvl w:val="0"/>
          <w:numId w:val="21"/>
        </w:numPr>
        <w:tabs>
          <w:tab w:val="clear" w:pos="2155"/>
        </w:tabs>
        <w:spacing w:after="120"/>
        <w:ind w:left="2835" w:hanging="708"/>
        <w:jc w:val="left"/>
        <w:rPr>
          <w:rFonts w:cs="Arial"/>
          <w:szCs w:val="22"/>
        </w:rPr>
      </w:pPr>
      <w:r>
        <w:rPr>
          <w:rFonts w:cs="Arial"/>
          <w:szCs w:val="22"/>
        </w:rPr>
        <w:t>to install and operate existing and new telecommunications facilities;</w:t>
      </w:r>
    </w:p>
    <w:p w:rsidR="00532141" w:rsidRDefault="00532141" w:rsidP="008A43A4">
      <w:pPr>
        <w:numPr>
          <w:ilvl w:val="0"/>
          <w:numId w:val="21"/>
        </w:numPr>
        <w:tabs>
          <w:tab w:val="clear" w:pos="2155"/>
        </w:tabs>
        <w:spacing w:after="120"/>
        <w:ind w:left="2835" w:hanging="708"/>
        <w:rPr>
          <w:rFonts w:cs="Arial"/>
          <w:szCs w:val="22"/>
        </w:rPr>
      </w:pPr>
      <w:r>
        <w:rPr>
          <w:rFonts w:cs="Arial"/>
          <w:szCs w:val="22"/>
        </w:rPr>
        <w:t>to alter, remove, replace, maintain, repair and ensure the proper functioning of its existing and any new telecommunications facilities, including cabling, customer terminal sites and ancillary facilities; and</w:t>
      </w:r>
    </w:p>
    <w:p w:rsidR="00532141" w:rsidRDefault="00532141" w:rsidP="008A43A4">
      <w:pPr>
        <w:numPr>
          <w:ilvl w:val="2"/>
          <w:numId w:val="20"/>
        </w:numPr>
        <w:tabs>
          <w:tab w:val="clear" w:pos="1854"/>
          <w:tab w:val="num" w:pos="2127"/>
        </w:tabs>
        <w:spacing w:after="240"/>
        <w:ind w:left="2127" w:hanging="709"/>
        <w:rPr>
          <w:rFonts w:cs="Arial"/>
        </w:rPr>
      </w:pPr>
      <w:r>
        <w:rPr>
          <w:rFonts w:cs="Arial"/>
          <w:szCs w:val="22"/>
        </w:rPr>
        <w:t xml:space="preserve">for its employees, </w:t>
      </w:r>
      <w:r w:rsidRPr="005227D2">
        <w:rPr>
          <w:rFonts w:cs="Arial"/>
        </w:rPr>
        <w:t>agents</w:t>
      </w:r>
      <w:r>
        <w:rPr>
          <w:rFonts w:cs="Arial"/>
          <w:szCs w:val="22"/>
        </w:rPr>
        <w:t xml:space="preserve"> or contractors to enter the Determination Area to access its facilities, in and in the vicinity of, the Determination Area in the performance of their duties;</w:t>
      </w:r>
      <w:r>
        <w:rPr>
          <w:rFonts w:cs="Arial"/>
        </w:rPr>
        <w:t xml:space="preserve"> </w:t>
      </w:r>
    </w:p>
    <w:p w:rsidR="00532141" w:rsidRDefault="00532141" w:rsidP="008A43A4">
      <w:pPr>
        <w:numPr>
          <w:ilvl w:val="2"/>
          <w:numId w:val="20"/>
        </w:numPr>
        <w:tabs>
          <w:tab w:val="clear" w:pos="1854"/>
          <w:tab w:val="num" w:pos="2127"/>
        </w:tabs>
        <w:spacing w:after="240"/>
        <w:ind w:left="2127" w:hanging="709"/>
        <w:rPr>
          <w:rFonts w:cs="Arial"/>
        </w:rPr>
      </w:pPr>
      <w:r>
        <w:rPr>
          <w:rFonts w:cs="Arial"/>
        </w:rPr>
        <w:t>under any leases, licences, access agreements or easements relating to its telecommunications facilities in the Determination Area;</w:t>
      </w:r>
    </w:p>
    <w:p w:rsidR="00532141" w:rsidRDefault="00532141" w:rsidP="008A43A4">
      <w:pPr>
        <w:numPr>
          <w:ilvl w:val="0"/>
          <w:numId w:val="20"/>
        </w:numPr>
        <w:tabs>
          <w:tab w:val="clear" w:pos="567"/>
          <w:tab w:val="num" w:pos="715"/>
        </w:tabs>
        <w:spacing w:after="240"/>
        <w:ind w:left="709" w:hanging="709"/>
        <w:rPr>
          <w:rFonts w:cs="Arial"/>
          <w:i/>
        </w:rPr>
      </w:pPr>
      <w:r>
        <w:rPr>
          <w:rFonts w:cs="Arial"/>
        </w:rPr>
        <w:t xml:space="preserve">Native </w:t>
      </w:r>
      <w:r w:rsidRPr="005227D2">
        <w:t>title</w:t>
      </w:r>
      <w:r>
        <w:rPr>
          <w:rFonts w:cs="Arial"/>
        </w:rPr>
        <w:t xml:space="preserve"> rights and interests do not exist in respect of those parts of the Determination Area being any house, shed or other building or airstrip or any dam or other stock watering point constructed pursuant to the pastoral leases referred to in </w:t>
      </w:r>
      <w:r>
        <w:rPr>
          <w:rFonts w:cs="Arial"/>
        </w:rPr>
        <w:lastRenderedPageBreak/>
        <w:t>Paragraph 11(a)</w:t>
      </w:r>
      <w:r>
        <w:rPr>
          <w:rFonts w:cs="Arial"/>
          <w:i/>
        </w:rPr>
        <w:t xml:space="preserve">.  </w:t>
      </w:r>
      <w:r>
        <w:rPr>
          <w:rFonts w:cs="Arial"/>
        </w:rPr>
        <w:t>These areas comprise the land on which the improvements of the kind referred to herein have been constructed prior to the date hereof and include any adjacent land or waters the exclusive use of which is necessary for the enjoyment of the improvements referred to</w:t>
      </w:r>
      <w:r>
        <w:rPr>
          <w:rFonts w:cs="Arial"/>
          <w:i/>
        </w:rPr>
        <w:t>.</w:t>
      </w:r>
    </w:p>
    <w:p w:rsidR="00532141" w:rsidRDefault="00532141" w:rsidP="008A43A4">
      <w:pPr>
        <w:numPr>
          <w:ilvl w:val="0"/>
          <w:numId w:val="20"/>
        </w:numPr>
        <w:tabs>
          <w:tab w:val="clear" w:pos="567"/>
          <w:tab w:val="num" w:pos="715"/>
        </w:tabs>
        <w:spacing w:after="240"/>
        <w:ind w:left="709" w:hanging="709"/>
        <w:rPr>
          <w:rFonts w:cs="Arial"/>
          <w:i/>
        </w:rPr>
      </w:pPr>
      <w:r>
        <w:rPr>
          <w:rFonts w:cs="Arial"/>
        </w:rPr>
        <w:t xml:space="preserve">For the </w:t>
      </w:r>
      <w:r w:rsidRPr="005227D2">
        <w:t>avoidance</w:t>
      </w:r>
      <w:r>
        <w:rPr>
          <w:rFonts w:cs="Arial"/>
        </w:rPr>
        <w:t xml:space="preserve"> of doubt, Paragraph 12 does not preclude the possibility of further extinguishment, according to law, of native title over other limited parts of the Determination Area by reason of the construction of new pastoral improvements of the kind referred to in Paragraph 12 after the date of this determination.</w:t>
      </w:r>
    </w:p>
    <w:p w:rsidR="00532141" w:rsidRDefault="00532141" w:rsidP="008A43A4">
      <w:pPr>
        <w:numPr>
          <w:ilvl w:val="0"/>
          <w:numId w:val="20"/>
        </w:numPr>
        <w:tabs>
          <w:tab w:val="clear" w:pos="567"/>
          <w:tab w:val="num" w:pos="715"/>
        </w:tabs>
        <w:spacing w:after="240"/>
        <w:ind w:left="709" w:hanging="709"/>
        <w:rPr>
          <w:rFonts w:cs="Arial"/>
        </w:rPr>
      </w:pPr>
      <w:r>
        <w:rPr>
          <w:rFonts w:cs="Arial"/>
        </w:rPr>
        <w:t xml:space="preserve">Subject to </w:t>
      </w:r>
      <w:r w:rsidRPr="005227D2">
        <w:t>Paragraph</w:t>
      </w:r>
      <w:r>
        <w:rPr>
          <w:rFonts w:cs="Arial"/>
        </w:rPr>
        <w:t xml:space="preserve"> 15, the relationship between the native title rights and interests in the Determination Area that are described in Paragraph 7 and the other rights and interests that are referred to in Paragraph 11 (“the Other rights and interests”) is that:</w:t>
      </w:r>
    </w:p>
    <w:p w:rsidR="00532141" w:rsidRDefault="00532141" w:rsidP="008A43A4">
      <w:pPr>
        <w:numPr>
          <w:ilvl w:val="1"/>
          <w:numId w:val="20"/>
        </w:numPr>
        <w:tabs>
          <w:tab w:val="clear" w:pos="1139"/>
          <w:tab w:val="num" w:pos="1418"/>
        </w:tabs>
        <w:spacing w:after="240"/>
        <w:ind w:left="1418" w:hanging="709"/>
        <w:rPr>
          <w:rFonts w:cs="Arial"/>
        </w:rPr>
      </w:pPr>
      <w:r>
        <w:rPr>
          <w:rFonts w:cs="Arial"/>
        </w:rPr>
        <w:t>the Other rights and interests co-exist with the native title rights and interests;</w:t>
      </w:r>
    </w:p>
    <w:p w:rsidR="00532141" w:rsidRDefault="00532141" w:rsidP="008A43A4">
      <w:pPr>
        <w:numPr>
          <w:ilvl w:val="1"/>
          <w:numId w:val="20"/>
        </w:numPr>
        <w:tabs>
          <w:tab w:val="clear" w:pos="1139"/>
          <w:tab w:val="num" w:pos="1418"/>
        </w:tabs>
        <w:spacing w:after="240"/>
        <w:ind w:left="1418" w:hanging="709"/>
        <w:rPr>
          <w:rFonts w:cs="Arial"/>
        </w:rPr>
      </w:pPr>
      <w:r w:rsidRPr="00B67C85">
        <w:rPr>
          <w:rFonts w:cs="Arial"/>
        </w:rPr>
        <w:t xml:space="preserve">in the event of inconsistency, the </w:t>
      </w:r>
      <w:r>
        <w:rPr>
          <w:rFonts w:cs="Arial"/>
        </w:rPr>
        <w:t>Other</w:t>
      </w:r>
      <w:r w:rsidRPr="00B67C85">
        <w:rPr>
          <w:rFonts w:cs="Arial"/>
        </w:rPr>
        <w:t xml:space="preserve"> rights and interests prevail over the native title rights and interests and any exercise of the native title rights and interests, but do not extinguish them; and</w:t>
      </w:r>
    </w:p>
    <w:p w:rsidR="00532141" w:rsidRPr="00B67C85" w:rsidRDefault="00532141" w:rsidP="008A43A4">
      <w:pPr>
        <w:numPr>
          <w:ilvl w:val="1"/>
          <w:numId w:val="20"/>
        </w:numPr>
        <w:tabs>
          <w:tab w:val="clear" w:pos="1139"/>
          <w:tab w:val="num" w:pos="1418"/>
        </w:tabs>
        <w:spacing w:after="240"/>
        <w:ind w:left="1418" w:hanging="709"/>
        <w:rPr>
          <w:rFonts w:cs="Arial"/>
        </w:rPr>
      </w:pPr>
      <w:r w:rsidRPr="00B67C85">
        <w:rPr>
          <w:rFonts w:cs="Arial"/>
        </w:rPr>
        <w:t xml:space="preserve">the existence of the native title rights and interests does not prevent the doing of any activity required or permitted to be done by, in accordance with or under the  </w:t>
      </w:r>
      <w:r>
        <w:rPr>
          <w:rFonts w:cs="Arial"/>
        </w:rPr>
        <w:t>Other</w:t>
      </w:r>
      <w:r w:rsidRPr="00B67C85">
        <w:rPr>
          <w:rFonts w:cs="Arial"/>
        </w:rPr>
        <w:t xml:space="preserve"> rights and interests.</w:t>
      </w:r>
    </w:p>
    <w:p w:rsidR="00532141" w:rsidRDefault="00532141" w:rsidP="008A43A4">
      <w:pPr>
        <w:numPr>
          <w:ilvl w:val="0"/>
          <w:numId w:val="20"/>
        </w:numPr>
        <w:tabs>
          <w:tab w:val="clear" w:pos="567"/>
          <w:tab w:val="num" w:pos="715"/>
        </w:tabs>
        <w:spacing w:after="240"/>
        <w:ind w:left="709" w:hanging="709"/>
        <w:rPr>
          <w:rFonts w:cs="Arial"/>
        </w:rPr>
      </w:pPr>
      <w:r>
        <w:rPr>
          <w:rFonts w:cs="Arial"/>
        </w:rPr>
        <w:t xml:space="preserve">Native title </w:t>
      </w:r>
      <w:r w:rsidRPr="005227D2">
        <w:t>rights</w:t>
      </w:r>
      <w:r>
        <w:rPr>
          <w:rFonts w:cs="Arial"/>
        </w:rPr>
        <w:t xml:space="preserve"> and interests do not exist in:</w:t>
      </w:r>
    </w:p>
    <w:p w:rsidR="00532141" w:rsidRDefault="00532141" w:rsidP="008A43A4">
      <w:pPr>
        <w:numPr>
          <w:ilvl w:val="1"/>
          <w:numId w:val="20"/>
        </w:numPr>
        <w:tabs>
          <w:tab w:val="clear" w:pos="1139"/>
          <w:tab w:val="num" w:pos="1418"/>
        </w:tabs>
        <w:spacing w:after="240"/>
        <w:ind w:left="1418" w:hanging="709"/>
        <w:rPr>
          <w:rFonts w:cs="Arial"/>
        </w:rPr>
      </w:pPr>
      <w:r>
        <w:rPr>
          <w:rFonts w:cs="Arial"/>
        </w:rPr>
        <w:t xml:space="preserve">Minerals, as defined in section 6 of the </w:t>
      </w:r>
      <w:r>
        <w:rPr>
          <w:rFonts w:cs="Arial"/>
          <w:i/>
        </w:rPr>
        <w:t xml:space="preserve">Mining Act 1971 </w:t>
      </w:r>
      <w:r>
        <w:rPr>
          <w:rFonts w:cs="Arial"/>
        </w:rPr>
        <w:t>(SA); or</w:t>
      </w:r>
    </w:p>
    <w:p w:rsidR="00532141" w:rsidRDefault="00532141" w:rsidP="008A43A4">
      <w:pPr>
        <w:numPr>
          <w:ilvl w:val="1"/>
          <w:numId w:val="20"/>
        </w:numPr>
        <w:tabs>
          <w:tab w:val="clear" w:pos="1139"/>
          <w:tab w:val="num" w:pos="1418"/>
        </w:tabs>
        <w:spacing w:after="240"/>
        <w:ind w:left="1418" w:hanging="709"/>
        <w:rPr>
          <w:rFonts w:cs="Arial"/>
        </w:rPr>
      </w:pPr>
      <w:r>
        <w:rPr>
          <w:rFonts w:cs="Arial"/>
        </w:rPr>
        <w:t xml:space="preserve">Petroleum, as defined in section 4 of the </w:t>
      </w:r>
      <w:r>
        <w:rPr>
          <w:rFonts w:cs="Arial"/>
          <w:i/>
        </w:rPr>
        <w:t xml:space="preserve">Petroleum and Geothermal Energy </w:t>
      </w:r>
      <w:r>
        <w:rPr>
          <w:rFonts w:cs="Arial"/>
          <w:i/>
        </w:rPr>
        <w:tab/>
        <w:t xml:space="preserve">Act 2000 </w:t>
      </w:r>
      <w:r>
        <w:rPr>
          <w:rFonts w:cs="Arial"/>
        </w:rPr>
        <w:t>(SA); or</w:t>
      </w:r>
    </w:p>
    <w:p w:rsidR="00532141" w:rsidRDefault="00532141" w:rsidP="008A43A4">
      <w:pPr>
        <w:numPr>
          <w:ilvl w:val="1"/>
          <w:numId w:val="20"/>
        </w:numPr>
        <w:tabs>
          <w:tab w:val="clear" w:pos="1139"/>
          <w:tab w:val="num" w:pos="1418"/>
        </w:tabs>
        <w:spacing w:after="240"/>
        <w:ind w:left="1418" w:hanging="709"/>
        <w:rPr>
          <w:rFonts w:cs="Arial"/>
        </w:rPr>
      </w:pPr>
      <w:r>
        <w:rPr>
          <w:rFonts w:cs="Arial"/>
        </w:rPr>
        <w:t xml:space="preserve">a naturally occurring underground accumulation of a regulated substance as defined in section 4 of the </w:t>
      </w:r>
      <w:r>
        <w:rPr>
          <w:rFonts w:cs="Arial"/>
          <w:i/>
        </w:rPr>
        <w:t xml:space="preserve">Petroleum and Geothermal Energy Act 2000 </w:t>
      </w:r>
      <w:r>
        <w:rPr>
          <w:rFonts w:cs="Arial"/>
        </w:rPr>
        <w:t>(SA), below a depth of 100 metres from the surface of the earth; or</w:t>
      </w:r>
    </w:p>
    <w:p w:rsidR="00532141" w:rsidRDefault="00532141" w:rsidP="008A43A4">
      <w:pPr>
        <w:numPr>
          <w:ilvl w:val="1"/>
          <w:numId w:val="20"/>
        </w:numPr>
        <w:tabs>
          <w:tab w:val="clear" w:pos="1139"/>
          <w:tab w:val="num" w:pos="1418"/>
        </w:tabs>
        <w:spacing w:after="240"/>
        <w:ind w:left="1418" w:hanging="709"/>
        <w:rPr>
          <w:rFonts w:cs="Arial"/>
        </w:rPr>
      </w:pPr>
      <w:r>
        <w:rPr>
          <w:rFonts w:cs="Arial"/>
        </w:rPr>
        <w:t xml:space="preserve">a natural reservoir, as defined in section 4 of the </w:t>
      </w:r>
      <w:r>
        <w:rPr>
          <w:rFonts w:cs="Arial"/>
          <w:i/>
        </w:rPr>
        <w:t xml:space="preserve">Petroleum and Geothermal Energy Act 2000 </w:t>
      </w:r>
      <w:r>
        <w:rPr>
          <w:rFonts w:cs="Arial"/>
        </w:rPr>
        <w:t>(SA), below a depth of 100 metres from the surface of the earth;</w:t>
      </w:r>
    </w:p>
    <w:p w:rsidR="00532141" w:rsidRDefault="00532141" w:rsidP="008A43A4">
      <w:pPr>
        <w:numPr>
          <w:ilvl w:val="1"/>
          <w:numId w:val="20"/>
        </w:numPr>
        <w:tabs>
          <w:tab w:val="clear" w:pos="1139"/>
          <w:tab w:val="num" w:pos="1418"/>
        </w:tabs>
        <w:spacing w:after="240"/>
        <w:ind w:left="1418" w:hanging="709"/>
        <w:rPr>
          <w:rFonts w:cs="Arial"/>
        </w:rPr>
      </w:pPr>
      <w:r>
        <w:rPr>
          <w:rFonts w:cs="Arial"/>
        </w:rPr>
        <w:lastRenderedPageBreak/>
        <w:t xml:space="preserve">geothermal energy, as defined in section 4 of the </w:t>
      </w:r>
      <w:r>
        <w:rPr>
          <w:rFonts w:cs="Arial"/>
          <w:i/>
        </w:rPr>
        <w:t xml:space="preserve">Petroleum and Geothermal Energy Act 2000 </w:t>
      </w:r>
      <w:r>
        <w:rPr>
          <w:rFonts w:cs="Arial"/>
        </w:rPr>
        <w:t>(SA) the source of which is below a depth of 100 metres from the surface of the earth.</w:t>
      </w:r>
    </w:p>
    <w:p w:rsidR="00532141" w:rsidRDefault="00532141" w:rsidP="005227D2">
      <w:pPr>
        <w:tabs>
          <w:tab w:val="left" w:pos="709"/>
        </w:tabs>
        <w:spacing w:after="240"/>
        <w:ind w:left="709"/>
        <w:rPr>
          <w:rFonts w:cs="Arial"/>
        </w:rPr>
      </w:pPr>
      <w:r>
        <w:rPr>
          <w:rFonts w:cs="Arial"/>
        </w:rPr>
        <w:t>For the purposes of this Paragraph 15 and the avoidance of doubt:</w:t>
      </w:r>
    </w:p>
    <w:p w:rsidR="00532141" w:rsidRDefault="00532141" w:rsidP="008A43A4">
      <w:pPr>
        <w:numPr>
          <w:ilvl w:val="2"/>
          <w:numId w:val="20"/>
        </w:numPr>
        <w:tabs>
          <w:tab w:val="clear" w:pos="1854"/>
          <w:tab w:val="num" w:pos="2127"/>
        </w:tabs>
        <w:spacing w:after="240"/>
        <w:ind w:left="2127" w:hanging="709"/>
        <w:rPr>
          <w:rFonts w:cs="Arial"/>
        </w:rPr>
      </w:pPr>
      <w:r>
        <w:rPr>
          <w:rFonts w:cs="Arial"/>
        </w:rPr>
        <w:t>a geological structure (in whole or in part) on or at the earth's surface or a natural cavity which can be accessed or entered by a person through a natural opening in the earth's surface, is not a natural reservoir;</w:t>
      </w:r>
    </w:p>
    <w:p w:rsidR="00532141" w:rsidRDefault="00532141" w:rsidP="008A43A4">
      <w:pPr>
        <w:numPr>
          <w:ilvl w:val="2"/>
          <w:numId w:val="20"/>
        </w:numPr>
        <w:tabs>
          <w:tab w:val="clear" w:pos="1854"/>
          <w:tab w:val="num" w:pos="2127"/>
        </w:tabs>
        <w:spacing w:after="240"/>
        <w:ind w:left="2127" w:hanging="709"/>
        <w:rPr>
          <w:rFonts w:cs="Arial"/>
        </w:rPr>
      </w:pPr>
      <w:r>
        <w:rPr>
          <w:rFonts w:cs="Arial"/>
        </w:rPr>
        <w:t xml:space="preserve">thermal energy contained in a hot or natural spring is not geothermal energy as defined in section 4 of the </w:t>
      </w:r>
      <w:r>
        <w:rPr>
          <w:rFonts w:cs="Arial"/>
          <w:i/>
        </w:rPr>
        <w:t>Petroleum and Geothermal Energy Act</w:t>
      </w:r>
      <w:r>
        <w:rPr>
          <w:rFonts w:cs="Arial"/>
        </w:rPr>
        <w:t xml:space="preserve"> </w:t>
      </w:r>
      <w:r w:rsidRPr="00F538FB">
        <w:rPr>
          <w:rFonts w:cs="Arial"/>
          <w:i/>
        </w:rPr>
        <w:t>2000</w:t>
      </w:r>
      <w:r>
        <w:rPr>
          <w:rFonts w:cs="Arial"/>
        </w:rPr>
        <w:t xml:space="preserve"> (SA);</w:t>
      </w:r>
    </w:p>
    <w:p w:rsidR="00532141" w:rsidRPr="00C57160" w:rsidRDefault="00532141" w:rsidP="008A43A4">
      <w:pPr>
        <w:numPr>
          <w:ilvl w:val="2"/>
          <w:numId w:val="20"/>
        </w:numPr>
        <w:tabs>
          <w:tab w:val="clear" w:pos="1854"/>
          <w:tab w:val="num" w:pos="2127"/>
        </w:tabs>
        <w:spacing w:after="240"/>
        <w:ind w:left="2127" w:hanging="709"/>
        <w:rPr>
          <w:rFonts w:cs="Arial"/>
        </w:rPr>
      </w:pPr>
      <w:r>
        <w:rPr>
          <w:rFonts w:cs="Arial"/>
        </w:rPr>
        <w:t xml:space="preserve">the absence from this order of any reference to a natural reservoir or a naturally occurring accumulation of a regulated substance, as those terms are defined in section 4 of the </w:t>
      </w:r>
      <w:r>
        <w:rPr>
          <w:rFonts w:cs="Arial"/>
          <w:i/>
        </w:rPr>
        <w:t>Petroleum and Geothermal Energy Act 2000</w:t>
      </w:r>
      <w:r>
        <w:rPr>
          <w:rFonts w:cs="Arial"/>
        </w:rPr>
        <w:t xml:space="preserve"> (SA), above a depth 100 metres below the surface of the earth or geothermal energy the source of which is above a depth of 100 metres below the surface of the earth is not, of itself, to be taken as an indication of the existence or otherwise of native title rights or interests in such natural reservoir, naturally occurring accumulation of a regulated substance or geothermal energy.</w:t>
      </w:r>
    </w:p>
    <w:p w:rsidR="00532141" w:rsidRDefault="00532141" w:rsidP="008A43A4">
      <w:pPr>
        <w:numPr>
          <w:ilvl w:val="0"/>
          <w:numId w:val="20"/>
        </w:numPr>
        <w:tabs>
          <w:tab w:val="clear" w:pos="567"/>
          <w:tab w:val="num" w:pos="715"/>
        </w:tabs>
        <w:spacing w:after="240"/>
        <w:ind w:left="709" w:hanging="709"/>
      </w:pPr>
      <w:r>
        <w:t xml:space="preserve">Native title </w:t>
      </w:r>
      <w:r w:rsidRPr="005227D2">
        <w:rPr>
          <w:rFonts w:cs="Arial"/>
        </w:rPr>
        <w:t>rights</w:t>
      </w:r>
      <w:r>
        <w:t xml:space="preserve"> do not exist in the areas covered by public works attributable to the State or Commonwealth (including the land defined in section </w:t>
      </w:r>
      <w:proofErr w:type="spellStart"/>
      <w:r>
        <w:t>251D</w:t>
      </w:r>
      <w:proofErr w:type="spellEnd"/>
      <w:r>
        <w:t xml:space="preserve"> of the </w:t>
      </w:r>
      <w:r w:rsidRPr="0054573D">
        <w:rPr>
          <w:iCs/>
        </w:rPr>
        <w:t>Native Title Act</w:t>
      </w:r>
      <w:r>
        <w:t xml:space="preserve">) which were constructed, established or situated prior to 23 December 1996 or commenced to be constructed or established on or before that date. </w:t>
      </w:r>
    </w:p>
    <w:p w:rsidR="00532141" w:rsidRDefault="00532141" w:rsidP="008A43A4">
      <w:pPr>
        <w:numPr>
          <w:ilvl w:val="0"/>
          <w:numId w:val="20"/>
        </w:numPr>
        <w:tabs>
          <w:tab w:val="clear" w:pos="567"/>
          <w:tab w:val="num" w:pos="715"/>
        </w:tabs>
        <w:spacing w:after="240"/>
        <w:ind w:left="709" w:hanging="709"/>
      </w:pPr>
      <w:r>
        <w:t xml:space="preserve">Public works constructed, established or situated after 23 December 1996 have had such effect on native title rights and interests as has resulted from Part 2 Division 3 of the </w:t>
      </w:r>
      <w:r w:rsidRPr="0054573D">
        <w:t>Native Title Act</w:t>
      </w:r>
      <w:r>
        <w:t>.</w:t>
      </w:r>
      <w:r>
        <w:rPr>
          <w:rFonts w:cs="Arial"/>
        </w:rPr>
        <w:t xml:space="preserve"> </w:t>
      </w:r>
    </w:p>
    <w:p w:rsidR="00532141" w:rsidRDefault="00532141" w:rsidP="005227D2">
      <w:pPr>
        <w:tabs>
          <w:tab w:val="left" w:pos="7245"/>
        </w:tabs>
        <w:spacing w:after="240" w:line="240" w:lineRule="auto"/>
        <w:rPr>
          <w:rFonts w:cs="Arial"/>
          <w:b/>
          <w:bCs/>
        </w:rPr>
      </w:pPr>
      <w:r>
        <w:rPr>
          <w:rFonts w:cs="Arial"/>
          <w:b/>
          <w:bCs/>
        </w:rPr>
        <w:t>AND THE COURT MAKES THE FOLLOWING FURTHER ORDERS:</w:t>
      </w:r>
      <w:r>
        <w:rPr>
          <w:rFonts w:cs="Arial"/>
          <w:b/>
          <w:bCs/>
        </w:rPr>
        <w:tab/>
      </w:r>
    </w:p>
    <w:p w:rsidR="00532141" w:rsidRDefault="00532141" w:rsidP="008A43A4">
      <w:pPr>
        <w:numPr>
          <w:ilvl w:val="0"/>
          <w:numId w:val="20"/>
        </w:numPr>
        <w:tabs>
          <w:tab w:val="clear" w:pos="567"/>
          <w:tab w:val="num" w:pos="715"/>
        </w:tabs>
        <w:spacing w:after="240"/>
        <w:ind w:left="709" w:hanging="709"/>
        <w:rPr>
          <w:rFonts w:cs="Arial"/>
        </w:rPr>
      </w:pPr>
      <w:r>
        <w:rPr>
          <w:rFonts w:cs="Arial"/>
        </w:rPr>
        <w:t>The native title is not to be held in trust.</w:t>
      </w:r>
    </w:p>
    <w:p w:rsidR="00532141" w:rsidRDefault="00532141" w:rsidP="008A43A4">
      <w:pPr>
        <w:numPr>
          <w:ilvl w:val="0"/>
          <w:numId w:val="20"/>
        </w:numPr>
        <w:tabs>
          <w:tab w:val="clear" w:pos="567"/>
          <w:tab w:val="num" w:pos="715"/>
        </w:tabs>
        <w:spacing w:after="240"/>
        <w:ind w:left="709" w:hanging="709"/>
        <w:rPr>
          <w:rFonts w:cs="Arial"/>
        </w:rPr>
      </w:pPr>
      <w:r>
        <w:rPr>
          <w:rFonts w:cs="Arial"/>
        </w:rPr>
        <w:t xml:space="preserve">In respect of the Determination Area, </w:t>
      </w:r>
      <w:proofErr w:type="spellStart"/>
      <w:r>
        <w:rPr>
          <w:rFonts w:cs="Arial"/>
        </w:rPr>
        <w:t>Dieri</w:t>
      </w:r>
      <w:proofErr w:type="spellEnd"/>
      <w:r>
        <w:rPr>
          <w:rFonts w:cs="Arial"/>
        </w:rPr>
        <w:t xml:space="preserve"> Aboriginal Corporation </w:t>
      </w:r>
      <w:proofErr w:type="spellStart"/>
      <w:r>
        <w:rPr>
          <w:rFonts w:cs="Arial"/>
        </w:rPr>
        <w:t>RNTBC</w:t>
      </w:r>
      <w:proofErr w:type="spellEnd"/>
      <w:r>
        <w:rPr>
          <w:rFonts w:cs="Arial"/>
        </w:rPr>
        <w:t xml:space="preserve"> is to:</w:t>
      </w:r>
    </w:p>
    <w:p w:rsidR="00532141" w:rsidRPr="00126FA2" w:rsidRDefault="00532141" w:rsidP="008A43A4">
      <w:pPr>
        <w:numPr>
          <w:ilvl w:val="1"/>
          <w:numId w:val="20"/>
        </w:numPr>
        <w:tabs>
          <w:tab w:val="clear" w:pos="1139"/>
          <w:tab w:val="num" w:pos="1418"/>
        </w:tabs>
        <w:spacing w:after="240"/>
        <w:ind w:left="1418" w:hanging="709"/>
        <w:rPr>
          <w:rFonts w:cs="Arial"/>
        </w:rPr>
      </w:pPr>
      <w:r>
        <w:lastRenderedPageBreak/>
        <w:t xml:space="preserve">be the </w:t>
      </w:r>
      <w:r w:rsidRPr="005227D2">
        <w:rPr>
          <w:rFonts w:cs="Arial"/>
        </w:rPr>
        <w:t>prescribed</w:t>
      </w:r>
      <w:r>
        <w:t xml:space="preserve"> body corporate for the purposes of section 57(2) of the </w:t>
      </w:r>
      <w:r w:rsidRPr="0054573D">
        <w:t>Native Title Act</w:t>
      </w:r>
      <w:r>
        <w:t>; and</w:t>
      </w:r>
    </w:p>
    <w:p w:rsidR="00532141" w:rsidRPr="00126FA2" w:rsidRDefault="00532141" w:rsidP="008A43A4">
      <w:pPr>
        <w:numPr>
          <w:ilvl w:val="1"/>
          <w:numId w:val="20"/>
        </w:numPr>
        <w:tabs>
          <w:tab w:val="clear" w:pos="1139"/>
          <w:tab w:val="num" w:pos="1418"/>
        </w:tabs>
        <w:spacing w:after="240"/>
        <w:ind w:left="1418" w:hanging="709"/>
        <w:rPr>
          <w:rFonts w:cs="Arial"/>
        </w:rPr>
      </w:pPr>
      <w:r>
        <w:t xml:space="preserve">perform the </w:t>
      </w:r>
      <w:r w:rsidRPr="005227D2">
        <w:rPr>
          <w:rFonts w:cs="Arial"/>
        </w:rPr>
        <w:t>functions</w:t>
      </w:r>
      <w:r>
        <w:t xml:space="preserve"> mentioned in section 57(3) of the </w:t>
      </w:r>
      <w:r w:rsidRPr="0054573D">
        <w:t>Native Title Act</w:t>
      </w:r>
      <w:r>
        <w:t xml:space="preserve"> after becoming the registered native title body corporate in relation to Part 1 of the </w:t>
      </w:r>
      <w:r w:rsidRPr="00126FA2">
        <w:rPr>
          <w:rFonts w:cs="Arial"/>
        </w:rPr>
        <w:t>Determination Area.</w:t>
      </w:r>
    </w:p>
    <w:p w:rsidR="00532141" w:rsidRDefault="00532141" w:rsidP="008A43A4">
      <w:pPr>
        <w:numPr>
          <w:ilvl w:val="0"/>
          <w:numId w:val="20"/>
        </w:numPr>
        <w:tabs>
          <w:tab w:val="clear" w:pos="567"/>
          <w:tab w:val="num" w:pos="715"/>
        </w:tabs>
        <w:spacing w:after="240"/>
        <w:ind w:left="709" w:hanging="709"/>
        <w:rPr>
          <w:rFonts w:cs="Arial"/>
        </w:rPr>
      </w:pPr>
      <w:r>
        <w:rPr>
          <w:rFonts w:cs="Arial"/>
        </w:rPr>
        <w:t xml:space="preserve">The Native Title Holders (through </w:t>
      </w:r>
      <w:proofErr w:type="spellStart"/>
      <w:r>
        <w:rPr>
          <w:rFonts w:cs="Arial"/>
        </w:rPr>
        <w:t>Dieri</w:t>
      </w:r>
      <w:proofErr w:type="spellEnd"/>
      <w:r>
        <w:rPr>
          <w:rFonts w:cs="Arial"/>
        </w:rPr>
        <w:t xml:space="preserve"> Aboriginal Corporation </w:t>
      </w:r>
      <w:proofErr w:type="spellStart"/>
      <w:r>
        <w:rPr>
          <w:rFonts w:cs="Arial"/>
        </w:rPr>
        <w:t>RNTBC</w:t>
      </w:r>
      <w:proofErr w:type="spellEnd"/>
      <w:r>
        <w:rPr>
          <w:rFonts w:cs="Arial"/>
        </w:rPr>
        <w:t>), the State or any other Respondent have liberty to apply on 14 days’ notice to a single judge of the Court for the following purposes:</w:t>
      </w:r>
    </w:p>
    <w:p w:rsidR="00532141" w:rsidRDefault="00532141" w:rsidP="008A43A4">
      <w:pPr>
        <w:numPr>
          <w:ilvl w:val="1"/>
          <w:numId w:val="20"/>
        </w:numPr>
        <w:tabs>
          <w:tab w:val="clear" w:pos="1139"/>
          <w:tab w:val="num" w:pos="1418"/>
        </w:tabs>
        <w:spacing w:after="240"/>
        <w:ind w:left="1418" w:hanging="709"/>
        <w:rPr>
          <w:rFonts w:cs="Arial"/>
        </w:rPr>
      </w:pPr>
      <w:r w:rsidRPr="00126FA2">
        <w:rPr>
          <w:rFonts w:cs="Arial"/>
        </w:rPr>
        <w:t>to establish the precise location and boundaries of any public works and adjacent land and waters referred to in Paragraphs 16 and 17</w:t>
      </w:r>
      <w:r w:rsidRPr="0023657D">
        <w:rPr>
          <w:rFonts w:cs="Arial"/>
        </w:rPr>
        <w:t xml:space="preserve"> of this Order;</w:t>
      </w:r>
    </w:p>
    <w:p w:rsidR="00532141" w:rsidRDefault="00532141" w:rsidP="008A43A4">
      <w:pPr>
        <w:numPr>
          <w:ilvl w:val="1"/>
          <w:numId w:val="20"/>
        </w:numPr>
        <w:tabs>
          <w:tab w:val="clear" w:pos="1139"/>
          <w:tab w:val="num" w:pos="1418"/>
        </w:tabs>
        <w:spacing w:after="240"/>
        <w:ind w:left="1418" w:hanging="709"/>
        <w:rPr>
          <w:rFonts w:cs="Arial"/>
        </w:rPr>
      </w:pPr>
      <w:r w:rsidRPr="00126FA2">
        <w:rPr>
          <w:rFonts w:cs="Arial"/>
        </w:rPr>
        <w:t>to establish the effect on native title rights and interests of any public works referred to i</w:t>
      </w:r>
      <w:r w:rsidR="00352009">
        <w:rPr>
          <w:rFonts w:cs="Arial"/>
        </w:rPr>
        <w:t>n Paragraph 17 of this Order;</w:t>
      </w:r>
    </w:p>
    <w:p w:rsidR="00532141" w:rsidRPr="00C57160" w:rsidRDefault="00532141" w:rsidP="008A43A4">
      <w:pPr>
        <w:numPr>
          <w:ilvl w:val="1"/>
          <w:numId w:val="20"/>
        </w:numPr>
        <w:tabs>
          <w:tab w:val="clear" w:pos="1139"/>
          <w:tab w:val="num" w:pos="1418"/>
        </w:tabs>
        <w:spacing w:after="240"/>
        <w:ind w:left="1418" w:hanging="709"/>
        <w:rPr>
          <w:rFonts w:cs="Arial"/>
        </w:rPr>
      </w:pPr>
      <w:r>
        <w:rPr>
          <w:rFonts w:cs="Arial"/>
        </w:rPr>
        <w:t xml:space="preserve">to determine whether any particular area is included in the description in Paragraph 12 or </w:t>
      </w:r>
      <w:r w:rsidRPr="0054573D">
        <w:rPr>
          <w:rFonts w:cs="Arial"/>
        </w:rPr>
        <w:t>Schedule 2</w:t>
      </w:r>
      <w:r>
        <w:rPr>
          <w:rFonts w:cs="Arial"/>
          <w:i/>
        </w:rPr>
        <w:t xml:space="preserve"> </w:t>
      </w:r>
      <w:r>
        <w:rPr>
          <w:rFonts w:cs="Arial"/>
        </w:rPr>
        <w:t>of this Order</w:t>
      </w:r>
      <w:r w:rsidR="00352009">
        <w:rPr>
          <w:rFonts w:cs="Arial"/>
        </w:rPr>
        <w:t>; or</w:t>
      </w:r>
    </w:p>
    <w:p w:rsidR="00532141" w:rsidRPr="00126FA2" w:rsidRDefault="00532141" w:rsidP="008A43A4">
      <w:pPr>
        <w:numPr>
          <w:ilvl w:val="1"/>
          <w:numId w:val="20"/>
        </w:numPr>
        <w:tabs>
          <w:tab w:val="clear" w:pos="1139"/>
          <w:tab w:val="num" w:pos="1418"/>
        </w:tabs>
        <w:spacing w:after="240"/>
        <w:ind w:left="1418" w:hanging="709"/>
        <w:rPr>
          <w:rFonts w:cs="Arial"/>
        </w:rPr>
      </w:pPr>
      <w:r w:rsidRPr="00126FA2">
        <w:rPr>
          <w:rFonts w:cs="Arial"/>
        </w:rPr>
        <w:t>to address, if appropriate, any changes to paragraphs 12 and 13 above in light of the decision of the High Court</w:t>
      </w:r>
      <w:r w:rsidRPr="00126FA2">
        <w:rPr>
          <w:rFonts w:cs="Arial"/>
          <w:szCs w:val="22"/>
        </w:rPr>
        <w:t xml:space="preserve"> of Australia in </w:t>
      </w:r>
      <w:r w:rsidRPr="00126FA2">
        <w:rPr>
          <w:rFonts w:cs="Arial"/>
          <w:i/>
          <w:szCs w:val="22"/>
        </w:rPr>
        <w:t xml:space="preserve">State of Western Australia v Brown &amp; Others </w:t>
      </w:r>
      <w:r w:rsidRPr="00126FA2">
        <w:rPr>
          <w:rFonts w:cs="Arial"/>
          <w:szCs w:val="22"/>
        </w:rPr>
        <w:t xml:space="preserve">(No </w:t>
      </w:r>
      <w:proofErr w:type="spellStart"/>
      <w:r w:rsidRPr="00126FA2">
        <w:rPr>
          <w:rFonts w:cs="Arial"/>
          <w:szCs w:val="22"/>
        </w:rPr>
        <w:t>P37</w:t>
      </w:r>
      <w:proofErr w:type="spellEnd"/>
      <w:r w:rsidRPr="00126FA2">
        <w:rPr>
          <w:rFonts w:cs="Arial"/>
          <w:szCs w:val="22"/>
        </w:rPr>
        <w:t xml:space="preserve"> of 2012 HCA) as it relates to pastoral improvements.</w:t>
      </w:r>
    </w:p>
    <w:p w:rsidR="00532141" w:rsidRPr="0023277A" w:rsidRDefault="00532141" w:rsidP="005227D2">
      <w:pPr>
        <w:spacing w:after="240" w:line="240" w:lineRule="auto"/>
        <w:rPr>
          <w:rFonts w:cs="Arial"/>
          <w:b/>
        </w:rPr>
      </w:pPr>
      <w:r w:rsidRPr="0023277A">
        <w:rPr>
          <w:rFonts w:cs="Arial"/>
          <w:b/>
        </w:rPr>
        <w:t xml:space="preserve">AND THE COURT MAKES THE FOLLOWING ANCILLARY ORDERS PURSUANT TO SECTION </w:t>
      </w:r>
      <w:proofErr w:type="spellStart"/>
      <w:r w:rsidRPr="0023277A">
        <w:rPr>
          <w:rFonts w:cs="Arial"/>
          <w:b/>
        </w:rPr>
        <w:t>87A</w:t>
      </w:r>
      <w:proofErr w:type="spellEnd"/>
      <w:r w:rsidRPr="0023277A">
        <w:rPr>
          <w:rFonts w:cs="Arial"/>
          <w:b/>
        </w:rPr>
        <w:t>(5) OF THE NATIVE TITLE ACT:</w:t>
      </w:r>
    </w:p>
    <w:p w:rsidR="00532141" w:rsidRPr="00696775" w:rsidRDefault="00532141" w:rsidP="008A43A4">
      <w:pPr>
        <w:numPr>
          <w:ilvl w:val="0"/>
          <w:numId w:val="20"/>
        </w:numPr>
        <w:tabs>
          <w:tab w:val="clear" w:pos="567"/>
          <w:tab w:val="num" w:pos="715"/>
        </w:tabs>
        <w:spacing w:after="240"/>
        <w:ind w:left="709" w:hanging="709"/>
        <w:rPr>
          <w:rFonts w:cs="Arial"/>
        </w:rPr>
      </w:pPr>
      <w:r w:rsidRPr="00696775">
        <w:rPr>
          <w:rFonts w:cs="Arial"/>
        </w:rPr>
        <w:t>The Court notes in relation to the Determination Area as follows:</w:t>
      </w:r>
    </w:p>
    <w:p w:rsidR="00532141" w:rsidRPr="00696775" w:rsidRDefault="00532141" w:rsidP="008A43A4">
      <w:pPr>
        <w:numPr>
          <w:ilvl w:val="1"/>
          <w:numId w:val="20"/>
        </w:numPr>
        <w:tabs>
          <w:tab w:val="clear" w:pos="1139"/>
          <w:tab w:val="num" w:pos="1418"/>
        </w:tabs>
        <w:spacing w:after="240"/>
        <w:ind w:left="1418" w:hanging="709"/>
        <w:rPr>
          <w:rFonts w:cs="Arial"/>
        </w:rPr>
      </w:pPr>
      <w:r w:rsidRPr="00696775">
        <w:rPr>
          <w:rFonts w:cs="Arial"/>
        </w:rPr>
        <w:t xml:space="preserve">The </w:t>
      </w:r>
      <w:proofErr w:type="spellStart"/>
      <w:r w:rsidRPr="00696775">
        <w:rPr>
          <w:rFonts w:cs="Arial"/>
        </w:rPr>
        <w:t>Dieri</w:t>
      </w:r>
      <w:proofErr w:type="spellEnd"/>
      <w:r w:rsidRPr="00696775">
        <w:rPr>
          <w:rFonts w:cs="Arial"/>
        </w:rPr>
        <w:t xml:space="preserve"> People </w:t>
      </w:r>
      <w:r>
        <w:rPr>
          <w:rFonts w:cs="Arial"/>
        </w:rPr>
        <w:t xml:space="preserve">and the </w:t>
      </w:r>
      <w:proofErr w:type="spellStart"/>
      <w:r>
        <w:rPr>
          <w:rFonts w:cs="Arial"/>
        </w:rPr>
        <w:t>Adnyamathanha</w:t>
      </w:r>
      <w:proofErr w:type="spellEnd"/>
      <w:r>
        <w:rPr>
          <w:rFonts w:cs="Arial"/>
        </w:rPr>
        <w:t xml:space="preserve"> People</w:t>
      </w:r>
      <w:r w:rsidRPr="00696775">
        <w:rPr>
          <w:rFonts w:cs="Arial"/>
        </w:rPr>
        <w:t xml:space="preserve"> have entered into a Memorandum of Understanding between them in the terms of the document comprising the “Annexure A” to</w:t>
      </w:r>
      <w:r>
        <w:rPr>
          <w:rFonts w:cs="Arial"/>
        </w:rPr>
        <w:t xml:space="preserve"> Schedule 5</w:t>
      </w:r>
      <w:r w:rsidRPr="00696775">
        <w:rPr>
          <w:rFonts w:cs="Arial"/>
        </w:rPr>
        <w:t>, under which both groups agree in particular that:</w:t>
      </w:r>
    </w:p>
    <w:p w:rsidR="00532141" w:rsidRPr="00696775" w:rsidRDefault="00532141" w:rsidP="008A43A4">
      <w:pPr>
        <w:numPr>
          <w:ilvl w:val="2"/>
          <w:numId w:val="20"/>
        </w:numPr>
        <w:tabs>
          <w:tab w:val="clear" w:pos="1854"/>
          <w:tab w:val="num" w:pos="2127"/>
        </w:tabs>
        <w:spacing w:after="240"/>
        <w:ind w:left="2127" w:hanging="709"/>
        <w:rPr>
          <w:rFonts w:cs="Arial"/>
        </w:rPr>
      </w:pPr>
      <w:r w:rsidRPr="00696775">
        <w:rPr>
          <w:rFonts w:cs="Arial"/>
        </w:rPr>
        <w:t xml:space="preserve">the </w:t>
      </w:r>
      <w:proofErr w:type="spellStart"/>
      <w:r w:rsidRPr="005227D2">
        <w:rPr>
          <w:rFonts w:cs="Arial"/>
        </w:rPr>
        <w:t>Adnyamathanha</w:t>
      </w:r>
      <w:proofErr w:type="spellEnd"/>
      <w:r w:rsidRPr="00696775">
        <w:rPr>
          <w:rFonts w:cs="Arial"/>
        </w:rPr>
        <w:t xml:space="preserve"> People hold traditional rights and interests in the Determination Area;</w:t>
      </w:r>
    </w:p>
    <w:p w:rsidR="00532141" w:rsidRPr="00696775" w:rsidRDefault="00532141" w:rsidP="008A43A4">
      <w:pPr>
        <w:numPr>
          <w:ilvl w:val="2"/>
          <w:numId w:val="20"/>
        </w:numPr>
        <w:tabs>
          <w:tab w:val="clear" w:pos="1854"/>
          <w:tab w:val="num" w:pos="2127"/>
        </w:tabs>
        <w:spacing w:after="240"/>
        <w:ind w:left="2127" w:hanging="709"/>
        <w:rPr>
          <w:rFonts w:cs="Arial"/>
        </w:rPr>
      </w:pPr>
      <w:r w:rsidRPr="00696775">
        <w:rPr>
          <w:rFonts w:cs="Arial"/>
        </w:rPr>
        <w:lastRenderedPageBreak/>
        <w:t xml:space="preserve">the </w:t>
      </w:r>
      <w:proofErr w:type="spellStart"/>
      <w:r w:rsidRPr="00696775">
        <w:rPr>
          <w:rFonts w:cs="Arial"/>
        </w:rPr>
        <w:t>Dieri</w:t>
      </w:r>
      <w:proofErr w:type="spellEnd"/>
      <w:r w:rsidRPr="00696775">
        <w:rPr>
          <w:rFonts w:cs="Arial"/>
        </w:rPr>
        <w:t xml:space="preserve"> People hold traditional rights and interests in the </w:t>
      </w:r>
      <w:proofErr w:type="spellStart"/>
      <w:r>
        <w:rPr>
          <w:rFonts w:cs="Arial"/>
        </w:rPr>
        <w:t>Adnyamathanha</w:t>
      </w:r>
      <w:proofErr w:type="spellEnd"/>
      <w:r>
        <w:rPr>
          <w:rFonts w:cs="Arial"/>
        </w:rPr>
        <w:t xml:space="preserve"> </w:t>
      </w:r>
      <w:r w:rsidRPr="00696775">
        <w:rPr>
          <w:rFonts w:cs="Arial"/>
        </w:rPr>
        <w:t xml:space="preserve">Determination Area; </w:t>
      </w:r>
    </w:p>
    <w:p w:rsidR="00532141" w:rsidRPr="00696775" w:rsidRDefault="00532141" w:rsidP="008A43A4">
      <w:pPr>
        <w:numPr>
          <w:ilvl w:val="1"/>
          <w:numId w:val="20"/>
        </w:numPr>
        <w:tabs>
          <w:tab w:val="clear" w:pos="1139"/>
          <w:tab w:val="num" w:pos="1418"/>
        </w:tabs>
        <w:spacing w:after="240"/>
        <w:ind w:left="1418" w:hanging="709"/>
        <w:rPr>
          <w:rFonts w:cs="Arial"/>
        </w:rPr>
      </w:pPr>
      <w:r w:rsidRPr="00696775">
        <w:rPr>
          <w:rFonts w:cs="Arial"/>
        </w:rPr>
        <w:t>The Agreement provides that the traditional rights and interests referred to in sub-paragraph (a):</w:t>
      </w:r>
    </w:p>
    <w:p w:rsidR="00532141" w:rsidRPr="00696775" w:rsidRDefault="00532141" w:rsidP="008A43A4">
      <w:pPr>
        <w:numPr>
          <w:ilvl w:val="2"/>
          <w:numId w:val="20"/>
        </w:numPr>
        <w:tabs>
          <w:tab w:val="clear" w:pos="1854"/>
          <w:tab w:val="num" w:pos="2127"/>
        </w:tabs>
        <w:spacing w:after="240"/>
        <w:ind w:left="2127" w:hanging="709"/>
        <w:rPr>
          <w:rFonts w:cs="Arial"/>
        </w:rPr>
      </w:pPr>
      <w:r w:rsidRPr="00696775">
        <w:rPr>
          <w:rFonts w:cs="Arial"/>
        </w:rPr>
        <w:t>are not native title rights and interests; and</w:t>
      </w:r>
    </w:p>
    <w:p w:rsidR="00532141" w:rsidRPr="00696775" w:rsidRDefault="00532141" w:rsidP="008A43A4">
      <w:pPr>
        <w:numPr>
          <w:ilvl w:val="2"/>
          <w:numId w:val="20"/>
        </w:numPr>
        <w:tabs>
          <w:tab w:val="clear" w:pos="1854"/>
          <w:tab w:val="num" w:pos="2127"/>
        </w:tabs>
        <w:spacing w:after="240"/>
        <w:ind w:left="2127" w:hanging="709"/>
        <w:rPr>
          <w:rFonts w:cs="Arial"/>
        </w:rPr>
      </w:pPr>
      <w:r w:rsidRPr="00696775">
        <w:rPr>
          <w:rFonts w:cs="Arial"/>
        </w:rPr>
        <w:t>co-exist with the native title rights and interests.</w:t>
      </w:r>
    </w:p>
    <w:p w:rsidR="00532141" w:rsidRDefault="00532141" w:rsidP="008A43A4">
      <w:pPr>
        <w:numPr>
          <w:ilvl w:val="1"/>
          <w:numId w:val="20"/>
        </w:numPr>
        <w:tabs>
          <w:tab w:val="clear" w:pos="1139"/>
          <w:tab w:val="num" w:pos="1418"/>
        </w:tabs>
        <w:spacing w:after="240"/>
        <w:ind w:left="1418" w:hanging="709"/>
      </w:pPr>
      <w:r w:rsidRPr="00696775">
        <w:t xml:space="preserve">The State </w:t>
      </w:r>
      <w:r w:rsidRPr="005227D2">
        <w:rPr>
          <w:rFonts w:cs="Arial"/>
        </w:rPr>
        <w:t>and</w:t>
      </w:r>
      <w:r w:rsidRPr="00696775">
        <w:t xml:space="preserve"> other Respondent parties are not bound by the Memorandum of Understanding referred to in Paragraph 22(a) but acknowledge that the provisions of relevant State and Commonwealth legislation apply according to their terms from time to time in relation to the Determination Area.</w:t>
      </w:r>
    </w:p>
    <w:p w:rsidR="00654D4A" w:rsidRDefault="00532141" w:rsidP="008A43A4">
      <w:pPr>
        <w:numPr>
          <w:ilvl w:val="1"/>
          <w:numId w:val="20"/>
        </w:numPr>
        <w:tabs>
          <w:tab w:val="clear" w:pos="1139"/>
          <w:tab w:val="num" w:pos="1418"/>
        </w:tabs>
        <w:spacing w:after="240"/>
        <w:ind w:left="1418" w:hanging="709"/>
      </w:pPr>
      <w:r>
        <w:t xml:space="preserve">The consent </w:t>
      </w:r>
      <w:r w:rsidRPr="005227D2">
        <w:rPr>
          <w:rFonts w:cs="Arial"/>
        </w:rPr>
        <w:t>determination</w:t>
      </w:r>
      <w:r>
        <w:t xml:space="preserve"> made in relation to the </w:t>
      </w:r>
      <w:proofErr w:type="spellStart"/>
      <w:r>
        <w:t>Adnyamathanha</w:t>
      </w:r>
      <w:proofErr w:type="spellEnd"/>
      <w:r>
        <w:t xml:space="preserve"> Determination Area is in the terms of the document comprising Schedule 6.</w:t>
      </w:r>
    </w:p>
    <w:p w:rsidR="00654D4A" w:rsidRDefault="00654D4A" w:rsidP="00654D4A">
      <w:pPr>
        <w:spacing w:after="240"/>
        <w:ind w:left="1418"/>
      </w:pPr>
    </w:p>
    <w:p w:rsidR="00654D4A" w:rsidRDefault="00654D4A" w:rsidP="00654D4A">
      <w:pPr>
        <w:rPr>
          <w:sz w:val="22"/>
          <w:szCs w:val="22"/>
        </w:rPr>
      </w:pPr>
      <w:r>
        <w:rPr>
          <w:sz w:val="22"/>
          <w:szCs w:val="22"/>
        </w:rPr>
        <w:t>Note:</w:t>
      </w:r>
      <w:r>
        <w:rPr>
          <w:sz w:val="22"/>
          <w:szCs w:val="22"/>
        </w:rPr>
        <w:tab/>
        <w:t xml:space="preserve">Entry of orders is dealt with in Rule 39.32 of the </w:t>
      </w:r>
      <w:r>
        <w:rPr>
          <w:i/>
          <w:sz w:val="22"/>
          <w:szCs w:val="22"/>
        </w:rPr>
        <w:t>Federal Court Rules 2011</w:t>
      </w:r>
      <w:r>
        <w:rPr>
          <w:sz w:val="22"/>
          <w:szCs w:val="22"/>
        </w:rPr>
        <w:t>.</w:t>
      </w:r>
    </w:p>
    <w:p w:rsidR="00314A32" w:rsidRDefault="00532141" w:rsidP="00654D4A">
      <w:pPr>
        <w:spacing w:after="240"/>
        <w:ind w:left="567"/>
        <w:sectPr w:rsidR="00314A32" w:rsidSect="00BA4981">
          <w:headerReference w:type="default" r:id="rId10"/>
          <w:footerReference w:type="first" r:id="rId11"/>
          <w:endnotePr>
            <w:numFmt w:val="decimal"/>
          </w:endnotePr>
          <w:pgSz w:w="11907" w:h="16840" w:code="9"/>
          <w:pgMar w:top="1440" w:right="1440" w:bottom="1440" w:left="1440" w:header="851" w:footer="851" w:gutter="0"/>
          <w:pgNumType w:start="1"/>
          <w:cols w:space="720"/>
          <w:noEndnote/>
          <w:titlePg/>
        </w:sectPr>
      </w:pPr>
      <w:r>
        <w:t xml:space="preserve"> </w:t>
      </w:r>
    </w:p>
    <w:p w:rsidR="00314A32" w:rsidRDefault="00314A32" w:rsidP="00314A32">
      <w:pPr>
        <w:rPr>
          <w:rFonts w:cs="Arial"/>
          <w:b/>
        </w:rPr>
      </w:pPr>
      <w:r>
        <w:rPr>
          <w:b/>
          <w:bCs/>
        </w:rPr>
        <w:lastRenderedPageBreak/>
        <w:t>SCHEDULE 1 - Description and Map of the Determination Area</w:t>
      </w:r>
      <w:r>
        <w:rPr>
          <w:rFonts w:cs="Arial"/>
          <w:b/>
        </w:rPr>
        <w:t xml:space="preserve"> </w:t>
      </w:r>
    </w:p>
    <w:p w:rsidR="00314A32" w:rsidRPr="00314A32" w:rsidRDefault="00314A32" w:rsidP="00314A32">
      <w:pPr>
        <w:pStyle w:val="Heading2"/>
        <w:spacing w:line="360" w:lineRule="auto"/>
        <w:rPr>
          <w:i/>
        </w:rPr>
      </w:pPr>
      <w:r w:rsidRPr="00314A32">
        <w:rPr>
          <w:i/>
        </w:rPr>
        <w:t xml:space="preserve">External boundary description </w:t>
      </w:r>
    </w:p>
    <w:p w:rsidR="00314A32" w:rsidRDefault="00314A32" w:rsidP="00314A32">
      <w:pPr>
        <w:rPr>
          <w:rFonts w:cs="Arial"/>
        </w:rPr>
      </w:pPr>
      <w:r w:rsidRPr="00D773B9">
        <w:rPr>
          <w:rFonts w:cs="Arial"/>
        </w:rPr>
        <w:t xml:space="preserve">The </w:t>
      </w:r>
      <w:r>
        <w:rPr>
          <w:rFonts w:cs="Arial"/>
        </w:rPr>
        <w:t>Determination</w:t>
      </w:r>
      <w:r w:rsidRPr="00D773B9">
        <w:rPr>
          <w:rFonts w:cs="Arial"/>
        </w:rPr>
        <w:t xml:space="preserve"> </w:t>
      </w:r>
      <w:r>
        <w:rPr>
          <w:rFonts w:cs="Arial"/>
        </w:rPr>
        <w:t>A</w:t>
      </w:r>
      <w:r w:rsidRPr="00D773B9">
        <w:rPr>
          <w:rFonts w:cs="Arial"/>
        </w:rPr>
        <w:t xml:space="preserve">rea </w:t>
      </w:r>
      <w:r>
        <w:rPr>
          <w:rFonts w:cs="Arial"/>
        </w:rPr>
        <w:t xml:space="preserve">is located wholly within and comprises </w:t>
      </w:r>
      <w:r w:rsidRPr="00D773B9">
        <w:rPr>
          <w:rFonts w:cs="Arial"/>
        </w:rPr>
        <w:t xml:space="preserve">all the land and waters </w:t>
      </w:r>
      <w:r>
        <w:rPr>
          <w:rFonts w:cs="Arial"/>
        </w:rPr>
        <w:t>bounded by the following line</w:t>
      </w:r>
      <w:r w:rsidRPr="00D773B9">
        <w:rPr>
          <w:rFonts w:cs="Arial"/>
        </w:rPr>
        <w:t>:</w:t>
      </w:r>
    </w:p>
    <w:p w:rsidR="00314A32" w:rsidRDefault="00314A32" w:rsidP="00314A32">
      <w:pPr>
        <w:rPr>
          <w:rFonts w:cs="Arial"/>
        </w:rPr>
      </w:pPr>
    </w:p>
    <w:p w:rsidR="00314A32" w:rsidRPr="00D773B9" w:rsidRDefault="00314A32" w:rsidP="00314A32">
      <w:pPr>
        <w:rPr>
          <w:rFonts w:cs="Arial"/>
        </w:rPr>
      </w:pPr>
      <w:r w:rsidRPr="00D773B9">
        <w:rPr>
          <w:rFonts w:cs="Arial"/>
        </w:rPr>
        <w:t xml:space="preserve">Commencing at the </w:t>
      </w:r>
      <w:r>
        <w:rPr>
          <w:rFonts w:cs="Arial"/>
        </w:rPr>
        <w:t xml:space="preserve">intersection of the western boundary of </w:t>
      </w:r>
      <w:proofErr w:type="spellStart"/>
      <w:r>
        <w:rPr>
          <w:rFonts w:cs="Arial"/>
        </w:rPr>
        <w:t>Wilpoorinna</w:t>
      </w:r>
      <w:proofErr w:type="spellEnd"/>
      <w:r>
        <w:rPr>
          <w:rFonts w:cs="Arial"/>
        </w:rPr>
        <w:t xml:space="preserve"> Pastoral Lease - Block 1122, OH(Marree) with Latitude 29.764891 South; t</w:t>
      </w:r>
      <w:r w:rsidRPr="00D773B9">
        <w:rPr>
          <w:rFonts w:cs="Arial"/>
        </w:rPr>
        <w:t>hen generally north</w:t>
      </w:r>
      <w:r>
        <w:rPr>
          <w:rFonts w:cs="Arial"/>
        </w:rPr>
        <w:t>-ea</w:t>
      </w:r>
      <w:r w:rsidRPr="00D773B9">
        <w:rPr>
          <w:rFonts w:cs="Arial"/>
        </w:rPr>
        <w:t xml:space="preserve">sterly </w:t>
      </w:r>
      <w:r>
        <w:rPr>
          <w:rFonts w:cs="Arial"/>
        </w:rPr>
        <w:t xml:space="preserve">in </w:t>
      </w:r>
      <w:r w:rsidRPr="00D773B9">
        <w:rPr>
          <w:rFonts w:cs="Arial"/>
        </w:rPr>
        <w:t>straight lines connecting the following coordinate points</w:t>
      </w:r>
    </w:p>
    <w:p w:rsidR="00314A32" w:rsidRPr="00D773B9" w:rsidRDefault="00314A32" w:rsidP="00314A32">
      <w:pPr>
        <w:ind w:left="567"/>
        <w:rPr>
          <w:rFonts w:cs="Arial"/>
        </w:rPr>
      </w:pPr>
    </w:p>
    <w:tbl>
      <w:tblPr>
        <w:tblW w:w="4678" w:type="dxa"/>
        <w:tblInd w:w="2093" w:type="dxa"/>
        <w:tblLook w:val="0000" w:firstRow="0" w:lastRow="0" w:firstColumn="0" w:lastColumn="0" w:noHBand="0" w:noVBand="0"/>
      </w:tblPr>
      <w:tblGrid>
        <w:gridCol w:w="2407"/>
        <w:gridCol w:w="2271"/>
      </w:tblGrid>
      <w:tr w:rsidR="00314A32" w:rsidRPr="00D773B9" w:rsidTr="006166F1">
        <w:trPr>
          <w:trHeight w:val="255"/>
        </w:trPr>
        <w:tc>
          <w:tcPr>
            <w:tcW w:w="2407"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314A32" w:rsidRPr="00D773B9" w:rsidRDefault="00314A32" w:rsidP="00314A32">
            <w:pPr>
              <w:spacing w:line="240" w:lineRule="auto"/>
              <w:jc w:val="center"/>
              <w:rPr>
                <w:rFonts w:cs="Arial"/>
                <w:b/>
                <w:bCs/>
                <w:lang w:eastAsia="en-AU"/>
              </w:rPr>
            </w:pPr>
            <w:r w:rsidRPr="00D773B9">
              <w:rPr>
                <w:rFonts w:cs="Arial"/>
                <w:b/>
                <w:bCs/>
                <w:lang w:eastAsia="en-AU"/>
              </w:rPr>
              <w:t>Longitude (East)</w:t>
            </w:r>
          </w:p>
        </w:tc>
        <w:tc>
          <w:tcPr>
            <w:tcW w:w="2271" w:type="dxa"/>
            <w:tcBorders>
              <w:top w:val="single" w:sz="4" w:space="0" w:color="auto"/>
              <w:left w:val="nil"/>
              <w:bottom w:val="single" w:sz="4" w:space="0" w:color="auto"/>
              <w:right w:val="single" w:sz="4" w:space="0" w:color="auto"/>
            </w:tcBorders>
            <w:shd w:val="clear" w:color="auto" w:fill="C0C0C0"/>
            <w:noWrap/>
            <w:vAlign w:val="bottom"/>
          </w:tcPr>
          <w:p w:rsidR="00314A32" w:rsidRPr="00D773B9" w:rsidRDefault="00314A32" w:rsidP="00314A32">
            <w:pPr>
              <w:spacing w:line="240" w:lineRule="auto"/>
              <w:jc w:val="center"/>
              <w:rPr>
                <w:rFonts w:cs="Arial"/>
                <w:b/>
                <w:bCs/>
                <w:lang w:eastAsia="en-AU"/>
              </w:rPr>
            </w:pPr>
            <w:r w:rsidRPr="00D773B9">
              <w:rPr>
                <w:rFonts w:cs="Arial"/>
                <w:b/>
                <w:bCs/>
                <w:lang w:eastAsia="en-AU"/>
              </w:rPr>
              <w:t>Latitude (South)</w:t>
            </w:r>
          </w:p>
        </w:tc>
      </w:tr>
      <w:tr w:rsidR="00314A32" w:rsidRPr="00D773B9"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14A32" w:rsidRPr="00D773B9" w:rsidRDefault="00314A32" w:rsidP="00314A32">
            <w:pPr>
              <w:spacing w:line="240" w:lineRule="auto"/>
              <w:jc w:val="center"/>
              <w:rPr>
                <w:rFonts w:cs="Arial"/>
                <w:lang w:eastAsia="en-AU"/>
              </w:rPr>
            </w:pPr>
            <w:r w:rsidRPr="00D773B9">
              <w:rPr>
                <w:rFonts w:cs="Arial"/>
                <w:lang w:eastAsia="en-AU"/>
              </w:rPr>
              <w:t>138.594515</w:t>
            </w:r>
          </w:p>
        </w:tc>
        <w:tc>
          <w:tcPr>
            <w:tcW w:w="2271" w:type="dxa"/>
            <w:tcBorders>
              <w:top w:val="nil"/>
              <w:left w:val="nil"/>
              <w:bottom w:val="single" w:sz="4" w:space="0" w:color="auto"/>
              <w:right w:val="single" w:sz="4" w:space="0" w:color="auto"/>
            </w:tcBorders>
            <w:shd w:val="clear" w:color="auto" w:fill="auto"/>
            <w:noWrap/>
            <w:vAlign w:val="bottom"/>
          </w:tcPr>
          <w:p w:rsidR="00314A32" w:rsidRPr="00D773B9" w:rsidRDefault="00314A32" w:rsidP="00314A32">
            <w:pPr>
              <w:spacing w:line="240" w:lineRule="auto"/>
              <w:jc w:val="center"/>
              <w:rPr>
                <w:rFonts w:cs="Arial"/>
                <w:lang w:eastAsia="en-AU"/>
              </w:rPr>
            </w:pPr>
            <w:r w:rsidRPr="00D773B9">
              <w:rPr>
                <w:rFonts w:cs="Arial"/>
                <w:lang w:eastAsia="en-AU"/>
              </w:rPr>
              <w:t>29.701424</w:t>
            </w:r>
          </w:p>
        </w:tc>
      </w:tr>
      <w:tr w:rsidR="00314A32" w:rsidRPr="00D773B9"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14A32" w:rsidRPr="00D773B9" w:rsidRDefault="00314A32" w:rsidP="00314A32">
            <w:pPr>
              <w:spacing w:line="240" w:lineRule="auto"/>
              <w:jc w:val="center"/>
              <w:rPr>
                <w:rFonts w:cs="Arial"/>
                <w:lang w:eastAsia="en-AU"/>
              </w:rPr>
            </w:pPr>
            <w:r w:rsidRPr="00D773B9">
              <w:rPr>
                <w:rFonts w:cs="Arial"/>
                <w:lang w:eastAsia="en-AU"/>
              </w:rPr>
              <w:t>138.795702</w:t>
            </w:r>
          </w:p>
        </w:tc>
        <w:tc>
          <w:tcPr>
            <w:tcW w:w="2271" w:type="dxa"/>
            <w:tcBorders>
              <w:top w:val="nil"/>
              <w:left w:val="nil"/>
              <w:bottom w:val="single" w:sz="4" w:space="0" w:color="auto"/>
              <w:right w:val="single" w:sz="4" w:space="0" w:color="auto"/>
            </w:tcBorders>
            <w:shd w:val="clear" w:color="auto" w:fill="auto"/>
            <w:noWrap/>
            <w:vAlign w:val="bottom"/>
          </w:tcPr>
          <w:p w:rsidR="00314A32" w:rsidRPr="00D773B9" w:rsidRDefault="00314A32" w:rsidP="00314A32">
            <w:pPr>
              <w:spacing w:line="240" w:lineRule="auto"/>
              <w:jc w:val="center"/>
              <w:rPr>
                <w:rFonts w:cs="Arial"/>
                <w:lang w:eastAsia="en-AU"/>
              </w:rPr>
            </w:pPr>
            <w:r w:rsidRPr="00D773B9">
              <w:rPr>
                <w:rFonts w:cs="Arial"/>
                <w:lang w:eastAsia="en-AU"/>
              </w:rPr>
              <w:t>29.581792</w:t>
            </w:r>
          </w:p>
        </w:tc>
      </w:tr>
      <w:tr w:rsidR="00314A32" w:rsidRPr="00D773B9"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14A32" w:rsidRPr="00D773B9" w:rsidRDefault="00314A32" w:rsidP="00314A32">
            <w:pPr>
              <w:spacing w:line="240" w:lineRule="auto"/>
              <w:jc w:val="center"/>
              <w:rPr>
                <w:rFonts w:cs="Arial"/>
                <w:lang w:eastAsia="en-AU"/>
              </w:rPr>
            </w:pPr>
            <w:r w:rsidRPr="00D773B9">
              <w:rPr>
                <w:rFonts w:cs="Arial"/>
                <w:lang w:eastAsia="en-AU"/>
              </w:rPr>
              <w:t>138.961899</w:t>
            </w:r>
          </w:p>
        </w:tc>
        <w:tc>
          <w:tcPr>
            <w:tcW w:w="2271" w:type="dxa"/>
            <w:tcBorders>
              <w:top w:val="nil"/>
              <w:left w:val="nil"/>
              <w:bottom w:val="single" w:sz="4" w:space="0" w:color="auto"/>
              <w:right w:val="single" w:sz="4" w:space="0" w:color="auto"/>
            </w:tcBorders>
            <w:shd w:val="clear" w:color="auto" w:fill="auto"/>
            <w:noWrap/>
            <w:vAlign w:val="bottom"/>
          </w:tcPr>
          <w:p w:rsidR="00314A32" w:rsidRPr="00D773B9" w:rsidRDefault="00314A32" w:rsidP="00314A32">
            <w:pPr>
              <w:spacing w:line="240" w:lineRule="auto"/>
              <w:jc w:val="center"/>
              <w:rPr>
                <w:rFonts w:cs="Arial"/>
                <w:lang w:eastAsia="en-AU"/>
              </w:rPr>
            </w:pPr>
            <w:r w:rsidRPr="00D773B9">
              <w:rPr>
                <w:rFonts w:cs="Arial"/>
                <w:lang w:eastAsia="en-AU"/>
              </w:rPr>
              <w:t>29.467992</w:t>
            </w:r>
          </w:p>
        </w:tc>
      </w:tr>
      <w:tr w:rsidR="00314A32" w:rsidRPr="00D773B9"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14A32" w:rsidRPr="00D773B9" w:rsidRDefault="00314A32" w:rsidP="00314A32">
            <w:pPr>
              <w:spacing w:line="240" w:lineRule="auto"/>
              <w:jc w:val="center"/>
              <w:rPr>
                <w:rFonts w:cs="Arial"/>
                <w:lang w:eastAsia="en-AU"/>
              </w:rPr>
            </w:pPr>
            <w:r w:rsidRPr="00D773B9">
              <w:rPr>
                <w:rFonts w:cs="Arial"/>
                <w:lang w:eastAsia="en-AU"/>
              </w:rPr>
              <w:t>139.189327</w:t>
            </w:r>
          </w:p>
        </w:tc>
        <w:tc>
          <w:tcPr>
            <w:tcW w:w="2271" w:type="dxa"/>
            <w:tcBorders>
              <w:top w:val="nil"/>
              <w:left w:val="nil"/>
              <w:bottom w:val="single" w:sz="4" w:space="0" w:color="auto"/>
              <w:right w:val="single" w:sz="4" w:space="0" w:color="auto"/>
            </w:tcBorders>
            <w:shd w:val="clear" w:color="auto" w:fill="auto"/>
            <w:noWrap/>
            <w:vAlign w:val="bottom"/>
          </w:tcPr>
          <w:p w:rsidR="00314A32" w:rsidRPr="00D773B9" w:rsidRDefault="00314A32" w:rsidP="00314A32">
            <w:pPr>
              <w:spacing w:line="240" w:lineRule="auto"/>
              <w:jc w:val="center"/>
              <w:rPr>
                <w:rFonts w:cs="Arial"/>
                <w:lang w:eastAsia="en-AU"/>
              </w:rPr>
            </w:pPr>
            <w:r w:rsidRPr="00D773B9">
              <w:rPr>
                <w:rFonts w:cs="Arial"/>
                <w:lang w:eastAsia="en-AU"/>
              </w:rPr>
              <w:t>29.289997</w:t>
            </w:r>
          </w:p>
        </w:tc>
      </w:tr>
      <w:tr w:rsidR="00314A32" w:rsidRPr="00D773B9"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14A32" w:rsidRPr="00D773B9" w:rsidRDefault="00314A32" w:rsidP="00314A32">
            <w:pPr>
              <w:spacing w:line="240" w:lineRule="auto"/>
              <w:jc w:val="center"/>
              <w:rPr>
                <w:rFonts w:cs="Arial"/>
                <w:lang w:eastAsia="en-AU"/>
              </w:rPr>
            </w:pPr>
            <w:r w:rsidRPr="00D773B9">
              <w:rPr>
                <w:rFonts w:cs="Arial"/>
                <w:lang w:eastAsia="en-AU"/>
              </w:rPr>
              <w:t>139.279715</w:t>
            </w:r>
          </w:p>
        </w:tc>
        <w:tc>
          <w:tcPr>
            <w:tcW w:w="2271" w:type="dxa"/>
            <w:tcBorders>
              <w:top w:val="nil"/>
              <w:left w:val="nil"/>
              <w:bottom w:val="single" w:sz="4" w:space="0" w:color="auto"/>
              <w:right w:val="single" w:sz="4" w:space="0" w:color="auto"/>
            </w:tcBorders>
            <w:shd w:val="clear" w:color="auto" w:fill="auto"/>
            <w:noWrap/>
            <w:vAlign w:val="bottom"/>
          </w:tcPr>
          <w:p w:rsidR="00314A32" w:rsidRPr="00D773B9" w:rsidRDefault="00314A32" w:rsidP="00314A32">
            <w:pPr>
              <w:spacing w:line="240" w:lineRule="auto"/>
              <w:jc w:val="center"/>
              <w:rPr>
                <w:rFonts w:cs="Arial"/>
                <w:lang w:eastAsia="en-AU"/>
              </w:rPr>
            </w:pPr>
            <w:r w:rsidRPr="00D773B9">
              <w:rPr>
                <w:rFonts w:cs="Arial"/>
                <w:lang w:eastAsia="en-AU"/>
              </w:rPr>
              <w:t>29.196623</w:t>
            </w:r>
          </w:p>
        </w:tc>
      </w:tr>
      <w:tr w:rsidR="00314A32" w:rsidRPr="00D773B9"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14A32" w:rsidRPr="00D773B9" w:rsidRDefault="00314A32" w:rsidP="00314A32">
            <w:pPr>
              <w:spacing w:line="240" w:lineRule="auto"/>
              <w:jc w:val="center"/>
              <w:rPr>
                <w:rFonts w:cs="Arial"/>
                <w:lang w:eastAsia="en-AU"/>
              </w:rPr>
            </w:pPr>
            <w:r w:rsidRPr="00D773B9">
              <w:rPr>
                <w:rFonts w:cs="Arial"/>
                <w:lang w:eastAsia="en-AU"/>
              </w:rPr>
              <w:t>139.370103</w:t>
            </w:r>
          </w:p>
        </w:tc>
        <w:tc>
          <w:tcPr>
            <w:tcW w:w="2271" w:type="dxa"/>
            <w:tcBorders>
              <w:top w:val="nil"/>
              <w:left w:val="nil"/>
              <w:bottom w:val="single" w:sz="4" w:space="0" w:color="auto"/>
              <w:right w:val="single" w:sz="4" w:space="0" w:color="auto"/>
            </w:tcBorders>
            <w:shd w:val="clear" w:color="auto" w:fill="auto"/>
            <w:noWrap/>
            <w:vAlign w:val="bottom"/>
          </w:tcPr>
          <w:p w:rsidR="00314A32" w:rsidRPr="00D773B9" w:rsidRDefault="00314A32" w:rsidP="00314A32">
            <w:pPr>
              <w:spacing w:line="240" w:lineRule="auto"/>
              <w:jc w:val="center"/>
              <w:rPr>
                <w:rFonts w:cs="Arial"/>
                <w:lang w:eastAsia="en-AU"/>
              </w:rPr>
            </w:pPr>
            <w:r w:rsidRPr="00D773B9">
              <w:rPr>
                <w:rFonts w:cs="Arial"/>
                <w:lang w:eastAsia="en-AU"/>
              </w:rPr>
              <w:t>29.149934</w:t>
            </w:r>
          </w:p>
        </w:tc>
      </w:tr>
      <w:tr w:rsidR="00314A32" w:rsidRPr="00D773B9"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14A32" w:rsidRPr="00D773B9" w:rsidRDefault="00314A32" w:rsidP="00314A32">
            <w:pPr>
              <w:spacing w:line="240" w:lineRule="auto"/>
              <w:jc w:val="center"/>
              <w:rPr>
                <w:rFonts w:cs="Arial"/>
                <w:lang w:eastAsia="en-AU"/>
              </w:rPr>
            </w:pPr>
            <w:r w:rsidRPr="00D773B9">
              <w:rPr>
                <w:rFonts w:cs="Arial"/>
                <w:lang w:eastAsia="en-AU"/>
              </w:rPr>
              <w:t>139.375935</w:t>
            </w:r>
          </w:p>
        </w:tc>
        <w:tc>
          <w:tcPr>
            <w:tcW w:w="2271" w:type="dxa"/>
            <w:tcBorders>
              <w:top w:val="nil"/>
              <w:left w:val="nil"/>
              <w:bottom w:val="single" w:sz="4" w:space="0" w:color="auto"/>
              <w:right w:val="single" w:sz="4" w:space="0" w:color="auto"/>
            </w:tcBorders>
            <w:shd w:val="clear" w:color="auto" w:fill="auto"/>
            <w:noWrap/>
            <w:vAlign w:val="bottom"/>
          </w:tcPr>
          <w:p w:rsidR="00314A32" w:rsidRPr="00D773B9" w:rsidRDefault="00314A32" w:rsidP="00314A32">
            <w:pPr>
              <w:spacing w:line="240" w:lineRule="auto"/>
              <w:jc w:val="center"/>
              <w:rPr>
                <w:rFonts w:cs="Arial"/>
                <w:lang w:eastAsia="en-AU"/>
              </w:rPr>
            </w:pPr>
            <w:r w:rsidRPr="00D773B9">
              <w:rPr>
                <w:rFonts w:cs="Arial"/>
                <w:lang w:eastAsia="en-AU"/>
              </w:rPr>
              <w:t>29.152852</w:t>
            </w:r>
          </w:p>
        </w:tc>
      </w:tr>
      <w:tr w:rsidR="00314A32" w:rsidRPr="00D773B9"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14A32" w:rsidRPr="00D773B9" w:rsidRDefault="00314A32" w:rsidP="00314A32">
            <w:pPr>
              <w:spacing w:line="240" w:lineRule="auto"/>
              <w:jc w:val="center"/>
              <w:rPr>
                <w:rFonts w:cs="Arial"/>
                <w:lang w:eastAsia="en-AU"/>
              </w:rPr>
            </w:pPr>
            <w:r w:rsidRPr="00D773B9">
              <w:rPr>
                <w:rFonts w:cs="Arial"/>
                <w:lang w:eastAsia="en-AU"/>
              </w:rPr>
              <w:t>139.3</w:t>
            </w:r>
            <w:r>
              <w:rPr>
                <w:rFonts w:cs="Arial"/>
                <w:lang w:eastAsia="en-AU"/>
              </w:rPr>
              <w:t>80983</w:t>
            </w:r>
          </w:p>
        </w:tc>
        <w:tc>
          <w:tcPr>
            <w:tcW w:w="2271" w:type="dxa"/>
            <w:tcBorders>
              <w:top w:val="nil"/>
              <w:left w:val="nil"/>
              <w:bottom w:val="single" w:sz="4" w:space="0" w:color="auto"/>
              <w:right w:val="single" w:sz="4" w:space="0" w:color="auto"/>
            </w:tcBorders>
            <w:shd w:val="clear" w:color="auto" w:fill="auto"/>
            <w:noWrap/>
            <w:vAlign w:val="bottom"/>
          </w:tcPr>
          <w:p w:rsidR="00314A32" w:rsidRPr="00D773B9" w:rsidRDefault="00314A32" w:rsidP="00314A32">
            <w:pPr>
              <w:spacing w:line="240" w:lineRule="auto"/>
              <w:jc w:val="center"/>
              <w:rPr>
                <w:rFonts w:cs="Arial"/>
                <w:lang w:eastAsia="en-AU"/>
              </w:rPr>
            </w:pPr>
            <w:r w:rsidRPr="00D773B9">
              <w:rPr>
                <w:rFonts w:cs="Arial"/>
                <w:lang w:eastAsia="en-AU"/>
              </w:rPr>
              <w:t>29.15</w:t>
            </w:r>
            <w:r>
              <w:rPr>
                <w:rFonts w:cs="Arial"/>
                <w:lang w:eastAsia="en-AU"/>
              </w:rPr>
              <w:t>6313</w:t>
            </w:r>
          </w:p>
        </w:tc>
      </w:tr>
    </w:tbl>
    <w:p w:rsidR="00314A32" w:rsidRPr="00D773B9" w:rsidRDefault="00314A32" w:rsidP="00314A32">
      <w:pPr>
        <w:ind w:left="567"/>
        <w:rPr>
          <w:rFonts w:cs="Arial"/>
        </w:rPr>
      </w:pPr>
    </w:p>
    <w:p w:rsidR="00314A32" w:rsidRDefault="00314A32" w:rsidP="00314A32">
      <w:pPr>
        <w:rPr>
          <w:rFonts w:cs="Arial"/>
        </w:rPr>
      </w:pPr>
      <w:r>
        <w:rPr>
          <w:rFonts w:cs="Arial"/>
          <w:lang w:eastAsia="en-AU"/>
        </w:rPr>
        <w:t xml:space="preserve">Then south-easterly in a straight line to the intersection of  the </w:t>
      </w:r>
      <w:r>
        <w:rPr>
          <w:rFonts w:cs="Arial"/>
        </w:rPr>
        <w:t>south-western shoreline of Lake Blanche (</w:t>
      </w:r>
      <w:r w:rsidRPr="00D773B9">
        <w:rPr>
          <w:rFonts w:cs="Arial"/>
        </w:rPr>
        <w:t>Deposited Plan 33310 Allotment 2008)</w:t>
      </w:r>
      <w:r>
        <w:rPr>
          <w:rFonts w:cs="Arial"/>
        </w:rPr>
        <w:t xml:space="preserve"> with Longitude </w:t>
      </w:r>
      <w:r>
        <w:rPr>
          <w:rFonts w:cs="Arial"/>
          <w:lang w:eastAsia="en-AU"/>
        </w:rPr>
        <w:t>139.384583 East</w:t>
      </w:r>
      <w:r>
        <w:rPr>
          <w:rFonts w:cs="Arial"/>
        </w:rPr>
        <w:t>; then</w:t>
      </w:r>
      <w:r>
        <w:rPr>
          <w:rFonts w:cs="Arial"/>
          <w:lang w:eastAsia="en-AU"/>
        </w:rPr>
        <w:t xml:space="preserve"> </w:t>
      </w:r>
      <w:r w:rsidRPr="00D773B9">
        <w:rPr>
          <w:rFonts w:cs="Arial"/>
        </w:rPr>
        <w:t xml:space="preserve">generally </w:t>
      </w:r>
      <w:r>
        <w:rPr>
          <w:rFonts w:cs="Arial"/>
        </w:rPr>
        <w:t>sou</w:t>
      </w:r>
      <w:r w:rsidRPr="00D773B9">
        <w:rPr>
          <w:rFonts w:cs="Arial"/>
        </w:rPr>
        <w:t>th</w:t>
      </w:r>
      <w:r>
        <w:rPr>
          <w:rFonts w:cs="Arial"/>
        </w:rPr>
        <w:t>-ea</w:t>
      </w:r>
      <w:r w:rsidRPr="00D773B9">
        <w:rPr>
          <w:rFonts w:cs="Arial"/>
        </w:rPr>
        <w:t xml:space="preserve">sterly </w:t>
      </w:r>
      <w:r>
        <w:rPr>
          <w:rFonts w:cs="Arial"/>
        </w:rPr>
        <w:t xml:space="preserve">along the said shoreline of Lake Blanche to Longitude 139.781381 East; then generally south-westerly and north-westerly </w:t>
      </w:r>
      <w:r w:rsidRPr="00D773B9">
        <w:rPr>
          <w:rFonts w:cs="Arial"/>
        </w:rPr>
        <w:t>in straight lines connecting the following coordinate points</w:t>
      </w:r>
    </w:p>
    <w:p w:rsidR="00314A32" w:rsidRDefault="00314A32" w:rsidP="00314A32">
      <w:pPr>
        <w:rPr>
          <w:rFonts w:cs="Arial"/>
        </w:rPr>
      </w:pPr>
    </w:p>
    <w:tbl>
      <w:tblPr>
        <w:tblW w:w="4678" w:type="dxa"/>
        <w:tblInd w:w="2093" w:type="dxa"/>
        <w:tblLook w:val="0000" w:firstRow="0" w:lastRow="0" w:firstColumn="0" w:lastColumn="0" w:noHBand="0" w:noVBand="0"/>
      </w:tblPr>
      <w:tblGrid>
        <w:gridCol w:w="2407"/>
        <w:gridCol w:w="2271"/>
      </w:tblGrid>
      <w:tr w:rsidR="00314A32" w:rsidRPr="00D773B9" w:rsidTr="006166F1">
        <w:trPr>
          <w:trHeight w:val="255"/>
        </w:trPr>
        <w:tc>
          <w:tcPr>
            <w:tcW w:w="2407"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314A32" w:rsidRPr="00D773B9" w:rsidRDefault="00314A32" w:rsidP="006166F1">
            <w:pPr>
              <w:jc w:val="center"/>
              <w:rPr>
                <w:rFonts w:cs="Arial"/>
                <w:b/>
                <w:bCs/>
                <w:lang w:eastAsia="en-AU"/>
              </w:rPr>
            </w:pPr>
            <w:r w:rsidRPr="00D773B9">
              <w:rPr>
                <w:rFonts w:cs="Arial"/>
                <w:b/>
                <w:bCs/>
                <w:lang w:eastAsia="en-AU"/>
              </w:rPr>
              <w:t>Longitude (East)</w:t>
            </w:r>
          </w:p>
        </w:tc>
        <w:tc>
          <w:tcPr>
            <w:tcW w:w="2271" w:type="dxa"/>
            <w:tcBorders>
              <w:top w:val="single" w:sz="4" w:space="0" w:color="auto"/>
              <w:left w:val="nil"/>
              <w:bottom w:val="single" w:sz="4" w:space="0" w:color="auto"/>
              <w:right w:val="single" w:sz="4" w:space="0" w:color="auto"/>
            </w:tcBorders>
            <w:shd w:val="clear" w:color="auto" w:fill="C0C0C0"/>
            <w:noWrap/>
            <w:vAlign w:val="bottom"/>
          </w:tcPr>
          <w:p w:rsidR="00314A32" w:rsidRPr="00D773B9" w:rsidRDefault="00314A32" w:rsidP="006166F1">
            <w:pPr>
              <w:jc w:val="center"/>
              <w:rPr>
                <w:rFonts w:cs="Arial"/>
                <w:b/>
                <w:bCs/>
                <w:lang w:eastAsia="en-AU"/>
              </w:rPr>
            </w:pPr>
            <w:r w:rsidRPr="00D773B9">
              <w:rPr>
                <w:rFonts w:cs="Arial"/>
                <w:b/>
                <w:bCs/>
                <w:lang w:eastAsia="en-AU"/>
              </w:rPr>
              <w:t>Latitude (South)</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14A32" w:rsidRPr="00FE6906" w:rsidRDefault="00314A32" w:rsidP="00654D4A">
            <w:pPr>
              <w:spacing w:line="240" w:lineRule="auto"/>
              <w:jc w:val="center"/>
              <w:rPr>
                <w:rFonts w:cs="Arial"/>
                <w:lang w:eastAsia="en-AU"/>
              </w:rPr>
            </w:pPr>
            <w:r>
              <w:rPr>
                <w:rFonts w:cs="Arial"/>
                <w:lang w:eastAsia="en-AU"/>
              </w:rPr>
              <w:t>139.775627</w:t>
            </w:r>
          </w:p>
        </w:tc>
        <w:tc>
          <w:tcPr>
            <w:tcW w:w="2271" w:type="dxa"/>
            <w:tcBorders>
              <w:top w:val="nil"/>
              <w:left w:val="nil"/>
              <w:bottom w:val="single" w:sz="4" w:space="0" w:color="auto"/>
              <w:right w:val="single" w:sz="4" w:space="0" w:color="auto"/>
            </w:tcBorders>
            <w:shd w:val="clear" w:color="auto" w:fill="auto"/>
            <w:noWrap/>
            <w:vAlign w:val="bottom"/>
          </w:tcPr>
          <w:p w:rsidR="00314A32" w:rsidRPr="00FE6906" w:rsidRDefault="00314A32" w:rsidP="00654D4A">
            <w:pPr>
              <w:spacing w:line="240" w:lineRule="auto"/>
              <w:jc w:val="center"/>
              <w:rPr>
                <w:rFonts w:cs="Arial"/>
                <w:lang w:eastAsia="en-AU"/>
              </w:rPr>
            </w:pPr>
            <w:r w:rsidRPr="00FE6906">
              <w:rPr>
                <w:rFonts w:cs="Arial"/>
                <w:lang w:eastAsia="en-AU"/>
              </w:rPr>
              <w:t>29.44</w:t>
            </w:r>
            <w:r>
              <w:rPr>
                <w:rFonts w:cs="Arial"/>
                <w:lang w:eastAsia="en-AU"/>
              </w:rPr>
              <w:t>7571</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14A32" w:rsidRPr="00FE6906" w:rsidRDefault="00314A32" w:rsidP="00654D4A">
            <w:pPr>
              <w:spacing w:line="240" w:lineRule="auto"/>
              <w:jc w:val="center"/>
              <w:rPr>
                <w:rFonts w:cs="Arial"/>
                <w:lang w:eastAsia="en-AU"/>
              </w:rPr>
            </w:pPr>
            <w:r w:rsidRPr="00FE6906">
              <w:rPr>
                <w:rFonts w:cs="Arial"/>
                <w:lang w:eastAsia="en-AU"/>
              </w:rPr>
              <w:t>139.771817</w:t>
            </w:r>
          </w:p>
        </w:tc>
        <w:tc>
          <w:tcPr>
            <w:tcW w:w="2271" w:type="dxa"/>
            <w:tcBorders>
              <w:top w:val="nil"/>
              <w:left w:val="nil"/>
              <w:bottom w:val="single" w:sz="4" w:space="0" w:color="auto"/>
              <w:right w:val="single" w:sz="4" w:space="0" w:color="auto"/>
            </w:tcBorders>
            <w:shd w:val="clear" w:color="auto" w:fill="auto"/>
            <w:noWrap/>
            <w:vAlign w:val="bottom"/>
          </w:tcPr>
          <w:p w:rsidR="00314A32" w:rsidRPr="00FE6906" w:rsidRDefault="00314A32" w:rsidP="00654D4A">
            <w:pPr>
              <w:spacing w:line="240" w:lineRule="auto"/>
              <w:jc w:val="center"/>
              <w:rPr>
                <w:rFonts w:cs="Arial"/>
                <w:lang w:eastAsia="en-AU"/>
              </w:rPr>
            </w:pPr>
            <w:r w:rsidRPr="00FE6906">
              <w:rPr>
                <w:rFonts w:cs="Arial"/>
                <w:lang w:eastAsia="en-AU"/>
              </w:rPr>
              <w:t>29.449001</w:t>
            </w:r>
          </w:p>
        </w:tc>
      </w:tr>
      <w:tr w:rsidR="00314A32" w:rsidRPr="00D773B9"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14A32" w:rsidRPr="00D1400B" w:rsidRDefault="00314A32" w:rsidP="00654D4A">
            <w:pPr>
              <w:spacing w:line="240" w:lineRule="auto"/>
              <w:jc w:val="center"/>
              <w:rPr>
                <w:rFonts w:cs="Arial"/>
                <w:lang w:eastAsia="en-AU"/>
              </w:rPr>
            </w:pPr>
            <w:r>
              <w:rPr>
                <w:rFonts w:cs="Arial"/>
                <w:lang w:eastAsia="en-AU"/>
              </w:rPr>
              <w:t>139.759949</w:t>
            </w:r>
          </w:p>
        </w:tc>
        <w:tc>
          <w:tcPr>
            <w:tcW w:w="2271" w:type="dxa"/>
            <w:tcBorders>
              <w:top w:val="nil"/>
              <w:left w:val="nil"/>
              <w:bottom w:val="single" w:sz="4" w:space="0" w:color="auto"/>
              <w:right w:val="single" w:sz="4" w:space="0" w:color="auto"/>
            </w:tcBorders>
            <w:shd w:val="clear" w:color="auto" w:fill="auto"/>
            <w:noWrap/>
            <w:vAlign w:val="bottom"/>
          </w:tcPr>
          <w:p w:rsidR="00314A32" w:rsidRPr="00D1400B" w:rsidRDefault="00314A32" w:rsidP="00654D4A">
            <w:pPr>
              <w:spacing w:line="240" w:lineRule="auto"/>
              <w:jc w:val="center"/>
              <w:rPr>
                <w:rFonts w:cs="Arial"/>
                <w:lang w:eastAsia="en-AU"/>
              </w:rPr>
            </w:pPr>
            <w:r>
              <w:rPr>
                <w:rFonts w:cs="Arial"/>
                <w:lang w:eastAsia="en-AU"/>
              </w:rPr>
              <w:t>29.444512</w:t>
            </w:r>
          </w:p>
        </w:tc>
      </w:tr>
      <w:tr w:rsidR="00314A32" w:rsidRPr="00D773B9"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14A32" w:rsidRPr="00D773B9" w:rsidRDefault="00314A32" w:rsidP="00654D4A">
            <w:pPr>
              <w:spacing w:line="240" w:lineRule="auto"/>
              <w:jc w:val="center"/>
              <w:rPr>
                <w:rFonts w:cs="Arial"/>
                <w:lang w:eastAsia="en-AU"/>
              </w:rPr>
            </w:pPr>
            <w:r>
              <w:rPr>
                <w:rFonts w:cs="Arial"/>
                <w:lang w:eastAsia="en-AU"/>
              </w:rPr>
              <w:t>139.756934</w:t>
            </w:r>
          </w:p>
        </w:tc>
        <w:tc>
          <w:tcPr>
            <w:tcW w:w="2271" w:type="dxa"/>
            <w:tcBorders>
              <w:top w:val="nil"/>
              <w:left w:val="nil"/>
              <w:bottom w:val="single" w:sz="4" w:space="0" w:color="auto"/>
              <w:right w:val="single" w:sz="4" w:space="0" w:color="auto"/>
            </w:tcBorders>
            <w:shd w:val="clear" w:color="auto" w:fill="auto"/>
            <w:noWrap/>
            <w:vAlign w:val="bottom"/>
          </w:tcPr>
          <w:p w:rsidR="00314A32" w:rsidRPr="00D773B9" w:rsidRDefault="00314A32" w:rsidP="00654D4A">
            <w:pPr>
              <w:spacing w:line="240" w:lineRule="auto"/>
              <w:jc w:val="center"/>
              <w:rPr>
                <w:rFonts w:cs="Arial"/>
                <w:lang w:eastAsia="en-AU"/>
              </w:rPr>
            </w:pPr>
            <w:r>
              <w:rPr>
                <w:rFonts w:cs="Arial"/>
                <w:lang w:eastAsia="en-AU"/>
              </w:rPr>
              <w:t>29.442290</w:t>
            </w:r>
          </w:p>
        </w:tc>
      </w:tr>
      <w:tr w:rsidR="00314A32" w:rsidRPr="00D773B9"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14A32" w:rsidRPr="00D773B9" w:rsidRDefault="00314A32" w:rsidP="00654D4A">
            <w:pPr>
              <w:spacing w:line="240" w:lineRule="auto"/>
              <w:jc w:val="center"/>
              <w:rPr>
                <w:rFonts w:cs="Arial"/>
                <w:lang w:eastAsia="en-AU"/>
              </w:rPr>
            </w:pPr>
            <w:r>
              <w:rPr>
                <w:rFonts w:cs="Arial"/>
                <w:lang w:eastAsia="en-AU"/>
              </w:rPr>
              <w:t>139.748206</w:t>
            </w:r>
          </w:p>
        </w:tc>
        <w:tc>
          <w:tcPr>
            <w:tcW w:w="2271" w:type="dxa"/>
            <w:tcBorders>
              <w:top w:val="nil"/>
              <w:left w:val="nil"/>
              <w:bottom w:val="single" w:sz="4" w:space="0" w:color="auto"/>
              <w:right w:val="single" w:sz="4" w:space="0" w:color="auto"/>
            </w:tcBorders>
            <w:shd w:val="clear" w:color="auto" w:fill="auto"/>
            <w:noWrap/>
            <w:vAlign w:val="bottom"/>
          </w:tcPr>
          <w:p w:rsidR="00314A32" w:rsidRPr="00D773B9" w:rsidRDefault="00314A32" w:rsidP="00654D4A">
            <w:pPr>
              <w:spacing w:line="240" w:lineRule="auto"/>
              <w:jc w:val="center"/>
              <w:rPr>
                <w:rFonts w:cs="Arial"/>
                <w:lang w:eastAsia="en-AU"/>
              </w:rPr>
            </w:pPr>
            <w:r>
              <w:rPr>
                <w:rFonts w:cs="Arial"/>
                <w:lang w:eastAsia="en-AU"/>
              </w:rPr>
              <w:t>29.440069</w:t>
            </w:r>
          </w:p>
        </w:tc>
      </w:tr>
      <w:tr w:rsidR="00314A32" w:rsidRPr="00D773B9"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14A32" w:rsidRPr="00D773B9" w:rsidRDefault="00314A32" w:rsidP="00654D4A">
            <w:pPr>
              <w:spacing w:line="240" w:lineRule="auto"/>
              <w:jc w:val="center"/>
              <w:rPr>
                <w:rFonts w:cs="Arial"/>
                <w:lang w:eastAsia="en-AU"/>
              </w:rPr>
            </w:pPr>
            <w:r>
              <w:rPr>
                <w:rFonts w:cs="Arial"/>
                <w:lang w:eastAsia="en-AU"/>
              </w:rPr>
              <w:t>139.740272</w:t>
            </w:r>
          </w:p>
        </w:tc>
        <w:tc>
          <w:tcPr>
            <w:tcW w:w="2271" w:type="dxa"/>
            <w:tcBorders>
              <w:top w:val="nil"/>
              <w:left w:val="nil"/>
              <w:bottom w:val="single" w:sz="4" w:space="0" w:color="auto"/>
              <w:right w:val="single" w:sz="4" w:space="0" w:color="auto"/>
            </w:tcBorders>
            <w:shd w:val="clear" w:color="auto" w:fill="auto"/>
            <w:noWrap/>
            <w:vAlign w:val="bottom"/>
          </w:tcPr>
          <w:p w:rsidR="00314A32" w:rsidRPr="00D773B9" w:rsidRDefault="00314A32" w:rsidP="00654D4A">
            <w:pPr>
              <w:spacing w:line="240" w:lineRule="auto"/>
              <w:jc w:val="center"/>
              <w:rPr>
                <w:rFonts w:cs="Arial"/>
                <w:lang w:eastAsia="en-AU"/>
              </w:rPr>
            </w:pPr>
            <w:r>
              <w:rPr>
                <w:rFonts w:cs="Arial"/>
                <w:lang w:eastAsia="en-AU"/>
              </w:rPr>
              <w:t>29.435784</w:t>
            </w:r>
          </w:p>
        </w:tc>
      </w:tr>
      <w:tr w:rsidR="00314A32" w:rsidRPr="00D773B9"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14A32" w:rsidRPr="00D773B9" w:rsidRDefault="00314A32" w:rsidP="00654D4A">
            <w:pPr>
              <w:spacing w:line="240" w:lineRule="auto"/>
              <w:jc w:val="center"/>
              <w:rPr>
                <w:rFonts w:cs="Arial"/>
                <w:lang w:eastAsia="en-AU"/>
              </w:rPr>
            </w:pPr>
            <w:r>
              <w:rPr>
                <w:rFonts w:cs="Arial"/>
                <w:lang w:eastAsia="en-AU"/>
              </w:rPr>
              <w:t>139.728371</w:t>
            </w:r>
          </w:p>
        </w:tc>
        <w:tc>
          <w:tcPr>
            <w:tcW w:w="2271" w:type="dxa"/>
            <w:tcBorders>
              <w:top w:val="nil"/>
              <w:left w:val="nil"/>
              <w:bottom w:val="single" w:sz="4" w:space="0" w:color="auto"/>
              <w:right w:val="single" w:sz="4" w:space="0" w:color="auto"/>
            </w:tcBorders>
            <w:shd w:val="clear" w:color="auto" w:fill="auto"/>
            <w:noWrap/>
            <w:vAlign w:val="bottom"/>
          </w:tcPr>
          <w:p w:rsidR="00314A32" w:rsidRPr="00D773B9" w:rsidRDefault="00314A32" w:rsidP="00654D4A">
            <w:pPr>
              <w:spacing w:line="240" w:lineRule="auto"/>
              <w:jc w:val="center"/>
              <w:rPr>
                <w:rFonts w:cs="Arial"/>
                <w:lang w:eastAsia="en-AU"/>
              </w:rPr>
            </w:pPr>
            <w:r>
              <w:rPr>
                <w:rFonts w:cs="Arial"/>
                <w:lang w:eastAsia="en-AU"/>
              </w:rPr>
              <w:t>29.426898</w:t>
            </w:r>
          </w:p>
        </w:tc>
      </w:tr>
      <w:tr w:rsidR="00314A32" w:rsidRPr="00D773B9"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14A32" w:rsidRPr="00D773B9" w:rsidRDefault="00314A32" w:rsidP="00654D4A">
            <w:pPr>
              <w:spacing w:line="240" w:lineRule="auto"/>
              <w:jc w:val="center"/>
              <w:rPr>
                <w:rFonts w:cs="Arial"/>
                <w:lang w:eastAsia="en-AU"/>
              </w:rPr>
            </w:pPr>
            <w:r w:rsidRPr="00CD505B">
              <w:rPr>
                <w:rFonts w:cs="Arial"/>
                <w:lang w:eastAsia="en-AU"/>
              </w:rPr>
              <w:t>139.</w:t>
            </w:r>
            <w:r>
              <w:rPr>
                <w:rFonts w:cs="Arial"/>
                <w:lang w:eastAsia="en-AU"/>
              </w:rPr>
              <w:t>723899</w:t>
            </w:r>
          </w:p>
        </w:tc>
        <w:tc>
          <w:tcPr>
            <w:tcW w:w="2271" w:type="dxa"/>
            <w:tcBorders>
              <w:top w:val="nil"/>
              <w:left w:val="nil"/>
              <w:bottom w:val="single" w:sz="4" w:space="0" w:color="auto"/>
              <w:right w:val="single" w:sz="4" w:space="0" w:color="auto"/>
            </w:tcBorders>
            <w:shd w:val="clear" w:color="auto" w:fill="auto"/>
            <w:noWrap/>
            <w:vAlign w:val="bottom"/>
          </w:tcPr>
          <w:p w:rsidR="00314A32" w:rsidRPr="00D773B9" w:rsidRDefault="00314A32" w:rsidP="00654D4A">
            <w:pPr>
              <w:spacing w:line="240" w:lineRule="auto"/>
              <w:jc w:val="center"/>
              <w:rPr>
                <w:rFonts w:cs="Arial"/>
                <w:lang w:eastAsia="en-AU"/>
              </w:rPr>
            </w:pPr>
            <w:r w:rsidRPr="00CD505B">
              <w:rPr>
                <w:rFonts w:cs="Arial"/>
                <w:lang w:eastAsia="en-AU"/>
              </w:rPr>
              <w:t>29.420390</w:t>
            </w:r>
          </w:p>
        </w:tc>
      </w:tr>
      <w:tr w:rsidR="00314A32" w:rsidRPr="00D773B9"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14A32" w:rsidRPr="00D773B9" w:rsidRDefault="00314A32" w:rsidP="00654D4A">
            <w:pPr>
              <w:spacing w:line="240" w:lineRule="auto"/>
              <w:jc w:val="center"/>
              <w:rPr>
                <w:rFonts w:cs="Arial"/>
                <w:lang w:eastAsia="en-AU"/>
              </w:rPr>
            </w:pPr>
            <w:r w:rsidRPr="00CD505B">
              <w:rPr>
                <w:rFonts w:cs="Arial"/>
                <w:lang w:eastAsia="en-AU"/>
              </w:rPr>
              <w:t>139.</w:t>
            </w:r>
            <w:r>
              <w:rPr>
                <w:rFonts w:cs="Arial"/>
                <w:lang w:eastAsia="en-AU"/>
              </w:rPr>
              <w:t>720196</w:t>
            </w:r>
          </w:p>
        </w:tc>
        <w:tc>
          <w:tcPr>
            <w:tcW w:w="2271" w:type="dxa"/>
            <w:tcBorders>
              <w:top w:val="nil"/>
              <w:left w:val="nil"/>
              <w:bottom w:val="single" w:sz="4" w:space="0" w:color="auto"/>
              <w:right w:val="single" w:sz="4" w:space="0" w:color="auto"/>
            </w:tcBorders>
            <w:shd w:val="clear" w:color="auto" w:fill="auto"/>
            <w:noWrap/>
            <w:vAlign w:val="bottom"/>
          </w:tcPr>
          <w:p w:rsidR="00314A32" w:rsidRPr="00D773B9" w:rsidRDefault="00314A32" w:rsidP="00654D4A">
            <w:pPr>
              <w:spacing w:line="240" w:lineRule="auto"/>
              <w:jc w:val="center"/>
              <w:rPr>
                <w:rFonts w:cs="Arial"/>
                <w:lang w:eastAsia="en-AU"/>
              </w:rPr>
            </w:pPr>
            <w:r w:rsidRPr="00CD505B">
              <w:rPr>
                <w:rFonts w:cs="Arial"/>
                <w:lang w:eastAsia="en-AU"/>
              </w:rPr>
              <w:t>29.</w:t>
            </w:r>
            <w:r>
              <w:rPr>
                <w:rFonts w:cs="Arial"/>
                <w:lang w:eastAsia="en-AU"/>
              </w:rPr>
              <w:t>420072</w:t>
            </w:r>
          </w:p>
        </w:tc>
      </w:tr>
      <w:tr w:rsidR="00314A32" w:rsidRPr="00D773B9"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14A32" w:rsidRPr="00D773B9" w:rsidRDefault="00314A32" w:rsidP="00654D4A">
            <w:pPr>
              <w:spacing w:line="240" w:lineRule="auto"/>
              <w:jc w:val="center"/>
              <w:rPr>
                <w:rFonts w:cs="Arial"/>
                <w:lang w:eastAsia="en-AU"/>
              </w:rPr>
            </w:pPr>
            <w:r w:rsidRPr="00CD505B">
              <w:rPr>
                <w:rFonts w:cs="Arial"/>
                <w:lang w:eastAsia="en-AU"/>
              </w:rPr>
              <w:t>139.713450</w:t>
            </w:r>
          </w:p>
        </w:tc>
        <w:tc>
          <w:tcPr>
            <w:tcW w:w="2271" w:type="dxa"/>
            <w:tcBorders>
              <w:top w:val="nil"/>
              <w:left w:val="nil"/>
              <w:bottom w:val="single" w:sz="4" w:space="0" w:color="auto"/>
              <w:right w:val="single" w:sz="4" w:space="0" w:color="auto"/>
            </w:tcBorders>
            <w:shd w:val="clear" w:color="auto" w:fill="auto"/>
            <w:noWrap/>
            <w:vAlign w:val="bottom"/>
          </w:tcPr>
          <w:p w:rsidR="00314A32" w:rsidRPr="00D773B9" w:rsidRDefault="00314A32" w:rsidP="00654D4A">
            <w:pPr>
              <w:spacing w:line="240" w:lineRule="auto"/>
              <w:jc w:val="center"/>
              <w:rPr>
                <w:rFonts w:cs="Arial"/>
                <w:lang w:eastAsia="en-AU"/>
              </w:rPr>
            </w:pPr>
            <w:r w:rsidRPr="00CD505B">
              <w:rPr>
                <w:rFonts w:cs="Arial"/>
                <w:lang w:eastAsia="en-AU"/>
              </w:rPr>
              <w:t>29.419549</w:t>
            </w:r>
          </w:p>
        </w:tc>
      </w:tr>
      <w:tr w:rsidR="00314A32" w:rsidRPr="00D773B9"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314A32" w:rsidRPr="00D773B9" w:rsidRDefault="00314A32" w:rsidP="00654D4A">
            <w:pPr>
              <w:spacing w:line="240" w:lineRule="auto"/>
              <w:jc w:val="center"/>
              <w:rPr>
                <w:rFonts w:cs="Arial"/>
                <w:lang w:eastAsia="en-AU"/>
              </w:rPr>
            </w:pPr>
            <w:r w:rsidRPr="00CD505B">
              <w:rPr>
                <w:rFonts w:cs="Arial"/>
                <w:lang w:eastAsia="en-AU"/>
              </w:rPr>
              <w:t>139.709740</w:t>
            </w:r>
          </w:p>
        </w:tc>
        <w:tc>
          <w:tcPr>
            <w:tcW w:w="2271" w:type="dxa"/>
            <w:tcBorders>
              <w:top w:val="nil"/>
              <w:left w:val="nil"/>
              <w:bottom w:val="single" w:sz="4" w:space="0" w:color="auto"/>
              <w:right w:val="single" w:sz="4" w:space="0" w:color="auto"/>
            </w:tcBorders>
            <w:shd w:val="clear" w:color="auto" w:fill="auto"/>
            <w:noWrap/>
            <w:vAlign w:val="bottom"/>
          </w:tcPr>
          <w:p w:rsidR="00314A32" w:rsidRPr="00D773B9" w:rsidRDefault="00314A32" w:rsidP="00654D4A">
            <w:pPr>
              <w:spacing w:line="240" w:lineRule="auto"/>
              <w:jc w:val="center"/>
              <w:rPr>
                <w:rFonts w:cs="Arial"/>
                <w:lang w:eastAsia="en-AU"/>
              </w:rPr>
            </w:pPr>
            <w:r w:rsidRPr="00CD505B">
              <w:rPr>
                <w:rFonts w:cs="Arial"/>
                <w:lang w:eastAsia="en-AU"/>
              </w:rPr>
              <w:t>29.420090</w:t>
            </w:r>
          </w:p>
        </w:tc>
      </w:tr>
    </w:tbl>
    <w:p w:rsidR="00314A32" w:rsidRDefault="00314A32" w:rsidP="00654D4A">
      <w:pPr>
        <w:spacing w:line="240" w:lineRule="auto"/>
        <w:rPr>
          <w:rFonts w:cs="Arial"/>
        </w:rPr>
      </w:pPr>
    </w:p>
    <w:p w:rsidR="00314A32" w:rsidRDefault="00314A32" w:rsidP="00314A32">
      <w:pPr>
        <w:rPr>
          <w:rFonts w:cs="Arial"/>
        </w:rPr>
      </w:pPr>
      <w:r w:rsidRPr="00BB7531">
        <w:rPr>
          <w:rFonts w:cs="Arial"/>
        </w:rPr>
        <w:lastRenderedPageBreak/>
        <w:t xml:space="preserve">The latter coordinate being an intersection with </w:t>
      </w:r>
      <w:proofErr w:type="spellStart"/>
      <w:r w:rsidRPr="00BB7531">
        <w:rPr>
          <w:rFonts w:cs="Arial"/>
        </w:rPr>
        <w:t>Petermorra</w:t>
      </w:r>
      <w:proofErr w:type="spellEnd"/>
      <w:r w:rsidRPr="00BB7531">
        <w:rPr>
          <w:rFonts w:cs="Arial"/>
        </w:rPr>
        <w:t xml:space="preserve"> Creek. Generally </w:t>
      </w:r>
      <w:r>
        <w:rPr>
          <w:rFonts w:cs="Arial"/>
        </w:rPr>
        <w:t xml:space="preserve">south-westerly and </w:t>
      </w:r>
      <w:r w:rsidRPr="00BB7531">
        <w:rPr>
          <w:rFonts w:cs="Arial"/>
        </w:rPr>
        <w:t xml:space="preserve">southerly along the </w:t>
      </w:r>
      <w:r>
        <w:rPr>
          <w:rFonts w:cs="Arial"/>
        </w:rPr>
        <w:t xml:space="preserve">said </w:t>
      </w:r>
      <w:proofErr w:type="spellStart"/>
      <w:r w:rsidRPr="00BB7531">
        <w:rPr>
          <w:rFonts w:cs="Arial"/>
        </w:rPr>
        <w:t>Petermorra</w:t>
      </w:r>
      <w:proofErr w:type="spellEnd"/>
      <w:r w:rsidRPr="00BB7531">
        <w:rPr>
          <w:rFonts w:cs="Arial"/>
        </w:rPr>
        <w:t xml:space="preserve"> Creek, </w:t>
      </w:r>
      <w:r>
        <w:rPr>
          <w:rFonts w:cs="Arial"/>
        </w:rPr>
        <w:t>generally being straight lines connecting the following coordinate points</w:t>
      </w:r>
    </w:p>
    <w:p w:rsidR="00314A32" w:rsidRDefault="00314A32" w:rsidP="00314A32">
      <w:pPr>
        <w:rPr>
          <w:rFonts w:cs="Arial"/>
        </w:rPr>
      </w:pPr>
    </w:p>
    <w:tbl>
      <w:tblPr>
        <w:tblW w:w="4678" w:type="dxa"/>
        <w:tblInd w:w="2093" w:type="dxa"/>
        <w:tblLook w:val="0000" w:firstRow="0" w:lastRow="0" w:firstColumn="0" w:lastColumn="0" w:noHBand="0" w:noVBand="0"/>
      </w:tblPr>
      <w:tblGrid>
        <w:gridCol w:w="2407"/>
        <w:gridCol w:w="2271"/>
      </w:tblGrid>
      <w:tr w:rsidR="00314A32" w:rsidRPr="00D773B9" w:rsidTr="006166F1">
        <w:trPr>
          <w:trHeight w:val="255"/>
          <w:tblHeader/>
        </w:trPr>
        <w:tc>
          <w:tcPr>
            <w:tcW w:w="2407"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314A32" w:rsidRPr="00D773B9" w:rsidRDefault="00314A32" w:rsidP="00654D4A">
            <w:pPr>
              <w:spacing w:line="240" w:lineRule="auto"/>
              <w:jc w:val="center"/>
              <w:rPr>
                <w:rFonts w:cs="Arial"/>
                <w:b/>
                <w:bCs/>
                <w:lang w:eastAsia="en-AU"/>
              </w:rPr>
            </w:pPr>
            <w:r w:rsidRPr="00D773B9">
              <w:rPr>
                <w:rFonts w:cs="Arial"/>
                <w:b/>
                <w:bCs/>
                <w:lang w:eastAsia="en-AU"/>
              </w:rPr>
              <w:t>Longitude (East)</w:t>
            </w:r>
          </w:p>
        </w:tc>
        <w:tc>
          <w:tcPr>
            <w:tcW w:w="2271" w:type="dxa"/>
            <w:tcBorders>
              <w:top w:val="single" w:sz="4" w:space="0" w:color="auto"/>
              <w:left w:val="nil"/>
              <w:bottom w:val="single" w:sz="4" w:space="0" w:color="auto"/>
              <w:right w:val="single" w:sz="4" w:space="0" w:color="auto"/>
            </w:tcBorders>
            <w:shd w:val="clear" w:color="auto" w:fill="C0C0C0"/>
            <w:noWrap/>
            <w:vAlign w:val="bottom"/>
          </w:tcPr>
          <w:p w:rsidR="00314A32" w:rsidRPr="00D773B9" w:rsidRDefault="00314A32" w:rsidP="00654D4A">
            <w:pPr>
              <w:spacing w:line="240" w:lineRule="auto"/>
              <w:jc w:val="center"/>
              <w:rPr>
                <w:rFonts w:cs="Arial"/>
                <w:b/>
                <w:bCs/>
                <w:lang w:eastAsia="en-AU"/>
              </w:rPr>
            </w:pPr>
            <w:r w:rsidRPr="00D773B9">
              <w:rPr>
                <w:rFonts w:cs="Arial"/>
                <w:b/>
                <w:bCs/>
                <w:lang w:eastAsia="en-AU"/>
              </w:rPr>
              <w:t>Latitude (South)</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139.709240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29.420750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139.708550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29.421410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139.707740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29.422210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139.706900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29.423030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139.705700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29.424800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139.704220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29.425730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139.697380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29.428440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139.696990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29.428600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139.694580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29.429570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139.690840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29.430690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139.689520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29.431120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139.688100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29.431580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139.686420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29.433140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139.684450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29.433980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139.682870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29.434980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139.680660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29.437250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139.679080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29.439610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139.679060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29.439630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139.677290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29.441540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139.676000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29.443200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139.675830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29.443770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139.674440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29.445040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139.673520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29.447610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139.671750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29.449670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139.669680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29.451820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139.668220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29.452070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139.666870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29.451580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139.664970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29.451540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139.662200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29.452160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139.660830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29.452220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139.660360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29.452240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139.658250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29.452750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139.655280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29.454360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139.653070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29.456460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139.650360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29.457520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139.647170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29.458650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139.645780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29.459280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139.644420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29.459900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139.641360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29.461580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139.639990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29.463990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139.639530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29.464800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lastRenderedPageBreak/>
              <w:t>139.638120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29.466570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139.636630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29.467160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139.634020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29.468390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139.632210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29.469670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139.631320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29.471810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139.630420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29.473010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139.628400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29.473740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139.626270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29.474390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139.624980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29.475730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139.624510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29.475650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139.623050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29.475560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139.621640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29.475940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139.620350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29.477060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139.618700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29.479070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139.617970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29.479680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139.615480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29.481980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139.617210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29.483500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139.617210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29.484180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139.616950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29.484630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139.616810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29.486210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139.615780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29.487340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139.614230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29.488240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139.613450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29.489360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139.611770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29.489700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139.611150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29.489990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139.610020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29.490970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139.609310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29.492620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139.608660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29.495560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139.608010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29.496120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139.606320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29.496500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139.605690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29.497020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139.605300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29.498480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139.604780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29.498930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139.603620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29.499610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139.602750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29.500890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139.602190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29.502760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139.601410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29.504120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139.601360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29.505550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139.601780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29.507610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139.601050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29.509400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139.601000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29.511110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139.602470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29.513550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139.603180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29.514950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139.603040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29.515860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139.602650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29.516530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139.602000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29.519240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139.601730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29.521830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lastRenderedPageBreak/>
              <w:t>139.601340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29.522850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139.601460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29.524990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139.601200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29.525330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139.601200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29.526570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139.600971</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29.527625</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139.600890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29.528000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139.601050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29.531870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139.600780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29.536390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139.600260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29.537740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139.600000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29.538040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139.598830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29.539430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139.598440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29.540220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139.598310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29.541120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139.598950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29.541910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139.598820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29.542700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139.598040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29.544280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139.596880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29.545740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139.596490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29.546640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139.595450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29.547880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139.593540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29.549110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139.593110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29.551260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139.591370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29.552960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139.591550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29.554760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139.591160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29.556000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139.591330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29.557610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139.591980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29.557900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139.592700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29.559160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139.592570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29.559950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139.591790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29.561410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139.589710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29.563890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139.589190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29.565130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139.589190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29.566030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139.589570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29.567160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139.589180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29.569980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139.589430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29.571000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139.589040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29.571900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139.588390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29.572580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139.587870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29.573930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139.588230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29.574800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139.588960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29.575870</w:t>
            </w:r>
          </w:p>
        </w:tc>
      </w:tr>
    </w:tbl>
    <w:p w:rsidR="00314A32" w:rsidRDefault="00314A32" w:rsidP="00314A32">
      <w:pPr>
        <w:rPr>
          <w:rFonts w:cs="Arial"/>
        </w:rPr>
      </w:pPr>
    </w:p>
    <w:p w:rsidR="00314A32" w:rsidRDefault="00314A32" w:rsidP="00314A32">
      <w:pPr>
        <w:rPr>
          <w:rFonts w:cs="Arial"/>
        </w:rPr>
      </w:pPr>
      <w:r>
        <w:rPr>
          <w:rFonts w:cs="Arial"/>
        </w:rPr>
        <w:t xml:space="preserve">the latter coordinate being an intersection of the said </w:t>
      </w:r>
      <w:proofErr w:type="spellStart"/>
      <w:r w:rsidRPr="00BB7531">
        <w:rPr>
          <w:rFonts w:cs="Arial"/>
        </w:rPr>
        <w:t>Petermorra</w:t>
      </w:r>
      <w:proofErr w:type="spellEnd"/>
      <w:r w:rsidRPr="00BB7531">
        <w:rPr>
          <w:rFonts w:cs="Arial"/>
        </w:rPr>
        <w:t xml:space="preserve"> Creek</w:t>
      </w:r>
      <w:r>
        <w:rPr>
          <w:rFonts w:cs="Arial"/>
        </w:rPr>
        <w:t xml:space="preserve"> with </w:t>
      </w:r>
      <w:proofErr w:type="spellStart"/>
      <w:r w:rsidRPr="00BB7531">
        <w:rPr>
          <w:rFonts w:cs="Arial"/>
        </w:rPr>
        <w:t>Wattleowie</w:t>
      </w:r>
      <w:proofErr w:type="spellEnd"/>
      <w:r w:rsidRPr="00BB7531">
        <w:rPr>
          <w:rFonts w:cs="Arial"/>
        </w:rPr>
        <w:t xml:space="preserve"> Creek; </w:t>
      </w:r>
      <w:r>
        <w:rPr>
          <w:rFonts w:cs="Arial"/>
        </w:rPr>
        <w:t xml:space="preserve">then </w:t>
      </w:r>
      <w:r w:rsidRPr="00BB7531">
        <w:rPr>
          <w:rFonts w:cs="Arial"/>
        </w:rPr>
        <w:t xml:space="preserve">southerly along the </w:t>
      </w:r>
      <w:r>
        <w:rPr>
          <w:rFonts w:cs="Arial"/>
        </w:rPr>
        <w:t xml:space="preserve">said </w:t>
      </w:r>
      <w:proofErr w:type="spellStart"/>
      <w:r w:rsidRPr="00BB7531">
        <w:rPr>
          <w:rFonts w:cs="Arial"/>
        </w:rPr>
        <w:t>Wattleowie</w:t>
      </w:r>
      <w:proofErr w:type="spellEnd"/>
      <w:r w:rsidRPr="00BB7531">
        <w:rPr>
          <w:rFonts w:cs="Arial"/>
        </w:rPr>
        <w:t xml:space="preserve"> Creek</w:t>
      </w:r>
      <w:r>
        <w:rPr>
          <w:rFonts w:cs="Arial"/>
        </w:rPr>
        <w:t>,</w:t>
      </w:r>
      <w:r w:rsidRPr="00BB7531">
        <w:rPr>
          <w:rFonts w:cs="Arial"/>
        </w:rPr>
        <w:t xml:space="preserve"> </w:t>
      </w:r>
      <w:r>
        <w:rPr>
          <w:rFonts w:cs="Arial"/>
        </w:rPr>
        <w:t>generally being straight lines connecting the following coordinate points</w:t>
      </w:r>
    </w:p>
    <w:p w:rsidR="00314A32" w:rsidRDefault="00314A32" w:rsidP="00314A32">
      <w:pPr>
        <w:rPr>
          <w:rFonts w:cs="Arial"/>
        </w:rPr>
      </w:pPr>
    </w:p>
    <w:tbl>
      <w:tblPr>
        <w:tblW w:w="4678" w:type="dxa"/>
        <w:tblInd w:w="2093" w:type="dxa"/>
        <w:tblLook w:val="0000" w:firstRow="0" w:lastRow="0" w:firstColumn="0" w:lastColumn="0" w:noHBand="0" w:noVBand="0"/>
      </w:tblPr>
      <w:tblGrid>
        <w:gridCol w:w="2407"/>
        <w:gridCol w:w="2271"/>
      </w:tblGrid>
      <w:tr w:rsidR="00314A32" w:rsidRPr="00D773B9" w:rsidTr="006166F1">
        <w:trPr>
          <w:trHeight w:val="255"/>
          <w:tblHeader/>
        </w:trPr>
        <w:tc>
          <w:tcPr>
            <w:tcW w:w="2407"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314A32" w:rsidRPr="00D773B9" w:rsidRDefault="00314A32" w:rsidP="00654D4A">
            <w:pPr>
              <w:spacing w:line="240" w:lineRule="auto"/>
              <w:jc w:val="center"/>
              <w:rPr>
                <w:rFonts w:cs="Arial"/>
                <w:b/>
                <w:bCs/>
                <w:lang w:eastAsia="en-AU"/>
              </w:rPr>
            </w:pPr>
            <w:r w:rsidRPr="00D773B9">
              <w:rPr>
                <w:rFonts w:cs="Arial"/>
                <w:b/>
                <w:bCs/>
                <w:lang w:eastAsia="en-AU"/>
              </w:rPr>
              <w:lastRenderedPageBreak/>
              <w:t>Longitude (East)</w:t>
            </w:r>
          </w:p>
        </w:tc>
        <w:tc>
          <w:tcPr>
            <w:tcW w:w="2271" w:type="dxa"/>
            <w:tcBorders>
              <w:top w:val="single" w:sz="4" w:space="0" w:color="auto"/>
              <w:left w:val="nil"/>
              <w:bottom w:val="single" w:sz="4" w:space="0" w:color="auto"/>
              <w:right w:val="single" w:sz="4" w:space="0" w:color="auto"/>
            </w:tcBorders>
            <w:shd w:val="clear" w:color="auto" w:fill="C0C0C0"/>
            <w:noWrap/>
            <w:vAlign w:val="bottom"/>
          </w:tcPr>
          <w:p w:rsidR="00314A32" w:rsidRPr="00D773B9" w:rsidRDefault="00314A32" w:rsidP="00654D4A">
            <w:pPr>
              <w:spacing w:line="240" w:lineRule="auto"/>
              <w:jc w:val="center"/>
              <w:rPr>
                <w:rFonts w:cs="Arial"/>
                <w:b/>
                <w:bCs/>
                <w:lang w:eastAsia="en-AU"/>
              </w:rPr>
            </w:pPr>
            <w:r w:rsidRPr="00D773B9">
              <w:rPr>
                <w:rFonts w:cs="Arial"/>
                <w:b/>
                <w:bCs/>
                <w:lang w:eastAsia="en-AU"/>
              </w:rPr>
              <w:t>Latitude (South)</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139.589150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29.576640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139.589150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29.577540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139.589530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29.578450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139.591070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29.580260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139.591670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29.581470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139.589660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29.585220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139.588340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29.585670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139.587700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29.586230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139.587310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29.587020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139.587300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29.587580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139.586910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29.588370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139.586910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29.590180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139.586390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29.591640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139.586380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29.593000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139.585860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29.593900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139.585990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29.594910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139.585600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29.595590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139.585590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29.598180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139.586350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29.600220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139.586350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29.601460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139.585940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29.603260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139.585430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29.606530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139.584900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29.607550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139.585800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29.609470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139.585680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29.611200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139.585670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29.611390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139.586310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29.611780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139.586310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29.613760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139.586820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29.614940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139.586950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29.615230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139.586550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29.616240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139.586680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29.617590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139.586420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29.618380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139.585800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29.619010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139.583830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29.620860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139.583650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29.622530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139.583940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29.623910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139.583730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29.626190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139.583540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29.627740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139.582370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29.629210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139.582270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29.629860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139.581670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29.630110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139.579780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29.631680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139.578870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29.633480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139.578980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29.640260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139.577940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29.642170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139.576900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29.643520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lastRenderedPageBreak/>
              <w:t>139.576380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29.644760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139.574820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29.646900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139.574430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29.647920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139.574410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29.649600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139.574250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29.650430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139.573380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29.651750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139.572860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29.653330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139.571560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29.654230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139.570650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29.655470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139.570230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29.657620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139.570120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29.659870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139.569210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29.661330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139.569080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29.662120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139.568810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29.665050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139.568630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29.667230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139.567370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29.669790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139.566780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29.670410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139.565660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29.670340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139.564520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29.671610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139.564320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29.673370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139.565080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29.675190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139.564610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29.676610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139.564960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29.679350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139.565000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29.681060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139.565110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29.684220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139.564850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29.684790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139.564850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29.685350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139.565750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29.687500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139.565740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29.688630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139.564820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29.689730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139.563790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29.691550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139.563790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29.692230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139.563270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29.693360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139.561970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29.694480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139.561580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29.695840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139.560800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29.696740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139.560410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29.697640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139.560400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29.700570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139.559870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29.702380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139.558450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29.704180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139.557920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29.706210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139.558750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29.708180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139.558040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29.709140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139.558030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29.710160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139.559000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29.711700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139.558920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29.713660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139.559180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29.714380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lastRenderedPageBreak/>
              <w:t>139.560080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29.715920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139.560980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29.716710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139.561630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29.717050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139.562780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29.718180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139.563940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29.719760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139.565230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29.720900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139.566260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29.721460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139.567920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29.722660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139.568320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29.723430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139.570900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29.725540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139.572440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29.727350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139.573860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29.728250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139.574760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29.729270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139.575660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29.730060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139.576820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29.730740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139.577210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29.730740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139.579020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29.731540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139.579660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29.732100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139.581210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29.732790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139.582370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29.734140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139.582750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29.735380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139.583520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29.736970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139.584680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29.738550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139.585580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29.740580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139.586210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29.743970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139.585940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29.746790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139.586031</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29.747900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139.586060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29.748260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139.586450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29.748930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139.586450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29.749500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139.587090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29.750850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139.588450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29.752640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139.589410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29.754440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139.590820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29.755940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139.593010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29.757410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139.594560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29.758770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139.595710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29.760940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139.597900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29.765100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139.598540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29.766570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139.599430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29.769840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139.599430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29.771190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139.599170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29.772100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139.598780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29.772430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139.598120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29.773670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139.597860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29.775030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139.597850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29.777510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139.597330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29.778520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lastRenderedPageBreak/>
              <w:t>139.596290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29.779420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139.596160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29.780330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139.596290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29.780350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139.597580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29.781910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139.597570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29.783940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139.598080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29.785070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139.599110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29.786200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139.599630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29.787440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139.599620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29.789140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139.599360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29.790150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139.598190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29.791840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139.597670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29.793190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139.595330</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29.795900</w:t>
            </w:r>
          </w:p>
        </w:tc>
      </w:tr>
      <w:tr w:rsidR="00314A32" w:rsidRPr="00FE6906" w:rsidTr="006166F1">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139.593331</w:t>
            </w:r>
          </w:p>
        </w:tc>
        <w:tc>
          <w:tcPr>
            <w:tcW w:w="2271" w:type="dxa"/>
            <w:tcBorders>
              <w:top w:val="nil"/>
              <w:left w:val="nil"/>
              <w:bottom w:val="single" w:sz="4" w:space="0" w:color="auto"/>
              <w:right w:val="single" w:sz="4" w:space="0" w:color="auto"/>
            </w:tcBorders>
            <w:shd w:val="clear" w:color="auto" w:fill="auto"/>
            <w:noWrap/>
            <w:vAlign w:val="center"/>
          </w:tcPr>
          <w:p w:rsidR="00314A32" w:rsidRPr="00FE6906" w:rsidRDefault="00314A32" w:rsidP="00654D4A">
            <w:pPr>
              <w:spacing w:line="240" w:lineRule="auto"/>
              <w:jc w:val="center"/>
              <w:rPr>
                <w:rFonts w:cs="Arial"/>
                <w:lang w:eastAsia="en-AU"/>
              </w:rPr>
            </w:pPr>
            <w:r>
              <w:rPr>
                <w:rFonts w:cs="Arial"/>
                <w:color w:val="000000"/>
                <w:szCs w:val="22"/>
              </w:rPr>
              <w:t>29.797535</w:t>
            </w:r>
          </w:p>
        </w:tc>
      </w:tr>
    </w:tbl>
    <w:p w:rsidR="00654D4A" w:rsidRDefault="00654D4A" w:rsidP="00314A32">
      <w:pPr>
        <w:rPr>
          <w:rFonts w:cs="Arial"/>
        </w:rPr>
      </w:pPr>
    </w:p>
    <w:p w:rsidR="00314A32" w:rsidRDefault="00314A32" w:rsidP="00314A32">
      <w:pPr>
        <w:rPr>
          <w:rFonts w:cs="Arial"/>
        </w:rPr>
      </w:pPr>
      <w:r>
        <w:rPr>
          <w:rFonts w:cs="Arial"/>
        </w:rPr>
        <w:t xml:space="preserve">the latter coordinate being the southern boundary of </w:t>
      </w:r>
      <w:proofErr w:type="spellStart"/>
      <w:r>
        <w:rPr>
          <w:rFonts w:cs="Arial"/>
        </w:rPr>
        <w:t>Murnpeowie</w:t>
      </w:r>
      <w:proofErr w:type="spellEnd"/>
      <w:r>
        <w:rPr>
          <w:rFonts w:cs="Arial"/>
        </w:rPr>
        <w:t xml:space="preserve"> Pastoral Lease – Deposited Plan 42203 Allotment 24; then generally westerly along the southern boundary of the said Allotment 24 to a south-eastern corner of the said </w:t>
      </w:r>
      <w:proofErr w:type="spellStart"/>
      <w:r>
        <w:rPr>
          <w:rFonts w:cs="Arial"/>
        </w:rPr>
        <w:t>Wilpoorinna</w:t>
      </w:r>
      <w:proofErr w:type="spellEnd"/>
      <w:r>
        <w:rPr>
          <w:rFonts w:cs="Arial"/>
        </w:rPr>
        <w:t xml:space="preserve"> Pastoral Lease; then generally westerly along the eastern boundary of the said </w:t>
      </w:r>
      <w:proofErr w:type="spellStart"/>
      <w:r>
        <w:rPr>
          <w:rFonts w:cs="Arial"/>
        </w:rPr>
        <w:t>Wilpoorinna</w:t>
      </w:r>
      <w:proofErr w:type="spellEnd"/>
      <w:r>
        <w:rPr>
          <w:rFonts w:cs="Arial"/>
        </w:rPr>
        <w:t xml:space="preserve"> Pastoral Lease to its </w:t>
      </w:r>
      <w:r>
        <w:rPr>
          <w:rFonts w:cs="Arial"/>
          <w:lang w:eastAsia="en-AU"/>
        </w:rPr>
        <w:t xml:space="preserve">intersection with the centreline of Frome River; then generally westerly along the said centreline of Frome River to its intersection with the western boundary </w:t>
      </w:r>
      <w:r>
        <w:rPr>
          <w:rFonts w:cs="Arial"/>
        </w:rPr>
        <w:t xml:space="preserve">of the said Block 1122, OH(Marree); then northerly along the said western boundary of Block 1122 to </w:t>
      </w:r>
      <w:r w:rsidRPr="00D773B9">
        <w:rPr>
          <w:rFonts w:cs="Arial"/>
        </w:rPr>
        <w:t xml:space="preserve">the </w:t>
      </w:r>
      <w:r>
        <w:rPr>
          <w:rFonts w:cs="Arial"/>
        </w:rPr>
        <w:t>point of commencement.</w:t>
      </w:r>
    </w:p>
    <w:p w:rsidR="00314A32" w:rsidRDefault="00314A32" w:rsidP="00314A32">
      <w:pPr>
        <w:rPr>
          <w:rFonts w:cs="Arial"/>
        </w:rPr>
      </w:pPr>
    </w:p>
    <w:p w:rsidR="00314A32" w:rsidRPr="00314A32" w:rsidRDefault="00314A32" w:rsidP="00314A32">
      <w:pPr>
        <w:rPr>
          <w:szCs w:val="24"/>
        </w:rPr>
      </w:pPr>
    </w:p>
    <w:p w:rsidR="00314A32" w:rsidRPr="00314A32" w:rsidRDefault="00314A32" w:rsidP="00314A32">
      <w:pPr>
        <w:spacing w:line="240" w:lineRule="auto"/>
        <w:rPr>
          <w:szCs w:val="24"/>
        </w:rPr>
      </w:pPr>
    </w:p>
    <w:p w:rsidR="00314A32" w:rsidRDefault="00314A32" w:rsidP="00314A32">
      <w:pPr>
        <w:spacing w:after="240"/>
        <w:sectPr w:rsidR="00314A32" w:rsidSect="005B5FEF">
          <w:headerReference w:type="first" r:id="rId12"/>
          <w:endnotePr>
            <w:numFmt w:val="decimal"/>
          </w:endnotePr>
          <w:pgSz w:w="11907" w:h="16840" w:code="9"/>
          <w:pgMar w:top="1440" w:right="1440" w:bottom="1440" w:left="1440" w:header="851" w:footer="851" w:gutter="0"/>
          <w:cols w:space="720"/>
          <w:noEndnote/>
          <w:titlePg/>
        </w:sectPr>
      </w:pPr>
    </w:p>
    <w:p w:rsidR="0054573D" w:rsidRDefault="008B1AEE" w:rsidP="00314A32">
      <w:pPr>
        <w:rPr>
          <w:b/>
        </w:rPr>
      </w:pPr>
      <w:r>
        <w:rPr>
          <w:b/>
          <w:noProof/>
          <w:lang w:eastAsia="en-AU"/>
        </w:rPr>
        <w:lastRenderedPageBreak/>
        <w:drawing>
          <wp:inline distT="0" distB="0" distL="0" distR="0">
            <wp:extent cx="8103235" cy="573214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eri No2 - map Consent Determination Area.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103235" cy="5732145"/>
                    </a:xfrm>
                    <a:prstGeom prst="rect">
                      <a:avLst/>
                    </a:prstGeom>
                  </pic:spPr>
                </pic:pic>
              </a:graphicData>
            </a:graphic>
          </wp:inline>
        </w:drawing>
      </w:r>
      <w:r>
        <w:rPr>
          <w:b/>
          <w:noProof/>
          <w:lang w:eastAsia="en-AU"/>
        </w:rPr>
        <w:lastRenderedPageBreak/>
        <w:drawing>
          <wp:inline distT="0" distB="0" distL="0" distR="0">
            <wp:extent cx="8103235" cy="573214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103235" cy="5732145"/>
                    </a:xfrm>
                    <a:prstGeom prst="rect">
                      <a:avLst/>
                    </a:prstGeom>
                  </pic:spPr>
                </pic:pic>
              </a:graphicData>
            </a:graphic>
          </wp:inline>
        </w:drawing>
      </w:r>
      <w:r>
        <w:rPr>
          <w:b/>
          <w:noProof/>
          <w:lang w:eastAsia="en-AU"/>
        </w:rPr>
        <w:lastRenderedPageBreak/>
        <w:drawing>
          <wp:inline distT="0" distB="0" distL="0" distR="0">
            <wp:extent cx="8103235" cy="57321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103235" cy="5732145"/>
                    </a:xfrm>
                    <a:prstGeom prst="rect">
                      <a:avLst/>
                    </a:prstGeom>
                  </pic:spPr>
                </pic:pic>
              </a:graphicData>
            </a:graphic>
          </wp:inline>
        </w:drawing>
      </w:r>
    </w:p>
    <w:p w:rsidR="0054573D" w:rsidRDefault="0054573D" w:rsidP="00314A32">
      <w:pPr>
        <w:rPr>
          <w:b/>
        </w:rPr>
        <w:sectPr w:rsidR="0054573D" w:rsidSect="008B1AEE">
          <w:endnotePr>
            <w:numFmt w:val="decimal"/>
          </w:endnotePr>
          <w:pgSz w:w="16840" w:h="11907" w:orient="landscape" w:code="9"/>
          <w:pgMar w:top="1440" w:right="1440" w:bottom="1440" w:left="1440" w:header="851" w:footer="851" w:gutter="0"/>
          <w:cols w:space="720"/>
          <w:noEndnote/>
          <w:titlePg/>
          <w:docGrid w:linePitch="326"/>
        </w:sectPr>
      </w:pPr>
    </w:p>
    <w:p w:rsidR="00D16B0E" w:rsidRPr="00314A32" w:rsidRDefault="00D16B0E" w:rsidP="00D16B0E">
      <w:pPr>
        <w:spacing w:line="240" w:lineRule="auto"/>
        <w:rPr>
          <w:b/>
          <w:szCs w:val="24"/>
        </w:rPr>
      </w:pPr>
      <w:r w:rsidRPr="00314A32">
        <w:rPr>
          <w:b/>
          <w:szCs w:val="24"/>
        </w:rPr>
        <w:lastRenderedPageBreak/>
        <w:t xml:space="preserve">Reference datum </w:t>
      </w:r>
    </w:p>
    <w:p w:rsidR="00D16B0E" w:rsidRPr="00314A32" w:rsidRDefault="00D16B0E" w:rsidP="00D16B0E">
      <w:pPr>
        <w:spacing w:line="240" w:lineRule="auto"/>
        <w:rPr>
          <w:szCs w:val="24"/>
        </w:rPr>
      </w:pPr>
      <w:r w:rsidRPr="00314A32">
        <w:rPr>
          <w:szCs w:val="24"/>
        </w:rPr>
        <w:t xml:space="preserve">Geographical coordinates have been provided by the </w:t>
      </w:r>
      <w:proofErr w:type="spellStart"/>
      <w:r w:rsidRPr="00314A32">
        <w:rPr>
          <w:szCs w:val="24"/>
        </w:rPr>
        <w:t>NNTT</w:t>
      </w:r>
      <w:proofErr w:type="spellEnd"/>
      <w:r w:rsidRPr="00314A32">
        <w:rPr>
          <w:szCs w:val="24"/>
        </w:rPr>
        <w:t xml:space="preserve"> Geospatial services and geographical coordinates are referenced to the Geocentric Datum of Australia 1994 (</w:t>
      </w:r>
      <w:proofErr w:type="spellStart"/>
      <w:r w:rsidRPr="00314A32">
        <w:rPr>
          <w:szCs w:val="24"/>
        </w:rPr>
        <w:t>GDA94</w:t>
      </w:r>
      <w:proofErr w:type="spellEnd"/>
      <w:r w:rsidRPr="00314A32">
        <w:rPr>
          <w:szCs w:val="24"/>
        </w:rPr>
        <w:t>), in decimal degrees.</w:t>
      </w:r>
    </w:p>
    <w:p w:rsidR="00D16B0E" w:rsidRPr="00314A32" w:rsidRDefault="00D16B0E" w:rsidP="00D16B0E">
      <w:pPr>
        <w:spacing w:line="240" w:lineRule="auto"/>
        <w:rPr>
          <w:szCs w:val="24"/>
        </w:rPr>
      </w:pPr>
    </w:p>
    <w:p w:rsidR="00D16B0E" w:rsidRPr="00314A32" w:rsidRDefault="00D16B0E" w:rsidP="00D16B0E">
      <w:pPr>
        <w:spacing w:line="240" w:lineRule="auto"/>
        <w:rPr>
          <w:szCs w:val="24"/>
        </w:rPr>
      </w:pPr>
      <w:r w:rsidRPr="00314A32">
        <w:rPr>
          <w:szCs w:val="24"/>
        </w:rPr>
        <w:t>Watercourses and water bodies (except Lake Blanche) referenced to 1:250,000 Topographic Mapping Series 3 – sourced from Geoscience Australia.</w:t>
      </w:r>
    </w:p>
    <w:p w:rsidR="00D16B0E" w:rsidRPr="00314A32" w:rsidRDefault="00D16B0E" w:rsidP="00D16B0E">
      <w:pPr>
        <w:spacing w:line="240" w:lineRule="auto"/>
        <w:rPr>
          <w:szCs w:val="24"/>
        </w:rPr>
      </w:pPr>
    </w:p>
    <w:p w:rsidR="00D16B0E" w:rsidRPr="00314A32" w:rsidRDefault="00D16B0E" w:rsidP="00D16B0E">
      <w:pPr>
        <w:spacing w:line="240" w:lineRule="auto"/>
        <w:rPr>
          <w:b/>
          <w:szCs w:val="24"/>
        </w:rPr>
      </w:pPr>
      <w:r w:rsidRPr="00314A32">
        <w:rPr>
          <w:b/>
          <w:szCs w:val="24"/>
        </w:rPr>
        <w:t>Use of Coordinates</w:t>
      </w:r>
    </w:p>
    <w:p w:rsidR="00D16B0E" w:rsidRDefault="00D16B0E" w:rsidP="00D16B0E">
      <w:pPr>
        <w:spacing w:line="240" w:lineRule="auto"/>
        <w:jc w:val="left"/>
        <w:rPr>
          <w:b/>
        </w:rPr>
      </w:pPr>
      <w:r w:rsidRPr="00314A32">
        <w:rPr>
          <w:szCs w:val="24"/>
        </w:rPr>
        <w:t>Where coordinates are used within the description to represent cadastral or topographical boundaries or the intersection with such, they are intended as a guide only.  As an outcome of the custodians of cadastral and topographical data continuously recalculating the geographic position of their data based on improved survey and data maintenance procedures, it is not possible to accurately define such a position other than by detailed ground survey.</w:t>
      </w:r>
      <w:r>
        <w:rPr>
          <w:b/>
        </w:rPr>
        <w:br w:type="page"/>
      </w:r>
    </w:p>
    <w:p w:rsidR="00314A32" w:rsidRDefault="00314A32" w:rsidP="00314A32">
      <w:r>
        <w:rPr>
          <w:b/>
        </w:rPr>
        <w:lastRenderedPageBreak/>
        <w:t xml:space="preserve">SCHEDULE 2 - Areas that have been excluded from the Determination Area </w:t>
      </w:r>
    </w:p>
    <w:p w:rsidR="00314A32" w:rsidRDefault="00314A32" w:rsidP="00314A32"/>
    <w:p w:rsidR="00314A32" w:rsidRDefault="00314A32" w:rsidP="008A43A4">
      <w:pPr>
        <w:numPr>
          <w:ilvl w:val="0"/>
          <w:numId w:val="25"/>
        </w:numPr>
        <w:spacing w:after="120"/>
        <w:jc w:val="left"/>
      </w:pPr>
      <w:r>
        <w:t>The following areas are agreed to have been excluded from the Determination Area by reason of the fact that native title has been extinguished in those areas:</w:t>
      </w:r>
    </w:p>
    <w:p w:rsidR="00314A32" w:rsidRDefault="00314A32" w:rsidP="008A43A4">
      <w:pPr>
        <w:numPr>
          <w:ilvl w:val="1"/>
          <w:numId w:val="25"/>
        </w:numPr>
        <w:spacing w:after="120"/>
        <w:jc w:val="left"/>
      </w:pPr>
      <w:r>
        <w:t xml:space="preserve">Any areas in relation to which native title has been extinguished by an act attributable to the State of South Australia pursuant to any of the following sections of the </w:t>
      </w:r>
      <w:r>
        <w:rPr>
          <w:i/>
        </w:rPr>
        <w:t>Native Title (South Australia) Act 1994</w:t>
      </w:r>
      <w:r>
        <w:t xml:space="preserve"> (SA):</w:t>
      </w:r>
    </w:p>
    <w:p w:rsidR="00314A32" w:rsidRDefault="00314A32" w:rsidP="008A43A4">
      <w:pPr>
        <w:numPr>
          <w:ilvl w:val="2"/>
          <w:numId w:val="25"/>
        </w:numPr>
        <w:tabs>
          <w:tab w:val="clear" w:pos="1791"/>
          <w:tab w:val="num" w:pos="2127"/>
        </w:tabs>
        <w:spacing w:after="120"/>
        <w:ind w:left="2127" w:hanging="619"/>
        <w:jc w:val="left"/>
      </w:pPr>
      <w:r>
        <w:t>Sections 33 and 34 (Category A past acts);</w:t>
      </w:r>
    </w:p>
    <w:p w:rsidR="00314A32" w:rsidRDefault="00314A32" w:rsidP="008A43A4">
      <w:pPr>
        <w:numPr>
          <w:ilvl w:val="2"/>
          <w:numId w:val="25"/>
        </w:numPr>
        <w:tabs>
          <w:tab w:val="clear" w:pos="1791"/>
          <w:tab w:val="num" w:pos="2127"/>
        </w:tabs>
        <w:spacing w:after="120"/>
        <w:ind w:left="2127" w:hanging="619"/>
        <w:jc w:val="left"/>
      </w:pPr>
      <w:r>
        <w:t>Section 35 (Category B past acts that are wholly inconsistent with the continued existence, enjoyment or exercise of any native title rights or interests);</w:t>
      </w:r>
    </w:p>
    <w:p w:rsidR="00314A32" w:rsidRDefault="00314A32" w:rsidP="008A43A4">
      <w:pPr>
        <w:numPr>
          <w:ilvl w:val="2"/>
          <w:numId w:val="25"/>
        </w:numPr>
        <w:tabs>
          <w:tab w:val="clear" w:pos="1791"/>
          <w:tab w:val="num" w:pos="2127"/>
        </w:tabs>
        <w:spacing w:after="120"/>
        <w:ind w:left="2127" w:hanging="619"/>
        <w:jc w:val="left"/>
      </w:pPr>
      <w:r>
        <w:t xml:space="preserve">Sections </w:t>
      </w:r>
      <w:proofErr w:type="spellStart"/>
      <w:r>
        <w:t>36B</w:t>
      </w:r>
      <w:proofErr w:type="spellEnd"/>
      <w:r>
        <w:t xml:space="preserve"> and </w:t>
      </w:r>
      <w:proofErr w:type="spellStart"/>
      <w:r>
        <w:t>36C</w:t>
      </w:r>
      <w:proofErr w:type="spellEnd"/>
      <w:r>
        <w:t xml:space="preserve"> (Category A intermediate period acts);</w:t>
      </w:r>
    </w:p>
    <w:p w:rsidR="00314A32" w:rsidRDefault="00314A32" w:rsidP="008A43A4">
      <w:pPr>
        <w:numPr>
          <w:ilvl w:val="2"/>
          <w:numId w:val="25"/>
        </w:numPr>
        <w:tabs>
          <w:tab w:val="clear" w:pos="1791"/>
          <w:tab w:val="num" w:pos="2127"/>
        </w:tabs>
        <w:spacing w:after="120"/>
        <w:ind w:left="2127" w:hanging="619"/>
        <w:jc w:val="left"/>
      </w:pPr>
      <w:r>
        <w:t xml:space="preserve">Section </w:t>
      </w:r>
      <w:proofErr w:type="spellStart"/>
      <w:r>
        <w:t>36D</w:t>
      </w:r>
      <w:proofErr w:type="spellEnd"/>
      <w:r>
        <w:t xml:space="preserve"> (Category B intermediate period acts that are wholly inconsistent with the continued existence, enjoyment or exercise of any native title rights or interests);</w:t>
      </w:r>
    </w:p>
    <w:p w:rsidR="00314A32" w:rsidRDefault="00314A32" w:rsidP="008A43A4">
      <w:pPr>
        <w:numPr>
          <w:ilvl w:val="2"/>
          <w:numId w:val="25"/>
        </w:numPr>
        <w:tabs>
          <w:tab w:val="clear" w:pos="1791"/>
          <w:tab w:val="num" w:pos="2127"/>
        </w:tabs>
        <w:spacing w:after="120"/>
        <w:ind w:left="2127" w:hanging="619"/>
        <w:jc w:val="left"/>
      </w:pPr>
      <w:r>
        <w:t xml:space="preserve">Sections </w:t>
      </w:r>
      <w:proofErr w:type="spellStart"/>
      <w:r>
        <w:t>36F</w:t>
      </w:r>
      <w:proofErr w:type="spellEnd"/>
      <w:r>
        <w:t xml:space="preserve"> and </w:t>
      </w:r>
      <w:proofErr w:type="spellStart"/>
      <w:r>
        <w:t>36G</w:t>
      </w:r>
      <w:proofErr w:type="spellEnd"/>
      <w:r>
        <w:t xml:space="preserve"> (previous exclusive possession acts other than “excepted acts”);</w:t>
      </w:r>
    </w:p>
    <w:p w:rsidR="00314A32" w:rsidRDefault="00314A32" w:rsidP="008A43A4">
      <w:pPr>
        <w:numPr>
          <w:ilvl w:val="1"/>
          <w:numId w:val="25"/>
        </w:numPr>
        <w:spacing w:after="120"/>
        <w:jc w:val="left"/>
        <w:rPr>
          <w:szCs w:val="22"/>
        </w:rPr>
      </w:pPr>
      <w:r>
        <w:rPr>
          <w:szCs w:val="22"/>
        </w:rPr>
        <w:t xml:space="preserve">Any areas in relation to which native title has been extinguished by an act attributable to the Commonwealth of Australia pursuant to any of the following sections of the </w:t>
      </w:r>
      <w:r w:rsidRPr="0054573D">
        <w:rPr>
          <w:szCs w:val="22"/>
        </w:rPr>
        <w:t>Native Title Act</w:t>
      </w:r>
      <w:r>
        <w:rPr>
          <w:szCs w:val="22"/>
        </w:rPr>
        <w:t>:</w:t>
      </w:r>
    </w:p>
    <w:p w:rsidR="00314A32" w:rsidRDefault="00314A32" w:rsidP="008A43A4">
      <w:pPr>
        <w:numPr>
          <w:ilvl w:val="2"/>
          <w:numId w:val="25"/>
        </w:numPr>
        <w:tabs>
          <w:tab w:val="clear" w:pos="1791"/>
          <w:tab w:val="num" w:pos="2127"/>
        </w:tabs>
        <w:spacing w:after="120"/>
        <w:ind w:left="2127" w:hanging="619"/>
        <w:jc w:val="left"/>
        <w:rPr>
          <w:szCs w:val="22"/>
        </w:rPr>
      </w:pPr>
      <w:r w:rsidRPr="00314A32">
        <w:t>Section</w:t>
      </w:r>
      <w:r>
        <w:rPr>
          <w:szCs w:val="22"/>
        </w:rPr>
        <w:t xml:space="preserve"> 15(1)(a), (b) (Category A past acts</w:t>
      </w:r>
      <w:r w:rsidRPr="0054573D">
        <w:rPr>
          <w:iCs/>
          <w:szCs w:val="22"/>
        </w:rPr>
        <w:t>)</w:t>
      </w:r>
      <w:r>
        <w:rPr>
          <w:szCs w:val="22"/>
        </w:rPr>
        <w:t>;</w:t>
      </w:r>
    </w:p>
    <w:p w:rsidR="00314A32" w:rsidRDefault="00314A32" w:rsidP="008A43A4">
      <w:pPr>
        <w:numPr>
          <w:ilvl w:val="2"/>
          <w:numId w:val="25"/>
        </w:numPr>
        <w:tabs>
          <w:tab w:val="clear" w:pos="1791"/>
          <w:tab w:val="num" w:pos="2127"/>
        </w:tabs>
        <w:spacing w:after="120"/>
        <w:ind w:left="2127" w:hanging="619"/>
        <w:jc w:val="left"/>
        <w:rPr>
          <w:szCs w:val="22"/>
        </w:rPr>
      </w:pPr>
      <w:r w:rsidRPr="00314A32">
        <w:t>Section</w:t>
      </w:r>
      <w:r>
        <w:rPr>
          <w:szCs w:val="22"/>
        </w:rPr>
        <w:t xml:space="preserve"> 15(1)(c) (Category B past acts that are wholly inconsistent with the continued existence, enjoyment or exercise of any native title rights or interests</w:t>
      </w:r>
      <w:r w:rsidRPr="0054573D">
        <w:rPr>
          <w:iCs/>
          <w:szCs w:val="22"/>
        </w:rPr>
        <w:t>)</w:t>
      </w:r>
      <w:r>
        <w:rPr>
          <w:szCs w:val="22"/>
        </w:rPr>
        <w:t>;</w:t>
      </w:r>
    </w:p>
    <w:p w:rsidR="00314A32" w:rsidRDefault="00314A32" w:rsidP="008A43A4">
      <w:pPr>
        <w:numPr>
          <w:ilvl w:val="2"/>
          <w:numId w:val="25"/>
        </w:numPr>
        <w:tabs>
          <w:tab w:val="clear" w:pos="1791"/>
          <w:tab w:val="num" w:pos="2127"/>
        </w:tabs>
        <w:spacing w:after="120"/>
        <w:ind w:left="2127" w:hanging="619"/>
        <w:jc w:val="left"/>
        <w:rPr>
          <w:szCs w:val="22"/>
        </w:rPr>
      </w:pPr>
      <w:r w:rsidRPr="00314A32">
        <w:t>Section</w:t>
      </w:r>
      <w:r>
        <w:rPr>
          <w:szCs w:val="22"/>
        </w:rPr>
        <w:t xml:space="preserve"> </w:t>
      </w:r>
      <w:proofErr w:type="spellStart"/>
      <w:r>
        <w:rPr>
          <w:szCs w:val="22"/>
        </w:rPr>
        <w:t>22B</w:t>
      </w:r>
      <w:proofErr w:type="spellEnd"/>
      <w:r>
        <w:rPr>
          <w:szCs w:val="22"/>
        </w:rPr>
        <w:t>(a), (b) (Category A intermediate period acts</w:t>
      </w:r>
      <w:r w:rsidRPr="0054573D">
        <w:rPr>
          <w:iCs/>
          <w:szCs w:val="22"/>
        </w:rPr>
        <w:t>)</w:t>
      </w:r>
      <w:r>
        <w:rPr>
          <w:szCs w:val="22"/>
        </w:rPr>
        <w:t>;</w:t>
      </w:r>
    </w:p>
    <w:p w:rsidR="00314A32" w:rsidRDefault="00314A32" w:rsidP="008A43A4">
      <w:pPr>
        <w:numPr>
          <w:ilvl w:val="2"/>
          <w:numId w:val="25"/>
        </w:numPr>
        <w:tabs>
          <w:tab w:val="clear" w:pos="1791"/>
          <w:tab w:val="num" w:pos="2127"/>
        </w:tabs>
        <w:spacing w:after="120"/>
        <w:ind w:left="2127" w:hanging="619"/>
        <w:jc w:val="left"/>
        <w:rPr>
          <w:szCs w:val="22"/>
        </w:rPr>
      </w:pPr>
      <w:r>
        <w:rPr>
          <w:szCs w:val="22"/>
        </w:rPr>
        <w:t xml:space="preserve">Section </w:t>
      </w:r>
      <w:proofErr w:type="spellStart"/>
      <w:r>
        <w:rPr>
          <w:szCs w:val="22"/>
        </w:rPr>
        <w:t>22B</w:t>
      </w:r>
      <w:proofErr w:type="spellEnd"/>
      <w:r>
        <w:rPr>
          <w:szCs w:val="22"/>
        </w:rPr>
        <w:t>(c) (Category B intermediate period acts that are wholly inconsistent with the continued existence, enjoyment or exercise of any native title rights or interests</w:t>
      </w:r>
      <w:r w:rsidRPr="0054573D">
        <w:rPr>
          <w:iCs/>
          <w:szCs w:val="22"/>
        </w:rPr>
        <w:t>)</w:t>
      </w:r>
      <w:r>
        <w:rPr>
          <w:szCs w:val="22"/>
        </w:rPr>
        <w:t>;</w:t>
      </w:r>
    </w:p>
    <w:p w:rsidR="00314A32" w:rsidRDefault="00314A32" w:rsidP="008A43A4">
      <w:pPr>
        <w:numPr>
          <w:ilvl w:val="2"/>
          <w:numId w:val="25"/>
        </w:numPr>
        <w:tabs>
          <w:tab w:val="clear" w:pos="1791"/>
          <w:tab w:val="num" w:pos="2127"/>
        </w:tabs>
        <w:spacing w:after="120"/>
        <w:ind w:left="2127" w:hanging="619"/>
        <w:jc w:val="left"/>
        <w:rPr>
          <w:szCs w:val="22"/>
        </w:rPr>
      </w:pPr>
      <w:r w:rsidRPr="00314A32">
        <w:t>Sections</w:t>
      </w:r>
      <w:r>
        <w:rPr>
          <w:szCs w:val="22"/>
        </w:rPr>
        <w:t xml:space="preserve"> </w:t>
      </w:r>
      <w:proofErr w:type="spellStart"/>
      <w:r>
        <w:rPr>
          <w:szCs w:val="22"/>
        </w:rPr>
        <w:t>23B</w:t>
      </w:r>
      <w:proofErr w:type="spellEnd"/>
      <w:r>
        <w:rPr>
          <w:szCs w:val="22"/>
        </w:rPr>
        <w:t xml:space="preserve"> and </w:t>
      </w:r>
      <w:proofErr w:type="spellStart"/>
      <w:r>
        <w:rPr>
          <w:szCs w:val="22"/>
        </w:rPr>
        <w:t>23C</w:t>
      </w:r>
      <w:proofErr w:type="spellEnd"/>
      <w:r>
        <w:rPr>
          <w:szCs w:val="22"/>
        </w:rPr>
        <w:t xml:space="preserve"> (previous exclusive possession acts</w:t>
      </w:r>
      <w:r w:rsidRPr="0054573D">
        <w:rPr>
          <w:iCs/>
          <w:szCs w:val="22"/>
        </w:rPr>
        <w:t>)</w:t>
      </w:r>
      <w:r>
        <w:rPr>
          <w:szCs w:val="22"/>
        </w:rPr>
        <w:t>.</w:t>
      </w:r>
    </w:p>
    <w:p w:rsidR="00314A32" w:rsidRDefault="00314A32" w:rsidP="008A43A4">
      <w:pPr>
        <w:numPr>
          <w:ilvl w:val="1"/>
          <w:numId w:val="25"/>
        </w:numPr>
        <w:spacing w:after="120"/>
        <w:jc w:val="left"/>
      </w:pPr>
      <w:r>
        <w:lastRenderedPageBreak/>
        <w:t>Any areas in relation to which native title rights and interests have otherwise been wholly extinguished.</w:t>
      </w:r>
    </w:p>
    <w:p w:rsidR="00314A32" w:rsidRDefault="00314A32" w:rsidP="008A43A4">
      <w:pPr>
        <w:numPr>
          <w:ilvl w:val="0"/>
          <w:numId w:val="25"/>
        </w:numPr>
        <w:overflowPunct w:val="0"/>
        <w:autoSpaceDE w:val="0"/>
        <w:autoSpaceDN w:val="0"/>
        <w:adjustRightInd w:val="0"/>
        <w:spacing w:after="120"/>
        <w:jc w:val="left"/>
        <w:textAlignment w:val="baseline"/>
      </w:pPr>
      <w:r>
        <w:t>For the avoidance of doubt and without limiting the above, Native Title has been extinguished in relation to areas in respect of which any of the following acts have been done by the Crown in right of the State of South Australia on or before 23 December 1996:</w:t>
      </w:r>
    </w:p>
    <w:p w:rsidR="00314A32" w:rsidRDefault="00314A32" w:rsidP="008A43A4">
      <w:pPr>
        <w:numPr>
          <w:ilvl w:val="1"/>
          <w:numId w:val="25"/>
        </w:numPr>
        <w:spacing w:after="120"/>
        <w:jc w:val="left"/>
      </w:pPr>
      <w:r>
        <w:t xml:space="preserve">Freehold grants (other than pursuant to the </w:t>
      </w:r>
      <w:r>
        <w:rPr>
          <w:i/>
        </w:rPr>
        <w:t>Aboriginal Lands Trust Act 1966</w:t>
      </w:r>
      <w:r>
        <w:t xml:space="preserve"> (SA));</w:t>
      </w:r>
    </w:p>
    <w:p w:rsidR="00314A32" w:rsidRDefault="00314A32" w:rsidP="008A43A4">
      <w:pPr>
        <w:numPr>
          <w:ilvl w:val="1"/>
          <w:numId w:val="25"/>
        </w:numPr>
        <w:spacing w:after="120"/>
        <w:jc w:val="left"/>
      </w:pPr>
      <w:r>
        <w:t>Perpetual leases (other than leases which are subject to a reservation or condition expressly for the benefit of Aboriginal people);</w:t>
      </w:r>
    </w:p>
    <w:p w:rsidR="00314A32" w:rsidRDefault="00314A32" w:rsidP="008A43A4">
      <w:pPr>
        <w:numPr>
          <w:ilvl w:val="1"/>
          <w:numId w:val="25"/>
        </w:numPr>
        <w:spacing w:after="120"/>
        <w:jc w:val="left"/>
      </w:pPr>
      <w:r>
        <w:t>Non-perpetual leases (other than pastoral leases or non-exclusive agricultural leases or leases subject to a reservation or condition expressly for the benefit of Aboriginal people),</w:t>
      </w:r>
    </w:p>
    <w:p w:rsidR="00314A32" w:rsidRDefault="00314A32" w:rsidP="00314A32">
      <w:pPr>
        <w:spacing w:after="120"/>
        <w:ind w:left="567"/>
      </w:pPr>
      <w:r>
        <w:t>where:</w:t>
      </w:r>
    </w:p>
    <w:p w:rsidR="00314A32" w:rsidRDefault="00314A32" w:rsidP="008A43A4">
      <w:pPr>
        <w:numPr>
          <w:ilvl w:val="1"/>
          <w:numId w:val="25"/>
        </w:numPr>
        <w:spacing w:after="120"/>
        <w:jc w:val="left"/>
      </w:pPr>
      <w:r>
        <w:t>in the case of grants to the Crown or a statutory authority, made prior to 31 October 1975 (or after 1 January 1994, if an “intermediate period act”);</w:t>
      </w:r>
    </w:p>
    <w:p w:rsidR="00314A32" w:rsidRDefault="00314A32" w:rsidP="008A43A4">
      <w:pPr>
        <w:numPr>
          <w:ilvl w:val="1"/>
          <w:numId w:val="25"/>
        </w:numPr>
        <w:spacing w:after="240"/>
        <w:jc w:val="left"/>
      </w:pPr>
      <w:r>
        <w:t>in the case of grants other than to the Crown or a statutory authority, made prior to 1 January 1994 (or after 1 January 1994, if a “past act”</w:t>
      </w:r>
      <w:r w:rsidR="0054573D">
        <w:t xml:space="preserve"> or “intermediate period act”).</w:t>
      </w:r>
    </w:p>
    <w:p w:rsidR="00314A32" w:rsidRDefault="00314A32" w:rsidP="008A43A4">
      <w:pPr>
        <w:numPr>
          <w:ilvl w:val="0"/>
          <w:numId w:val="25"/>
        </w:numPr>
        <w:spacing w:after="240"/>
      </w:pPr>
      <w:r w:rsidRPr="00FB6304">
        <w:rPr>
          <w:rFonts w:cs="Arial"/>
          <w:szCs w:val="22"/>
        </w:rPr>
        <w:t xml:space="preserve">Native title rights have been extinguished over all roads which have been delineated in a public map pursuant to section 5(d)(II) of the </w:t>
      </w:r>
      <w:r w:rsidRPr="00626D51">
        <w:rPr>
          <w:rFonts w:cs="Arial"/>
          <w:i/>
          <w:szCs w:val="22"/>
        </w:rPr>
        <w:t>Crown Lands Act 1929</w:t>
      </w:r>
      <w:r w:rsidRPr="00626D51">
        <w:rPr>
          <w:rFonts w:cs="Arial"/>
          <w:szCs w:val="22"/>
        </w:rPr>
        <w:t xml:space="preserve"> (SA) or s</w:t>
      </w:r>
      <w:r w:rsidR="0054573D">
        <w:rPr>
          <w:rFonts w:cs="Arial"/>
          <w:szCs w:val="22"/>
        </w:rPr>
        <w:t>ections </w:t>
      </w:r>
      <w:r w:rsidRPr="00626D51">
        <w:rPr>
          <w:rFonts w:cs="Arial"/>
          <w:szCs w:val="22"/>
        </w:rPr>
        <w:t xml:space="preserve">70(3) or (4) of the </w:t>
      </w:r>
      <w:r w:rsidRPr="00A83E1B">
        <w:rPr>
          <w:rFonts w:cs="Arial"/>
          <w:i/>
          <w:szCs w:val="22"/>
        </w:rPr>
        <w:t>Crown Land Management Act 2009</w:t>
      </w:r>
      <w:r w:rsidRPr="00A83E1B">
        <w:rPr>
          <w:rFonts w:cs="Arial"/>
          <w:szCs w:val="22"/>
        </w:rPr>
        <w:t xml:space="preserve"> (SA) or which have otherwise been validly established pursuant to South Australian Statute or common law.</w:t>
      </w:r>
    </w:p>
    <w:p w:rsidR="00314A32" w:rsidRDefault="00314A32" w:rsidP="00314A32">
      <w:pPr>
        <w:spacing w:after="240"/>
        <w:sectPr w:rsidR="00314A32" w:rsidSect="005B5FEF">
          <w:endnotePr>
            <w:numFmt w:val="decimal"/>
          </w:endnotePr>
          <w:pgSz w:w="11907" w:h="16840" w:code="9"/>
          <w:pgMar w:top="1440" w:right="1440" w:bottom="1440" w:left="1440" w:header="851" w:footer="851" w:gutter="0"/>
          <w:cols w:space="720"/>
          <w:noEndnote/>
          <w:titlePg/>
        </w:sectPr>
      </w:pPr>
    </w:p>
    <w:p w:rsidR="00314A32" w:rsidRDefault="00314A32" w:rsidP="00314A32">
      <w:pPr>
        <w:spacing w:after="120"/>
        <w:rPr>
          <w:b/>
        </w:rPr>
      </w:pPr>
      <w:r>
        <w:rPr>
          <w:b/>
        </w:rPr>
        <w:lastRenderedPageBreak/>
        <w:t xml:space="preserve">SCHEDULE 3 – The descendants of </w:t>
      </w:r>
      <w:proofErr w:type="spellStart"/>
      <w:r>
        <w:rPr>
          <w:b/>
        </w:rPr>
        <w:t>Dieri</w:t>
      </w:r>
      <w:proofErr w:type="spellEnd"/>
      <w:r>
        <w:rPr>
          <w:b/>
        </w:rPr>
        <w:t xml:space="preserve"> Apical Ancestors</w:t>
      </w:r>
    </w:p>
    <w:p w:rsidR="00314A32" w:rsidRDefault="00314A32" w:rsidP="00314A32">
      <w:pPr>
        <w:spacing w:after="120"/>
        <w:rPr>
          <w:b/>
        </w:rPr>
      </w:pPr>
      <w:r>
        <w:rPr>
          <w:b/>
        </w:rPr>
        <w:t>The descendants (whether biologically or by adoption) of:</w:t>
      </w:r>
    </w:p>
    <w:p w:rsidR="00314A32" w:rsidRPr="000414AD" w:rsidRDefault="00314A32" w:rsidP="008A43A4">
      <w:pPr>
        <w:numPr>
          <w:ilvl w:val="2"/>
          <w:numId w:val="25"/>
        </w:numPr>
        <w:tabs>
          <w:tab w:val="clear" w:pos="1791"/>
          <w:tab w:val="num" w:pos="2127"/>
        </w:tabs>
        <w:spacing w:after="120"/>
        <w:ind w:left="2127" w:hanging="619"/>
        <w:jc w:val="left"/>
      </w:pPr>
      <w:r w:rsidRPr="000414AD">
        <w:t xml:space="preserve">Ruby Merrick and Tim </w:t>
      </w:r>
      <w:proofErr w:type="spellStart"/>
      <w:r w:rsidRPr="000414AD">
        <w:t>Maltalinha</w:t>
      </w:r>
      <w:proofErr w:type="spellEnd"/>
      <w:r w:rsidRPr="000414AD">
        <w:t xml:space="preserve"> (also known as Tim Merrick), who are the parents of the sibling set comprised</w:t>
      </w:r>
      <w:r w:rsidR="0054573D">
        <w:t xml:space="preserve"> of Martin, Gottlieb, Rebecca an</w:t>
      </w:r>
      <w:r w:rsidRPr="000414AD">
        <w:t>d Selma (or Thelma)</w:t>
      </w:r>
      <w:r>
        <w:t>;</w:t>
      </w:r>
    </w:p>
    <w:p w:rsidR="00314A32" w:rsidRPr="000414AD" w:rsidRDefault="00314A32" w:rsidP="008A43A4">
      <w:pPr>
        <w:numPr>
          <w:ilvl w:val="2"/>
          <w:numId w:val="25"/>
        </w:numPr>
        <w:tabs>
          <w:tab w:val="clear" w:pos="1791"/>
          <w:tab w:val="num" w:pos="2127"/>
        </w:tabs>
        <w:spacing w:after="120"/>
        <w:ind w:left="2127" w:hanging="619"/>
        <w:jc w:val="left"/>
      </w:pPr>
      <w:proofErr w:type="spellStart"/>
      <w:r w:rsidRPr="000414AD">
        <w:t>Kuriputhanha</w:t>
      </w:r>
      <w:proofErr w:type="spellEnd"/>
      <w:r w:rsidRPr="000414AD">
        <w:t xml:space="preserve"> (known as “Queen Annie”), mother of Karla-</w:t>
      </w:r>
      <w:proofErr w:type="spellStart"/>
      <w:r w:rsidRPr="000414AD">
        <w:t>warru</w:t>
      </w:r>
      <w:proofErr w:type="spellEnd"/>
      <w:r w:rsidRPr="000414AD">
        <w:t xml:space="preserve"> (also known as Annie)</w:t>
      </w:r>
      <w:r>
        <w:t>;</w:t>
      </w:r>
    </w:p>
    <w:p w:rsidR="00314A32" w:rsidRPr="000414AD" w:rsidRDefault="00314A32" w:rsidP="008A43A4">
      <w:pPr>
        <w:numPr>
          <w:ilvl w:val="2"/>
          <w:numId w:val="25"/>
        </w:numPr>
        <w:tabs>
          <w:tab w:val="clear" w:pos="1791"/>
          <w:tab w:val="num" w:pos="2127"/>
        </w:tabs>
        <w:spacing w:after="120"/>
        <w:ind w:left="2127" w:hanging="619"/>
        <w:jc w:val="left"/>
      </w:pPr>
      <w:r w:rsidRPr="000414AD">
        <w:t xml:space="preserve">Mary Dixon (born at </w:t>
      </w:r>
      <w:proofErr w:type="spellStart"/>
      <w:r w:rsidRPr="000414AD">
        <w:t>Killalpaninna</w:t>
      </w:r>
      <w:proofErr w:type="spellEnd"/>
      <w:r w:rsidRPr="000414AD">
        <w:t xml:space="preserve">), mother of the sibling set comprised of Dear </w:t>
      </w:r>
      <w:proofErr w:type="spellStart"/>
      <w:r w:rsidRPr="000414AD">
        <w:t>Dear</w:t>
      </w:r>
      <w:proofErr w:type="spellEnd"/>
      <w:r w:rsidRPr="000414AD">
        <w:t xml:space="preserve"> (known as “Tear”), Jack Garret, George </w:t>
      </w:r>
      <w:proofErr w:type="spellStart"/>
      <w:r w:rsidRPr="000414AD">
        <w:t>Mungerannie</w:t>
      </w:r>
      <w:proofErr w:type="spellEnd"/>
      <w:r w:rsidRPr="000414AD">
        <w:t>, Joe Shaw and Henry</w:t>
      </w:r>
      <w:r>
        <w:t>;</w:t>
      </w:r>
    </w:p>
    <w:p w:rsidR="00314A32" w:rsidRPr="000414AD" w:rsidRDefault="00314A32" w:rsidP="008A43A4">
      <w:pPr>
        <w:numPr>
          <w:ilvl w:val="2"/>
          <w:numId w:val="25"/>
        </w:numPr>
        <w:tabs>
          <w:tab w:val="clear" w:pos="1791"/>
          <w:tab w:val="num" w:pos="2127"/>
        </w:tabs>
        <w:spacing w:after="120"/>
        <w:ind w:left="2127" w:hanging="619"/>
        <w:jc w:val="left"/>
      </w:pPr>
      <w:r w:rsidRPr="000414AD">
        <w:t>Bertha, mother of the sibling set comprised of Johannes and Susanna</w:t>
      </w:r>
      <w:r>
        <w:t>;</w:t>
      </w:r>
    </w:p>
    <w:p w:rsidR="00314A32" w:rsidRPr="000414AD" w:rsidRDefault="00314A32" w:rsidP="008A43A4">
      <w:pPr>
        <w:numPr>
          <w:ilvl w:val="2"/>
          <w:numId w:val="25"/>
        </w:numPr>
        <w:tabs>
          <w:tab w:val="clear" w:pos="1791"/>
          <w:tab w:val="num" w:pos="2127"/>
        </w:tabs>
        <w:spacing w:after="120"/>
        <w:ind w:left="2127" w:hanging="619"/>
        <w:jc w:val="left"/>
      </w:pPr>
      <w:r w:rsidRPr="000414AD">
        <w:t>Walter Kennedy, husband of Selma (also known as Thelma) nee Merrick</w:t>
      </w:r>
      <w:r>
        <w:t>;</w:t>
      </w:r>
    </w:p>
    <w:p w:rsidR="00314A32" w:rsidRDefault="00314A32" w:rsidP="008A43A4">
      <w:pPr>
        <w:numPr>
          <w:ilvl w:val="2"/>
          <w:numId w:val="25"/>
        </w:numPr>
        <w:tabs>
          <w:tab w:val="clear" w:pos="1791"/>
          <w:tab w:val="num" w:pos="2127"/>
        </w:tabs>
        <w:spacing w:after="120"/>
        <w:ind w:left="2127" w:hanging="619"/>
        <w:jc w:val="left"/>
      </w:pPr>
      <w:proofErr w:type="spellStart"/>
      <w:r w:rsidRPr="000414AD">
        <w:t>Florrie</w:t>
      </w:r>
      <w:proofErr w:type="spellEnd"/>
      <w:r w:rsidRPr="000414AD">
        <w:t>, wife of Martin Merrick</w:t>
      </w:r>
      <w:r>
        <w:t>;</w:t>
      </w:r>
    </w:p>
    <w:p w:rsidR="00314A32" w:rsidRPr="000414AD" w:rsidRDefault="00314A32" w:rsidP="008A43A4">
      <w:pPr>
        <w:numPr>
          <w:ilvl w:val="2"/>
          <w:numId w:val="25"/>
        </w:numPr>
        <w:tabs>
          <w:tab w:val="clear" w:pos="1791"/>
          <w:tab w:val="num" w:pos="2127"/>
        </w:tabs>
        <w:spacing w:after="120"/>
        <w:ind w:left="2127" w:hanging="619"/>
        <w:jc w:val="left"/>
      </w:pPr>
      <w:r>
        <w:t>Clara Stewart (nee Murray), mother of Eddie Stewart; and</w:t>
      </w:r>
    </w:p>
    <w:p w:rsidR="00314A32" w:rsidRDefault="00314A32" w:rsidP="008A43A4">
      <w:pPr>
        <w:numPr>
          <w:ilvl w:val="2"/>
          <w:numId w:val="25"/>
        </w:numPr>
        <w:tabs>
          <w:tab w:val="clear" w:pos="1791"/>
          <w:tab w:val="num" w:pos="2127"/>
        </w:tabs>
        <w:spacing w:after="120"/>
        <w:ind w:left="2127" w:hanging="619"/>
        <w:jc w:val="left"/>
      </w:pPr>
      <w:r w:rsidRPr="000414AD">
        <w:t xml:space="preserve">The man from </w:t>
      </w:r>
      <w:proofErr w:type="spellStart"/>
      <w:r w:rsidRPr="000414AD">
        <w:t>Pinngipania</w:t>
      </w:r>
      <w:proofErr w:type="spellEnd"/>
      <w:r w:rsidRPr="000414AD">
        <w:t xml:space="preserve"> (born at Lake Hope) and the woman </w:t>
      </w:r>
      <w:proofErr w:type="spellStart"/>
      <w:r w:rsidRPr="000414AD">
        <w:t>Kulibani</w:t>
      </w:r>
      <w:proofErr w:type="spellEnd"/>
      <w:r w:rsidRPr="000414AD">
        <w:t xml:space="preserve"> (born at </w:t>
      </w:r>
      <w:proofErr w:type="spellStart"/>
      <w:r w:rsidRPr="000414AD">
        <w:t>Kalamarina</w:t>
      </w:r>
      <w:proofErr w:type="spellEnd"/>
      <w:r w:rsidRPr="000414AD">
        <w:t xml:space="preserve">) who are the parents of Sam </w:t>
      </w:r>
      <w:proofErr w:type="spellStart"/>
      <w:r w:rsidRPr="000414AD">
        <w:t>Tintibana</w:t>
      </w:r>
      <w:proofErr w:type="spellEnd"/>
      <w:r w:rsidRPr="000414AD">
        <w:t xml:space="preserve"> (also known as </w:t>
      </w:r>
      <w:proofErr w:type="spellStart"/>
      <w:r w:rsidRPr="000414AD">
        <w:t>Dindibana</w:t>
      </w:r>
      <w:proofErr w:type="spellEnd"/>
      <w:r w:rsidRPr="000414AD">
        <w:t xml:space="preserve"> </w:t>
      </w:r>
      <w:proofErr w:type="spellStart"/>
      <w:r w:rsidRPr="000414AD">
        <w:t>Ginjimilina</w:t>
      </w:r>
      <w:proofErr w:type="spellEnd"/>
      <w:r w:rsidRPr="000414AD">
        <w:t>)</w:t>
      </w:r>
      <w:r w:rsidR="0054573D">
        <w:t>.</w:t>
      </w:r>
    </w:p>
    <w:p w:rsidR="00314A32" w:rsidRDefault="00314A32" w:rsidP="00314A32">
      <w:pPr>
        <w:spacing w:after="240"/>
        <w:sectPr w:rsidR="00314A32" w:rsidSect="005B5FEF">
          <w:endnotePr>
            <w:numFmt w:val="decimal"/>
          </w:endnotePr>
          <w:pgSz w:w="11907" w:h="16840" w:code="9"/>
          <w:pgMar w:top="1440" w:right="1440" w:bottom="1440" w:left="1440" w:header="851" w:footer="851" w:gutter="0"/>
          <w:cols w:space="720"/>
          <w:noEndnote/>
          <w:titlePg/>
        </w:sectPr>
      </w:pPr>
    </w:p>
    <w:p w:rsidR="00314A32" w:rsidRPr="005E5F52" w:rsidRDefault="00314A32" w:rsidP="00314A32">
      <w:pPr>
        <w:spacing w:after="120"/>
      </w:pPr>
      <w:r>
        <w:rPr>
          <w:b/>
        </w:rPr>
        <w:lastRenderedPageBreak/>
        <w:t>SCHEDULE 4 – Pastoral Leases wholly or partially in the Determination Area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0"/>
        <w:gridCol w:w="2761"/>
        <w:gridCol w:w="3119"/>
      </w:tblGrid>
      <w:tr w:rsidR="00314A32" w:rsidRPr="006E5AFE" w:rsidTr="006166F1">
        <w:tc>
          <w:tcPr>
            <w:tcW w:w="2450" w:type="dxa"/>
            <w:shd w:val="clear" w:color="auto" w:fill="auto"/>
          </w:tcPr>
          <w:p w:rsidR="00314A32" w:rsidRPr="006E5AFE" w:rsidRDefault="00314A32" w:rsidP="006166F1">
            <w:pPr>
              <w:spacing w:after="120"/>
              <w:rPr>
                <w:b/>
              </w:rPr>
            </w:pPr>
            <w:r w:rsidRPr="006E5AFE">
              <w:rPr>
                <w:b/>
              </w:rPr>
              <w:t>Pastoral Lease Name</w:t>
            </w:r>
          </w:p>
        </w:tc>
        <w:tc>
          <w:tcPr>
            <w:tcW w:w="2761" w:type="dxa"/>
            <w:shd w:val="clear" w:color="auto" w:fill="auto"/>
          </w:tcPr>
          <w:p w:rsidR="00314A32" w:rsidRPr="006E5AFE" w:rsidRDefault="00314A32" w:rsidP="006166F1">
            <w:pPr>
              <w:spacing w:after="120"/>
              <w:rPr>
                <w:b/>
              </w:rPr>
            </w:pPr>
            <w:r w:rsidRPr="006E5AFE">
              <w:rPr>
                <w:b/>
              </w:rPr>
              <w:t>Pastoral Lease Number</w:t>
            </w:r>
          </w:p>
        </w:tc>
        <w:tc>
          <w:tcPr>
            <w:tcW w:w="3119" w:type="dxa"/>
            <w:shd w:val="clear" w:color="auto" w:fill="auto"/>
          </w:tcPr>
          <w:p w:rsidR="00314A32" w:rsidRPr="006E5AFE" w:rsidRDefault="00314A32" w:rsidP="006166F1">
            <w:pPr>
              <w:spacing w:after="120"/>
              <w:ind w:left="613" w:hanging="613"/>
              <w:rPr>
                <w:b/>
              </w:rPr>
            </w:pPr>
            <w:r w:rsidRPr="006E5AFE">
              <w:rPr>
                <w:b/>
              </w:rPr>
              <w:t>Crown Lease Number</w:t>
            </w:r>
            <w:r w:rsidRPr="006E5AFE">
              <w:rPr>
                <w:b/>
              </w:rPr>
              <w:br/>
              <w:t>Volume/Folio</w:t>
            </w:r>
          </w:p>
        </w:tc>
      </w:tr>
      <w:tr w:rsidR="00314A32" w:rsidRPr="006E5AFE" w:rsidTr="006166F1">
        <w:tc>
          <w:tcPr>
            <w:tcW w:w="2450" w:type="dxa"/>
            <w:shd w:val="clear" w:color="auto" w:fill="auto"/>
          </w:tcPr>
          <w:p w:rsidR="00314A32" w:rsidRPr="000414AD" w:rsidRDefault="00314A32" w:rsidP="006166F1">
            <w:pPr>
              <w:spacing w:after="120"/>
            </w:pPr>
            <w:proofErr w:type="spellStart"/>
            <w:r>
              <w:t>Murnpeowie</w:t>
            </w:r>
            <w:proofErr w:type="spellEnd"/>
            <w:r>
              <w:t xml:space="preserve"> (part)</w:t>
            </w:r>
          </w:p>
        </w:tc>
        <w:tc>
          <w:tcPr>
            <w:tcW w:w="2761" w:type="dxa"/>
            <w:shd w:val="clear" w:color="auto" w:fill="auto"/>
          </w:tcPr>
          <w:p w:rsidR="00314A32" w:rsidRPr="000414AD" w:rsidRDefault="00314A32" w:rsidP="006166F1">
            <w:pPr>
              <w:spacing w:after="120"/>
            </w:pPr>
            <w:r>
              <w:t>PE 2519</w:t>
            </w:r>
          </w:p>
        </w:tc>
        <w:tc>
          <w:tcPr>
            <w:tcW w:w="3119" w:type="dxa"/>
            <w:shd w:val="clear" w:color="auto" w:fill="auto"/>
          </w:tcPr>
          <w:p w:rsidR="00314A32" w:rsidRPr="000414AD" w:rsidRDefault="00314A32" w:rsidP="006166F1">
            <w:pPr>
              <w:spacing w:after="120"/>
            </w:pPr>
            <w:r w:rsidRPr="000414AD">
              <w:t>CL 1598/37</w:t>
            </w:r>
          </w:p>
        </w:tc>
      </w:tr>
      <w:tr w:rsidR="00314A32" w:rsidRPr="006E5AFE" w:rsidTr="006166F1">
        <w:tc>
          <w:tcPr>
            <w:tcW w:w="2450" w:type="dxa"/>
            <w:shd w:val="clear" w:color="auto" w:fill="auto"/>
          </w:tcPr>
          <w:p w:rsidR="00314A32" w:rsidRDefault="00314A32" w:rsidP="006166F1">
            <w:pPr>
              <w:spacing w:after="120"/>
            </w:pPr>
            <w:proofErr w:type="spellStart"/>
            <w:r>
              <w:t>Wilpoorinna</w:t>
            </w:r>
            <w:proofErr w:type="spellEnd"/>
            <w:r>
              <w:t xml:space="preserve"> (part)</w:t>
            </w:r>
          </w:p>
        </w:tc>
        <w:tc>
          <w:tcPr>
            <w:tcW w:w="2761" w:type="dxa"/>
            <w:shd w:val="clear" w:color="auto" w:fill="auto"/>
          </w:tcPr>
          <w:p w:rsidR="00314A32" w:rsidRDefault="00314A32" w:rsidP="006166F1">
            <w:pPr>
              <w:spacing w:after="120"/>
            </w:pPr>
            <w:r>
              <w:t>PE 2210</w:t>
            </w:r>
          </w:p>
        </w:tc>
        <w:tc>
          <w:tcPr>
            <w:tcW w:w="3119" w:type="dxa"/>
            <w:shd w:val="clear" w:color="auto" w:fill="auto"/>
          </w:tcPr>
          <w:p w:rsidR="00314A32" w:rsidRPr="000414AD" w:rsidRDefault="00314A32" w:rsidP="006166F1">
            <w:pPr>
              <w:spacing w:after="120"/>
            </w:pPr>
            <w:r>
              <w:t>CL 1287/6</w:t>
            </w:r>
          </w:p>
        </w:tc>
      </w:tr>
    </w:tbl>
    <w:p w:rsidR="00314A32" w:rsidRDefault="00314A32" w:rsidP="00314A32">
      <w:pPr>
        <w:spacing w:after="240"/>
      </w:pPr>
    </w:p>
    <w:p w:rsidR="00314A32" w:rsidRDefault="00314A32" w:rsidP="00314A32">
      <w:pPr>
        <w:spacing w:after="240"/>
        <w:sectPr w:rsidR="00314A32" w:rsidSect="005B5FEF">
          <w:endnotePr>
            <w:numFmt w:val="decimal"/>
          </w:endnotePr>
          <w:pgSz w:w="11907" w:h="16840" w:code="9"/>
          <w:pgMar w:top="1440" w:right="1440" w:bottom="1440" w:left="1440" w:header="851" w:footer="851" w:gutter="0"/>
          <w:cols w:space="720"/>
          <w:noEndnote/>
          <w:titlePg/>
        </w:sectPr>
      </w:pPr>
    </w:p>
    <w:p w:rsidR="00304845" w:rsidRPr="00696775" w:rsidRDefault="00304845" w:rsidP="00304845">
      <w:pPr>
        <w:spacing w:after="120"/>
        <w:rPr>
          <w:b/>
        </w:rPr>
      </w:pPr>
      <w:r>
        <w:rPr>
          <w:b/>
        </w:rPr>
        <w:lastRenderedPageBreak/>
        <w:t>SCHEDULE 5</w:t>
      </w:r>
      <w:r w:rsidRPr="00696775">
        <w:rPr>
          <w:b/>
        </w:rPr>
        <w:t xml:space="preserve"> – The Memorandum of Understanding between the </w:t>
      </w:r>
      <w:proofErr w:type="spellStart"/>
      <w:r w:rsidRPr="00696775">
        <w:rPr>
          <w:b/>
          <w:sz w:val="23"/>
        </w:rPr>
        <w:t>Adnyamathanha</w:t>
      </w:r>
      <w:proofErr w:type="spellEnd"/>
      <w:r w:rsidRPr="00696775">
        <w:rPr>
          <w:b/>
        </w:rPr>
        <w:t xml:space="preserve"> People and the </w:t>
      </w:r>
      <w:proofErr w:type="spellStart"/>
      <w:r w:rsidRPr="00696775">
        <w:rPr>
          <w:b/>
        </w:rPr>
        <w:t>Dieri</w:t>
      </w:r>
      <w:proofErr w:type="spellEnd"/>
      <w:r w:rsidRPr="00696775">
        <w:rPr>
          <w:b/>
        </w:rPr>
        <w:t xml:space="preserve"> People</w:t>
      </w:r>
    </w:p>
    <w:p w:rsidR="00304845" w:rsidRPr="00696775" w:rsidRDefault="00304845" w:rsidP="00304845">
      <w:pPr>
        <w:spacing w:after="120"/>
        <w:rPr>
          <w:b/>
        </w:rPr>
      </w:pPr>
    </w:p>
    <w:p w:rsidR="00D16B0E" w:rsidRDefault="00304845" w:rsidP="00304845">
      <w:pPr>
        <w:spacing w:after="120"/>
      </w:pPr>
      <w:r w:rsidRPr="00696775">
        <w:rPr>
          <w:b/>
        </w:rPr>
        <w:t>“Annexure A”:</w:t>
      </w:r>
      <w:r w:rsidRPr="00696775">
        <w:t xml:space="preserve"> The Memorandum of Understanding between </w:t>
      </w:r>
      <w:proofErr w:type="spellStart"/>
      <w:r w:rsidRPr="00696775">
        <w:rPr>
          <w:sz w:val="23"/>
        </w:rPr>
        <w:t>Adnyamathanha</w:t>
      </w:r>
      <w:proofErr w:type="spellEnd"/>
      <w:r w:rsidRPr="00696775">
        <w:t xml:space="preserve"> native title claim group and </w:t>
      </w:r>
      <w:proofErr w:type="spellStart"/>
      <w:r w:rsidRPr="00696775">
        <w:t>Dieri</w:t>
      </w:r>
      <w:proofErr w:type="spellEnd"/>
      <w:r w:rsidRPr="00696775">
        <w:t xml:space="preserve"> native title claim group dated 29 July 2013 (varying Agreement dated 20 Ju</w:t>
      </w:r>
      <w:r>
        <w:t>ne</w:t>
      </w:r>
      <w:r w:rsidRPr="00696775">
        <w:t xml:space="preserve"> 2006 – see “</w:t>
      </w:r>
      <w:r w:rsidRPr="0054573D">
        <w:rPr>
          <w:b/>
        </w:rPr>
        <w:t>Annexure B</w:t>
      </w:r>
      <w:r w:rsidRPr="00696775">
        <w:t>”, as redacted).</w:t>
      </w:r>
    </w:p>
    <w:p w:rsidR="00304845" w:rsidRPr="00696775" w:rsidRDefault="00D16B0E" w:rsidP="00304845">
      <w:pPr>
        <w:spacing w:after="120"/>
      </w:pPr>
      <w:r>
        <w:rPr>
          <w:noProof/>
          <w:lang w:eastAsia="en-AU"/>
        </w:rPr>
        <w:lastRenderedPageBreak/>
        <w:drawing>
          <wp:inline distT="0" distB="0" distL="0" distR="0">
            <wp:extent cx="5732145" cy="809879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Jpeg"/>
                    <pic:cNvPicPr/>
                  </pic:nvPicPr>
                  <pic:blipFill>
                    <a:blip r:embed="rId16">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Jpeg"/>
                    <pic:cNvPicPr/>
                  </pic:nvPicPr>
                  <pic:blipFill>
                    <a:blip r:embed="rId17">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3.Jpeg"/>
                    <pic:cNvPicPr/>
                  </pic:nvPicPr>
                  <pic:blipFill>
                    <a:blip r:embed="rId18">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4.Jpeg"/>
                    <pic:cNvPicPr/>
                  </pic:nvPicPr>
                  <pic:blipFill>
                    <a:blip r:embed="rId19">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5.Jpeg"/>
                    <pic:cNvPicPr/>
                  </pic:nvPicPr>
                  <pic:blipFill>
                    <a:blip r:embed="rId20">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6.Jpeg"/>
                    <pic:cNvPicPr/>
                  </pic:nvPicPr>
                  <pic:blipFill>
                    <a:blip r:embed="rId21">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7.Jpeg"/>
                    <pic:cNvPicPr/>
                  </pic:nvPicPr>
                  <pic:blipFill>
                    <a:blip r:embed="rId22">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p>
    <w:p w:rsidR="005B5FEF" w:rsidRDefault="005B5FEF" w:rsidP="00304845">
      <w:pPr>
        <w:spacing w:after="120"/>
        <w:sectPr w:rsidR="005B5FEF" w:rsidSect="005B5FEF">
          <w:endnotePr>
            <w:numFmt w:val="decimal"/>
          </w:endnotePr>
          <w:pgSz w:w="11907" w:h="16840" w:code="9"/>
          <w:pgMar w:top="1440" w:right="1440" w:bottom="1440" w:left="1440" w:header="851" w:footer="851" w:gutter="0"/>
          <w:cols w:space="720"/>
          <w:noEndnote/>
          <w:titlePg/>
        </w:sectPr>
      </w:pPr>
    </w:p>
    <w:p w:rsidR="005B5FEF" w:rsidRPr="00696775" w:rsidRDefault="005B5FEF" w:rsidP="005B5FEF">
      <w:pPr>
        <w:spacing w:after="120"/>
        <w:rPr>
          <w:b/>
        </w:rPr>
      </w:pPr>
      <w:r>
        <w:rPr>
          <w:b/>
        </w:rPr>
        <w:lastRenderedPageBreak/>
        <w:t>SCHEDULE 5</w:t>
      </w:r>
      <w:r w:rsidRPr="00696775">
        <w:rPr>
          <w:b/>
        </w:rPr>
        <w:t xml:space="preserve"> – The Memorandum of Understanding between the </w:t>
      </w:r>
      <w:proofErr w:type="spellStart"/>
      <w:r w:rsidRPr="00696775">
        <w:rPr>
          <w:b/>
          <w:sz w:val="23"/>
        </w:rPr>
        <w:t>Adnyamathanha</w:t>
      </w:r>
      <w:proofErr w:type="spellEnd"/>
      <w:r w:rsidRPr="00696775">
        <w:rPr>
          <w:b/>
        </w:rPr>
        <w:t xml:space="preserve"> People and the </w:t>
      </w:r>
      <w:proofErr w:type="spellStart"/>
      <w:r w:rsidRPr="00696775">
        <w:rPr>
          <w:b/>
        </w:rPr>
        <w:t>Dieri</w:t>
      </w:r>
      <w:proofErr w:type="spellEnd"/>
      <w:r w:rsidRPr="00696775">
        <w:rPr>
          <w:b/>
        </w:rPr>
        <w:t xml:space="preserve"> People</w:t>
      </w:r>
    </w:p>
    <w:p w:rsidR="005B5FEF" w:rsidRPr="00696775" w:rsidRDefault="005B5FEF" w:rsidP="005B5FEF">
      <w:pPr>
        <w:spacing w:after="120"/>
        <w:rPr>
          <w:b/>
        </w:rPr>
      </w:pPr>
    </w:p>
    <w:p w:rsidR="00304845" w:rsidRDefault="00304845" w:rsidP="00304845">
      <w:pPr>
        <w:spacing w:after="120"/>
      </w:pPr>
      <w:r w:rsidRPr="00696775">
        <w:rPr>
          <w:b/>
        </w:rPr>
        <w:t>“Annexure B”:</w:t>
      </w:r>
      <w:r w:rsidRPr="00696775">
        <w:t xml:space="preserve"> Agreement dated 20 </w:t>
      </w:r>
      <w:r>
        <w:t>June</w:t>
      </w:r>
      <w:r w:rsidRPr="00696775">
        <w:t xml:space="preserve"> 2006 between </w:t>
      </w:r>
      <w:proofErr w:type="spellStart"/>
      <w:r w:rsidRPr="00696775">
        <w:rPr>
          <w:sz w:val="23"/>
        </w:rPr>
        <w:t>Adnyamathanha</w:t>
      </w:r>
      <w:proofErr w:type="spellEnd"/>
      <w:r w:rsidRPr="00696775">
        <w:t xml:space="preserve"> native title claim group and </w:t>
      </w:r>
      <w:proofErr w:type="spellStart"/>
      <w:r w:rsidRPr="00696775">
        <w:t>Dieri</w:t>
      </w:r>
      <w:proofErr w:type="spellEnd"/>
      <w:r w:rsidRPr="00696775">
        <w:t xml:space="preserve"> native title claim group, with clause 5 redacted.</w:t>
      </w:r>
    </w:p>
    <w:p w:rsidR="00314A32" w:rsidRDefault="00314A32" w:rsidP="00314A32">
      <w:pPr>
        <w:spacing w:after="240"/>
      </w:pPr>
    </w:p>
    <w:p w:rsidR="00314A32" w:rsidRDefault="00D16B0E" w:rsidP="00314A32">
      <w:pPr>
        <w:spacing w:after="240"/>
        <w:sectPr w:rsidR="00314A32" w:rsidSect="005B5FEF">
          <w:endnotePr>
            <w:numFmt w:val="decimal"/>
          </w:endnotePr>
          <w:pgSz w:w="11907" w:h="16840" w:code="9"/>
          <w:pgMar w:top="1440" w:right="1440" w:bottom="1440" w:left="1440" w:header="851" w:footer="851" w:gutter="0"/>
          <w:cols w:space="720"/>
          <w:noEndnote/>
          <w:titlePg/>
        </w:sectPr>
      </w:pPr>
      <w:r>
        <w:rPr>
          <w:noProof/>
          <w:lang w:eastAsia="en-AU"/>
        </w:rPr>
        <w:lastRenderedPageBreak/>
        <w:drawing>
          <wp:inline distT="0" distB="0" distL="0" distR="0">
            <wp:extent cx="5732145" cy="8098790"/>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1.Jpeg"/>
                    <pic:cNvPicPr/>
                  </pic:nvPicPr>
                  <pic:blipFill>
                    <a:blip r:embed="rId23">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2.Jpeg"/>
                    <pic:cNvPicPr/>
                  </pic:nvPicPr>
                  <pic:blipFill>
                    <a:blip r:embed="rId24">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3.Jpeg"/>
                    <pic:cNvPicPr/>
                  </pic:nvPicPr>
                  <pic:blipFill>
                    <a:blip r:embed="rId25">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4.Jpeg"/>
                    <pic:cNvPicPr/>
                  </pic:nvPicPr>
                  <pic:blipFill>
                    <a:blip r:embed="rId26">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5.Jpeg"/>
                    <pic:cNvPicPr/>
                  </pic:nvPicPr>
                  <pic:blipFill>
                    <a:blip r:embed="rId27">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6.Jpeg"/>
                    <pic:cNvPicPr/>
                  </pic:nvPicPr>
                  <pic:blipFill>
                    <a:blip r:embed="rId28">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7.Jpeg"/>
                    <pic:cNvPicPr/>
                  </pic:nvPicPr>
                  <pic:blipFill>
                    <a:blip r:embed="rId29">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8.Jpeg"/>
                    <pic:cNvPicPr/>
                  </pic:nvPicPr>
                  <pic:blipFill>
                    <a:blip r:embed="rId30">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9.Jpeg"/>
                    <pic:cNvPicPr/>
                  </pic:nvPicPr>
                  <pic:blipFill>
                    <a:blip r:embed="rId31">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0.Jpeg"/>
                    <pic:cNvPicPr/>
                  </pic:nvPicPr>
                  <pic:blipFill>
                    <a:blip r:embed="rId32">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1.Jpeg"/>
                    <pic:cNvPicPr/>
                  </pic:nvPicPr>
                  <pic:blipFill>
                    <a:blip r:embed="rId33">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2.Jpeg"/>
                    <pic:cNvPicPr/>
                  </pic:nvPicPr>
                  <pic:blipFill>
                    <a:blip r:embed="rId34">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3.Jpeg"/>
                    <pic:cNvPicPr/>
                  </pic:nvPicPr>
                  <pic:blipFill>
                    <a:blip r:embed="rId35">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4.Jpeg"/>
                    <pic:cNvPicPr/>
                  </pic:nvPicPr>
                  <pic:blipFill>
                    <a:blip r:embed="rId36">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5.Jpeg"/>
                    <pic:cNvPicPr/>
                  </pic:nvPicPr>
                  <pic:blipFill>
                    <a:blip r:embed="rId37">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6.Jpeg"/>
                    <pic:cNvPicPr/>
                  </pic:nvPicPr>
                  <pic:blipFill>
                    <a:blip r:embed="rId38">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7.Jpeg"/>
                    <pic:cNvPicPr/>
                  </pic:nvPicPr>
                  <pic:blipFill>
                    <a:blip r:embed="rId39">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8.Jpeg"/>
                    <pic:cNvPicPr/>
                  </pic:nvPicPr>
                  <pic:blipFill>
                    <a:blip r:embed="rId40">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Jpeg"/>
                    <pic:cNvPicPr/>
                  </pic:nvPicPr>
                  <pic:blipFill>
                    <a:blip r:embed="rId41">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0.Jpeg"/>
                    <pic:cNvPicPr/>
                  </pic:nvPicPr>
                  <pic:blipFill>
                    <a:blip r:embed="rId42">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Jpeg"/>
                    <pic:cNvPicPr/>
                  </pic:nvPicPr>
                  <pic:blipFill>
                    <a:blip r:embed="rId43">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2.Jpeg"/>
                    <pic:cNvPicPr/>
                  </pic:nvPicPr>
                  <pic:blipFill>
                    <a:blip r:embed="rId44">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3.Jpeg"/>
                    <pic:cNvPicPr/>
                  </pic:nvPicPr>
                  <pic:blipFill>
                    <a:blip r:embed="rId45">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4.Jpeg"/>
                    <pic:cNvPicPr/>
                  </pic:nvPicPr>
                  <pic:blipFill>
                    <a:blip r:embed="rId46">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p>
    <w:p w:rsidR="00304845" w:rsidRDefault="00304845" w:rsidP="00304845">
      <w:pPr>
        <w:spacing w:after="120"/>
        <w:rPr>
          <w:b/>
        </w:rPr>
      </w:pPr>
      <w:r>
        <w:rPr>
          <w:b/>
        </w:rPr>
        <w:lastRenderedPageBreak/>
        <w:t>SCHEDULE 6</w:t>
      </w:r>
      <w:r w:rsidRPr="00696775">
        <w:rPr>
          <w:b/>
        </w:rPr>
        <w:t xml:space="preserve"> – The </w:t>
      </w:r>
      <w:r>
        <w:rPr>
          <w:b/>
        </w:rPr>
        <w:t>terms of the Consent Determination to be made in favour of</w:t>
      </w:r>
      <w:r w:rsidRPr="00696775">
        <w:rPr>
          <w:b/>
        </w:rPr>
        <w:t xml:space="preserve"> the </w:t>
      </w:r>
      <w:proofErr w:type="spellStart"/>
      <w:r w:rsidRPr="00696775">
        <w:rPr>
          <w:b/>
          <w:sz w:val="23"/>
        </w:rPr>
        <w:t>Adnyamathanha</w:t>
      </w:r>
      <w:proofErr w:type="spellEnd"/>
      <w:r w:rsidRPr="00696775">
        <w:rPr>
          <w:b/>
        </w:rPr>
        <w:t xml:space="preserve"> People </w:t>
      </w:r>
      <w:r>
        <w:rPr>
          <w:b/>
        </w:rPr>
        <w:t xml:space="preserve">in the remainder of the </w:t>
      </w:r>
      <w:proofErr w:type="spellStart"/>
      <w:r>
        <w:rPr>
          <w:b/>
        </w:rPr>
        <w:t>Dieri</w:t>
      </w:r>
      <w:proofErr w:type="spellEnd"/>
      <w:r>
        <w:rPr>
          <w:b/>
        </w:rPr>
        <w:t xml:space="preserve"> No</w:t>
      </w:r>
      <w:r w:rsidR="002C1D41">
        <w:rPr>
          <w:b/>
        </w:rPr>
        <w:t xml:space="preserve"> </w:t>
      </w:r>
      <w:r>
        <w:rPr>
          <w:b/>
        </w:rPr>
        <w:t>2 Claim Area</w:t>
      </w:r>
    </w:p>
    <w:p w:rsidR="008A43A4" w:rsidRDefault="008A43A4" w:rsidP="00304845">
      <w:pPr>
        <w:spacing w:after="120"/>
        <w:rPr>
          <w:b/>
        </w:rPr>
      </w:pPr>
    </w:p>
    <w:tbl>
      <w:tblPr>
        <w:tblW w:w="0" w:type="auto"/>
        <w:tblLayout w:type="fixed"/>
        <w:tblLook w:val="0000" w:firstRow="0" w:lastRow="0" w:firstColumn="0" w:lastColumn="0" w:noHBand="0" w:noVBand="0"/>
      </w:tblPr>
      <w:tblGrid>
        <w:gridCol w:w="6771"/>
        <w:gridCol w:w="2471"/>
      </w:tblGrid>
      <w:tr w:rsidR="008A43A4" w:rsidTr="00246886">
        <w:tc>
          <w:tcPr>
            <w:tcW w:w="6771" w:type="dxa"/>
          </w:tcPr>
          <w:p w:rsidR="008A43A4" w:rsidRDefault="008A43A4" w:rsidP="00246886">
            <w:pPr>
              <w:pStyle w:val="NormalHeadings"/>
              <w:spacing w:after="120"/>
              <w:jc w:val="left"/>
              <w:rPr>
                <w:caps/>
                <w:szCs w:val="24"/>
              </w:rPr>
            </w:pPr>
            <w:r>
              <w:rPr>
                <w:caps/>
                <w:szCs w:val="24"/>
              </w:rPr>
              <w:t>IN THE FEDERAL COURT OF AUSTRALIA</w:t>
            </w:r>
          </w:p>
        </w:tc>
        <w:tc>
          <w:tcPr>
            <w:tcW w:w="2471" w:type="dxa"/>
          </w:tcPr>
          <w:p w:rsidR="008A43A4" w:rsidRDefault="008A43A4" w:rsidP="00246886">
            <w:pPr>
              <w:pStyle w:val="NormalHeadings"/>
              <w:jc w:val="left"/>
              <w:rPr>
                <w:caps/>
                <w:szCs w:val="24"/>
              </w:rPr>
            </w:pPr>
          </w:p>
        </w:tc>
      </w:tr>
      <w:tr w:rsidR="008A43A4" w:rsidTr="00246886">
        <w:tc>
          <w:tcPr>
            <w:tcW w:w="6771" w:type="dxa"/>
          </w:tcPr>
          <w:p w:rsidR="008A43A4" w:rsidRDefault="008A43A4" w:rsidP="00246886">
            <w:pPr>
              <w:pStyle w:val="NormalHeadings"/>
              <w:spacing w:after="120"/>
              <w:jc w:val="left"/>
              <w:rPr>
                <w:caps/>
                <w:szCs w:val="24"/>
              </w:rPr>
            </w:pPr>
            <w:bookmarkStart w:id="12" w:name="State"/>
            <w:r>
              <w:rPr>
                <w:caps/>
                <w:szCs w:val="24"/>
              </w:rPr>
              <w:t>SOUTH AUSTRALIA</w:t>
            </w:r>
            <w:bookmarkEnd w:id="12"/>
            <w:r>
              <w:rPr>
                <w:caps/>
                <w:szCs w:val="24"/>
              </w:rPr>
              <w:t xml:space="preserve"> DISTRICT REGISTRY</w:t>
            </w:r>
          </w:p>
        </w:tc>
        <w:tc>
          <w:tcPr>
            <w:tcW w:w="2471" w:type="dxa"/>
          </w:tcPr>
          <w:p w:rsidR="008A43A4" w:rsidRDefault="008A43A4" w:rsidP="00246886">
            <w:pPr>
              <w:pStyle w:val="NormalHeadings"/>
              <w:tabs>
                <w:tab w:val="right" w:pos="3609"/>
              </w:tabs>
              <w:jc w:val="right"/>
              <w:rPr>
                <w:szCs w:val="24"/>
              </w:rPr>
            </w:pPr>
          </w:p>
        </w:tc>
      </w:tr>
      <w:tr w:rsidR="008A43A4" w:rsidTr="00246886">
        <w:tc>
          <w:tcPr>
            <w:tcW w:w="6771" w:type="dxa"/>
          </w:tcPr>
          <w:p w:rsidR="008A43A4" w:rsidRDefault="008A43A4" w:rsidP="00246886">
            <w:pPr>
              <w:pStyle w:val="NormalHeadings"/>
              <w:spacing w:after="120"/>
              <w:jc w:val="left"/>
              <w:rPr>
                <w:caps/>
                <w:szCs w:val="24"/>
              </w:rPr>
            </w:pPr>
            <w:bookmarkStart w:id="13" w:name="Division"/>
            <w:r>
              <w:rPr>
                <w:caps/>
                <w:szCs w:val="24"/>
              </w:rPr>
              <w:t>GENERAL DIVISION</w:t>
            </w:r>
            <w:bookmarkEnd w:id="13"/>
          </w:p>
        </w:tc>
        <w:tc>
          <w:tcPr>
            <w:tcW w:w="2471" w:type="dxa"/>
          </w:tcPr>
          <w:p w:rsidR="008A43A4" w:rsidRDefault="008A43A4" w:rsidP="00246886">
            <w:pPr>
              <w:pStyle w:val="NormalHeadings"/>
              <w:tabs>
                <w:tab w:val="right" w:pos="3609"/>
              </w:tabs>
              <w:jc w:val="right"/>
              <w:rPr>
                <w:szCs w:val="24"/>
              </w:rPr>
            </w:pPr>
            <w:bookmarkStart w:id="14" w:name="Num"/>
            <w:r>
              <w:rPr>
                <w:szCs w:val="24"/>
              </w:rPr>
              <w:t>SAD 6001 of 1998</w:t>
            </w:r>
            <w:bookmarkEnd w:id="14"/>
          </w:p>
        </w:tc>
      </w:tr>
    </w:tbl>
    <w:p w:rsidR="008A43A4" w:rsidRDefault="008A43A4" w:rsidP="008A43A4">
      <w:pPr>
        <w:tabs>
          <w:tab w:val="left" w:pos="-720"/>
        </w:tabs>
        <w:suppressAutoHyphens/>
        <w:spacing w:line="240" w:lineRule="auto"/>
        <w:rPr>
          <w:b/>
          <w:noProof/>
        </w:rPr>
      </w:pPr>
    </w:p>
    <w:p w:rsidR="008A43A4" w:rsidRDefault="008A43A4" w:rsidP="008A43A4">
      <w:pPr>
        <w:tabs>
          <w:tab w:val="left" w:pos="-720"/>
        </w:tabs>
        <w:suppressAutoHyphens/>
        <w:spacing w:line="240" w:lineRule="auto"/>
        <w:rPr>
          <w:b/>
          <w:noProof/>
        </w:rPr>
      </w:pPr>
      <w:r w:rsidRPr="00723C85">
        <w:rPr>
          <w:b/>
          <w:noProof/>
        </w:rPr>
        <w:t xml:space="preserve">ADNYAMATHANHA </w:t>
      </w:r>
      <w:r>
        <w:rPr>
          <w:b/>
          <w:noProof/>
        </w:rPr>
        <w:t>NATIVE TITLE CLAIM</w:t>
      </w:r>
    </w:p>
    <w:p w:rsidR="008A43A4" w:rsidRDefault="008A43A4" w:rsidP="008A43A4">
      <w:pPr>
        <w:tabs>
          <w:tab w:val="left" w:pos="-720"/>
        </w:tabs>
        <w:suppressAutoHyphens/>
        <w:spacing w:line="240" w:lineRule="auto"/>
        <w:rPr>
          <w:b/>
          <w:noProof/>
        </w:rPr>
      </w:pPr>
    </w:p>
    <w:tbl>
      <w:tblPr>
        <w:tblW w:w="0" w:type="auto"/>
        <w:tblLayout w:type="fixed"/>
        <w:tblLook w:val="0000" w:firstRow="0" w:lastRow="0" w:firstColumn="0" w:lastColumn="0" w:noHBand="0" w:noVBand="0"/>
      </w:tblPr>
      <w:tblGrid>
        <w:gridCol w:w="2376"/>
        <w:gridCol w:w="6866"/>
      </w:tblGrid>
      <w:tr w:rsidR="008A43A4" w:rsidTr="00246886">
        <w:trPr>
          <w:trHeight w:val="386"/>
        </w:trPr>
        <w:tc>
          <w:tcPr>
            <w:tcW w:w="2376" w:type="dxa"/>
          </w:tcPr>
          <w:p w:rsidR="008A43A4" w:rsidRDefault="008A43A4" w:rsidP="00246886">
            <w:pPr>
              <w:pStyle w:val="NormalHeadings"/>
              <w:jc w:val="left"/>
              <w:rPr>
                <w:caps/>
                <w:szCs w:val="24"/>
              </w:rPr>
            </w:pPr>
            <w:bookmarkStart w:id="15" w:name="Parties"/>
            <w:r>
              <w:rPr>
                <w:caps/>
                <w:szCs w:val="24"/>
              </w:rPr>
              <w:t>BETWEEN:</w:t>
            </w:r>
          </w:p>
        </w:tc>
        <w:tc>
          <w:tcPr>
            <w:tcW w:w="6866" w:type="dxa"/>
          </w:tcPr>
          <w:p w:rsidR="008A43A4" w:rsidRDefault="008A43A4" w:rsidP="00246886">
            <w:pPr>
              <w:pStyle w:val="NormalHeadings"/>
              <w:jc w:val="left"/>
              <w:rPr>
                <w:szCs w:val="24"/>
              </w:rPr>
            </w:pPr>
            <w:bookmarkStart w:id="16" w:name="Applicant"/>
            <w:r>
              <w:rPr>
                <w:szCs w:val="24"/>
              </w:rPr>
              <w:t xml:space="preserve">VINCENT </w:t>
            </w:r>
            <w:proofErr w:type="spellStart"/>
            <w:r>
              <w:rPr>
                <w:szCs w:val="24"/>
              </w:rPr>
              <w:t>COULTHARD</w:t>
            </w:r>
            <w:proofErr w:type="spellEnd"/>
            <w:r>
              <w:rPr>
                <w:szCs w:val="24"/>
              </w:rPr>
              <w:t xml:space="preserve"> AND OTHERS NAMED IN THE SCHEDULE OF PARTIES</w:t>
            </w:r>
          </w:p>
          <w:p w:rsidR="008A43A4" w:rsidRDefault="008A43A4" w:rsidP="00246886">
            <w:pPr>
              <w:pStyle w:val="NormalHeadings"/>
              <w:jc w:val="left"/>
              <w:rPr>
                <w:szCs w:val="24"/>
              </w:rPr>
            </w:pPr>
            <w:r>
              <w:rPr>
                <w:szCs w:val="24"/>
              </w:rPr>
              <w:t>Applicant</w:t>
            </w:r>
          </w:p>
          <w:bookmarkEnd w:id="16"/>
          <w:p w:rsidR="008A43A4" w:rsidRDefault="008A43A4" w:rsidP="00246886">
            <w:pPr>
              <w:pStyle w:val="NormalHeadings"/>
              <w:jc w:val="left"/>
              <w:rPr>
                <w:szCs w:val="24"/>
              </w:rPr>
            </w:pPr>
          </w:p>
        </w:tc>
      </w:tr>
      <w:tr w:rsidR="008A43A4" w:rsidTr="00246886">
        <w:trPr>
          <w:trHeight w:val="386"/>
        </w:trPr>
        <w:tc>
          <w:tcPr>
            <w:tcW w:w="2376" w:type="dxa"/>
          </w:tcPr>
          <w:p w:rsidR="008A43A4" w:rsidRDefault="008A43A4" w:rsidP="00246886">
            <w:pPr>
              <w:pStyle w:val="NormalHeadings"/>
              <w:jc w:val="left"/>
              <w:rPr>
                <w:caps/>
                <w:szCs w:val="24"/>
              </w:rPr>
            </w:pPr>
            <w:r>
              <w:rPr>
                <w:caps/>
                <w:szCs w:val="24"/>
              </w:rPr>
              <w:t>AND:</w:t>
            </w:r>
          </w:p>
        </w:tc>
        <w:tc>
          <w:tcPr>
            <w:tcW w:w="6866" w:type="dxa"/>
          </w:tcPr>
          <w:p w:rsidR="008A43A4" w:rsidRDefault="008A43A4" w:rsidP="00246886">
            <w:pPr>
              <w:pStyle w:val="NormalHeadings"/>
              <w:jc w:val="left"/>
              <w:rPr>
                <w:szCs w:val="24"/>
              </w:rPr>
            </w:pPr>
            <w:bookmarkStart w:id="17" w:name="Respondent"/>
            <w:r>
              <w:rPr>
                <w:szCs w:val="24"/>
              </w:rPr>
              <w:t>STATE OF SOUTH AUSTRALIA AND OTHERS NAMED IN THE SCHEDULE OF PARTIES</w:t>
            </w:r>
          </w:p>
          <w:p w:rsidR="008A43A4" w:rsidRDefault="008A43A4" w:rsidP="00246886">
            <w:pPr>
              <w:pStyle w:val="NormalHeadings"/>
              <w:jc w:val="left"/>
              <w:rPr>
                <w:szCs w:val="24"/>
              </w:rPr>
            </w:pPr>
            <w:r>
              <w:rPr>
                <w:szCs w:val="24"/>
              </w:rPr>
              <w:t>Respondent</w:t>
            </w:r>
          </w:p>
          <w:bookmarkEnd w:id="17"/>
          <w:p w:rsidR="008A43A4" w:rsidRDefault="008A43A4" w:rsidP="00246886">
            <w:pPr>
              <w:pStyle w:val="NormalHeadings"/>
              <w:jc w:val="left"/>
              <w:rPr>
                <w:szCs w:val="24"/>
              </w:rPr>
            </w:pPr>
          </w:p>
        </w:tc>
      </w:tr>
      <w:bookmarkEnd w:id="15"/>
    </w:tbl>
    <w:p w:rsidR="008A43A4" w:rsidRDefault="008A43A4" w:rsidP="008A43A4">
      <w:pPr>
        <w:pStyle w:val="NormalHeadings"/>
      </w:pPr>
    </w:p>
    <w:tbl>
      <w:tblPr>
        <w:tblW w:w="0" w:type="auto"/>
        <w:tblLayout w:type="fixed"/>
        <w:tblLook w:val="0000" w:firstRow="0" w:lastRow="0" w:firstColumn="0" w:lastColumn="0" w:noHBand="0" w:noVBand="0"/>
      </w:tblPr>
      <w:tblGrid>
        <w:gridCol w:w="2376"/>
        <w:gridCol w:w="6866"/>
      </w:tblGrid>
      <w:tr w:rsidR="008A43A4" w:rsidTr="00246886">
        <w:tc>
          <w:tcPr>
            <w:tcW w:w="2376" w:type="dxa"/>
          </w:tcPr>
          <w:p w:rsidR="008A43A4" w:rsidRDefault="008A43A4" w:rsidP="00246886">
            <w:pPr>
              <w:pStyle w:val="NormalHeadings"/>
              <w:spacing w:after="120"/>
              <w:jc w:val="left"/>
              <w:rPr>
                <w:caps/>
                <w:szCs w:val="24"/>
              </w:rPr>
            </w:pPr>
            <w:bookmarkStart w:id="18" w:name="JudgeText"/>
            <w:r>
              <w:rPr>
                <w:caps/>
                <w:szCs w:val="24"/>
              </w:rPr>
              <w:t>JUDGE</w:t>
            </w:r>
            <w:bookmarkEnd w:id="18"/>
            <w:r>
              <w:rPr>
                <w:caps/>
                <w:szCs w:val="24"/>
              </w:rPr>
              <w:t>:</w:t>
            </w:r>
          </w:p>
        </w:tc>
        <w:tc>
          <w:tcPr>
            <w:tcW w:w="6866" w:type="dxa"/>
          </w:tcPr>
          <w:p w:rsidR="008A43A4" w:rsidRDefault="008A43A4" w:rsidP="00246886">
            <w:pPr>
              <w:pStyle w:val="NormalHeadings"/>
              <w:jc w:val="left"/>
              <w:rPr>
                <w:caps/>
                <w:szCs w:val="24"/>
              </w:rPr>
            </w:pPr>
            <w:bookmarkStart w:id="19" w:name="Judge"/>
            <w:r>
              <w:rPr>
                <w:caps/>
                <w:szCs w:val="24"/>
              </w:rPr>
              <w:t>WHITE J</w:t>
            </w:r>
            <w:bookmarkEnd w:id="19"/>
          </w:p>
        </w:tc>
      </w:tr>
      <w:tr w:rsidR="008A43A4" w:rsidTr="00246886">
        <w:tc>
          <w:tcPr>
            <w:tcW w:w="2376" w:type="dxa"/>
          </w:tcPr>
          <w:p w:rsidR="008A43A4" w:rsidRDefault="008A43A4" w:rsidP="00246886">
            <w:pPr>
              <w:pStyle w:val="NormalHeadings"/>
              <w:spacing w:after="120"/>
              <w:jc w:val="left"/>
              <w:rPr>
                <w:caps/>
                <w:szCs w:val="24"/>
              </w:rPr>
            </w:pPr>
            <w:r>
              <w:rPr>
                <w:caps/>
                <w:szCs w:val="24"/>
              </w:rPr>
              <w:t>DATE OF ORDER:</w:t>
            </w:r>
          </w:p>
        </w:tc>
        <w:tc>
          <w:tcPr>
            <w:tcW w:w="6866" w:type="dxa"/>
          </w:tcPr>
          <w:p w:rsidR="008A43A4" w:rsidRDefault="008A43A4" w:rsidP="00246886">
            <w:pPr>
              <w:pStyle w:val="NormalHeadings"/>
              <w:jc w:val="left"/>
              <w:rPr>
                <w:caps/>
                <w:szCs w:val="24"/>
              </w:rPr>
            </w:pPr>
            <w:bookmarkStart w:id="20" w:name="Judgment_Dated"/>
            <w:r>
              <w:rPr>
                <w:caps/>
                <w:szCs w:val="24"/>
              </w:rPr>
              <w:t>25 february 2014</w:t>
            </w:r>
            <w:bookmarkEnd w:id="20"/>
          </w:p>
        </w:tc>
      </w:tr>
      <w:tr w:rsidR="008A43A4" w:rsidTr="00246886">
        <w:tc>
          <w:tcPr>
            <w:tcW w:w="2376" w:type="dxa"/>
          </w:tcPr>
          <w:p w:rsidR="008A43A4" w:rsidRDefault="008A43A4" w:rsidP="00246886">
            <w:pPr>
              <w:pStyle w:val="NormalHeadings"/>
              <w:spacing w:after="120"/>
              <w:jc w:val="left"/>
              <w:rPr>
                <w:caps/>
                <w:szCs w:val="24"/>
              </w:rPr>
            </w:pPr>
            <w:r>
              <w:rPr>
                <w:caps/>
                <w:szCs w:val="24"/>
              </w:rPr>
              <w:t>WHERE MADE:</w:t>
            </w:r>
          </w:p>
        </w:tc>
        <w:tc>
          <w:tcPr>
            <w:tcW w:w="6866" w:type="dxa"/>
          </w:tcPr>
          <w:p w:rsidR="008A43A4" w:rsidRDefault="008A43A4" w:rsidP="00246886">
            <w:pPr>
              <w:pStyle w:val="NormalHeadings"/>
              <w:jc w:val="left"/>
              <w:rPr>
                <w:caps/>
                <w:szCs w:val="24"/>
              </w:rPr>
            </w:pPr>
            <w:proofErr w:type="spellStart"/>
            <w:r>
              <w:rPr>
                <w:caps/>
                <w:szCs w:val="24"/>
              </w:rPr>
              <w:t>IKARa</w:t>
            </w:r>
            <w:proofErr w:type="spellEnd"/>
          </w:p>
        </w:tc>
      </w:tr>
    </w:tbl>
    <w:p w:rsidR="008A43A4" w:rsidRDefault="008A43A4" w:rsidP="008A43A4">
      <w:pPr>
        <w:pStyle w:val="NormalHeadings"/>
        <w:rPr>
          <w:b w:val="0"/>
        </w:rPr>
      </w:pPr>
    </w:p>
    <w:p w:rsidR="008A43A4" w:rsidRDefault="008A43A4" w:rsidP="008A43A4">
      <w:pPr>
        <w:pStyle w:val="NormalHeadings"/>
      </w:pPr>
      <w:r w:rsidRPr="009931F0">
        <w:t>THE COURT NOTES THAT:</w:t>
      </w:r>
    </w:p>
    <w:p w:rsidR="008A43A4" w:rsidRPr="009931F0" w:rsidRDefault="008A43A4" w:rsidP="008A43A4">
      <w:pPr>
        <w:pStyle w:val="NormalHeadings"/>
      </w:pPr>
    </w:p>
    <w:p w:rsidR="008A43A4" w:rsidRDefault="008A43A4" w:rsidP="008A43A4">
      <w:pPr>
        <w:numPr>
          <w:ilvl w:val="0"/>
          <w:numId w:val="30"/>
        </w:numPr>
        <w:spacing w:before="120" w:after="240"/>
        <w:ind w:left="709" w:hanging="709"/>
        <w:rPr>
          <w:rFonts w:cs="Arial"/>
        </w:rPr>
      </w:pPr>
      <w:r>
        <w:rPr>
          <w:rFonts w:cs="Arial"/>
        </w:rPr>
        <w:t>This determination covers part of the land and waters which:</w:t>
      </w:r>
    </w:p>
    <w:p w:rsidR="008A43A4" w:rsidRDefault="008A43A4" w:rsidP="008A43A4">
      <w:pPr>
        <w:numPr>
          <w:ilvl w:val="2"/>
          <w:numId w:val="30"/>
        </w:numPr>
        <w:spacing w:before="120" w:after="240"/>
        <w:ind w:left="1418" w:hanging="709"/>
        <w:rPr>
          <w:rFonts w:cs="Arial"/>
        </w:rPr>
      </w:pPr>
      <w:r>
        <w:rPr>
          <w:rFonts w:cs="Arial"/>
        </w:rPr>
        <w:t xml:space="preserve">are subject to the </w:t>
      </w:r>
      <w:proofErr w:type="spellStart"/>
      <w:r>
        <w:rPr>
          <w:rFonts w:cs="Arial"/>
        </w:rPr>
        <w:t>Dieri</w:t>
      </w:r>
      <w:proofErr w:type="spellEnd"/>
      <w:r>
        <w:rPr>
          <w:rFonts w:cs="Arial"/>
        </w:rPr>
        <w:t xml:space="preserve"> No 2 Native Title Determination Application (SAD 163 of 2008) (“the </w:t>
      </w:r>
      <w:proofErr w:type="spellStart"/>
      <w:r>
        <w:rPr>
          <w:rFonts w:cs="Arial"/>
        </w:rPr>
        <w:t>Dieri</w:t>
      </w:r>
      <w:proofErr w:type="spellEnd"/>
      <w:r>
        <w:rPr>
          <w:rFonts w:cs="Arial"/>
        </w:rPr>
        <w:t xml:space="preserve"> No 2 Claim”); and</w:t>
      </w:r>
    </w:p>
    <w:p w:rsidR="008A43A4" w:rsidRDefault="008A43A4" w:rsidP="008A43A4">
      <w:pPr>
        <w:numPr>
          <w:ilvl w:val="2"/>
          <w:numId w:val="30"/>
        </w:numPr>
        <w:spacing w:before="120" w:after="240"/>
        <w:ind w:left="1418" w:hanging="709"/>
        <w:rPr>
          <w:rFonts w:cs="Arial"/>
        </w:rPr>
      </w:pPr>
      <w:r>
        <w:rPr>
          <w:rFonts w:cs="Arial"/>
        </w:rPr>
        <w:t xml:space="preserve">form part of the undetermined area of the </w:t>
      </w:r>
      <w:proofErr w:type="spellStart"/>
      <w:r>
        <w:rPr>
          <w:rFonts w:cs="Arial"/>
        </w:rPr>
        <w:t>Adnyamathanha</w:t>
      </w:r>
      <w:proofErr w:type="spellEnd"/>
      <w:r>
        <w:rPr>
          <w:rFonts w:cs="Arial"/>
        </w:rPr>
        <w:t xml:space="preserve"> No 1 Native Title Determination Application (SAD 6001 of 1998) (“the </w:t>
      </w:r>
      <w:proofErr w:type="spellStart"/>
      <w:r w:rsidRPr="00DC17B0">
        <w:rPr>
          <w:rFonts w:cs="Arial"/>
          <w:sz w:val="23"/>
        </w:rPr>
        <w:t>Adnyamathanha</w:t>
      </w:r>
      <w:proofErr w:type="spellEnd"/>
      <w:r>
        <w:rPr>
          <w:rFonts w:cs="Arial"/>
        </w:rPr>
        <w:t xml:space="preserve"> claim”) which overlaps the </w:t>
      </w:r>
      <w:proofErr w:type="spellStart"/>
      <w:r>
        <w:rPr>
          <w:rFonts w:cs="Arial"/>
        </w:rPr>
        <w:t>Dieri</w:t>
      </w:r>
      <w:proofErr w:type="spellEnd"/>
      <w:r>
        <w:rPr>
          <w:rFonts w:cs="Arial"/>
        </w:rPr>
        <w:t xml:space="preserve"> No 2 Claim.</w:t>
      </w:r>
    </w:p>
    <w:p w:rsidR="008A43A4" w:rsidRDefault="008A43A4" w:rsidP="008A43A4">
      <w:pPr>
        <w:numPr>
          <w:ilvl w:val="0"/>
          <w:numId w:val="30"/>
        </w:numPr>
        <w:spacing w:before="120" w:after="240"/>
        <w:ind w:left="709" w:hanging="709"/>
        <w:rPr>
          <w:rFonts w:cs="Arial"/>
        </w:rPr>
      </w:pPr>
      <w:r>
        <w:rPr>
          <w:rFonts w:cs="Arial"/>
        </w:rPr>
        <w:t xml:space="preserve">This determination is being made together with a consent determination over the remaining part of the </w:t>
      </w:r>
      <w:proofErr w:type="spellStart"/>
      <w:r>
        <w:rPr>
          <w:rFonts w:cs="Arial"/>
        </w:rPr>
        <w:t>Dieri</w:t>
      </w:r>
      <w:proofErr w:type="spellEnd"/>
      <w:r>
        <w:rPr>
          <w:rFonts w:cs="Arial"/>
        </w:rPr>
        <w:t xml:space="preserve"> No 2 claim in favour of the </w:t>
      </w:r>
      <w:proofErr w:type="spellStart"/>
      <w:r>
        <w:rPr>
          <w:rFonts w:cs="Arial"/>
        </w:rPr>
        <w:t>Dieri</w:t>
      </w:r>
      <w:proofErr w:type="spellEnd"/>
      <w:r>
        <w:rPr>
          <w:rFonts w:cs="Arial"/>
        </w:rPr>
        <w:t xml:space="preserve"> People.</w:t>
      </w:r>
    </w:p>
    <w:p w:rsidR="008A43A4" w:rsidRDefault="008A43A4" w:rsidP="008A43A4">
      <w:pPr>
        <w:numPr>
          <w:ilvl w:val="0"/>
          <w:numId w:val="30"/>
        </w:numPr>
        <w:spacing w:before="120" w:after="240"/>
        <w:ind w:left="709" w:hanging="709"/>
        <w:rPr>
          <w:rFonts w:cs="Arial"/>
        </w:rPr>
      </w:pPr>
      <w:r>
        <w:rPr>
          <w:rFonts w:cs="Arial"/>
        </w:rPr>
        <w:t xml:space="preserve">The Parties to this determination (“the Parties”) agree that those areas listed in </w:t>
      </w:r>
      <w:r w:rsidRPr="009518FE">
        <w:rPr>
          <w:rFonts w:cs="Arial"/>
        </w:rPr>
        <w:t>Schedule 2</w:t>
      </w:r>
      <w:r>
        <w:rPr>
          <w:rFonts w:cs="Arial"/>
        </w:rPr>
        <w:t xml:space="preserve"> are not included in the Determination Area having been excluded by the  Applicants’ applications for a determination of native title.</w:t>
      </w:r>
    </w:p>
    <w:p w:rsidR="008A43A4" w:rsidRDefault="008A43A4" w:rsidP="008A43A4">
      <w:pPr>
        <w:numPr>
          <w:ilvl w:val="0"/>
          <w:numId w:val="30"/>
        </w:numPr>
        <w:spacing w:before="120" w:after="240"/>
        <w:ind w:left="709" w:hanging="709"/>
        <w:rPr>
          <w:rFonts w:cs="Arial"/>
        </w:rPr>
      </w:pPr>
      <w:r>
        <w:rPr>
          <w:rFonts w:cs="Arial"/>
        </w:rPr>
        <w:lastRenderedPageBreak/>
        <w:t xml:space="preserve">The Parties have now reached agreement as to the terms of a determination of native title to be made in relation to the Determination Area.  They have filed an agreement in writing with this Court pursuant to section </w:t>
      </w:r>
      <w:proofErr w:type="spellStart"/>
      <w:r>
        <w:rPr>
          <w:rFonts w:cs="Arial"/>
        </w:rPr>
        <w:t>87A</w:t>
      </w:r>
      <w:proofErr w:type="spellEnd"/>
      <w:r>
        <w:rPr>
          <w:rFonts w:cs="Arial"/>
        </w:rPr>
        <w:t xml:space="preserve"> (1) of the </w:t>
      </w:r>
      <w:r w:rsidRPr="006C0C40">
        <w:rPr>
          <w:rFonts w:cs="Arial"/>
          <w:i/>
        </w:rPr>
        <w:t>Native Title Act 1993</w:t>
      </w:r>
      <w:r>
        <w:rPr>
          <w:rFonts w:cs="Arial"/>
        </w:rPr>
        <w:t xml:space="preserve"> (</w:t>
      </w:r>
      <w:proofErr w:type="spellStart"/>
      <w:r>
        <w:rPr>
          <w:rFonts w:cs="Arial"/>
        </w:rPr>
        <w:t>Cth</w:t>
      </w:r>
      <w:proofErr w:type="spellEnd"/>
      <w:r>
        <w:rPr>
          <w:rFonts w:cs="Arial"/>
        </w:rPr>
        <w:t>) (“</w:t>
      </w:r>
      <w:r w:rsidRPr="00691B72">
        <w:rPr>
          <w:rFonts w:cs="Arial"/>
        </w:rPr>
        <w:t>the Native Title Act</w:t>
      </w:r>
      <w:r>
        <w:rPr>
          <w:rFonts w:cs="Arial"/>
        </w:rPr>
        <w:t>”) to seek the making of consent orders for a determination.</w:t>
      </w:r>
    </w:p>
    <w:p w:rsidR="008A43A4" w:rsidRPr="00D35549" w:rsidRDefault="008A43A4" w:rsidP="008A43A4">
      <w:pPr>
        <w:numPr>
          <w:ilvl w:val="0"/>
          <w:numId w:val="30"/>
        </w:numPr>
        <w:spacing w:before="120" w:after="240"/>
        <w:ind w:left="709" w:hanging="709"/>
        <w:rPr>
          <w:rFonts w:cs="Arial"/>
        </w:rPr>
      </w:pPr>
      <w:r>
        <w:rPr>
          <w:rFonts w:cs="Arial"/>
        </w:rPr>
        <w:t xml:space="preserve">The Parties acknowledge that the effect of the making of this determination will be that </w:t>
      </w:r>
      <w:r w:rsidRPr="00D35549">
        <w:rPr>
          <w:rFonts w:cs="Arial"/>
        </w:rPr>
        <w:t xml:space="preserve">those </w:t>
      </w:r>
      <w:proofErr w:type="spellStart"/>
      <w:r>
        <w:rPr>
          <w:rFonts w:cs="Arial"/>
        </w:rPr>
        <w:t>Adnyamathanha</w:t>
      </w:r>
      <w:proofErr w:type="spellEnd"/>
      <w:r w:rsidRPr="00D35549">
        <w:rPr>
          <w:rFonts w:cs="Arial"/>
        </w:rPr>
        <w:t xml:space="preserve"> people described in Paragraph 6, in accordance with their traditional laws and customs, will be recognised as the native title holders for the Determination Area</w:t>
      </w:r>
      <w:r>
        <w:rPr>
          <w:rFonts w:cs="Arial"/>
        </w:rPr>
        <w:t>.</w:t>
      </w:r>
    </w:p>
    <w:p w:rsidR="008A43A4" w:rsidRPr="00D35549" w:rsidRDefault="008A43A4" w:rsidP="008A43A4">
      <w:pPr>
        <w:numPr>
          <w:ilvl w:val="0"/>
          <w:numId w:val="30"/>
        </w:numPr>
        <w:spacing w:before="120" w:after="240"/>
        <w:ind w:left="709" w:hanging="709"/>
        <w:rPr>
          <w:rFonts w:cs="Arial"/>
          <w:u w:val="single"/>
        </w:rPr>
      </w:pPr>
      <w:r w:rsidRPr="00696775">
        <w:rPr>
          <w:rFonts w:cs="Arial"/>
        </w:rPr>
        <w:t xml:space="preserve">The Parties have agreed that </w:t>
      </w:r>
      <w:r w:rsidRPr="001F182D">
        <w:rPr>
          <w:rFonts w:cs="Arial"/>
        </w:rPr>
        <w:t xml:space="preserve">the prospective registered native title body corporate in respect of </w:t>
      </w:r>
      <w:r>
        <w:rPr>
          <w:rFonts w:cs="Arial"/>
        </w:rPr>
        <w:t>the</w:t>
      </w:r>
      <w:r w:rsidRPr="001F182D">
        <w:rPr>
          <w:rFonts w:cs="Arial"/>
        </w:rPr>
        <w:t xml:space="preserve"> Determination Area, </w:t>
      </w:r>
      <w:proofErr w:type="spellStart"/>
      <w:r>
        <w:rPr>
          <w:rFonts w:cs="Arial"/>
        </w:rPr>
        <w:t>Adnyamathanha</w:t>
      </w:r>
      <w:proofErr w:type="spellEnd"/>
      <w:r>
        <w:rPr>
          <w:rFonts w:cs="Arial"/>
        </w:rPr>
        <w:t xml:space="preserve"> Traditional Lands Association (Aboriginal Corporation) </w:t>
      </w:r>
      <w:proofErr w:type="spellStart"/>
      <w:r>
        <w:rPr>
          <w:rFonts w:cs="Arial"/>
        </w:rPr>
        <w:t>RNTBC</w:t>
      </w:r>
      <w:proofErr w:type="spellEnd"/>
      <w:r>
        <w:rPr>
          <w:rFonts w:cs="Arial"/>
        </w:rPr>
        <w:t>,</w:t>
      </w:r>
      <w:r w:rsidRPr="00910B75">
        <w:rPr>
          <w:rFonts w:cs="Arial"/>
        </w:rPr>
        <w:t xml:space="preserve"> </w:t>
      </w:r>
      <w:r w:rsidRPr="00D35549">
        <w:rPr>
          <w:rFonts w:cs="Arial"/>
        </w:rPr>
        <w:t xml:space="preserve">may have liberty to apply to seek a variation of the determination of native title in this matter, as it relates to pastoral improvements in </w:t>
      </w:r>
      <w:r>
        <w:rPr>
          <w:rFonts w:cs="Arial"/>
        </w:rPr>
        <w:t>the</w:t>
      </w:r>
      <w:r w:rsidRPr="00D35549">
        <w:rPr>
          <w:rFonts w:cs="Arial"/>
        </w:rPr>
        <w:t xml:space="preserve"> Determination Area in the event that the ruling of the Federal Court of Australia in </w:t>
      </w:r>
      <w:r>
        <w:rPr>
          <w:rFonts w:cs="Arial"/>
          <w:i/>
        </w:rPr>
        <w:t xml:space="preserve">De Rose v South Australia (No </w:t>
      </w:r>
      <w:r w:rsidRPr="00944109">
        <w:rPr>
          <w:rFonts w:cs="Arial"/>
          <w:i/>
        </w:rPr>
        <w:t>2)</w:t>
      </w:r>
      <w:r w:rsidRPr="00D35549">
        <w:rPr>
          <w:rFonts w:cs="Arial"/>
          <w:i/>
        </w:rPr>
        <w:t xml:space="preserve"> </w:t>
      </w:r>
      <w:r w:rsidRPr="00D35549">
        <w:rPr>
          <w:rFonts w:cs="Arial"/>
        </w:rPr>
        <w:t xml:space="preserve">[2005] </w:t>
      </w:r>
      <w:proofErr w:type="spellStart"/>
      <w:r w:rsidRPr="00D35549">
        <w:rPr>
          <w:rFonts w:cs="Arial"/>
        </w:rPr>
        <w:t>FCAFC</w:t>
      </w:r>
      <w:proofErr w:type="spellEnd"/>
      <w:r w:rsidRPr="00D35549">
        <w:rPr>
          <w:rFonts w:cs="Arial"/>
        </w:rPr>
        <w:t xml:space="preserve"> 110; </w:t>
      </w:r>
      <w:r>
        <w:rPr>
          <w:rFonts w:cs="Arial"/>
        </w:rPr>
        <w:t xml:space="preserve">(2005) </w:t>
      </w:r>
      <w:r w:rsidRPr="00D35549">
        <w:rPr>
          <w:rFonts w:cs="Arial"/>
        </w:rPr>
        <w:t xml:space="preserve">145 </w:t>
      </w:r>
      <w:proofErr w:type="spellStart"/>
      <w:r w:rsidRPr="00D35549">
        <w:rPr>
          <w:rFonts w:cs="Arial"/>
        </w:rPr>
        <w:t>FCR</w:t>
      </w:r>
      <w:proofErr w:type="spellEnd"/>
      <w:r w:rsidRPr="00D35549">
        <w:rPr>
          <w:rFonts w:cs="Arial"/>
        </w:rPr>
        <w:t xml:space="preserve"> 290 with respect to pastoral improvements is overturned, set aside or otherwise found to be an incorrect legal ruling by the High Court of Australia in the context of an appeal to the High Court of Australia from the decision of the Federal Court of Australia in </w:t>
      </w:r>
      <w:r w:rsidRPr="00944109">
        <w:rPr>
          <w:rFonts w:cs="Arial"/>
          <w:i/>
        </w:rPr>
        <w:t xml:space="preserve">Brown (on behalf of the </w:t>
      </w:r>
      <w:proofErr w:type="spellStart"/>
      <w:r w:rsidRPr="00944109">
        <w:rPr>
          <w:rFonts w:cs="Arial"/>
          <w:i/>
        </w:rPr>
        <w:t>Ngarla</w:t>
      </w:r>
      <w:proofErr w:type="spellEnd"/>
      <w:r w:rsidRPr="00944109">
        <w:rPr>
          <w:rFonts w:cs="Arial"/>
          <w:i/>
        </w:rPr>
        <w:t xml:space="preserve"> People) v State of Western Australia </w:t>
      </w:r>
      <w:r w:rsidRPr="00D35549">
        <w:rPr>
          <w:rFonts w:cs="Arial"/>
        </w:rPr>
        <w:t xml:space="preserve">[2012] </w:t>
      </w:r>
      <w:proofErr w:type="spellStart"/>
      <w:r w:rsidRPr="00D35549">
        <w:rPr>
          <w:rFonts w:cs="Arial"/>
        </w:rPr>
        <w:t>FCAFC</w:t>
      </w:r>
      <w:proofErr w:type="spellEnd"/>
      <w:r w:rsidRPr="00D35549">
        <w:rPr>
          <w:rFonts w:cs="Arial"/>
        </w:rPr>
        <w:t xml:space="preserve"> 154</w:t>
      </w:r>
      <w:r>
        <w:rPr>
          <w:rFonts w:cs="Arial"/>
        </w:rPr>
        <w:t xml:space="preserve">; (2012) 208 </w:t>
      </w:r>
      <w:proofErr w:type="spellStart"/>
      <w:r>
        <w:rPr>
          <w:rFonts w:cs="Arial"/>
        </w:rPr>
        <w:t>FCR</w:t>
      </w:r>
      <w:proofErr w:type="spellEnd"/>
      <w:r>
        <w:rPr>
          <w:rFonts w:cs="Arial"/>
        </w:rPr>
        <w:t xml:space="preserve"> 505</w:t>
      </w:r>
      <w:r w:rsidRPr="00D35549">
        <w:rPr>
          <w:rFonts w:cs="Arial"/>
          <w:i/>
        </w:rPr>
        <w:t>.</w:t>
      </w:r>
    </w:p>
    <w:p w:rsidR="008A43A4" w:rsidRDefault="008A43A4" w:rsidP="008A43A4">
      <w:pPr>
        <w:numPr>
          <w:ilvl w:val="0"/>
          <w:numId w:val="30"/>
        </w:numPr>
        <w:spacing w:before="120" w:after="240"/>
        <w:ind w:left="709" w:hanging="709"/>
        <w:rPr>
          <w:rFonts w:cs="Arial"/>
        </w:rPr>
      </w:pPr>
      <w:r>
        <w:rPr>
          <w:rFonts w:cs="Arial"/>
        </w:rPr>
        <w:t xml:space="preserve">The Parties have requested that the Court make a determination over the Determination Area without a trial. </w:t>
      </w:r>
    </w:p>
    <w:p w:rsidR="008A43A4" w:rsidRDefault="008A43A4" w:rsidP="008A43A4">
      <w:pPr>
        <w:pStyle w:val="NormalHeadings"/>
        <w:rPr>
          <w:bCs/>
          <w:szCs w:val="24"/>
        </w:rPr>
      </w:pPr>
    </w:p>
    <w:p w:rsidR="008A43A4" w:rsidRPr="009931F0" w:rsidRDefault="008A43A4" w:rsidP="008A43A4">
      <w:pPr>
        <w:pStyle w:val="NormalHeadings"/>
        <w:rPr>
          <w:szCs w:val="24"/>
        </w:rPr>
      </w:pPr>
      <w:r w:rsidRPr="009931F0">
        <w:rPr>
          <w:bCs/>
          <w:szCs w:val="24"/>
        </w:rPr>
        <w:t xml:space="preserve">BY CONSENT THE COURT MAKES THE FOLLOWING DETERMINATION OF NATIVE TITLE PURSUANT TO SECTION </w:t>
      </w:r>
      <w:proofErr w:type="spellStart"/>
      <w:r w:rsidRPr="009931F0">
        <w:rPr>
          <w:bCs/>
          <w:szCs w:val="24"/>
        </w:rPr>
        <w:t>87A</w:t>
      </w:r>
      <w:proofErr w:type="spellEnd"/>
      <w:r w:rsidRPr="009931F0">
        <w:rPr>
          <w:bCs/>
          <w:szCs w:val="24"/>
        </w:rPr>
        <w:t xml:space="preserve"> OF THE NATIVE TITLE ACT:</w:t>
      </w:r>
    </w:p>
    <w:p w:rsidR="008A43A4" w:rsidRDefault="008A43A4" w:rsidP="008A43A4">
      <w:pPr>
        <w:pStyle w:val="NormalHeadings"/>
      </w:pPr>
    </w:p>
    <w:p w:rsidR="008A43A4" w:rsidRDefault="008A43A4" w:rsidP="008A43A4">
      <w:pPr>
        <w:numPr>
          <w:ilvl w:val="0"/>
          <w:numId w:val="2"/>
        </w:numPr>
        <w:tabs>
          <w:tab w:val="clear" w:pos="720"/>
        </w:tabs>
        <w:spacing w:after="240"/>
        <w:ind w:left="567" w:hanging="567"/>
      </w:pPr>
      <w:r>
        <w:t xml:space="preserve">In this determination including its schedules, unless the contrary intention appears, the words and expressions used have the same meaning as they are given in Part 15 of the </w:t>
      </w:r>
      <w:r w:rsidRPr="009518FE">
        <w:t>Native Title Act.</w:t>
      </w:r>
      <w:r>
        <w:t xml:space="preserve"> </w:t>
      </w:r>
    </w:p>
    <w:p w:rsidR="008A43A4" w:rsidRDefault="008A43A4" w:rsidP="008A43A4">
      <w:pPr>
        <w:numPr>
          <w:ilvl w:val="0"/>
          <w:numId w:val="2"/>
        </w:numPr>
        <w:tabs>
          <w:tab w:val="clear" w:pos="720"/>
          <w:tab w:val="num" w:pos="567"/>
        </w:tabs>
        <w:spacing w:after="240"/>
        <w:ind w:left="567" w:hanging="567"/>
        <w:rPr>
          <w:rFonts w:cs="Arial"/>
        </w:rPr>
      </w:pPr>
      <w:r>
        <w:rPr>
          <w:rFonts w:cs="Arial"/>
        </w:rPr>
        <w:t>In this determination:</w:t>
      </w:r>
    </w:p>
    <w:p w:rsidR="008A43A4" w:rsidRPr="00811B65" w:rsidRDefault="008A43A4" w:rsidP="008A43A4">
      <w:pPr>
        <w:numPr>
          <w:ilvl w:val="1"/>
          <w:numId w:val="2"/>
        </w:numPr>
        <w:tabs>
          <w:tab w:val="clear" w:pos="1440"/>
          <w:tab w:val="num" w:pos="1139"/>
        </w:tabs>
        <w:spacing w:after="240"/>
        <w:ind w:left="1139" w:hanging="567"/>
        <w:rPr>
          <w:rFonts w:cs="Arial"/>
        </w:rPr>
      </w:pPr>
      <w:r w:rsidRPr="00811B65">
        <w:rPr>
          <w:rFonts w:cs="Arial"/>
        </w:rPr>
        <w:lastRenderedPageBreak/>
        <w:t xml:space="preserve">“Determination Area” means that part of the land and waters of the </w:t>
      </w:r>
      <w:proofErr w:type="spellStart"/>
      <w:r w:rsidRPr="00811B65">
        <w:rPr>
          <w:rFonts w:cs="Arial"/>
        </w:rPr>
        <w:t>Dieri</w:t>
      </w:r>
      <w:proofErr w:type="spellEnd"/>
      <w:r w:rsidRPr="00811B65">
        <w:rPr>
          <w:rFonts w:cs="Arial"/>
        </w:rPr>
        <w:t xml:space="preserve"> No</w:t>
      </w:r>
      <w:r>
        <w:rPr>
          <w:rFonts w:cs="Arial"/>
        </w:rPr>
        <w:t xml:space="preserve"> 2  C</w:t>
      </w:r>
      <w:r w:rsidRPr="00811B65">
        <w:rPr>
          <w:rFonts w:cs="Arial"/>
        </w:rPr>
        <w:t xml:space="preserve">laim and the overlapping part of the </w:t>
      </w:r>
      <w:proofErr w:type="spellStart"/>
      <w:r w:rsidRPr="00811B65">
        <w:rPr>
          <w:rFonts w:cs="Arial"/>
          <w:sz w:val="23"/>
        </w:rPr>
        <w:t>Adnyamathanha</w:t>
      </w:r>
      <w:proofErr w:type="spellEnd"/>
      <w:r w:rsidRPr="00811B65">
        <w:rPr>
          <w:rFonts w:cs="Arial"/>
        </w:rPr>
        <w:t xml:space="preserve"> </w:t>
      </w:r>
      <w:r>
        <w:rPr>
          <w:rFonts w:cs="Arial"/>
        </w:rPr>
        <w:t xml:space="preserve">No </w:t>
      </w:r>
      <w:r w:rsidRPr="00811B65">
        <w:rPr>
          <w:rFonts w:cs="Arial"/>
        </w:rPr>
        <w:t xml:space="preserve">1 claim as is described in </w:t>
      </w:r>
      <w:r w:rsidRPr="009518FE">
        <w:rPr>
          <w:rFonts w:cs="Arial"/>
        </w:rPr>
        <w:t>Schedule 1</w:t>
      </w:r>
      <w:r w:rsidRPr="00811B65">
        <w:rPr>
          <w:rFonts w:cs="Arial"/>
        </w:rPr>
        <w:t xml:space="preserve"> (and shown in the maps forming part of that Schedule), apart from those excluded areas which are described in Paragraph 16 and in</w:t>
      </w:r>
      <w:r w:rsidRPr="00811B65">
        <w:rPr>
          <w:rFonts w:cs="Arial"/>
          <w:i/>
        </w:rPr>
        <w:t xml:space="preserve"> </w:t>
      </w:r>
      <w:r w:rsidRPr="009518FE">
        <w:rPr>
          <w:rFonts w:cs="Arial"/>
        </w:rPr>
        <w:t>Schedule 2</w:t>
      </w:r>
      <w:r w:rsidRPr="00811B65">
        <w:rPr>
          <w:rFonts w:cs="Arial"/>
        </w:rPr>
        <w:t xml:space="preserve"> (“excluded areas”);</w:t>
      </w:r>
    </w:p>
    <w:p w:rsidR="008A43A4" w:rsidRPr="00696775" w:rsidRDefault="008A43A4" w:rsidP="008A43A4">
      <w:pPr>
        <w:numPr>
          <w:ilvl w:val="1"/>
          <w:numId w:val="2"/>
        </w:numPr>
        <w:tabs>
          <w:tab w:val="clear" w:pos="1440"/>
          <w:tab w:val="num" w:pos="1139"/>
        </w:tabs>
        <w:spacing w:after="240"/>
        <w:ind w:left="1139" w:hanging="567"/>
        <w:rPr>
          <w:rFonts w:cs="Arial"/>
        </w:rPr>
      </w:pPr>
      <w:r>
        <w:rPr>
          <w:rFonts w:cs="Arial"/>
        </w:rPr>
        <w:t>“</w:t>
      </w:r>
      <w:proofErr w:type="spellStart"/>
      <w:r>
        <w:rPr>
          <w:rFonts w:cs="Arial"/>
        </w:rPr>
        <w:t>Dieri</w:t>
      </w:r>
      <w:proofErr w:type="spellEnd"/>
      <w:r>
        <w:rPr>
          <w:rFonts w:cs="Arial"/>
        </w:rPr>
        <w:t xml:space="preserve"> Determination Area” means the area of the consent determination being made in favour of the </w:t>
      </w:r>
      <w:proofErr w:type="spellStart"/>
      <w:r>
        <w:rPr>
          <w:rFonts w:cs="Arial"/>
        </w:rPr>
        <w:t>Dieri</w:t>
      </w:r>
      <w:proofErr w:type="spellEnd"/>
      <w:r>
        <w:rPr>
          <w:rFonts w:cs="Arial"/>
        </w:rPr>
        <w:t xml:space="preserve"> people over the remaining area of the </w:t>
      </w:r>
      <w:proofErr w:type="spellStart"/>
      <w:r>
        <w:rPr>
          <w:rFonts w:cs="Arial"/>
        </w:rPr>
        <w:t>Dieri</w:t>
      </w:r>
      <w:proofErr w:type="spellEnd"/>
      <w:r>
        <w:rPr>
          <w:rFonts w:cs="Arial"/>
        </w:rPr>
        <w:t xml:space="preserve"> </w:t>
      </w:r>
      <w:proofErr w:type="spellStart"/>
      <w:r>
        <w:rPr>
          <w:rFonts w:cs="Arial"/>
        </w:rPr>
        <w:t>No.2</w:t>
      </w:r>
      <w:proofErr w:type="spellEnd"/>
      <w:r>
        <w:rPr>
          <w:rFonts w:cs="Arial"/>
        </w:rPr>
        <w:t xml:space="preserve"> claim.</w:t>
      </w:r>
    </w:p>
    <w:p w:rsidR="008A43A4" w:rsidRDefault="008A43A4" w:rsidP="008A43A4">
      <w:pPr>
        <w:numPr>
          <w:ilvl w:val="0"/>
          <w:numId w:val="2"/>
        </w:numPr>
        <w:tabs>
          <w:tab w:val="clear" w:pos="720"/>
          <w:tab w:val="num" w:pos="567"/>
        </w:tabs>
        <w:spacing w:after="240"/>
        <w:ind w:left="567" w:hanging="567"/>
        <w:rPr>
          <w:rFonts w:cs="Arial"/>
        </w:rPr>
      </w:pPr>
      <w:r>
        <w:rPr>
          <w:rFonts w:cs="Arial"/>
        </w:rPr>
        <w:t xml:space="preserve">In this determination including its schedules, in the event of an inconsistency between a description of an area in a schedule and the depiction of that area on the map in </w:t>
      </w:r>
      <w:r w:rsidRPr="009518FE">
        <w:rPr>
          <w:rFonts w:cs="Arial"/>
          <w:iCs/>
        </w:rPr>
        <w:t>Schedule 1</w:t>
      </w:r>
      <w:r w:rsidRPr="009518FE">
        <w:rPr>
          <w:rFonts w:cs="Arial"/>
        </w:rPr>
        <w:t>,</w:t>
      </w:r>
      <w:r>
        <w:rPr>
          <w:rFonts w:cs="Arial"/>
        </w:rPr>
        <w:t xml:space="preserve"> the written description shall prevail.</w:t>
      </w:r>
    </w:p>
    <w:p w:rsidR="008A43A4" w:rsidRDefault="008A43A4" w:rsidP="008A43A4">
      <w:pPr>
        <w:spacing w:after="240"/>
        <w:rPr>
          <w:rFonts w:cs="Arial"/>
          <w:b/>
        </w:rPr>
      </w:pPr>
      <w:r>
        <w:rPr>
          <w:rFonts w:cs="Arial"/>
          <w:b/>
        </w:rPr>
        <w:t>Existence of Native Title</w:t>
      </w:r>
    </w:p>
    <w:p w:rsidR="008A43A4" w:rsidRDefault="008A43A4" w:rsidP="008A43A4">
      <w:pPr>
        <w:numPr>
          <w:ilvl w:val="0"/>
          <w:numId w:val="2"/>
        </w:numPr>
        <w:tabs>
          <w:tab w:val="clear" w:pos="720"/>
          <w:tab w:val="num" w:pos="567"/>
        </w:tabs>
        <w:spacing w:after="240"/>
        <w:ind w:left="567" w:hanging="567"/>
        <w:rPr>
          <w:rFonts w:cs="Arial"/>
          <w:szCs w:val="22"/>
        </w:rPr>
      </w:pPr>
      <w:r>
        <w:rPr>
          <w:rFonts w:cs="Arial"/>
        </w:rPr>
        <w:t>Subject to Paragraphs 12 to 16 herein, native title exists in the Determination Area.</w:t>
      </w:r>
    </w:p>
    <w:p w:rsidR="008A43A4" w:rsidRDefault="008A43A4" w:rsidP="008A43A4">
      <w:pPr>
        <w:numPr>
          <w:ilvl w:val="0"/>
          <w:numId w:val="2"/>
        </w:numPr>
        <w:tabs>
          <w:tab w:val="clear" w:pos="720"/>
          <w:tab w:val="num" w:pos="567"/>
        </w:tabs>
        <w:spacing w:after="240"/>
        <w:ind w:left="567" w:hanging="567"/>
        <w:rPr>
          <w:rFonts w:cs="Arial"/>
        </w:rPr>
      </w:pPr>
      <w:r>
        <w:rPr>
          <w:rFonts w:cs="Arial"/>
        </w:rPr>
        <w:t xml:space="preserve">Native title does not exist in relation to the areas and resources described in Paragraphs 12, 15 and 16 herein. </w:t>
      </w:r>
    </w:p>
    <w:p w:rsidR="008A43A4" w:rsidRDefault="008A43A4" w:rsidP="008A43A4">
      <w:pPr>
        <w:spacing w:after="240"/>
        <w:rPr>
          <w:b/>
        </w:rPr>
      </w:pPr>
      <w:r>
        <w:rPr>
          <w:b/>
        </w:rPr>
        <w:t>The Native Title Holders</w:t>
      </w:r>
    </w:p>
    <w:p w:rsidR="008A43A4" w:rsidRPr="00126FA2" w:rsidRDefault="008A43A4" w:rsidP="008A43A4">
      <w:pPr>
        <w:numPr>
          <w:ilvl w:val="0"/>
          <w:numId w:val="2"/>
        </w:numPr>
        <w:tabs>
          <w:tab w:val="clear" w:pos="720"/>
          <w:tab w:val="num" w:pos="567"/>
        </w:tabs>
        <w:spacing w:after="240"/>
        <w:ind w:left="567" w:hanging="567"/>
        <w:rPr>
          <w:rFonts w:cs="Arial"/>
        </w:rPr>
      </w:pPr>
      <w:r w:rsidRPr="00126FA2">
        <w:rPr>
          <w:rFonts w:cs="Arial"/>
        </w:rPr>
        <w:t xml:space="preserve">The Native Title Holders in relation to the Determination Area are those living Aboriginal persons who are described in </w:t>
      </w:r>
      <w:r w:rsidRPr="009518FE">
        <w:rPr>
          <w:rFonts w:cs="Arial"/>
        </w:rPr>
        <w:t>Schedule 3</w:t>
      </w:r>
      <w:r w:rsidRPr="00126FA2">
        <w:rPr>
          <w:rFonts w:cs="Arial"/>
        </w:rPr>
        <w:t xml:space="preserve"> who:</w:t>
      </w:r>
    </w:p>
    <w:p w:rsidR="008A43A4" w:rsidRDefault="008A43A4" w:rsidP="008A43A4">
      <w:pPr>
        <w:numPr>
          <w:ilvl w:val="1"/>
          <w:numId w:val="2"/>
        </w:numPr>
        <w:tabs>
          <w:tab w:val="clear" w:pos="1440"/>
          <w:tab w:val="num" w:pos="1139"/>
        </w:tabs>
        <w:spacing w:after="240"/>
        <w:ind w:left="1139" w:hanging="567"/>
        <w:rPr>
          <w:rFonts w:cs="Arial"/>
        </w:rPr>
      </w:pPr>
      <w:r>
        <w:rPr>
          <w:rFonts w:cs="Arial"/>
        </w:rPr>
        <w:t xml:space="preserve">identify as </w:t>
      </w:r>
      <w:proofErr w:type="spellStart"/>
      <w:r>
        <w:rPr>
          <w:rFonts w:cs="Arial"/>
        </w:rPr>
        <w:t>Adnyamathanha</w:t>
      </w:r>
      <w:proofErr w:type="spellEnd"/>
      <w:r>
        <w:rPr>
          <w:rFonts w:cs="Arial"/>
        </w:rPr>
        <w:t xml:space="preserve">; and </w:t>
      </w:r>
    </w:p>
    <w:p w:rsidR="008A43A4" w:rsidRDefault="008A43A4" w:rsidP="008A43A4">
      <w:pPr>
        <w:numPr>
          <w:ilvl w:val="1"/>
          <w:numId w:val="2"/>
        </w:numPr>
        <w:tabs>
          <w:tab w:val="clear" w:pos="1440"/>
          <w:tab w:val="num" w:pos="1139"/>
        </w:tabs>
        <w:spacing w:after="240"/>
        <w:ind w:left="1139" w:hanging="567"/>
        <w:rPr>
          <w:rFonts w:cs="Arial"/>
        </w:rPr>
      </w:pPr>
      <w:r>
        <w:rPr>
          <w:rFonts w:cs="Arial"/>
        </w:rPr>
        <w:t xml:space="preserve">are recognised by other Native Title Holders under the relevant </w:t>
      </w:r>
      <w:proofErr w:type="spellStart"/>
      <w:r>
        <w:rPr>
          <w:rFonts w:cs="Arial"/>
        </w:rPr>
        <w:t>Adnyamathanha</w:t>
      </w:r>
      <w:proofErr w:type="spellEnd"/>
      <w:r>
        <w:rPr>
          <w:rFonts w:cs="Arial"/>
        </w:rPr>
        <w:t xml:space="preserve"> traditional laws and customs as having maintained an affiliation with, and continuing to hold native title rights and interests in the Determination Area.</w:t>
      </w:r>
    </w:p>
    <w:p w:rsidR="008A43A4" w:rsidRPr="007D0C2D" w:rsidRDefault="008A43A4" w:rsidP="008A43A4">
      <w:pPr>
        <w:spacing w:after="240"/>
        <w:rPr>
          <w:b/>
        </w:rPr>
      </w:pPr>
      <w:r w:rsidRPr="0023277A">
        <w:rPr>
          <w:b/>
        </w:rPr>
        <w:t>Native title rights and interests</w:t>
      </w:r>
    </w:p>
    <w:p w:rsidR="008A43A4" w:rsidRDefault="008A43A4" w:rsidP="008A43A4">
      <w:pPr>
        <w:numPr>
          <w:ilvl w:val="0"/>
          <w:numId w:val="2"/>
        </w:numPr>
        <w:tabs>
          <w:tab w:val="clear" w:pos="720"/>
          <w:tab w:val="num" w:pos="567"/>
        </w:tabs>
        <w:spacing w:after="120"/>
        <w:ind w:left="567" w:hanging="567"/>
      </w:pPr>
      <w:r>
        <w:t>Subject to Paragraphs 8, 9 and 10, the nature and extent of the native title rights and interests held by the Native Title Holders are rights to use, stay on and enjoy the land and waters of the Determination Area, being:</w:t>
      </w:r>
    </w:p>
    <w:p w:rsidR="008A43A4" w:rsidRDefault="008A43A4" w:rsidP="008A43A4">
      <w:pPr>
        <w:numPr>
          <w:ilvl w:val="1"/>
          <w:numId w:val="2"/>
        </w:numPr>
        <w:tabs>
          <w:tab w:val="clear" w:pos="1440"/>
          <w:tab w:val="left" w:pos="1100"/>
          <w:tab w:val="num" w:pos="1139"/>
        </w:tabs>
        <w:spacing w:after="120"/>
        <w:ind w:left="1139" w:hanging="567"/>
      </w:pPr>
      <w:r>
        <w:t>The right to access and move about the Determination Area;</w:t>
      </w:r>
    </w:p>
    <w:p w:rsidR="008A43A4" w:rsidRDefault="008A43A4" w:rsidP="008A43A4">
      <w:pPr>
        <w:numPr>
          <w:ilvl w:val="1"/>
          <w:numId w:val="2"/>
        </w:numPr>
        <w:tabs>
          <w:tab w:val="clear" w:pos="1440"/>
          <w:tab w:val="left" w:pos="1100"/>
          <w:tab w:val="num" w:pos="1139"/>
        </w:tabs>
        <w:spacing w:after="120"/>
        <w:ind w:left="1139" w:hanging="567"/>
      </w:pPr>
      <w:r>
        <w:lastRenderedPageBreak/>
        <w:t>The right to live, to camp and to erect shelters on the Determination Area;</w:t>
      </w:r>
    </w:p>
    <w:p w:rsidR="008A43A4" w:rsidRDefault="008A43A4" w:rsidP="008A43A4">
      <w:pPr>
        <w:numPr>
          <w:ilvl w:val="1"/>
          <w:numId w:val="2"/>
        </w:numPr>
        <w:tabs>
          <w:tab w:val="clear" w:pos="1440"/>
          <w:tab w:val="left" w:pos="1100"/>
          <w:tab w:val="num" w:pos="1139"/>
        </w:tabs>
        <w:spacing w:after="120"/>
        <w:ind w:left="1139" w:hanging="567"/>
      </w:pPr>
      <w:r>
        <w:t>The right to hunt and fish on the Determination Area;</w:t>
      </w:r>
    </w:p>
    <w:p w:rsidR="008A43A4" w:rsidRDefault="008A43A4" w:rsidP="008A43A4">
      <w:pPr>
        <w:numPr>
          <w:ilvl w:val="1"/>
          <w:numId w:val="2"/>
        </w:numPr>
        <w:tabs>
          <w:tab w:val="clear" w:pos="1440"/>
          <w:tab w:val="num" w:pos="1139"/>
        </w:tabs>
        <w:spacing w:after="120"/>
        <w:ind w:left="1139" w:hanging="567"/>
      </w:pPr>
      <w:r>
        <w:t>The right to gather and use the natural resources of the Determination Area such as food, plants, timber, resin, ochre and soil;</w:t>
      </w:r>
    </w:p>
    <w:p w:rsidR="008A43A4" w:rsidRDefault="008A43A4" w:rsidP="008A43A4">
      <w:pPr>
        <w:numPr>
          <w:ilvl w:val="1"/>
          <w:numId w:val="2"/>
        </w:numPr>
        <w:tabs>
          <w:tab w:val="clear" w:pos="1440"/>
          <w:tab w:val="num" w:pos="1139"/>
        </w:tabs>
        <w:spacing w:after="120"/>
        <w:ind w:left="1139" w:hanging="567"/>
      </w:pPr>
      <w:r>
        <w:t>The right to cook and to light fires for cooking and camping purposes on the Determination Area;</w:t>
      </w:r>
    </w:p>
    <w:p w:rsidR="008A43A4" w:rsidRDefault="008A43A4" w:rsidP="008A43A4">
      <w:pPr>
        <w:numPr>
          <w:ilvl w:val="1"/>
          <w:numId w:val="2"/>
        </w:numPr>
        <w:tabs>
          <w:tab w:val="clear" w:pos="1440"/>
          <w:tab w:val="num" w:pos="1139"/>
        </w:tabs>
        <w:spacing w:after="120"/>
        <w:ind w:left="1139" w:hanging="567"/>
      </w:pPr>
      <w:r>
        <w:t>The right to use the natural water resources of the Determination Area;</w:t>
      </w:r>
    </w:p>
    <w:p w:rsidR="008A43A4" w:rsidRDefault="008A43A4" w:rsidP="008A43A4">
      <w:pPr>
        <w:numPr>
          <w:ilvl w:val="1"/>
          <w:numId w:val="2"/>
        </w:numPr>
        <w:tabs>
          <w:tab w:val="clear" w:pos="1440"/>
          <w:tab w:val="num" w:pos="1139"/>
        </w:tabs>
        <w:spacing w:after="120"/>
        <w:ind w:left="1139" w:hanging="567"/>
      </w:pPr>
      <w:r>
        <w:t xml:space="preserve">The right to distribute, trade or exchange the natural resources of the Determination Area; </w:t>
      </w:r>
    </w:p>
    <w:p w:rsidR="008A43A4" w:rsidRDefault="008A43A4" w:rsidP="008A43A4">
      <w:pPr>
        <w:numPr>
          <w:ilvl w:val="1"/>
          <w:numId w:val="2"/>
        </w:numPr>
        <w:tabs>
          <w:tab w:val="clear" w:pos="1440"/>
          <w:tab w:val="num" w:pos="1139"/>
        </w:tabs>
        <w:spacing w:after="120"/>
        <w:ind w:left="1139" w:hanging="567"/>
      </w:pPr>
      <w:r>
        <w:t>The right to conduct ceremonies and hold meetings on the Determination Area;</w:t>
      </w:r>
    </w:p>
    <w:p w:rsidR="008A43A4" w:rsidRDefault="008A43A4" w:rsidP="008A43A4">
      <w:pPr>
        <w:numPr>
          <w:ilvl w:val="1"/>
          <w:numId w:val="2"/>
        </w:numPr>
        <w:tabs>
          <w:tab w:val="clear" w:pos="1440"/>
          <w:tab w:val="num" w:pos="1139"/>
        </w:tabs>
        <w:spacing w:after="120"/>
        <w:ind w:left="1139" w:hanging="567"/>
      </w:pPr>
      <w:r>
        <w:t>The right to engage and participate in cultural activities on the Determination Area including those relating to births and deaths;</w:t>
      </w:r>
    </w:p>
    <w:p w:rsidR="008A43A4" w:rsidRDefault="008A43A4" w:rsidP="008A43A4">
      <w:pPr>
        <w:numPr>
          <w:ilvl w:val="1"/>
          <w:numId w:val="2"/>
        </w:numPr>
        <w:tabs>
          <w:tab w:val="clear" w:pos="1440"/>
          <w:tab w:val="num" w:pos="1139"/>
        </w:tabs>
        <w:spacing w:after="120"/>
        <w:ind w:left="1139" w:hanging="567"/>
      </w:pPr>
      <w:r>
        <w:t>The right to carry out and maintain burials of deceased native title holders and of their ancestors within the Determination Area;</w:t>
      </w:r>
    </w:p>
    <w:p w:rsidR="008A43A4" w:rsidRDefault="008A43A4" w:rsidP="008A43A4">
      <w:pPr>
        <w:numPr>
          <w:ilvl w:val="1"/>
          <w:numId w:val="2"/>
        </w:numPr>
        <w:tabs>
          <w:tab w:val="clear" w:pos="1440"/>
          <w:tab w:val="num" w:pos="1139"/>
        </w:tabs>
        <w:spacing w:after="120"/>
        <w:ind w:left="1139" w:hanging="567"/>
      </w:pPr>
      <w:r>
        <w:t>The right to teach on the Determination Area the physical and spiritual attributes of locations and sites within the Determination Area;</w:t>
      </w:r>
    </w:p>
    <w:p w:rsidR="008A43A4" w:rsidRDefault="008A43A4" w:rsidP="008A43A4">
      <w:pPr>
        <w:numPr>
          <w:ilvl w:val="1"/>
          <w:numId w:val="2"/>
        </w:numPr>
        <w:tabs>
          <w:tab w:val="clear" w:pos="1440"/>
          <w:tab w:val="num" w:pos="1139"/>
        </w:tabs>
        <w:spacing w:after="120"/>
        <w:ind w:left="1139" w:hanging="567"/>
      </w:pPr>
      <w:r>
        <w:t>The right to visit, maintain and preserve sites and places of cultural or spiritual significance to Native Title Holders within the Determination Area;</w:t>
      </w:r>
    </w:p>
    <w:p w:rsidR="008A43A4" w:rsidRDefault="008A43A4" w:rsidP="008A43A4">
      <w:pPr>
        <w:numPr>
          <w:ilvl w:val="1"/>
          <w:numId w:val="2"/>
        </w:numPr>
        <w:tabs>
          <w:tab w:val="clear" w:pos="1440"/>
          <w:tab w:val="num" w:pos="1139"/>
        </w:tabs>
        <w:spacing w:after="120"/>
        <w:ind w:left="1139" w:hanging="567"/>
      </w:pPr>
      <w:r>
        <w:t>The right to speak for and make decisions in relation to the Determination Area about the use and enjoyment of the Determination Area by Aboriginal people who recognise themselves to be governed by the traditional laws and customs acknowledged by the Native Title Holders of the Determination Area;</w:t>
      </w:r>
    </w:p>
    <w:p w:rsidR="008A43A4" w:rsidRPr="00C57160" w:rsidRDefault="008A43A4" w:rsidP="008A43A4">
      <w:pPr>
        <w:numPr>
          <w:ilvl w:val="1"/>
          <w:numId w:val="2"/>
        </w:numPr>
        <w:tabs>
          <w:tab w:val="clear" w:pos="1440"/>
          <w:tab w:val="num" w:pos="1139"/>
        </w:tabs>
        <w:spacing w:after="120"/>
        <w:ind w:left="1139" w:hanging="567"/>
      </w:pPr>
      <w:r>
        <w:rPr>
          <w:rFonts w:cs="Arial"/>
        </w:rPr>
        <w:t>The right to be accompanied on to the Determination Area by those people who, though not Native Title Holders, are:</w:t>
      </w:r>
    </w:p>
    <w:p w:rsidR="008A43A4" w:rsidRDefault="008A43A4" w:rsidP="008A43A4">
      <w:pPr>
        <w:numPr>
          <w:ilvl w:val="2"/>
          <w:numId w:val="2"/>
        </w:numPr>
        <w:tabs>
          <w:tab w:val="clear" w:pos="2160"/>
          <w:tab w:val="num" w:pos="1854"/>
        </w:tabs>
        <w:spacing w:after="120"/>
        <w:ind w:left="1701" w:hanging="567"/>
        <w:rPr>
          <w:rFonts w:cs="Arial"/>
        </w:rPr>
      </w:pPr>
      <w:r>
        <w:rPr>
          <w:rFonts w:cs="Arial"/>
        </w:rPr>
        <w:t>spouses of Native Title Holders; or</w:t>
      </w:r>
    </w:p>
    <w:p w:rsidR="008A43A4" w:rsidRDefault="008A43A4" w:rsidP="008A43A4">
      <w:pPr>
        <w:numPr>
          <w:ilvl w:val="2"/>
          <w:numId w:val="2"/>
        </w:numPr>
        <w:tabs>
          <w:tab w:val="clear" w:pos="2160"/>
          <w:tab w:val="num" w:pos="1854"/>
        </w:tabs>
        <w:spacing w:after="120"/>
        <w:ind w:left="1854"/>
        <w:rPr>
          <w:rFonts w:cs="Arial"/>
        </w:rPr>
      </w:pPr>
      <w:r>
        <w:rPr>
          <w:rFonts w:cs="Arial"/>
        </w:rPr>
        <w:t>people required by traditional law and custom for the performance of ceremonies or cultural activities on the Determination Area; or</w:t>
      </w:r>
    </w:p>
    <w:p w:rsidR="008A43A4" w:rsidRPr="00C57160" w:rsidRDefault="008A43A4" w:rsidP="008A43A4">
      <w:pPr>
        <w:numPr>
          <w:ilvl w:val="2"/>
          <w:numId w:val="2"/>
        </w:numPr>
        <w:tabs>
          <w:tab w:val="clear" w:pos="2160"/>
          <w:tab w:val="num" w:pos="1854"/>
        </w:tabs>
        <w:spacing w:after="120"/>
        <w:ind w:left="1854"/>
      </w:pPr>
      <w:r>
        <w:rPr>
          <w:rFonts w:cs="Arial"/>
        </w:rPr>
        <w:lastRenderedPageBreak/>
        <w:t xml:space="preserve">people who have rights in relation to the Determination Area according to the traditional laws and customs acknowledged by the Native Title Holders. </w:t>
      </w:r>
    </w:p>
    <w:p w:rsidR="008A43A4" w:rsidRDefault="008A43A4" w:rsidP="008A43A4">
      <w:pPr>
        <w:numPr>
          <w:ilvl w:val="0"/>
          <w:numId w:val="2"/>
        </w:numPr>
        <w:tabs>
          <w:tab w:val="clear" w:pos="720"/>
          <w:tab w:val="num" w:pos="567"/>
        </w:tabs>
        <w:spacing w:after="120"/>
        <w:ind w:left="567" w:hanging="567"/>
      </w:pPr>
      <w:r>
        <w:t>The native title rights and interests described in Paragraph 7 do not confer possession, occupation, use and enjoyment of the Determination Area on the Native Title Holders to the exclusion of others.</w:t>
      </w:r>
    </w:p>
    <w:p w:rsidR="008A43A4" w:rsidRDefault="008A43A4" w:rsidP="008A43A4">
      <w:pPr>
        <w:numPr>
          <w:ilvl w:val="0"/>
          <w:numId w:val="2"/>
        </w:numPr>
        <w:tabs>
          <w:tab w:val="clear" w:pos="720"/>
          <w:tab w:val="num" w:pos="567"/>
        </w:tabs>
        <w:spacing w:after="240"/>
        <w:ind w:left="567" w:hanging="567"/>
      </w:pPr>
      <w:r>
        <w:t>The native title rights and interests are</w:t>
      </w:r>
      <w:r>
        <w:rPr>
          <w:b/>
          <w:bCs/>
        </w:rPr>
        <w:t xml:space="preserve"> </w:t>
      </w:r>
      <w:r>
        <w:t>for personal, domestic and non-commercial communal use.</w:t>
      </w:r>
    </w:p>
    <w:p w:rsidR="008A43A4" w:rsidRDefault="008A43A4" w:rsidP="008A43A4">
      <w:pPr>
        <w:numPr>
          <w:ilvl w:val="0"/>
          <w:numId w:val="2"/>
        </w:numPr>
        <w:tabs>
          <w:tab w:val="clear" w:pos="720"/>
          <w:tab w:val="num" w:pos="567"/>
        </w:tabs>
        <w:spacing w:after="120"/>
        <w:ind w:left="567" w:hanging="567"/>
      </w:pPr>
      <w:r>
        <w:t>The native title rights and interests are subject to and exercisable in accordance with:</w:t>
      </w:r>
    </w:p>
    <w:p w:rsidR="008A43A4" w:rsidRDefault="008A43A4" w:rsidP="008A43A4">
      <w:pPr>
        <w:numPr>
          <w:ilvl w:val="1"/>
          <w:numId w:val="2"/>
        </w:numPr>
        <w:tabs>
          <w:tab w:val="clear" w:pos="1440"/>
          <w:tab w:val="num" w:pos="1139"/>
        </w:tabs>
        <w:spacing w:after="120"/>
        <w:ind w:left="1139" w:hanging="567"/>
      </w:pPr>
      <w:r>
        <w:t>the traditional laws and customs of the Native Title Holders;</w:t>
      </w:r>
    </w:p>
    <w:p w:rsidR="008A43A4" w:rsidRDefault="008A43A4" w:rsidP="008A43A4">
      <w:pPr>
        <w:numPr>
          <w:ilvl w:val="1"/>
          <w:numId w:val="2"/>
        </w:numPr>
        <w:tabs>
          <w:tab w:val="clear" w:pos="1440"/>
          <w:tab w:val="num" w:pos="1139"/>
        </w:tabs>
        <w:spacing w:after="240"/>
        <w:ind w:left="1139" w:hanging="567"/>
      </w:pPr>
      <w:r>
        <w:t>the valid laws of the State and Commonwealth, including the common law.</w:t>
      </w:r>
    </w:p>
    <w:p w:rsidR="008A43A4" w:rsidRPr="00623BA8" w:rsidRDefault="008A43A4" w:rsidP="008A43A4">
      <w:pPr>
        <w:spacing w:after="240"/>
        <w:ind w:left="572"/>
      </w:pPr>
      <w:r>
        <w:t xml:space="preserve">For the avoidance of doubt, the native title rights and interests expressed in Paragraph 7(f) are subject to the </w:t>
      </w:r>
      <w:r>
        <w:rPr>
          <w:i/>
        </w:rPr>
        <w:t xml:space="preserve">Natural Resources Management Act </w:t>
      </w:r>
      <w:r w:rsidRPr="006C0C40">
        <w:rPr>
          <w:i/>
        </w:rPr>
        <w:t>2004</w:t>
      </w:r>
      <w:r>
        <w:t xml:space="preserve"> (SA).</w:t>
      </w:r>
    </w:p>
    <w:p w:rsidR="008A43A4" w:rsidRDefault="008A43A4" w:rsidP="008A43A4">
      <w:pPr>
        <w:spacing w:after="240"/>
      </w:pPr>
      <w:r>
        <w:rPr>
          <w:b/>
          <w:bCs/>
        </w:rPr>
        <w:t xml:space="preserve">Nature and extent of </w:t>
      </w:r>
      <w:r w:rsidRPr="007D0C2D">
        <w:rPr>
          <w:b/>
          <w:bCs/>
        </w:rPr>
        <w:t>other</w:t>
      </w:r>
      <w:r w:rsidRPr="0023277A">
        <w:rPr>
          <w:b/>
          <w:bCs/>
        </w:rPr>
        <w:t xml:space="preserve"> rights and interests</w:t>
      </w:r>
      <w:r>
        <w:rPr>
          <w:b/>
          <w:bCs/>
        </w:rPr>
        <w:t xml:space="preserve"> and Relationship with Native Title</w:t>
      </w:r>
    </w:p>
    <w:p w:rsidR="008A43A4" w:rsidRDefault="008A43A4" w:rsidP="008A43A4">
      <w:pPr>
        <w:numPr>
          <w:ilvl w:val="0"/>
          <w:numId w:val="2"/>
        </w:numPr>
        <w:tabs>
          <w:tab w:val="clear" w:pos="720"/>
          <w:tab w:val="num" w:pos="567"/>
        </w:tabs>
        <w:spacing w:after="120"/>
        <w:ind w:left="567" w:hanging="567"/>
        <w:rPr>
          <w:rFonts w:cs="Arial"/>
        </w:rPr>
      </w:pPr>
      <w:r>
        <w:t>The nature and extent of other rights and interests in relation to the Determination Area are:</w:t>
      </w:r>
    </w:p>
    <w:p w:rsidR="008A43A4" w:rsidRPr="009518FE" w:rsidRDefault="008A43A4" w:rsidP="008A43A4">
      <w:pPr>
        <w:numPr>
          <w:ilvl w:val="1"/>
          <w:numId w:val="2"/>
        </w:numPr>
        <w:tabs>
          <w:tab w:val="clear" w:pos="1440"/>
          <w:tab w:val="num" w:pos="1139"/>
        </w:tabs>
        <w:spacing w:after="120"/>
        <w:ind w:left="1139" w:hanging="567"/>
        <w:rPr>
          <w:rFonts w:cs="Arial"/>
        </w:rPr>
      </w:pPr>
      <w:r>
        <w:rPr>
          <w:rFonts w:cs="Arial"/>
        </w:rPr>
        <w:t xml:space="preserve">The rights and interests within the Determination Area created by the pastoral leases described in </w:t>
      </w:r>
      <w:r w:rsidRPr="009518FE">
        <w:rPr>
          <w:rFonts w:cs="Arial"/>
        </w:rPr>
        <w:t>Schedule 4;</w:t>
      </w:r>
    </w:p>
    <w:p w:rsidR="008A43A4" w:rsidRDefault="008A43A4" w:rsidP="008A43A4">
      <w:pPr>
        <w:numPr>
          <w:ilvl w:val="1"/>
          <w:numId w:val="2"/>
        </w:numPr>
        <w:tabs>
          <w:tab w:val="clear" w:pos="1440"/>
          <w:tab w:val="num" w:pos="1139"/>
        </w:tabs>
        <w:spacing w:after="120"/>
        <w:ind w:left="1139" w:hanging="567"/>
        <w:rPr>
          <w:rFonts w:cs="Arial"/>
        </w:rPr>
      </w:pPr>
      <w:r>
        <w:rPr>
          <w:rFonts w:cs="Arial"/>
        </w:rPr>
        <w:t>the interests of the Crown in right of the State of South Australia;</w:t>
      </w:r>
    </w:p>
    <w:p w:rsidR="008A43A4" w:rsidRDefault="008A43A4" w:rsidP="008A43A4">
      <w:pPr>
        <w:numPr>
          <w:ilvl w:val="1"/>
          <w:numId w:val="2"/>
        </w:numPr>
        <w:tabs>
          <w:tab w:val="clear" w:pos="1440"/>
          <w:tab w:val="num" w:pos="1139"/>
        </w:tabs>
        <w:spacing w:after="120"/>
        <w:ind w:left="1139" w:hanging="567"/>
        <w:rPr>
          <w:rFonts w:cs="Arial"/>
        </w:rPr>
      </w:pPr>
      <w:r>
        <w:rPr>
          <w:rFonts w:cs="Arial"/>
        </w:rPr>
        <w:t>the interests of persons to whom valid or validated rights and interests have been granted or recognised by the Crown in right of the State of South Australia or by the Commonwealth of Australia pursuant to statute or otherwise in the exercise of executive power;</w:t>
      </w:r>
    </w:p>
    <w:p w:rsidR="008A43A4" w:rsidRDefault="008A43A4" w:rsidP="008A43A4">
      <w:pPr>
        <w:numPr>
          <w:ilvl w:val="1"/>
          <w:numId w:val="2"/>
        </w:numPr>
        <w:tabs>
          <w:tab w:val="clear" w:pos="1440"/>
          <w:tab w:val="num" w:pos="1139"/>
        </w:tabs>
        <w:spacing w:after="120"/>
        <w:ind w:left="1139" w:hanging="567"/>
        <w:rPr>
          <w:rFonts w:cs="Arial"/>
        </w:rPr>
      </w:pPr>
      <w:r>
        <w:rPr>
          <w:rFonts w:cs="Arial"/>
        </w:rPr>
        <w:t>rights or interests held by reason of the force and operation of the laws of the State or of the Commonwealth;</w:t>
      </w:r>
    </w:p>
    <w:p w:rsidR="008A43A4" w:rsidRDefault="008A43A4" w:rsidP="008A43A4">
      <w:pPr>
        <w:numPr>
          <w:ilvl w:val="1"/>
          <w:numId w:val="2"/>
        </w:numPr>
        <w:tabs>
          <w:tab w:val="clear" w:pos="1440"/>
          <w:tab w:val="num" w:pos="1139"/>
        </w:tabs>
        <w:spacing w:after="120"/>
        <w:ind w:left="1139" w:hanging="567"/>
        <w:rPr>
          <w:rFonts w:cs="Arial"/>
        </w:rPr>
      </w:pPr>
      <w:r>
        <w:rPr>
          <w:rFonts w:cs="Arial"/>
        </w:rPr>
        <w:t>the rights to access land by an employee or agent or instrumentality of the State, Commonwealth or other statutory authority as required in the performance of his or her statutory or common law duties (in accordance with any valid legislation);</w:t>
      </w:r>
    </w:p>
    <w:p w:rsidR="008A43A4" w:rsidRDefault="008A43A4" w:rsidP="008A43A4">
      <w:pPr>
        <w:numPr>
          <w:ilvl w:val="1"/>
          <w:numId w:val="2"/>
        </w:numPr>
        <w:tabs>
          <w:tab w:val="clear" w:pos="1440"/>
          <w:tab w:val="num" w:pos="1139"/>
        </w:tabs>
        <w:spacing w:after="120"/>
        <w:ind w:left="1139" w:hanging="567"/>
        <w:jc w:val="left"/>
        <w:rPr>
          <w:rFonts w:cs="Arial"/>
          <w:szCs w:val="22"/>
        </w:rPr>
      </w:pPr>
      <w:r>
        <w:rPr>
          <w:rFonts w:cs="Arial"/>
          <w:szCs w:val="22"/>
        </w:rPr>
        <w:lastRenderedPageBreak/>
        <w:t>the rights and interests of Telstra Corporation Limited:</w:t>
      </w:r>
    </w:p>
    <w:p w:rsidR="008A43A4" w:rsidRDefault="008A43A4" w:rsidP="008A43A4">
      <w:pPr>
        <w:numPr>
          <w:ilvl w:val="2"/>
          <w:numId w:val="2"/>
        </w:numPr>
        <w:tabs>
          <w:tab w:val="clear" w:pos="2160"/>
          <w:tab w:val="num" w:pos="1854"/>
        </w:tabs>
        <w:spacing w:after="120"/>
        <w:ind w:left="1854"/>
        <w:jc w:val="left"/>
        <w:rPr>
          <w:rFonts w:cs="Arial"/>
          <w:szCs w:val="22"/>
        </w:rPr>
      </w:pPr>
      <w:r>
        <w:rPr>
          <w:rFonts w:cs="Arial"/>
          <w:szCs w:val="22"/>
        </w:rPr>
        <w:t>as the owner or operator of telecommunications facilities within the Determination Area;</w:t>
      </w:r>
    </w:p>
    <w:p w:rsidR="008A43A4" w:rsidRDefault="008A43A4" w:rsidP="008A43A4">
      <w:pPr>
        <w:numPr>
          <w:ilvl w:val="2"/>
          <w:numId w:val="2"/>
        </w:numPr>
        <w:tabs>
          <w:tab w:val="clear" w:pos="2160"/>
          <w:tab w:val="num" w:pos="1854"/>
        </w:tabs>
        <w:spacing w:after="120"/>
        <w:ind w:left="1854"/>
        <w:jc w:val="left"/>
        <w:rPr>
          <w:rFonts w:cs="Arial"/>
          <w:szCs w:val="22"/>
        </w:rPr>
      </w:pPr>
      <w:r>
        <w:rPr>
          <w:rFonts w:cs="Arial"/>
          <w:szCs w:val="22"/>
        </w:rPr>
        <w:t xml:space="preserve">created pursuant to the </w:t>
      </w:r>
      <w:r>
        <w:rPr>
          <w:rFonts w:cs="Arial"/>
          <w:i/>
          <w:iCs/>
          <w:szCs w:val="22"/>
        </w:rPr>
        <w:t>Post and Telegraph Act 1901</w:t>
      </w:r>
      <w:r>
        <w:rPr>
          <w:rFonts w:cs="Arial"/>
          <w:szCs w:val="22"/>
        </w:rPr>
        <w:t xml:space="preserve"> (</w:t>
      </w:r>
      <w:proofErr w:type="spellStart"/>
      <w:r>
        <w:rPr>
          <w:rFonts w:cs="Arial"/>
          <w:szCs w:val="22"/>
        </w:rPr>
        <w:t>Cth</w:t>
      </w:r>
      <w:proofErr w:type="spellEnd"/>
      <w:r>
        <w:rPr>
          <w:rFonts w:cs="Arial"/>
          <w:szCs w:val="22"/>
        </w:rPr>
        <w:t xml:space="preserve">), the </w:t>
      </w:r>
      <w:r>
        <w:rPr>
          <w:rFonts w:cs="Arial"/>
          <w:i/>
          <w:iCs/>
          <w:szCs w:val="22"/>
        </w:rPr>
        <w:t>Telecommunications Act</w:t>
      </w:r>
      <w:r>
        <w:rPr>
          <w:rFonts w:cs="Arial"/>
          <w:szCs w:val="22"/>
        </w:rPr>
        <w:t xml:space="preserve"> </w:t>
      </w:r>
      <w:r>
        <w:rPr>
          <w:rFonts w:cs="Arial"/>
          <w:i/>
          <w:iCs/>
          <w:szCs w:val="22"/>
        </w:rPr>
        <w:t>1975</w:t>
      </w:r>
      <w:r>
        <w:rPr>
          <w:rFonts w:cs="Arial"/>
          <w:szCs w:val="22"/>
        </w:rPr>
        <w:t xml:space="preserve"> (</w:t>
      </w:r>
      <w:proofErr w:type="spellStart"/>
      <w:r>
        <w:rPr>
          <w:rFonts w:cs="Arial"/>
          <w:szCs w:val="22"/>
        </w:rPr>
        <w:t>Cth</w:t>
      </w:r>
      <w:proofErr w:type="spellEnd"/>
      <w:r>
        <w:rPr>
          <w:rFonts w:cs="Arial"/>
          <w:szCs w:val="22"/>
        </w:rPr>
        <w:t xml:space="preserve">), the </w:t>
      </w:r>
      <w:r>
        <w:rPr>
          <w:rFonts w:cs="Arial"/>
          <w:i/>
          <w:iCs/>
          <w:szCs w:val="22"/>
        </w:rPr>
        <w:t>Australian Telecommunications Corporation Act</w:t>
      </w:r>
      <w:r>
        <w:rPr>
          <w:rFonts w:cs="Arial"/>
          <w:szCs w:val="22"/>
        </w:rPr>
        <w:t xml:space="preserve"> </w:t>
      </w:r>
      <w:r>
        <w:rPr>
          <w:rFonts w:cs="Arial"/>
          <w:i/>
          <w:iCs/>
          <w:szCs w:val="22"/>
        </w:rPr>
        <w:t>1989</w:t>
      </w:r>
      <w:r>
        <w:rPr>
          <w:rFonts w:cs="Arial"/>
          <w:szCs w:val="22"/>
        </w:rPr>
        <w:t xml:space="preserve"> (</w:t>
      </w:r>
      <w:proofErr w:type="spellStart"/>
      <w:r>
        <w:rPr>
          <w:rFonts w:cs="Arial"/>
          <w:szCs w:val="22"/>
        </w:rPr>
        <w:t>Cth</w:t>
      </w:r>
      <w:proofErr w:type="spellEnd"/>
      <w:r>
        <w:rPr>
          <w:rFonts w:cs="Arial"/>
          <w:szCs w:val="22"/>
        </w:rPr>
        <w:t xml:space="preserve">), the </w:t>
      </w:r>
      <w:r>
        <w:rPr>
          <w:rFonts w:cs="Arial"/>
          <w:i/>
          <w:iCs/>
          <w:szCs w:val="22"/>
        </w:rPr>
        <w:t>Telecommunications Act 1991</w:t>
      </w:r>
      <w:r>
        <w:rPr>
          <w:rFonts w:cs="Arial"/>
          <w:szCs w:val="22"/>
        </w:rPr>
        <w:t xml:space="preserve"> (</w:t>
      </w:r>
      <w:proofErr w:type="spellStart"/>
      <w:r>
        <w:rPr>
          <w:rFonts w:cs="Arial"/>
          <w:szCs w:val="22"/>
        </w:rPr>
        <w:t>Cth</w:t>
      </w:r>
      <w:proofErr w:type="spellEnd"/>
      <w:r>
        <w:rPr>
          <w:rFonts w:cs="Arial"/>
          <w:szCs w:val="22"/>
        </w:rPr>
        <w:t xml:space="preserve">) and the </w:t>
      </w:r>
      <w:r>
        <w:rPr>
          <w:rFonts w:cs="Arial"/>
          <w:i/>
          <w:iCs/>
          <w:szCs w:val="22"/>
        </w:rPr>
        <w:t>Telecommunications Act</w:t>
      </w:r>
      <w:r>
        <w:rPr>
          <w:rFonts w:cs="Arial"/>
          <w:szCs w:val="22"/>
        </w:rPr>
        <w:t xml:space="preserve"> </w:t>
      </w:r>
      <w:r>
        <w:rPr>
          <w:rFonts w:cs="Arial"/>
          <w:i/>
          <w:iCs/>
          <w:szCs w:val="22"/>
        </w:rPr>
        <w:t xml:space="preserve">1997 </w:t>
      </w:r>
      <w:r>
        <w:rPr>
          <w:rFonts w:cs="Arial"/>
          <w:szCs w:val="22"/>
        </w:rPr>
        <w:t>(</w:t>
      </w:r>
      <w:proofErr w:type="spellStart"/>
      <w:r>
        <w:rPr>
          <w:rFonts w:cs="Arial"/>
          <w:szCs w:val="22"/>
        </w:rPr>
        <w:t>Cth</w:t>
      </w:r>
      <w:proofErr w:type="spellEnd"/>
      <w:r>
        <w:rPr>
          <w:rFonts w:cs="Arial"/>
          <w:szCs w:val="22"/>
        </w:rPr>
        <w:t>), including:</w:t>
      </w:r>
    </w:p>
    <w:p w:rsidR="008A43A4" w:rsidRDefault="008A43A4" w:rsidP="008A43A4">
      <w:pPr>
        <w:numPr>
          <w:ilvl w:val="0"/>
          <w:numId w:val="21"/>
        </w:numPr>
        <w:tabs>
          <w:tab w:val="clear" w:pos="2155"/>
          <w:tab w:val="left" w:pos="2552"/>
        </w:tabs>
        <w:spacing w:after="120"/>
        <w:ind w:left="2552" w:hanging="709"/>
        <w:jc w:val="left"/>
        <w:rPr>
          <w:rFonts w:cs="Arial"/>
          <w:szCs w:val="22"/>
        </w:rPr>
      </w:pPr>
      <w:r>
        <w:rPr>
          <w:rFonts w:cs="Arial"/>
          <w:szCs w:val="22"/>
        </w:rPr>
        <w:t>to inspect land;</w:t>
      </w:r>
    </w:p>
    <w:p w:rsidR="008A43A4" w:rsidRDefault="008A43A4" w:rsidP="008A43A4">
      <w:pPr>
        <w:numPr>
          <w:ilvl w:val="0"/>
          <w:numId w:val="21"/>
        </w:numPr>
        <w:tabs>
          <w:tab w:val="clear" w:pos="2155"/>
          <w:tab w:val="left" w:pos="2552"/>
        </w:tabs>
        <w:spacing w:after="120"/>
        <w:ind w:left="2552" w:hanging="709"/>
        <w:jc w:val="left"/>
        <w:rPr>
          <w:rFonts w:cs="Arial"/>
          <w:szCs w:val="22"/>
        </w:rPr>
      </w:pPr>
      <w:r>
        <w:rPr>
          <w:rFonts w:cs="Arial"/>
          <w:szCs w:val="22"/>
        </w:rPr>
        <w:t>to install and operate existing and new telecommunications facilities;</w:t>
      </w:r>
    </w:p>
    <w:p w:rsidR="008A43A4" w:rsidRDefault="008A43A4" w:rsidP="008A43A4">
      <w:pPr>
        <w:numPr>
          <w:ilvl w:val="0"/>
          <w:numId w:val="21"/>
        </w:numPr>
        <w:tabs>
          <w:tab w:val="clear" w:pos="2155"/>
          <w:tab w:val="left" w:pos="2552"/>
        </w:tabs>
        <w:spacing w:after="120"/>
        <w:ind w:left="2552" w:hanging="709"/>
        <w:jc w:val="left"/>
        <w:rPr>
          <w:rFonts w:cs="Arial"/>
          <w:szCs w:val="22"/>
        </w:rPr>
      </w:pPr>
      <w:r>
        <w:rPr>
          <w:rFonts w:cs="Arial"/>
          <w:szCs w:val="22"/>
        </w:rPr>
        <w:t>to alter, remove, replace, maintain, repair and ensure the proper functioning of its existing and any new telecommunications facilities, including cabling, customer terminal sites and ancillary facilities; and</w:t>
      </w:r>
    </w:p>
    <w:p w:rsidR="008A43A4" w:rsidRDefault="008A43A4" w:rsidP="008A43A4">
      <w:pPr>
        <w:numPr>
          <w:ilvl w:val="2"/>
          <w:numId w:val="20"/>
        </w:numPr>
        <w:spacing w:after="120"/>
        <w:ind w:left="1854" w:hanging="720"/>
        <w:jc w:val="left"/>
        <w:rPr>
          <w:rFonts w:cs="Arial"/>
        </w:rPr>
      </w:pPr>
      <w:r>
        <w:rPr>
          <w:rFonts w:cs="Arial"/>
          <w:szCs w:val="22"/>
        </w:rPr>
        <w:t>for its employees, agents or contractors to enter the Determination Area to access its facilities, in and in the vicinity of, the Determination Area in the performance of their duties;</w:t>
      </w:r>
      <w:r>
        <w:rPr>
          <w:rFonts w:cs="Arial"/>
        </w:rPr>
        <w:t xml:space="preserve"> </w:t>
      </w:r>
    </w:p>
    <w:p w:rsidR="008A43A4" w:rsidRDefault="008A43A4" w:rsidP="008A43A4">
      <w:pPr>
        <w:numPr>
          <w:ilvl w:val="2"/>
          <w:numId w:val="20"/>
        </w:numPr>
        <w:spacing w:after="120"/>
        <w:ind w:left="1854" w:hanging="686"/>
        <w:jc w:val="left"/>
        <w:rPr>
          <w:rFonts w:cs="Arial"/>
        </w:rPr>
      </w:pPr>
      <w:r>
        <w:rPr>
          <w:rFonts w:cs="Arial"/>
        </w:rPr>
        <w:t>under any leases, licences, access agreements or easements relating to its telecommunications facilities in the Determination Area;</w:t>
      </w:r>
    </w:p>
    <w:p w:rsidR="008A43A4" w:rsidRDefault="008A43A4" w:rsidP="008A43A4">
      <w:pPr>
        <w:numPr>
          <w:ilvl w:val="1"/>
          <w:numId w:val="20"/>
        </w:numPr>
        <w:spacing w:after="240"/>
        <w:rPr>
          <w:rFonts w:cs="Arial"/>
        </w:rPr>
      </w:pPr>
      <w:r>
        <w:rPr>
          <w:rFonts w:cs="Arial"/>
        </w:rPr>
        <w:t>the rights and interests of Epic Energy South Australia Pty Ltd (formerly Tenneco Gas South Australia Pty Ltd) (“Epic”):</w:t>
      </w:r>
    </w:p>
    <w:p w:rsidR="008A43A4" w:rsidRDefault="008A43A4" w:rsidP="008A43A4">
      <w:pPr>
        <w:numPr>
          <w:ilvl w:val="2"/>
          <w:numId w:val="20"/>
        </w:numPr>
        <w:spacing w:after="240"/>
        <w:ind w:left="1854" w:hanging="720"/>
        <w:rPr>
          <w:rFonts w:cs="Arial"/>
        </w:rPr>
      </w:pPr>
      <w:r>
        <w:rPr>
          <w:rFonts w:cs="Arial"/>
        </w:rPr>
        <w:t>as:</w:t>
      </w:r>
    </w:p>
    <w:p w:rsidR="008A43A4" w:rsidRDefault="008A43A4" w:rsidP="008A43A4">
      <w:pPr>
        <w:spacing w:after="240"/>
        <w:ind w:left="2552" w:hanging="709"/>
        <w:rPr>
          <w:rFonts w:cs="Arial"/>
        </w:rPr>
      </w:pPr>
      <w:r>
        <w:rPr>
          <w:rFonts w:cs="Arial"/>
        </w:rPr>
        <w:t>(A)</w:t>
      </w:r>
      <w:r>
        <w:rPr>
          <w:rFonts w:cs="Arial"/>
        </w:rPr>
        <w:tab/>
        <w:t>holders of Pipeline Licence No. 1 (</w:t>
      </w:r>
      <w:proofErr w:type="spellStart"/>
      <w:r>
        <w:rPr>
          <w:rFonts w:cs="Arial"/>
        </w:rPr>
        <w:t>PL1</w:t>
      </w:r>
      <w:proofErr w:type="spellEnd"/>
      <w:r>
        <w:rPr>
          <w:rFonts w:cs="Arial"/>
        </w:rPr>
        <w:t xml:space="preserve">) issued pursuant to the </w:t>
      </w:r>
      <w:r>
        <w:rPr>
          <w:rFonts w:cs="Arial"/>
          <w:i/>
        </w:rPr>
        <w:t>Petroleum Act 1940</w:t>
      </w:r>
      <w:r>
        <w:rPr>
          <w:rFonts w:cs="Arial"/>
        </w:rPr>
        <w:t xml:space="preserve"> (SA) on 12 March 1969 and renewed on 27 March 1990 pursuant to the </w:t>
      </w:r>
      <w:r>
        <w:rPr>
          <w:rFonts w:cs="Arial"/>
          <w:i/>
        </w:rPr>
        <w:t>Petroleum Act 1940</w:t>
      </w:r>
      <w:r>
        <w:rPr>
          <w:rFonts w:cs="Arial"/>
        </w:rPr>
        <w:t xml:space="preserve"> (SA) and continuing in force by the operation of clause 2 of the Schedule to the </w:t>
      </w:r>
      <w:r>
        <w:rPr>
          <w:rFonts w:cs="Arial"/>
          <w:i/>
        </w:rPr>
        <w:t>Petroleum Act 2000</w:t>
      </w:r>
      <w:r>
        <w:rPr>
          <w:rFonts w:cs="Arial"/>
        </w:rPr>
        <w:t xml:space="preserve"> (SA); and</w:t>
      </w:r>
    </w:p>
    <w:p w:rsidR="008A43A4" w:rsidRDefault="008A43A4" w:rsidP="008A43A4">
      <w:pPr>
        <w:spacing w:after="240"/>
        <w:ind w:left="2552" w:hanging="709"/>
        <w:rPr>
          <w:rFonts w:cs="Arial"/>
        </w:rPr>
      </w:pPr>
      <w:r>
        <w:rPr>
          <w:rFonts w:cs="Arial"/>
        </w:rPr>
        <w:t>(B)</w:t>
      </w:r>
      <w:r>
        <w:rPr>
          <w:rFonts w:cs="Arial"/>
        </w:rPr>
        <w:tab/>
        <w:t xml:space="preserve">owner of the pipeline the subject thereof by virtue of having been a </w:t>
      </w:r>
      <w:r>
        <w:rPr>
          <w:rFonts w:cs="Arial"/>
          <w:i/>
        </w:rPr>
        <w:t>purchaser</w:t>
      </w:r>
      <w:r>
        <w:rPr>
          <w:rFonts w:cs="Arial"/>
        </w:rPr>
        <w:t xml:space="preserve"> of the pipeline (as </w:t>
      </w:r>
      <w:r>
        <w:rPr>
          <w:rFonts w:cs="Arial"/>
          <w:i/>
        </w:rPr>
        <w:t>purchaser</w:t>
      </w:r>
      <w:r>
        <w:rPr>
          <w:rFonts w:cs="Arial"/>
        </w:rPr>
        <w:t xml:space="preserve"> is defined in section 16 of </w:t>
      </w:r>
      <w:r>
        <w:rPr>
          <w:rFonts w:cs="Arial"/>
        </w:rPr>
        <w:lastRenderedPageBreak/>
        <w:t xml:space="preserve">the </w:t>
      </w:r>
      <w:r>
        <w:rPr>
          <w:rFonts w:cs="Arial"/>
          <w:i/>
        </w:rPr>
        <w:t>Natural Gas Authority Act 1967</w:t>
      </w:r>
      <w:r>
        <w:rPr>
          <w:rFonts w:cs="Arial"/>
        </w:rPr>
        <w:t xml:space="preserve"> (SA) as amended by the </w:t>
      </w:r>
      <w:r>
        <w:rPr>
          <w:rFonts w:cs="Arial"/>
          <w:i/>
        </w:rPr>
        <w:t>Pipelines Authority (Sale of Pipelines) Amendment Act 1995</w:t>
      </w:r>
      <w:r>
        <w:rPr>
          <w:rFonts w:cs="Arial"/>
        </w:rPr>
        <w:t xml:space="preserve"> (SA) (“Sale Legislation”) from the former Pipeline Authority of South Australia (“</w:t>
      </w:r>
      <w:proofErr w:type="spellStart"/>
      <w:r>
        <w:rPr>
          <w:rFonts w:cs="Arial"/>
        </w:rPr>
        <w:t>PASA</w:t>
      </w:r>
      <w:proofErr w:type="spellEnd"/>
      <w:r>
        <w:rPr>
          <w:rFonts w:cs="Arial"/>
        </w:rPr>
        <w:t>”), now the Natural Gas Authority of South Australia (“</w:t>
      </w:r>
      <w:proofErr w:type="spellStart"/>
      <w:r>
        <w:rPr>
          <w:rFonts w:cs="Arial"/>
        </w:rPr>
        <w:t>NGASA</w:t>
      </w:r>
      <w:proofErr w:type="spellEnd"/>
      <w:r>
        <w:rPr>
          <w:rFonts w:cs="Arial"/>
        </w:rPr>
        <w:t>”) pursuant to a Sale Agreement dated 30 June 1995 under the Sale Legislation;</w:t>
      </w:r>
    </w:p>
    <w:p w:rsidR="008A43A4" w:rsidRDefault="008A43A4" w:rsidP="008A43A4">
      <w:pPr>
        <w:numPr>
          <w:ilvl w:val="2"/>
          <w:numId w:val="20"/>
        </w:numPr>
        <w:spacing w:after="240"/>
        <w:ind w:left="1854" w:hanging="720"/>
        <w:rPr>
          <w:rFonts w:cs="Arial"/>
        </w:rPr>
      </w:pPr>
      <w:r>
        <w:rPr>
          <w:rFonts w:cs="Arial"/>
        </w:rPr>
        <w:t xml:space="preserve">where the licensed pipeline was established pursuant to the </w:t>
      </w:r>
      <w:r>
        <w:rPr>
          <w:rFonts w:cs="Arial"/>
          <w:i/>
        </w:rPr>
        <w:t>Natural Gas Authority Act 1967</w:t>
      </w:r>
      <w:r>
        <w:rPr>
          <w:rFonts w:cs="Arial"/>
        </w:rPr>
        <w:t xml:space="preserve"> (SA) and is located within a statutory easement established by section 9 of the Sale Legislation and section  28 of the Sale Legislation provides:</w:t>
      </w:r>
    </w:p>
    <w:p w:rsidR="008A43A4" w:rsidRDefault="008A43A4" w:rsidP="008A43A4">
      <w:pPr>
        <w:spacing w:after="240"/>
        <w:ind w:left="3402" w:hanging="783"/>
        <w:rPr>
          <w:rFonts w:cs="Arial"/>
        </w:rPr>
      </w:pPr>
      <w:r>
        <w:rPr>
          <w:rFonts w:cs="Arial"/>
        </w:rPr>
        <w:t>“(1)</w:t>
      </w:r>
      <w:r>
        <w:rPr>
          <w:rFonts w:cs="Arial"/>
        </w:rPr>
        <w:tab/>
        <w:t>The creation of the statutory easement under this Act, or the grant of a pipeline lease, does not affect any native title that may exist in the land to which the easement or lease relates.</w:t>
      </w:r>
    </w:p>
    <w:p w:rsidR="008A43A4" w:rsidRDefault="008A43A4" w:rsidP="008A43A4">
      <w:pPr>
        <w:spacing w:after="240"/>
        <w:ind w:left="3402" w:hanging="783"/>
        <w:rPr>
          <w:rFonts w:cs="Arial"/>
        </w:rPr>
      </w:pPr>
      <w:r>
        <w:rPr>
          <w:rFonts w:cs="Arial"/>
        </w:rPr>
        <w:t>(2)</w:t>
      </w:r>
      <w:r>
        <w:rPr>
          <w:rFonts w:cs="Arial"/>
        </w:rPr>
        <w:tab/>
        <w:t>The statutory easement or a pipeline lease under this Act does not derogate from pre-existing rights of Aboriginal people to enter, travel across or stay on land subject to the easement or lease.”;</w:t>
      </w:r>
    </w:p>
    <w:p w:rsidR="008A43A4" w:rsidRDefault="008A43A4" w:rsidP="008A43A4">
      <w:pPr>
        <w:numPr>
          <w:ilvl w:val="2"/>
          <w:numId w:val="20"/>
        </w:numPr>
        <w:spacing w:after="240"/>
        <w:ind w:left="1854" w:hanging="720"/>
        <w:rPr>
          <w:rFonts w:cs="Arial"/>
        </w:rPr>
      </w:pPr>
      <w:r>
        <w:rPr>
          <w:rFonts w:cs="Arial"/>
        </w:rPr>
        <w:t xml:space="preserve">the statutory easement entitles Epic, </w:t>
      </w:r>
      <w:r>
        <w:rPr>
          <w:rFonts w:cs="Arial"/>
          <w:i/>
        </w:rPr>
        <w:t>inter alia</w:t>
      </w:r>
      <w:r>
        <w:rPr>
          <w:rFonts w:cs="Arial"/>
        </w:rPr>
        <w:t>, to install, maintain and operate the pipeline and to carry out authorised purposes including the installation, operation, inspection, extension, alteration, repair and removal of the pipeline or associated equipment and the carrying out of maintenance work on the pipeline or associated equipment;</w:t>
      </w:r>
    </w:p>
    <w:p w:rsidR="008A43A4" w:rsidRDefault="008A43A4" w:rsidP="008A43A4">
      <w:pPr>
        <w:numPr>
          <w:ilvl w:val="2"/>
          <w:numId w:val="20"/>
        </w:numPr>
        <w:ind w:left="1854" w:hanging="720"/>
        <w:rPr>
          <w:rFonts w:cs="Arial"/>
        </w:rPr>
      </w:pPr>
      <w:r>
        <w:rPr>
          <w:rFonts w:cs="Arial"/>
        </w:rPr>
        <w:t>for Epic, its employees, agents and contractors (or any of them) to enter the Determination Area to access Epic’s rights and interests and to do all things necessary to exercise those rights and interests and perform all obligations in the vicinity of the Determination Area in performance of their duties;</w:t>
      </w:r>
    </w:p>
    <w:p w:rsidR="008A43A4" w:rsidRDefault="008A43A4" w:rsidP="008A43A4">
      <w:pPr>
        <w:numPr>
          <w:ilvl w:val="1"/>
          <w:numId w:val="20"/>
        </w:numPr>
        <w:rPr>
          <w:rFonts w:cs="Arial"/>
        </w:rPr>
      </w:pPr>
      <w:r>
        <w:rPr>
          <w:rFonts w:cs="Arial"/>
        </w:rPr>
        <w:t xml:space="preserve">the rights and interests of the “Producers” as defined in the </w:t>
      </w:r>
      <w:r>
        <w:rPr>
          <w:rFonts w:cs="Arial"/>
          <w:i/>
        </w:rPr>
        <w:t>Cooper Basin (Ratification) Act 1975</w:t>
      </w:r>
      <w:r>
        <w:rPr>
          <w:rFonts w:cs="Arial"/>
        </w:rPr>
        <w:t xml:space="preserve"> (SA):</w:t>
      </w:r>
    </w:p>
    <w:p w:rsidR="008A43A4" w:rsidRDefault="008A43A4" w:rsidP="008A43A4">
      <w:pPr>
        <w:numPr>
          <w:ilvl w:val="2"/>
          <w:numId w:val="20"/>
        </w:numPr>
        <w:ind w:left="1854" w:hanging="720"/>
        <w:rPr>
          <w:rFonts w:cs="Arial"/>
        </w:rPr>
      </w:pPr>
      <w:r>
        <w:rPr>
          <w:rFonts w:cs="Arial"/>
        </w:rPr>
        <w:lastRenderedPageBreak/>
        <w:t xml:space="preserve">as holders of Pipeline Licence </w:t>
      </w:r>
      <w:proofErr w:type="spellStart"/>
      <w:r>
        <w:rPr>
          <w:rFonts w:cs="Arial"/>
        </w:rPr>
        <w:t>No.2</w:t>
      </w:r>
      <w:proofErr w:type="spellEnd"/>
      <w:r>
        <w:rPr>
          <w:rFonts w:cs="Arial"/>
        </w:rPr>
        <w:t xml:space="preserve"> (</w:t>
      </w:r>
      <w:proofErr w:type="spellStart"/>
      <w:r>
        <w:rPr>
          <w:rFonts w:cs="Arial"/>
        </w:rPr>
        <w:t>PL2</w:t>
      </w:r>
      <w:proofErr w:type="spellEnd"/>
      <w:r>
        <w:rPr>
          <w:rFonts w:cs="Arial"/>
        </w:rPr>
        <w:t xml:space="preserve">) granted to the Producers on 26 November 1981 under the </w:t>
      </w:r>
      <w:r>
        <w:rPr>
          <w:rFonts w:cs="Arial"/>
          <w:i/>
        </w:rPr>
        <w:t>Petroleum Act 1940</w:t>
      </w:r>
      <w:r>
        <w:rPr>
          <w:rFonts w:cs="Arial"/>
        </w:rPr>
        <w:t xml:space="preserve"> (SA) and renewed on 3 May 2003 under the </w:t>
      </w:r>
      <w:r>
        <w:rPr>
          <w:rFonts w:cs="Arial"/>
          <w:i/>
        </w:rPr>
        <w:t>Petroleum Act 2000</w:t>
      </w:r>
      <w:r>
        <w:rPr>
          <w:rFonts w:cs="Arial"/>
        </w:rPr>
        <w:t xml:space="preserve"> (SA) and continuing in force by the operation of clause 2 of the Schedule to the </w:t>
      </w:r>
      <w:r>
        <w:rPr>
          <w:rFonts w:cs="Arial"/>
          <w:i/>
        </w:rPr>
        <w:t xml:space="preserve">Petroleum Act 2000 </w:t>
      </w:r>
      <w:r>
        <w:rPr>
          <w:rFonts w:cs="Arial"/>
        </w:rPr>
        <w:t>(SA);</w:t>
      </w:r>
    </w:p>
    <w:p w:rsidR="008A43A4" w:rsidRDefault="008A43A4" w:rsidP="008A43A4">
      <w:pPr>
        <w:numPr>
          <w:ilvl w:val="2"/>
          <w:numId w:val="20"/>
        </w:numPr>
        <w:ind w:left="1854" w:hanging="720"/>
        <w:rPr>
          <w:rFonts w:cs="Arial"/>
        </w:rPr>
      </w:pPr>
      <w:r>
        <w:rPr>
          <w:rFonts w:cs="Arial"/>
        </w:rPr>
        <w:t xml:space="preserve">created pursuant to the </w:t>
      </w:r>
      <w:proofErr w:type="spellStart"/>
      <w:r>
        <w:rPr>
          <w:rFonts w:cs="Arial"/>
          <w:i/>
        </w:rPr>
        <w:t>Stoney</w:t>
      </w:r>
      <w:proofErr w:type="spellEnd"/>
      <w:r>
        <w:rPr>
          <w:rFonts w:cs="Arial"/>
          <w:i/>
        </w:rPr>
        <w:t xml:space="preserve"> Point (Liquids Project) Ratification Act 1981</w:t>
      </w:r>
      <w:r>
        <w:rPr>
          <w:rFonts w:cs="Arial"/>
        </w:rPr>
        <w:t xml:space="preserve"> (SA);</w:t>
      </w:r>
    </w:p>
    <w:p w:rsidR="008A43A4" w:rsidRDefault="008A43A4" w:rsidP="008A43A4">
      <w:pPr>
        <w:numPr>
          <w:ilvl w:val="2"/>
          <w:numId w:val="20"/>
        </w:numPr>
        <w:ind w:left="1854" w:hanging="720"/>
        <w:rPr>
          <w:rFonts w:cs="Arial"/>
        </w:rPr>
      </w:pPr>
      <w:r>
        <w:rPr>
          <w:rFonts w:cs="Arial"/>
        </w:rPr>
        <w:t xml:space="preserve">granted to the Producers pursuant to the former </w:t>
      </w:r>
      <w:proofErr w:type="spellStart"/>
      <w:r>
        <w:rPr>
          <w:rFonts w:cs="Arial"/>
        </w:rPr>
        <w:t>PASA</w:t>
      </w:r>
      <w:proofErr w:type="spellEnd"/>
      <w:r>
        <w:rPr>
          <w:rFonts w:cs="Arial"/>
        </w:rPr>
        <w:t xml:space="preserve"> (now </w:t>
      </w:r>
      <w:proofErr w:type="spellStart"/>
      <w:r>
        <w:rPr>
          <w:rFonts w:cs="Arial"/>
        </w:rPr>
        <w:t>NGASA</w:t>
      </w:r>
      <w:proofErr w:type="spellEnd"/>
      <w:r>
        <w:rPr>
          <w:rFonts w:cs="Arial"/>
        </w:rPr>
        <w:t>) and the Producers’ Right of Way Agreement dated 26 November 1981;</w:t>
      </w:r>
    </w:p>
    <w:p w:rsidR="008A43A4" w:rsidRDefault="008A43A4" w:rsidP="008A43A4">
      <w:pPr>
        <w:numPr>
          <w:ilvl w:val="2"/>
          <w:numId w:val="20"/>
        </w:numPr>
        <w:ind w:left="1854" w:hanging="720"/>
        <w:rPr>
          <w:rFonts w:cs="Arial"/>
        </w:rPr>
      </w:pPr>
      <w:r>
        <w:rPr>
          <w:rFonts w:cs="Arial"/>
        </w:rPr>
        <w:t>for the Producers’ employees, agents or contractors to enter the Determination Area to access the Producers’ rights and interests and to do all things necessary to exercise those rights and interests in the vicinity of the Determination Area in performance of their duties.</w:t>
      </w:r>
    </w:p>
    <w:p w:rsidR="008A43A4" w:rsidRDefault="008A43A4" w:rsidP="008A43A4">
      <w:pPr>
        <w:tabs>
          <w:tab w:val="left" w:pos="1760"/>
        </w:tabs>
        <w:ind w:left="1170"/>
        <w:rPr>
          <w:rFonts w:cs="Arial"/>
        </w:rPr>
      </w:pPr>
    </w:p>
    <w:p w:rsidR="008A43A4" w:rsidRPr="00E04C0D" w:rsidRDefault="008A43A4" w:rsidP="008A43A4">
      <w:pPr>
        <w:numPr>
          <w:ilvl w:val="0"/>
          <w:numId w:val="2"/>
        </w:numPr>
        <w:tabs>
          <w:tab w:val="clear" w:pos="720"/>
          <w:tab w:val="num" w:pos="567"/>
        </w:tabs>
        <w:spacing w:after="120"/>
        <w:ind w:left="567" w:hanging="567"/>
      </w:pPr>
      <w:r w:rsidRPr="00E04C0D">
        <w:t>Native title rights and interests do not exist in respect of those parts of the Determination Area being any house, shed or other building or airstrip or any dam or other stock watering point constructed pursuant to the pastoral leases referred to in Paragraph 11(a).  These areas comprise the land on which the improvements of the kind referred to herein have been constructed prior to the date hereof and include any adjacent land or waters the exclusive use of which is necessary for the enjoyment of the improvements referred to.</w:t>
      </w:r>
    </w:p>
    <w:p w:rsidR="008A43A4" w:rsidRPr="00E04C0D" w:rsidRDefault="008A43A4" w:rsidP="008A43A4">
      <w:pPr>
        <w:numPr>
          <w:ilvl w:val="0"/>
          <w:numId w:val="2"/>
        </w:numPr>
        <w:tabs>
          <w:tab w:val="clear" w:pos="720"/>
          <w:tab w:val="num" w:pos="567"/>
        </w:tabs>
        <w:spacing w:after="120"/>
        <w:ind w:left="567" w:hanging="567"/>
      </w:pPr>
      <w:r w:rsidRPr="00E04C0D">
        <w:t>For the avoidance of doubt, Paragraph 12 does not preclude the possibility of further extinguishment, according to law, of native title over other limited parts of the Determination Area by reason of the construction of new pastoral improvements of the kind referred to in Paragraph 12 after the date of this determination.</w:t>
      </w:r>
    </w:p>
    <w:p w:rsidR="008A43A4" w:rsidRPr="00E04C0D" w:rsidRDefault="008A43A4" w:rsidP="008A43A4">
      <w:pPr>
        <w:numPr>
          <w:ilvl w:val="0"/>
          <w:numId w:val="2"/>
        </w:numPr>
        <w:tabs>
          <w:tab w:val="clear" w:pos="720"/>
          <w:tab w:val="num" w:pos="567"/>
        </w:tabs>
        <w:spacing w:after="120"/>
        <w:ind w:left="567" w:hanging="567"/>
      </w:pPr>
      <w:r w:rsidRPr="00E04C0D">
        <w:t>Subject to Paragraph 15, the relationship between the native title rights and interests in the Determination Area that are described in Paragraph 7 and the other rights and interests that are referred to in Paragraph 11 (“the Other rights and interests”) is that:</w:t>
      </w:r>
    </w:p>
    <w:p w:rsidR="008A43A4" w:rsidRDefault="008A43A4" w:rsidP="008A43A4">
      <w:pPr>
        <w:numPr>
          <w:ilvl w:val="1"/>
          <w:numId w:val="28"/>
        </w:numPr>
        <w:spacing w:after="120"/>
        <w:rPr>
          <w:rFonts w:cs="Arial"/>
        </w:rPr>
      </w:pPr>
      <w:r>
        <w:rPr>
          <w:rFonts w:cs="Arial"/>
        </w:rPr>
        <w:t>the Other rights and interests co-exist with the native title rights and interests;</w:t>
      </w:r>
    </w:p>
    <w:p w:rsidR="008A43A4" w:rsidRDefault="008A43A4" w:rsidP="008A43A4">
      <w:pPr>
        <w:numPr>
          <w:ilvl w:val="1"/>
          <w:numId w:val="28"/>
        </w:numPr>
        <w:spacing w:after="240"/>
        <w:rPr>
          <w:rFonts w:cs="Arial"/>
        </w:rPr>
      </w:pPr>
      <w:r w:rsidRPr="00B67C85">
        <w:rPr>
          <w:rFonts w:cs="Arial"/>
        </w:rPr>
        <w:t xml:space="preserve">in the event of inconsistency, the </w:t>
      </w:r>
      <w:r>
        <w:rPr>
          <w:rFonts w:cs="Arial"/>
        </w:rPr>
        <w:t>Other</w:t>
      </w:r>
      <w:r w:rsidRPr="00B67C85">
        <w:rPr>
          <w:rFonts w:cs="Arial"/>
        </w:rPr>
        <w:t xml:space="preserve"> rights and interests prevail over the native title rights and interests and any exercise of the native title rights and interests, but do not extinguish them; and</w:t>
      </w:r>
    </w:p>
    <w:p w:rsidR="008A43A4" w:rsidRPr="00B67C85" w:rsidRDefault="008A43A4" w:rsidP="008A43A4">
      <w:pPr>
        <w:numPr>
          <w:ilvl w:val="1"/>
          <w:numId w:val="28"/>
        </w:numPr>
        <w:spacing w:after="240"/>
        <w:rPr>
          <w:rFonts w:cs="Arial"/>
        </w:rPr>
      </w:pPr>
      <w:r w:rsidRPr="00B67C85">
        <w:rPr>
          <w:rFonts w:cs="Arial"/>
        </w:rPr>
        <w:lastRenderedPageBreak/>
        <w:t xml:space="preserve">the existence of the native title rights and interests does not prevent the doing of any activity required or permitted to be done by, in accordance with or under the  </w:t>
      </w:r>
      <w:r>
        <w:rPr>
          <w:rFonts w:cs="Arial"/>
        </w:rPr>
        <w:t>Other</w:t>
      </w:r>
      <w:r w:rsidRPr="00B67C85">
        <w:rPr>
          <w:rFonts w:cs="Arial"/>
        </w:rPr>
        <w:t xml:space="preserve"> rights and interests.</w:t>
      </w:r>
    </w:p>
    <w:p w:rsidR="008A43A4" w:rsidRPr="00E04C0D" w:rsidRDefault="008A43A4" w:rsidP="008A43A4">
      <w:pPr>
        <w:numPr>
          <w:ilvl w:val="0"/>
          <w:numId w:val="2"/>
        </w:numPr>
        <w:tabs>
          <w:tab w:val="clear" w:pos="720"/>
          <w:tab w:val="num" w:pos="567"/>
        </w:tabs>
        <w:spacing w:after="120"/>
        <w:ind w:left="567" w:hanging="567"/>
      </w:pPr>
      <w:r w:rsidRPr="00E04C0D">
        <w:t>Native title rights and interests do not exist in:</w:t>
      </w:r>
    </w:p>
    <w:p w:rsidR="008A43A4" w:rsidRDefault="008A43A4" w:rsidP="008A43A4">
      <w:pPr>
        <w:numPr>
          <w:ilvl w:val="1"/>
          <w:numId w:val="29"/>
        </w:numPr>
        <w:tabs>
          <w:tab w:val="left" w:pos="709"/>
        </w:tabs>
        <w:spacing w:after="240"/>
        <w:rPr>
          <w:rFonts w:cs="Arial"/>
        </w:rPr>
      </w:pPr>
      <w:r>
        <w:rPr>
          <w:rFonts w:cs="Arial"/>
        </w:rPr>
        <w:t xml:space="preserve">Minerals, as defined in section 6 of the </w:t>
      </w:r>
      <w:r>
        <w:rPr>
          <w:rFonts w:cs="Arial"/>
          <w:i/>
        </w:rPr>
        <w:t xml:space="preserve">Mining Act 1971 </w:t>
      </w:r>
      <w:r>
        <w:rPr>
          <w:rFonts w:cs="Arial"/>
        </w:rPr>
        <w:t>(SA); or</w:t>
      </w:r>
    </w:p>
    <w:p w:rsidR="008A43A4" w:rsidRDefault="008A43A4" w:rsidP="008A43A4">
      <w:pPr>
        <w:numPr>
          <w:ilvl w:val="1"/>
          <w:numId w:val="29"/>
        </w:numPr>
        <w:tabs>
          <w:tab w:val="left" w:pos="1430"/>
        </w:tabs>
        <w:spacing w:after="240"/>
        <w:rPr>
          <w:rFonts w:cs="Arial"/>
        </w:rPr>
      </w:pPr>
      <w:r>
        <w:rPr>
          <w:rFonts w:cs="Arial"/>
        </w:rPr>
        <w:t xml:space="preserve">Petroleum, as defined in section 4 of the </w:t>
      </w:r>
      <w:r>
        <w:rPr>
          <w:rFonts w:cs="Arial"/>
          <w:i/>
        </w:rPr>
        <w:t xml:space="preserve">Petroleum and Geothermal Energy Act 2000 </w:t>
      </w:r>
      <w:r>
        <w:rPr>
          <w:rFonts w:cs="Arial"/>
        </w:rPr>
        <w:t>(SA); or</w:t>
      </w:r>
    </w:p>
    <w:p w:rsidR="008A43A4" w:rsidRDefault="008A43A4" w:rsidP="008A43A4">
      <w:pPr>
        <w:numPr>
          <w:ilvl w:val="1"/>
          <w:numId w:val="29"/>
        </w:numPr>
        <w:tabs>
          <w:tab w:val="left" w:pos="1430"/>
        </w:tabs>
        <w:spacing w:after="240"/>
        <w:rPr>
          <w:rFonts w:cs="Arial"/>
        </w:rPr>
      </w:pPr>
      <w:r>
        <w:rPr>
          <w:rFonts w:cs="Arial"/>
        </w:rPr>
        <w:t xml:space="preserve">a naturally occurring underground accumulation of a regulated substance as defined in section 4 of the </w:t>
      </w:r>
      <w:r>
        <w:rPr>
          <w:rFonts w:cs="Arial"/>
          <w:i/>
        </w:rPr>
        <w:t xml:space="preserve">Petroleum and Geothermal Energy Act 2000 </w:t>
      </w:r>
      <w:r>
        <w:rPr>
          <w:rFonts w:cs="Arial"/>
        </w:rPr>
        <w:t>(SA), below a depth of 100 metres from the surface of the earth; or</w:t>
      </w:r>
    </w:p>
    <w:p w:rsidR="008A43A4" w:rsidRDefault="008A43A4" w:rsidP="008A43A4">
      <w:pPr>
        <w:numPr>
          <w:ilvl w:val="1"/>
          <w:numId w:val="29"/>
        </w:numPr>
        <w:tabs>
          <w:tab w:val="left" w:pos="1430"/>
        </w:tabs>
        <w:spacing w:after="240"/>
        <w:rPr>
          <w:rFonts w:cs="Arial"/>
        </w:rPr>
      </w:pPr>
      <w:r>
        <w:rPr>
          <w:rFonts w:cs="Arial"/>
        </w:rPr>
        <w:t xml:space="preserve">a natural reservoir, as defined in section 4 of the </w:t>
      </w:r>
      <w:r>
        <w:rPr>
          <w:rFonts w:cs="Arial"/>
          <w:i/>
        </w:rPr>
        <w:t xml:space="preserve">Petroleum and Geothermal Energy Act 2000 </w:t>
      </w:r>
      <w:r>
        <w:rPr>
          <w:rFonts w:cs="Arial"/>
        </w:rPr>
        <w:t>(SA), below a depth of 100 metres from the surface of the earth;</w:t>
      </w:r>
    </w:p>
    <w:p w:rsidR="008A43A4" w:rsidRDefault="008A43A4" w:rsidP="008A43A4">
      <w:pPr>
        <w:numPr>
          <w:ilvl w:val="1"/>
          <w:numId w:val="29"/>
        </w:numPr>
        <w:tabs>
          <w:tab w:val="left" w:pos="709"/>
        </w:tabs>
        <w:spacing w:after="240"/>
        <w:rPr>
          <w:rFonts w:cs="Arial"/>
        </w:rPr>
      </w:pPr>
      <w:r>
        <w:rPr>
          <w:rFonts w:cs="Arial"/>
        </w:rPr>
        <w:t xml:space="preserve">geothermal energy, as defined in section 4 of the </w:t>
      </w:r>
      <w:r>
        <w:rPr>
          <w:rFonts w:cs="Arial"/>
          <w:i/>
        </w:rPr>
        <w:t xml:space="preserve">Petroleum and Geothermal Energy Act 2000 </w:t>
      </w:r>
      <w:r>
        <w:rPr>
          <w:rFonts w:cs="Arial"/>
        </w:rPr>
        <w:t>(SA) the source of which is below a depth of 100 metres from the surface of the earth.</w:t>
      </w:r>
    </w:p>
    <w:p w:rsidR="008A43A4" w:rsidRDefault="008A43A4" w:rsidP="008A43A4">
      <w:pPr>
        <w:tabs>
          <w:tab w:val="left" w:pos="709"/>
        </w:tabs>
        <w:spacing w:after="240"/>
        <w:ind w:left="572"/>
        <w:rPr>
          <w:rFonts w:cs="Arial"/>
        </w:rPr>
      </w:pPr>
      <w:r>
        <w:rPr>
          <w:rFonts w:cs="Arial"/>
        </w:rPr>
        <w:t>For the purposes of this Paragraph 15 and the avoidance of doubt:</w:t>
      </w:r>
    </w:p>
    <w:p w:rsidR="008A43A4" w:rsidRDefault="008A43A4" w:rsidP="008A43A4">
      <w:pPr>
        <w:numPr>
          <w:ilvl w:val="2"/>
          <w:numId w:val="29"/>
        </w:numPr>
        <w:tabs>
          <w:tab w:val="left" w:pos="709"/>
        </w:tabs>
        <w:spacing w:after="240"/>
        <w:ind w:left="1854" w:hanging="720"/>
        <w:rPr>
          <w:rFonts w:cs="Arial"/>
        </w:rPr>
      </w:pPr>
      <w:r>
        <w:rPr>
          <w:rFonts w:cs="Arial"/>
        </w:rPr>
        <w:t>a geological structure (in whole or in part) on or at the earth's surface or a natural cavity which can be accessed or entered by a person through a natural opening in the earth's surface, is not a natural reservoir;</w:t>
      </w:r>
    </w:p>
    <w:p w:rsidR="008A43A4" w:rsidRDefault="008A43A4" w:rsidP="008A43A4">
      <w:pPr>
        <w:numPr>
          <w:ilvl w:val="2"/>
          <w:numId w:val="29"/>
        </w:numPr>
        <w:tabs>
          <w:tab w:val="left" w:pos="709"/>
        </w:tabs>
        <w:spacing w:after="240"/>
        <w:ind w:left="1854" w:hanging="720"/>
        <w:rPr>
          <w:rFonts w:cs="Arial"/>
        </w:rPr>
      </w:pPr>
      <w:r>
        <w:rPr>
          <w:rFonts w:cs="Arial"/>
        </w:rPr>
        <w:t xml:space="preserve">thermal energy contained in a hot or natural spring is not geothermal energy as defined in section 4 of the </w:t>
      </w:r>
      <w:r>
        <w:rPr>
          <w:rFonts w:cs="Arial"/>
          <w:i/>
        </w:rPr>
        <w:t>Petroleum and Geothermal Energy Act</w:t>
      </w:r>
      <w:r>
        <w:rPr>
          <w:rFonts w:cs="Arial"/>
        </w:rPr>
        <w:t xml:space="preserve"> </w:t>
      </w:r>
      <w:r w:rsidRPr="00F538FB">
        <w:rPr>
          <w:rFonts w:cs="Arial"/>
          <w:i/>
        </w:rPr>
        <w:t>2000</w:t>
      </w:r>
      <w:r>
        <w:rPr>
          <w:rFonts w:cs="Arial"/>
        </w:rPr>
        <w:t xml:space="preserve"> (SA);</w:t>
      </w:r>
    </w:p>
    <w:p w:rsidR="008A43A4" w:rsidRPr="00C57160" w:rsidRDefault="008A43A4" w:rsidP="008A43A4">
      <w:pPr>
        <w:numPr>
          <w:ilvl w:val="2"/>
          <w:numId w:val="29"/>
        </w:numPr>
        <w:tabs>
          <w:tab w:val="left" w:pos="709"/>
        </w:tabs>
        <w:spacing w:after="240"/>
        <w:ind w:left="1854" w:hanging="720"/>
        <w:rPr>
          <w:rFonts w:cs="Arial"/>
        </w:rPr>
      </w:pPr>
      <w:r>
        <w:rPr>
          <w:rFonts w:cs="Arial"/>
        </w:rPr>
        <w:t xml:space="preserve">the absence from this order of any reference to a natural reservoir or a naturally occurring accumulation of a regulated substance, as those terms are defined in section 4 of the </w:t>
      </w:r>
      <w:r>
        <w:rPr>
          <w:rFonts w:cs="Arial"/>
          <w:i/>
        </w:rPr>
        <w:t>Petroleum and Geothermal Energy Act 2000</w:t>
      </w:r>
      <w:r>
        <w:rPr>
          <w:rFonts w:cs="Arial"/>
        </w:rPr>
        <w:t xml:space="preserve"> (SA), above a depth 100 metres below the surface of the earth or geothermal energy the source of which is above a depth of 100 metres below the surface of the earth is not, of itself, to be taken as an indication </w:t>
      </w:r>
      <w:r>
        <w:rPr>
          <w:rFonts w:cs="Arial"/>
        </w:rPr>
        <w:lastRenderedPageBreak/>
        <w:t>of the existence or otherwise of native title rights or interests in such natural reservoir, naturally occurring accumulation of a regulated substance or geothermal energy.</w:t>
      </w:r>
    </w:p>
    <w:p w:rsidR="008A43A4" w:rsidRDefault="008A43A4" w:rsidP="008A43A4">
      <w:pPr>
        <w:numPr>
          <w:ilvl w:val="0"/>
          <w:numId w:val="2"/>
        </w:numPr>
        <w:tabs>
          <w:tab w:val="clear" w:pos="720"/>
          <w:tab w:val="num" w:pos="567"/>
        </w:tabs>
        <w:spacing w:after="120"/>
        <w:ind w:left="567" w:hanging="567"/>
      </w:pPr>
      <w:r>
        <w:t xml:space="preserve">Native title rights do not exist in the areas covered by public works attributable to the State or Commonwealth (including the land defined in section </w:t>
      </w:r>
      <w:proofErr w:type="spellStart"/>
      <w:r>
        <w:t>251D</w:t>
      </w:r>
      <w:proofErr w:type="spellEnd"/>
      <w:r>
        <w:t xml:space="preserve"> of the </w:t>
      </w:r>
      <w:r w:rsidRPr="00B536D6">
        <w:rPr>
          <w:iCs/>
        </w:rPr>
        <w:t>Native Title Act</w:t>
      </w:r>
      <w:r>
        <w:t xml:space="preserve">) which were constructed, established or situated prior to 23 December 1996 or commenced to be constructed or established on or before that date. </w:t>
      </w:r>
    </w:p>
    <w:p w:rsidR="008A43A4" w:rsidRDefault="008A43A4" w:rsidP="008A43A4">
      <w:pPr>
        <w:numPr>
          <w:ilvl w:val="0"/>
          <w:numId w:val="2"/>
        </w:numPr>
        <w:tabs>
          <w:tab w:val="clear" w:pos="720"/>
          <w:tab w:val="num" w:pos="567"/>
        </w:tabs>
        <w:spacing w:after="120"/>
        <w:ind w:left="567" w:hanging="567"/>
      </w:pPr>
      <w:r>
        <w:t xml:space="preserve">Public works constructed, established or situated after 23 December 1996 have had such effect on native title rights and interests as has resulted from Part 2 Division 3 of the </w:t>
      </w:r>
      <w:r w:rsidRPr="00B536D6">
        <w:t>Native Title Act</w:t>
      </w:r>
      <w:r>
        <w:t>.</w:t>
      </w:r>
      <w:r>
        <w:rPr>
          <w:rFonts w:cs="Arial"/>
        </w:rPr>
        <w:t xml:space="preserve"> </w:t>
      </w:r>
    </w:p>
    <w:p w:rsidR="008A43A4" w:rsidRDefault="008A43A4" w:rsidP="008A43A4">
      <w:pPr>
        <w:tabs>
          <w:tab w:val="left" w:pos="7245"/>
        </w:tabs>
        <w:spacing w:after="240"/>
        <w:rPr>
          <w:rFonts w:cs="Arial"/>
          <w:b/>
          <w:bCs/>
        </w:rPr>
      </w:pPr>
      <w:r>
        <w:rPr>
          <w:rFonts w:cs="Arial"/>
          <w:b/>
          <w:bCs/>
        </w:rPr>
        <w:t>AND THE COURT MAKES THE FOLLOWING FURTHER ORDERS:</w:t>
      </w:r>
      <w:r>
        <w:rPr>
          <w:rFonts w:cs="Arial"/>
          <w:b/>
          <w:bCs/>
        </w:rPr>
        <w:tab/>
      </w:r>
    </w:p>
    <w:p w:rsidR="008A43A4" w:rsidRDefault="008A43A4" w:rsidP="008A43A4">
      <w:pPr>
        <w:numPr>
          <w:ilvl w:val="0"/>
          <w:numId w:val="2"/>
        </w:numPr>
        <w:tabs>
          <w:tab w:val="clear" w:pos="720"/>
          <w:tab w:val="num" w:pos="567"/>
        </w:tabs>
        <w:spacing w:after="120"/>
        <w:ind w:left="567" w:hanging="567"/>
        <w:rPr>
          <w:rFonts w:cs="Arial"/>
        </w:rPr>
      </w:pPr>
      <w:r>
        <w:rPr>
          <w:rFonts w:cs="Arial"/>
        </w:rPr>
        <w:t xml:space="preserve">The native </w:t>
      </w:r>
      <w:r w:rsidRPr="00E04C0D">
        <w:t>title</w:t>
      </w:r>
      <w:r>
        <w:rPr>
          <w:rFonts w:cs="Arial"/>
        </w:rPr>
        <w:t xml:space="preserve"> is not to be held in trust.</w:t>
      </w:r>
    </w:p>
    <w:p w:rsidR="008A43A4" w:rsidRDefault="008A43A4" w:rsidP="008A43A4">
      <w:pPr>
        <w:numPr>
          <w:ilvl w:val="0"/>
          <w:numId w:val="2"/>
        </w:numPr>
        <w:tabs>
          <w:tab w:val="clear" w:pos="720"/>
          <w:tab w:val="num" w:pos="567"/>
        </w:tabs>
        <w:spacing w:after="120"/>
        <w:ind w:left="567" w:hanging="567"/>
        <w:rPr>
          <w:rFonts w:cs="Arial"/>
        </w:rPr>
      </w:pPr>
      <w:r>
        <w:rPr>
          <w:rFonts w:cs="Arial"/>
        </w:rPr>
        <w:t xml:space="preserve">In respect of the Determination Area, </w:t>
      </w:r>
      <w:proofErr w:type="spellStart"/>
      <w:r>
        <w:rPr>
          <w:rFonts w:cs="Arial"/>
        </w:rPr>
        <w:t>Adnyamathanha</w:t>
      </w:r>
      <w:proofErr w:type="spellEnd"/>
      <w:r>
        <w:rPr>
          <w:rFonts w:cs="Arial"/>
        </w:rPr>
        <w:t xml:space="preserve"> Traditional Lands Association (Aboriginal Corporation) </w:t>
      </w:r>
      <w:proofErr w:type="spellStart"/>
      <w:r>
        <w:rPr>
          <w:rFonts w:cs="Arial"/>
        </w:rPr>
        <w:t>RNTBC</w:t>
      </w:r>
      <w:proofErr w:type="spellEnd"/>
      <w:r>
        <w:rPr>
          <w:rFonts w:cs="Arial"/>
        </w:rPr>
        <w:t xml:space="preserve"> is to:</w:t>
      </w:r>
    </w:p>
    <w:p w:rsidR="008A43A4" w:rsidRPr="00126FA2" w:rsidRDefault="008A43A4" w:rsidP="008A43A4">
      <w:pPr>
        <w:numPr>
          <w:ilvl w:val="1"/>
          <w:numId w:val="22"/>
        </w:numPr>
        <w:spacing w:before="240" w:after="240"/>
        <w:rPr>
          <w:rFonts w:cs="Arial"/>
        </w:rPr>
      </w:pPr>
      <w:r w:rsidRPr="00E04C0D">
        <w:rPr>
          <w:rFonts w:cs="Arial"/>
        </w:rPr>
        <w:t xml:space="preserve">be the prescribed body corporate for the purposes of section 57(2) of the </w:t>
      </w:r>
      <w:r w:rsidRPr="00B536D6">
        <w:rPr>
          <w:rFonts w:cs="Arial"/>
        </w:rPr>
        <w:t>Native Title Act</w:t>
      </w:r>
      <w:r w:rsidRPr="00E04C0D">
        <w:rPr>
          <w:rFonts w:cs="Arial"/>
        </w:rPr>
        <w:t>; and</w:t>
      </w:r>
    </w:p>
    <w:p w:rsidR="008A43A4" w:rsidRPr="00126FA2" w:rsidRDefault="008A43A4" w:rsidP="008A43A4">
      <w:pPr>
        <w:numPr>
          <w:ilvl w:val="1"/>
          <w:numId w:val="22"/>
        </w:numPr>
        <w:spacing w:before="240" w:after="240"/>
        <w:rPr>
          <w:rFonts w:cs="Arial"/>
        </w:rPr>
      </w:pPr>
      <w:r w:rsidRPr="00E04C0D">
        <w:rPr>
          <w:rFonts w:cs="Arial"/>
        </w:rPr>
        <w:t xml:space="preserve">perform the functions mentioned in section 57(3) of the </w:t>
      </w:r>
      <w:r w:rsidRPr="00B536D6">
        <w:rPr>
          <w:rFonts w:cs="Arial"/>
        </w:rPr>
        <w:t>Native Title Act</w:t>
      </w:r>
      <w:r w:rsidRPr="00E04C0D">
        <w:rPr>
          <w:rFonts w:cs="Arial"/>
        </w:rPr>
        <w:t xml:space="preserve"> after becoming the registered native title body corporate in relation to Part 1 of the </w:t>
      </w:r>
      <w:r w:rsidRPr="00126FA2">
        <w:rPr>
          <w:rFonts w:cs="Arial"/>
        </w:rPr>
        <w:t>Determination Area.</w:t>
      </w:r>
    </w:p>
    <w:p w:rsidR="008A43A4" w:rsidRDefault="008A43A4" w:rsidP="008A43A4">
      <w:pPr>
        <w:numPr>
          <w:ilvl w:val="0"/>
          <w:numId w:val="2"/>
        </w:numPr>
        <w:tabs>
          <w:tab w:val="clear" w:pos="720"/>
          <w:tab w:val="num" w:pos="567"/>
        </w:tabs>
        <w:spacing w:after="120"/>
        <w:ind w:left="567" w:hanging="567"/>
        <w:rPr>
          <w:rFonts w:cs="Arial"/>
        </w:rPr>
      </w:pPr>
      <w:r>
        <w:rPr>
          <w:rFonts w:cs="Arial"/>
        </w:rPr>
        <w:t xml:space="preserve">The Native Title </w:t>
      </w:r>
      <w:r w:rsidRPr="00E04C0D">
        <w:t>Holders</w:t>
      </w:r>
      <w:r>
        <w:rPr>
          <w:rFonts w:cs="Arial"/>
        </w:rPr>
        <w:t xml:space="preserve"> (through </w:t>
      </w:r>
      <w:proofErr w:type="spellStart"/>
      <w:r>
        <w:rPr>
          <w:rFonts w:cs="Arial"/>
        </w:rPr>
        <w:t>Adnyamathanha</w:t>
      </w:r>
      <w:proofErr w:type="spellEnd"/>
      <w:r>
        <w:rPr>
          <w:rFonts w:cs="Arial"/>
        </w:rPr>
        <w:t xml:space="preserve"> Traditional Lands Association (Aboriginal Corporation) </w:t>
      </w:r>
      <w:proofErr w:type="spellStart"/>
      <w:r>
        <w:rPr>
          <w:rFonts w:cs="Arial"/>
        </w:rPr>
        <w:t>RNTBC</w:t>
      </w:r>
      <w:proofErr w:type="spellEnd"/>
      <w:r>
        <w:rPr>
          <w:rFonts w:cs="Arial"/>
        </w:rPr>
        <w:t>), the State or any other Respondent have liberty to apply on 14 days’ notice to a single judge of the Court for the following purposes:</w:t>
      </w:r>
    </w:p>
    <w:p w:rsidR="008A43A4" w:rsidRDefault="008A43A4" w:rsidP="008A43A4">
      <w:pPr>
        <w:numPr>
          <w:ilvl w:val="1"/>
          <w:numId w:val="2"/>
        </w:numPr>
        <w:tabs>
          <w:tab w:val="clear" w:pos="1440"/>
          <w:tab w:val="num" w:pos="1139"/>
        </w:tabs>
        <w:spacing w:before="240" w:after="240"/>
        <w:ind w:left="1139" w:hanging="567"/>
        <w:rPr>
          <w:rFonts w:cs="Arial"/>
        </w:rPr>
      </w:pPr>
      <w:r w:rsidRPr="00126FA2">
        <w:rPr>
          <w:rFonts w:cs="Arial"/>
        </w:rPr>
        <w:t>to establish the precise location and boundaries of any public works and adjacent land and waters referred to in Paragraphs 16 and 17</w:t>
      </w:r>
      <w:r w:rsidRPr="0025746B">
        <w:rPr>
          <w:rFonts w:cs="Arial"/>
        </w:rPr>
        <w:t xml:space="preserve"> of this Order;</w:t>
      </w:r>
    </w:p>
    <w:p w:rsidR="008A43A4" w:rsidRDefault="008A43A4" w:rsidP="008A43A4">
      <w:pPr>
        <w:numPr>
          <w:ilvl w:val="1"/>
          <w:numId w:val="2"/>
        </w:numPr>
        <w:tabs>
          <w:tab w:val="clear" w:pos="1440"/>
          <w:tab w:val="num" w:pos="1139"/>
        </w:tabs>
        <w:spacing w:before="240" w:after="240"/>
        <w:ind w:left="1139" w:hanging="567"/>
        <w:rPr>
          <w:rFonts w:cs="Arial"/>
        </w:rPr>
      </w:pPr>
      <w:r w:rsidRPr="00126FA2">
        <w:rPr>
          <w:rFonts w:cs="Arial"/>
        </w:rPr>
        <w:t>to establish the effect on native title rights and interests of any public works referred to in Paragraph 17 of this Order; or</w:t>
      </w:r>
    </w:p>
    <w:p w:rsidR="008A43A4" w:rsidRPr="00C57160" w:rsidRDefault="008A43A4" w:rsidP="008A43A4">
      <w:pPr>
        <w:numPr>
          <w:ilvl w:val="1"/>
          <w:numId w:val="2"/>
        </w:numPr>
        <w:tabs>
          <w:tab w:val="clear" w:pos="1440"/>
          <w:tab w:val="num" w:pos="1139"/>
        </w:tabs>
        <w:spacing w:before="240" w:after="240"/>
        <w:ind w:left="1139" w:hanging="567"/>
        <w:rPr>
          <w:rFonts w:cs="Arial"/>
        </w:rPr>
      </w:pPr>
      <w:r>
        <w:rPr>
          <w:rFonts w:cs="Arial"/>
        </w:rPr>
        <w:t xml:space="preserve">to determine whether any particular area is included in the description in Paragraph 12 or </w:t>
      </w:r>
      <w:r w:rsidRPr="00B536D6">
        <w:rPr>
          <w:rFonts w:cs="Arial"/>
        </w:rPr>
        <w:t>Schedule 2</w:t>
      </w:r>
      <w:r>
        <w:rPr>
          <w:rFonts w:cs="Arial"/>
          <w:i/>
        </w:rPr>
        <w:t xml:space="preserve"> </w:t>
      </w:r>
      <w:r>
        <w:rPr>
          <w:rFonts w:cs="Arial"/>
        </w:rPr>
        <w:t>of this Order</w:t>
      </w:r>
      <w:r>
        <w:rPr>
          <w:rFonts w:cs="Arial"/>
          <w:i/>
        </w:rPr>
        <w:t>.</w:t>
      </w:r>
    </w:p>
    <w:p w:rsidR="008A43A4" w:rsidRPr="00126FA2" w:rsidRDefault="008A43A4" w:rsidP="008A43A4">
      <w:pPr>
        <w:numPr>
          <w:ilvl w:val="1"/>
          <w:numId w:val="2"/>
        </w:numPr>
        <w:tabs>
          <w:tab w:val="clear" w:pos="1440"/>
          <w:tab w:val="num" w:pos="1139"/>
        </w:tabs>
        <w:spacing w:before="240" w:after="240"/>
        <w:ind w:left="1139" w:hanging="567"/>
        <w:rPr>
          <w:rFonts w:cs="Arial"/>
        </w:rPr>
      </w:pPr>
      <w:r w:rsidRPr="00126FA2">
        <w:rPr>
          <w:rFonts w:cs="Arial"/>
        </w:rPr>
        <w:lastRenderedPageBreak/>
        <w:t>to address, if appropriate, any changes to paragraphs 12 and 13 above in light of the decision of the High Court</w:t>
      </w:r>
      <w:r w:rsidRPr="00126FA2">
        <w:rPr>
          <w:rFonts w:cs="Arial"/>
          <w:szCs w:val="22"/>
        </w:rPr>
        <w:t xml:space="preserve"> of Australia in </w:t>
      </w:r>
      <w:r w:rsidRPr="00126FA2">
        <w:rPr>
          <w:rFonts w:cs="Arial"/>
          <w:i/>
          <w:szCs w:val="22"/>
        </w:rPr>
        <w:t xml:space="preserve">State of Western Australia v Brown &amp; Others </w:t>
      </w:r>
      <w:r w:rsidRPr="00126FA2">
        <w:rPr>
          <w:rFonts w:cs="Arial"/>
          <w:szCs w:val="22"/>
        </w:rPr>
        <w:t xml:space="preserve">(No </w:t>
      </w:r>
      <w:proofErr w:type="spellStart"/>
      <w:r w:rsidRPr="00126FA2">
        <w:rPr>
          <w:rFonts w:cs="Arial"/>
          <w:szCs w:val="22"/>
        </w:rPr>
        <w:t>P37</w:t>
      </w:r>
      <w:proofErr w:type="spellEnd"/>
      <w:r w:rsidRPr="00126FA2">
        <w:rPr>
          <w:rFonts w:cs="Arial"/>
          <w:szCs w:val="22"/>
        </w:rPr>
        <w:t xml:space="preserve"> of 2012 HCA) as it relates to pastoral improvements.</w:t>
      </w:r>
    </w:p>
    <w:p w:rsidR="008A43A4" w:rsidRPr="0023277A" w:rsidRDefault="008A43A4" w:rsidP="008A43A4">
      <w:pPr>
        <w:spacing w:after="240" w:line="240" w:lineRule="auto"/>
        <w:rPr>
          <w:rFonts w:cs="Arial"/>
          <w:b/>
        </w:rPr>
      </w:pPr>
      <w:r w:rsidRPr="0023277A">
        <w:rPr>
          <w:rFonts w:cs="Arial"/>
          <w:b/>
        </w:rPr>
        <w:t xml:space="preserve">AND THE COURT MAKES THE FOLLOWING ANCILLARY ORDERS PURSUANT TO SECTION </w:t>
      </w:r>
      <w:proofErr w:type="spellStart"/>
      <w:r w:rsidRPr="0023277A">
        <w:rPr>
          <w:rFonts w:cs="Arial"/>
          <w:b/>
        </w:rPr>
        <w:t>87A</w:t>
      </w:r>
      <w:proofErr w:type="spellEnd"/>
      <w:r w:rsidRPr="0023277A">
        <w:rPr>
          <w:rFonts w:cs="Arial"/>
          <w:b/>
        </w:rPr>
        <w:t>(5) OF THE NATIVE TITLE ACT:</w:t>
      </w:r>
    </w:p>
    <w:p w:rsidR="008A43A4" w:rsidRPr="00696775" w:rsidRDefault="008A43A4" w:rsidP="008A43A4">
      <w:pPr>
        <w:numPr>
          <w:ilvl w:val="0"/>
          <w:numId w:val="26"/>
        </w:numPr>
        <w:spacing w:after="240"/>
        <w:rPr>
          <w:rFonts w:cs="Arial"/>
        </w:rPr>
      </w:pPr>
      <w:r w:rsidRPr="00696775">
        <w:rPr>
          <w:rFonts w:cs="Arial"/>
        </w:rPr>
        <w:t>The Court notes in relation to the Determination Area as follows:</w:t>
      </w:r>
    </w:p>
    <w:p w:rsidR="008A43A4" w:rsidRPr="00696775" w:rsidRDefault="008A43A4" w:rsidP="008A43A4">
      <w:pPr>
        <w:numPr>
          <w:ilvl w:val="1"/>
          <w:numId w:val="23"/>
        </w:numPr>
        <w:spacing w:after="240"/>
        <w:rPr>
          <w:rFonts w:cs="Arial"/>
        </w:rPr>
      </w:pPr>
      <w:r w:rsidRPr="00696775">
        <w:rPr>
          <w:rFonts w:cs="Arial"/>
        </w:rPr>
        <w:t xml:space="preserve">The </w:t>
      </w:r>
      <w:proofErr w:type="spellStart"/>
      <w:r w:rsidRPr="00696775">
        <w:rPr>
          <w:rFonts w:cs="Arial"/>
        </w:rPr>
        <w:t>Dieri</w:t>
      </w:r>
      <w:proofErr w:type="spellEnd"/>
      <w:r w:rsidRPr="00696775">
        <w:rPr>
          <w:rFonts w:cs="Arial"/>
        </w:rPr>
        <w:t xml:space="preserve"> People </w:t>
      </w:r>
      <w:r>
        <w:rPr>
          <w:rFonts w:cs="Arial"/>
        </w:rPr>
        <w:t xml:space="preserve">and the </w:t>
      </w:r>
      <w:proofErr w:type="spellStart"/>
      <w:r>
        <w:rPr>
          <w:rFonts w:cs="Arial"/>
        </w:rPr>
        <w:t>Adnyamathanha</w:t>
      </w:r>
      <w:proofErr w:type="spellEnd"/>
      <w:r>
        <w:rPr>
          <w:rFonts w:cs="Arial"/>
        </w:rPr>
        <w:t xml:space="preserve"> People</w:t>
      </w:r>
      <w:r w:rsidRPr="00696775">
        <w:rPr>
          <w:rFonts w:cs="Arial"/>
        </w:rPr>
        <w:t xml:space="preserve"> have entered into a Memorandum of Understanding between them in the terms of the document comprising the “Annexure A” to</w:t>
      </w:r>
      <w:r>
        <w:rPr>
          <w:rFonts w:cs="Arial"/>
        </w:rPr>
        <w:t xml:space="preserve"> </w:t>
      </w:r>
      <w:r w:rsidRPr="00B536D6">
        <w:rPr>
          <w:rFonts w:cs="Arial"/>
        </w:rPr>
        <w:t>Schedule 5,</w:t>
      </w:r>
      <w:r w:rsidRPr="00696775">
        <w:rPr>
          <w:rFonts w:cs="Arial"/>
        </w:rPr>
        <w:t xml:space="preserve"> under which both groups agree in particular that:</w:t>
      </w:r>
    </w:p>
    <w:p w:rsidR="008A43A4" w:rsidRPr="00696775" w:rsidRDefault="008A43A4" w:rsidP="008A43A4">
      <w:pPr>
        <w:numPr>
          <w:ilvl w:val="2"/>
          <w:numId w:val="23"/>
        </w:numPr>
        <w:spacing w:after="240"/>
        <w:ind w:left="1854" w:hanging="720"/>
        <w:rPr>
          <w:rFonts w:cs="Arial"/>
        </w:rPr>
      </w:pPr>
      <w:r w:rsidRPr="00696775">
        <w:rPr>
          <w:rFonts w:cs="Arial"/>
        </w:rPr>
        <w:t xml:space="preserve">the </w:t>
      </w:r>
      <w:proofErr w:type="spellStart"/>
      <w:r w:rsidRPr="00696775">
        <w:rPr>
          <w:rFonts w:cs="Arial"/>
          <w:sz w:val="23"/>
        </w:rPr>
        <w:t>Adnyamathanha</w:t>
      </w:r>
      <w:proofErr w:type="spellEnd"/>
      <w:r w:rsidRPr="00696775">
        <w:rPr>
          <w:rFonts w:cs="Arial"/>
        </w:rPr>
        <w:t xml:space="preserve"> People hold traditional rights and interests in the </w:t>
      </w:r>
      <w:proofErr w:type="spellStart"/>
      <w:r>
        <w:rPr>
          <w:rFonts w:cs="Arial"/>
        </w:rPr>
        <w:t>Dieri</w:t>
      </w:r>
      <w:proofErr w:type="spellEnd"/>
      <w:r>
        <w:rPr>
          <w:rFonts w:cs="Arial"/>
        </w:rPr>
        <w:t xml:space="preserve"> </w:t>
      </w:r>
      <w:r w:rsidRPr="00696775">
        <w:rPr>
          <w:rFonts w:cs="Arial"/>
        </w:rPr>
        <w:t>Determination Area;</w:t>
      </w:r>
    </w:p>
    <w:p w:rsidR="008A43A4" w:rsidRPr="00696775" w:rsidRDefault="008A43A4" w:rsidP="008A43A4">
      <w:pPr>
        <w:numPr>
          <w:ilvl w:val="2"/>
          <w:numId w:val="23"/>
        </w:numPr>
        <w:spacing w:after="240"/>
        <w:ind w:left="1854" w:hanging="720"/>
        <w:rPr>
          <w:rFonts w:cs="Arial"/>
        </w:rPr>
      </w:pPr>
      <w:r w:rsidRPr="00696775">
        <w:rPr>
          <w:rFonts w:cs="Arial"/>
        </w:rPr>
        <w:t xml:space="preserve">the </w:t>
      </w:r>
      <w:proofErr w:type="spellStart"/>
      <w:r w:rsidRPr="00696775">
        <w:rPr>
          <w:rFonts w:cs="Arial"/>
        </w:rPr>
        <w:t>Dieri</w:t>
      </w:r>
      <w:proofErr w:type="spellEnd"/>
      <w:r w:rsidRPr="00696775">
        <w:rPr>
          <w:rFonts w:cs="Arial"/>
        </w:rPr>
        <w:t xml:space="preserve"> People hold traditional rights and interests in the Determination Area; </w:t>
      </w:r>
    </w:p>
    <w:p w:rsidR="008A43A4" w:rsidRPr="00696775" w:rsidRDefault="008A43A4" w:rsidP="008A43A4">
      <w:pPr>
        <w:numPr>
          <w:ilvl w:val="1"/>
          <w:numId w:val="23"/>
        </w:numPr>
        <w:spacing w:after="240"/>
        <w:rPr>
          <w:rFonts w:cs="Arial"/>
        </w:rPr>
      </w:pPr>
      <w:r w:rsidRPr="00696775">
        <w:rPr>
          <w:rFonts w:cs="Arial"/>
        </w:rPr>
        <w:t>The Agreement provides that the traditional rights and interests referred to in sub-paragraph (a):</w:t>
      </w:r>
    </w:p>
    <w:p w:rsidR="008A43A4" w:rsidRPr="00696775" w:rsidRDefault="008A43A4" w:rsidP="008A43A4">
      <w:pPr>
        <w:numPr>
          <w:ilvl w:val="2"/>
          <w:numId w:val="27"/>
        </w:numPr>
        <w:spacing w:after="240"/>
        <w:rPr>
          <w:rFonts w:cs="Arial"/>
        </w:rPr>
      </w:pPr>
      <w:r w:rsidRPr="00696775">
        <w:rPr>
          <w:rFonts w:cs="Arial"/>
        </w:rPr>
        <w:t>are not native title rights and interests; and</w:t>
      </w:r>
    </w:p>
    <w:p w:rsidR="008A43A4" w:rsidRPr="00696775" w:rsidRDefault="008A43A4" w:rsidP="008A43A4">
      <w:pPr>
        <w:numPr>
          <w:ilvl w:val="2"/>
          <w:numId w:val="27"/>
        </w:numPr>
        <w:spacing w:after="240"/>
        <w:rPr>
          <w:rFonts w:cs="Arial"/>
        </w:rPr>
      </w:pPr>
      <w:r w:rsidRPr="00696775">
        <w:rPr>
          <w:rFonts w:cs="Arial"/>
        </w:rPr>
        <w:t>co-exist with the native title rights and interests.</w:t>
      </w:r>
    </w:p>
    <w:p w:rsidR="008A43A4" w:rsidRDefault="008A43A4" w:rsidP="008A43A4">
      <w:pPr>
        <w:numPr>
          <w:ilvl w:val="1"/>
          <w:numId w:val="24"/>
        </w:numPr>
        <w:spacing w:line="480" w:lineRule="auto"/>
      </w:pPr>
      <w:r w:rsidRPr="00696775">
        <w:t>The State and other Respondent parties are not bound by the Memorandum of Understanding referred to in Paragraph 2</w:t>
      </w:r>
      <w:r>
        <w:t>1</w:t>
      </w:r>
      <w:r w:rsidRPr="00696775">
        <w:t>(a) but acknowledge that the provisions of relevant State and Commonwealth legislation apply according to their terms from time to time in relation to the Determination Area.</w:t>
      </w:r>
    </w:p>
    <w:p w:rsidR="008A43A4" w:rsidRDefault="008A43A4" w:rsidP="008A43A4">
      <w:pPr>
        <w:numPr>
          <w:ilvl w:val="1"/>
          <w:numId w:val="24"/>
        </w:numPr>
        <w:spacing w:line="480" w:lineRule="auto"/>
      </w:pPr>
      <w:r>
        <w:t xml:space="preserve">The consent determination made [or expected to be made] in relation to the </w:t>
      </w:r>
      <w:proofErr w:type="spellStart"/>
      <w:r>
        <w:t>Dieri</w:t>
      </w:r>
      <w:proofErr w:type="spellEnd"/>
      <w:r>
        <w:t xml:space="preserve"> Determination Area is in the terms of the document comprising Schedule 6. </w:t>
      </w:r>
    </w:p>
    <w:p w:rsidR="008A43A4" w:rsidRPr="0023277A" w:rsidRDefault="008A43A4" w:rsidP="008A43A4">
      <w:pPr>
        <w:spacing w:line="480" w:lineRule="auto"/>
        <w:ind w:left="1139"/>
      </w:pPr>
    </w:p>
    <w:p w:rsidR="008A43A4" w:rsidRDefault="008A43A4" w:rsidP="008A43A4"/>
    <w:p w:rsidR="008A43A4" w:rsidRDefault="008A43A4" w:rsidP="008A43A4">
      <w:pPr>
        <w:pStyle w:val="NormalHeadings"/>
        <w:spacing w:before="240" w:after="120"/>
        <w:rPr>
          <w:b w:val="0"/>
        </w:rPr>
        <w:sectPr w:rsidR="008A43A4" w:rsidSect="009518FE">
          <w:headerReference w:type="default" r:id="rId47"/>
          <w:endnotePr>
            <w:numFmt w:val="decimal"/>
          </w:endnotePr>
          <w:pgSz w:w="11907" w:h="16840" w:code="9"/>
          <w:pgMar w:top="1440" w:right="1440" w:bottom="1440" w:left="1440" w:header="851" w:footer="851" w:gutter="0"/>
          <w:cols w:space="720"/>
          <w:noEndnote/>
          <w:titlePg/>
        </w:sectPr>
      </w:pPr>
    </w:p>
    <w:p w:rsidR="008A43A4" w:rsidRPr="00142423" w:rsidRDefault="008A43A4" w:rsidP="008A43A4">
      <w:pPr>
        <w:rPr>
          <w:b/>
        </w:rPr>
      </w:pPr>
      <w:r w:rsidRPr="00142423">
        <w:rPr>
          <w:b/>
          <w:bCs/>
        </w:rPr>
        <w:lastRenderedPageBreak/>
        <w:t>SCHEDULE 1 - Description and Map of the Determination Area</w:t>
      </w:r>
      <w:r w:rsidRPr="00142423">
        <w:rPr>
          <w:b/>
        </w:rPr>
        <w:t xml:space="preserve"> </w:t>
      </w:r>
    </w:p>
    <w:p w:rsidR="008A43A4" w:rsidRPr="00142423" w:rsidRDefault="008A43A4" w:rsidP="008A43A4">
      <w:pPr>
        <w:pStyle w:val="Heading2"/>
        <w:tabs>
          <w:tab w:val="center" w:pos="4513"/>
        </w:tabs>
        <w:spacing w:line="360" w:lineRule="auto"/>
      </w:pPr>
      <w:r>
        <w:t>External boundary description</w:t>
      </w:r>
    </w:p>
    <w:p w:rsidR="008A43A4" w:rsidRDefault="008A43A4" w:rsidP="008A43A4">
      <w:pPr>
        <w:rPr>
          <w:rFonts w:cs="Arial"/>
        </w:rPr>
      </w:pPr>
      <w:r w:rsidRPr="00D773B9">
        <w:rPr>
          <w:rFonts w:cs="Arial"/>
        </w:rPr>
        <w:t xml:space="preserve">The </w:t>
      </w:r>
      <w:r>
        <w:rPr>
          <w:rFonts w:cs="Arial"/>
        </w:rPr>
        <w:t>Determination</w:t>
      </w:r>
      <w:r w:rsidRPr="00D773B9">
        <w:rPr>
          <w:rFonts w:cs="Arial"/>
        </w:rPr>
        <w:t xml:space="preserve"> </w:t>
      </w:r>
      <w:r>
        <w:rPr>
          <w:rFonts w:cs="Arial"/>
        </w:rPr>
        <w:t>A</w:t>
      </w:r>
      <w:r w:rsidRPr="00D773B9">
        <w:rPr>
          <w:rFonts w:cs="Arial"/>
        </w:rPr>
        <w:t xml:space="preserve">rea </w:t>
      </w:r>
      <w:r>
        <w:rPr>
          <w:rFonts w:cs="Arial"/>
        </w:rPr>
        <w:t xml:space="preserve">is located wholly within and comprises </w:t>
      </w:r>
      <w:r w:rsidRPr="00D773B9">
        <w:rPr>
          <w:rFonts w:cs="Arial"/>
        </w:rPr>
        <w:t xml:space="preserve">all the land and waters </w:t>
      </w:r>
      <w:r>
        <w:rPr>
          <w:rFonts w:cs="Arial"/>
        </w:rPr>
        <w:t>bounded by the following line</w:t>
      </w:r>
      <w:r w:rsidRPr="00D773B9">
        <w:rPr>
          <w:rFonts w:cs="Arial"/>
        </w:rPr>
        <w:t>:</w:t>
      </w:r>
    </w:p>
    <w:p w:rsidR="008A43A4" w:rsidRDefault="008A43A4" w:rsidP="008A43A4">
      <w:pPr>
        <w:rPr>
          <w:rFonts w:cs="Arial"/>
        </w:rPr>
      </w:pPr>
    </w:p>
    <w:p w:rsidR="008A43A4" w:rsidRDefault="008A43A4" w:rsidP="008A43A4">
      <w:pPr>
        <w:rPr>
          <w:rFonts w:cs="Arial"/>
        </w:rPr>
      </w:pPr>
      <w:r>
        <w:rPr>
          <w:rFonts w:cs="Arial"/>
        </w:rPr>
        <w:t>That portion within the external boundary of Allotment 24 in Deposited Plan 42203 as follows; c</w:t>
      </w:r>
      <w:r w:rsidRPr="00D773B9">
        <w:rPr>
          <w:rFonts w:cs="Arial"/>
        </w:rPr>
        <w:t xml:space="preserve">ommencing at </w:t>
      </w:r>
      <w:r>
        <w:rPr>
          <w:rFonts w:cs="Arial"/>
        </w:rPr>
        <w:t xml:space="preserve">Longitude 139.771817 East Latitude 29.449001 South; then generally south-easterly </w:t>
      </w:r>
      <w:r w:rsidRPr="00D773B9">
        <w:rPr>
          <w:rFonts w:cs="Arial"/>
        </w:rPr>
        <w:t>in straight lines connecting the following coordinate points</w:t>
      </w:r>
    </w:p>
    <w:p w:rsidR="008A43A4" w:rsidRDefault="008A43A4" w:rsidP="008A43A4">
      <w:pPr>
        <w:rPr>
          <w:rFonts w:cs="Arial"/>
        </w:rPr>
      </w:pPr>
    </w:p>
    <w:tbl>
      <w:tblPr>
        <w:tblW w:w="4678" w:type="dxa"/>
        <w:tblInd w:w="2093" w:type="dxa"/>
        <w:tblLook w:val="0000" w:firstRow="0" w:lastRow="0" w:firstColumn="0" w:lastColumn="0" w:noHBand="0" w:noVBand="0"/>
      </w:tblPr>
      <w:tblGrid>
        <w:gridCol w:w="2407"/>
        <w:gridCol w:w="2271"/>
      </w:tblGrid>
      <w:tr w:rsidR="008A43A4" w:rsidRPr="00D773B9" w:rsidTr="00246886">
        <w:trPr>
          <w:trHeight w:val="255"/>
        </w:trPr>
        <w:tc>
          <w:tcPr>
            <w:tcW w:w="2407"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8A43A4" w:rsidRPr="00D773B9" w:rsidRDefault="008A43A4" w:rsidP="00246886">
            <w:pPr>
              <w:spacing w:line="240" w:lineRule="auto"/>
              <w:jc w:val="center"/>
              <w:rPr>
                <w:rFonts w:cs="Arial"/>
                <w:b/>
                <w:bCs/>
                <w:lang w:eastAsia="en-AU"/>
              </w:rPr>
            </w:pPr>
            <w:r w:rsidRPr="00D773B9">
              <w:rPr>
                <w:rFonts w:cs="Arial"/>
                <w:b/>
                <w:bCs/>
                <w:lang w:eastAsia="en-AU"/>
              </w:rPr>
              <w:t>Longitude (East)</w:t>
            </w:r>
          </w:p>
        </w:tc>
        <w:tc>
          <w:tcPr>
            <w:tcW w:w="2271" w:type="dxa"/>
            <w:tcBorders>
              <w:top w:val="single" w:sz="4" w:space="0" w:color="auto"/>
              <w:left w:val="nil"/>
              <w:bottom w:val="single" w:sz="4" w:space="0" w:color="auto"/>
              <w:right w:val="single" w:sz="4" w:space="0" w:color="auto"/>
            </w:tcBorders>
            <w:shd w:val="clear" w:color="auto" w:fill="C0C0C0"/>
            <w:noWrap/>
            <w:vAlign w:val="bottom"/>
          </w:tcPr>
          <w:p w:rsidR="008A43A4" w:rsidRPr="00D773B9" w:rsidRDefault="008A43A4" w:rsidP="00246886">
            <w:pPr>
              <w:spacing w:line="240" w:lineRule="auto"/>
              <w:jc w:val="center"/>
              <w:rPr>
                <w:rFonts w:cs="Arial"/>
                <w:b/>
                <w:bCs/>
                <w:lang w:eastAsia="en-AU"/>
              </w:rPr>
            </w:pPr>
            <w:r w:rsidRPr="00D773B9">
              <w:rPr>
                <w:rFonts w:cs="Arial"/>
                <w:b/>
                <w:bCs/>
                <w:lang w:eastAsia="en-AU"/>
              </w:rPr>
              <w:t>Latitude (South)</w:t>
            </w:r>
          </w:p>
        </w:tc>
      </w:tr>
      <w:tr w:rsidR="008A43A4" w:rsidRPr="00D773B9"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8A43A4" w:rsidRPr="00FE6906" w:rsidRDefault="008A43A4" w:rsidP="00246886">
            <w:pPr>
              <w:spacing w:line="240" w:lineRule="auto"/>
              <w:jc w:val="center"/>
              <w:rPr>
                <w:rFonts w:cs="Arial"/>
                <w:lang w:eastAsia="en-AU"/>
              </w:rPr>
            </w:pPr>
            <w:r w:rsidRPr="00FE6906">
              <w:rPr>
                <w:rFonts w:cs="Arial"/>
                <w:lang w:eastAsia="en-AU"/>
              </w:rPr>
              <w:t>139.778008</w:t>
            </w:r>
          </w:p>
        </w:tc>
        <w:tc>
          <w:tcPr>
            <w:tcW w:w="2271" w:type="dxa"/>
            <w:tcBorders>
              <w:top w:val="nil"/>
              <w:left w:val="nil"/>
              <w:bottom w:val="single" w:sz="4" w:space="0" w:color="auto"/>
              <w:right w:val="single" w:sz="4" w:space="0" w:color="auto"/>
            </w:tcBorders>
            <w:shd w:val="clear" w:color="auto" w:fill="auto"/>
            <w:noWrap/>
            <w:vAlign w:val="bottom"/>
          </w:tcPr>
          <w:p w:rsidR="008A43A4" w:rsidRPr="00FE6906" w:rsidRDefault="008A43A4" w:rsidP="00246886">
            <w:pPr>
              <w:spacing w:line="240" w:lineRule="auto"/>
              <w:jc w:val="center"/>
              <w:rPr>
                <w:rFonts w:cs="Arial"/>
                <w:lang w:eastAsia="en-AU"/>
              </w:rPr>
            </w:pPr>
            <w:r w:rsidRPr="00FE6906">
              <w:rPr>
                <w:rFonts w:cs="Arial"/>
                <w:lang w:eastAsia="en-AU"/>
              </w:rPr>
              <w:t>29.456626</w:t>
            </w:r>
          </w:p>
        </w:tc>
      </w:tr>
      <w:tr w:rsidR="008A43A4" w:rsidRPr="00D773B9"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8A43A4" w:rsidRPr="00FE6906" w:rsidRDefault="008A43A4" w:rsidP="00246886">
            <w:pPr>
              <w:spacing w:line="240" w:lineRule="auto"/>
              <w:jc w:val="center"/>
              <w:rPr>
                <w:rFonts w:cs="Arial"/>
                <w:lang w:eastAsia="en-AU"/>
              </w:rPr>
            </w:pPr>
            <w:r w:rsidRPr="00FE6906">
              <w:rPr>
                <w:rFonts w:cs="Arial"/>
                <w:lang w:eastAsia="en-AU"/>
              </w:rPr>
              <w:t>139.786104</w:t>
            </w:r>
          </w:p>
        </w:tc>
        <w:tc>
          <w:tcPr>
            <w:tcW w:w="2271" w:type="dxa"/>
            <w:tcBorders>
              <w:top w:val="nil"/>
              <w:left w:val="nil"/>
              <w:bottom w:val="single" w:sz="4" w:space="0" w:color="auto"/>
              <w:right w:val="single" w:sz="4" w:space="0" w:color="auto"/>
            </w:tcBorders>
            <w:shd w:val="clear" w:color="auto" w:fill="auto"/>
            <w:noWrap/>
            <w:vAlign w:val="bottom"/>
          </w:tcPr>
          <w:p w:rsidR="008A43A4" w:rsidRPr="00FE6906" w:rsidRDefault="008A43A4" w:rsidP="00246886">
            <w:pPr>
              <w:spacing w:line="240" w:lineRule="auto"/>
              <w:jc w:val="center"/>
              <w:rPr>
                <w:rFonts w:cs="Arial"/>
                <w:lang w:eastAsia="en-AU"/>
              </w:rPr>
            </w:pPr>
            <w:r w:rsidRPr="00FE6906">
              <w:rPr>
                <w:rFonts w:cs="Arial"/>
                <w:lang w:eastAsia="en-AU"/>
              </w:rPr>
              <w:t>29.457580</w:t>
            </w:r>
          </w:p>
        </w:tc>
      </w:tr>
      <w:tr w:rsidR="008A43A4" w:rsidRPr="00D773B9"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8A43A4" w:rsidRPr="00FE6906" w:rsidRDefault="008A43A4" w:rsidP="00246886">
            <w:pPr>
              <w:spacing w:line="240" w:lineRule="auto"/>
              <w:jc w:val="center"/>
              <w:rPr>
                <w:rFonts w:cs="Arial"/>
                <w:lang w:eastAsia="en-AU"/>
              </w:rPr>
            </w:pPr>
            <w:r w:rsidRPr="00FE6906">
              <w:rPr>
                <w:rFonts w:cs="Arial"/>
                <w:lang w:eastAsia="en-AU"/>
              </w:rPr>
              <w:t>139.798726</w:t>
            </w:r>
          </w:p>
        </w:tc>
        <w:tc>
          <w:tcPr>
            <w:tcW w:w="2271" w:type="dxa"/>
            <w:tcBorders>
              <w:top w:val="nil"/>
              <w:left w:val="nil"/>
              <w:bottom w:val="single" w:sz="4" w:space="0" w:color="auto"/>
              <w:right w:val="single" w:sz="4" w:space="0" w:color="auto"/>
            </w:tcBorders>
            <w:shd w:val="clear" w:color="auto" w:fill="auto"/>
            <w:noWrap/>
            <w:vAlign w:val="bottom"/>
          </w:tcPr>
          <w:p w:rsidR="008A43A4" w:rsidRPr="00FE6906" w:rsidRDefault="008A43A4" w:rsidP="00246886">
            <w:pPr>
              <w:spacing w:line="240" w:lineRule="auto"/>
              <w:jc w:val="center"/>
              <w:rPr>
                <w:rFonts w:cs="Arial"/>
                <w:lang w:eastAsia="en-AU"/>
              </w:rPr>
            </w:pPr>
            <w:r w:rsidRPr="00FE6906">
              <w:rPr>
                <w:rFonts w:cs="Arial"/>
                <w:lang w:eastAsia="en-AU"/>
              </w:rPr>
              <w:t>29.466526</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8A43A4" w:rsidRPr="00FE6906" w:rsidRDefault="008A43A4" w:rsidP="00246886">
            <w:pPr>
              <w:spacing w:line="240" w:lineRule="auto"/>
              <w:jc w:val="center"/>
              <w:rPr>
                <w:rFonts w:cs="Arial"/>
                <w:lang w:eastAsia="en-AU"/>
              </w:rPr>
            </w:pPr>
            <w:r w:rsidRPr="00154C48">
              <w:rPr>
                <w:rFonts w:cs="Arial"/>
                <w:lang w:eastAsia="en-AU"/>
              </w:rPr>
              <w:t>139.800913</w:t>
            </w:r>
          </w:p>
        </w:tc>
        <w:tc>
          <w:tcPr>
            <w:tcW w:w="2271" w:type="dxa"/>
            <w:tcBorders>
              <w:top w:val="nil"/>
              <w:left w:val="nil"/>
              <w:bottom w:val="single" w:sz="4" w:space="0" w:color="auto"/>
              <w:right w:val="single" w:sz="4" w:space="0" w:color="auto"/>
            </w:tcBorders>
            <w:shd w:val="clear" w:color="auto" w:fill="auto"/>
            <w:noWrap/>
            <w:vAlign w:val="bottom"/>
          </w:tcPr>
          <w:p w:rsidR="008A43A4" w:rsidRPr="00FE6906" w:rsidRDefault="008A43A4" w:rsidP="00246886">
            <w:pPr>
              <w:spacing w:line="240" w:lineRule="auto"/>
              <w:jc w:val="center"/>
              <w:rPr>
                <w:rFonts w:cs="Arial"/>
                <w:lang w:eastAsia="en-AU"/>
              </w:rPr>
            </w:pPr>
            <w:r w:rsidRPr="00FE6906">
              <w:rPr>
                <w:rFonts w:cs="Arial"/>
                <w:lang w:eastAsia="en-AU"/>
              </w:rPr>
              <w:t>29.467984</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8A43A4" w:rsidRPr="00FE6906" w:rsidRDefault="008A43A4" w:rsidP="00246886">
            <w:pPr>
              <w:spacing w:line="240" w:lineRule="auto"/>
              <w:jc w:val="center"/>
              <w:rPr>
                <w:rFonts w:cs="Arial"/>
                <w:lang w:eastAsia="en-AU"/>
              </w:rPr>
            </w:pPr>
            <w:r w:rsidRPr="00FE6906">
              <w:rPr>
                <w:rFonts w:cs="Arial"/>
                <w:lang w:eastAsia="en-AU"/>
              </w:rPr>
              <w:t>139.803100</w:t>
            </w:r>
          </w:p>
        </w:tc>
        <w:tc>
          <w:tcPr>
            <w:tcW w:w="2271" w:type="dxa"/>
            <w:tcBorders>
              <w:top w:val="nil"/>
              <w:left w:val="nil"/>
              <w:bottom w:val="single" w:sz="4" w:space="0" w:color="auto"/>
              <w:right w:val="single" w:sz="4" w:space="0" w:color="auto"/>
            </w:tcBorders>
            <w:shd w:val="clear" w:color="auto" w:fill="auto"/>
            <w:noWrap/>
            <w:vAlign w:val="bottom"/>
          </w:tcPr>
          <w:p w:rsidR="008A43A4" w:rsidRPr="00FE6906" w:rsidRDefault="008A43A4" w:rsidP="00246886">
            <w:pPr>
              <w:spacing w:line="240" w:lineRule="auto"/>
              <w:jc w:val="center"/>
              <w:rPr>
                <w:rFonts w:cs="Arial"/>
                <w:lang w:eastAsia="en-AU"/>
              </w:rPr>
            </w:pPr>
            <w:r w:rsidRPr="00FE6906">
              <w:rPr>
                <w:rFonts w:cs="Arial"/>
                <w:lang w:eastAsia="en-AU"/>
              </w:rPr>
              <w:t>29.474550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8A43A4" w:rsidRPr="00FE6906" w:rsidRDefault="008A43A4" w:rsidP="00246886">
            <w:pPr>
              <w:spacing w:line="240" w:lineRule="auto"/>
              <w:jc w:val="center"/>
              <w:rPr>
                <w:rFonts w:cs="Arial"/>
                <w:lang w:eastAsia="en-AU"/>
              </w:rPr>
            </w:pPr>
            <w:r w:rsidRPr="00FE6906">
              <w:rPr>
                <w:rFonts w:cs="Arial"/>
                <w:lang w:eastAsia="en-AU"/>
              </w:rPr>
              <w:t>139.806745</w:t>
            </w:r>
          </w:p>
        </w:tc>
        <w:tc>
          <w:tcPr>
            <w:tcW w:w="2271" w:type="dxa"/>
            <w:tcBorders>
              <w:top w:val="nil"/>
              <w:left w:val="nil"/>
              <w:bottom w:val="single" w:sz="4" w:space="0" w:color="auto"/>
              <w:right w:val="single" w:sz="4" w:space="0" w:color="auto"/>
            </w:tcBorders>
            <w:shd w:val="clear" w:color="auto" w:fill="auto"/>
            <w:noWrap/>
            <w:vAlign w:val="bottom"/>
          </w:tcPr>
          <w:p w:rsidR="008A43A4" w:rsidRPr="00FE6906" w:rsidRDefault="008A43A4" w:rsidP="00246886">
            <w:pPr>
              <w:spacing w:line="240" w:lineRule="auto"/>
              <w:jc w:val="center"/>
              <w:rPr>
                <w:rFonts w:cs="Arial"/>
                <w:lang w:eastAsia="en-AU"/>
              </w:rPr>
            </w:pPr>
            <w:r w:rsidRPr="00FE6906">
              <w:rPr>
                <w:rFonts w:cs="Arial"/>
                <w:lang w:eastAsia="en-AU"/>
              </w:rPr>
              <w:t>29.481845</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8A43A4" w:rsidRPr="00FE6906" w:rsidRDefault="008A43A4" w:rsidP="00246886">
            <w:pPr>
              <w:spacing w:line="240" w:lineRule="auto"/>
              <w:jc w:val="center"/>
              <w:rPr>
                <w:rFonts w:cs="Arial"/>
                <w:lang w:eastAsia="en-AU"/>
              </w:rPr>
            </w:pPr>
            <w:r w:rsidRPr="00FE6906">
              <w:rPr>
                <w:rFonts w:cs="Arial"/>
                <w:lang w:eastAsia="en-AU"/>
              </w:rPr>
              <w:t>139.814763</w:t>
            </w:r>
          </w:p>
        </w:tc>
        <w:tc>
          <w:tcPr>
            <w:tcW w:w="2271" w:type="dxa"/>
            <w:tcBorders>
              <w:top w:val="nil"/>
              <w:left w:val="nil"/>
              <w:bottom w:val="single" w:sz="4" w:space="0" w:color="auto"/>
              <w:right w:val="single" w:sz="4" w:space="0" w:color="auto"/>
            </w:tcBorders>
            <w:shd w:val="clear" w:color="auto" w:fill="auto"/>
            <w:noWrap/>
            <w:vAlign w:val="bottom"/>
          </w:tcPr>
          <w:p w:rsidR="008A43A4" w:rsidRPr="00FE6906" w:rsidRDefault="008A43A4" w:rsidP="00246886">
            <w:pPr>
              <w:spacing w:line="240" w:lineRule="auto"/>
              <w:jc w:val="center"/>
              <w:rPr>
                <w:rFonts w:cs="Arial"/>
                <w:lang w:eastAsia="en-AU"/>
              </w:rPr>
            </w:pPr>
            <w:r w:rsidRPr="00154C48">
              <w:rPr>
                <w:rFonts w:cs="Arial"/>
                <w:lang w:eastAsia="en-AU"/>
              </w:rPr>
              <w:t>29.486951</w:t>
            </w:r>
          </w:p>
        </w:tc>
      </w:tr>
      <w:tr w:rsidR="008A43A4" w:rsidRPr="00D773B9"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8A43A4" w:rsidRPr="00D773B9" w:rsidRDefault="008A43A4" w:rsidP="00246886">
            <w:pPr>
              <w:spacing w:line="240" w:lineRule="auto"/>
              <w:jc w:val="center"/>
              <w:rPr>
                <w:rFonts w:cs="Arial"/>
                <w:lang w:eastAsia="en-AU"/>
              </w:rPr>
            </w:pPr>
            <w:r w:rsidRPr="00FE6906">
              <w:rPr>
                <w:rFonts w:cs="Arial"/>
                <w:lang w:eastAsia="en-AU"/>
              </w:rPr>
              <w:t>139.822053</w:t>
            </w:r>
          </w:p>
        </w:tc>
        <w:tc>
          <w:tcPr>
            <w:tcW w:w="2271" w:type="dxa"/>
            <w:tcBorders>
              <w:top w:val="nil"/>
              <w:left w:val="nil"/>
              <w:bottom w:val="single" w:sz="4" w:space="0" w:color="auto"/>
              <w:right w:val="single" w:sz="4" w:space="0" w:color="auto"/>
            </w:tcBorders>
            <w:shd w:val="clear" w:color="auto" w:fill="auto"/>
            <w:noWrap/>
            <w:vAlign w:val="bottom"/>
          </w:tcPr>
          <w:p w:rsidR="008A43A4" w:rsidRPr="00D773B9" w:rsidRDefault="008A43A4" w:rsidP="00246886">
            <w:pPr>
              <w:spacing w:line="240" w:lineRule="auto"/>
              <w:jc w:val="center"/>
              <w:rPr>
                <w:rFonts w:cs="Arial"/>
                <w:lang w:eastAsia="en-AU"/>
              </w:rPr>
            </w:pPr>
            <w:r w:rsidRPr="00FE6906">
              <w:rPr>
                <w:rFonts w:cs="Arial"/>
                <w:lang w:eastAsia="en-AU"/>
              </w:rPr>
              <w:t>29.485491</w:t>
            </w:r>
          </w:p>
        </w:tc>
      </w:tr>
      <w:tr w:rsidR="008A43A4" w:rsidRPr="00D773B9"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8A43A4" w:rsidRPr="00D773B9" w:rsidRDefault="008A43A4" w:rsidP="00246886">
            <w:pPr>
              <w:spacing w:line="240" w:lineRule="auto"/>
              <w:jc w:val="center"/>
              <w:rPr>
                <w:rFonts w:cs="Arial"/>
                <w:lang w:eastAsia="en-AU"/>
              </w:rPr>
            </w:pPr>
            <w:r w:rsidRPr="00FE6906">
              <w:rPr>
                <w:rFonts w:cs="Arial"/>
                <w:lang w:eastAsia="en-AU"/>
              </w:rPr>
              <w:t>139.823510</w:t>
            </w:r>
          </w:p>
        </w:tc>
        <w:tc>
          <w:tcPr>
            <w:tcW w:w="2271" w:type="dxa"/>
            <w:tcBorders>
              <w:top w:val="nil"/>
              <w:left w:val="nil"/>
              <w:bottom w:val="single" w:sz="4" w:space="0" w:color="auto"/>
              <w:right w:val="single" w:sz="4" w:space="0" w:color="auto"/>
            </w:tcBorders>
            <w:shd w:val="clear" w:color="auto" w:fill="auto"/>
            <w:noWrap/>
            <w:vAlign w:val="bottom"/>
          </w:tcPr>
          <w:p w:rsidR="008A43A4" w:rsidRPr="00D773B9" w:rsidRDefault="008A43A4" w:rsidP="00246886">
            <w:pPr>
              <w:spacing w:line="240" w:lineRule="auto"/>
              <w:jc w:val="center"/>
              <w:rPr>
                <w:rFonts w:cs="Arial"/>
                <w:lang w:eastAsia="en-AU"/>
              </w:rPr>
            </w:pPr>
            <w:r w:rsidRPr="00FE6906">
              <w:rPr>
                <w:rFonts w:cs="Arial"/>
                <w:lang w:eastAsia="en-AU"/>
              </w:rPr>
              <w:t>29.480385</w:t>
            </w:r>
          </w:p>
        </w:tc>
      </w:tr>
      <w:tr w:rsidR="008A43A4" w:rsidRPr="00D773B9"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8A43A4" w:rsidRPr="00D773B9" w:rsidRDefault="008A43A4" w:rsidP="00246886">
            <w:pPr>
              <w:spacing w:line="240" w:lineRule="auto"/>
              <w:jc w:val="center"/>
              <w:rPr>
                <w:rFonts w:cs="Arial"/>
                <w:lang w:eastAsia="en-AU"/>
              </w:rPr>
            </w:pPr>
            <w:r w:rsidRPr="00FE6906">
              <w:rPr>
                <w:rFonts w:cs="Arial"/>
                <w:lang w:eastAsia="en-AU"/>
              </w:rPr>
              <w:t>139.833677</w:t>
            </w:r>
          </w:p>
        </w:tc>
        <w:tc>
          <w:tcPr>
            <w:tcW w:w="2271" w:type="dxa"/>
            <w:tcBorders>
              <w:top w:val="nil"/>
              <w:left w:val="nil"/>
              <w:bottom w:val="single" w:sz="4" w:space="0" w:color="auto"/>
              <w:right w:val="single" w:sz="4" w:space="0" w:color="auto"/>
            </w:tcBorders>
            <w:shd w:val="clear" w:color="auto" w:fill="auto"/>
            <w:noWrap/>
            <w:vAlign w:val="bottom"/>
          </w:tcPr>
          <w:p w:rsidR="008A43A4" w:rsidRPr="00D773B9" w:rsidRDefault="008A43A4" w:rsidP="00246886">
            <w:pPr>
              <w:spacing w:line="240" w:lineRule="auto"/>
              <w:jc w:val="center"/>
              <w:rPr>
                <w:rFonts w:cs="Arial"/>
                <w:lang w:eastAsia="en-AU"/>
              </w:rPr>
            </w:pPr>
            <w:r w:rsidRPr="00FE6906">
              <w:rPr>
                <w:rFonts w:cs="Arial"/>
                <w:lang w:eastAsia="en-AU"/>
              </w:rPr>
              <w:t>29.482455</w:t>
            </w:r>
          </w:p>
        </w:tc>
      </w:tr>
      <w:tr w:rsidR="008A43A4" w:rsidRPr="00D773B9"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8A43A4" w:rsidRPr="00D773B9" w:rsidRDefault="008A43A4" w:rsidP="00246886">
            <w:pPr>
              <w:spacing w:line="240" w:lineRule="auto"/>
              <w:jc w:val="center"/>
              <w:rPr>
                <w:rFonts w:cs="Arial"/>
                <w:lang w:eastAsia="en-AU"/>
              </w:rPr>
            </w:pPr>
            <w:r w:rsidRPr="00FE6906">
              <w:rPr>
                <w:rFonts w:cs="Arial"/>
                <w:lang w:eastAsia="en-AU"/>
              </w:rPr>
              <w:t>139.888386</w:t>
            </w:r>
          </w:p>
        </w:tc>
        <w:tc>
          <w:tcPr>
            <w:tcW w:w="2271" w:type="dxa"/>
            <w:tcBorders>
              <w:top w:val="nil"/>
              <w:left w:val="nil"/>
              <w:bottom w:val="single" w:sz="4" w:space="0" w:color="auto"/>
              <w:right w:val="single" w:sz="4" w:space="0" w:color="auto"/>
            </w:tcBorders>
            <w:shd w:val="clear" w:color="auto" w:fill="auto"/>
            <w:noWrap/>
            <w:vAlign w:val="bottom"/>
          </w:tcPr>
          <w:p w:rsidR="008A43A4" w:rsidRPr="00D773B9" w:rsidRDefault="008A43A4" w:rsidP="00246886">
            <w:pPr>
              <w:spacing w:line="240" w:lineRule="auto"/>
              <w:jc w:val="center"/>
              <w:rPr>
                <w:rFonts w:cs="Arial"/>
                <w:lang w:eastAsia="en-AU"/>
              </w:rPr>
            </w:pPr>
            <w:r w:rsidRPr="00FE6906">
              <w:rPr>
                <w:rFonts w:cs="Arial"/>
                <w:lang w:eastAsia="en-AU"/>
              </w:rPr>
              <w:t>29.502268</w:t>
            </w:r>
          </w:p>
        </w:tc>
      </w:tr>
      <w:tr w:rsidR="008A43A4" w:rsidRPr="00D773B9"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8A43A4" w:rsidRPr="00D773B9" w:rsidRDefault="008A43A4" w:rsidP="00246886">
            <w:pPr>
              <w:spacing w:line="240" w:lineRule="auto"/>
              <w:jc w:val="center"/>
              <w:rPr>
                <w:rFonts w:cs="Arial"/>
                <w:lang w:eastAsia="en-AU"/>
              </w:rPr>
            </w:pPr>
            <w:r w:rsidRPr="00FE6906">
              <w:rPr>
                <w:rFonts w:cs="Arial"/>
                <w:lang w:eastAsia="en-AU"/>
              </w:rPr>
              <w:t>139.919003</w:t>
            </w:r>
          </w:p>
        </w:tc>
        <w:tc>
          <w:tcPr>
            <w:tcW w:w="2271" w:type="dxa"/>
            <w:tcBorders>
              <w:top w:val="nil"/>
              <w:left w:val="nil"/>
              <w:bottom w:val="single" w:sz="4" w:space="0" w:color="auto"/>
              <w:right w:val="single" w:sz="4" w:space="0" w:color="auto"/>
            </w:tcBorders>
            <w:shd w:val="clear" w:color="auto" w:fill="auto"/>
            <w:noWrap/>
            <w:vAlign w:val="bottom"/>
          </w:tcPr>
          <w:p w:rsidR="008A43A4" w:rsidRPr="00D773B9" w:rsidRDefault="008A43A4" w:rsidP="00246886">
            <w:pPr>
              <w:spacing w:line="240" w:lineRule="auto"/>
              <w:jc w:val="center"/>
              <w:rPr>
                <w:rFonts w:cs="Arial"/>
                <w:lang w:eastAsia="en-AU"/>
              </w:rPr>
            </w:pPr>
            <w:r w:rsidRPr="00FE6906">
              <w:rPr>
                <w:rFonts w:cs="Arial"/>
                <w:lang w:eastAsia="en-AU"/>
              </w:rPr>
              <w:t>29.518316</w:t>
            </w:r>
          </w:p>
        </w:tc>
      </w:tr>
      <w:tr w:rsidR="008A43A4" w:rsidRPr="00D773B9"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8A43A4" w:rsidRPr="00D773B9" w:rsidRDefault="008A43A4" w:rsidP="00246886">
            <w:pPr>
              <w:spacing w:line="240" w:lineRule="auto"/>
              <w:jc w:val="center"/>
              <w:rPr>
                <w:rFonts w:cs="Arial"/>
                <w:lang w:eastAsia="en-AU"/>
              </w:rPr>
            </w:pPr>
            <w:r w:rsidRPr="00FE6906">
              <w:rPr>
                <w:rFonts w:cs="Arial"/>
                <w:lang w:eastAsia="en-AU"/>
              </w:rPr>
              <w:t>139.948160</w:t>
            </w:r>
          </w:p>
        </w:tc>
        <w:tc>
          <w:tcPr>
            <w:tcW w:w="2271" w:type="dxa"/>
            <w:tcBorders>
              <w:top w:val="nil"/>
              <w:left w:val="nil"/>
              <w:bottom w:val="single" w:sz="4" w:space="0" w:color="auto"/>
              <w:right w:val="single" w:sz="4" w:space="0" w:color="auto"/>
            </w:tcBorders>
            <w:shd w:val="clear" w:color="auto" w:fill="auto"/>
            <w:noWrap/>
            <w:vAlign w:val="bottom"/>
          </w:tcPr>
          <w:p w:rsidR="008A43A4" w:rsidRPr="00D773B9" w:rsidRDefault="008A43A4" w:rsidP="00246886">
            <w:pPr>
              <w:spacing w:line="240" w:lineRule="auto"/>
              <w:jc w:val="center"/>
              <w:rPr>
                <w:rFonts w:cs="Arial"/>
                <w:lang w:eastAsia="en-AU"/>
              </w:rPr>
            </w:pPr>
            <w:r w:rsidRPr="00FE6906">
              <w:rPr>
                <w:rFonts w:cs="Arial"/>
                <w:lang w:eastAsia="en-AU"/>
              </w:rPr>
              <w:t>29.537281</w:t>
            </w:r>
          </w:p>
        </w:tc>
      </w:tr>
      <w:tr w:rsidR="008A43A4" w:rsidRPr="00D773B9"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8A43A4" w:rsidRPr="00D773B9" w:rsidRDefault="008A43A4" w:rsidP="00246886">
            <w:pPr>
              <w:spacing w:line="240" w:lineRule="auto"/>
              <w:jc w:val="center"/>
              <w:rPr>
                <w:rFonts w:cs="Arial"/>
                <w:lang w:eastAsia="en-AU"/>
              </w:rPr>
            </w:pPr>
            <w:r w:rsidRPr="00FE6906">
              <w:rPr>
                <w:rFonts w:cs="Arial"/>
                <w:lang w:eastAsia="en-AU"/>
              </w:rPr>
              <w:t>139.972215</w:t>
            </w:r>
          </w:p>
        </w:tc>
        <w:tc>
          <w:tcPr>
            <w:tcW w:w="2271" w:type="dxa"/>
            <w:tcBorders>
              <w:top w:val="nil"/>
              <w:left w:val="nil"/>
              <w:bottom w:val="single" w:sz="4" w:space="0" w:color="auto"/>
              <w:right w:val="single" w:sz="4" w:space="0" w:color="auto"/>
            </w:tcBorders>
            <w:shd w:val="clear" w:color="auto" w:fill="auto"/>
            <w:noWrap/>
            <w:vAlign w:val="bottom"/>
          </w:tcPr>
          <w:p w:rsidR="008A43A4" w:rsidRPr="00D773B9" w:rsidRDefault="008A43A4" w:rsidP="00246886">
            <w:pPr>
              <w:spacing w:line="240" w:lineRule="auto"/>
              <w:jc w:val="center"/>
              <w:rPr>
                <w:rFonts w:cs="Arial"/>
                <w:lang w:eastAsia="en-AU"/>
              </w:rPr>
            </w:pPr>
            <w:r w:rsidRPr="00F21696">
              <w:rPr>
                <w:rFonts w:cs="Arial"/>
                <w:lang w:eastAsia="en-AU"/>
              </w:rPr>
              <w:t>29.553329</w:t>
            </w:r>
          </w:p>
        </w:tc>
      </w:tr>
      <w:tr w:rsidR="008A43A4" w:rsidRPr="00D773B9"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bottom"/>
          </w:tcPr>
          <w:p w:rsidR="008A43A4" w:rsidRPr="00D773B9" w:rsidRDefault="008A43A4" w:rsidP="00246886">
            <w:pPr>
              <w:spacing w:line="240" w:lineRule="auto"/>
              <w:jc w:val="center"/>
              <w:rPr>
                <w:rFonts w:cs="Arial"/>
                <w:lang w:eastAsia="en-AU"/>
              </w:rPr>
            </w:pPr>
            <w:r>
              <w:rPr>
                <w:rFonts w:cs="Arial"/>
                <w:lang w:eastAsia="en-AU"/>
              </w:rPr>
              <w:t>139.995541</w:t>
            </w:r>
          </w:p>
        </w:tc>
        <w:tc>
          <w:tcPr>
            <w:tcW w:w="2271" w:type="dxa"/>
            <w:tcBorders>
              <w:top w:val="nil"/>
              <w:left w:val="nil"/>
              <w:bottom w:val="single" w:sz="4" w:space="0" w:color="auto"/>
              <w:right w:val="single" w:sz="4" w:space="0" w:color="auto"/>
            </w:tcBorders>
            <w:shd w:val="clear" w:color="auto" w:fill="auto"/>
            <w:noWrap/>
            <w:vAlign w:val="bottom"/>
          </w:tcPr>
          <w:p w:rsidR="008A43A4" w:rsidRPr="00D773B9" w:rsidRDefault="008A43A4" w:rsidP="00246886">
            <w:pPr>
              <w:spacing w:line="240" w:lineRule="auto"/>
              <w:jc w:val="center"/>
              <w:rPr>
                <w:rFonts w:cs="Arial"/>
                <w:lang w:eastAsia="en-AU"/>
              </w:rPr>
            </w:pPr>
            <w:r w:rsidRPr="00F21696">
              <w:rPr>
                <w:rFonts w:cs="Arial"/>
                <w:lang w:eastAsia="en-AU"/>
              </w:rPr>
              <w:t>29.567919</w:t>
            </w:r>
          </w:p>
        </w:tc>
      </w:tr>
    </w:tbl>
    <w:p w:rsidR="008A43A4" w:rsidRDefault="008A43A4" w:rsidP="008A43A4">
      <w:pPr>
        <w:rPr>
          <w:rFonts w:cs="Arial"/>
        </w:rPr>
      </w:pPr>
    </w:p>
    <w:p w:rsidR="008A43A4" w:rsidRDefault="008A43A4" w:rsidP="008A43A4">
      <w:pPr>
        <w:rPr>
          <w:rFonts w:cs="Arial"/>
          <w:lang w:eastAsia="en-AU"/>
        </w:rPr>
      </w:pPr>
      <w:r w:rsidRPr="00D773B9">
        <w:rPr>
          <w:rFonts w:cs="Arial"/>
        </w:rPr>
        <w:t xml:space="preserve">Then </w:t>
      </w:r>
      <w:r>
        <w:rPr>
          <w:rFonts w:cs="Arial"/>
        </w:rPr>
        <w:t xml:space="preserve">in a straight line </w:t>
      </w:r>
      <w:r w:rsidRPr="00D773B9">
        <w:rPr>
          <w:rFonts w:cs="Arial"/>
        </w:rPr>
        <w:t>south-</w:t>
      </w:r>
      <w:r>
        <w:rPr>
          <w:rFonts w:cs="Arial"/>
        </w:rPr>
        <w:t>ea</w:t>
      </w:r>
      <w:r w:rsidRPr="00D773B9">
        <w:rPr>
          <w:rFonts w:cs="Arial"/>
        </w:rPr>
        <w:t xml:space="preserve">sterly </w:t>
      </w:r>
      <w:r>
        <w:rPr>
          <w:rFonts w:cs="Arial"/>
        </w:rPr>
        <w:t>to</w:t>
      </w:r>
      <w:r w:rsidRPr="00D773B9">
        <w:rPr>
          <w:rFonts w:cs="Arial"/>
        </w:rPr>
        <w:t xml:space="preserve"> the </w:t>
      </w:r>
      <w:r>
        <w:rPr>
          <w:rFonts w:cs="Arial"/>
        </w:rPr>
        <w:t xml:space="preserve">intersection of the north-western shoreline of Lake Callabonna with Longitude 139.997650 East; then generally south-westerly along the said shoreline of Lake Callabonna to its intersection with the southern bank of </w:t>
      </w:r>
      <w:proofErr w:type="spellStart"/>
      <w:r>
        <w:rPr>
          <w:rFonts w:cs="Arial"/>
        </w:rPr>
        <w:t>Yerila</w:t>
      </w:r>
      <w:proofErr w:type="spellEnd"/>
      <w:r>
        <w:rPr>
          <w:rFonts w:cs="Arial"/>
        </w:rPr>
        <w:t xml:space="preserve"> Creek; then generally south-westerly along the said southern bank of </w:t>
      </w:r>
      <w:proofErr w:type="spellStart"/>
      <w:r>
        <w:rPr>
          <w:rFonts w:cs="Arial"/>
        </w:rPr>
        <w:t>Yerila</w:t>
      </w:r>
      <w:proofErr w:type="spellEnd"/>
      <w:r>
        <w:rPr>
          <w:rFonts w:cs="Arial"/>
        </w:rPr>
        <w:t xml:space="preserve"> Creek to its intersection with Longitude 139.659150 East; then south to the intersection of the northern boundary of </w:t>
      </w:r>
      <w:proofErr w:type="spellStart"/>
      <w:r>
        <w:rPr>
          <w:rFonts w:cs="Arial"/>
        </w:rPr>
        <w:t>Moolawatana</w:t>
      </w:r>
      <w:proofErr w:type="spellEnd"/>
      <w:r>
        <w:rPr>
          <w:rFonts w:cs="Arial"/>
        </w:rPr>
        <w:t xml:space="preserve"> Pastoral Lease - </w:t>
      </w:r>
      <w:r>
        <w:rPr>
          <w:rFonts w:cs="Arial"/>
          <w:lang w:eastAsia="en-AU"/>
        </w:rPr>
        <w:t>Block 1229, OH(Callabonna)</w:t>
      </w:r>
      <w:r w:rsidRPr="002D490A">
        <w:rPr>
          <w:rFonts w:cs="Arial"/>
          <w:szCs w:val="22"/>
        </w:rPr>
        <w:t xml:space="preserve"> </w:t>
      </w:r>
      <w:r>
        <w:rPr>
          <w:rFonts w:cs="Arial"/>
          <w:szCs w:val="22"/>
        </w:rPr>
        <w:t>with Longitude 139.659150 East</w:t>
      </w:r>
      <w:r>
        <w:rPr>
          <w:rFonts w:cs="Arial"/>
          <w:lang w:eastAsia="en-AU"/>
        </w:rPr>
        <w:t>; then westerly along the northern boundary of the said Block 1229</w:t>
      </w:r>
      <w:r w:rsidRPr="00311178">
        <w:rPr>
          <w:rFonts w:cs="Arial"/>
          <w:lang w:eastAsia="en-AU"/>
        </w:rPr>
        <w:t>, OH</w:t>
      </w:r>
      <w:r>
        <w:rPr>
          <w:rFonts w:cs="Arial"/>
          <w:lang w:eastAsia="en-AU"/>
        </w:rPr>
        <w:t xml:space="preserve"> </w:t>
      </w:r>
      <w:r w:rsidRPr="00311178">
        <w:rPr>
          <w:rFonts w:cs="Arial"/>
          <w:lang w:eastAsia="en-AU"/>
        </w:rPr>
        <w:t xml:space="preserve">(Marree &amp; Callabonna) to its intersection with </w:t>
      </w:r>
      <w:proofErr w:type="spellStart"/>
      <w:r w:rsidRPr="00311178">
        <w:rPr>
          <w:rFonts w:cs="Arial"/>
        </w:rPr>
        <w:t>Wattleowie</w:t>
      </w:r>
      <w:proofErr w:type="spellEnd"/>
      <w:r w:rsidRPr="00311178">
        <w:rPr>
          <w:rFonts w:cs="Arial"/>
        </w:rPr>
        <w:t xml:space="preserve"> Creek</w:t>
      </w:r>
      <w:r>
        <w:rPr>
          <w:rFonts w:cs="Arial"/>
        </w:rPr>
        <w:t xml:space="preserve"> at Longitude 139.593331 East</w:t>
      </w:r>
      <w:r>
        <w:rPr>
          <w:rFonts w:cs="Arial"/>
          <w:lang w:eastAsia="en-AU"/>
        </w:rPr>
        <w:t>;</w:t>
      </w:r>
      <w:r w:rsidRPr="00311178">
        <w:rPr>
          <w:rFonts w:cs="Arial"/>
          <w:lang w:eastAsia="en-AU"/>
        </w:rPr>
        <w:t xml:space="preserve"> </w:t>
      </w:r>
      <w:r>
        <w:rPr>
          <w:rFonts w:cs="Arial"/>
          <w:lang w:eastAsia="en-AU"/>
        </w:rPr>
        <w:t>t</w:t>
      </w:r>
      <w:r w:rsidRPr="00311178">
        <w:rPr>
          <w:rFonts w:cs="Arial"/>
          <w:lang w:eastAsia="en-AU"/>
        </w:rPr>
        <w:t xml:space="preserve">hen generally northerly along </w:t>
      </w:r>
      <w:proofErr w:type="spellStart"/>
      <w:r w:rsidRPr="00311178">
        <w:rPr>
          <w:rFonts w:cs="Arial"/>
          <w:lang w:eastAsia="en-AU"/>
        </w:rPr>
        <w:t>Wattleowie</w:t>
      </w:r>
      <w:proofErr w:type="spellEnd"/>
      <w:r w:rsidRPr="00311178">
        <w:rPr>
          <w:rFonts w:cs="Arial"/>
          <w:lang w:eastAsia="en-AU"/>
        </w:rPr>
        <w:t xml:space="preserve"> Creek</w:t>
      </w:r>
      <w:r>
        <w:rPr>
          <w:rFonts w:cs="Arial"/>
          <w:lang w:eastAsia="en-AU"/>
        </w:rPr>
        <w:t>, generally being straight lines connecting the following coordinate points</w:t>
      </w:r>
    </w:p>
    <w:p w:rsidR="008A43A4" w:rsidRDefault="008A43A4" w:rsidP="008A43A4">
      <w:pPr>
        <w:rPr>
          <w:rFonts w:cs="Arial"/>
          <w:lang w:eastAsia="en-AU"/>
        </w:rPr>
      </w:pPr>
    </w:p>
    <w:tbl>
      <w:tblPr>
        <w:tblW w:w="4678"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07"/>
        <w:gridCol w:w="2271"/>
      </w:tblGrid>
      <w:tr w:rsidR="008A43A4" w:rsidRPr="00D773B9" w:rsidTr="00246886">
        <w:trPr>
          <w:trHeight w:val="255"/>
          <w:tblHeader/>
        </w:trPr>
        <w:tc>
          <w:tcPr>
            <w:tcW w:w="2407" w:type="dxa"/>
            <w:shd w:val="clear" w:color="auto" w:fill="BFBFBF"/>
            <w:noWrap/>
            <w:vAlign w:val="bottom"/>
          </w:tcPr>
          <w:p w:rsidR="008A43A4" w:rsidRPr="00D773B9" w:rsidRDefault="008A43A4" w:rsidP="00246886">
            <w:pPr>
              <w:spacing w:line="240" w:lineRule="auto"/>
              <w:jc w:val="center"/>
              <w:rPr>
                <w:rFonts w:cs="Arial"/>
                <w:b/>
                <w:bCs/>
                <w:lang w:eastAsia="en-AU"/>
              </w:rPr>
            </w:pPr>
            <w:r w:rsidRPr="00D773B9">
              <w:rPr>
                <w:rFonts w:cs="Arial"/>
                <w:b/>
                <w:bCs/>
                <w:lang w:eastAsia="en-AU"/>
              </w:rPr>
              <w:lastRenderedPageBreak/>
              <w:t>Longitude (East)</w:t>
            </w:r>
          </w:p>
        </w:tc>
        <w:tc>
          <w:tcPr>
            <w:tcW w:w="2271" w:type="dxa"/>
            <w:shd w:val="clear" w:color="auto" w:fill="BFBFBF"/>
            <w:noWrap/>
            <w:vAlign w:val="bottom"/>
          </w:tcPr>
          <w:p w:rsidR="008A43A4" w:rsidRPr="00D773B9" w:rsidRDefault="008A43A4" w:rsidP="00246886">
            <w:pPr>
              <w:spacing w:line="240" w:lineRule="auto"/>
              <w:jc w:val="center"/>
              <w:rPr>
                <w:rFonts w:cs="Arial"/>
                <w:b/>
                <w:bCs/>
                <w:lang w:eastAsia="en-AU"/>
              </w:rPr>
            </w:pPr>
            <w:r w:rsidRPr="00D773B9">
              <w:rPr>
                <w:rFonts w:cs="Arial"/>
                <w:b/>
                <w:bCs/>
                <w:lang w:eastAsia="en-AU"/>
              </w:rPr>
              <w:t>Latitude (South)</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139.595330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29.795900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139.597670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29.793190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139.598190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29.791840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139.599360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29.790150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139.599620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29.789140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139.599630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29.787440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139.599110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29.786200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139.598080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29.785070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139.597570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29.783940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139.597580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29.781910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139.596290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29.780350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139.596160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29.780330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139.596290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29.779420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139.597330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29.778520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139.597850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29.777510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139.597860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29.775030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139.598120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29.773670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139.598780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29.772430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139.599170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29.772100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139.599430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29.771190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139.599430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29.769840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139.598540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29.766570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139.597900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29.765100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139.595710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29.760940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139.594560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29.758770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139.593010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29.757410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139.590820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29.755940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139.589410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29.754440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139.588450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29.752640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139.587090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29.750850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139.586450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29.749500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139.586450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29.748930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139.586060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29.748260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139.586031</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29.747900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139.585940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29.746790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139.586210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29.743970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139.585580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29.740580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139.584680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29.738550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139.583520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29.736970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139.582750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29.735380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139.582370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29.734140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139.581210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29.732790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139.579660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29.732100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139.579020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29.731540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139.577210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29.730740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139.576820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29.730740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139.575660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29.730060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lastRenderedPageBreak/>
              <w:t>139.574760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29.729270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139.573860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29.728250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139.572440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29.727350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139.570900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29.725540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139.568320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29.723430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139.567920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29.722660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139.566260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29.721460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139.565230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29.720900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139.563940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29.719760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139.562780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29.718180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139.561630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29.717050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139.560980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29.716710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139.560080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29.715920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139.559180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29.714380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139.558920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29.713660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139.559000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29.711700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139.558030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29.710160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139.558040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29.709140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139.558750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29.708180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139.557920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29.706210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139.558450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29.704180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139.559870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29.702380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139.560400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29.700570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139.560410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29.697640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139.560800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29.696740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139.561580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29.695840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139.561970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29.694480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139.563270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29.693360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139.563790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29.692230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139.563790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29.691550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139.564820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29.689730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139.565740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29.688630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139.565750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29.687500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139.564850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29.685350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139.564850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29.684790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139.565110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29.684220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139.565000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29.681060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139.564960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29.679350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139.564610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29.676610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139.565080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29.675190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139.564320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29.673370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139.564520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29.671610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139.565660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29.670340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139.566780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29.670410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139.567370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29.669790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139.568630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29.667230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139.568810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29.665050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lastRenderedPageBreak/>
              <w:t>139.569080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29.662120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139.569210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29.661330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139.570120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29.659870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139.570230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29.657620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139.570650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29.655470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139.571560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29.654230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139.572860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29.653330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139.573380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29.651750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139.574250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29.650430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139.574410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29.649600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139.574430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29.647920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139.574820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29.646900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139.576380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29.644760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139.576900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29.643520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139.577940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29.642170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139.578980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29.640260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139.578870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29.633480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139.579780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29.631680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139.581670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29.630110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139.582270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29.629860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139.582370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29.629210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139.583540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29.627740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139.583730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29.626190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139.583940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29.623910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139.583650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29.622530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139.583830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29.620860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139.585800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29.619010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139.586420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29.618380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139.586680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29.617590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139.586550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29.616240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139.586950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29.615230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139.586820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29.614940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139.586310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29.613760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139.586310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29.611780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139.585670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29.611390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139.585680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29.611200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139.585800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29.609470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139.584900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29.607550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139.585430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29.606530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139.585940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29.603260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139.586350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29.601460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139.586350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29.600220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139.585590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29.598180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139.585600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29.595590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139.585990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29.594910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139.585860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29.593900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139.586380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29.593000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lastRenderedPageBreak/>
              <w:t>139.586390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29.591640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139.586910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29.590180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139.586910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29.588370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139.587300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29.587580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139.587310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29.587020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139.587700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29.586230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139.588340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29.585670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139.589660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29.585220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139.591670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29.581470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139.591070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29.580260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139.589530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29.578450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139.589150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29.577540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139.589150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29.576640</w:t>
            </w:r>
          </w:p>
        </w:tc>
      </w:tr>
      <w:tr w:rsidR="008A43A4" w:rsidRPr="00FE6906" w:rsidTr="00246886">
        <w:trPr>
          <w:trHeight w:val="255"/>
        </w:trPr>
        <w:tc>
          <w:tcPr>
            <w:tcW w:w="2407"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139.588960</w:t>
            </w:r>
          </w:p>
        </w:tc>
        <w:tc>
          <w:tcPr>
            <w:tcW w:w="2271" w:type="dxa"/>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29.575870</w:t>
            </w:r>
          </w:p>
        </w:tc>
      </w:tr>
    </w:tbl>
    <w:p w:rsidR="008A43A4" w:rsidRDefault="008A43A4" w:rsidP="008A43A4">
      <w:pPr>
        <w:rPr>
          <w:rFonts w:cs="Arial"/>
          <w:lang w:eastAsia="en-AU"/>
        </w:rPr>
      </w:pPr>
    </w:p>
    <w:p w:rsidR="008A43A4" w:rsidRDefault="008A43A4" w:rsidP="008A43A4">
      <w:pPr>
        <w:rPr>
          <w:rFonts w:cs="Arial"/>
        </w:rPr>
      </w:pPr>
      <w:r>
        <w:rPr>
          <w:rFonts w:cs="Arial"/>
          <w:lang w:eastAsia="en-AU"/>
        </w:rPr>
        <w:t xml:space="preserve">the latter coordinate being an intersection of the said </w:t>
      </w:r>
      <w:proofErr w:type="spellStart"/>
      <w:r w:rsidRPr="00311178">
        <w:rPr>
          <w:rFonts w:cs="Arial"/>
          <w:lang w:eastAsia="en-AU"/>
        </w:rPr>
        <w:t>Wattleowie</w:t>
      </w:r>
      <w:proofErr w:type="spellEnd"/>
      <w:r w:rsidRPr="00311178">
        <w:rPr>
          <w:rFonts w:cs="Arial"/>
          <w:lang w:eastAsia="en-AU"/>
        </w:rPr>
        <w:t xml:space="preserve"> Creek</w:t>
      </w:r>
      <w:r>
        <w:rPr>
          <w:rFonts w:cs="Arial"/>
          <w:lang w:eastAsia="en-AU"/>
        </w:rPr>
        <w:t xml:space="preserve"> with </w:t>
      </w:r>
      <w:proofErr w:type="spellStart"/>
      <w:r w:rsidRPr="00BB7531">
        <w:rPr>
          <w:rFonts w:cs="Arial"/>
        </w:rPr>
        <w:t>Petermorra</w:t>
      </w:r>
      <w:proofErr w:type="spellEnd"/>
      <w:r w:rsidRPr="00BB7531">
        <w:rPr>
          <w:rFonts w:cs="Arial"/>
        </w:rPr>
        <w:t xml:space="preserve"> Creek</w:t>
      </w:r>
      <w:r>
        <w:rPr>
          <w:rFonts w:cs="Arial"/>
          <w:lang w:eastAsia="en-AU"/>
        </w:rPr>
        <w:t xml:space="preserve">; then </w:t>
      </w:r>
      <w:r w:rsidRPr="00311178">
        <w:rPr>
          <w:rFonts w:cs="Arial"/>
          <w:lang w:eastAsia="en-AU"/>
        </w:rPr>
        <w:t xml:space="preserve">generally northerly along the </w:t>
      </w:r>
      <w:r>
        <w:rPr>
          <w:rFonts w:cs="Arial"/>
          <w:lang w:eastAsia="en-AU"/>
        </w:rPr>
        <w:t xml:space="preserve">said </w:t>
      </w:r>
      <w:proofErr w:type="spellStart"/>
      <w:r w:rsidRPr="00311178">
        <w:rPr>
          <w:rFonts w:cs="Arial"/>
          <w:lang w:eastAsia="en-AU"/>
        </w:rPr>
        <w:t>Petermorra</w:t>
      </w:r>
      <w:proofErr w:type="spellEnd"/>
      <w:r w:rsidRPr="00311178">
        <w:rPr>
          <w:rFonts w:cs="Arial"/>
          <w:lang w:eastAsia="en-AU"/>
        </w:rPr>
        <w:t xml:space="preserve"> Creek</w:t>
      </w:r>
      <w:r>
        <w:rPr>
          <w:rFonts w:cs="Arial"/>
        </w:rPr>
        <w:t>,</w:t>
      </w:r>
      <w:r w:rsidRPr="00BB7531">
        <w:rPr>
          <w:rFonts w:cs="Arial"/>
        </w:rPr>
        <w:t xml:space="preserve"> </w:t>
      </w:r>
      <w:r>
        <w:rPr>
          <w:rFonts w:cs="Arial"/>
        </w:rPr>
        <w:t>generally being straight lines connecting the following coordinate points</w:t>
      </w:r>
    </w:p>
    <w:p w:rsidR="008A43A4" w:rsidRDefault="008A43A4" w:rsidP="008A43A4">
      <w:pPr>
        <w:rPr>
          <w:rFonts w:cs="Arial"/>
          <w:lang w:eastAsia="en-AU"/>
        </w:rPr>
      </w:pPr>
    </w:p>
    <w:p w:rsidR="008A43A4" w:rsidRDefault="008A43A4" w:rsidP="008A43A4">
      <w:pPr>
        <w:rPr>
          <w:rFonts w:cs="Arial"/>
          <w:lang w:eastAsia="en-AU"/>
        </w:rPr>
      </w:pPr>
    </w:p>
    <w:tbl>
      <w:tblPr>
        <w:tblW w:w="4678" w:type="dxa"/>
        <w:tblInd w:w="2093" w:type="dxa"/>
        <w:tblLook w:val="0000" w:firstRow="0" w:lastRow="0" w:firstColumn="0" w:lastColumn="0" w:noHBand="0" w:noVBand="0"/>
      </w:tblPr>
      <w:tblGrid>
        <w:gridCol w:w="2407"/>
        <w:gridCol w:w="2271"/>
      </w:tblGrid>
      <w:tr w:rsidR="008A43A4" w:rsidRPr="00D773B9" w:rsidTr="00246886">
        <w:trPr>
          <w:trHeight w:val="255"/>
          <w:tblHeader/>
        </w:trPr>
        <w:tc>
          <w:tcPr>
            <w:tcW w:w="2407"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8A43A4" w:rsidRPr="00D773B9" w:rsidRDefault="008A43A4" w:rsidP="00246886">
            <w:pPr>
              <w:spacing w:line="240" w:lineRule="auto"/>
              <w:jc w:val="center"/>
              <w:rPr>
                <w:rFonts w:cs="Arial"/>
                <w:b/>
                <w:bCs/>
                <w:lang w:eastAsia="en-AU"/>
              </w:rPr>
            </w:pPr>
            <w:r w:rsidRPr="00D773B9">
              <w:rPr>
                <w:rFonts w:cs="Arial"/>
                <w:b/>
                <w:bCs/>
                <w:lang w:eastAsia="en-AU"/>
              </w:rPr>
              <w:t>Longitude (East)</w:t>
            </w:r>
          </w:p>
        </w:tc>
        <w:tc>
          <w:tcPr>
            <w:tcW w:w="2271" w:type="dxa"/>
            <w:tcBorders>
              <w:top w:val="single" w:sz="4" w:space="0" w:color="auto"/>
              <w:left w:val="nil"/>
              <w:bottom w:val="single" w:sz="4" w:space="0" w:color="auto"/>
              <w:right w:val="single" w:sz="4" w:space="0" w:color="auto"/>
            </w:tcBorders>
            <w:shd w:val="clear" w:color="auto" w:fill="C0C0C0"/>
            <w:noWrap/>
            <w:vAlign w:val="bottom"/>
          </w:tcPr>
          <w:p w:rsidR="008A43A4" w:rsidRPr="00D773B9" w:rsidRDefault="008A43A4" w:rsidP="00246886">
            <w:pPr>
              <w:spacing w:line="240" w:lineRule="auto"/>
              <w:jc w:val="center"/>
              <w:rPr>
                <w:rFonts w:cs="Arial"/>
                <w:b/>
                <w:bCs/>
                <w:lang w:eastAsia="en-AU"/>
              </w:rPr>
            </w:pPr>
            <w:r w:rsidRPr="00D773B9">
              <w:rPr>
                <w:rFonts w:cs="Arial"/>
                <w:b/>
                <w:bCs/>
                <w:lang w:eastAsia="en-AU"/>
              </w:rPr>
              <w:t>Latitude (South)</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139.588230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29.574800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139.587870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29.573930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139.588390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29.572580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139.589040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29.571900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139.589430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29.571000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139.589180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29.569980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139.589570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29.567160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139.589190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29.566030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139.589190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29.565130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139.589710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29.563890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139.591790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29.561410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139.592570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29.559950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139.592700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29.559160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139.591980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29.557900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139.591330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29.557610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139.591160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29.556000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139.591550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29.554760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139.591370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29.552960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139.593110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29.551260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139.593540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29.549110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139.595450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29.547880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139.596490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29.546640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139.596880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29.545740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139.598040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29.544280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lastRenderedPageBreak/>
              <w:t>139.598820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29.542700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139.598950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29.541910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139.598310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29.541120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139.598440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29.540220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139.598830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29.539430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139.600000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29.538040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139.600260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29.537740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139.600780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29.536390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139.601050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29.531870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139.600890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29.528000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139.600971</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29.527625</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139.601200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29.526570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139.601200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29.525330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139.601460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29.524990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139.601340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29.522850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139.601730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29.521830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139.602000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29.519240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139.602650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29.516530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139.603040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29.515860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139.603180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29.514950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139.602470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29.513550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139.601000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29.511110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139.601050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29.509400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139.601780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29.507610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139.601360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29.505550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139.601410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29.504120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139.602190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29.502760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139.602750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29.500890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139.603620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29.499610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139.604780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29.498930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139.605300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29.498480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139.605690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29.497020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139.606320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29.496500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139.608010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29.496120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139.608660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29.495560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139.609310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29.492620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139.610020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29.490970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139.611150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29.489990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139.611770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29.489700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139.613450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29.489360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139.614230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29.488240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139.615780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29.487340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139.616810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29.486210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139.616950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29.484630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139.617210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29.484180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139.617210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29.483500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139.615480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29.481980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lastRenderedPageBreak/>
              <w:t>139.617970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29.479680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139.618700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29.479070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139.620350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29.477060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139.621640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29.475940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139.623050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29.475560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139.624510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29.475650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139.624980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29.475730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139.626270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29.474390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139.628400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29.473740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139.630420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29.473010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139.631320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29.471810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139.632210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29.469670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139.634020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29.468390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139.636630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29.467160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139.638120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29.466570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139.639530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29.464800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139.639990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29.463990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139.641360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29.461580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139.644420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29.459900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139.645780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29.459280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139.647170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29.458650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139.650360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29.457520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139.653070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29.456460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139.655280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29.454360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139.658250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29.452750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139.660360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29.452240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139.660830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29.452220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139.662200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29.452160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139.664970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29.451540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139.666870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29.451580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139.668220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29.452070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139.669680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29.451820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139.671750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29.449670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139.673520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29.447610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139.674440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29.445040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139.675830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29.443770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139.676000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29.443200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139.677290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29.441540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139.679060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29.439630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139.679080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29.439610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139.680660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29.437250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139.682870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29.434980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139.684450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29.433980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139.686420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29.433140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139.688100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29.431580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139.689520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29.431120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139.690840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29.430690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lastRenderedPageBreak/>
              <w:t>139.694580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29.429570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139.696990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29.428600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139.697380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29.428440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139.704220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29.425730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139.705700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29.424800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139.706900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29.423030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139.707740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29.422210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139.708550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29.421410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139.709240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29.420750</w:t>
            </w:r>
          </w:p>
        </w:tc>
      </w:tr>
      <w:tr w:rsidR="008A43A4" w:rsidRPr="00FE6906" w:rsidTr="00246886">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139.709740</w:t>
            </w:r>
          </w:p>
        </w:tc>
        <w:tc>
          <w:tcPr>
            <w:tcW w:w="2271" w:type="dxa"/>
            <w:tcBorders>
              <w:top w:val="nil"/>
              <w:left w:val="nil"/>
              <w:bottom w:val="single" w:sz="4" w:space="0" w:color="auto"/>
              <w:right w:val="single" w:sz="4" w:space="0" w:color="auto"/>
            </w:tcBorders>
            <w:shd w:val="clear" w:color="auto" w:fill="auto"/>
            <w:noWrap/>
            <w:vAlign w:val="center"/>
          </w:tcPr>
          <w:p w:rsidR="008A43A4" w:rsidRPr="00FE6906" w:rsidRDefault="008A43A4" w:rsidP="00246886">
            <w:pPr>
              <w:spacing w:line="240" w:lineRule="auto"/>
              <w:jc w:val="center"/>
              <w:rPr>
                <w:rFonts w:cs="Arial"/>
                <w:lang w:eastAsia="en-AU"/>
              </w:rPr>
            </w:pPr>
            <w:r>
              <w:rPr>
                <w:rFonts w:cs="Arial"/>
                <w:color w:val="000000"/>
                <w:szCs w:val="22"/>
              </w:rPr>
              <w:t>29.420090</w:t>
            </w:r>
          </w:p>
        </w:tc>
      </w:tr>
    </w:tbl>
    <w:p w:rsidR="008A43A4" w:rsidRDefault="008A43A4" w:rsidP="008A43A4">
      <w:pPr>
        <w:rPr>
          <w:rFonts w:cs="Arial"/>
          <w:lang w:eastAsia="en-AU"/>
        </w:rPr>
      </w:pPr>
    </w:p>
    <w:p w:rsidR="008A43A4" w:rsidRDefault="008A43A4" w:rsidP="008A43A4">
      <w:pPr>
        <w:rPr>
          <w:rFonts w:cs="Arial"/>
          <w:lang w:eastAsia="en-AU"/>
        </w:rPr>
      </w:pPr>
      <w:r w:rsidRPr="00235784">
        <w:rPr>
          <w:rFonts w:cs="Arial"/>
          <w:lang w:eastAsia="en-AU"/>
        </w:rPr>
        <w:t>Then generally south-easterly i</w:t>
      </w:r>
      <w:r>
        <w:rPr>
          <w:rFonts w:cs="Arial"/>
          <w:lang w:eastAsia="en-AU"/>
        </w:rPr>
        <w:t>n</w:t>
      </w:r>
      <w:r w:rsidRPr="00235784">
        <w:rPr>
          <w:rFonts w:cs="Arial"/>
          <w:lang w:eastAsia="en-AU"/>
        </w:rPr>
        <w:t xml:space="preserve"> straight lines connecti</w:t>
      </w:r>
      <w:r>
        <w:rPr>
          <w:rFonts w:cs="Arial"/>
          <w:lang w:eastAsia="en-AU"/>
        </w:rPr>
        <w:t>ng</w:t>
      </w:r>
      <w:r w:rsidRPr="00235784">
        <w:rPr>
          <w:rFonts w:cs="Arial"/>
          <w:lang w:eastAsia="en-AU"/>
        </w:rPr>
        <w:t xml:space="preserve"> the following coordinate points</w:t>
      </w:r>
    </w:p>
    <w:p w:rsidR="008A43A4" w:rsidRPr="00235784" w:rsidRDefault="008A43A4" w:rsidP="008A43A4">
      <w:pPr>
        <w:rPr>
          <w:rFonts w:cs="Arial"/>
          <w:lang w:eastAsia="en-AU"/>
        </w:rPr>
      </w:pPr>
    </w:p>
    <w:tbl>
      <w:tblPr>
        <w:tblW w:w="4678" w:type="dxa"/>
        <w:tblInd w:w="2093" w:type="dxa"/>
        <w:tblLook w:val="04A0" w:firstRow="1" w:lastRow="0" w:firstColumn="1" w:lastColumn="0" w:noHBand="0" w:noVBand="1"/>
      </w:tblPr>
      <w:tblGrid>
        <w:gridCol w:w="2407"/>
        <w:gridCol w:w="2271"/>
      </w:tblGrid>
      <w:tr w:rsidR="008A43A4" w:rsidTr="00246886">
        <w:trPr>
          <w:trHeight w:val="255"/>
        </w:trPr>
        <w:tc>
          <w:tcPr>
            <w:tcW w:w="2407" w:type="dxa"/>
            <w:tcBorders>
              <w:top w:val="single" w:sz="4" w:space="0" w:color="auto"/>
              <w:left w:val="single" w:sz="4" w:space="0" w:color="auto"/>
              <w:bottom w:val="single" w:sz="4" w:space="0" w:color="auto"/>
              <w:right w:val="single" w:sz="4" w:space="0" w:color="auto"/>
            </w:tcBorders>
            <w:shd w:val="clear" w:color="auto" w:fill="C0C0C0"/>
            <w:noWrap/>
            <w:vAlign w:val="bottom"/>
            <w:hideMark/>
          </w:tcPr>
          <w:p w:rsidR="008A43A4" w:rsidRDefault="008A43A4" w:rsidP="00246886">
            <w:pPr>
              <w:spacing w:line="240" w:lineRule="auto"/>
              <w:jc w:val="center"/>
              <w:rPr>
                <w:rFonts w:cs="Arial"/>
                <w:b/>
                <w:bCs/>
                <w:lang w:eastAsia="en-AU"/>
              </w:rPr>
            </w:pPr>
            <w:r>
              <w:rPr>
                <w:rFonts w:cs="Arial"/>
                <w:b/>
                <w:bCs/>
                <w:lang w:eastAsia="en-AU"/>
              </w:rPr>
              <w:t>Longitude (East)</w:t>
            </w:r>
          </w:p>
        </w:tc>
        <w:tc>
          <w:tcPr>
            <w:tcW w:w="2271" w:type="dxa"/>
            <w:tcBorders>
              <w:top w:val="single" w:sz="4" w:space="0" w:color="auto"/>
              <w:left w:val="nil"/>
              <w:bottom w:val="single" w:sz="4" w:space="0" w:color="auto"/>
              <w:right w:val="single" w:sz="4" w:space="0" w:color="auto"/>
            </w:tcBorders>
            <w:shd w:val="clear" w:color="auto" w:fill="C0C0C0"/>
            <w:noWrap/>
            <w:vAlign w:val="bottom"/>
            <w:hideMark/>
          </w:tcPr>
          <w:p w:rsidR="008A43A4" w:rsidRDefault="008A43A4" w:rsidP="00246886">
            <w:pPr>
              <w:spacing w:line="240" w:lineRule="auto"/>
              <w:jc w:val="center"/>
              <w:rPr>
                <w:rFonts w:cs="Arial"/>
                <w:b/>
                <w:bCs/>
                <w:lang w:eastAsia="en-AU"/>
              </w:rPr>
            </w:pPr>
            <w:r>
              <w:rPr>
                <w:rFonts w:cs="Arial"/>
                <w:b/>
                <w:bCs/>
                <w:lang w:eastAsia="en-AU"/>
              </w:rPr>
              <w:t>Latitude (South)</w:t>
            </w:r>
          </w:p>
        </w:tc>
      </w:tr>
      <w:tr w:rsidR="008A43A4" w:rsidTr="00246886">
        <w:trPr>
          <w:trHeight w:val="255"/>
        </w:trPr>
        <w:tc>
          <w:tcPr>
            <w:tcW w:w="2407" w:type="dxa"/>
            <w:tcBorders>
              <w:top w:val="nil"/>
              <w:left w:val="single" w:sz="4" w:space="0" w:color="auto"/>
              <w:bottom w:val="single" w:sz="4" w:space="0" w:color="auto"/>
              <w:right w:val="single" w:sz="4" w:space="0" w:color="auto"/>
            </w:tcBorders>
            <w:noWrap/>
            <w:vAlign w:val="bottom"/>
          </w:tcPr>
          <w:p w:rsidR="008A43A4" w:rsidRDefault="008A43A4" w:rsidP="00246886">
            <w:pPr>
              <w:spacing w:line="240" w:lineRule="auto"/>
              <w:jc w:val="center"/>
              <w:rPr>
                <w:rFonts w:cs="Arial"/>
                <w:lang w:eastAsia="en-AU"/>
              </w:rPr>
            </w:pPr>
            <w:r>
              <w:rPr>
                <w:rFonts w:cs="Arial"/>
                <w:lang w:eastAsia="en-AU"/>
              </w:rPr>
              <w:t>139.713450</w:t>
            </w:r>
          </w:p>
        </w:tc>
        <w:tc>
          <w:tcPr>
            <w:tcW w:w="2271" w:type="dxa"/>
            <w:tcBorders>
              <w:top w:val="nil"/>
              <w:left w:val="nil"/>
              <w:bottom w:val="single" w:sz="4" w:space="0" w:color="auto"/>
              <w:right w:val="single" w:sz="4" w:space="0" w:color="auto"/>
            </w:tcBorders>
            <w:noWrap/>
            <w:vAlign w:val="bottom"/>
          </w:tcPr>
          <w:p w:rsidR="008A43A4" w:rsidRDefault="008A43A4" w:rsidP="00246886">
            <w:pPr>
              <w:spacing w:line="240" w:lineRule="auto"/>
              <w:jc w:val="center"/>
              <w:rPr>
                <w:rFonts w:cs="Arial"/>
                <w:lang w:eastAsia="en-AU"/>
              </w:rPr>
            </w:pPr>
            <w:r>
              <w:rPr>
                <w:rFonts w:cs="Arial"/>
                <w:lang w:eastAsia="en-AU"/>
              </w:rPr>
              <w:t>29.419549</w:t>
            </w:r>
          </w:p>
        </w:tc>
      </w:tr>
      <w:tr w:rsidR="008A43A4" w:rsidTr="00246886">
        <w:trPr>
          <w:trHeight w:val="255"/>
        </w:trPr>
        <w:tc>
          <w:tcPr>
            <w:tcW w:w="2407" w:type="dxa"/>
            <w:tcBorders>
              <w:top w:val="nil"/>
              <w:left w:val="single" w:sz="4" w:space="0" w:color="auto"/>
              <w:bottom w:val="single" w:sz="4" w:space="0" w:color="auto"/>
              <w:right w:val="single" w:sz="4" w:space="0" w:color="auto"/>
            </w:tcBorders>
            <w:noWrap/>
            <w:vAlign w:val="bottom"/>
          </w:tcPr>
          <w:p w:rsidR="008A43A4" w:rsidRDefault="008A43A4" w:rsidP="00246886">
            <w:pPr>
              <w:spacing w:line="240" w:lineRule="auto"/>
              <w:jc w:val="center"/>
              <w:rPr>
                <w:rFonts w:cs="Arial"/>
                <w:lang w:eastAsia="en-AU"/>
              </w:rPr>
            </w:pPr>
            <w:r>
              <w:rPr>
                <w:rFonts w:cs="Arial"/>
                <w:lang w:eastAsia="en-AU"/>
              </w:rPr>
              <w:t>139.720196</w:t>
            </w:r>
          </w:p>
        </w:tc>
        <w:tc>
          <w:tcPr>
            <w:tcW w:w="2271" w:type="dxa"/>
            <w:tcBorders>
              <w:top w:val="nil"/>
              <w:left w:val="nil"/>
              <w:bottom w:val="single" w:sz="4" w:space="0" w:color="auto"/>
              <w:right w:val="single" w:sz="4" w:space="0" w:color="auto"/>
            </w:tcBorders>
            <w:noWrap/>
            <w:vAlign w:val="bottom"/>
          </w:tcPr>
          <w:p w:rsidR="008A43A4" w:rsidRDefault="008A43A4" w:rsidP="00246886">
            <w:pPr>
              <w:spacing w:line="240" w:lineRule="auto"/>
              <w:jc w:val="center"/>
              <w:rPr>
                <w:rFonts w:cs="Arial"/>
                <w:lang w:eastAsia="en-AU"/>
              </w:rPr>
            </w:pPr>
            <w:r>
              <w:rPr>
                <w:rFonts w:cs="Arial"/>
                <w:lang w:eastAsia="en-AU"/>
              </w:rPr>
              <w:t>29.420072</w:t>
            </w:r>
          </w:p>
        </w:tc>
      </w:tr>
      <w:tr w:rsidR="008A43A4" w:rsidTr="00246886">
        <w:trPr>
          <w:trHeight w:val="255"/>
        </w:trPr>
        <w:tc>
          <w:tcPr>
            <w:tcW w:w="2407" w:type="dxa"/>
            <w:tcBorders>
              <w:top w:val="nil"/>
              <w:left w:val="single" w:sz="4" w:space="0" w:color="auto"/>
              <w:bottom w:val="single" w:sz="4" w:space="0" w:color="auto"/>
              <w:right w:val="single" w:sz="4" w:space="0" w:color="auto"/>
            </w:tcBorders>
            <w:noWrap/>
            <w:vAlign w:val="bottom"/>
          </w:tcPr>
          <w:p w:rsidR="008A43A4" w:rsidRDefault="008A43A4" w:rsidP="00246886">
            <w:pPr>
              <w:spacing w:line="240" w:lineRule="auto"/>
              <w:jc w:val="center"/>
              <w:rPr>
                <w:rFonts w:cs="Arial"/>
                <w:lang w:eastAsia="en-AU"/>
              </w:rPr>
            </w:pPr>
            <w:r>
              <w:rPr>
                <w:rFonts w:cs="Arial"/>
                <w:lang w:eastAsia="en-AU"/>
              </w:rPr>
              <w:t>139.723899</w:t>
            </w:r>
          </w:p>
        </w:tc>
        <w:tc>
          <w:tcPr>
            <w:tcW w:w="2271" w:type="dxa"/>
            <w:tcBorders>
              <w:top w:val="nil"/>
              <w:left w:val="nil"/>
              <w:bottom w:val="single" w:sz="4" w:space="0" w:color="auto"/>
              <w:right w:val="single" w:sz="4" w:space="0" w:color="auto"/>
            </w:tcBorders>
            <w:noWrap/>
            <w:vAlign w:val="bottom"/>
          </w:tcPr>
          <w:p w:rsidR="008A43A4" w:rsidRDefault="008A43A4" w:rsidP="00246886">
            <w:pPr>
              <w:spacing w:line="240" w:lineRule="auto"/>
              <w:jc w:val="center"/>
              <w:rPr>
                <w:rFonts w:cs="Arial"/>
                <w:lang w:eastAsia="en-AU"/>
              </w:rPr>
            </w:pPr>
            <w:r>
              <w:rPr>
                <w:rFonts w:cs="Arial"/>
                <w:lang w:eastAsia="en-AU"/>
              </w:rPr>
              <w:t>29.420390</w:t>
            </w:r>
          </w:p>
        </w:tc>
      </w:tr>
      <w:tr w:rsidR="008A43A4" w:rsidTr="00246886">
        <w:trPr>
          <w:trHeight w:val="255"/>
        </w:trPr>
        <w:tc>
          <w:tcPr>
            <w:tcW w:w="2407" w:type="dxa"/>
            <w:tcBorders>
              <w:top w:val="nil"/>
              <w:left w:val="single" w:sz="4" w:space="0" w:color="auto"/>
              <w:bottom w:val="single" w:sz="4" w:space="0" w:color="auto"/>
              <w:right w:val="single" w:sz="4" w:space="0" w:color="auto"/>
            </w:tcBorders>
            <w:noWrap/>
            <w:vAlign w:val="bottom"/>
          </w:tcPr>
          <w:p w:rsidR="008A43A4" w:rsidRDefault="008A43A4" w:rsidP="00246886">
            <w:pPr>
              <w:spacing w:line="240" w:lineRule="auto"/>
              <w:jc w:val="center"/>
              <w:rPr>
                <w:rFonts w:cs="Arial"/>
                <w:lang w:eastAsia="en-AU"/>
              </w:rPr>
            </w:pPr>
            <w:r>
              <w:rPr>
                <w:rFonts w:cs="Arial"/>
                <w:lang w:eastAsia="en-AU"/>
              </w:rPr>
              <w:t>139.728371</w:t>
            </w:r>
          </w:p>
        </w:tc>
        <w:tc>
          <w:tcPr>
            <w:tcW w:w="2271" w:type="dxa"/>
            <w:tcBorders>
              <w:top w:val="nil"/>
              <w:left w:val="nil"/>
              <w:bottom w:val="single" w:sz="4" w:space="0" w:color="auto"/>
              <w:right w:val="single" w:sz="4" w:space="0" w:color="auto"/>
            </w:tcBorders>
            <w:noWrap/>
            <w:vAlign w:val="bottom"/>
          </w:tcPr>
          <w:p w:rsidR="008A43A4" w:rsidRDefault="008A43A4" w:rsidP="00246886">
            <w:pPr>
              <w:spacing w:line="240" w:lineRule="auto"/>
              <w:jc w:val="center"/>
              <w:rPr>
                <w:rFonts w:cs="Arial"/>
                <w:lang w:eastAsia="en-AU"/>
              </w:rPr>
            </w:pPr>
            <w:r>
              <w:rPr>
                <w:rFonts w:cs="Arial"/>
                <w:lang w:eastAsia="en-AU"/>
              </w:rPr>
              <w:t>29.426898</w:t>
            </w:r>
          </w:p>
        </w:tc>
      </w:tr>
      <w:tr w:rsidR="008A43A4" w:rsidTr="00246886">
        <w:trPr>
          <w:trHeight w:val="255"/>
        </w:trPr>
        <w:tc>
          <w:tcPr>
            <w:tcW w:w="2407" w:type="dxa"/>
            <w:tcBorders>
              <w:top w:val="nil"/>
              <w:left w:val="single" w:sz="4" w:space="0" w:color="auto"/>
              <w:bottom w:val="single" w:sz="4" w:space="0" w:color="auto"/>
              <w:right w:val="single" w:sz="4" w:space="0" w:color="auto"/>
            </w:tcBorders>
            <w:noWrap/>
            <w:vAlign w:val="bottom"/>
          </w:tcPr>
          <w:p w:rsidR="008A43A4" w:rsidRDefault="008A43A4" w:rsidP="00246886">
            <w:pPr>
              <w:spacing w:line="240" w:lineRule="auto"/>
              <w:jc w:val="center"/>
              <w:rPr>
                <w:rFonts w:cs="Arial"/>
                <w:lang w:eastAsia="en-AU"/>
              </w:rPr>
            </w:pPr>
            <w:r>
              <w:rPr>
                <w:rFonts w:cs="Arial"/>
                <w:lang w:eastAsia="en-AU"/>
              </w:rPr>
              <w:t>139.740272</w:t>
            </w:r>
          </w:p>
        </w:tc>
        <w:tc>
          <w:tcPr>
            <w:tcW w:w="2271" w:type="dxa"/>
            <w:tcBorders>
              <w:top w:val="nil"/>
              <w:left w:val="nil"/>
              <w:bottom w:val="single" w:sz="4" w:space="0" w:color="auto"/>
              <w:right w:val="single" w:sz="4" w:space="0" w:color="auto"/>
            </w:tcBorders>
            <w:noWrap/>
            <w:vAlign w:val="bottom"/>
          </w:tcPr>
          <w:p w:rsidR="008A43A4" w:rsidRDefault="008A43A4" w:rsidP="00246886">
            <w:pPr>
              <w:spacing w:line="240" w:lineRule="auto"/>
              <w:jc w:val="center"/>
              <w:rPr>
                <w:rFonts w:cs="Arial"/>
                <w:lang w:eastAsia="en-AU"/>
              </w:rPr>
            </w:pPr>
            <w:r>
              <w:rPr>
                <w:rFonts w:cs="Arial"/>
                <w:lang w:eastAsia="en-AU"/>
              </w:rPr>
              <w:t>29.435784</w:t>
            </w:r>
          </w:p>
        </w:tc>
      </w:tr>
      <w:tr w:rsidR="008A43A4" w:rsidTr="00246886">
        <w:trPr>
          <w:trHeight w:val="255"/>
        </w:trPr>
        <w:tc>
          <w:tcPr>
            <w:tcW w:w="2407" w:type="dxa"/>
            <w:tcBorders>
              <w:top w:val="nil"/>
              <w:left w:val="single" w:sz="4" w:space="0" w:color="auto"/>
              <w:bottom w:val="single" w:sz="4" w:space="0" w:color="auto"/>
              <w:right w:val="single" w:sz="4" w:space="0" w:color="auto"/>
            </w:tcBorders>
            <w:noWrap/>
            <w:vAlign w:val="bottom"/>
            <w:hideMark/>
          </w:tcPr>
          <w:p w:rsidR="008A43A4" w:rsidRDefault="008A43A4" w:rsidP="00246886">
            <w:pPr>
              <w:spacing w:line="240" w:lineRule="auto"/>
              <w:jc w:val="center"/>
              <w:rPr>
                <w:rFonts w:cs="Arial"/>
                <w:lang w:eastAsia="en-AU"/>
              </w:rPr>
            </w:pPr>
            <w:r>
              <w:rPr>
                <w:rFonts w:cs="Arial"/>
                <w:lang w:eastAsia="en-AU"/>
              </w:rPr>
              <w:t>139.748206</w:t>
            </w:r>
          </w:p>
        </w:tc>
        <w:tc>
          <w:tcPr>
            <w:tcW w:w="2271" w:type="dxa"/>
            <w:tcBorders>
              <w:top w:val="nil"/>
              <w:left w:val="nil"/>
              <w:bottom w:val="single" w:sz="4" w:space="0" w:color="auto"/>
              <w:right w:val="single" w:sz="4" w:space="0" w:color="auto"/>
            </w:tcBorders>
            <w:noWrap/>
            <w:vAlign w:val="bottom"/>
            <w:hideMark/>
          </w:tcPr>
          <w:p w:rsidR="008A43A4" w:rsidRDefault="008A43A4" w:rsidP="00246886">
            <w:pPr>
              <w:spacing w:line="240" w:lineRule="auto"/>
              <w:jc w:val="center"/>
              <w:rPr>
                <w:rFonts w:cs="Arial"/>
                <w:lang w:eastAsia="en-AU"/>
              </w:rPr>
            </w:pPr>
            <w:r>
              <w:rPr>
                <w:rFonts w:cs="Arial"/>
                <w:lang w:eastAsia="en-AU"/>
              </w:rPr>
              <w:t>29.440069</w:t>
            </w:r>
          </w:p>
        </w:tc>
      </w:tr>
      <w:tr w:rsidR="008A43A4" w:rsidTr="00246886">
        <w:trPr>
          <w:trHeight w:val="255"/>
        </w:trPr>
        <w:tc>
          <w:tcPr>
            <w:tcW w:w="2407" w:type="dxa"/>
            <w:tcBorders>
              <w:top w:val="nil"/>
              <w:left w:val="single" w:sz="4" w:space="0" w:color="auto"/>
              <w:bottom w:val="single" w:sz="4" w:space="0" w:color="auto"/>
              <w:right w:val="single" w:sz="4" w:space="0" w:color="auto"/>
            </w:tcBorders>
            <w:noWrap/>
            <w:vAlign w:val="bottom"/>
          </w:tcPr>
          <w:p w:rsidR="008A43A4" w:rsidRDefault="008A43A4" w:rsidP="00246886">
            <w:pPr>
              <w:spacing w:line="240" w:lineRule="auto"/>
              <w:jc w:val="center"/>
              <w:rPr>
                <w:rFonts w:cs="Arial"/>
                <w:lang w:eastAsia="en-AU"/>
              </w:rPr>
            </w:pPr>
            <w:r>
              <w:rPr>
                <w:rFonts w:cs="Arial"/>
                <w:lang w:eastAsia="en-AU"/>
              </w:rPr>
              <w:t>139.756934</w:t>
            </w:r>
          </w:p>
        </w:tc>
        <w:tc>
          <w:tcPr>
            <w:tcW w:w="2271" w:type="dxa"/>
            <w:tcBorders>
              <w:top w:val="nil"/>
              <w:left w:val="nil"/>
              <w:bottom w:val="single" w:sz="4" w:space="0" w:color="auto"/>
              <w:right w:val="single" w:sz="4" w:space="0" w:color="auto"/>
            </w:tcBorders>
            <w:noWrap/>
            <w:vAlign w:val="bottom"/>
          </w:tcPr>
          <w:p w:rsidR="008A43A4" w:rsidRDefault="008A43A4" w:rsidP="00246886">
            <w:pPr>
              <w:spacing w:line="240" w:lineRule="auto"/>
              <w:jc w:val="center"/>
              <w:rPr>
                <w:rFonts w:cs="Arial"/>
                <w:lang w:eastAsia="en-AU"/>
              </w:rPr>
            </w:pPr>
            <w:r>
              <w:rPr>
                <w:rFonts w:cs="Arial"/>
                <w:lang w:eastAsia="en-AU"/>
              </w:rPr>
              <w:t>29.442290</w:t>
            </w:r>
          </w:p>
        </w:tc>
      </w:tr>
      <w:tr w:rsidR="008A43A4" w:rsidTr="00246886">
        <w:trPr>
          <w:trHeight w:val="255"/>
        </w:trPr>
        <w:tc>
          <w:tcPr>
            <w:tcW w:w="2407" w:type="dxa"/>
            <w:tcBorders>
              <w:top w:val="nil"/>
              <w:left w:val="single" w:sz="4" w:space="0" w:color="auto"/>
              <w:bottom w:val="single" w:sz="4" w:space="0" w:color="auto"/>
              <w:right w:val="single" w:sz="4" w:space="0" w:color="auto"/>
            </w:tcBorders>
            <w:noWrap/>
            <w:vAlign w:val="bottom"/>
          </w:tcPr>
          <w:p w:rsidR="008A43A4" w:rsidRDefault="008A43A4" w:rsidP="00246886">
            <w:pPr>
              <w:spacing w:line="240" w:lineRule="auto"/>
              <w:jc w:val="center"/>
              <w:rPr>
                <w:rFonts w:cs="Arial"/>
                <w:lang w:eastAsia="en-AU"/>
              </w:rPr>
            </w:pPr>
            <w:r>
              <w:rPr>
                <w:rFonts w:cs="Arial"/>
                <w:lang w:eastAsia="en-AU"/>
              </w:rPr>
              <w:t>139.759949</w:t>
            </w:r>
          </w:p>
        </w:tc>
        <w:tc>
          <w:tcPr>
            <w:tcW w:w="2271" w:type="dxa"/>
            <w:tcBorders>
              <w:top w:val="nil"/>
              <w:left w:val="nil"/>
              <w:bottom w:val="single" w:sz="4" w:space="0" w:color="auto"/>
              <w:right w:val="single" w:sz="4" w:space="0" w:color="auto"/>
            </w:tcBorders>
            <w:noWrap/>
            <w:vAlign w:val="bottom"/>
          </w:tcPr>
          <w:p w:rsidR="008A43A4" w:rsidRDefault="008A43A4" w:rsidP="00246886">
            <w:pPr>
              <w:spacing w:line="240" w:lineRule="auto"/>
              <w:jc w:val="center"/>
              <w:rPr>
                <w:rFonts w:cs="Arial"/>
                <w:lang w:eastAsia="en-AU"/>
              </w:rPr>
            </w:pPr>
            <w:r>
              <w:rPr>
                <w:rFonts w:cs="Arial"/>
                <w:lang w:eastAsia="en-AU"/>
              </w:rPr>
              <w:t>29.444512</w:t>
            </w:r>
          </w:p>
        </w:tc>
      </w:tr>
      <w:tr w:rsidR="008A43A4" w:rsidTr="00246886">
        <w:trPr>
          <w:trHeight w:val="255"/>
        </w:trPr>
        <w:tc>
          <w:tcPr>
            <w:tcW w:w="2407" w:type="dxa"/>
            <w:tcBorders>
              <w:top w:val="nil"/>
              <w:left w:val="single" w:sz="4" w:space="0" w:color="auto"/>
              <w:bottom w:val="single" w:sz="4" w:space="0" w:color="auto"/>
              <w:right w:val="single" w:sz="4" w:space="0" w:color="auto"/>
            </w:tcBorders>
            <w:noWrap/>
            <w:vAlign w:val="bottom"/>
          </w:tcPr>
          <w:p w:rsidR="008A43A4" w:rsidRDefault="008A43A4" w:rsidP="00246886">
            <w:pPr>
              <w:spacing w:line="240" w:lineRule="auto"/>
              <w:jc w:val="center"/>
              <w:rPr>
                <w:rFonts w:cs="Arial"/>
                <w:lang w:eastAsia="en-AU"/>
              </w:rPr>
            </w:pPr>
            <w:r>
              <w:rPr>
                <w:rFonts w:cs="Arial"/>
                <w:lang w:eastAsia="en-AU"/>
              </w:rPr>
              <w:t>139.771817</w:t>
            </w:r>
          </w:p>
        </w:tc>
        <w:tc>
          <w:tcPr>
            <w:tcW w:w="2271" w:type="dxa"/>
            <w:tcBorders>
              <w:top w:val="nil"/>
              <w:left w:val="nil"/>
              <w:bottom w:val="single" w:sz="4" w:space="0" w:color="auto"/>
              <w:right w:val="single" w:sz="4" w:space="0" w:color="auto"/>
            </w:tcBorders>
            <w:noWrap/>
            <w:vAlign w:val="bottom"/>
          </w:tcPr>
          <w:p w:rsidR="008A43A4" w:rsidRDefault="008A43A4" w:rsidP="00246886">
            <w:pPr>
              <w:spacing w:line="240" w:lineRule="auto"/>
              <w:jc w:val="center"/>
              <w:rPr>
                <w:rFonts w:cs="Arial"/>
                <w:lang w:eastAsia="en-AU"/>
              </w:rPr>
            </w:pPr>
            <w:r>
              <w:rPr>
                <w:rFonts w:cs="Arial"/>
                <w:lang w:eastAsia="en-AU"/>
              </w:rPr>
              <w:t>29.449001</w:t>
            </w:r>
          </w:p>
        </w:tc>
      </w:tr>
    </w:tbl>
    <w:p w:rsidR="008A43A4" w:rsidRDefault="008A43A4" w:rsidP="008A43A4">
      <w:pPr>
        <w:rPr>
          <w:rFonts w:cs="Arial"/>
          <w:highlight w:val="yellow"/>
          <w:lang w:eastAsia="en-AU"/>
        </w:rPr>
      </w:pPr>
    </w:p>
    <w:p w:rsidR="008A43A4" w:rsidRPr="00D773B9" w:rsidRDefault="008A43A4" w:rsidP="008A43A4">
      <w:pPr>
        <w:rPr>
          <w:rFonts w:cs="Arial"/>
        </w:rPr>
      </w:pPr>
      <w:r>
        <w:rPr>
          <w:rFonts w:cs="Arial"/>
          <w:lang w:eastAsia="en-AU"/>
        </w:rPr>
        <w:t xml:space="preserve">The latter coordinate </w:t>
      </w:r>
      <w:r>
        <w:rPr>
          <w:rFonts w:cs="Arial"/>
        </w:rPr>
        <w:t>being the point of commencement.</w:t>
      </w:r>
    </w:p>
    <w:p w:rsidR="008A43A4" w:rsidRDefault="008A43A4" w:rsidP="008A43A4">
      <w:pPr>
        <w:pStyle w:val="BodyText"/>
        <w:rPr>
          <w:rFonts w:cs="Arial"/>
          <w:b/>
        </w:rPr>
      </w:pPr>
    </w:p>
    <w:p w:rsidR="008A43A4" w:rsidRPr="00142423" w:rsidRDefault="008A43A4" w:rsidP="008A43A4">
      <w:pPr>
        <w:pStyle w:val="Default"/>
        <w:jc w:val="both"/>
        <w:rPr>
          <w:rFonts w:ascii="Times New Roman" w:hAnsi="Times New Roman" w:cs="Times New Roman"/>
          <w:b/>
        </w:rPr>
      </w:pPr>
    </w:p>
    <w:p w:rsidR="00D16B0E" w:rsidRDefault="00D16B0E" w:rsidP="008A43A4">
      <w:pPr>
        <w:pStyle w:val="NormalHeadings"/>
        <w:spacing w:before="240" w:after="120"/>
        <w:rPr>
          <w:b w:val="0"/>
        </w:rPr>
        <w:sectPr w:rsidR="00D16B0E" w:rsidSect="005B24E1">
          <w:headerReference w:type="default" r:id="rId48"/>
          <w:headerReference w:type="first" r:id="rId49"/>
          <w:endnotePr>
            <w:numFmt w:val="decimal"/>
          </w:endnotePr>
          <w:pgSz w:w="11907" w:h="16840" w:code="9"/>
          <w:pgMar w:top="1440" w:right="1440" w:bottom="1440" w:left="1440" w:header="851" w:footer="851" w:gutter="0"/>
          <w:cols w:space="720"/>
          <w:noEndnote/>
          <w:titlePg/>
        </w:sectPr>
      </w:pPr>
    </w:p>
    <w:p w:rsidR="008A43A4" w:rsidRPr="00142423" w:rsidRDefault="00D16B0E" w:rsidP="008A43A4">
      <w:pPr>
        <w:pStyle w:val="NormalHeadings"/>
        <w:spacing w:before="240" w:after="120"/>
        <w:rPr>
          <w:b w:val="0"/>
        </w:rPr>
        <w:sectPr w:rsidR="008A43A4" w:rsidRPr="00142423" w:rsidSect="00D16B0E">
          <w:endnotePr>
            <w:numFmt w:val="decimal"/>
          </w:endnotePr>
          <w:pgSz w:w="16840" w:h="11907" w:orient="landscape" w:code="9"/>
          <w:pgMar w:top="1440" w:right="1440" w:bottom="1440" w:left="1440" w:header="851" w:footer="851" w:gutter="0"/>
          <w:cols w:space="720"/>
          <w:noEndnote/>
          <w:titlePg/>
          <w:docGrid w:linePitch="326"/>
        </w:sectPr>
      </w:pPr>
      <w:r>
        <w:rPr>
          <w:b w:val="0"/>
          <w:noProof/>
          <w:lang w:eastAsia="en-AU"/>
        </w:rPr>
        <w:lastRenderedPageBreak/>
        <w:drawing>
          <wp:inline distT="0" distB="0" distL="0" distR="0">
            <wp:extent cx="8107045" cy="5732145"/>
            <wp:effectExtent l="0" t="0" r="8255"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8107045" cy="5732145"/>
                    </a:xfrm>
                    <a:prstGeom prst="rect">
                      <a:avLst/>
                    </a:prstGeom>
                  </pic:spPr>
                </pic:pic>
              </a:graphicData>
            </a:graphic>
          </wp:inline>
        </w:drawing>
      </w:r>
      <w:r>
        <w:rPr>
          <w:b w:val="0"/>
          <w:noProof/>
          <w:lang w:eastAsia="en-AU"/>
        </w:rPr>
        <w:lastRenderedPageBreak/>
        <w:drawing>
          <wp:inline distT="0" distB="0" distL="0" distR="0">
            <wp:extent cx="8107045" cy="5732145"/>
            <wp:effectExtent l="0" t="0" r="8255"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107045" cy="5732145"/>
                    </a:xfrm>
                    <a:prstGeom prst="rect">
                      <a:avLst/>
                    </a:prstGeom>
                  </pic:spPr>
                </pic:pic>
              </a:graphicData>
            </a:graphic>
          </wp:inline>
        </w:drawing>
      </w:r>
      <w:r>
        <w:rPr>
          <w:b w:val="0"/>
          <w:noProof/>
          <w:lang w:eastAsia="en-AU"/>
        </w:rPr>
        <w:lastRenderedPageBreak/>
        <w:drawing>
          <wp:inline distT="0" distB="0" distL="0" distR="0">
            <wp:extent cx="8107045" cy="5732145"/>
            <wp:effectExtent l="0" t="0" r="8255"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107045" cy="5732145"/>
                    </a:xfrm>
                    <a:prstGeom prst="rect">
                      <a:avLst/>
                    </a:prstGeom>
                  </pic:spPr>
                </pic:pic>
              </a:graphicData>
            </a:graphic>
          </wp:inline>
        </w:drawing>
      </w:r>
      <w:r>
        <w:rPr>
          <w:b w:val="0"/>
          <w:noProof/>
          <w:lang w:eastAsia="en-AU"/>
        </w:rPr>
        <w:lastRenderedPageBreak/>
        <w:drawing>
          <wp:inline distT="0" distB="0" distL="0" distR="0">
            <wp:extent cx="8107045" cy="5732145"/>
            <wp:effectExtent l="0" t="0" r="8255"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107045" cy="5732145"/>
                    </a:xfrm>
                    <a:prstGeom prst="rect">
                      <a:avLst/>
                    </a:prstGeom>
                  </pic:spPr>
                </pic:pic>
              </a:graphicData>
            </a:graphic>
          </wp:inline>
        </w:drawing>
      </w:r>
      <w:r>
        <w:rPr>
          <w:b w:val="0"/>
          <w:noProof/>
          <w:lang w:eastAsia="en-AU"/>
        </w:rPr>
        <w:lastRenderedPageBreak/>
        <w:drawing>
          <wp:inline distT="0" distB="0" distL="0" distR="0">
            <wp:extent cx="8107045" cy="5732145"/>
            <wp:effectExtent l="0" t="0" r="8255"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107045" cy="5732145"/>
                    </a:xfrm>
                    <a:prstGeom prst="rect">
                      <a:avLst/>
                    </a:prstGeom>
                  </pic:spPr>
                </pic:pic>
              </a:graphicData>
            </a:graphic>
          </wp:inline>
        </w:drawing>
      </w:r>
      <w:r>
        <w:rPr>
          <w:b w:val="0"/>
          <w:noProof/>
          <w:lang w:eastAsia="en-AU"/>
        </w:rPr>
        <w:lastRenderedPageBreak/>
        <w:drawing>
          <wp:inline distT="0" distB="0" distL="0" distR="0">
            <wp:extent cx="8107045" cy="5732145"/>
            <wp:effectExtent l="0" t="0" r="8255"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107045" cy="5732145"/>
                    </a:xfrm>
                    <a:prstGeom prst="rect">
                      <a:avLst/>
                    </a:prstGeom>
                  </pic:spPr>
                </pic:pic>
              </a:graphicData>
            </a:graphic>
          </wp:inline>
        </w:drawing>
      </w:r>
      <w:r>
        <w:rPr>
          <w:b w:val="0"/>
          <w:noProof/>
          <w:lang w:eastAsia="en-AU"/>
        </w:rPr>
        <w:lastRenderedPageBreak/>
        <w:drawing>
          <wp:inline distT="0" distB="0" distL="0" distR="0">
            <wp:extent cx="8107045" cy="5732145"/>
            <wp:effectExtent l="0" t="0" r="8255"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107045" cy="5732145"/>
                    </a:xfrm>
                    <a:prstGeom prst="rect">
                      <a:avLst/>
                    </a:prstGeom>
                  </pic:spPr>
                </pic:pic>
              </a:graphicData>
            </a:graphic>
          </wp:inline>
        </w:drawing>
      </w:r>
      <w:r>
        <w:rPr>
          <w:b w:val="0"/>
          <w:noProof/>
          <w:lang w:eastAsia="en-AU"/>
        </w:rPr>
        <w:lastRenderedPageBreak/>
        <w:drawing>
          <wp:inline distT="0" distB="0" distL="0" distR="0">
            <wp:extent cx="8107045" cy="5732145"/>
            <wp:effectExtent l="0" t="0" r="8255"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8107045" cy="5732145"/>
                    </a:xfrm>
                    <a:prstGeom prst="rect">
                      <a:avLst/>
                    </a:prstGeom>
                  </pic:spPr>
                </pic:pic>
              </a:graphicData>
            </a:graphic>
          </wp:inline>
        </w:drawing>
      </w:r>
      <w:r>
        <w:rPr>
          <w:b w:val="0"/>
          <w:noProof/>
          <w:lang w:eastAsia="en-AU"/>
        </w:rPr>
        <w:lastRenderedPageBreak/>
        <w:drawing>
          <wp:inline distT="0" distB="0" distL="0" distR="0">
            <wp:extent cx="8107045" cy="5732145"/>
            <wp:effectExtent l="0" t="0" r="8255"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8107045" cy="5732145"/>
                    </a:xfrm>
                    <a:prstGeom prst="rect">
                      <a:avLst/>
                    </a:prstGeom>
                  </pic:spPr>
                </pic:pic>
              </a:graphicData>
            </a:graphic>
          </wp:inline>
        </w:drawing>
      </w:r>
      <w:r>
        <w:rPr>
          <w:b w:val="0"/>
          <w:noProof/>
          <w:lang w:eastAsia="en-AU"/>
        </w:rPr>
        <w:lastRenderedPageBreak/>
        <w:drawing>
          <wp:inline distT="0" distB="0" distL="0" distR="0">
            <wp:extent cx="8107045" cy="5732145"/>
            <wp:effectExtent l="0" t="0" r="8255"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1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8107045" cy="5732145"/>
                    </a:xfrm>
                    <a:prstGeom prst="rect">
                      <a:avLst/>
                    </a:prstGeom>
                  </pic:spPr>
                </pic:pic>
              </a:graphicData>
            </a:graphic>
          </wp:inline>
        </w:drawing>
      </w:r>
      <w:r>
        <w:rPr>
          <w:b w:val="0"/>
          <w:noProof/>
          <w:lang w:eastAsia="en-AU"/>
        </w:rPr>
        <w:lastRenderedPageBreak/>
        <w:drawing>
          <wp:inline distT="0" distB="0" distL="0" distR="0">
            <wp:extent cx="8107045" cy="5732145"/>
            <wp:effectExtent l="0" t="0" r="8255"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1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8107045" cy="5732145"/>
                    </a:xfrm>
                    <a:prstGeom prst="rect">
                      <a:avLst/>
                    </a:prstGeom>
                  </pic:spPr>
                </pic:pic>
              </a:graphicData>
            </a:graphic>
          </wp:inline>
        </w:drawing>
      </w:r>
      <w:r>
        <w:rPr>
          <w:b w:val="0"/>
          <w:noProof/>
          <w:lang w:eastAsia="en-AU"/>
        </w:rPr>
        <w:lastRenderedPageBreak/>
        <w:drawing>
          <wp:inline distT="0" distB="0" distL="0" distR="0">
            <wp:extent cx="8107045" cy="5732145"/>
            <wp:effectExtent l="0" t="0" r="8255"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nyamathanha - Stage 2 - Area Considered for Consent Determination - Maps-page1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107045" cy="5732145"/>
                    </a:xfrm>
                    <a:prstGeom prst="rect">
                      <a:avLst/>
                    </a:prstGeom>
                  </pic:spPr>
                </pic:pic>
              </a:graphicData>
            </a:graphic>
          </wp:inline>
        </w:drawing>
      </w:r>
    </w:p>
    <w:p w:rsidR="001E4FC1" w:rsidRPr="00142423" w:rsidRDefault="001E4FC1" w:rsidP="001E4FC1">
      <w:pPr>
        <w:pStyle w:val="Default"/>
        <w:spacing w:line="360" w:lineRule="auto"/>
        <w:jc w:val="both"/>
        <w:rPr>
          <w:rFonts w:ascii="Times New Roman" w:hAnsi="Times New Roman" w:cs="Times New Roman"/>
          <w:b/>
          <w:color w:val="auto"/>
          <w:lang w:eastAsia="en-US"/>
        </w:rPr>
      </w:pPr>
      <w:r w:rsidRPr="00142423">
        <w:rPr>
          <w:rFonts w:ascii="Times New Roman" w:hAnsi="Times New Roman" w:cs="Times New Roman"/>
          <w:b/>
          <w:color w:val="auto"/>
          <w:lang w:eastAsia="en-US"/>
        </w:rPr>
        <w:lastRenderedPageBreak/>
        <w:t xml:space="preserve">Reference datum </w:t>
      </w:r>
    </w:p>
    <w:p w:rsidR="001E4FC1" w:rsidRPr="00142423" w:rsidRDefault="001E4FC1" w:rsidP="001E4FC1">
      <w:pPr>
        <w:pStyle w:val="Default"/>
        <w:spacing w:line="360" w:lineRule="auto"/>
        <w:jc w:val="both"/>
        <w:rPr>
          <w:rFonts w:ascii="Times New Roman" w:hAnsi="Times New Roman" w:cs="Times New Roman"/>
          <w:color w:val="auto"/>
          <w:lang w:eastAsia="en-US"/>
        </w:rPr>
      </w:pPr>
      <w:r w:rsidRPr="00142423">
        <w:rPr>
          <w:rFonts w:ascii="Times New Roman" w:hAnsi="Times New Roman" w:cs="Times New Roman"/>
          <w:color w:val="auto"/>
          <w:lang w:eastAsia="en-US"/>
        </w:rPr>
        <w:t xml:space="preserve">Geographical coordinates have been provided by the </w:t>
      </w:r>
      <w:proofErr w:type="spellStart"/>
      <w:r w:rsidRPr="00142423">
        <w:rPr>
          <w:rFonts w:ascii="Times New Roman" w:hAnsi="Times New Roman" w:cs="Times New Roman"/>
          <w:color w:val="auto"/>
          <w:lang w:eastAsia="en-US"/>
        </w:rPr>
        <w:t>NNTT</w:t>
      </w:r>
      <w:proofErr w:type="spellEnd"/>
      <w:r w:rsidRPr="00142423">
        <w:rPr>
          <w:rFonts w:ascii="Times New Roman" w:hAnsi="Times New Roman" w:cs="Times New Roman"/>
          <w:color w:val="auto"/>
          <w:lang w:eastAsia="en-US"/>
        </w:rPr>
        <w:t xml:space="preserve"> Geospatial services and geographical coordinates are referenced to the Geocentric Datum of Australia 1994 (</w:t>
      </w:r>
      <w:proofErr w:type="spellStart"/>
      <w:r w:rsidRPr="00142423">
        <w:rPr>
          <w:rFonts w:ascii="Times New Roman" w:hAnsi="Times New Roman" w:cs="Times New Roman"/>
          <w:color w:val="auto"/>
          <w:lang w:eastAsia="en-US"/>
        </w:rPr>
        <w:t>GDA94</w:t>
      </w:r>
      <w:proofErr w:type="spellEnd"/>
      <w:r w:rsidRPr="00142423">
        <w:rPr>
          <w:rFonts w:ascii="Times New Roman" w:hAnsi="Times New Roman" w:cs="Times New Roman"/>
          <w:color w:val="auto"/>
          <w:lang w:eastAsia="en-US"/>
        </w:rPr>
        <w:t>), in decimal degrees.</w:t>
      </w:r>
    </w:p>
    <w:p w:rsidR="001E4FC1" w:rsidRPr="00142423" w:rsidRDefault="001E4FC1" w:rsidP="001E4FC1">
      <w:pPr>
        <w:pStyle w:val="Default"/>
        <w:spacing w:line="360" w:lineRule="auto"/>
        <w:jc w:val="both"/>
        <w:rPr>
          <w:rFonts w:ascii="Times New Roman" w:hAnsi="Times New Roman" w:cs="Times New Roman"/>
          <w:color w:val="auto"/>
          <w:lang w:eastAsia="en-US"/>
        </w:rPr>
      </w:pPr>
    </w:p>
    <w:p w:rsidR="001E4FC1" w:rsidRPr="00142423" w:rsidRDefault="001E4FC1" w:rsidP="001E4FC1">
      <w:pPr>
        <w:pStyle w:val="Default"/>
        <w:spacing w:line="360" w:lineRule="auto"/>
        <w:jc w:val="both"/>
        <w:rPr>
          <w:rFonts w:ascii="Times New Roman" w:hAnsi="Times New Roman" w:cs="Times New Roman"/>
          <w:color w:val="auto"/>
          <w:lang w:eastAsia="en-US"/>
        </w:rPr>
      </w:pPr>
      <w:r w:rsidRPr="00142423">
        <w:rPr>
          <w:rFonts w:ascii="Times New Roman" w:hAnsi="Times New Roman" w:cs="Times New Roman"/>
          <w:color w:val="auto"/>
          <w:lang w:eastAsia="en-US"/>
        </w:rPr>
        <w:t xml:space="preserve">Watercourses and </w:t>
      </w:r>
      <w:proofErr w:type="spellStart"/>
      <w:r w:rsidRPr="00142423">
        <w:rPr>
          <w:rFonts w:ascii="Times New Roman" w:hAnsi="Times New Roman" w:cs="Times New Roman"/>
          <w:color w:val="auto"/>
          <w:lang w:eastAsia="en-US"/>
        </w:rPr>
        <w:t>waterbodies</w:t>
      </w:r>
      <w:proofErr w:type="spellEnd"/>
      <w:r w:rsidRPr="00142423">
        <w:rPr>
          <w:rFonts w:ascii="Times New Roman" w:hAnsi="Times New Roman" w:cs="Times New Roman"/>
          <w:color w:val="auto"/>
          <w:lang w:eastAsia="en-US"/>
        </w:rPr>
        <w:t xml:space="preserve"> (except Lake Blanche) referenced to 1:250,000 Topographic Mapping Series 3 – sourced from Geoscience Australia.</w:t>
      </w:r>
    </w:p>
    <w:p w:rsidR="001E4FC1" w:rsidRPr="00142423" w:rsidRDefault="001E4FC1" w:rsidP="001E4FC1">
      <w:pPr>
        <w:pStyle w:val="Default"/>
        <w:spacing w:line="360" w:lineRule="auto"/>
        <w:jc w:val="both"/>
        <w:rPr>
          <w:rFonts w:ascii="Times New Roman" w:hAnsi="Times New Roman" w:cs="Times New Roman"/>
          <w:color w:val="auto"/>
          <w:lang w:eastAsia="en-US"/>
        </w:rPr>
      </w:pPr>
    </w:p>
    <w:p w:rsidR="001E4FC1" w:rsidRPr="00142423" w:rsidRDefault="001E4FC1" w:rsidP="001E4FC1">
      <w:pPr>
        <w:pStyle w:val="Default"/>
        <w:spacing w:line="360" w:lineRule="auto"/>
        <w:jc w:val="both"/>
        <w:rPr>
          <w:rFonts w:ascii="Times New Roman" w:hAnsi="Times New Roman" w:cs="Times New Roman"/>
          <w:b/>
          <w:color w:val="auto"/>
          <w:lang w:eastAsia="en-US"/>
        </w:rPr>
      </w:pPr>
      <w:r w:rsidRPr="00142423">
        <w:rPr>
          <w:rFonts w:ascii="Times New Roman" w:hAnsi="Times New Roman" w:cs="Times New Roman"/>
          <w:b/>
          <w:color w:val="auto"/>
          <w:lang w:eastAsia="en-US"/>
        </w:rPr>
        <w:t>Use of Coordinates</w:t>
      </w:r>
    </w:p>
    <w:p w:rsidR="001E4FC1" w:rsidRPr="00142423" w:rsidRDefault="001E4FC1" w:rsidP="001E4FC1">
      <w:pPr>
        <w:pStyle w:val="Default"/>
        <w:spacing w:line="360" w:lineRule="auto"/>
        <w:jc w:val="both"/>
        <w:rPr>
          <w:rFonts w:ascii="Times New Roman" w:hAnsi="Times New Roman" w:cs="Times New Roman"/>
          <w:color w:val="auto"/>
          <w:lang w:eastAsia="en-US"/>
        </w:rPr>
      </w:pPr>
      <w:r w:rsidRPr="00142423">
        <w:rPr>
          <w:rFonts w:ascii="Times New Roman" w:hAnsi="Times New Roman" w:cs="Times New Roman"/>
          <w:color w:val="auto"/>
          <w:lang w:eastAsia="en-US"/>
        </w:rPr>
        <w:t>Where coordinates are used within the description to represent cadastral or topographical boundaries or the intersection with such, they are intended as a guide only.  As an outcome of the custodians of cadastral and topographical data continuously recalculating the geographic position of their data based on improved survey and data maintenance procedures, it is not possible to accurately define such a position other than by detailed ground survey.</w:t>
      </w:r>
    </w:p>
    <w:p w:rsidR="001E4FC1" w:rsidRDefault="001E4FC1">
      <w:pPr>
        <w:spacing w:line="240" w:lineRule="auto"/>
        <w:jc w:val="left"/>
        <w:rPr>
          <w:b/>
        </w:rPr>
      </w:pPr>
      <w:r>
        <w:rPr>
          <w:b/>
        </w:rPr>
        <w:br w:type="page"/>
      </w:r>
    </w:p>
    <w:p w:rsidR="008A43A4" w:rsidRDefault="008A43A4" w:rsidP="008A43A4">
      <w:r>
        <w:rPr>
          <w:b/>
        </w:rPr>
        <w:lastRenderedPageBreak/>
        <w:t xml:space="preserve">SCHEDULE 2 - Areas that have been excluded from the Determination Area </w:t>
      </w:r>
    </w:p>
    <w:p w:rsidR="008A43A4" w:rsidRDefault="008A43A4" w:rsidP="008A43A4"/>
    <w:p w:rsidR="008A43A4" w:rsidRDefault="008A43A4" w:rsidP="008A43A4">
      <w:pPr>
        <w:numPr>
          <w:ilvl w:val="0"/>
          <w:numId w:val="31"/>
        </w:numPr>
        <w:spacing w:after="120"/>
        <w:jc w:val="left"/>
      </w:pPr>
      <w:r>
        <w:t>The following areas are agreed to have been excluded from the Determination Area by reason of the fact that native title has been extinguished in those areas:</w:t>
      </w:r>
    </w:p>
    <w:p w:rsidR="008A43A4" w:rsidRDefault="008A43A4" w:rsidP="008A43A4">
      <w:pPr>
        <w:numPr>
          <w:ilvl w:val="1"/>
          <w:numId w:val="31"/>
        </w:numPr>
        <w:spacing w:after="120"/>
        <w:jc w:val="left"/>
      </w:pPr>
      <w:r>
        <w:t xml:space="preserve">Any areas in relation to which native title has been extinguished by an act attributable to the State of South Australia pursuant to any of the following sections of the </w:t>
      </w:r>
      <w:r>
        <w:rPr>
          <w:i/>
        </w:rPr>
        <w:t>Native Title (South Australia) Act 1994</w:t>
      </w:r>
      <w:r>
        <w:t xml:space="preserve"> (SA):</w:t>
      </w:r>
    </w:p>
    <w:p w:rsidR="008A43A4" w:rsidRDefault="008A43A4" w:rsidP="008A43A4">
      <w:pPr>
        <w:numPr>
          <w:ilvl w:val="2"/>
          <w:numId w:val="31"/>
        </w:numPr>
        <w:tabs>
          <w:tab w:val="clear" w:pos="1791"/>
        </w:tabs>
        <w:spacing w:after="120"/>
        <w:ind w:left="1985" w:hanging="477"/>
        <w:jc w:val="left"/>
      </w:pPr>
      <w:r>
        <w:t>Sections 33 and 34 (Category A past acts);</w:t>
      </w:r>
    </w:p>
    <w:p w:rsidR="008A43A4" w:rsidRDefault="008A43A4" w:rsidP="008A43A4">
      <w:pPr>
        <w:numPr>
          <w:ilvl w:val="2"/>
          <w:numId w:val="31"/>
        </w:numPr>
        <w:tabs>
          <w:tab w:val="clear" w:pos="1791"/>
        </w:tabs>
        <w:spacing w:after="120"/>
        <w:ind w:left="1985" w:hanging="477"/>
        <w:jc w:val="left"/>
      </w:pPr>
      <w:r>
        <w:t>Section 35 (Category B past acts that are wholly inconsistent with the continued existence, enjoyment or exercise of any native title rights or interests);</w:t>
      </w:r>
    </w:p>
    <w:p w:rsidR="008A43A4" w:rsidRDefault="008A43A4" w:rsidP="008A43A4">
      <w:pPr>
        <w:numPr>
          <w:ilvl w:val="2"/>
          <w:numId w:val="31"/>
        </w:numPr>
        <w:tabs>
          <w:tab w:val="clear" w:pos="1791"/>
        </w:tabs>
        <w:spacing w:after="120"/>
        <w:ind w:left="1985" w:hanging="477"/>
        <w:jc w:val="left"/>
      </w:pPr>
      <w:r>
        <w:t xml:space="preserve">Sections </w:t>
      </w:r>
      <w:proofErr w:type="spellStart"/>
      <w:r>
        <w:t>36B</w:t>
      </w:r>
      <w:proofErr w:type="spellEnd"/>
      <w:r>
        <w:t xml:space="preserve"> and </w:t>
      </w:r>
      <w:proofErr w:type="spellStart"/>
      <w:r>
        <w:t>36C</w:t>
      </w:r>
      <w:proofErr w:type="spellEnd"/>
      <w:r>
        <w:t xml:space="preserve"> (Category A intermediate period acts);</w:t>
      </w:r>
    </w:p>
    <w:p w:rsidR="008A43A4" w:rsidRDefault="008A43A4" w:rsidP="008A43A4">
      <w:pPr>
        <w:numPr>
          <w:ilvl w:val="2"/>
          <w:numId w:val="31"/>
        </w:numPr>
        <w:tabs>
          <w:tab w:val="clear" w:pos="1791"/>
        </w:tabs>
        <w:spacing w:after="120"/>
        <w:ind w:left="1985" w:hanging="477"/>
        <w:jc w:val="left"/>
      </w:pPr>
      <w:r>
        <w:t xml:space="preserve">Section </w:t>
      </w:r>
      <w:proofErr w:type="spellStart"/>
      <w:r>
        <w:t>36D</w:t>
      </w:r>
      <w:proofErr w:type="spellEnd"/>
      <w:r>
        <w:t xml:space="preserve"> (Category B intermediate period acts that are wholly inconsistent with the continued existence, enjoyment or exercise of any native title rights or interests);</w:t>
      </w:r>
    </w:p>
    <w:p w:rsidR="008A43A4" w:rsidRDefault="008A43A4" w:rsidP="008A43A4">
      <w:pPr>
        <w:numPr>
          <w:ilvl w:val="2"/>
          <w:numId w:val="31"/>
        </w:numPr>
        <w:tabs>
          <w:tab w:val="clear" w:pos="1791"/>
        </w:tabs>
        <w:spacing w:after="120"/>
        <w:ind w:left="1985" w:hanging="477"/>
        <w:jc w:val="left"/>
      </w:pPr>
      <w:r>
        <w:t xml:space="preserve">Sections </w:t>
      </w:r>
      <w:proofErr w:type="spellStart"/>
      <w:r>
        <w:t>36F</w:t>
      </w:r>
      <w:proofErr w:type="spellEnd"/>
      <w:r>
        <w:t xml:space="preserve"> and </w:t>
      </w:r>
      <w:proofErr w:type="spellStart"/>
      <w:r>
        <w:t>36G</w:t>
      </w:r>
      <w:proofErr w:type="spellEnd"/>
      <w:r>
        <w:t xml:space="preserve"> (previous exclusive possession acts other than “excepted acts”);</w:t>
      </w:r>
    </w:p>
    <w:p w:rsidR="008A43A4" w:rsidRPr="00142423" w:rsidRDefault="008A43A4" w:rsidP="008A43A4">
      <w:pPr>
        <w:numPr>
          <w:ilvl w:val="1"/>
          <w:numId w:val="31"/>
        </w:numPr>
        <w:spacing w:after="120"/>
        <w:jc w:val="left"/>
      </w:pPr>
      <w:r w:rsidRPr="00142423">
        <w:t>Any areas in relation to which native title has been extinguished by an act attributable to the Commonwealth of Australia pursuant to any of the following sections of the Native Title Act:</w:t>
      </w:r>
    </w:p>
    <w:p w:rsidR="008A43A4" w:rsidRDefault="008A43A4" w:rsidP="008A43A4">
      <w:pPr>
        <w:numPr>
          <w:ilvl w:val="2"/>
          <w:numId w:val="31"/>
        </w:numPr>
        <w:tabs>
          <w:tab w:val="clear" w:pos="1791"/>
        </w:tabs>
        <w:spacing w:after="120"/>
        <w:ind w:left="1985" w:hanging="477"/>
        <w:jc w:val="left"/>
        <w:rPr>
          <w:szCs w:val="22"/>
        </w:rPr>
      </w:pPr>
      <w:r w:rsidRPr="00CB1C7C">
        <w:t>Section</w:t>
      </w:r>
      <w:r>
        <w:rPr>
          <w:szCs w:val="22"/>
        </w:rPr>
        <w:t xml:space="preserve"> 15(1)(a), (b) (Category A past acts</w:t>
      </w:r>
      <w:r w:rsidRPr="00CB1C7C">
        <w:rPr>
          <w:iCs/>
          <w:szCs w:val="22"/>
        </w:rPr>
        <w:t>)</w:t>
      </w:r>
      <w:r>
        <w:rPr>
          <w:szCs w:val="22"/>
        </w:rPr>
        <w:t>;</w:t>
      </w:r>
    </w:p>
    <w:p w:rsidR="008A43A4" w:rsidRDefault="008A43A4" w:rsidP="008A43A4">
      <w:pPr>
        <w:numPr>
          <w:ilvl w:val="2"/>
          <w:numId w:val="31"/>
        </w:numPr>
        <w:tabs>
          <w:tab w:val="clear" w:pos="1791"/>
        </w:tabs>
        <w:spacing w:after="120"/>
        <w:ind w:left="1985" w:hanging="477"/>
        <w:jc w:val="left"/>
        <w:rPr>
          <w:szCs w:val="22"/>
        </w:rPr>
      </w:pPr>
      <w:r w:rsidRPr="00CB1C7C">
        <w:t>Section</w:t>
      </w:r>
      <w:r>
        <w:rPr>
          <w:szCs w:val="22"/>
        </w:rPr>
        <w:t xml:space="preserve"> 15(1)(c) (Category B past acts that are wholly inconsistent with the continued existence, enjoyment or exercise of any native title rights or interests</w:t>
      </w:r>
      <w:r w:rsidRPr="00CB1C7C">
        <w:rPr>
          <w:iCs/>
          <w:szCs w:val="22"/>
        </w:rPr>
        <w:t>)</w:t>
      </w:r>
      <w:r>
        <w:rPr>
          <w:szCs w:val="22"/>
        </w:rPr>
        <w:t>;</w:t>
      </w:r>
    </w:p>
    <w:p w:rsidR="008A43A4" w:rsidRDefault="008A43A4" w:rsidP="008A43A4">
      <w:pPr>
        <w:numPr>
          <w:ilvl w:val="2"/>
          <w:numId w:val="31"/>
        </w:numPr>
        <w:tabs>
          <w:tab w:val="clear" w:pos="1791"/>
        </w:tabs>
        <w:spacing w:after="120"/>
        <w:ind w:left="1985" w:hanging="477"/>
        <w:jc w:val="left"/>
        <w:rPr>
          <w:szCs w:val="22"/>
        </w:rPr>
      </w:pPr>
      <w:r>
        <w:rPr>
          <w:szCs w:val="22"/>
        </w:rPr>
        <w:t xml:space="preserve">Section </w:t>
      </w:r>
      <w:proofErr w:type="spellStart"/>
      <w:r>
        <w:rPr>
          <w:szCs w:val="22"/>
        </w:rPr>
        <w:t>22B</w:t>
      </w:r>
      <w:proofErr w:type="spellEnd"/>
      <w:r>
        <w:rPr>
          <w:szCs w:val="22"/>
        </w:rPr>
        <w:t>(a),</w:t>
      </w:r>
      <w:r w:rsidRPr="00142423">
        <w:t xml:space="preserve"> </w:t>
      </w:r>
      <w:r>
        <w:rPr>
          <w:szCs w:val="22"/>
        </w:rPr>
        <w:t>(b) (Category A intermediate period acts</w:t>
      </w:r>
      <w:r w:rsidRPr="00CB1C7C">
        <w:rPr>
          <w:iCs/>
          <w:szCs w:val="22"/>
        </w:rPr>
        <w:t>)</w:t>
      </w:r>
      <w:r>
        <w:rPr>
          <w:szCs w:val="22"/>
        </w:rPr>
        <w:t>;</w:t>
      </w:r>
    </w:p>
    <w:p w:rsidR="008A43A4" w:rsidRDefault="008A43A4" w:rsidP="008A43A4">
      <w:pPr>
        <w:numPr>
          <w:ilvl w:val="2"/>
          <w:numId w:val="31"/>
        </w:numPr>
        <w:tabs>
          <w:tab w:val="clear" w:pos="1791"/>
        </w:tabs>
        <w:spacing w:after="120"/>
        <w:ind w:left="1985" w:hanging="477"/>
        <w:jc w:val="left"/>
        <w:rPr>
          <w:szCs w:val="22"/>
        </w:rPr>
      </w:pPr>
      <w:r>
        <w:rPr>
          <w:szCs w:val="22"/>
        </w:rPr>
        <w:t xml:space="preserve">Section </w:t>
      </w:r>
      <w:proofErr w:type="spellStart"/>
      <w:r w:rsidRPr="00142423">
        <w:t>22B</w:t>
      </w:r>
      <w:proofErr w:type="spellEnd"/>
      <w:r>
        <w:rPr>
          <w:szCs w:val="22"/>
        </w:rPr>
        <w:t>(c) (Category B intermediate period acts that are wholly inconsistent with the continued existence, enjoyment or exercise of any native title rights or interests</w:t>
      </w:r>
      <w:r w:rsidRPr="00CB1C7C">
        <w:rPr>
          <w:iCs/>
          <w:szCs w:val="22"/>
        </w:rPr>
        <w:t>)</w:t>
      </w:r>
      <w:r>
        <w:rPr>
          <w:szCs w:val="22"/>
        </w:rPr>
        <w:t>;</w:t>
      </w:r>
    </w:p>
    <w:p w:rsidR="008A43A4" w:rsidRDefault="008A43A4" w:rsidP="008A43A4">
      <w:pPr>
        <w:numPr>
          <w:ilvl w:val="2"/>
          <w:numId w:val="31"/>
        </w:numPr>
        <w:tabs>
          <w:tab w:val="clear" w:pos="1791"/>
        </w:tabs>
        <w:spacing w:after="120"/>
        <w:ind w:left="1985" w:hanging="477"/>
        <w:jc w:val="left"/>
        <w:rPr>
          <w:szCs w:val="22"/>
        </w:rPr>
      </w:pPr>
      <w:r w:rsidRPr="00142423">
        <w:t>Sections</w:t>
      </w:r>
      <w:r>
        <w:rPr>
          <w:szCs w:val="22"/>
        </w:rPr>
        <w:t xml:space="preserve"> </w:t>
      </w:r>
      <w:proofErr w:type="spellStart"/>
      <w:r>
        <w:rPr>
          <w:szCs w:val="22"/>
        </w:rPr>
        <w:t>23B</w:t>
      </w:r>
      <w:proofErr w:type="spellEnd"/>
      <w:r>
        <w:rPr>
          <w:szCs w:val="22"/>
        </w:rPr>
        <w:t xml:space="preserve"> and </w:t>
      </w:r>
      <w:proofErr w:type="spellStart"/>
      <w:r>
        <w:rPr>
          <w:szCs w:val="22"/>
        </w:rPr>
        <w:t>23C</w:t>
      </w:r>
      <w:proofErr w:type="spellEnd"/>
      <w:r>
        <w:rPr>
          <w:szCs w:val="22"/>
        </w:rPr>
        <w:t xml:space="preserve"> (previous exclusive possession acts</w:t>
      </w:r>
      <w:r w:rsidRPr="00CB1C7C">
        <w:rPr>
          <w:iCs/>
          <w:szCs w:val="22"/>
        </w:rPr>
        <w:t>)</w:t>
      </w:r>
      <w:r>
        <w:rPr>
          <w:szCs w:val="22"/>
        </w:rPr>
        <w:t>.</w:t>
      </w:r>
    </w:p>
    <w:p w:rsidR="008A43A4" w:rsidRDefault="008A43A4" w:rsidP="008A43A4">
      <w:pPr>
        <w:numPr>
          <w:ilvl w:val="1"/>
          <w:numId w:val="31"/>
        </w:numPr>
        <w:spacing w:after="120"/>
        <w:jc w:val="left"/>
      </w:pPr>
      <w:r>
        <w:lastRenderedPageBreak/>
        <w:t>Any areas in relation to which native title rights and interests have otherwise been wholly extinguished.</w:t>
      </w:r>
    </w:p>
    <w:p w:rsidR="008A43A4" w:rsidRDefault="008A43A4" w:rsidP="008A43A4">
      <w:pPr>
        <w:numPr>
          <w:ilvl w:val="0"/>
          <w:numId w:val="31"/>
        </w:numPr>
        <w:overflowPunct w:val="0"/>
        <w:autoSpaceDE w:val="0"/>
        <w:autoSpaceDN w:val="0"/>
        <w:adjustRightInd w:val="0"/>
        <w:spacing w:after="120"/>
        <w:jc w:val="left"/>
        <w:textAlignment w:val="baseline"/>
      </w:pPr>
      <w:r>
        <w:t>For the avoidance of doubt and without limiting the above, Native Title has been extinguished in relation to areas in respect of which any of the following acts have been done by the Crown in right of the State of South Australia on or before 23 December 1996:</w:t>
      </w:r>
    </w:p>
    <w:p w:rsidR="008A43A4" w:rsidRDefault="008A43A4" w:rsidP="008A43A4">
      <w:pPr>
        <w:numPr>
          <w:ilvl w:val="1"/>
          <w:numId w:val="31"/>
        </w:numPr>
        <w:spacing w:after="120"/>
        <w:jc w:val="left"/>
      </w:pPr>
      <w:r>
        <w:t xml:space="preserve">Freehold grants (other than pursuant to the </w:t>
      </w:r>
      <w:r w:rsidRPr="00142423">
        <w:t>Aboriginal Lands Trust Act 1966</w:t>
      </w:r>
      <w:r>
        <w:t xml:space="preserve"> (SA));</w:t>
      </w:r>
    </w:p>
    <w:p w:rsidR="008A43A4" w:rsidRDefault="008A43A4" w:rsidP="008A43A4">
      <w:pPr>
        <w:numPr>
          <w:ilvl w:val="1"/>
          <w:numId w:val="31"/>
        </w:numPr>
        <w:spacing w:after="120"/>
        <w:jc w:val="left"/>
      </w:pPr>
      <w:r>
        <w:t>Perpetual leases (other than leases which are subject to a reservation or condition expressly for the benefit of Aboriginal people);</w:t>
      </w:r>
    </w:p>
    <w:p w:rsidR="008A43A4" w:rsidRDefault="008A43A4" w:rsidP="008A43A4">
      <w:pPr>
        <w:numPr>
          <w:ilvl w:val="1"/>
          <w:numId w:val="31"/>
        </w:numPr>
        <w:spacing w:after="120"/>
        <w:jc w:val="left"/>
      </w:pPr>
      <w:r>
        <w:t>Non-perpetual leases (other than pastoral leases or non-exclusive agricultural leases or leases subject to a reservation or condition expressly for the benefit of Aboriginal people),</w:t>
      </w:r>
    </w:p>
    <w:p w:rsidR="008A43A4" w:rsidRDefault="008A43A4" w:rsidP="008A43A4">
      <w:pPr>
        <w:spacing w:after="120"/>
        <w:ind w:left="567"/>
      </w:pPr>
      <w:r>
        <w:t>where:</w:t>
      </w:r>
    </w:p>
    <w:p w:rsidR="008A43A4" w:rsidRDefault="008A43A4" w:rsidP="008A43A4">
      <w:pPr>
        <w:numPr>
          <w:ilvl w:val="1"/>
          <w:numId w:val="31"/>
        </w:numPr>
        <w:spacing w:after="120"/>
        <w:jc w:val="left"/>
      </w:pPr>
      <w:r>
        <w:t>in the case of grants to the Crown or a statutory authority, made prior to 31 October 1975 (or after 1 January 1994, if an “intermediate period act”);</w:t>
      </w:r>
    </w:p>
    <w:p w:rsidR="008A43A4" w:rsidRDefault="008A43A4" w:rsidP="008A43A4">
      <w:pPr>
        <w:numPr>
          <w:ilvl w:val="1"/>
          <w:numId w:val="31"/>
        </w:numPr>
        <w:spacing w:after="120"/>
        <w:jc w:val="left"/>
      </w:pPr>
      <w:r>
        <w:t>in the case of grants other than to the Crown or a statutory authority, made prior to 1 January 1994 (or after 1 January 1994, if a “past act” or “intermediate period act”).</w:t>
      </w:r>
    </w:p>
    <w:p w:rsidR="008A43A4" w:rsidRPr="00142423" w:rsidRDefault="008A43A4" w:rsidP="008A43A4">
      <w:pPr>
        <w:numPr>
          <w:ilvl w:val="0"/>
          <w:numId w:val="31"/>
        </w:numPr>
        <w:spacing w:after="240"/>
      </w:pPr>
      <w:r w:rsidRPr="00FB6304">
        <w:rPr>
          <w:rFonts w:cs="Arial"/>
          <w:szCs w:val="22"/>
        </w:rPr>
        <w:t xml:space="preserve">Native title rights have been extinguished over all roads which have been delineated in a public map pursuant to section 5(d)(II) of the </w:t>
      </w:r>
      <w:r w:rsidRPr="00626D51">
        <w:rPr>
          <w:rFonts w:cs="Arial"/>
          <w:i/>
          <w:szCs w:val="22"/>
        </w:rPr>
        <w:t>Crown Lands Act 1929</w:t>
      </w:r>
      <w:r w:rsidRPr="00626D51">
        <w:rPr>
          <w:rFonts w:cs="Arial"/>
          <w:szCs w:val="22"/>
        </w:rPr>
        <w:t xml:space="preserve"> (SA) or s</w:t>
      </w:r>
      <w:r>
        <w:rPr>
          <w:rFonts w:cs="Arial"/>
          <w:szCs w:val="22"/>
        </w:rPr>
        <w:t>ections </w:t>
      </w:r>
      <w:r w:rsidRPr="00626D51">
        <w:rPr>
          <w:rFonts w:cs="Arial"/>
          <w:szCs w:val="22"/>
        </w:rPr>
        <w:t xml:space="preserve">70(3) or (4) of the </w:t>
      </w:r>
      <w:r w:rsidRPr="00A83E1B">
        <w:rPr>
          <w:rFonts w:cs="Arial"/>
          <w:i/>
          <w:szCs w:val="22"/>
        </w:rPr>
        <w:t>Crown Land Management Act 2009</w:t>
      </w:r>
      <w:r w:rsidRPr="00A83E1B">
        <w:rPr>
          <w:rFonts w:cs="Arial"/>
          <w:szCs w:val="22"/>
        </w:rPr>
        <w:t xml:space="preserve"> (SA) or which have otherwise been validly established pursuant to South Australian Statute or common law.</w:t>
      </w:r>
    </w:p>
    <w:p w:rsidR="008A43A4" w:rsidRDefault="008A43A4" w:rsidP="008A43A4">
      <w:pPr>
        <w:spacing w:after="240"/>
        <w:ind w:left="567"/>
      </w:pPr>
    </w:p>
    <w:p w:rsidR="008A43A4" w:rsidRPr="00142423" w:rsidRDefault="008A43A4" w:rsidP="008A43A4">
      <w:pPr>
        <w:pStyle w:val="Default"/>
        <w:numPr>
          <w:ilvl w:val="0"/>
          <w:numId w:val="31"/>
        </w:numPr>
        <w:jc w:val="both"/>
        <w:rPr>
          <w:rFonts w:ascii="Times New Roman" w:hAnsi="Times New Roman" w:cs="Times New Roman"/>
          <w:b/>
        </w:rPr>
        <w:sectPr w:rsidR="008A43A4" w:rsidRPr="00142423" w:rsidSect="005B24E1">
          <w:headerReference w:type="default" r:id="rId62"/>
          <w:endnotePr>
            <w:numFmt w:val="decimal"/>
          </w:endnotePr>
          <w:pgSz w:w="11907" w:h="16840" w:code="9"/>
          <w:pgMar w:top="1440" w:right="1440" w:bottom="1440" w:left="1440" w:header="851" w:footer="851" w:gutter="0"/>
          <w:cols w:space="720"/>
          <w:noEndnote/>
          <w:titlePg/>
        </w:sectPr>
      </w:pPr>
    </w:p>
    <w:p w:rsidR="008A43A4" w:rsidRDefault="008A43A4" w:rsidP="008A43A4">
      <w:pPr>
        <w:spacing w:after="120"/>
        <w:rPr>
          <w:b/>
        </w:rPr>
      </w:pPr>
      <w:r>
        <w:rPr>
          <w:b/>
        </w:rPr>
        <w:lastRenderedPageBreak/>
        <w:t xml:space="preserve">SCHEDULE 3 – The descendants of </w:t>
      </w:r>
      <w:proofErr w:type="spellStart"/>
      <w:r>
        <w:rPr>
          <w:b/>
        </w:rPr>
        <w:t>Adnyamathanha</w:t>
      </w:r>
      <w:proofErr w:type="spellEnd"/>
      <w:r>
        <w:rPr>
          <w:b/>
        </w:rPr>
        <w:t xml:space="preserve"> Apical Ancestors</w:t>
      </w:r>
    </w:p>
    <w:p w:rsidR="008A43A4" w:rsidRDefault="008A43A4" w:rsidP="008A43A4">
      <w:pPr>
        <w:spacing w:after="120"/>
        <w:ind w:left="1474"/>
      </w:pPr>
    </w:p>
    <w:p w:rsidR="008A43A4" w:rsidRDefault="008A43A4" w:rsidP="008A43A4">
      <w:pPr>
        <w:spacing w:after="120"/>
        <w:rPr>
          <w:b/>
        </w:rPr>
      </w:pPr>
      <w:r>
        <w:rPr>
          <w:b/>
        </w:rPr>
        <w:t>The descendants (whether biologically or by adoption) of:</w:t>
      </w:r>
    </w:p>
    <w:p w:rsidR="008A43A4" w:rsidRDefault="008A43A4" w:rsidP="008A43A4">
      <w:pPr>
        <w:numPr>
          <w:ilvl w:val="2"/>
          <w:numId w:val="31"/>
        </w:numPr>
        <w:spacing w:after="120"/>
        <w:jc w:val="left"/>
      </w:pPr>
      <w:r>
        <w:t xml:space="preserve">Mt </w:t>
      </w:r>
      <w:proofErr w:type="spellStart"/>
      <w:r>
        <w:t>Serle</w:t>
      </w:r>
      <w:proofErr w:type="spellEnd"/>
      <w:r>
        <w:t xml:space="preserve"> Bob; </w:t>
      </w:r>
    </w:p>
    <w:p w:rsidR="008A43A4" w:rsidRDefault="008A43A4" w:rsidP="008A43A4">
      <w:pPr>
        <w:numPr>
          <w:ilvl w:val="2"/>
          <w:numId w:val="31"/>
        </w:numPr>
        <w:spacing w:after="120"/>
        <w:jc w:val="left"/>
      </w:pPr>
      <w:r>
        <w:t xml:space="preserve">Polly, wife of Mt </w:t>
      </w:r>
      <w:proofErr w:type="spellStart"/>
      <w:r>
        <w:t>Serle</w:t>
      </w:r>
      <w:proofErr w:type="spellEnd"/>
      <w:r>
        <w:t xml:space="preserve"> Bob;</w:t>
      </w:r>
    </w:p>
    <w:p w:rsidR="008A43A4" w:rsidRDefault="008A43A4" w:rsidP="008A43A4">
      <w:pPr>
        <w:numPr>
          <w:ilvl w:val="2"/>
          <w:numId w:val="31"/>
        </w:numPr>
        <w:spacing w:after="120"/>
        <w:jc w:val="left"/>
      </w:pPr>
      <w:proofErr w:type="spellStart"/>
      <w:r>
        <w:t>Quartpot</w:t>
      </w:r>
      <w:proofErr w:type="spellEnd"/>
      <w:r>
        <w:t xml:space="preserve"> Tommy;</w:t>
      </w:r>
    </w:p>
    <w:p w:rsidR="008A43A4" w:rsidRDefault="008A43A4" w:rsidP="008A43A4">
      <w:pPr>
        <w:numPr>
          <w:ilvl w:val="2"/>
          <w:numId w:val="31"/>
        </w:numPr>
        <w:spacing w:after="120"/>
        <w:jc w:val="left"/>
      </w:pPr>
      <w:r>
        <w:t xml:space="preserve">Mt </w:t>
      </w:r>
      <w:proofErr w:type="spellStart"/>
      <w:r>
        <w:t>Serle</w:t>
      </w:r>
      <w:proofErr w:type="spellEnd"/>
      <w:r>
        <w:t xml:space="preserve"> Bob’s sister, wife of </w:t>
      </w:r>
      <w:proofErr w:type="spellStart"/>
      <w:r>
        <w:t>Quartpot</w:t>
      </w:r>
      <w:proofErr w:type="spellEnd"/>
      <w:r>
        <w:t xml:space="preserve"> Tommy;</w:t>
      </w:r>
    </w:p>
    <w:p w:rsidR="008A43A4" w:rsidRDefault="008A43A4" w:rsidP="008A43A4">
      <w:pPr>
        <w:numPr>
          <w:ilvl w:val="2"/>
          <w:numId w:val="31"/>
        </w:numPr>
        <w:spacing w:after="120"/>
        <w:jc w:val="left"/>
      </w:pPr>
      <w:r>
        <w:t>Willy Austin Snr;</w:t>
      </w:r>
    </w:p>
    <w:p w:rsidR="008A43A4" w:rsidRDefault="008A43A4" w:rsidP="008A43A4">
      <w:pPr>
        <w:numPr>
          <w:ilvl w:val="2"/>
          <w:numId w:val="31"/>
        </w:numPr>
        <w:spacing w:after="120"/>
        <w:jc w:val="left"/>
      </w:pPr>
      <w:r>
        <w:t xml:space="preserve">Nicholas </w:t>
      </w:r>
      <w:proofErr w:type="spellStart"/>
      <w:r>
        <w:t>Demell</w:t>
      </w:r>
      <w:proofErr w:type="spellEnd"/>
      <w:r>
        <w:t>;</w:t>
      </w:r>
    </w:p>
    <w:p w:rsidR="008A43A4" w:rsidRDefault="008A43A4" w:rsidP="008A43A4">
      <w:pPr>
        <w:numPr>
          <w:ilvl w:val="2"/>
          <w:numId w:val="31"/>
        </w:numPr>
        <w:spacing w:after="120"/>
        <w:jc w:val="left"/>
      </w:pPr>
      <w:r>
        <w:t xml:space="preserve">Emily McKenzie, wife of Nicholas </w:t>
      </w:r>
      <w:proofErr w:type="spellStart"/>
      <w:r>
        <w:t>Demell</w:t>
      </w:r>
      <w:proofErr w:type="spellEnd"/>
      <w:r>
        <w:t>;</w:t>
      </w:r>
    </w:p>
    <w:p w:rsidR="008A43A4" w:rsidRDefault="008A43A4" w:rsidP="008A43A4">
      <w:pPr>
        <w:numPr>
          <w:ilvl w:val="2"/>
          <w:numId w:val="31"/>
        </w:numPr>
        <w:spacing w:after="120"/>
        <w:jc w:val="left"/>
      </w:pPr>
      <w:r>
        <w:t xml:space="preserve">Sydney Ryan; </w:t>
      </w:r>
    </w:p>
    <w:p w:rsidR="008A43A4" w:rsidRDefault="008A43A4" w:rsidP="008A43A4">
      <w:pPr>
        <w:numPr>
          <w:ilvl w:val="2"/>
          <w:numId w:val="31"/>
        </w:numPr>
        <w:spacing w:after="120"/>
        <w:jc w:val="left"/>
      </w:pPr>
      <w:r>
        <w:t>Mary, wife of Sydney Ryan;</w:t>
      </w:r>
    </w:p>
    <w:p w:rsidR="008A43A4" w:rsidRDefault="008A43A4" w:rsidP="008A43A4">
      <w:pPr>
        <w:numPr>
          <w:ilvl w:val="2"/>
          <w:numId w:val="31"/>
        </w:numPr>
        <w:spacing w:after="120"/>
        <w:jc w:val="left"/>
      </w:pPr>
      <w:r>
        <w:t xml:space="preserve">the siblings </w:t>
      </w:r>
      <w:proofErr w:type="spellStart"/>
      <w:r>
        <w:t>Angepena</w:t>
      </w:r>
      <w:proofErr w:type="spellEnd"/>
      <w:r>
        <w:t xml:space="preserve"> Billy or Mary;</w:t>
      </w:r>
    </w:p>
    <w:p w:rsidR="008A43A4" w:rsidRDefault="008A43A4" w:rsidP="008A43A4">
      <w:pPr>
        <w:numPr>
          <w:ilvl w:val="2"/>
          <w:numId w:val="31"/>
        </w:numPr>
        <w:spacing w:after="120"/>
        <w:jc w:val="left"/>
      </w:pPr>
      <w:r>
        <w:t xml:space="preserve">Fanny, wife of </w:t>
      </w:r>
      <w:proofErr w:type="spellStart"/>
      <w:r>
        <w:t>Angepena</w:t>
      </w:r>
      <w:proofErr w:type="spellEnd"/>
      <w:r>
        <w:t xml:space="preserve"> Billy; and </w:t>
      </w:r>
    </w:p>
    <w:p w:rsidR="008A43A4" w:rsidRDefault="008A43A4" w:rsidP="008A43A4">
      <w:pPr>
        <w:numPr>
          <w:ilvl w:val="2"/>
          <w:numId w:val="31"/>
        </w:numPr>
        <w:spacing w:after="120"/>
        <w:jc w:val="left"/>
      </w:pPr>
      <w:r>
        <w:t>the siblings Sara Johnson, Matilda Johnson, Fred Johnson, Natalie Johnson, Jessie Johnson or Sydney Jackson.</w:t>
      </w:r>
    </w:p>
    <w:p w:rsidR="008A43A4" w:rsidRPr="00142423" w:rsidRDefault="008A43A4" w:rsidP="008A43A4">
      <w:pPr>
        <w:pStyle w:val="Default"/>
        <w:numPr>
          <w:ilvl w:val="0"/>
          <w:numId w:val="31"/>
        </w:numPr>
        <w:jc w:val="both"/>
        <w:rPr>
          <w:rFonts w:ascii="Times New Roman" w:hAnsi="Times New Roman" w:cs="Times New Roman"/>
          <w:b/>
        </w:rPr>
        <w:sectPr w:rsidR="008A43A4" w:rsidRPr="00142423" w:rsidSect="000810E2">
          <w:headerReference w:type="default" r:id="rId63"/>
          <w:endnotePr>
            <w:numFmt w:val="decimal"/>
          </w:endnotePr>
          <w:pgSz w:w="11907" w:h="16840" w:code="9"/>
          <w:pgMar w:top="1440" w:right="1440" w:bottom="1440" w:left="1440" w:header="851" w:footer="851" w:gutter="0"/>
          <w:cols w:space="720"/>
          <w:noEndnote/>
          <w:titlePg/>
        </w:sectPr>
      </w:pPr>
    </w:p>
    <w:p w:rsidR="008A43A4" w:rsidRPr="005E5F52" w:rsidRDefault="008A43A4" w:rsidP="008A43A4">
      <w:pPr>
        <w:spacing w:after="120"/>
        <w:ind w:left="567"/>
      </w:pPr>
      <w:r>
        <w:rPr>
          <w:b/>
        </w:rPr>
        <w:lastRenderedPageBreak/>
        <w:t>SCHEDULE 4 – Pastoral Leases wholly or partially in the Determination Area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0"/>
        <w:gridCol w:w="2761"/>
        <w:gridCol w:w="3119"/>
      </w:tblGrid>
      <w:tr w:rsidR="008A43A4" w:rsidRPr="006E5AFE" w:rsidTr="00246886">
        <w:tc>
          <w:tcPr>
            <w:tcW w:w="2450" w:type="dxa"/>
            <w:shd w:val="clear" w:color="auto" w:fill="auto"/>
          </w:tcPr>
          <w:p w:rsidR="008A43A4" w:rsidRPr="006E5AFE" w:rsidRDefault="008A43A4" w:rsidP="00246886">
            <w:pPr>
              <w:spacing w:after="120" w:line="240" w:lineRule="auto"/>
              <w:rPr>
                <w:b/>
              </w:rPr>
            </w:pPr>
            <w:r w:rsidRPr="006E5AFE">
              <w:rPr>
                <w:b/>
              </w:rPr>
              <w:t>Pastoral Lease Name</w:t>
            </w:r>
          </w:p>
        </w:tc>
        <w:tc>
          <w:tcPr>
            <w:tcW w:w="2761" w:type="dxa"/>
            <w:shd w:val="clear" w:color="auto" w:fill="auto"/>
          </w:tcPr>
          <w:p w:rsidR="008A43A4" w:rsidRPr="006E5AFE" w:rsidRDefault="008A43A4" w:rsidP="00246886">
            <w:pPr>
              <w:spacing w:after="120" w:line="240" w:lineRule="auto"/>
              <w:rPr>
                <w:b/>
              </w:rPr>
            </w:pPr>
            <w:r w:rsidRPr="006E5AFE">
              <w:rPr>
                <w:b/>
              </w:rPr>
              <w:t>Pastoral Lease Number</w:t>
            </w:r>
          </w:p>
        </w:tc>
        <w:tc>
          <w:tcPr>
            <w:tcW w:w="3119" w:type="dxa"/>
            <w:shd w:val="clear" w:color="auto" w:fill="auto"/>
          </w:tcPr>
          <w:p w:rsidR="008A43A4" w:rsidRPr="006E5AFE" w:rsidRDefault="008A43A4" w:rsidP="00246886">
            <w:pPr>
              <w:spacing w:after="120" w:line="240" w:lineRule="auto"/>
              <w:ind w:left="613" w:hanging="613"/>
              <w:rPr>
                <w:b/>
              </w:rPr>
            </w:pPr>
            <w:r w:rsidRPr="006E5AFE">
              <w:rPr>
                <w:b/>
              </w:rPr>
              <w:t>Crown Lease Number</w:t>
            </w:r>
            <w:r w:rsidRPr="006E5AFE">
              <w:rPr>
                <w:b/>
              </w:rPr>
              <w:br/>
              <w:t>Volume/Folio</w:t>
            </w:r>
          </w:p>
        </w:tc>
      </w:tr>
      <w:tr w:rsidR="008A43A4" w:rsidRPr="006E5AFE" w:rsidTr="00246886">
        <w:tc>
          <w:tcPr>
            <w:tcW w:w="2450" w:type="dxa"/>
            <w:shd w:val="clear" w:color="auto" w:fill="auto"/>
          </w:tcPr>
          <w:p w:rsidR="008A43A4" w:rsidRPr="000414AD" w:rsidRDefault="008A43A4" w:rsidP="00246886">
            <w:pPr>
              <w:spacing w:after="120" w:line="240" w:lineRule="auto"/>
            </w:pPr>
            <w:proofErr w:type="spellStart"/>
            <w:r>
              <w:t>Murnpeowie</w:t>
            </w:r>
            <w:proofErr w:type="spellEnd"/>
            <w:r>
              <w:t xml:space="preserve"> (part)</w:t>
            </w:r>
          </w:p>
        </w:tc>
        <w:tc>
          <w:tcPr>
            <w:tcW w:w="2761" w:type="dxa"/>
            <w:shd w:val="clear" w:color="auto" w:fill="auto"/>
          </w:tcPr>
          <w:p w:rsidR="008A43A4" w:rsidRPr="000414AD" w:rsidRDefault="008A43A4" w:rsidP="00246886">
            <w:pPr>
              <w:spacing w:after="120" w:line="240" w:lineRule="auto"/>
            </w:pPr>
            <w:r>
              <w:t>PE 2519</w:t>
            </w:r>
          </w:p>
        </w:tc>
        <w:tc>
          <w:tcPr>
            <w:tcW w:w="3119" w:type="dxa"/>
            <w:shd w:val="clear" w:color="auto" w:fill="auto"/>
          </w:tcPr>
          <w:p w:rsidR="008A43A4" w:rsidRPr="000414AD" w:rsidRDefault="008A43A4" w:rsidP="00246886">
            <w:pPr>
              <w:spacing w:after="120" w:line="240" w:lineRule="auto"/>
            </w:pPr>
            <w:r w:rsidRPr="000414AD">
              <w:t>CL 1598/37</w:t>
            </w:r>
          </w:p>
        </w:tc>
      </w:tr>
    </w:tbl>
    <w:p w:rsidR="008A43A4" w:rsidRPr="00142423" w:rsidRDefault="008A43A4" w:rsidP="008A43A4">
      <w:pPr>
        <w:pStyle w:val="Default"/>
        <w:numPr>
          <w:ilvl w:val="0"/>
          <w:numId w:val="31"/>
        </w:numPr>
        <w:jc w:val="both"/>
        <w:rPr>
          <w:rFonts w:ascii="Times New Roman" w:hAnsi="Times New Roman" w:cs="Times New Roman"/>
          <w:b/>
        </w:rPr>
        <w:sectPr w:rsidR="008A43A4" w:rsidRPr="00142423" w:rsidSect="000810E2">
          <w:headerReference w:type="default" r:id="rId64"/>
          <w:endnotePr>
            <w:numFmt w:val="decimal"/>
          </w:endnotePr>
          <w:pgSz w:w="11907" w:h="16840" w:code="9"/>
          <w:pgMar w:top="1440" w:right="1440" w:bottom="1440" w:left="1440" w:header="851" w:footer="851" w:gutter="0"/>
          <w:cols w:space="720"/>
          <w:noEndnote/>
          <w:titlePg/>
        </w:sectPr>
      </w:pPr>
    </w:p>
    <w:p w:rsidR="008A43A4" w:rsidRPr="00696775" w:rsidRDefault="008A43A4" w:rsidP="008A43A4">
      <w:pPr>
        <w:spacing w:after="120"/>
        <w:ind w:left="567"/>
        <w:rPr>
          <w:b/>
        </w:rPr>
      </w:pPr>
      <w:r>
        <w:rPr>
          <w:b/>
        </w:rPr>
        <w:lastRenderedPageBreak/>
        <w:t>SCHEDULE 5</w:t>
      </w:r>
      <w:r w:rsidRPr="00696775">
        <w:rPr>
          <w:b/>
        </w:rPr>
        <w:t xml:space="preserve"> – The Memorandum of Understanding between the </w:t>
      </w:r>
      <w:proofErr w:type="spellStart"/>
      <w:r w:rsidRPr="00696775">
        <w:rPr>
          <w:b/>
          <w:sz w:val="23"/>
        </w:rPr>
        <w:t>Adnyamathanha</w:t>
      </w:r>
      <w:proofErr w:type="spellEnd"/>
      <w:r w:rsidRPr="00696775">
        <w:rPr>
          <w:b/>
        </w:rPr>
        <w:t xml:space="preserve"> People and the </w:t>
      </w:r>
      <w:proofErr w:type="spellStart"/>
      <w:r w:rsidRPr="00696775">
        <w:rPr>
          <w:b/>
        </w:rPr>
        <w:t>Dieri</w:t>
      </w:r>
      <w:proofErr w:type="spellEnd"/>
      <w:r w:rsidRPr="00696775">
        <w:rPr>
          <w:b/>
        </w:rPr>
        <w:t xml:space="preserve"> People</w:t>
      </w:r>
    </w:p>
    <w:p w:rsidR="008A43A4" w:rsidRPr="00696775" w:rsidRDefault="008A43A4" w:rsidP="008A43A4">
      <w:pPr>
        <w:spacing w:after="120"/>
        <w:ind w:left="567"/>
        <w:rPr>
          <w:b/>
        </w:rPr>
      </w:pPr>
    </w:p>
    <w:p w:rsidR="008A43A4" w:rsidRPr="00696775" w:rsidRDefault="008A43A4" w:rsidP="008A43A4">
      <w:pPr>
        <w:spacing w:after="120"/>
        <w:ind w:left="567"/>
      </w:pPr>
      <w:r w:rsidRPr="00696775">
        <w:rPr>
          <w:b/>
        </w:rPr>
        <w:t>“Annexure A”:</w:t>
      </w:r>
      <w:r w:rsidRPr="00696775">
        <w:t xml:space="preserve"> The Memorandum of Understanding between </w:t>
      </w:r>
      <w:proofErr w:type="spellStart"/>
      <w:r w:rsidRPr="00696775">
        <w:rPr>
          <w:sz w:val="23"/>
        </w:rPr>
        <w:t>Adnyamathanha</w:t>
      </w:r>
      <w:proofErr w:type="spellEnd"/>
      <w:r w:rsidRPr="00696775">
        <w:t xml:space="preserve"> native title claim group and </w:t>
      </w:r>
      <w:proofErr w:type="spellStart"/>
      <w:r w:rsidRPr="00696775">
        <w:t>Dieri</w:t>
      </w:r>
      <w:proofErr w:type="spellEnd"/>
      <w:r w:rsidRPr="00696775">
        <w:t xml:space="preserve"> native title claim group dated 29 July 2013 (varying Agreement dated 20 Ju</w:t>
      </w:r>
      <w:r>
        <w:t>ne</w:t>
      </w:r>
      <w:r w:rsidRPr="00696775">
        <w:t xml:space="preserve"> 2006 – see “</w:t>
      </w:r>
      <w:r w:rsidRPr="00CB1C7C">
        <w:rPr>
          <w:b/>
        </w:rPr>
        <w:t>Annexure B</w:t>
      </w:r>
      <w:r w:rsidRPr="00696775">
        <w:t>”, as redacted).</w:t>
      </w:r>
    </w:p>
    <w:p w:rsidR="008A43A4" w:rsidRDefault="008A43A4" w:rsidP="008A43A4">
      <w:pPr>
        <w:spacing w:after="120"/>
        <w:ind w:left="567"/>
      </w:pPr>
    </w:p>
    <w:p w:rsidR="00215AF9" w:rsidRDefault="00215AF9" w:rsidP="008A43A4">
      <w:pPr>
        <w:spacing w:after="120"/>
        <w:ind w:left="567"/>
        <w:sectPr w:rsidR="00215AF9" w:rsidSect="000810E2">
          <w:headerReference w:type="default" r:id="rId65"/>
          <w:endnotePr>
            <w:numFmt w:val="decimal"/>
          </w:endnotePr>
          <w:pgSz w:w="11907" w:h="16840" w:code="9"/>
          <w:pgMar w:top="1440" w:right="1440" w:bottom="1440" w:left="1440" w:header="851" w:footer="851" w:gutter="0"/>
          <w:cols w:space="720"/>
          <w:noEndnote/>
          <w:titlePg/>
        </w:sectPr>
      </w:pPr>
      <w:r>
        <w:rPr>
          <w:noProof/>
          <w:lang w:eastAsia="en-AU"/>
        </w:rPr>
        <w:lastRenderedPageBreak/>
        <w:drawing>
          <wp:inline distT="0" distB="0" distL="0" distR="0">
            <wp:extent cx="5732145" cy="8098790"/>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Jpeg"/>
                    <pic:cNvPicPr/>
                  </pic:nvPicPr>
                  <pic:blipFill>
                    <a:blip r:embed="rId16">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Jpeg"/>
                    <pic:cNvPicPr/>
                  </pic:nvPicPr>
                  <pic:blipFill>
                    <a:blip r:embed="rId17">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3.Jpeg"/>
                    <pic:cNvPicPr/>
                  </pic:nvPicPr>
                  <pic:blipFill>
                    <a:blip r:embed="rId18">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4.Jpeg"/>
                    <pic:cNvPicPr/>
                  </pic:nvPicPr>
                  <pic:blipFill>
                    <a:blip r:embed="rId19">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5.Jpeg"/>
                    <pic:cNvPicPr/>
                  </pic:nvPicPr>
                  <pic:blipFill>
                    <a:blip r:embed="rId20">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6.Jpeg"/>
                    <pic:cNvPicPr/>
                  </pic:nvPicPr>
                  <pic:blipFill>
                    <a:blip r:embed="rId21">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7.Jpeg"/>
                    <pic:cNvPicPr/>
                  </pic:nvPicPr>
                  <pic:blipFill>
                    <a:blip r:embed="rId22">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p>
    <w:p w:rsidR="008A43A4" w:rsidRPr="00696775" w:rsidRDefault="008A43A4" w:rsidP="008A43A4">
      <w:pPr>
        <w:spacing w:after="120"/>
        <w:ind w:left="567"/>
        <w:rPr>
          <w:b/>
        </w:rPr>
      </w:pPr>
      <w:r>
        <w:rPr>
          <w:b/>
        </w:rPr>
        <w:lastRenderedPageBreak/>
        <w:t>SCHEDULE 5</w:t>
      </w:r>
      <w:r w:rsidRPr="00696775">
        <w:rPr>
          <w:b/>
        </w:rPr>
        <w:t xml:space="preserve"> – The Memorandum of Understanding between the </w:t>
      </w:r>
      <w:proofErr w:type="spellStart"/>
      <w:r w:rsidRPr="00696775">
        <w:rPr>
          <w:b/>
          <w:sz w:val="23"/>
        </w:rPr>
        <w:t>Adnyamathanha</w:t>
      </w:r>
      <w:proofErr w:type="spellEnd"/>
      <w:r w:rsidRPr="00696775">
        <w:rPr>
          <w:b/>
        </w:rPr>
        <w:t xml:space="preserve"> People and the </w:t>
      </w:r>
      <w:proofErr w:type="spellStart"/>
      <w:r w:rsidRPr="00696775">
        <w:rPr>
          <w:b/>
        </w:rPr>
        <w:t>Dieri</w:t>
      </w:r>
      <w:proofErr w:type="spellEnd"/>
      <w:r w:rsidRPr="00696775">
        <w:rPr>
          <w:b/>
        </w:rPr>
        <w:t xml:space="preserve"> People</w:t>
      </w:r>
    </w:p>
    <w:p w:rsidR="008A43A4" w:rsidRPr="00696775" w:rsidRDefault="008A43A4" w:rsidP="008A43A4">
      <w:pPr>
        <w:spacing w:after="120"/>
        <w:ind w:left="567"/>
        <w:rPr>
          <w:b/>
        </w:rPr>
      </w:pPr>
    </w:p>
    <w:p w:rsidR="008A43A4" w:rsidRDefault="008A43A4" w:rsidP="008A43A4">
      <w:pPr>
        <w:spacing w:after="120"/>
        <w:ind w:left="567"/>
      </w:pPr>
      <w:r w:rsidRPr="00696775">
        <w:rPr>
          <w:b/>
        </w:rPr>
        <w:t>“Annexure B”:</w:t>
      </w:r>
      <w:r w:rsidRPr="00696775">
        <w:t xml:space="preserve"> Agreement dated 20 </w:t>
      </w:r>
      <w:r>
        <w:t>June</w:t>
      </w:r>
      <w:r w:rsidRPr="00696775">
        <w:t xml:space="preserve"> 2006 between </w:t>
      </w:r>
      <w:proofErr w:type="spellStart"/>
      <w:r w:rsidRPr="00696775">
        <w:rPr>
          <w:sz w:val="23"/>
        </w:rPr>
        <w:t>Adnyamathanha</w:t>
      </w:r>
      <w:proofErr w:type="spellEnd"/>
      <w:r w:rsidRPr="00696775">
        <w:t xml:space="preserve"> native title claim group and </w:t>
      </w:r>
      <w:proofErr w:type="spellStart"/>
      <w:r w:rsidRPr="00696775">
        <w:t>Dieri</w:t>
      </w:r>
      <w:proofErr w:type="spellEnd"/>
      <w:r w:rsidRPr="00696775">
        <w:t xml:space="preserve"> native title claim group, with clause 5 redacted.</w:t>
      </w:r>
    </w:p>
    <w:p w:rsidR="00215AF9" w:rsidRDefault="00215AF9" w:rsidP="008A43A4">
      <w:pPr>
        <w:spacing w:after="120"/>
        <w:ind w:left="567"/>
      </w:pPr>
      <w:r>
        <w:rPr>
          <w:noProof/>
          <w:lang w:eastAsia="en-AU"/>
        </w:rPr>
        <w:lastRenderedPageBreak/>
        <w:drawing>
          <wp:inline distT="0" distB="0" distL="0" distR="0">
            <wp:extent cx="5732145" cy="8098790"/>
            <wp:effectExtent l="0" t="0" r="190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1.Jpeg"/>
                    <pic:cNvPicPr/>
                  </pic:nvPicPr>
                  <pic:blipFill>
                    <a:blip r:embed="rId23">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2.Jpeg"/>
                    <pic:cNvPicPr/>
                  </pic:nvPicPr>
                  <pic:blipFill>
                    <a:blip r:embed="rId24">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3.Jpeg"/>
                    <pic:cNvPicPr/>
                  </pic:nvPicPr>
                  <pic:blipFill>
                    <a:blip r:embed="rId25">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4.Jpeg"/>
                    <pic:cNvPicPr/>
                  </pic:nvPicPr>
                  <pic:blipFill>
                    <a:blip r:embed="rId26">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5.Jpeg"/>
                    <pic:cNvPicPr/>
                  </pic:nvPicPr>
                  <pic:blipFill>
                    <a:blip r:embed="rId27">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6.Jpeg"/>
                    <pic:cNvPicPr/>
                  </pic:nvPicPr>
                  <pic:blipFill>
                    <a:blip r:embed="rId28">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7.Jpeg"/>
                    <pic:cNvPicPr/>
                  </pic:nvPicPr>
                  <pic:blipFill>
                    <a:blip r:embed="rId29">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9.Jpeg"/>
                    <pic:cNvPicPr/>
                  </pic:nvPicPr>
                  <pic:blipFill>
                    <a:blip r:embed="rId31">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0.Jpeg"/>
                    <pic:cNvPicPr/>
                  </pic:nvPicPr>
                  <pic:blipFill>
                    <a:blip r:embed="rId32">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1.Jpeg"/>
                    <pic:cNvPicPr/>
                  </pic:nvPicPr>
                  <pic:blipFill>
                    <a:blip r:embed="rId33">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2.Jpeg"/>
                    <pic:cNvPicPr/>
                  </pic:nvPicPr>
                  <pic:blipFill>
                    <a:blip r:embed="rId34">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3.Jpeg"/>
                    <pic:cNvPicPr/>
                  </pic:nvPicPr>
                  <pic:blipFill>
                    <a:blip r:embed="rId35">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4.Jpeg"/>
                    <pic:cNvPicPr/>
                  </pic:nvPicPr>
                  <pic:blipFill>
                    <a:blip r:embed="rId36">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5.Jpeg"/>
                    <pic:cNvPicPr/>
                  </pic:nvPicPr>
                  <pic:blipFill>
                    <a:blip r:embed="rId37">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6.Jpeg"/>
                    <pic:cNvPicPr/>
                  </pic:nvPicPr>
                  <pic:blipFill>
                    <a:blip r:embed="rId38">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noProof/>
          <w:lang w:eastAsia="en-AU"/>
        </w:rPr>
        <w:lastRenderedPageBreak/>
        <w:drawing>
          <wp:inline distT="0" distB="0" distL="0" distR="0">
            <wp:extent cx="5732145" cy="8098790"/>
            <wp:effectExtent l="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08.Jpeg"/>
                    <pic:cNvPicPr/>
                  </pic:nvPicPr>
                  <pic:blipFill>
                    <a:blip r:embed="rId30">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p>
    <w:p w:rsidR="008A43A4" w:rsidRPr="00142423" w:rsidRDefault="00215AF9" w:rsidP="008A43A4">
      <w:pPr>
        <w:pStyle w:val="Default"/>
        <w:numPr>
          <w:ilvl w:val="0"/>
          <w:numId w:val="31"/>
        </w:numPr>
        <w:jc w:val="both"/>
        <w:rPr>
          <w:rFonts w:ascii="Times New Roman" w:hAnsi="Times New Roman" w:cs="Times New Roman"/>
          <w:b/>
        </w:rPr>
        <w:sectPr w:rsidR="008A43A4" w:rsidRPr="00142423" w:rsidSect="000810E2">
          <w:endnotePr>
            <w:numFmt w:val="decimal"/>
          </w:endnotePr>
          <w:pgSz w:w="11907" w:h="16840" w:code="9"/>
          <w:pgMar w:top="1440" w:right="1440" w:bottom="1440" w:left="1440" w:header="851" w:footer="851" w:gutter="0"/>
          <w:cols w:space="720"/>
          <w:noEndnote/>
          <w:titlePg/>
        </w:sectPr>
      </w:pPr>
      <w:r>
        <w:rPr>
          <w:rFonts w:ascii="Times New Roman" w:hAnsi="Times New Roman" w:cs="Times New Roman"/>
          <w:b/>
          <w:noProof/>
        </w:rPr>
        <w:lastRenderedPageBreak/>
        <w:drawing>
          <wp:inline distT="0" distB="0" distL="0" distR="0">
            <wp:extent cx="5732145" cy="8098790"/>
            <wp:effectExtent l="0" t="0" r="190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7.Jpeg"/>
                    <pic:cNvPicPr/>
                  </pic:nvPicPr>
                  <pic:blipFill>
                    <a:blip r:embed="rId39">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8.Jpeg"/>
                    <pic:cNvPicPr/>
                  </pic:nvPicPr>
                  <pic:blipFill>
                    <a:blip r:embed="rId40">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19.Jpeg"/>
                    <pic:cNvPicPr/>
                  </pic:nvPicPr>
                  <pic:blipFill>
                    <a:blip r:embed="rId41">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0.Jpeg"/>
                    <pic:cNvPicPr/>
                  </pic:nvPicPr>
                  <pic:blipFill>
                    <a:blip r:embed="rId42">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1.Jpeg"/>
                    <pic:cNvPicPr/>
                  </pic:nvPicPr>
                  <pic:blipFill>
                    <a:blip r:embed="rId43">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2.Jpeg"/>
                    <pic:cNvPicPr/>
                  </pic:nvPicPr>
                  <pic:blipFill>
                    <a:blip r:embed="rId44">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3.Jpeg"/>
                    <pic:cNvPicPr/>
                  </pic:nvPicPr>
                  <pic:blipFill>
                    <a:blip r:embed="rId45">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r>
        <w:rPr>
          <w:rFonts w:ascii="Times New Roman" w:hAnsi="Times New Roman" w:cs="Times New Roman"/>
          <w:b/>
          <w:noProof/>
        </w:rPr>
        <w:lastRenderedPageBreak/>
        <w:drawing>
          <wp:inline distT="0" distB="0" distL="0" distR="0">
            <wp:extent cx="5732145" cy="8098790"/>
            <wp:effectExtent l="0" t="0" r="190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24.Jpeg"/>
                    <pic:cNvPicPr/>
                  </pic:nvPicPr>
                  <pic:blipFill>
                    <a:blip r:embed="rId46">
                      <a:extLst>
                        <a:ext uri="{28A0092B-C50C-407E-A947-70E740481C1C}">
                          <a14:useLocalDpi xmlns:a14="http://schemas.microsoft.com/office/drawing/2010/main" val="0"/>
                        </a:ext>
                      </a:extLst>
                    </a:blip>
                    <a:stretch>
                      <a:fillRect/>
                    </a:stretch>
                  </pic:blipFill>
                  <pic:spPr>
                    <a:xfrm>
                      <a:off x="0" y="0"/>
                      <a:ext cx="5732145" cy="8098790"/>
                    </a:xfrm>
                    <a:prstGeom prst="rect">
                      <a:avLst/>
                    </a:prstGeom>
                  </pic:spPr>
                </pic:pic>
              </a:graphicData>
            </a:graphic>
          </wp:inline>
        </w:drawing>
      </w:r>
    </w:p>
    <w:p w:rsidR="00352009" w:rsidRPr="00352009" w:rsidRDefault="00352009" w:rsidP="00304845">
      <w:pPr>
        <w:rPr>
          <w:b/>
        </w:rPr>
      </w:pPr>
      <w:r w:rsidRPr="00352009">
        <w:rPr>
          <w:b/>
        </w:rPr>
        <w:lastRenderedPageBreak/>
        <w:t>SCHEDULE 6 - OMITTED</w:t>
      </w:r>
    </w:p>
    <w:p w:rsidR="00352009" w:rsidRDefault="00352009" w:rsidP="00304845"/>
    <w:p w:rsidR="00352009" w:rsidRPr="00352009" w:rsidRDefault="00352009" w:rsidP="00304845">
      <w:pPr>
        <w:sectPr w:rsidR="00352009" w:rsidRPr="00352009" w:rsidSect="005B5FEF">
          <w:endnotePr>
            <w:numFmt w:val="decimal"/>
          </w:endnotePr>
          <w:pgSz w:w="11907" w:h="16840" w:code="9"/>
          <w:pgMar w:top="1440" w:right="1440" w:bottom="1440" w:left="1440" w:header="851" w:footer="851" w:gutter="0"/>
          <w:cols w:space="720"/>
          <w:noEndnote/>
          <w:titlePg/>
        </w:sectPr>
      </w:pPr>
    </w:p>
    <w:p w:rsidR="00304845" w:rsidRDefault="00304845" w:rsidP="00304845">
      <w:pPr>
        <w:rPr>
          <w:b/>
        </w:rPr>
      </w:pPr>
      <w:r>
        <w:rPr>
          <w:b/>
        </w:rPr>
        <w:lastRenderedPageBreak/>
        <w:t>SCHEDULE OF PARTIES</w:t>
      </w:r>
    </w:p>
    <w:p w:rsidR="00304845" w:rsidRDefault="00304845" w:rsidP="00304845">
      <w:pPr>
        <w:rPr>
          <w:b/>
        </w:rPr>
      </w:pPr>
    </w:p>
    <w:tbl>
      <w:tblPr>
        <w:tblW w:w="0" w:type="auto"/>
        <w:tblLayout w:type="fixed"/>
        <w:tblLook w:val="0000" w:firstRow="0" w:lastRow="0" w:firstColumn="0" w:lastColumn="0" w:noHBand="0" w:noVBand="0"/>
      </w:tblPr>
      <w:tblGrid>
        <w:gridCol w:w="6771"/>
        <w:gridCol w:w="2471"/>
      </w:tblGrid>
      <w:tr w:rsidR="00304845" w:rsidTr="006166F1">
        <w:tc>
          <w:tcPr>
            <w:tcW w:w="6771" w:type="dxa"/>
          </w:tcPr>
          <w:p w:rsidR="00304845" w:rsidRDefault="00304845" w:rsidP="006166F1">
            <w:pPr>
              <w:pStyle w:val="NormalHeadings"/>
              <w:spacing w:after="120"/>
              <w:jc w:val="left"/>
              <w:rPr>
                <w:caps/>
                <w:szCs w:val="24"/>
              </w:rPr>
            </w:pPr>
            <w:r>
              <w:rPr>
                <w:caps/>
                <w:szCs w:val="24"/>
              </w:rPr>
              <w:t>IN THE FEDERAL COURT OF AUSTRALIA</w:t>
            </w:r>
          </w:p>
        </w:tc>
        <w:tc>
          <w:tcPr>
            <w:tcW w:w="2471" w:type="dxa"/>
          </w:tcPr>
          <w:p w:rsidR="00304845" w:rsidRDefault="00304845" w:rsidP="006166F1">
            <w:pPr>
              <w:pStyle w:val="NormalHeadings"/>
            </w:pPr>
          </w:p>
        </w:tc>
      </w:tr>
      <w:tr w:rsidR="00304845" w:rsidTr="006166F1">
        <w:tc>
          <w:tcPr>
            <w:tcW w:w="6771" w:type="dxa"/>
          </w:tcPr>
          <w:p w:rsidR="00304845" w:rsidRDefault="00304845" w:rsidP="006166F1">
            <w:pPr>
              <w:pStyle w:val="NormalHeadings"/>
              <w:spacing w:after="120"/>
              <w:jc w:val="left"/>
              <w:rPr>
                <w:caps/>
                <w:szCs w:val="24"/>
              </w:rPr>
            </w:pPr>
            <w:r>
              <w:rPr>
                <w:caps/>
                <w:szCs w:val="24"/>
              </w:rPr>
              <w:fldChar w:fldCharType="begin" w:fldLock="1"/>
            </w:r>
            <w:r>
              <w:rPr>
                <w:caps/>
                <w:szCs w:val="24"/>
              </w:rPr>
              <w:instrText xml:space="preserve"> REF State \* MERGEFORMAT </w:instrText>
            </w:r>
            <w:r>
              <w:rPr>
                <w:caps/>
                <w:szCs w:val="24"/>
              </w:rPr>
              <w:fldChar w:fldCharType="separate"/>
            </w:r>
            <w:r>
              <w:rPr>
                <w:caps/>
                <w:szCs w:val="24"/>
              </w:rPr>
              <w:t>SOUTH AUSTRALIA</w:t>
            </w:r>
            <w:r>
              <w:rPr>
                <w:caps/>
                <w:szCs w:val="24"/>
              </w:rPr>
              <w:fldChar w:fldCharType="end"/>
            </w:r>
            <w:r>
              <w:rPr>
                <w:caps/>
                <w:szCs w:val="24"/>
              </w:rPr>
              <w:t xml:space="preserve"> DISTRICT REGISTRY</w:t>
            </w:r>
          </w:p>
        </w:tc>
        <w:tc>
          <w:tcPr>
            <w:tcW w:w="2471" w:type="dxa"/>
          </w:tcPr>
          <w:p w:rsidR="00304845" w:rsidRDefault="00304845" w:rsidP="006166F1">
            <w:pPr>
              <w:pStyle w:val="NormalHeadings"/>
              <w:tabs>
                <w:tab w:val="right" w:pos="3609"/>
              </w:tabs>
              <w:jc w:val="right"/>
              <w:rPr>
                <w:caps/>
                <w:szCs w:val="24"/>
              </w:rPr>
            </w:pPr>
          </w:p>
        </w:tc>
      </w:tr>
      <w:tr w:rsidR="00304845" w:rsidTr="006166F1">
        <w:tc>
          <w:tcPr>
            <w:tcW w:w="6771" w:type="dxa"/>
          </w:tcPr>
          <w:p w:rsidR="00304845" w:rsidRDefault="00304845" w:rsidP="006166F1">
            <w:pPr>
              <w:pStyle w:val="NormalHeadings"/>
              <w:spacing w:after="120"/>
              <w:jc w:val="left"/>
              <w:rPr>
                <w:caps/>
                <w:szCs w:val="24"/>
              </w:rPr>
            </w:pPr>
            <w:r>
              <w:rPr>
                <w:caps/>
                <w:szCs w:val="24"/>
              </w:rPr>
              <w:fldChar w:fldCharType="begin" w:fldLock="1"/>
            </w:r>
            <w:r>
              <w:rPr>
                <w:caps/>
                <w:szCs w:val="24"/>
              </w:rPr>
              <w:instrText xml:space="preserve"> REF  Division \* MERGEFORMAT </w:instrText>
            </w:r>
            <w:r>
              <w:rPr>
                <w:caps/>
                <w:szCs w:val="24"/>
              </w:rPr>
              <w:fldChar w:fldCharType="separate"/>
            </w:r>
            <w:r>
              <w:rPr>
                <w:caps/>
                <w:szCs w:val="24"/>
              </w:rPr>
              <w:t>GENERAL DIVISION</w:t>
            </w:r>
            <w:r>
              <w:rPr>
                <w:caps/>
                <w:szCs w:val="24"/>
              </w:rPr>
              <w:fldChar w:fldCharType="end"/>
            </w:r>
          </w:p>
        </w:tc>
        <w:tc>
          <w:tcPr>
            <w:tcW w:w="2471" w:type="dxa"/>
          </w:tcPr>
          <w:p w:rsidR="00304845" w:rsidRDefault="00304845" w:rsidP="00304845">
            <w:pPr>
              <w:pStyle w:val="NormalHeadings"/>
              <w:tabs>
                <w:tab w:val="right" w:pos="3609"/>
              </w:tabs>
              <w:jc w:val="right"/>
              <w:rPr>
                <w:caps/>
                <w:szCs w:val="24"/>
              </w:rPr>
            </w:pPr>
            <w:r>
              <w:rPr>
                <w:caps/>
                <w:szCs w:val="24"/>
              </w:rPr>
              <w:fldChar w:fldCharType="begin" w:fldLock="1"/>
            </w:r>
            <w:r>
              <w:rPr>
                <w:caps/>
                <w:szCs w:val="24"/>
              </w:rPr>
              <w:instrText xml:space="preserve"> REF  Num  \* MERGEFORMAT </w:instrText>
            </w:r>
            <w:r>
              <w:rPr>
                <w:caps/>
                <w:szCs w:val="24"/>
              </w:rPr>
              <w:fldChar w:fldCharType="separate"/>
            </w:r>
            <w:r w:rsidRPr="00EE0D43">
              <w:rPr>
                <w:caps/>
                <w:szCs w:val="24"/>
              </w:rPr>
              <w:t>SAD</w:t>
            </w:r>
            <w:r>
              <w:rPr>
                <w:szCs w:val="24"/>
              </w:rPr>
              <w:t xml:space="preserve"> 163 of </w:t>
            </w:r>
            <w:r>
              <w:rPr>
                <w:caps/>
                <w:szCs w:val="24"/>
              </w:rPr>
              <w:fldChar w:fldCharType="end"/>
            </w:r>
            <w:r>
              <w:rPr>
                <w:caps/>
                <w:szCs w:val="24"/>
              </w:rPr>
              <w:t>2008</w:t>
            </w:r>
          </w:p>
        </w:tc>
      </w:tr>
    </w:tbl>
    <w:p w:rsidR="00304845" w:rsidRDefault="00304845" w:rsidP="00304845">
      <w:pPr>
        <w:tabs>
          <w:tab w:val="left" w:pos="-720"/>
        </w:tabs>
        <w:suppressAutoHyphens/>
        <w:spacing w:line="240" w:lineRule="auto"/>
        <w:rPr>
          <w:b/>
          <w:noProof/>
        </w:rPr>
      </w:pPr>
    </w:p>
    <w:p w:rsidR="00304845" w:rsidRDefault="00304845" w:rsidP="00304845">
      <w:pPr>
        <w:pStyle w:val="AppealTable"/>
        <w:rPr>
          <w:sz w:val="24"/>
        </w:rPr>
      </w:pPr>
      <w:proofErr w:type="spellStart"/>
      <w:r>
        <w:rPr>
          <w:sz w:val="24"/>
        </w:rPr>
        <w:t>DIERI</w:t>
      </w:r>
      <w:proofErr w:type="spellEnd"/>
      <w:r>
        <w:rPr>
          <w:sz w:val="24"/>
        </w:rPr>
        <w:t xml:space="preserve"> NO 2 NATIVE TITLE CLAIM</w:t>
      </w:r>
    </w:p>
    <w:p w:rsidR="00304845" w:rsidRDefault="00304845" w:rsidP="00304845">
      <w:pPr>
        <w:pStyle w:val="AppealTable"/>
      </w:pPr>
    </w:p>
    <w:p w:rsidR="00304845" w:rsidRDefault="00304845" w:rsidP="00304845">
      <w:pPr>
        <w:suppressAutoHyphens/>
        <w:spacing w:line="240" w:lineRule="auto"/>
        <w:ind w:left="2410" w:hanging="2410"/>
        <w:rPr>
          <w:b/>
          <w:noProof/>
        </w:rPr>
      </w:pPr>
      <w:r>
        <w:rPr>
          <w:b/>
          <w:noProof/>
        </w:rPr>
        <w:t>Applicants:</w:t>
      </w:r>
    </w:p>
    <w:p w:rsidR="00304845" w:rsidRDefault="00304845" w:rsidP="00304845">
      <w:pPr>
        <w:suppressAutoHyphens/>
        <w:spacing w:line="240" w:lineRule="auto"/>
        <w:ind w:left="2410" w:hanging="2410"/>
        <w:rPr>
          <w:b/>
          <w:noProof/>
        </w:rPr>
      </w:pPr>
    </w:p>
    <w:p w:rsidR="00304845" w:rsidRPr="00723C85" w:rsidRDefault="00304845" w:rsidP="00304845">
      <w:pPr>
        <w:suppressAutoHyphens/>
        <w:spacing w:line="240" w:lineRule="auto"/>
        <w:ind w:left="2410" w:hanging="2410"/>
        <w:rPr>
          <w:noProof/>
        </w:rPr>
      </w:pPr>
      <w:r w:rsidRPr="00723C85">
        <w:rPr>
          <w:noProof/>
        </w:rPr>
        <w:t>Applicant:</w:t>
      </w:r>
      <w:r>
        <w:rPr>
          <w:noProof/>
        </w:rPr>
        <w:tab/>
      </w:r>
      <w:r w:rsidRPr="00723C85">
        <w:rPr>
          <w:noProof/>
        </w:rPr>
        <w:t>IRENE KEMP</w:t>
      </w:r>
    </w:p>
    <w:p w:rsidR="00304845" w:rsidRPr="00723C85" w:rsidRDefault="00304845" w:rsidP="00304845">
      <w:pPr>
        <w:suppressAutoHyphens/>
        <w:spacing w:line="240" w:lineRule="auto"/>
        <w:ind w:left="2410" w:hanging="2410"/>
        <w:rPr>
          <w:noProof/>
        </w:rPr>
      </w:pPr>
      <w:r w:rsidRPr="00723C85">
        <w:rPr>
          <w:noProof/>
        </w:rPr>
        <w:t>Applicant:</w:t>
      </w:r>
      <w:r>
        <w:rPr>
          <w:noProof/>
        </w:rPr>
        <w:tab/>
      </w:r>
      <w:r w:rsidRPr="00723C85">
        <w:rPr>
          <w:noProof/>
        </w:rPr>
        <w:t>DAVID MUNGERANNIE</w:t>
      </w:r>
    </w:p>
    <w:p w:rsidR="00304845" w:rsidRPr="00723C85" w:rsidRDefault="00304845" w:rsidP="00304845">
      <w:pPr>
        <w:suppressAutoHyphens/>
        <w:spacing w:line="240" w:lineRule="auto"/>
        <w:ind w:left="2410" w:hanging="2410"/>
        <w:rPr>
          <w:noProof/>
        </w:rPr>
      </w:pPr>
      <w:r w:rsidRPr="00723C85">
        <w:rPr>
          <w:noProof/>
        </w:rPr>
        <w:t>Applicant:</w:t>
      </w:r>
      <w:r>
        <w:rPr>
          <w:noProof/>
        </w:rPr>
        <w:tab/>
      </w:r>
      <w:r w:rsidRPr="00723C85">
        <w:rPr>
          <w:noProof/>
        </w:rPr>
        <w:t>SYLVIA STUART</w:t>
      </w:r>
    </w:p>
    <w:p w:rsidR="00304845" w:rsidRPr="00723C85" w:rsidRDefault="00304845" w:rsidP="00304845">
      <w:pPr>
        <w:suppressAutoHyphens/>
        <w:spacing w:line="240" w:lineRule="auto"/>
        <w:ind w:left="2410" w:hanging="2410"/>
        <w:rPr>
          <w:noProof/>
        </w:rPr>
      </w:pPr>
      <w:r w:rsidRPr="00723C85">
        <w:rPr>
          <w:noProof/>
        </w:rPr>
        <w:t>Applicant:</w:t>
      </w:r>
      <w:r>
        <w:rPr>
          <w:noProof/>
        </w:rPr>
        <w:tab/>
      </w:r>
      <w:r w:rsidRPr="00723C85">
        <w:rPr>
          <w:noProof/>
        </w:rPr>
        <w:t>RHONDA GEPP-KENNEDY</w:t>
      </w:r>
    </w:p>
    <w:p w:rsidR="00304845" w:rsidRDefault="00304845" w:rsidP="00304845">
      <w:pPr>
        <w:suppressAutoHyphens/>
        <w:spacing w:line="240" w:lineRule="auto"/>
        <w:ind w:left="2410" w:hanging="2410"/>
        <w:rPr>
          <w:noProof/>
        </w:rPr>
      </w:pPr>
    </w:p>
    <w:p w:rsidR="00304845" w:rsidRDefault="00304845" w:rsidP="00304845">
      <w:pPr>
        <w:suppressAutoHyphens/>
        <w:spacing w:line="240" w:lineRule="auto"/>
        <w:ind w:left="2410" w:hanging="2410"/>
        <w:rPr>
          <w:b/>
          <w:noProof/>
        </w:rPr>
      </w:pPr>
      <w:r>
        <w:rPr>
          <w:b/>
          <w:noProof/>
        </w:rPr>
        <w:t>Respondents:</w:t>
      </w:r>
    </w:p>
    <w:p w:rsidR="00304845" w:rsidRDefault="00304845" w:rsidP="00304845">
      <w:pPr>
        <w:suppressAutoHyphens/>
        <w:spacing w:line="240" w:lineRule="auto"/>
        <w:ind w:left="2410" w:hanging="2410"/>
        <w:rPr>
          <w:b/>
          <w:noProof/>
        </w:rPr>
      </w:pPr>
    </w:p>
    <w:p w:rsidR="00304845" w:rsidRPr="00723C85" w:rsidRDefault="00304845" w:rsidP="00304845">
      <w:pPr>
        <w:suppressAutoHyphens/>
        <w:spacing w:line="240" w:lineRule="auto"/>
        <w:ind w:left="2410" w:hanging="2410"/>
        <w:rPr>
          <w:noProof/>
        </w:rPr>
      </w:pPr>
      <w:r>
        <w:rPr>
          <w:noProof/>
        </w:rPr>
        <w:t>R</w:t>
      </w:r>
      <w:r w:rsidRPr="00723C85">
        <w:rPr>
          <w:noProof/>
        </w:rPr>
        <w:t>espondent:</w:t>
      </w:r>
      <w:r>
        <w:rPr>
          <w:noProof/>
        </w:rPr>
        <w:tab/>
        <w:t>CAULDRON ENERGY LIMITED</w:t>
      </w:r>
    </w:p>
    <w:p w:rsidR="00304845" w:rsidRPr="00723C85" w:rsidRDefault="00304845" w:rsidP="00304845">
      <w:pPr>
        <w:suppressAutoHyphens/>
        <w:spacing w:line="240" w:lineRule="auto"/>
        <w:ind w:left="2410" w:hanging="2410"/>
        <w:rPr>
          <w:noProof/>
        </w:rPr>
      </w:pPr>
      <w:r w:rsidRPr="00723C85">
        <w:rPr>
          <w:noProof/>
        </w:rPr>
        <w:t>Respondent:</w:t>
      </w:r>
      <w:r>
        <w:rPr>
          <w:noProof/>
        </w:rPr>
        <w:tab/>
      </w:r>
      <w:r w:rsidRPr="00723C85">
        <w:rPr>
          <w:noProof/>
        </w:rPr>
        <w:t>EPIC ENERGY SOUTH AUSTRALIA PTY LTD</w:t>
      </w:r>
    </w:p>
    <w:p w:rsidR="00304845" w:rsidRPr="00723C85" w:rsidRDefault="00304845" w:rsidP="00304845">
      <w:pPr>
        <w:suppressAutoHyphens/>
        <w:spacing w:line="240" w:lineRule="auto"/>
        <w:ind w:left="2410" w:hanging="2410"/>
        <w:rPr>
          <w:noProof/>
        </w:rPr>
      </w:pPr>
      <w:r w:rsidRPr="00723C85">
        <w:rPr>
          <w:noProof/>
        </w:rPr>
        <w:t>Respondent:</w:t>
      </w:r>
      <w:r>
        <w:rPr>
          <w:noProof/>
        </w:rPr>
        <w:tab/>
      </w:r>
      <w:r w:rsidRPr="00723C85">
        <w:rPr>
          <w:noProof/>
        </w:rPr>
        <w:t>TEALE &amp; ASSOCIATES PTY LTD</w:t>
      </w:r>
    </w:p>
    <w:p w:rsidR="00304845" w:rsidRPr="00723C85" w:rsidRDefault="00304845" w:rsidP="00304845">
      <w:pPr>
        <w:suppressAutoHyphens/>
        <w:spacing w:line="240" w:lineRule="auto"/>
        <w:ind w:left="2410" w:hanging="2410"/>
        <w:rPr>
          <w:noProof/>
        </w:rPr>
      </w:pPr>
      <w:r w:rsidRPr="00723C85">
        <w:rPr>
          <w:noProof/>
        </w:rPr>
        <w:t>Respondent:</w:t>
      </w:r>
      <w:r>
        <w:rPr>
          <w:noProof/>
        </w:rPr>
        <w:tab/>
      </w:r>
      <w:r w:rsidRPr="00723C85">
        <w:rPr>
          <w:noProof/>
        </w:rPr>
        <w:t>ALLIANCE PETROLEUM AUSTRALIA PTY LTD</w:t>
      </w:r>
    </w:p>
    <w:p w:rsidR="00304845" w:rsidRPr="00723C85" w:rsidRDefault="00304845" w:rsidP="00304845">
      <w:pPr>
        <w:suppressAutoHyphens/>
        <w:spacing w:line="240" w:lineRule="auto"/>
        <w:ind w:left="2410" w:hanging="2410"/>
        <w:rPr>
          <w:noProof/>
        </w:rPr>
      </w:pPr>
      <w:r w:rsidRPr="00723C85">
        <w:rPr>
          <w:noProof/>
        </w:rPr>
        <w:t>Respondent:</w:t>
      </w:r>
      <w:r>
        <w:rPr>
          <w:noProof/>
        </w:rPr>
        <w:tab/>
      </w:r>
      <w:r w:rsidRPr="00723C85">
        <w:rPr>
          <w:noProof/>
        </w:rPr>
        <w:t>BRIDGE OIL DEVELOPMENTS PTY LTD</w:t>
      </w:r>
    </w:p>
    <w:p w:rsidR="00304845" w:rsidRPr="00723C85" w:rsidRDefault="00304845" w:rsidP="00304845">
      <w:pPr>
        <w:suppressAutoHyphens/>
        <w:spacing w:line="240" w:lineRule="auto"/>
        <w:ind w:left="2410" w:hanging="2410"/>
        <w:rPr>
          <w:noProof/>
        </w:rPr>
      </w:pPr>
      <w:r w:rsidRPr="00723C85">
        <w:rPr>
          <w:noProof/>
        </w:rPr>
        <w:t>Respondent:</w:t>
      </w:r>
      <w:r>
        <w:rPr>
          <w:noProof/>
        </w:rPr>
        <w:tab/>
      </w:r>
      <w:r w:rsidRPr="00723C85">
        <w:rPr>
          <w:noProof/>
        </w:rPr>
        <w:t>SANTOS LIMITED</w:t>
      </w:r>
    </w:p>
    <w:p w:rsidR="00304845" w:rsidRPr="00723C85" w:rsidRDefault="00304845" w:rsidP="00304845">
      <w:pPr>
        <w:suppressAutoHyphens/>
        <w:spacing w:line="240" w:lineRule="auto"/>
        <w:ind w:left="2410" w:hanging="2410"/>
        <w:rPr>
          <w:noProof/>
        </w:rPr>
      </w:pPr>
      <w:r w:rsidRPr="00723C85">
        <w:rPr>
          <w:noProof/>
        </w:rPr>
        <w:t>Respondent:</w:t>
      </w:r>
      <w:r>
        <w:rPr>
          <w:noProof/>
        </w:rPr>
        <w:tab/>
      </w:r>
      <w:r w:rsidRPr="00723C85">
        <w:rPr>
          <w:noProof/>
        </w:rPr>
        <w:t>DELHI PETROLEUM PTY LTD</w:t>
      </w:r>
    </w:p>
    <w:p w:rsidR="00304845" w:rsidRPr="00723C85" w:rsidRDefault="00304845" w:rsidP="00304845">
      <w:pPr>
        <w:suppressAutoHyphens/>
        <w:spacing w:line="240" w:lineRule="auto"/>
        <w:ind w:left="2410" w:hanging="2410"/>
        <w:rPr>
          <w:noProof/>
        </w:rPr>
      </w:pPr>
      <w:r w:rsidRPr="00723C85">
        <w:rPr>
          <w:noProof/>
        </w:rPr>
        <w:t>Respondent:</w:t>
      </w:r>
      <w:r>
        <w:rPr>
          <w:noProof/>
        </w:rPr>
        <w:tab/>
      </w:r>
      <w:r w:rsidRPr="00723C85">
        <w:rPr>
          <w:noProof/>
        </w:rPr>
        <w:t>ORIGIN ENERGY RESOURCES LIMITED</w:t>
      </w:r>
    </w:p>
    <w:p w:rsidR="00304845" w:rsidRPr="00723C85" w:rsidRDefault="00304845" w:rsidP="00304845">
      <w:pPr>
        <w:suppressAutoHyphens/>
        <w:spacing w:line="240" w:lineRule="auto"/>
        <w:ind w:left="2410" w:hanging="2410"/>
        <w:rPr>
          <w:noProof/>
        </w:rPr>
      </w:pPr>
      <w:r w:rsidRPr="00723C85">
        <w:rPr>
          <w:noProof/>
        </w:rPr>
        <w:t>Respondent:</w:t>
      </w:r>
      <w:r>
        <w:rPr>
          <w:noProof/>
        </w:rPr>
        <w:tab/>
      </w:r>
      <w:r w:rsidRPr="00723C85">
        <w:rPr>
          <w:noProof/>
        </w:rPr>
        <w:t>SANTOS (BOL) PTY LTD</w:t>
      </w:r>
    </w:p>
    <w:p w:rsidR="00304845" w:rsidRPr="00723C85" w:rsidRDefault="00304845" w:rsidP="00304845">
      <w:pPr>
        <w:suppressAutoHyphens/>
        <w:spacing w:line="240" w:lineRule="auto"/>
        <w:ind w:left="2410" w:hanging="2410"/>
        <w:rPr>
          <w:noProof/>
        </w:rPr>
      </w:pPr>
      <w:r w:rsidRPr="00723C85">
        <w:rPr>
          <w:noProof/>
        </w:rPr>
        <w:t>Respondent:</w:t>
      </w:r>
      <w:r>
        <w:rPr>
          <w:noProof/>
        </w:rPr>
        <w:tab/>
      </w:r>
      <w:r w:rsidRPr="00723C85">
        <w:rPr>
          <w:noProof/>
        </w:rPr>
        <w:t>SANTOS PETROLEUM PTY LTD</w:t>
      </w:r>
    </w:p>
    <w:p w:rsidR="00304845" w:rsidRPr="00723C85" w:rsidRDefault="00304845" w:rsidP="00304845">
      <w:pPr>
        <w:suppressAutoHyphens/>
        <w:spacing w:line="240" w:lineRule="auto"/>
        <w:ind w:left="2410" w:hanging="2410"/>
        <w:rPr>
          <w:noProof/>
        </w:rPr>
      </w:pPr>
      <w:r w:rsidRPr="00723C85">
        <w:rPr>
          <w:noProof/>
        </w:rPr>
        <w:t>Respondent:</w:t>
      </w:r>
      <w:r>
        <w:rPr>
          <w:noProof/>
        </w:rPr>
        <w:tab/>
      </w:r>
      <w:r w:rsidRPr="00723C85">
        <w:rPr>
          <w:noProof/>
        </w:rPr>
        <w:t>REEF OIL PTY LTD</w:t>
      </w:r>
    </w:p>
    <w:p w:rsidR="00304845" w:rsidRPr="00723C85" w:rsidRDefault="00304845" w:rsidP="00304845">
      <w:pPr>
        <w:suppressAutoHyphens/>
        <w:spacing w:line="240" w:lineRule="auto"/>
        <w:ind w:left="2410" w:hanging="2410"/>
        <w:rPr>
          <w:noProof/>
        </w:rPr>
      </w:pPr>
      <w:r w:rsidRPr="00723C85">
        <w:rPr>
          <w:noProof/>
        </w:rPr>
        <w:t>Respondent:</w:t>
      </w:r>
      <w:r>
        <w:rPr>
          <w:noProof/>
        </w:rPr>
        <w:tab/>
      </w:r>
      <w:r w:rsidRPr="00723C85">
        <w:rPr>
          <w:noProof/>
        </w:rPr>
        <w:t>BASIN OIL PTY LTD</w:t>
      </w:r>
    </w:p>
    <w:p w:rsidR="00304845" w:rsidRPr="00723C85" w:rsidRDefault="00304845" w:rsidP="00304845">
      <w:pPr>
        <w:suppressAutoHyphens/>
        <w:spacing w:line="240" w:lineRule="auto"/>
        <w:ind w:left="2410" w:hanging="2410"/>
        <w:rPr>
          <w:noProof/>
        </w:rPr>
      </w:pPr>
      <w:r w:rsidRPr="00723C85">
        <w:rPr>
          <w:noProof/>
        </w:rPr>
        <w:t>Respondent:</w:t>
      </w:r>
      <w:r>
        <w:rPr>
          <w:noProof/>
        </w:rPr>
        <w:tab/>
      </w:r>
      <w:r w:rsidRPr="00723C85">
        <w:rPr>
          <w:noProof/>
        </w:rPr>
        <w:t>VAMGAS PTY LTD</w:t>
      </w:r>
    </w:p>
    <w:p w:rsidR="00304845" w:rsidRPr="00723C85" w:rsidRDefault="00304845" w:rsidP="00304845">
      <w:pPr>
        <w:suppressAutoHyphens/>
        <w:spacing w:line="240" w:lineRule="auto"/>
        <w:ind w:left="2410" w:hanging="2410"/>
        <w:rPr>
          <w:noProof/>
        </w:rPr>
      </w:pPr>
      <w:r w:rsidRPr="00723C85">
        <w:rPr>
          <w:noProof/>
        </w:rPr>
        <w:t>Respondent:</w:t>
      </w:r>
      <w:r>
        <w:rPr>
          <w:noProof/>
        </w:rPr>
        <w:tab/>
      </w:r>
      <w:r w:rsidRPr="00723C85">
        <w:rPr>
          <w:noProof/>
        </w:rPr>
        <w:t>SANTOS (NARNL COOPER) PTY LTD</w:t>
      </w:r>
    </w:p>
    <w:p w:rsidR="00304845" w:rsidRDefault="00304845" w:rsidP="00304845">
      <w:pPr>
        <w:pStyle w:val="AppealTable"/>
      </w:pPr>
    </w:p>
    <w:p w:rsidR="00304845" w:rsidRDefault="00304845" w:rsidP="00304845">
      <w:pPr>
        <w:pStyle w:val="AppealTable"/>
      </w:pPr>
    </w:p>
    <w:p w:rsidR="00304845" w:rsidRDefault="00304845" w:rsidP="00314A32">
      <w:pPr>
        <w:spacing w:after="240"/>
        <w:sectPr w:rsidR="00304845" w:rsidSect="005B5FEF">
          <w:endnotePr>
            <w:numFmt w:val="decimal"/>
          </w:endnotePr>
          <w:pgSz w:w="11907" w:h="16840" w:code="9"/>
          <w:pgMar w:top="1440" w:right="1440" w:bottom="1440" w:left="1440" w:header="851" w:footer="851" w:gutter="0"/>
          <w:cols w:space="720"/>
          <w:noEndnote/>
          <w:titlePg/>
        </w:sectPr>
      </w:pPr>
    </w:p>
    <w:tbl>
      <w:tblPr>
        <w:tblW w:w="0" w:type="auto"/>
        <w:tblLayout w:type="fixed"/>
        <w:tblLook w:val="0000" w:firstRow="0" w:lastRow="0" w:firstColumn="0" w:lastColumn="0" w:noHBand="0" w:noVBand="0"/>
      </w:tblPr>
      <w:tblGrid>
        <w:gridCol w:w="6771"/>
        <w:gridCol w:w="2471"/>
      </w:tblGrid>
      <w:tr w:rsidR="00C21B2E">
        <w:tc>
          <w:tcPr>
            <w:tcW w:w="6771" w:type="dxa"/>
          </w:tcPr>
          <w:p w:rsidR="00C21B2E" w:rsidRDefault="00944D15">
            <w:pPr>
              <w:pStyle w:val="NormalHeadings"/>
              <w:spacing w:after="120"/>
              <w:jc w:val="left"/>
              <w:rPr>
                <w:caps/>
                <w:szCs w:val="24"/>
              </w:rPr>
            </w:pPr>
            <w:bookmarkStart w:id="21" w:name="ReasonsPage"/>
            <w:bookmarkEnd w:id="21"/>
            <w:r>
              <w:rPr>
                <w:caps/>
                <w:szCs w:val="24"/>
              </w:rPr>
              <w:lastRenderedPageBreak/>
              <w:t>IN THE FEDERAL COURT OF AUSTRALIA</w:t>
            </w:r>
          </w:p>
        </w:tc>
        <w:tc>
          <w:tcPr>
            <w:tcW w:w="2471" w:type="dxa"/>
          </w:tcPr>
          <w:p w:rsidR="00C21B2E" w:rsidRDefault="00C21B2E">
            <w:pPr>
              <w:pStyle w:val="NormalHeadings"/>
            </w:pPr>
          </w:p>
        </w:tc>
      </w:tr>
      <w:tr w:rsidR="00C21B2E">
        <w:tc>
          <w:tcPr>
            <w:tcW w:w="6771" w:type="dxa"/>
          </w:tcPr>
          <w:p w:rsidR="00C21B2E" w:rsidRDefault="00944D15">
            <w:pPr>
              <w:pStyle w:val="NormalHeadings"/>
              <w:spacing w:after="120"/>
              <w:jc w:val="left"/>
              <w:rPr>
                <w:caps/>
                <w:szCs w:val="24"/>
              </w:rPr>
            </w:pPr>
            <w:r>
              <w:rPr>
                <w:caps/>
                <w:szCs w:val="24"/>
              </w:rPr>
              <w:fldChar w:fldCharType="begin" w:fldLock="1"/>
            </w:r>
            <w:r>
              <w:rPr>
                <w:caps/>
                <w:szCs w:val="24"/>
              </w:rPr>
              <w:instrText xml:space="preserve"> REF State \* MERGEFORMAT </w:instrText>
            </w:r>
            <w:r>
              <w:rPr>
                <w:caps/>
                <w:szCs w:val="24"/>
              </w:rPr>
              <w:fldChar w:fldCharType="separate"/>
            </w:r>
            <w:r w:rsidR="00195473">
              <w:rPr>
                <w:caps/>
                <w:szCs w:val="24"/>
              </w:rPr>
              <w:t>SOUTH AUSTRALIA</w:t>
            </w:r>
            <w:r>
              <w:rPr>
                <w:caps/>
                <w:szCs w:val="24"/>
              </w:rPr>
              <w:fldChar w:fldCharType="end"/>
            </w:r>
            <w:r>
              <w:rPr>
                <w:caps/>
                <w:szCs w:val="24"/>
              </w:rPr>
              <w:t xml:space="preserve"> DISTRICT REGISTRY</w:t>
            </w:r>
          </w:p>
        </w:tc>
        <w:tc>
          <w:tcPr>
            <w:tcW w:w="2471" w:type="dxa"/>
          </w:tcPr>
          <w:p w:rsidR="00C21B2E" w:rsidRDefault="00C21B2E">
            <w:pPr>
              <w:pStyle w:val="NormalHeadings"/>
              <w:tabs>
                <w:tab w:val="right" w:pos="3609"/>
              </w:tabs>
              <w:jc w:val="right"/>
              <w:rPr>
                <w:caps/>
                <w:szCs w:val="24"/>
              </w:rPr>
            </w:pPr>
          </w:p>
        </w:tc>
      </w:tr>
      <w:tr w:rsidR="00C21B2E">
        <w:tc>
          <w:tcPr>
            <w:tcW w:w="6771" w:type="dxa"/>
          </w:tcPr>
          <w:p w:rsidR="00C21B2E" w:rsidRDefault="00944D15">
            <w:pPr>
              <w:pStyle w:val="NormalHeadings"/>
              <w:spacing w:after="120"/>
              <w:jc w:val="left"/>
              <w:rPr>
                <w:caps/>
                <w:szCs w:val="24"/>
              </w:rPr>
            </w:pPr>
            <w:r>
              <w:rPr>
                <w:caps/>
                <w:szCs w:val="24"/>
              </w:rPr>
              <w:fldChar w:fldCharType="begin" w:fldLock="1"/>
            </w:r>
            <w:r>
              <w:rPr>
                <w:caps/>
                <w:szCs w:val="24"/>
              </w:rPr>
              <w:instrText xml:space="preserve"> REF  Division \* MERGEFORMAT </w:instrText>
            </w:r>
            <w:r>
              <w:rPr>
                <w:caps/>
                <w:szCs w:val="24"/>
              </w:rPr>
              <w:fldChar w:fldCharType="separate"/>
            </w:r>
            <w:r w:rsidR="00195473">
              <w:rPr>
                <w:caps/>
                <w:szCs w:val="24"/>
              </w:rPr>
              <w:t>GENERAL DIVISION</w:t>
            </w:r>
            <w:r>
              <w:rPr>
                <w:caps/>
                <w:szCs w:val="24"/>
              </w:rPr>
              <w:fldChar w:fldCharType="end"/>
            </w:r>
          </w:p>
        </w:tc>
        <w:tc>
          <w:tcPr>
            <w:tcW w:w="2471" w:type="dxa"/>
          </w:tcPr>
          <w:p w:rsidR="00C21B2E" w:rsidRDefault="00944D15" w:rsidP="005A63D6">
            <w:pPr>
              <w:pStyle w:val="NormalHeadings"/>
              <w:tabs>
                <w:tab w:val="right" w:pos="3609"/>
              </w:tabs>
              <w:jc w:val="right"/>
              <w:rPr>
                <w:caps/>
                <w:szCs w:val="24"/>
              </w:rPr>
            </w:pPr>
            <w:r>
              <w:rPr>
                <w:caps/>
                <w:szCs w:val="24"/>
              </w:rPr>
              <w:fldChar w:fldCharType="begin" w:fldLock="1"/>
            </w:r>
            <w:r>
              <w:rPr>
                <w:caps/>
                <w:szCs w:val="24"/>
              </w:rPr>
              <w:instrText xml:space="preserve"> REF  Num  \* MERGEFORMAT </w:instrText>
            </w:r>
            <w:r>
              <w:rPr>
                <w:caps/>
                <w:szCs w:val="24"/>
              </w:rPr>
              <w:fldChar w:fldCharType="separate"/>
            </w:r>
            <w:r w:rsidR="00195473">
              <w:rPr>
                <w:szCs w:val="24"/>
              </w:rPr>
              <w:t>SAD 163 of 2008</w:t>
            </w:r>
            <w:r>
              <w:rPr>
                <w:caps/>
                <w:szCs w:val="24"/>
              </w:rPr>
              <w:fldChar w:fldCharType="end"/>
            </w:r>
          </w:p>
        </w:tc>
      </w:tr>
    </w:tbl>
    <w:p w:rsidR="005A63D6" w:rsidRDefault="005A63D6" w:rsidP="005A63D6">
      <w:pPr>
        <w:pStyle w:val="AppealTable"/>
        <w:rPr>
          <w:sz w:val="24"/>
        </w:rPr>
      </w:pPr>
    </w:p>
    <w:p w:rsidR="005A63D6" w:rsidRDefault="005A63D6" w:rsidP="005A63D6">
      <w:pPr>
        <w:pStyle w:val="AppealTable"/>
        <w:rPr>
          <w:sz w:val="24"/>
        </w:rPr>
      </w:pPr>
      <w:proofErr w:type="spellStart"/>
      <w:r>
        <w:rPr>
          <w:sz w:val="24"/>
        </w:rPr>
        <w:t>DIERI</w:t>
      </w:r>
      <w:proofErr w:type="spellEnd"/>
      <w:r>
        <w:rPr>
          <w:sz w:val="24"/>
        </w:rPr>
        <w:t xml:space="preserve"> NO 2 NATIVE TITLE CLAIM</w:t>
      </w:r>
    </w:p>
    <w:p w:rsidR="005A63D6" w:rsidRPr="00391B76" w:rsidRDefault="005A63D6" w:rsidP="005A63D6">
      <w:pPr>
        <w:pStyle w:val="AppealTable"/>
        <w:rPr>
          <w:sz w:val="24"/>
        </w:rPr>
      </w:pPr>
      <w:r w:rsidRPr="00391B76">
        <w:rPr>
          <w:sz w:val="24"/>
        </w:rPr>
        <w:t xml:space="preserve"> </w:t>
      </w:r>
    </w:p>
    <w:tbl>
      <w:tblPr>
        <w:tblW w:w="0" w:type="auto"/>
        <w:tblLayout w:type="fixed"/>
        <w:tblLook w:val="0000" w:firstRow="0" w:lastRow="0" w:firstColumn="0" w:lastColumn="0" w:noHBand="0" w:noVBand="0"/>
      </w:tblPr>
      <w:tblGrid>
        <w:gridCol w:w="2376"/>
        <w:gridCol w:w="6866"/>
      </w:tblGrid>
      <w:tr w:rsidR="005A63D6" w:rsidTr="009F1F2B">
        <w:trPr>
          <w:trHeight w:val="386"/>
        </w:trPr>
        <w:tc>
          <w:tcPr>
            <w:tcW w:w="2376" w:type="dxa"/>
          </w:tcPr>
          <w:p w:rsidR="005A63D6" w:rsidRDefault="005A63D6" w:rsidP="009F1F2B">
            <w:pPr>
              <w:pStyle w:val="NormalHeadings"/>
              <w:jc w:val="left"/>
              <w:rPr>
                <w:caps/>
                <w:szCs w:val="24"/>
              </w:rPr>
            </w:pPr>
            <w:r>
              <w:rPr>
                <w:caps/>
                <w:szCs w:val="24"/>
              </w:rPr>
              <w:t>BETWEEN:</w:t>
            </w:r>
          </w:p>
        </w:tc>
        <w:tc>
          <w:tcPr>
            <w:tcW w:w="6866" w:type="dxa"/>
          </w:tcPr>
          <w:p w:rsidR="005A63D6" w:rsidRDefault="005A63D6" w:rsidP="009F1F2B">
            <w:pPr>
              <w:pStyle w:val="NormalHeadings"/>
              <w:jc w:val="left"/>
              <w:rPr>
                <w:szCs w:val="24"/>
              </w:rPr>
            </w:pPr>
            <w:r>
              <w:rPr>
                <w:szCs w:val="24"/>
              </w:rPr>
              <w:t>EDWARD LANDER AND OTHERS NAMED IN THE SCHEDULE OF PARTIES</w:t>
            </w:r>
          </w:p>
          <w:p w:rsidR="00195473" w:rsidRDefault="00195473" w:rsidP="009F1F2B">
            <w:pPr>
              <w:pStyle w:val="NormalHeadings"/>
              <w:jc w:val="left"/>
              <w:rPr>
                <w:szCs w:val="24"/>
              </w:rPr>
            </w:pPr>
            <w:r>
              <w:rPr>
                <w:szCs w:val="24"/>
              </w:rPr>
              <w:t>Applicant</w:t>
            </w:r>
          </w:p>
          <w:p w:rsidR="005A63D6" w:rsidRDefault="005A63D6" w:rsidP="009F1F2B">
            <w:pPr>
              <w:pStyle w:val="NormalHeadings"/>
              <w:jc w:val="left"/>
              <w:rPr>
                <w:szCs w:val="24"/>
              </w:rPr>
            </w:pPr>
          </w:p>
        </w:tc>
      </w:tr>
      <w:tr w:rsidR="005A63D6" w:rsidTr="009F1F2B">
        <w:trPr>
          <w:trHeight w:val="386"/>
        </w:trPr>
        <w:tc>
          <w:tcPr>
            <w:tcW w:w="2376" w:type="dxa"/>
          </w:tcPr>
          <w:p w:rsidR="005A63D6" w:rsidRDefault="005A63D6" w:rsidP="009F1F2B">
            <w:pPr>
              <w:pStyle w:val="NormalHeadings"/>
              <w:jc w:val="left"/>
              <w:rPr>
                <w:caps/>
                <w:szCs w:val="24"/>
              </w:rPr>
            </w:pPr>
            <w:r>
              <w:rPr>
                <w:caps/>
                <w:szCs w:val="24"/>
              </w:rPr>
              <w:t>AND:</w:t>
            </w:r>
          </w:p>
        </w:tc>
        <w:tc>
          <w:tcPr>
            <w:tcW w:w="6866" w:type="dxa"/>
          </w:tcPr>
          <w:p w:rsidR="005A63D6" w:rsidRDefault="005A63D6" w:rsidP="009F1F2B">
            <w:pPr>
              <w:pStyle w:val="NormalHeadings"/>
              <w:jc w:val="left"/>
              <w:rPr>
                <w:szCs w:val="24"/>
              </w:rPr>
            </w:pPr>
            <w:r>
              <w:rPr>
                <w:szCs w:val="24"/>
              </w:rPr>
              <w:t>STATE OF SOUTH AUSTRALIA AND OTHERS NAMED IN THE SCHEDULE OF PARTIES</w:t>
            </w:r>
          </w:p>
          <w:p w:rsidR="00195473" w:rsidRDefault="00195473" w:rsidP="009F1F2B">
            <w:pPr>
              <w:pStyle w:val="NormalHeadings"/>
              <w:jc w:val="left"/>
              <w:rPr>
                <w:szCs w:val="24"/>
              </w:rPr>
            </w:pPr>
            <w:r>
              <w:rPr>
                <w:szCs w:val="24"/>
              </w:rPr>
              <w:t>Respondent</w:t>
            </w:r>
          </w:p>
        </w:tc>
      </w:tr>
    </w:tbl>
    <w:p w:rsidR="005A63D6" w:rsidRDefault="005A63D6" w:rsidP="005A63D6">
      <w:pPr>
        <w:pStyle w:val="NormalHeadings"/>
      </w:pPr>
    </w:p>
    <w:tbl>
      <w:tblPr>
        <w:tblW w:w="0" w:type="auto"/>
        <w:tblLayout w:type="fixed"/>
        <w:tblLook w:val="0000" w:firstRow="0" w:lastRow="0" w:firstColumn="0" w:lastColumn="0" w:noHBand="0" w:noVBand="0"/>
      </w:tblPr>
      <w:tblGrid>
        <w:gridCol w:w="2376"/>
        <w:gridCol w:w="6866"/>
      </w:tblGrid>
      <w:tr w:rsidR="00BA4981" w:rsidTr="009F1F2B">
        <w:tc>
          <w:tcPr>
            <w:tcW w:w="2376" w:type="dxa"/>
          </w:tcPr>
          <w:p w:rsidR="00BA4981" w:rsidRDefault="00BA4981" w:rsidP="009F1F2B">
            <w:pPr>
              <w:pStyle w:val="NormalHeadings"/>
              <w:spacing w:after="120"/>
              <w:jc w:val="left"/>
              <w:rPr>
                <w:caps/>
                <w:szCs w:val="24"/>
              </w:rPr>
            </w:pPr>
            <w:r>
              <w:rPr>
                <w:caps/>
                <w:szCs w:val="24"/>
              </w:rPr>
              <w:fldChar w:fldCharType="begin" w:fldLock="1"/>
            </w:r>
            <w:r>
              <w:rPr>
                <w:caps/>
                <w:szCs w:val="24"/>
              </w:rPr>
              <w:instrText xml:space="preserve"> REF JudgeText  \* MERGEFORMAT </w:instrText>
            </w:r>
            <w:r>
              <w:rPr>
                <w:caps/>
                <w:szCs w:val="24"/>
              </w:rPr>
              <w:fldChar w:fldCharType="separate"/>
            </w:r>
            <w:r w:rsidR="00195473">
              <w:rPr>
                <w:caps/>
                <w:szCs w:val="24"/>
              </w:rPr>
              <w:t>JUDGE</w:t>
            </w:r>
            <w:r>
              <w:rPr>
                <w:caps/>
                <w:szCs w:val="24"/>
              </w:rPr>
              <w:fldChar w:fldCharType="end"/>
            </w:r>
            <w:r>
              <w:rPr>
                <w:caps/>
                <w:szCs w:val="24"/>
              </w:rPr>
              <w:t>:</w:t>
            </w:r>
          </w:p>
        </w:tc>
        <w:tc>
          <w:tcPr>
            <w:tcW w:w="6866" w:type="dxa"/>
          </w:tcPr>
          <w:p w:rsidR="00BA4981" w:rsidRDefault="00195473" w:rsidP="009F1F2B">
            <w:pPr>
              <w:pStyle w:val="NormalHeadings"/>
              <w:rPr>
                <w:caps/>
                <w:szCs w:val="24"/>
              </w:rPr>
            </w:pPr>
            <w:r>
              <w:rPr>
                <w:caps/>
                <w:szCs w:val="24"/>
              </w:rPr>
              <w:t>WHITE J</w:t>
            </w:r>
          </w:p>
        </w:tc>
      </w:tr>
      <w:tr w:rsidR="00BA4981" w:rsidTr="009F1F2B">
        <w:tc>
          <w:tcPr>
            <w:tcW w:w="2376" w:type="dxa"/>
          </w:tcPr>
          <w:p w:rsidR="00BA4981" w:rsidRDefault="00BA4981" w:rsidP="009F1F2B">
            <w:pPr>
              <w:pStyle w:val="NormalHeadings"/>
              <w:spacing w:after="120"/>
              <w:jc w:val="left"/>
              <w:rPr>
                <w:caps/>
                <w:szCs w:val="24"/>
              </w:rPr>
            </w:pPr>
            <w:r>
              <w:rPr>
                <w:caps/>
                <w:szCs w:val="24"/>
              </w:rPr>
              <w:t>DATE:</w:t>
            </w:r>
          </w:p>
        </w:tc>
        <w:tc>
          <w:tcPr>
            <w:tcW w:w="6866" w:type="dxa"/>
          </w:tcPr>
          <w:p w:rsidR="00BA4981" w:rsidRDefault="00BA4981" w:rsidP="009F1F2B">
            <w:pPr>
              <w:pStyle w:val="NormalHeadings"/>
              <w:rPr>
                <w:caps/>
                <w:szCs w:val="24"/>
              </w:rPr>
            </w:pPr>
            <w:r>
              <w:rPr>
                <w:caps/>
                <w:szCs w:val="24"/>
              </w:rPr>
              <w:fldChar w:fldCharType="begin" w:fldLock="1"/>
            </w:r>
            <w:r>
              <w:rPr>
                <w:caps/>
                <w:szCs w:val="24"/>
              </w:rPr>
              <w:instrText xml:space="preserve"> REF Judgment_Dated  \* MERGEFORMAT </w:instrText>
            </w:r>
            <w:r>
              <w:rPr>
                <w:caps/>
                <w:szCs w:val="24"/>
              </w:rPr>
              <w:fldChar w:fldCharType="separate"/>
            </w:r>
            <w:r w:rsidR="00896F40">
              <w:rPr>
                <w:caps/>
                <w:szCs w:val="24"/>
              </w:rPr>
              <w:t>26 february</w:t>
            </w:r>
            <w:r w:rsidR="00195473">
              <w:rPr>
                <w:caps/>
                <w:szCs w:val="24"/>
              </w:rPr>
              <w:t xml:space="preserve"> 2014</w:t>
            </w:r>
            <w:r>
              <w:rPr>
                <w:caps/>
                <w:szCs w:val="24"/>
              </w:rPr>
              <w:fldChar w:fldCharType="end"/>
            </w:r>
          </w:p>
        </w:tc>
      </w:tr>
      <w:tr w:rsidR="00BA4981" w:rsidTr="009F1F2B">
        <w:tc>
          <w:tcPr>
            <w:tcW w:w="2376" w:type="dxa"/>
          </w:tcPr>
          <w:p w:rsidR="00BA4981" w:rsidRDefault="00BA4981" w:rsidP="009F1F2B">
            <w:pPr>
              <w:pStyle w:val="NormalHeadings"/>
              <w:spacing w:after="120"/>
              <w:jc w:val="left"/>
              <w:rPr>
                <w:caps/>
                <w:szCs w:val="24"/>
              </w:rPr>
            </w:pPr>
            <w:r>
              <w:rPr>
                <w:caps/>
                <w:szCs w:val="24"/>
              </w:rPr>
              <w:t>PLACE:</w:t>
            </w:r>
          </w:p>
        </w:tc>
        <w:tc>
          <w:tcPr>
            <w:tcW w:w="6866" w:type="dxa"/>
          </w:tcPr>
          <w:p w:rsidR="00BA4981" w:rsidRDefault="00896F40" w:rsidP="009F1F2B">
            <w:pPr>
              <w:pStyle w:val="NormalHeadings"/>
              <w:rPr>
                <w:caps/>
                <w:szCs w:val="24"/>
              </w:rPr>
            </w:pPr>
            <w:r>
              <w:rPr>
                <w:caps/>
                <w:szCs w:val="24"/>
              </w:rPr>
              <w:t>port augusta</w:t>
            </w:r>
          </w:p>
        </w:tc>
      </w:tr>
    </w:tbl>
    <w:p w:rsidR="00BA4981" w:rsidRDefault="00BA4981" w:rsidP="00BA4981">
      <w:pPr>
        <w:pStyle w:val="StyleBold"/>
        <w:jc w:val="left"/>
        <w:rPr>
          <w:b/>
        </w:rPr>
      </w:pPr>
    </w:p>
    <w:p w:rsidR="00C21B2E" w:rsidRDefault="00944D15">
      <w:pPr>
        <w:pStyle w:val="StyleBold"/>
        <w:jc w:val="center"/>
        <w:rPr>
          <w:b/>
        </w:rPr>
      </w:pPr>
      <w:r>
        <w:rPr>
          <w:b/>
        </w:rPr>
        <w:t>REASONS FOR JUDGMENT</w:t>
      </w:r>
    </w:p>
    <w:p w:rsidR="00391B76" w:rsidRDefault="00604D4E" w:rsidP="00604D4E">
      <w:pPr>
        <w:pStyle w:val="ParaNumbering"/>
      </w:pPr>
      <w:r>
        <w:t xml:space="preserve">The </w:t>
      </w:r>
      <w:proofErr w:type="spellStart"/>
      <w:r>
        <w:t>Dieri</w:t>
      </w:r>
      <w:proofErr w:type="spellEnd"/>
      <w:r>
        <w:t xml:space="preserve"> </w:t>
      </w:r>
      <w:r w:rsidR="0027538A">
        <w:t>P</w:t>
      </w:r>
      <w:r>
        <w:t xml:space="preserve">eople and the </w:t>
      </w:r>
      <w:proofErr w:type="spellStart"/>
      <w:r>
        <w:t>Adnyamathanha</w:t>
      </w:r>
      <w:proofErr w:type="spellEnd"/>
      <w:r>
        <w:t xml:space="preserve"> </w:t>
      </w:r>
      <w:r w:rsidR="0027538A">
        <w:t>P</w:t>
      </w:r>
      <w:r>
        <w:t>eople have made overlapping claims for native title in respect of an area of land located to the north and north-west of the northern end of the Flinders Ranges.</w:t>
      </w:r>
    </w:p>
    <w:p w:rsidR="00604D4E" w:rsidRDefault="00312A47" w:rsidP="00604D4E">
      <w:pPr>
        <w:pStyle w:val="ParaNumbering"/>
      </w:pPr>
      <w:r>
        <w:t xml:space="preserve">The </w:t>
      </w:r>
      <w:proofErr w:type="spellStart"/>
      <w:r>
        <w:t>Dieri</w:t>
      </w:r>
      <w:proofErr w:type="spellEnd"/>
      <w:r>
        <w:t xml:space="preserve">, </w:t>
      </w:r>
      <w:r w:rsidR="00604D4E">
        <w:t xml:space="preserve">the </w:t>
      </w:r>
      <w:proofErr w:type="spellStart"/>
      <w:r w:rsidR="00604D4E">
        <w:t>Adnyamathanha</w:t>
      </w:r>
      <w:proofErr w:type="spellEnd"/>
      <w:r w:rsidR="00604D4E">
        <w:t xml:space="preserve">, </w:t>
      </w:r>
      <w:r w:rsidR="0076516E">
        <w:t>the State</w:t>
      </w:r>
      <w:r>
        <w:t xml:space="preserve"> of South Australia</w:t>
      </w:r>
      <w:r w:rsidR="0076516E">
        <w:t xml:space="preserve">, and the other parties to the respective proceedings have reached agreement about these overlapping claims.  The claim of the </w:t>
      </w:r>
      <w:proofErr w:type="spellStart"/>
      <w:r w:rsidR="0076516E">
        <w:t>Dieri</w:t>
      </w:r>
      <w:proofErr w:type="spellEnd"/>
      <w:r w:rsidR="0076516E">
        <w:t xml:space="preserve"> is to be recognised in respect of the western portion</w:t>
      </w:r>
      <w:r w:rsidR="0027538A">
        <w:t xml:space="preserve"> of the claimed area </w:t>
      </w:r>
      <w:r w:rsidR="0076516E">
        <w:t xml:space="preserve">and the claim of the </w:t>
      </w:r>
      <w:proofErr w:type="spellStart"/>
      <w:r w:rsidR="0076516E">
        <w:t>Adnyamathanha</w:t>
      </w:r>
      <w:proofErr w:type="spellEnd"/>
      <w:r w:rsidR="0076516E">
        <w:t xml:space="preserve"> recognised with respect to the eastern portion.  Each of the </w:t>
      </w:r>
      <w:proofErr w:type="spellStart"/>
      <w:r w:rsidR="0076516E">
        <w:t>Dieri</w:t>
      </w:r>
      <w:proofErr w:type="spellEnd"/>
      <w:r w:rsidR="0076516E">
        <w:t xml:space="preserve"> and the </w:t>
      </w:r>
      <w:proofErr w:type="spellStart"/>
      <w:r w:rsidR="0076516E">
        <w:t>Adnyamathanha</w:t>
      </w:r>
      <w:proofErr w:type="spellEnd"/>
      <w:r w:rsidR="0076516E">
        <w:t xml:space="preserve"> have agreed between themselves to recognise the traditional rights of the other in the area over which they will not hold native title.</w:t>
      </w:r>
    </w:p>
    <w:p w:rsidR="0076516E" w:rsidRDefault="00312A47" w:rsidP="0076516E">
      <w:pPr>
        <w:pStyle w:val="ParaNumbering"/>
      </w:pPr>
      <w:r>
        <w:t xml:space="preserve">Yesterday, by consent, the Court made two determinations of native title in favour of the </w:t>
      </w:r>
      <w:proofErr w:type="spellStart"/>
      <w:r>
        <w:t>Adnyamathanha</w:t>
      </w:r>
      <w:proofErr w:type="spellEnd"/>
      <w:r>
        <w:t xml:space="preserve">.  The second of these, referred to by the parties as </w:t>
      </w:r>
      <w:proofErr w:type="spellStart"/>
      <w:r>
        <w:t>Adnyamathanha</w:t>
      </w:r>
      <w:proofErr w:type="spellEnd"/>
      <w:r>
        <w:t xml:space="preserve"> No 1 – Stage Three, gave effect to the parties’ agreement that the claim of the </w:t>
      </w:r>
      <w:proofErr w:type="spellStart"/>
      <w:r w:rsidR="00D96786">
        <w:t>Adnyamathanha</w:t>
      </w:r>
      <w:proofErr w:type="spellEnd"/>
      <w:r w:rsidR="00D96786">
        <w:t xml:space="preserve"> </w:t>
      </w:r>
      <w:r>
        <w:t xml:space="preserve">should be recognised in respect of the </w:t>
      </w:r>
      <w:r w:rsidR="00D96786">
        <w:t>eastern</w:t>
      </w:r>
      <w:r>
        <w:t xml:space="preserve"> portion of the overlap area.  That determination was made pursuant to s </w:t>
      </w:r>
      <w:proofErr w:type="spellStart"/>
      <w:r>
        <w:t>87A</w:t>
      </w:r>
      <w:proofErr w:type="spellEnd"/>
      <w:r>
        <w:t xml:space="preserve"> of the </w:t>
      </w:r>
      <w:r>
        <w:rPr>
          <w:i/>
        </w:rPr>
        <w:t xml:space="preserve">Native Title Act 1993 </w:t>
      </w:r>
      <w:r>
        <w:t>(</w:t>
      </w:r>
      <w:proofErr w:type="spellStart"/>
      <w:r>
        <w:t>Cth</w:t>
      </w:r>
      <w:proofErr w:type="spellEnd"/>
      <w:r>
        <w:t xml:space="preserve">) </w:t>
      </w:r>
      <w:r w:rsidR="00896F40">
        <w:t>(</w:t>
      </w:r>
      <w:proofErr w:type="spellStart"/>
      <w:r w:rsidR="00896F40">
        <w:t>NTA</w:t>
      </w:r>
      <w:proofErr w:type="spellEnd"/>
      <w:r w:rsidR="00896F40">
        <w:t xml:space="preserve">) </w:t>
      </w:r>
      <w:r>
        <w:t xml:space="preserve">on the application lodged by the </w:t>
      </w:r>
      <w:proofErr w:type="spellStart"/>
      <w:r>
        <w:t>Adnyamathanha</w:t>
      </w:r>
      <w:proofErr w:type="spellEnd"/>
      <w:r>
        <w:t xml:space="preserve"> People in this Court on 30 September 1998 (the </w:t>
      </w:r>
      <w:proofErr w:type="spellStart"/>
      <w:r>
        <w:t>Adnyamathanha</w:t>
      </w:r>
      <w:proofErr w:type="spellEnd"/>
      <w:r>
        <w:t xml:space="preserve"> No 1 Claim).</w:t>
      </w:r>
    </w:p>
    <w:p w:rsidR="0076516E" w:rsidRDefault="0076516E" w:rsidP="0076516E">
      <w:pPr>
        <w:pStyle w:val="ParaNumbering"/>
      </w:pPr>
      <w:r>
        <w:lastRenderedPageBreak/>
        <w:t xml:space="preserve">The application by the </w:t>
      </w:r>
      <w:proofErr w:type="spellStart"/>
      <w:r>
        <w:t>Dieri</w:t>
      </w:r>
      <w:proofErr w:type="spellEnd"/>
      <w:r>
        <w:t xml:space="preserve"> (known as the </w:t>
      </w:r>
      <w:proofErr w:type="spellStart"/>
      <w:r>
        <w:t>Dieri</w:t>
      </w:r>
      <w:proofErr w:type="spellEnd"/>
      <w:r>
        <w:t xml:space="preserve"> No 2 Native Title Claim) was lodged in this Court in September 2008</w:t>
      </w:r>
      <w:r w:rsidR="00394B6B">
        <w:t xml:space="preserve">.  </w:t>
      </w:r>
      <w:r w:rsidR="004F6C2D">
        <w:t xml:space="preserve">The </w:t>
      </w:r>
      <w:proofErr w:type="spellStart"/>
      <w:r w:rsidR="004F6C2D">
        <w:t>Dieri</w:t>
      </w:r>
      <w:proofErr w:type="spellEnd"/>
      <w:r w:rsidR="004F6C2D">
        <w:t xml:space="preserve"> No 2 Claim overlaps the northern part of the </w:t>
      </w:r>
      <w:proofErr w:type="spellStart"/>
      <w:r w:rsidR="004F6C2D">
        <w:t>Adnyamathanha</w:t>
      </w:r>
      <w:proofErr w:type="spellEnd"/>
      <w:r w:rsidR="004F6C2D">
        <w:t xml:space="preserve"> No 1 Claim.</w:t>
      </w:r>
    </w:p>
    <w:p w:rsidR="0076516E" w:rsidRDefault="0076516E" w:rsidP="0076516E">
      <w:pPr>
        <w:pStyle w:val="ParaNumbering"/>
      </w:pPr>
      <w:r>
        <w:t xml:space="preserve">The area which is the subject of the present proposed determination comprises a relatively small portion of the </w:t>
      </w:r>
      <w:proofErr w:type="spellStart"/>
      <w:r>
        <w:t>Adnyamathanha</w:t>
      </w:r>
      <w:proofErr w:type="spellEnd"/>
      <w:r>
        <w:t xml:space="preserve"> No 1 Claim, but </w:t>
      </w:r>
      <w:r w:rsidR="00312A47">
        <w:t xml:space="preserve">(together with the area the subject of </w:t>
      </w:r>
      <w:proofErr w:type="spellStart"/>
      <w:r w:rsidR="00312A47">
        <w:t>Adnyamathanha</w:t>
      </w:r>
      <w:proofErr w:type="spellEnd"/>
      <w:r w:rsidR="00312A47">
        <w:t xml:space="preserve"> No 1 – Stage Three determination) </w:t>
      </w:r>
      <w:r>
        <w:t xml:space="preserve">the whole of the </w:t>
      </w:r>
      <w:proofErr w:type="spellStart"/>
      <w:r>
        <w:t>Dieri</w:t>
      </w:r>
      <w:proofErr w:type="spellEnd"/>
      <w:r>
        <w:t xml:space="preserve"> No 2 Claim.  The makin</w:t>
      </w:r>
      <w:r w:rsidR="00312A47">
        <w:t>g of the proposed determination</w:t>
      </w:r>
      <w:r>
        <w:t xml:space="preserve"> will </w:t>
      </w:r>
      <w:r w:rsidR="00D96786">
        <w:t xml:space="preserve">therefore </w:t>
      </w:r>
      <w:r>
        <w:t xml:space="preserve">have the effect of determining finally the whole of the </w:t>
      </w:r>
      <w:proofErr w:type="spellStart"/>
      <w:r>
        <w:t>Dieri</w:t>
      </w:r>
      <w:proofErr w:type="spellEnd"/>
      <w:r>
        <w:t xml:space="preserve"> No 2 Claim.</w:t>
      </w:r>
    </w:p>
    <w:p w:rsidR="0076516E" w:rsidRDefault="0076516E" w:rsidP="0076516E">
      <w:pPr>
        <w:pStyle w:val="ParaNumbering"/>
      </w:pPr>
      <w:r>
        <w:t xml:space="preserve">The parties </w:t>
      </w:r>
      <w:r w:rsidR="00312A47">
        <w:t>used</w:t>
      </w:r>
      <w:r>
        <w:t xml:space="preserve"> the short-hand labels “</w:t>
      </w:r>
      <w:proofErr w:type="spellStart"/>
      <w:r>
        <w:t>B1</w:t>
      </w:r>
      <w:proofErr w:type="spellEnd"/>
      <w:r>
        <w:t xml:space="preserve">” </w:t>
      </w:r>
      <w:r w:rsidR="00195473">
        <w:t>for</w:t>
      </w:r>
      <w:r>
        <w:t xml:space="preserve"> the area in respect of which a determination is to be made in favour of the </w:t>
      </w:r>
      <w:proofErr w:type="spellStart"/>
      <w:r>
        <w:t>Dieri</w:t>
      </w:r>
      <w:proofErr w:type="spellEnd"/>
      <w:r>
        <w:t>, and the short-hand label “</w:t>
      </w:r>
      <w:proofErr w:type="spellStart"/>
      <w:r>
        <w:t>B2</w:t>
      </w:r>
      <w:proofErr w:type="spellEnd"/>
      <w:r>
        <w:t xml:space="preserve">” </w:t>
      </w:r>
      <w:r w:rsidR="00195473">
        <w:t>for</w:t>
      </w:r>
      <w:r>
        <w:t xml:space="preserve"> the area </w:t>
      </w:r>
      <w:r w:rsidR="00312A47">
        <w:t xml:space="preserve">the subject of </w:t>
      </w:r>
      <w:proofErr w:type="spellStart"/>
      <w:r w:rsidR="00312A47">
        <w:t>Adnyamathanha</w:t>
      </w:r>
      <w:proofErr w:type="spellEnd"/>
      <w:r w:rsidR="00312A47">
        <w:t xml:space="preserve"> No 1 – Stage Three.</w:t>
      </w:r>
    </w:p>
    <w:p w:rsidR="0076516E" w:rsidRDefault="0076516E" w:rsidP="0076516E">
      <w:pPr>
        <w:pStyle w:val="ParaNumbering"/>
      </w:pPr>
      <w:r>
        <w:t xml:space="preserve">Both areas have an irregular shape.  Area </w:t>
      </w:r>
      <w:proofErr w:type="spellStart"/>
      <w:r>
        <w:t>B1</w:t>
      </w:r>
      <w:proofErr w:type="spellEnd"/>
      <w:r>
        <w:t xml:space="preserve"> is bounded on its north-west side by a line commencing at a point on the western boundary of the </w:t>
      </w:r>
      <w:proofErr w:type="spellStart"/>
      <w:r>
        <w:t>Wilpoorinna</w:t>
      </w:r>
      <w:proofErr w:type="spellEnd"/>
      <w:r>
        <w:t xml:space="preserve"> Pastoral Lease and running generally in a north-east direction</w:t>
      </w:r>
      <w:r w:rsidR="0027538A">
        <w:t>;</w:t>
      </w:r>
      <w:r>
        <w:t xml:space="preserve"> on its north-eastern side by the western shoreline of Lake Blanch</w:t>
      </w:r>
      <w:r w:rsidR="0027538A">
        <w:t>e</w:t>
      </w:r>
      <w:r>
        <w:t xml:space="preserve"> (and </w:t>
      </w:r>
      <w:r w:rsidR="0027538A">
        <w:t xml:space="preserve">by </w:t>
      </w:r>
      <w:r>
        <w:t>an imaginary prolongation of that shoreline</w:t>
      </w:r>
      <w:r w:rsidR="00195473">
        <w:t>)</w:t>
      </w:r>
      <w:r w:rsidR="0027538A">
        <w:t>;</w:t>
      </w:r>
      <w:r>
        <w:t xml:space="preserve"> on its eastern side by the </w:t>
      </w:r>
      <w:proofErr w:type="spellStart"/>
      <w:r>
        <w:t>Peterm</w:t>
      </w:r>
      <w:r w:rsidR="0054573D">
        <w:t>o</w:t>
      </w:r>
      <w:r>
        <w:t>rra</w:t>
      </w:r>
      <w:proofErr w:type="spellEnd"/>
      <w:r w:rsidR="0054573D">
        <w:t xml:space="preserve"> and </w:t>
      </w:r>
      <w:proofErr w:type="spellStart"/>
      <w:r>
        <w:t>Wattleowie</w:t>
      </w:r>
      <w:proofErr w:type="spellEnd"/>
      <w:r>
        <w:t xml:space="preserve"> Creek</w:t>
      </w:r>
      <w:r w:rsidR="0054573D">
        <w:t>s</w:t>
      </w:r>
      <w:r w:rsidR="0088119C">
        <w:t xml:space="preserve">; and on its southern boundary by the southern boundary of the </w:t>
      </w:r>
      <w:proofErr w:type="spellStart"/>
      <w:r w:rsidR="0088119C">
        <w:t>Murnpeowie</w:t>
      </w:r>
      <w:proofErr w:type="spellEnd"/>
      <w:r w:rsidR="0088119C">
        <w:t xml:space="preserve"> Pastoral Lease</w:t>
      </w:r>
      <w:r>
        <w:t>.  This is necessarily an imprecise description of the area.  It is described with specificity in Schedule 1 of the proposed determination.</w:t>
      </w:r>
    </w:p>
    <w:p w:rsidR="0076516E" w:rsidRDefault="0076516E" w:rsidP="0076516E">
      <w:pPr>
        <w:pStyle w:val="ParaNumbering"/>
      </w:pPr>
      <w:r>
        <w:t xml:space="preserve">Area </w:t>
      </w:r>
      <w:proofErr w:type="spellStart"/>
      <w:r>
        <w:t>B2</w:t>
      </w:r>
      <w:proofErr w:type="spellEnd"/>
      <w:r>
        <w:t xml:space="preserve">, which is smaller than Area </w:t>
      </w:r>
      <w:proofErr w:type="spellStart"/>
      <w:r>
        <w:t>B1</w:t>
      </w:r>
      <w:proofErr w:type="spellEnd"/>
      <w:r>
        <w:t xml:space="preserve">, abuts Area </w:t>
      </w:r>
      <w:proofErr w:type="spellStart"/>
      <w:r>
        <w:t>B1</w:t>
      </w:r>
      <w:proofErr w:type="spellEnd"/>
      <w:r>
        <w:t xml:space="preserve"> on its western </w:t>
      </w:r>
      <w:r w:rsidR="0027538A">
        <w:t>boundary</w:t>
      </w:r>
      <w:r>
        <w:t xml:space="preserve">, so that it is </w:t>
      </w:r>
      <w:r w:rsidR="0032714C">
        <w:t xml:space="preserve">generally </w:t>
      </w:r>
      <w:r>
        <w:t xml:space="preserve">bordered by the </w:t>
      </w:r>
      <w:proofErr w:type="spellStart"/>
      <w:r>
        <w:t>Peterm</w:t>
      </w:r>
      <w:r w:rsidR="0088119C">
        <w:t>o</w:t>
      </w:r>
      <w:r>
        <w:t>rra</w:t>
      </w:r>
      <w:proofErr w:type="spellEnd"/>
      <w:r>
        <w:t xml:space="preserve"> and </w:t>
      </w:r>
      <w:proofErr w:type="spellStart"/>
      <w:r>
        <w:t>Wattleowie</w:t>
      </w:r>
      <w:proofErr w:type="spellEnd"/>
      <w:r>
        <w:t xml:space="preserve"> Creeks on its western side</w:t>
      </w:r>
      <w:r w:rsidR="00312A47">
        <w:t xml:space="preserve">.  It is not necessary in these reasons to describe Area </w:t>
      </w:r>
      <w:proofErr w:type="spellStart"/>
      <w:r w:rsidR="00312A47">
        <w:t>B2</w:t>
      </w:r>
      <w:proofErr w:type="spellEnd"/>
      <w:r w:rsidR="00312A47">
        <w:t xml:space="preserve"> further.</w:t>
      </w:r>
    </w:p>
    <w:p w:rsidR="0076516E" w:rsidRDefault="0076516E" w:rsidP="0076516E">
      <w:pPr>
        <w:pStyle w:val="ParaNumbering"/>
      </w:pPr>
      <w:r>
        <w:t xml:space="preserve">This Court has previously made </w:t>
      </w:r>
      <w:r w:rsidR="00312A47">
        <w:t>a</w:t>
      </w:r>
      <w:r>
        <w:t xml:space="preserve"> determination</w:t>
      </w:r>
      <w:r w:rsidR="00312A47">
        <w:t xml:space="preserve"> by consent</w:t>
      </w:r>
      <w:r>
        <w:t xml:space="preserve"> in favour of the </w:t>
      </w:r>
      <w:proofErr w:type="spellStart"/>
      <w:r>
        <w:t>Dieri</w:t>
      </w:r>
      <w:proofErr w:type="spellEnd"/>
      <w:r>
        <w:t xml:space="preserve">.  On 1 May 2012, Mansfield J made a determination under s 87 of the </w:t>
      </w:r>
      <w:proofErr w:type="spellStart"/>
      <w:r w:rsidR="00896F40">
        <w:t>NTA</w:t>
      </w:r>
      <w:proofErr w:type="spellEnd"/>
      <w:r>
        <w:t xml:space="preserve"> in the </w:t>
      </w:r>
      <w:proofErr w:type="spellStart"/>
      <w:r>
        <w:t>Dieri</w:t>
      </w:r>
      <w:proofErr w:type="spellEnd"/>
      <w:r>
        <w:t xml:space="preserve"> No 1 Claim in respect of a large area in the north-eastern region of South Australia (</w:t>
      </w:r>
      <w:r>
        <w:rPr>
          <w:i/>
        </w:rPr>
        <w:t xml:space="preserve">Lander v State of South Australia </w:t>
      </w:r>
      <w:r>
        <w:t xml:space="preserve">[2012] </w:t>
      </w:r>
      <w:proofErr w:type="spellStart"/>
      <w:r>
        <w:t>FCA</w:t>
      </w:r>
      <w:proofErr w:type="spellEnd"/>
      <w:r>
        <w:t xml:space="preserve"> 427).  The southern boundary of the </w:t>
      </w:r>
      <w:proofErr w:type="spellStart"/>
      <w:r>
        <w:t>Dieri</w:t>
      </w:r>
      <w:proofErr w:type="spellEnd"/>
      <w:r>
        <w:t xml:space="preserve"> No 1 Claim adjoins the</w:t>
      </w:r>
      <w:r w:rsidR="00322800">
        <w:t xml:space="preserve"> north-western boundary of Area </w:t>
      </w:r>
      <w:proofErr w:type="spellStart"/>
      <w:r>
        <w:t>B1</w:t>
      </w:r>
      <w:proofErr w:type="spellEnd"/>
      <w:r>
        <w:t>.</w:t>
      </w:r>
    </w:p>
    <w:p w:rsidR="0027538A" w:rsidRDefault="0027538A" w:rsidP="0027538A">
      <w:pPr>
        <w:pStyle w:val="Heading2"/>
      </w:pPr>
      <w:r>
        <w:t xml:space="preserve">Section </w:t>
      </w:r>
      <w:proofErr w:type="spellStart"/>
      <w:r>
        <w:t>87A</w:t>
      </w:r>
      <w:proofErr w:type="spellEnd"/>
    </w:p>
    <w:p w:rsidR="00322800" w:rsidRDefault="00322800" w:rsidP="0076516E">
      <w:pPr>
        <w:pStyle w:val="ParaNumbering"/>
      </w:pPr>
      <w:r>
        <w:t>The</w:t>
      </w:r>
      <w:r w:rsidR="00312A47">
        <w:t xml:space="preserve"> parties seek the determination</w:t>
      </w:r>
      <w:r>
        <w:t xml:space="preserve"> under s </w:t>
      </w:r>
      <w:proofErr w:type="spellStart"/>
      <w:r>
        <w:t>87A</w:t>
      </w:r>
      <w:proofErr w:type="spellEnd"/>
      <w:r>
        <w:t xml:space="preserve"> of the </w:t>
      </w:r>
      <w:proofErr w:type="spellStart"/>
      <w:r>
        <w:t>NTA</w:t>
      </w:r>
      <w:proofErr w:type="spellEnd"/>
      <w:r>
        <w:t xml:space="preserve">.  Section </w:t>
      </w:r>
      <w:proofErr w:type="spellStart"/>
      <w:r>
        <w:t>87A</w:t>
      </w:r>
      <w:proofErr w:type="spellEnd"/>
      <w:r>
        <w:t xml:space="preserve"> permits the Court to make a determination by consent (and without</w:t>
      </w:r>
      <w:r w:rsidR="0027538A">
        <w:t xml:space="preserve"> a hearing) if it is satisfied that</w:t>
      </w:r>
      <w:r>
        <w:t>:</w:t>
      </w:r>
    </w:p>
    <w:p w:rsidR="00322800" w:rsidRDefault="0027538A" w:rsidP="00322800">
      <w:pPr>
        <w:ind w:left="1440" w:hanging="731"/>
      </w:pPr>
      <w:r>
        <w:lastRenderedPageBreak/>
        <w:t>(a)</w:t>
      </w:r>
      <w:r>
        <w:tab/>
        <w:t>t</w:t>
      </w:r>
      <w:r w:rsidR="00322800">
        <w:t xml:space="preserve">here is agreement by all parties to the proceedings </w:t>
      </w:r>
      <w:r w:rsidR="0032714C">
        <w:t xml:space="preserve">at the time the agreement is made </w:t>
      </w:r>
      <w:r w:rsidR="00322800">
        <w:t>on a proposed determination of native title in respect of a claim area (s </w:t>
      </w:r>
      <w:proofErr w:type="spellStart"/>
      <w:r w:rsidR="00322800">
        <w:t>87A</w:t>
      </w:r>
      <w:proofErr w:type="spellEnd"/>
      <w:r w:rsidR="00322800">
        <w:t>(1)(b)</w:t>
      </w:r>
      <w:r w:rsidR="0032714C">
        <w:t>-(c))</w:t>
      </w:r>
      <w:r w:rsidR="00322800">
        <w:t>;</w:t>
      </w:r>
    </w:p>
    <w:p w:rsidR="00322800" w:rsidRDefault="00322800" w:rsidP="00322800">
      <w:pPr>
        <w:ind w:left="1440" w:hanging="731"/>
      </w:pPr>
      <w:r>
        <w:t>(b)</w:t>
      </w:r>
      <w:r w:rsidR="0027538A">
        <w:tab/>
        <w:t>t</w:t>
      </w:r>
      <w:r w:rsidR="0023049B">
        <w:t>he period specified in the Registrar’s notice under s 66 has ended (s </w:t>
      </w:r>
      <w:proofErr w:type="spellStart"/>
      <w:r w:rsidR="0023049B">
        <w:t>87A</w:t>
      </w:r>
      <w:proofErr w:type="spellEnd"/>
      <w:r w:rsidR="0023049B">
        <w:t>(1)(b)</w:t>
      </w:r>
      <w:r w:rsidR="0032714C">
        <w:t>)</w:t>
      </w:r>
      <w:r w:rsidR="0023049B">
        <w:t>;</w:t>
      </w:r>
    </w:p>
    <w:p w:rsidR="0023049B" w:rsidRDefault="0023049B" w:rsidP="00322800">
      <w:pPr>
        <w:ind w:left="1440" w:hanging="731"/>
      </w:pPr>
      <w:r>
        <w:t>(c)</w:t>
      </w:r>
      <w:r>
        <w:tab/>
      </w:r>
      <w:r w:rsidR="0027538A">
        <w:t>t</w:t>
      </w:r>
      <w:r>
        <w:t>he terms of the proposed determination are in writing and have been signed by, or on behalf of, each of the parties (s </w:t>
      </w:r>
      <w:proofErr w:type="spellStart"/>
      <w:r>
        <w:t>87A</w:t>
      </w:r>
      <w:proofErr w:type="spellEnd"/>
      <w:r>
        <w:t>(1)(d)) and a copy has been filed with the Court (s </w:t>
      </w:r>
      <w:proofErr w:type="spellStart"/>
      <w:r>
        <w:t>87A</w:t>
      </w:r>
      <w:proofErr w:type="spellEnd"/>
      <w:r>
        <w:t>(2));</w:t>
      </w:r>
    </w:p>
    <w:p w:rsidR="0023049B" w:rsidRDefault="0023049B" w:rsidP="00322800">
      <w:pPr>
        <w:ind w:left="1440" w:hanging="731"/>
      </w:pPr>
      <w:r>
        <w:t>(d)</w:t>
      </w:r>
      <w:r>
        <w:tab/>
      </w:r>
      <w:r w:rsidR="0027538A">
        <w:t>t</w:t>
      </w:r>
      <w:r>
        <w:t>he Registrar has given notice to the other parties to the proceedings of the filing of the proposed determination (s </w:t>
      </w:r>
      <w:proofErr w:type="spellStart"/>
      <w:r>
        <w:t>87A</w:t>
      </w:r>
      <w:proofErr w:type="spellEnd"/>
      <w:r>
        <w:t>(3));</w:t>
      </w:r>
    </w:p>
    <w:p w:rsidR="0023049B" w:rsidRDefault="0023049B" w:rsidP="00322800">
      <w:pPr>
        <w:ind w:left="1440" w:hanging="731"/>
      </w:pPr>
      <w:r>
        <w:t>(e)</w:t>
      </w:r>
      <w:r>
        <w:tab/>
        <w:t xml:space="preserve">an order in, or </w:t>
      </w:r>
      <w:r w:rsidR="0027538A">
        <w:t xml:space="preserve">consistent </w:t>
      </w:r>
      <w:r>
        <w:t>with, the terms of the proposed determination would be within its power (s </w:t>
      </w:r>
      <w:proofErr w:type="spellStart"/>
      <w:r>
        <w:t>87A</w:t>
      </w:r>
      <w:proofErr w:type="spellEnd"/>
      <w:r>
        <w:t>(4)(a)); and</w:t>
      </w:r>
    </w:p>
    <w:p w:rsidR="0023049B" w:rsidRDefault="0023049B" w:rsidP="00322800">
      <w:pPr>
        <w:ind w:left="1440" w:hanging="731"/>
      </w:pPr>
      <w:r>
        <w:t>(f)</w:t>
      </w:r>
      <w:r>
        <w:tab/>
        <w:t>it is appropriate to make the determination (s </w:t>
      </w:r>
      <w:proofErr w:type="spellStart"/>
      <w:r>
        <w:t>87A</w:t>
      </w:r>
      <w:proofErr w:type="spellEnd"/>
      <w:r>
        <w:t>(4)(b)).</w:t>
      </w:r>
    </w:p>
    <w:p w:rsidR="0027538A" w:rsidRDefault="0027538A" w:rsidP="0027538A">
      <w:pPr>
        <w:pStyle w:val="Heading2"/>
      </w:pPr>
      <w:r>
        <w:t>Approach to the application of s </w:t>
      </w:r>
      <w:proofErr w:type="spellStart"/>
      <w:r>
        <w:t>87A</w:t>
      </w:r>
      <w:proofErr w:type="spellEnd"/>
    </w:p>
    <w:p w:rsidR="0023049B" w:rsidRDefault="0023049B" w:rsidP="0023049B">
      <w:pPr>
        <w:pStyle w:val="ParaNumbering"/>
      </w:pPr>
      <w:r>
        <w:t xml:space="preserve">One of the policies of the </w:t>
      </w:r>
      <w:proofErr w:type="spellStart"/>
      <w:r>
        <w:t>NTA</w:t>
      </w:r>
      <w:proofErr w:type="spellEnd"/>
      <w:r>
        <w:t xml:space="preserve"> is to encourage parties to reach agreements with respect to claims</w:t>
      </w:r>
      <w:r w:rsidR="00312A47">
        <w:t xml:space="preserve"> of native title</w:t>
      </w:r>
      <w:r>
        <w:t xml:space="preserve">, without the necessity for a formal court hearing.  Sections 87 and </w:t>
      </w:r>
      <w:proofErr w:type="spellStart"/>
      <w:r>
        <w:t>87A</w:t>
      </w:r>
      <w:proofErr w:type="spellEnd"/>
      <w:r>
        <w:t xml:space="preserve"> reflect that policy by permitting the Court to give effect to the parties’ agreement without itself hearing and determining the merits of an application.</w:t>
      </w:r>
    </w:p>
    <w:p w:rsidR="0027538A" w:rsidRDefault="0023049B" w:rsidP="0023049B">
      <w:pPr>
        <w:pStyle w:val="ParaNumbering"/>
      </w:pPr>
      <w:r>
        <w:t>On the other hand, a determination of native title binds not only the parties to the proceedings in which it is made, but everyone</w:t>
      </w:r>
      <w:r w:rsidR="0027538A">
        <w:t xml:space="preserve"> else</w:t>
      </w:r>
      <w:r>
        <w:t xml:space="preserve"> in the community.  Because of this, the Court must be satisfied that the determination it is asked to make is supportable and in accordance with the law: </w:t>
      </w:r>
      <w:r>
        <w:rPr>
          <w:i/>
        </w:rPr>
        <w:t xml:space="preserve">Cox on behalf of the </w:t>
      </w:r>
      <w:proofErr w:type="spellStart"/>
      <w:r>
        <w:rPr>
          <w:i/>
        </w:rPr>
        <w:t>Yungngora</w:t>
      </w:r>
      <w:proofErr w:type="spellEnd"/>
      <w:r>
        <w:rPr>
          <w:i/>
        </w:rPr>
        <w:t xml:space="preserve"> People v State of Western Australia </w:t>
      </w:r>
      <w:r>
        <w:t>[20</w:t>
      </w:r>
      <w:r w:rsidR="0027538A">
        <w:t xml:space="preserve">07] </w:t>
      </w:r>
      <w:proofErr w:type="spellStart"/>
      <w:r w:rsidR="0027538A">
        <w:t>FCA</w:t>
      </w:r>
      <w:proofErr w:type="spellEnd"/>
      <w:r w:rsidR="0027538A">
        <w:t xml:space="preserve"> 588 at [3].</w:t>
      </w:r>
    </w:p>
    <w:p w:rsidR="0023049B" w:rsidRDefault="0023049B" w:rsidP="0023049B">
      <w:pPr>
        <w:pStyle w:val="ParaNumbering"/>
      </w:pPr>
      <w:r>
        <w:t xml:space="preserve">The approach of the Court in these circumstances has been described in a number of cases.  In </w:t>
      </w:r>
      <w:r>
        <w:rPr>
          <w:i/>
        </w:rPr>
        <w:t xml:space="preserve">Lovett on behalf of the </w:t>
      </w:r>
      <w:proofErr w:type="spellStart"/>
      <w:r>
        <w:rPr>
          <w:i/>
        </w:rPr>
        <w:t>Gunditjmara</w:t>
      </w:r>
      <w:proofErr w:type="spellEnd"/>
      <w:r>
        <w:rPr>
          <w:i/>
        </w:rPr>
        <w:t xml:space="preserve"> People v State of </w:t>
      </w:r>
      <w:r w:rsidR="0032714C">
        <w:rPr>
          <w:i/>
        </w:rPr>
        <w:t>Victoria</w:t>
      </w:r>
      <w:r>
        <w:rPr>
          <w:i/>
        </w:rPr>
        <w:t xml:space="preserve"> </w:t>
      </w:r>
      <w:r>
        <w:t xml:space="preserve">[2007] </w:t>
      </w:r>
      <w:proofErr w:type="spellStart"/>
      <w:r>
        <w:t>FCA</w:t>
      </w:r>
      <w:proofErr w:type="spellEnd"/>
      <w:r>
        <w:t xml:space="preserve"> 474, North J said:</w:t>
      </w:r>
    </w:p>
    <w:p w:rsidR="0023049B" w:rsidRDefault="0023049B" w:rsidP="0023049B">
      <w:pPr>
        <w:pStyle w:val="Quote1"/>
      </w:pPr>
      <w:r>
        <w:t>35</w:t>
      </w:r>
      <w:r>
        <w:tab/>
        <w:t>In the present case the Court has heard some evidence, but not a comprehensive case sufficient to establish the facts which would support a determination.  Section 87(1) obviously contemplates that the Court can make orders in such circumstances because it applies when there is no hearing or no full hearing of the case.</w:t>
      </w:r>
    </w:p>
    <w:p w:rsidR="0023049B" w:rsidRDefault="0023049B" w:rsidP="0023049B">
      <w:pPr>
        <w:pStyle w:val="Quote1"/>
      </w:pPr>
    </w:p>
    <w:p w:rsidR="0023049B" w:rsidRDefault="0023049B" w:rsidP="0023049B">
      <w:pPr>
        <w:pStyle w:val="Quote1"/>
      </w:pPr>
      <w:r>
        <w:t>36</w:t>
      </w:r>
      <w:r>
        <w:tab/>
        <w:t xml:space="preserve">The focus of the section is on the making of an agreement by the parties.  This reflects the importance placed by the Act on mediation as the primary means of resolving native title applications.  Indeed, Parliament has established the National </w:t>
      </w:r>
      <w:r>
        <w:lastRenderedPageBreak/>
        <w:t xml:space="preserve">Native Title Tribunal with the function of conducting mediations in such cases.  The Act is designed to encourage parties to take responsibility for resolving proceedings without the need for litigation.  Section 87 must be construed in this context.  The power must be exercised flexibly and with regard to the purpose for which the section is designed.  </w:t>
      </w:r>
    </w:p>
    <w:p w:rsidR="0023049B" w:rsidRDefault="0023049B" w:rsidP="0023049B">
      <w:pPr>
        <w:pStyle w:val="Quote1"/>
      </w:pPr>
    </w:p>
    <w:p w:rsidR="0023049B" w:rsidRDefault="0023049B" w:rsidP="0023049B">
      <w:pPr>
        <w:pStyle w:val="Quote1"/>
      </w:pPr>
      <w:r>
        <w:t>37</w:t>
      </w:r>
      <w:r>
        <w:tab/>
        <w:t xml:space="preserve">In this context, when the Court is examining the appropriateness of an agreement, it is not required to examine whether the agreement is grounded on a factual basis which would satisfy the Court at a hearing of the application.  The primary consideration of the Court is to determine whether there is an agreement and whether it was freely entered into on an informed basis: …  Insofar as this latter consideration applies to a State party, it will require the Court to be satisfied that the State party has taken steps to satisfy itself that there is a credible basis for an application: …  There is a question as to how far a State party is required to investigate in order to satisfy itself of a credible basis for an application.  One reason for the often inordinate time taken to resolve some of these cases is the overly demanding nature of the investigation conducted by State parties.  The scope of these investigations demanded by some States is reflected in the complex connection guidelines published by some States.  </w:t>
      </w:r>
    </w:p>
    <w:p w:rsidR="0023049B" w:rsidRDefault="0023049B" w:rsidP="0023049B">
      <w:pPr>
        <w:pStyle w:val="Quote1"/>
      </w:pPr>
    </w:p>
    <w:p w:rsidR="0023049B" w:rsidRDefault="0023049B" w:rsidP="0023049B">
      <w:pPr>
        <w:pStyle w:val="Quote1"/>
      </w:pPr>
      <w:r w:rsidRPr="00C50CE1">
        <w:t>38</w:t>
      </w:r>
      <w:r w:rsidRPr="00C50CE1">
        <w:tab/>
        <w:t xml:space="preserve">The power conferred by the Act on the Court to approve agreements is given in order to avoid lengthy hearings before the Court.  The Act does not intend to substitute a trial, in effect, conducted by State parties for a trial before the Court.  Thus, something significantly less than the material necessary to justify a judicial determination is sufficient to satisfy a State party of a credible basis for an application.  The Act contemplates a more flexible process than is often undertaken in some cases.  </w:t>
      </w:r>
      <w:r>
        <w:t>…</w:t>
      </w:r>
    </w:p>
    <w:p w:rsidR="0023049B" w:rsidRDefault="0023049B" w:rsidP="0023049B">
      <w:pPr>
        <w:pStyle w:val="Quote1"/>
      </w:pPr>
      <w:r>
        <w:t>(Citations omitted)</w:t>
      </w:r>
    </w:p>
    <w:p w:rsidR="0023049B" w:rsidRDefault="0023049B" w:rsidP="0023049B">
      <w:pPr>
        <w:pStyle w:val="Quote1"/>
      </w:pPr>
    </w:p>
    <w:p w:rsidR="0027538A" w:rsidRDefault="0027538A" w:rsidP="0027538A">
      <w:pPr>
        <w:pStyle w:val="NoNum"/>
      </w:pPr>
      <w:r>
        <w:t>As can be seen, North J emphasised the role of the relevant State in investigating and assessing claims for native</w:t>
      </w:r>
      <w:r w:rsidR="00195473">
        <w:t xml:space="preserve"> title</w:t>
      </w:r>
      <w:r>
        <w:t xml:space="preserve">, and the weight which the Court is entitled to give to </w:t>
      </w:r>
      <w:r w:rsidR="00312A47">
        <w:t>the State’s</w:t>
      </w:r>
      <w:r>
        <w:t xml:space="preserve"> evaluation of that evidence and its consent to a determination.</w:t>
      </w:r>
    </w:p>
    <w:p w:rsidR="0023049B" w:rsidRDefault="0023049B" w:rsidP="0023049B">
      <w:pPr>
        <w:pStyle w:val="ParaNumbering"/>
      </w:pPr>
      <w:r>
        <w:t xml:space="preserve">In </w:t>
      </w:r>
      <w:r>
        <w:rPr>
          <w:i/>
        </w:rPr>
        <w:t xml:space="preserve">Nelson v Northern Territory of Australia </w:t>
      </w:r>
      <w:r>
        <w:t xml:space="preserve">[2010] </w:t>
      </w:r>
      <w:proofErr w:type="spellStart"/>
      <w:r>
        <w:t>FCA</w:t>
      </w:r>
      <w:proofErr w:type="spellEnd"/>
      <w:r>
        <w:t xml:space="preserve"> 1343 at [12]-[13]; (2010) 190 </w:t>
      </w:r>
      <w:proofErr w:type="spellStart"/>
      <w:r>
        <w:t>FCR</w:t>
      </w:r>
      <w:proofErr w:type="spellEnd"/>
      <w:r>
        <w:t xml:space="preserve"> 344</w:t>
      </w:r>
      <w:r w:rsidR="0032714C">
        <w:t xml:space="preserve"> at 348</w:t>
      </w:r>
      <w:r>
        <w:t>, Reeves J referred to the significance of the State</w:t>
      </w:r>
      <w:r w:rsidR="0027538A">
        <w:t>’</w:t>
      </w:r>
      <w:r>
        <w:t xml:space="preserve">s role in agreements leading to proposed consent determinations, and referred to further passages in the reasons of North J in </w:t>
      </w:r>
      <w:r>
        <w:rPr>
          <w:i/>
        </w:rPr>
        <w:t>Lovett</w:t>
      </w:r>
      <w:r>
        <w:t>.  Reeves J said:</w:t>
      </w:r>
    </w:p>
    <w:p w:rsidR="00C655BD" w:rsidRDefault="00C655BD" w:rsidP="00C655BD">
      <w:pPr>
        <w:pStyle w:val="Quote1"/>
      </w:pPr>
      <w:r>
        <w:t>It is appropriate to make some comments about the difficult balance a State party needs to strike between its role in protecting the community’s interests, including the stringency of the processes it follows in assessing the underlying evidence going to the existence of native title, and its role in the native title system as a whole, to ensure that it, like the Court and all other parties, takes a flexible approach that is aimed at facilitating negotiation and achieving agreement. I</w:t>
      </w:r>
      <w:r w:rsidRPr="00CF1439">
        <w:t xml:space="preserve">n </w:t>
      </w:r>
      <w:r w:rsidRPr="00CF1439">
        <w:rPr>
          <w:i/>
        </w:rPr>
        <w:t>Lovett</w:t>
      </w:r>
      <w:r w:rsidRPr="00447B5A">
        <w:t xml:space="preserve"> </w:t>
      </w:r>
      <w:r w:rsidRPr="00CF1439">
        <w:t>North J</w:t>
      </w:r>
      <w:r>
        <w:t xml:space="preserve"> commented:</w:t>
      </w:r>
    </w:p>
    <w:p w:rsidR="00C655BD" w:rsidRPr="005B28CB" w:rsidRDefault="00C655BD" w:rsidP="00C655BD">
      <w:pPr>
        <w:pStyle w:val="Quote1"/>
        <w:rPr>
          <w:iCs/>
        </w:rPr>
      </w:pPr>
    </w:p>
    <w:p w:rsidR="00C655BD" w:rsidRPr="00CF1439" w:rsidRDefault="00C655BD" w:rsidP="00C655BD">
      <w:pPr>
        <w:pStyle w:val="Quote2"/>
      </w:pPr>
      <w:r>
        <w:t xml:space="preserve">… </w:t>
      </w:r>
      <w:r w:rsidRPr="00CF1439">
        <w:t xml:space="preserve">There is a question as to how far a State party is required to investigate in order to satisfy itself of a credible basis for an application. One reason for the often inordinate time taken to resolve some of these cases is the overly demanding nature of the investigation conducted by State parties. The scope </w:t>
      </w:r>
      <w:r w:rsidRPr="00CF1439">
        <w:lastRenderedPageBreak/>
        <w:t>of these investigations demanded by some States is reflected in the complex connection guidelines published by some States.</w:t>
      </w:r>
    </w:p>
    <w:p w:rsidR="00C655BD" w:rsidRDefault="00C655BD" w:rsidP="00C655BD">
      <w:pPr>
        <w:pStyle w:val="Quote2"/>
      </w:pPr>
    </w:p>
    <w:p w:rsidR="00C655BD" w:rsidRDefault="00C655BD" w:rsidP="00C655BD">
      <w:pPr>
        <w:pStyle w:val="Quote2"/>
      </w:pPr>
      <w:r w:rsidRPr="00CF1439">
        <w:t>The power conferred by the Act on the Court to approve agreements is given in order to avoid lengthy hearings before the Court. The Act does not intend to substitute a trial, in effect, conducted by State parties for a trial before the Court. Thus, something significantly less than the material necessary to justify a judicial determination is sufficient to satisfy a State party of a credible basis for an application. The Act contemplates a more flexible process than is often undertaken in some cases.</w:t>
      </w:r>
    </w:p>
    <w:p w:rsidR="00C655BD" w:rsidRPr="00CF1439" w:rsidRDefault="00C655BD" w:rsidP="00C655BD">
      <w:pPr>
        <w:pStyle w:val="Quote2"/>
      </w:pPr>
    </w:p>
    <w:p w:rsidR="0023049B" w:rsidRDefault="00C655BD" w:rsidP="00C655BD">
      <w:pPr>
        <w:pStyle w:val="Quote1"/>
      </w:pPr>
      <w:r>
        <w:t>I respectfully agree with North J in these observations.  …</w:t>
      </w:r>
    </w:p>
    <w:p w:rsidR="00C655BD" w:rsidRDefault="00C655BD" w:rsidP="00C655BD">
      <w:pPr>
        <w:pStyle w:val="Quote1"/>
      </w:pPr>
    </w:p>
    <w:p w:rsidR="0027538A" w:rsidRDefault="0027538A" w:rsidP="00C655BD">
      <w:pPr>
        <w:pStyle w:val="ParaNumbering"/>
      </w:pPr>
      <w:proofErr w:type="spellStart"/>
      <w:r>
        <w:t>Madgwick</w:t>
      </w:r>
      <w:proofErr w:type="spellEnd"/>
      <w:r>
        <w:t xml:space="preserve"> J emphasised the responsibility of a State in as</w:t>
      </w:r>
      <w:r w:rsidR="00195473">
        <w:t>sessing claims for native title in</w:t>
      </w:r>
      <w:r>
        <w:t xml:space="preserve"> </w:t>
      </w:r>
      <w:r>
        <w:rPr>
          <w:i/>
        </w:rPr>
        <w:t>Smith v Western Australia</w:t>
      </w:r>
      <w:r>
        <w:t xml:space="preserve"> [2000] </w:t>
      </w:r>
      <w:proofErr w:type="spellStart"/>
      <w:r>
        <w:t>FCA</w:t>
      </w:r>
      <w:proofErr w:type="spellEnd"/>
      <w:r>
        <w:t xml:space="preserve"> 1249 at [38]; (2000) 104 </w:t>
      </w:r>
      <w:proofErr w:type="spellStart"/>
      <w:r>
        <w:t>FCR</w:t>
      </w:r>
      <w:proofErr w:type="spellEnd"/>
      <w:r>
        <w:t xml:space="preserve"> 494 at 501-2:</w:t>
      </w:r>
    </w:p>
    <w:p w:rsidR="0027538A" w:rsidRDefault="004F6C2D" w:rsidP="004F6C2D">
      <w:pPr>
        <w:pStyle w:val="Quote1"/>
      </w:pPr>
      <w:r>
        <w:t>… State governments are necessarily obliged to subject claims for native title over lands and waters owned and occupied by the State and State agencies, to scrutiny just as careful</w:t>
      </w:r>
      <w:r w:rsidR="0088119C">
        <w:t>ly</w:t>
      </w:r>
      <w:r>
        <w:t xml:space="preserve"> as the community would expect in relation to claims by non-Aborigines to significant rights over such land.  The State is faced with a good many such claims.  A deal of proper caution is to be expected. …</w:t>
      </w:r>
    </w:p>
    <w:p w:rsidR="004F6C2D" w:rsidRDefault="004F6C2D" w:rsidP="004F6C2D">
      <w:pPr>
        <w:pStyle w:val="Quote1"/>
      </w:pPr>
    </w:p>
    <w:p w:rsidR="00C655BD" w:rsidRDefault="00C655BD" w:rsidP="00C655BD">
      <w:pPr>
        <w:pStyle w:val="ParaNumbering"/>
      </w:pPr>
      <w:r>
        <w:t xml:space="preserve">Finally, it is appropriate to refer to the reasons of Keane CJ in </w:t>
      </w:r>
      <w:r>
        <w:rPr>
          <w:i/>
        </w:rPr>
        <w:t>King v State of South Australia</w:t>
      </w:r>
      <w:r>
        <w:t xml:space="preserve"> [2011] </w:t>
      </w:r>
      <w:proofErr w:type="spellStart"/>
      <w:r>
        <w:t>FCA</w:t>
      </w:r>
      <w:proofErr w:type="spellEnd"/>
      <w:r>
        <w:t xml:space="preserve"> 1386</w:t>
      </w:r>
      <w:r w:rsidR="0032714C">
        <w:t xml:space="preserve"> at [19]</w:t>
      </w:r>
      <w:r>
        <w:t xml:space="preserve">; (2011) 285 </w:t>
      </w:r>
      <w:proofErr w:type="spellStart"/>
      <w:r>
        <w:t>ALR</w:t>
      </w:r>
      <w:proofErr w:type="spellEnd"/>
      <w:r>
        <w:t xml:space="preserve"> 454</w:t>
      </w:r>
      <w:r w:rsidR="0032714C">
        <w:t xml:space="preserve"> at 458</w:t>
      </w:r>
      <w:r>
        <w:t>:</w:t>
      </w:r>
    </w:p>
    <w:p w:rsidR="00C655BD" w:rsidRDefault="0032714C" w:rsidP="00C655BD">
      <w:pPr>
        <w:pStyle w:val="Quote1"/>
      </w:pPr>
      <w:r>
        <w:t>M</w:t>
      </w:r>
      <w:r w:rsidR="00C655BD" w:rsidRPr="00C655BD">
        <w:t>ore recently, the Court has been prepared to rely upon the processes of the relevant State or Territory about the requirements of s 223 being met to be satisfied that the making of the agreed orders is appropriate.  That is because each State and Territory has developed a protocol or procedure by which it determines whether native title (as defined in s 223) has been established.  It acts in the public interest and as the public guardian in doing so.  It has access to anthropological, and where appropriate, archaeological, historical and linguistic expertise.  It has a legal team to manage and supervise the testing as to the existence of native title in the claimant group.  Although the Court must, of course, preserve to itself the question whether it is satisfied that the proposed orders are appropriate in the circumstances of each particular application, generally the Court reaches the required satisfaction by reliance upon those processes.  They are commonly explained in the joint submissions of the parties in support of the orders agreed.</w:t>
      </w:r>
      <w:r w:rsidR="00C655BD">
        <w:t xml:space="preserve">  …</w:t>
      </w:r>
    </w:p>
    <w:p w:rsidR="00C655BD" w:rsidRDefault="00C655BD" w:rsidP="00C655BD">
      <w:pPr>
        <w:pStyle w:val="Quote1"/>
      </w:pPr>
    </w:p>
    <w:p w:rsidR="00C655BD" w:rsidRDefault="00C655BD" w:rsidP="00312A47">
      <w:pPr>
        <w:pStyle w:val="ParaNumbering"/>
      </w:pPr>
      <w:r>
        <w:t xml:space="preserve">The approach set out in these passages has been applied in </w:t>
      </w:r>
      <w:r w:rsidR="004F6C2D">
        <w:t xml:space="preserve">a number of cases in this Court and I consider that it can be applied in the present case.  The State of South Australia has developed a rigorous process for assessing the evidence in native title claims against the requirements of the </w:t>
      </w:r>
      <w:proofErr w:type="spellStart"/>
      <w:r w:rsidR="004F6C2D">
        <w:t>NTA</w:t>
      </w:r>
      <w:proofErr w:type="spellEnd"/>
      <w:r w:rsidR="004F6C2D">
        <w:t xml:space="preserve">.  This process is outlined in the State’s policy document entitled “Consent Determinations in South Australia: A Guide to Preparing Native Title Reports”.  The State assessed the respective claims of the </w:t>
      </w:r>
      <w:proofErr w:type="spellStart"/>
      <w:r w:rsidR="004F6C2D">
        <w:t>Dieri</w:t>
      </w:r>
      <w:proofErr w:type="spellEnd"/>
      <w:r w:rsidR="004F6C2D">
        <w:t xml:space="preserve"> and the </w:t>
      </w:r>
      <w:proofErr w:type="spellStart"/>
      <w:r w:rsidR="004F6C2D">
        <w:t>Adnyamathanha</w:t>
      </w:r>
      <w:proofErr w:type="spellEnd"/>
      <w:r w:rsidR="004F6C2D">
        <w:t xml:space="preserve"> </w:t>
      </w:r>
      <w:r w:rsidR="00312A47">
        <w:t xml:space="preserve">in respect of the overlap area </w:t>
      </w:r>
      <w:r w:rsidR="004F6C2D">
        <w:t>using the process set out in its policy document.</w:t>
      </w:r>
    </w:p>
    <w:p w:rsidR="004F6C2D" w:rsidRDefault="004F6C2D" w:rsidP="004F6C2D">
      <w:pPr>
        <w:pStyle w:val="Heading2"/>
      </w:pPr>
      <w:r>
        <w:lastRenderedPageBreak/>
        <w:t>The evidence and materials reviewed by the State</w:t>
      </w:r>
    </w:p>
    <w:p w:rsidR="00312A47" w:rsidRDefault="004F6C2D" w:rsidP="004F6C2D">
      <w:pPr>
        <w:pStyle w:val="ParaNumbering"/>
      </w:pPr>
      <w:r>
        <w:t xml:space="preserve">The joint written submissions of the State and of the applicants </w:t>
      </w:r>
      <w:r w:rsidR="00195473">
        <w:t xml:space="preserve">(including the </w:t>
      </w:r>
      <w:proofErr w:type="spellStart"/>
      <w:r w:rsidR="00195473">
        <w:t>Adnyamathanha</w:t>
      </w:r>
      <w:proofErr w:type="spellEnd"/>
      <w:r w:rsidR="00195473">
        <w:t xml:space="preserve">) </w:t>
      </w:r>
      <w:r w:rsidR="00D96786">
        <w:t>indicate</w:t>
      </w:r>
      <w:r>
        <w:t xml:space="preserve"> that the State has had regard to an extensive range of material.  The principal evidence provided by the </w:t>
      </w:r>
      <w:proofErr w:type="spellStart"/>
      <w:r>
        <w:t>Dieri</w:t>
      </w:r>
      <w:proofErr w:type="spellEnd"/>
      <w:r>
        <w:t xml:space="preserve"> consisted of five documents co-authored by two anthropologists, Drs </w:t>
      </w:r>
      <w:proofErr w:type="spellStart"/>
      <w:r>
        <w:t>Fergie</w:t>
      </w:r>
      <w:proofErr w:type="spellEnd"/>
      <w:r>
        <w:t xml:space="preserve"> and Lucas.  Dr </w:t>
      </w:r>
      <w:proofErr w:type="spellStart"/>
      <w:r>
        <w:t>Fergie</w:t>
      </w:r>
      <w:proofErr w:type="spellEnd"/>
      <w:r>
        <w:t xml:space="preserve"> holds a senior lectureship, and Dr Lucas a lectureship</w:t>
      </w:r>
      <w:r w:rsidR="00312A47">
        <w:t>,</w:t>
      </w:r>
      <w:r>
        <w:t xml:space="preserve"> in anthropology at the University of Adelaide.  Each </w:t>
      </w:r>
      <w:r w:rsidR="0032714C">
        <w:t>is a</w:t>
      </w:r>
      <w:r>
        <w:t xml:space="preserve"> consultant anthropologist with considerable professional and academic experience, both generally and with regard to native title.  In addition, the State had regard to preservation evidence taken on country by this Court from Mrs Irene Warren and Mr Bob Ke</w:t>
      </w:r>
      <w:r w:rsidR="00195473">
        <w:t>nnedy (both claimants), and Mr </w:t>
      </w:r>
      <w:r>
        <w:t xml:space="preserve">George Bell (a pastoralist).  </w:t>
      </w:r>
      <w:r w:rsidR="00195473">
        <w:t>Finally</w:t>
      </w:r>
      <w:r>
        <w:t xml:space="preserve">, </w:t>
      </w:r>
      <w:r w:rsidR="00195473">
        <w:t xml:space="preserve">I note that </w:t>
      </w:r>
      <w:r>
        <w:t xml:space="preserve">the State was supplied with various statements and </w:t>
      </w:r>
      <w:r w:rsidR="00312A47">
        <w:t>affidavits from the claimants.</w:t>
      </w:r>
    </w:p>
    <w:p w:rsidR="004F6C2D" w:rsidRDefault="00195473" w:rsidP="004F6C2D">
      <w:pPr>
        <w:pStyle w:val="ParaNumbering"/>
      </w:pPr>
      <w:r>
        <w:t>T</w:t>
      </w:r>
      <w:r w:rsidR="004F6C2D">
        <w:t xml:space="preserve">he </w:t>
      </w:r>
      <w:proofErr w:type="spellStart"/>
      <w:r w:rsidR="004F6C2D">
        <w:t>Adnyamathanha</w:t>
      </w:r>
      <w:proofErr w:type="spellEnd"/>
      <w:r w:rsidR="004F6C2D">
        <w:t xml:space="preserve"> provided the State with four documents authored by Mr Ellis, an anthropologist.  He is a consultant with over 40 years’ experience in Aboriginal traditions and heritage generally, and it is accepted that he has a specialised knowledge of the </w:t>
      </w:r>
      <w:proofErr w:type="spellStart"/>
      <w:r w:rsidR="004F6C2D">
        <w:t>Adnyamathanha</w:t>
      </w:r>
      <w:proofErr w:type="spellEnd"/>
      <w:r w:rsidR="004F6C2D">
        <w:t>.</w:t>
      </w:r>
      <w:r w:rsidR="002A0004">
        <w:t xml:space="preserve">  In addition, the </w:t>
      </w:r>
      <w:proofErr w:type="spellStart"/>
      <w:r w:rsidR="002A0004">
        <w:t>Adnyamathanha</w:t>
      </w:r>
      <w:proofErr w:type="spellEnd"/>
      <w:r w:rsidR="002A0004">
        <w:t xml:space="preserve"> provided the State with numerous signed witness statements deposing to matters bearing upon the continued existence of native title in the overlap area.</w:t>
      </w:r>
    </w:p>
    <w:p w:rsidR="004F6C2D" w:rsidRDefault="004F6C2D" w:rsidP="004F6C2D">
      <w:pPr>
        <w:pStyle w:val="ParaNumbering"/>
      </w:pPr>
      <w:r>
        <w:t xml:space="preserve">The State assessed this material with the assistance of its then in-house anthropologist, Mr </w:t>
      </w:r>
      <w:proofErr w:type="spellStart"/>
      <w:r>
        <w:t>McCaul</w:t>
      </w:r>
      <w:proofErr w:type="spellEnd"/>
      <w:r w:rsidR="00312A47">
        <w:t>,</w:t>
      </w:r>
      <w:r>
        <w:t xml:space="preserve"> and an independent expert, Dr Martin.  Dr Martin holds a PhD in anthropology and has been involved in a large number of native title matters.</w:t>
      </w:r>
      <w:r w:rsidR="002A0004">
        <w:t xml:space="preserve">  A conference of the anthropological experts, chaired by Professor Peter Sutton, was held on 2 and 3 May 2010.  The experts reached a generally agreed conclusion which, amongst other things, led to further material being supplied.</w:t>
      </w:r>
    </w:p>
    <w:p w:rsidR="002A0004" w:rsidRDefault="002A0004" w:rsidP="004F6C2D">
      <w:pPr>
        <w:pStyle w:val="ParaNumbering"/>
      </w:pPr>
      <w:r>
        <w:t>The State then sought an opinion from independent counsel, Ms Gabrielle Brown</w:t>
      </w:r>
      <w:r w:rsidR="00D96786">
        <w:t>,</w:t>
      </w:r>
      <w:r>
        <w:t xml:space="preserve"> who has experience in </w:t>
      </w:r>
      <w:r w:rsidR="00312A47">
        <w:t>native</w:t>
      </w:r>
      <w:r>
        <w:t xml:space="preserve"> title matters.  Ms Brown provided an opinion to the effect that the requirements of the State’s policy guidelines had been met and that no further evidence was required.</w:t>
      </w:r>
    </w:p>
    <w:p w:rsidR="002A0004" w:rsidRDefault="002A0004" w:rsidP="004F6C2D">
      <w:pPr>
        <w:pStyle w:val="ParaNumbering"/>
      </w:pPr>
      <w:r>
        <w:t xml:space="preserve">In October 2011, the Crown Solicitor’s </w:t>
      </w:r>
      <w:r w:rsidR="0032714C">
        <w:t>O</w:t>
      </w:r>
      <w:r>
        <w:t>ffice circulated a position paper to all respondent parties.  That paper explained the basis for the concl</w:t>
      </w:r>
      <w:r w:rsidR="0032714C">
        <w:t>usion of the Crown Solicitor’s O</w:t>
      </w:r>
      <w:r>
        <w:t>ffice and proceeded on the basis that the claimant groups were then content to have a joint determination of native title.</w:t>
      </w:r>
    </w:p>
    <w:p w:rsidR="002A0004" w:rsidRDefault="002A0004" w:rsidP="004F6C2D">
      <w:pPr>
        <w:pStyle w:val="ParaNumbering"/>
      </w:pPr>
      <w:r>
        <w:lastRenderedPageBreak/>
        <w:t xml:space="preserve">However, subsequently it became apparent that there was not unanimity of views about </w:t>
      </w:r>
      <w:r w:rsidR="00312A47">
        <w:t xml:space="preserve">such </w:t>
      </w:r>
      <w:r>
        <w:t>a joint determination.  This Court then con</w:t>
      </w:r>
      <w:r w:rsidR="00CA7AAB">
        <w:t xml:space="preserve">vened a mediation.  Agreement was reached at that mediation on 29 July 2013 that the overlap area would be divided into two discrete areas: Area </w:t>
      </w:r>
      <w:proofErr w:type="spellStart"/>
      <w:r w:rsidR="00CA7AAB">
        <w:t>B1</w:t>
      </w:r>
      <w:proofErr w:type="spellEnd"/>
      <w:r w:rsidR="00CA7AAB">
        <w:t xml:space="preserve"> for which the </w:t>
      </w:r>
      <w:proofErr w:type="spellStart"/>
      <w:r w:rsidR="00CA7AAB">
        <w:t>Dieri</w:t>
      </w:r>
      <w:proofErr w:type="spellEnd"/>
      <w:r w:rsidR="00CA7AAB">
        <w:t xml:space="preserve"> would be the native title holders and Area </w:t>
      </w:r>
      <w:proofErr w:type="spellStart"/>
      <w:r w:rsidR="00CA7AAB">
        <w:t>B2</w:t>
      </w:r>
      <w:proofErr w:type="spellEnd"/>
      <w:r w:rsidR="00CA7AAB">
        <w:t xml:space="preserve"> for which the </w:t>
      </w:r>
      <w:proofErr w:type="spellStart"/>
      <w:r w:rsidR="00CA7AAB">
        <w:t>Adnyamathanha</w:t>
      </w:r>
      <w:proofErr w:type="spellEnd"/>
      <w:r w:rsidR="00CA7AAB">
        <w:t xml:space="preserve"> would be the native title holders, with each recognising the traditional rights of the other group.</w:t>
      </w:r>
    </w:p>
    <w:p w:rsidR="00CA7AAB" w:rsidRDefault="00CA7AAB" w:rsidP="004F6C2D">
      <w:pPr>
        <w:pStyle w:val="ParaNumbering"/>
      </w:pPr>
      <w:r>
        <w:t xml:space="preserve">Mr Michael Evans QC, the </w:t>
      </w:r>
      <w:r w:rsidR="00D96786">
        <w:t xml:space="preserve">former </w:t>
      </w:r>
      <w:r>
        <w:t>Crown Advocate, considered the proposal emerging from the mediation.  He advised that the two proposed determinations are appropriate.</w:t>
      </w:r>
    </w:p>
    <w:p w:rsidR="00CA7AAB" w:rsidRPr="004F6C2D" w:rsidRDefault="00CA7AAB" w:rsidP="004F6C2D">
      <w:pPr>
        <w:pStyle w:val="ParaNumbering"/>
      </w:pPr>
      <w:r>
        <w:t xml:space="preserve">The State then circulated a revised position paper to the respondent parties in November 2013.  All affected parties signed the proposed determinations </w:t>
      </w:r>
      <w:r w:rsidR="00312A47">
        <w:t xml:space="preserve">in favour of the </w:t>
      </w:r>
      <w:proofErr w:type="spellStart"/>
      <w:r w:rsidR="00312A47">
        <w:t>Dieri</w:t>
      </w:r>
      <w:proofErr w:type="spellEnd"/>
      <w:r w:rsidR="00312A47">
        <w:t xml:space="preserve"> and the </w:t>
      </w:r>
      <w:proofErr w:type="spellStart"/>
      <w:r w:rsidR="00312A47">
        <w:t>Adnyamathanha</w:t>
      </w:r>
      <w:proofErr w:type="spellEnd"/>
      <w:r w:rsidR="00312A47">
        <w:t xml:space="preserve"> </w:t>
      </w:r>
      <w:r>
        <w:t>to indicate their agreement or have removed themselves as a party to the proceedings.</w:t>
      </w:r>
    </w:p>
    <w:p w:rsidR="004F6C2D" w:rsidRDefault="004F6C2D" w:rsidP="004F6C2D">
      <w:pPr>
        <w:pStyle w:val="Heading2"/>
      </w:pPr>
      <w:r>
        <w:t>Consideration</w:t>
      </w:r>
    </w:p>
    <w:p w:rsidR="00C655BD" w:rsidRDefault="00C655BD" w:rsidP="00C655BD">
      <w:pPr>
        <w:pStyle w:val="ParaNumbering"/>
      </w:pPr>
      <w:r>
        <w:t>I am satisfied that the “procedural” requirements of s </w:t>
      </w:r>
      <w:proofErr w:type="spellStart"/>
      <w:r>
        <w:t>87A</w:t>
      </w:r>
      <w:proofErr w:type="spellEnd"/>
      <w:r>
        <w:t xml:space="preserve"> have been satisfied</w:t>
      </w:r>
      <w:r w:rsidR="00312A47">
        <w:t xml:space="preserve">.  </w:t>
      </w:r>
      <w:r w:rsidR="004F6C2D">
        <w:t>Each</w:t>
      </w:r>
      <w:r>
        <w:t xml:space="preserve"> of the </w:t>
      </w:r>
      <w:r w:rsidR="00896F40">
        <w:t xml:space="preserve">current </w:t>
      </w:r>
      <w:r>
        <w:t xml:space="preserve">parties in </w:t>
      </w:r>
      <w:r w:rsidR="00312A47">
        <w:t xml:space="preserve">the </w:t>
      </w:r>
      <w:proofErr w:type="spellStart"/>
      <w:r w:rsidR="00312A47">
        <w:t>Dieri</w:t>
      </w:r>
      <w:proofErr w:type="spellEnd"/>
      <w:r w:rsidR="00312A47">
        <w:t xml:space="preserve"> No 2 </w:t>
      </w:r>
      <w:r>
        <w:t>proceeding is a party to the agreement</w:t>
      </w:r>
      <w:r w:rsidR="00312A47">
        <w:t xml:space="preserve">; </w:t>
      </w:r>
      <w:r>
        <w:t xml:space="preserve">the terms of the proposed determination </w:t>
      </w:r>
      <w:r w:rsidR="0032714C">
        <w:t>have</w:t>
      </w:r>
      <w:r>
        <w:t xml:space="preserve"> been reduced to writing and ha</w:t>
      </w:r>
      <w:r w:rsidR="00D96786">
        <w:t>ve</w:t>
      </w:r>
      <w:r>
        <w:t xml:space="preserve"> been signed by or on behalf of each party</w:t>
      </w:r>
      <w:r w:rsidR="00312A47">
        <w:t>;</w:t>
      </w:r>
      <w:r>
        <w:t xml:space="preserve"> and the period specified in the respective notices under s 66 has expired.  </w:t>
      </w:r>
      <w:r w:rsidR="00A7346E">
        <w:t>The proposed</w:t>
      </w:r>
      <w:r>
        <w:t xml:space="preserve"> determination is to be made on an application which is valid under the </w:t>
      </w:r>
      <w:proofErr w:type="spellStart"/>
      <w:r>
        <w:t>NTA</w:t>
      </w:r>
      <w:proofErr w:type="spellEnd"/>
      <w:r>
        <w:t xml:space="preserve"> and within the Court’s jurisdiction under s 61 of the </w:t>
      </w:r>
      <w:proofErr w:type="spellStart"/>
      <w:r>
        <w:t>NTA</w:t>
      </w:r>
      <w:proofErr w:type="spellEnd"/>
      <w:r>
        <w:t>.</w:t>
      </w:r>
    </w:p>
    <w:p w:rsidR="00C655BD" w:rsidRDefault="00C655BD" w:rsidP="00C655BD">
      <w:pPr>
        <w:pStyle w:val="ParaNumbering"/>
      </w:pPr>
      <w:r>
        <w:t xml:space="preserve">Section </w:t>
      </w:r>
      <w:proofErr w:type="spellStart"/>
      <w:r>
        <w:t>94A</w:t>
      </w:r>
      <w:proofErr w:type="spellEnd"/>
      <w:r>
        <w:t xml:space="preserve"> of the </w:t>
      </w:r>
      <w:proofErr w:type="spellStart"/>
      <w:r>
        <w:t>NTA</w:t>
      </w:r>
      <w:proofErr w:type="spellEnd"/>
      <w:r>
        <w:t xml:space="preserve"> requires that an order of this Court determining a native title claim must set out details of the matters mentioned in s 225.  Section 225 provides:</w:t>
      </w:r>
    </w:p>
    <w:p w:rsidR="007B1091" w:rsidRPr="007B1091" w:rsidRDefault="007B1091" w:rsidP="007B1091">
      <w:pPr>
        <w:pStyle w:val="Quote1"/>
        <w:rPr>
          <w:b/>
        </w:rPr>
      </w:pPr>
      <w:r w:rsidRPr="007B1091">
        <w:rPr>
          <w:b/>
        </w:rPr>
        <w:t>225  Determination of native title</w:t>
      </w:r>
    </w:p>
    <w:p w:rsidR="007B1091" w:rsidRPr="005C382F" w:rsidRDefault="007B1091" w:rsidP="007B1091">
      <w:pPr>
        <w:pStyle w:val="Quote1"/>
      </w:pPr>
    </w:p>
    <w:p w:rsidR="007B1091" w:rsidRDefault="007B1091" w:rsidP="007B1091">
      <w:pPr>
        <w:pStyle w:val="Quote1"/>
      </w:pPr>
      <w:r>
        <w:t>A determination of native title is a determination whether or not native title exists in relation to a particular area (the determination area) of land or waters and, if it does exist, a determination of:</w:t>
      </w:r>
    </w:p>
    <w:p w:rsidR="007B1091" w:rsidRDefault="007B1091" w:rsidP="007B1091">
      <w:pPr>
        <w:pStyle w:val="Quote2"/>
      </w:pPr>
    </w:p>
    <w:p w:rsidR="007B1091" w:rsidRDefault="007B1091" w:rsidP="007B1091">
      <w:pPr>
        <w:pStyle w:val="Quote1"/>
        <w:ind w:left="1440" w:hanging="703"/>
      </w:pPr>
      <w:r>
        <w:t>(a)</w:t>
      </w:r>
      <w:r>
        <w:tab/>
        <w:t>who the persons, or each group of persons, holding the common or group rights comprising the native title are; and</w:t>
      </w:r>
    </w:p>
    <w:p w:rsidR="007B1091" w:rsidRDefault="007B1091" w:rsidP="007B1091">
      <w:pPr>
        <w:pStyle w:val="Quote1"/>
        <w:ind w:left="1440" w:hanging="703"/>
      </w:pPr>
    </w:p>
    <w:p w:rsidR="007B1091" w:rsidRDefault="007B1091" w:rsidP="007B1091">
      <w:pPr>
        <w:pStyle w:val="Quote1"/>
        <w:ind w:left="1440" w:hanging="703"/>
      </w:pPr>
      <w:r>
        <w:t>(b)</w:t>
      </w:r>
      <w:r>
        <w:tab/>
        <w:t>the nature and extent of the native title rights and interests in relation to the determination area; and</w:t>
      </w:r>
    </w:p>
    <w:p w:rsidR="007B1091" w:rsidRDefault="007B1091" w:rsidP="007B1091">
      <w:pPr>
        <w:pStyle w:val="Quote1"/>
        <w:ind w:left="1440" w:hanging="703"/>
      </w:pPr>
    </w:p>
    <w:p w:rsidR="007B1091" w:rsidRDefault="007B1091" w:rsidP="007B1091">
      <w:pPr>
        <w:pStyle w:val="Quote1"/>
        <w:ind w:left="1440" w:hanging="703"/>
      </w:pPr>
      <w:r>
        <w:t>(c)</w:t>
      </w:r>
      <w:r>
        <w:tab/>
        <w:t>the nature and extent of any other interests in relation to the determination area; and</w:t>
      </w:r>
    </w:p>
    <w:p w:rsidR="007B1091" w:rsidRDefault="007B1091" w:rsidP="007B1091">
      <w:pPr>
        <w:pStyle w:val="Quote1"/>
        <w:ind w:left="1440" w:hanging="703"/>
      </w:pPr>
    </w:p>
    <w:p w:rsidR="007B1091" w:rsidRDefault="007B1091" w:rsidP="007B1091">
      <w:pPr>
        <w:pStyle w:val="Quote1"/>
        <w:ind w:left="1440" w:hanging="703"/>
      </w:pPr>
      <w:r>
        <w:t>(d)</w:t>
      </w:r>
      <w:r>
        <w:tab/>
        <w:t xml:space="preserve">the relationship between the rights and interests in paragraphs (b) and (c) </w:t>
      </w:r>
      <w:r>
        <w:lastRenderedPageBreak/>
        <w:t>(taking into account the effect of this Act); and</w:t>
      </w:r>
    </w:p>
    <w:p w:rsidR="007B1091" w:rsidRDefault="007B1091" w:rsidP="007B1091">
      <w:pPr>
        <w:pStyle w:val="Quote1"/>
        <w:ind w:left="1440" w:hanging="703"/>
      </w:pPr>
    </w:p>
    <w:p w:rsidR="007B1091" w:rsidRDefault="007B1091" w:rsidP="007B1091">
      <w:pPr>
        <w:pStyle w:val="Quote1"/>
        <w:ind w:left="1440" w:hanging="703"/>
      </w:pPr>
      <w:r>
        <w:t>(e)</w:t>
      </w:r>
      <w:r>
        <w:tab/>
        <w:t xml:space="preserve">to the extent that the land or waters in the determination area are not covered by a </w:t>
      </w:r>
      <w:r w:rsidR="0032714C">
        <w:t>non-exclusive</w:t>
      </w:r>
      <w:r>
        <w:t xml:space="preserve"> agricultural lease or a </w:t>
      </w:r>
      <w:r w:rsidR="0032714C">
        <w:t>non-exclusive</w:t>
      </w:r>
      <w:r>
        <w:t xml:space="preserve"> pastoral lease—whether the native title rights and interests confer possession, occupation, use and enjoyment of that land or waters on the native title holders to the exclusion of all others.</w:t>
      </w:r>
    </w:p>
    <w:p w:rsidR="007B1091" w:rsidRDefault="007B1091" w:rsidP="007B1091">
      <w:pPr>
        <w:pStyle w:val="Quote2"/>
      </w:pPr>
    </w:p>
    <w:p w:rsidR="007B1091" w:rsidRPr="007B1091" w:rsidRDefault="007B1091" w:rsidP="007B1091">
      <w:pPr>
        <w:pStyle w:val="Quote2"/>
        <w:rPr>
          <w:sz w:val="18"/>
          <w:szCs w:val="18"/>
        </w:rPr>
      </w:pPr>
      <w:r w:rsidRPr="007B1091">
        <w:rPr>
          <w:sz w:val="18"/>
          <w:szCs w:val="18"/>
        </w:rPr>
        <w:t>Note:</w:t>
      </w:r>
      <w:r w:rsidRPr="007B1091">
        <w:rPr>
          <w:sz w:val="18"/>
          <w:szCs w:val="18"/>
        </w:rPr>
        <w:tab/>
        <w:t xml:space="preserve">The determination may deal with the matters in paragraphs (c) and (d) by referring to a particular kind or particular kinds of </w:t>
      </w:r>
      <w:r w:rsidR="0032714C" w:rsidRPr="007B1091">
        <w:rPr>
          <w:sz w:val="18"/>
          <w:szCs w:val="18"/>
        </w:rPr>
        <w:t>non-native</w:t>
      </w:r>
      <w:r w:rsidRPr="007B1091">
        <w:rPr>
          <w:sz w:val="18"/>
          <w:szCs w:val="18"/>
        </w:rPr>
        <w:t xml:space="preserve"> title interests.</w:t>
      </w:r>
    </w:p>
    <w:p w:rsidR="007B1091" w:rsidRDefault="007B1091" w:rsidP="007B1091">
      <w:pPr>
        <w:pStyle w:val="Quote2"/>
      </w:pPr>
    </w:p>
    <w:p w:rsidR="00C655BD" w:rsidRDefault="007B1091" w:rsidP="007B1091">
      <w:pPr>
        <w:pStyle w:val="ParaNumbering"/>
      </w:pPr>
      <w:r>
        <w:t xml:space="preserve">As can be seen, s 225(b) refers to “native title rights and interests”.  That expression is defined in s 223(1) of the </w:t>
      </w:r>
      <w:proofErr w:type="spellStart"/>
      <w:r>
        <w:t>NTA</w:t>
      </w:r>
      <w:proofErr w:type="spellEnd"/>
      <w:r>
        <w:t xml:space="preserve"> as follows:</w:t>
      </w:r>
    </w:p>
    <w:p w:rsidR="007B1091" w:rsidRDefault="007B1091" w:rsidP="007B1091">
      <w:pPr>
        <w:pStyle w:val="Quote1"/>
        <w:ind w:left="1440" w:hanging="703"/>
      </w:pPr>
      <w:r>
        <w:t>(1)</w:t>
      </w:r>
      <w:r>
        <w:tab/>
        <w:t>The expression native title or native title rights and interests means the communal, group or individual rights and interests of Aboriginal peoples or Torres Strait Islanders in relation to land or waters, where:</w:t>
      </w:r>
    </w:p>
    <w:p w:rsidR="007B1091" w:rsidRDefault="007B1091" w:rsidP="007B1091">
      <w:pPr>
        <w:pStyle w:val="Quote1"/>
        <w:ind w:left="1440" w:hanging="703"/>
      </w:pPr>
    </w:p>
    <w:p w:rsidR="007B1091" w:rsidRDefault="007B1091" w:rsidP="007B1091">
      <w:pPr>
        <w:pStyle w:val="Quote2"/>
        <w:ind w:left="2160" w:hanging="720"/>
      </w:pPr>
      <w:r>
        <w:t>(a)</w:t>
      </w:r>
      <w:r>
        <w:tab/>
        <w:t>the rights and interests are possessed under the traditional laws acknowledged, and the traditional customs observed, by the Aboriginal peoples or Torres Strait Islanders; and</w:t>
      </w:r>
    </w:p>
    <w:p w:rsidR="007B1091" w:rsidRDefault="007B1091" w:rsidP="007B1091">
      <w:pPr>
        <w:pStyle w:val="Quote2"/>
        <w:ind w:left="2160" w:hanging="720"/>
      </w:pPr>
    </w:p>
    <w:p w:rsidR="007B1091" w:rsidRDefault="007B1091" w:rsidP="007B1091">
      <w:pPr>
        <w:pStyle w:val="Quote2"/>
        <w:ind w:left="2160" w:hanging="720"/>
      </w:pPr>
      <w:r>
        <w:t>(b)</w:t>
      </w:r>
      <w:r>
        <w:tab/>
        <w:t>the Aboriginal peoples or Torres Strait Islanders, by those laws and customs, have a connection with the land or waters; and</w:t>
      </w:r>
    </w:p>
    <w:p w:rsidR="007B1091" w:rsidRDefault="007B1091" w:rsidP="007B1091">
      <w:pPr>
        <w:pStyle w:val="Quote2"/>
        <w:ind w:left="2160" w:hanging="720"/>
      </w:pPr>
    </w:p>
    <w:p w:rsidR="007B1091" w:rsidRDefault="007B1091" w:rsidP="007B1091">
      <w:pPr>
        <w:pStyle w:val="Quote2"/>
        <w:ind w:left="2160" w:hanging="720"/>
      </w:pPr>
      <w:r>
        <w:t>(c)</w:t>
      </w:r>
      <w:r>
        <w:tab/>
        <w:t>the rights and interests are recognised by the common law of Australia.</w:t>
      </w:r>
    </w:p>
    <w:p w:rsidR="007B1091" w:rsidRDefault="007B1091" w:rsidP="007B1091">
      <w:pPr>
        <w:pStyle w:val="Quote2"/>
        <w:ind w:left="2160" w:hanging="720"/>
      </w:pPr>
    </w:p>
    <w:p w:rsidR="00D96786" w:rsidRDefault="007B1091" w:rsidP="007B1091">
      <w:pPr>
        <w:pStyle w:val="ParaNumbering"/>
      </w:pPr>
      <w:r>
        <w:t xml:space="preserve">The requirements of s 223(1) were considered by the High Court in </w:t>
      </w:r>
      <w:r>
        <w:rPr>
          <w:i/>
        </w:rPr>
        <w:t xml:space="preserve">Members of the </w:t>
      </w:r>
      <w:proofErr w:type="spellStart"/>
      <w:r>
        <w:rPr>
          <w:i/>
        </w:rPr>
        <w:t>Yorta</w:t>
      </w:r>
      <w:proofErr w:type="spellEnd"/>
      <w:r>
        <w:rPr>
          <w:i/>
        </w:rPr>
        <w:t xml:space="preserve"> </w:t>
      </w:r>
      <w:proofErr w:type="spellStart"/>
      <w:r>
        <w:rPr>
          <w:i/>
        </w:rPr>
        <w:t>Yorta</w:t>
      </w:r>
      <w:proofErr w:type="spellEnd"/>
      <w:r>
        <w:rPr>
          <w:i/>
        </w:rPr>
        <w:t xml:space="preserve"> Aboriginal Community v Victoria</w:t>
      </w:r>
      <w:r>
        <w:t xml:space="preserve"> [2002] HCA 58; (2002) 214 </w:t>
      </w:r>
      <w:proofErr w:type="spellStart"/>
      <w:r>
        <w:t>CLR</w:t>
      </w:r>
      <w:proofErr w:type="spellEnd"/>
      <w:r>
        <w:t xml:space="preserve"> 422.  The relevant principles were also reviewed by Mansfield J in </w:t>
      </w:r>
      <w:r>
        <w:rPr>
          <w:i/>
        </w:rPr>
        <w:t>Risk v Northern Territory of Australia</w:t>
      </w:r>
      <w:r>
        <w:t xml:space="preserve"> [2006] </w:t>
      </w:r>
      <w:proofErr w:type="spellStart"/>
      <w:r>
        <w:t>FCA</w:t>
      </w:r>
      <w:proofErr w:type="spellEnd"/>
      <w:r>
        <w:t xml:space="preserve"> 404.  Those principles require that there be a recognisable group or society which presently recognises and observes traditional laws and customs in the area </w:t>
      </w:r>
      <w:r w:rsidR="00D96786">
        <w:t>of the proposed determination.</w:t>
      </w:r>
    </w:p>
    <w:p w:rsidR="007B1091" w:rsidRDefault="007B1091" w:rsidP="007B1091">
      <w:pPr>
        <w:pStyle w:val="ParaNumbering"/>
      </w:pPr>
      <w:r>
        <w:t>The following matters are pertinent to the identification of that group or society:</w:t>
      </w:r>
    </w:p>
    <w:p w:rsidR="007B1091" w:rsidRDefault="00944D15" w:rsidP="00944D15">
      <w:pPr>
        <w:ind w:left="1440" w:hanging="731"/>
      </w:pPr>
      <w:r>
        <w:t>(a)</w:t>
      </w:r>
      <w:r>
        <w:tab/>
        <w:t>That they are a society united in and by their acknowledgement and observance of a body of accepted laws and customs;</w:t>
      </w:r>
    </w:p>
    <w:p w:rsidR="00944D15" w:rsidRDefault="00944D15" w:rsidP="00944D15">
      <w:pPr>
        <w:ind w:left="1440" w:hanging="731"/>
      </w:pPr>
      <w:r>
        <w:t>(b)</w:t>
      </w:r>
      <w:r>
        <w:tab/>
        <w:t>That the present day body of accepted laws and customs of the society is in essence the same body of laws and customs acknowledged and observed by the ancestors or members of the society adapted to modern circumstances; and</w:t>
      </w:r>
    </w:p>
    <w:p w:rsidR="00944D15" w:rsidRDefault="00944D15" w:rsidP="00944D15">
      <w:pPr>
        <w:ind w:left="1440" w:hanging="731"/>
      </w:pPr>
      <w:r>
        <w:t>(c)</w:t>
      </w:r>
      <w:r>
        <w:tab/>
        <w:t xml:space="preserve">That the acknowledgement and observance of those laws and customs has continued substantially uninterrupted by each generation since sovereignty, </w:t>
      </w:r>
      <w:r>
        <w:lastRenderedPageBreak/>
        <w:t>and that the society has continued to exist throughout that period as a body united in and by its acknowledgement and observance of those laws and customs.</w:t>
      </w:r>
    </w:p>
    <w:p w:rsidR="00944D15" w:rsidRDefault="00944D15" w:rsidP="00944D15">
      <w:pPr>
        <w:pStyle w:val="ParaNumbering"/>
      </w:pPr>
      <w:r>
        <w:t>The claimants must show that they still possess rights and interests under the traditional laws acknowledged and the traditional customs observed by them, and that those laws and customs give them a connection to the land (</w:t>
      </w:r>
      <w:r>
        <w:rPr>
          <w:i/>
        </w:rPr>
        <w:t xml:space="preserve">Lander v State of South Australia </w:t>
      </w:r>
      <w:r>
        <w:t xml:space="preserve">[2012] </w:t>
      </w:r>
      <w:proofErr w:type="spellStart"/>
      <w:r>
        <w:t>FCA</w:t>
      </w:r>
      <w:proofErr w:type="spellEnd"/>
      <w:r>
        <w:t xml:space="preserve"> 427 at </w:t>
      </w:r>
      <w:r w:rsidR="0032714C">
        <w:t>[34]</w:t>
      </w:r>
      <w:r w:rsidR="00896F40">
        <w:t>)</w:t>
      </w:r>
      <w:r w:rsidR="0032714C">
        <w:t>.</w:t>
      </w:r>
    </w:p>
    <w:p w:rsidR="00CA7AAB" w:rsidRDefault="00CA7AAB" w:rsidP="00CA7AAB">
      <w:pPr>
        <w:pStyle w:val="Heading2"/>
      </w:pPr>
      <w:r>
        <w:t>The relevant society</w:t>
      </w:r>
    </w:p>
    <w:p w:rsidR="00A7346E" w:rsidRDefault="00CA7AAB" w:rsidP="00CA7AAB">
      <w:pPr>
        <w:pStyle w:val="ParaNumbering"/>
      </w:pPr>
      <w:r>
        <w:t xml:space="preserve">The </w:t>
      </w:r>
      <w:proofErr w:type="spellStart"/>
      <w:r>
        <w:t>Dieri</w:t>
      </w:r>
      <w:proofErr w:type="spellEnd"/>
      <w:r>
        <w:t xml:space="preserve"> No 2 claim group is the same as the group granted native title in the </w:t>
      </w:r>
      <w:proofErr w:type="spellStart"/>
      <w:r>
        <w:t>Dieri</w:t>
      </w:r>
      <w:proofErr w:type="spellEnd"/>
      <w:r>
        <w:t xml:space="preserve"> No 1 Claim.  The group comprises the descendants (whether biologically or by adoption) of named persons who identify as </w:t>
      </w:r>
      <w:proofErr w:type="spellStart"/>
      <w:r>
        <w:t>Dieri</w:t>
      </w:r>
      <w:proofErr w:type="spellEnd"/>
      <w:r>
        <w:t xml:space="preserve"> and who are recognised by other native title holders under the relevant </w:t>
      </w:r>
      <w:proofErr w:type="spellStart"/>
      <w:r>
        <w:t>Dieri</w:t>
      </w:r>
      <w:proofErr w:type="spellEnd"/>
      <w:r>
        <w:t xml:space="preserve"> traditional laws and customs as having maintained an affiliation with, and continuing to hold native title rig</w:t>
      </w:r>
      <w:r w:rsidR="00A7346E">
        <w:t xml:space="preserve">hts and interests in, Area </w:t>
      </w:r>
      <w:proofErr w:type="spellStart"/>
      <w:r w:rsidR="00A7346E">
        <w:t>B1</w:t>
      </w:r>
      <w:proofErr w:type="spellEnd"/>
      <w:r w:rsidR="00A7346E">
        <w:t>.</w:t>
      </w:r>
    </w:p>
    <w:p w:rsidR="00CA7AAB" w:rsidRDefault="00CA7AAB" w:rsidP="00CA7AAB">
      <w:pPr>
        <w:pStyle w:val="ParaNumbering"/>
      </w:pPr>
      <w:r>
        <w:t xml:space="preserve">In </w:t>
      </w:r>
      <w:r>
        <w:rPr>
          <w:i/>
        </w:rPr>
        <w:t xml:space="preserve">Lander v State of South Australia </w:t>
      </w:r>
      <w:r>
        <w:t xml:space="preserve">[2012] </w:t>
      </w:r>
      <w:proofErr w:type="spellStart"/>
      <w:r>
        <w:t>FCA</w:t>
      </w:r>
      <w:proofErr w:type="spellEnd"/>
      <w:r>
        <w:t xml:space="preserve"> 427, Mansfield J concluded that the material justified a conclusion that the </w:t>
      </w:r>
      <w:proofErr w:type="spellStart"/>
      <w:r>
        <w:t>Dieri</w:t>
      </w:r>
      <w:proofErr w:type="spellEnd"/>
      <w:r>
        <w:t xml:space="preserve"> </w:t>
      </w:r>
      <w:r w:rsidR="00D96786">
        <w:t>are</w:t>
      </w:r>
      <w:r>
        <w:t xml:space="preserve"> a society satisfying the requirements of the </w:t>
      </w:r>
      <w:proofErr w:type="spellStart"/>
      <w:r>
        <w:t>NTA</w:t>
      </w:r>
      <w:proofErr w:type="spellEnd"/>
      <w:r>
        <w:t>.  Mansfield J referred</w:t>
      </w:r>
      <w:r w:rsidR="0032714C">
        <w:t xml:space="preserve"> (at [36])</w:t>
      </w:r>
      <w:r>
        <w:t xml:space="preserve">, amongst other things, to material indicating that the contemporary </w:t>
      </w:r>
      <w:proofErr w:type="spellStart"/>
      <w:r>
        <w:t>Dieri</w:t>
      </w:r>
      <w:proofErr w:type="spellEnd"/>
      <w:r>
        <w:t xml:space="preserve"> People observe laws and customs which have evolved from those of the original </w:t>
      </w:r>
      <w:proofErr w:type="spellStart"/>
      <w:r>
        <w:t>Dieri</w:t>
      </w:r>
      <w:proofErr w:type="spellEnd"/>
      <w:r>
        <w:t xml:space="preserve"> relating to:</w:t>
      </w:r>
    </w:p>
    <w:p w:rsidR="00CA7AAB" w:rsidRDefault="00F97097" w:rsidP="00F97097">
      <w:pPr>
        <w:ind w:left="1429"/>
      </w:pPr>
      <w:r>
        <w:t>•</w:t>
      </w:r>
      <w:r>
        <w:tab/>
        <w:t>Principles of recruitment to the group;</w:t>
      </w:r>
    </w:p>
    <w:p w:rsidR="00F97097" w:rsidRDefault="00F97097" w:rsidP="00F97097">
      <w:pPr>
        <w:ind w:left="1429"/>
      </w:pPr>
      <w:r>
        <w:t>•</w:t>
      </w:r>
      <w:r>
        <w:tab/>
        <w:t>Identifying with the language;</w:t>
      </w:r>
    </w:p>
    <w:p w:rsidR="00F97097" w:rsidRDefault="00F97097" w:rsidP="00F97097">
      <w:pPr>
        <w:ind w:left="1429"/>
      </w:pPr>
      <w:r>
        <w:t>•</w:t>
      </w:r>
      <w:r>
        <w:tab/>
        <w:t>Principles of marriage;</w:t>
      </w:r>
    </w:p>
    <w:p w:rsidR="00F97097" w:rsidRDefault="00F97097" w:rsidP="00F97097">
      <w:pPr>
        <w:ind w:left="1429"/>
      </w:pPr>
      <w:r>
        <w:t>•</w:t>
      </w:r>
      <w:r>
        <w:tab/>
        <w:t>Modes of respect of systems of authority;</w:t>
      </w:r>
    </w:p>
    <w:p w:rsidR="00F97097" w:rsidRDefault="00F97097" w:rsidP="00F97097">
      <w:pPr>
        <w:ind w:left="1429"/>
      </w:pPr>
      <w:r>
        <w:t>•</w:t>
      </w:r>
      <w:r>
        <w:tab/>
        <w:t xml:space="preserve">Responsibility for nurturing, teaching and reproducing </w:t>
      </w:r>
      <w:proofErr w:type="spellStart"/>
      <w:r>
        <w:t>Dieri</w:t>
      </w:r>
      <w:proofErr w:type="spellEnd"/>
      <w:r>
        <w:t xml:space="preserve"> ways.</w:t>
      </w:r>
    </w:p>
    <w:p w:rsidR="00F97097" w:rsidRDefault="00F97097" w:rsidP="00F97097">
      <w:pPr>
        <w:pStyle w:val="ParaNumbering"/>
      </w:pPr>
      <w:r>
        <w:t xml:space="preserve">Dr Martin considers that the </w:t>
      </w:r>
      <w:proofErr w:type="spellStart"/>
      <w:r>
        <w:t>Dieri</w:t>
      </w:r>
      <w:proofErr w:type="spellEnd"/>
      <w:r>
        <w:t xml:space="preserve"> constitute a society in the relevant sense and counsel for the State </w:t>
      </w:r>
      <w:r w:rsidR="0032714C">
        <w:t>has</w:t>
      </w:r>
      <w:r>
        <w:t xml:space="preserve"> reached the same view.  This is so even though the principles of </w:t>
      </w:r>
      <w:r w:rsidR="00A7346E">
        <w:t xml:space="preserve">its </w:t>
      </w:r>
      <w:r>
        <w:t>membership are changing in the light of changed circumstances, such as the development of communities and towns in which claimants live away from the claim area.</w:t>
      </w:r>
    </w:p>
    <w:p w:rsidR="00F97097" w:rsidRPr="00624D2C" w:rsidRDefault="00F97097" w:rsidP="00624D2C">
      <w:pPr>
        <w:pStyle w:val="Heading3"/>
      </w:pPr>
      <w:r w:rsidRPr="00624D2C">
        <w:t xml:space="preserve">The relationship between the claim group’s society and the </w:t>
      </w:r>
      <w:r w:rsidR="00624D2C" w:rsidRPr="00624D2C">
        <w:t xml:space="preserve">society in the determination area </w:t>
      </w:r>
      <w:r w:rsidR="00A7346E">
        <w:t>at</w:t>
      </w:r>
      <w:r w:rsidR="00624D2C" w:rsidRPr="00624D2C">
        <w:t xml:space="preserve"> sovereignty</w:t>
      </w:r>
    </w:p>
    <w:p w:rsidR="00624D2C" w:rsidRDefault="00624D2C" w:rsidP="00624D2C">
      <w:pPr>
        <w:pStyle w:val="ParaNumbering"/>
      </w:pPr>
      <w:r>
        <w:t xml:space="preserve">The State has accepted the conclusions of Drs </w:t>
      </w:r>
      <w:proofErr w:type="spellStart"/>
      <w:r>
        <w:t>Fergie</w:t>
      </w:r>
      <w:proofErr w:type="spellEnd"/>
      <w:r>
        <w:t xml:space="preserve">, Lucas and Martin that the members of the </w:t>
      </w:r>
      <w:proofErr w:type="spellStart"/>
      <w:r>
        <w:t>Dieri</w:t>
      </w:r>
      <w:proofErr w:type="spellEnd"/>
      <w:r>
        <w:t xml:space="preserve"> claim group have descended from those in occupation of the claim area at </w:t>
      </w:r>
      <w:r>
        <w:lastRenderedPageBreak/>
        <w:t xml:space="preserve">sovereignty.  The material supporting this conclusion comprises evidence provided by the claimants, as well as extensive research carried out by Drs Lucas and </w:t>
      </w:r>
      <w:proofErr w:type="spellStart"/>
      <w:r>
        <w:t>Fergie</w:t>
      </w:r>
      <w:proofErr w:type="spellEnd"/>
      <w:r>
        <w:t xml:space="preserve">.  In </w:t>
      </w:r>
      <w:r>
        <w:rPr>
          <w:i/>
        </w:rPr>
        <w:t>Lander v State of South Australia</w:t>
      </w:r>
      <w:r>
        <w:t>, Mansfield J summarised the evidence on this topic as follows:</w:t>
      </w:r>
    </w:p>
    <w:p w:rsidR="00624D2C" w:rsidRDefault="00624D2C" w:rsidP="00624D2C">
      <w:pPr>
        <w:pStyle w:val="Quote1"/>
        <w:ind w:left="1440" w:hanging="703"/>
      </w:pPr>
      <w:r w:rsidRPr="00624D2C">
        <w:t>40</w:t>
      </w:r>
      <w:r w:rsidRPr="00624D2C">
        <w:tab/>
        <w:t xml:space="preserve">The evidence suggests that there are a substantial number of members of the </w:t>
      </w:r>
      <w:proofErr w:type="spellStart"/>
      <w:r w:rsidRPr="00624D2C">
        <w:t>Dieri</w:t>
      </w:r>
      <w:proofErr w:type="spellEnd"/>
      <w:r w:rsidRPr="00624D2C">
        <w:t xml:space="preserve"> People whose ancestors going back to first contact and close to the time of sovereignty were demonstrably associated with the Determination area at the time.  Further, the evidence from historic ethnography suggests that the other mechanisms by which claimants obtain rights in country, i.e. birth, long-term residence and religious knowledge, are likely to have also been operating at the time of sovereignty.  Across the generations this has allowed those whose ancestors were primarily associated with country elsewhere within the domain of the “Lakes” group, to establish connections to the claim area.  It is a process that continues today.</w:t>
      </w:r>
    </w:p>
    <w:p w:rsidR="00624D2C" w:rsidRDefault="00624D2C" w:rsidP="00624D2C">
      <w:pPr>
        <w:pStyle w:val="Quote1"/>
        <w:ind w:left="1440" w:hanging="703"/>
      </w:pPr>
    </w:p>
    <w:p w:rsidR="00624D2C" w:rsidRDefault="00624D2C" w:rsidP="00624D2C">
      <w:pPr>
        <w:pStyle w:val="NoNum"/>
      </w:pPr>
      <w:r>
        <w:t>A similar conclusion is warranted in the present case.</w:t>
      </w:r>
    </w:p>
    <w:p w:rsidR="00624D2C" w:rsidRDefault="00624D2C" w:rsidP="00624D2C">
      <w:pPr>
        <w:pStyle w:val="Heading3"/>
      </w:pPr>
      <w:r w:rsidRPr="00624D2C">
        <w:t>Has there been substantially uninterrupted observance of traditional laws and customs since sovereignty?</w:t>
      </w:r>
    </w:p>
    <w:p w:rsidR="00624D2C" w:rsidRDefault="00624D2C" w:rsidP="00624D2C">
      <w:pPr>
        <w:pStyle w:val="ParaNumbering"/>
      </w:pPr>
      <w:r>
        <w:t xml:space="preserve">The State considers that there is ample evidence that the </w:t>
      </w:r>
      <w:proofErr w:type="spellStart"/>
      <w:r>
        <w:t>Dieri</w:t>
      </w:r>
      <w:proofErr w:type="spellEnd"/>
      <w:r>
        <w:t xml:space="preserve"> People continue to exercise and observe traditional laws and customs in respect of the Area </w:t>
      </w:r>
      <w:proofErr w:type="spellStart"/>
      <w:r>
        <w:t>B1</w:t>
      </w:r>
      <w:proofErr w:type="spellEnd"/>
      <w:r>
        <w:t xml:space="preserve">.  </w:t>
      </w:r>
      <w:r w:rsidR="0032714C">
        <w:t xml:space="preserve">That exercise and observance </w:t>
      </w:r>
      <w:r>
        <w:t>includes:</w:t>
      </w:r>
    </w:p>
    <w:p w:rsidR="00624D2C" w:rsidRDefault="00624D2C" w:rsidP="00624D2C">
      <w:pPr>
        <w:ind w:left="1440" w:hanging="731"/>
      </w:pPr>
      <w:r>
        <w:t>•</w:t>
      </w:r>
      <w:r>
        <w:tab/>
        <w:t xml:space="preserve">generations of people living in Marree, near to the Area </w:t>
      </w:r>
      <w:proofErr w:type="spellStart"/>
      <w:r>
        <w:t>B1</w:t>
      </w:r>
      <w:proofErr w:type="spellEnd"/>
      <w:r>
        <w:t xml:space="preserve">, who continue to transmit knowledge of the country and to maintain </w:t>
      </w:r>
      <w:r w:rsidR="00896F40">
        <w:t xml:space="preserve">contact </w:t>
      </w:r>
      <w:r>
        <w:t>with the country;</w:t>
      </w:r>
    </w:p>
    <w:p w:rsidR="00624D2C" w:rsidRDefault="00624D2C" w:rsidP="00624D2C">
      <w:pPr>
        <w:ind w:left="1440" w:hanging="731"/>
      </w:pPr>
      <w:r>
        <w:t>•</w:t>
      </w:r>
      <w:r>
        <w:tab/>
        <w:t>transmission of knowledge by a number of older people to the claimants;</w:t>
      </w:r>
    </w:p>
    <w:p w:rsidR="00624D2C" w:rsidRDefault="00624D2C" w:rsidP="00624D2C">
      <w:pPr>
        <w:ind w:left="1440" w:hanging="731"/>
      </w:pPr>
      <w:r>
        <w:t>•</w:t>
      </w:r>
      <w:r>
        <w:tab/>
        <w:t xml:space="preserve">fragments of original religious and </w:t>
      </w:r>
      <w:r w:rsidR="0032714C">
        <w:t>mythology</w:t>
      </w:r>
      <w:r>
        <w:t xml:space="preserve"> systems still informing aspects of everyday life, for example, links to the Bronze Wing Pigeon, Snake, White Cockatoo and Black Cockatoo;</w:t>
      </w:r>
    </w:p>
    <w:p w:rsidR="00624D2C" w:rsidRDefault="00624D2C" w:rsidP="00624D2C">
      <w:pPr>
        <w:ind w:left="1440" w:hanging="731"/>
      </w:pPr>
      <w:r>
        <w:t>•</w:t>
      </w:r>
      <w:r>
        <w:tab/>
        <w:t xml:space="preserve">maintenance of male initiatory practices (although these are not necessarily specific to the </w:t>
      </w:r>
      <w:proofErr w:type="spellStart"/>
      <w:r>
        <w:t>Dieri</w:t>
      </w:r>
      <w:proofErr w:type="spellEnd"/>
      <w:r>
        <w:t>);</w:t>
      </w:r>
    </w:p>
    <w:p w:rsidR="00624D2C" w:rsidRDefault="00624D2C" w:rsidP="00624D2C">
      <w:pPr>
        <w:ind w:left="1440" w:hanging="731"/>
      </w:pPr>
      <w:r>
        <w:t>•</w:t>
      </w:r>
      <w:r>
        <w:tab/>
        <w:t>the observance of the need to treat country with respect;</w:t>
      </w:r>
    </w:p>
    <w:p w:rsidR="00624D2C" w:rsidRDefault="00624D2C" w:rsidP="00624D2C">
      <w:pPr>
        <w:ind w:left="1440" w:hanging="731"/>
      </w:pPr>
      <w:r>
        <w:t>•</w:t>
      </w:r>
      <w:r>
        <w:tab/>
        <w:t xml:space="preserve">the acknowledgement of the right to take game or bush tucker in </w:t>
      </w:r>
      <w:proofErr w:type="spellStart"/>
      <w:r>
        <w:t>Dieri</w:t>
      </w:r>
      <w:proofErr w:type="spellEnd"/>
      <w:r>
        <w:t xml:space="preserve"> country but not beyond;</w:t>
      </w:r>
    </w:p>
    <w:p w:rsidR="00624D2C" w:rsidRDefault="00624D2C" w:rsidP="00624D2C">
      <w:pPr>
        <w:ind w:left="1440" w:hanging="731"/>
      </w:pPr>
      <w:r>
        <w:t>•</w:t>
      </w:r>
      <w:r>
        <w:tab/>
        <w:t>hunting and camping.</w:t>
      </w:r>
    </w:p>
    <w:p w:rsidR="00624D2C" w:rsidRDefault="0032714C" w:rsidP="00624D2C">
      <w:pPr>
        <w:pStyle w:val="ParaNumbering"/>
      </w:pPr>
      <w:r>
        <w:t>The indications</w:t>
      </w:r>
      <w:r w:rsidR="00624D2C">
        <w:t xml:space="preserve"> that the contemporary society operates by way of specific laws and customs, giving rise to rights and obligations to persons and to land include:</w:t>
      </w:r>
    </w:p>
    <w:p w:rsidR="00624D2C" w:rsidRDefault="00624D2C" w:rsidP="00624D2C">
      <w:pPr>
        <w:ind w:left="709"/>
      </w:pPr>
      <w:r>
        <w:t>•</w:t>
      </w:r>
      <w:r>
        <w:tab/>
      </w:r>
      <w:r w:rsidR="00464BBA">
        <w:t>current practice of the kinship system;</w:t>
      </w:r>
    </w:p>
    <w:p w:rsidR="00464BBA" w:rsidRDefault="00464BBA" w:rsidP="00624D2C">
      <w:pPr>
        <w:ind w:left="709"/>
      </w:pPr>
      <w:r>
        <w:lastRenderedPageBreak/>
        <w:t>•</w:t>
      </w:r>
      <w:r>
        <w:tab/>
        <w:t>observation and practice of rituals such as funerals;</w:t>
      </w:r>
    </w:p>
    <w:p w:rsidR="00464BBA" w:rsidRDefault="00464BBA" w:rsidP="00624D2C">
      <w:pPr>
        <w:ind w:left="709"/>
      </w:pPr>
      <w:r>
        <w:t>•</w:t>
      </w:r>
      <w:r>
        <w:tab/>
        <w:t>being on and knowing the country;</w:t>
      </w:r>
    </w:p>
    <w:p w:rsidR="00464BBA" w:rsidRDefault="00464BBA" w:rsidP="00624D2C">
      <w:pPr>
        <w:ind w:left="709"/>
      </w:pPr>
      <w:r>
        <w:t>•</w:t>
      </w:r>
      <w:r>
        <w:tab/>
        <w:t>learning and teaching others about the country;</w:t>
      </w:r>
    </w:p>
    <w:p w:rsidR="00464BBA" w:rsidRDefault="00464BBA" w:rsidP="00624D2C">
      <w:pPr>
        <w:ind w:left="709"/>
      </w:pPr>
      <w:r>
        <w:t>•</w:t>
      </w:r>
      <w:r>
        <w:tab/>
        <w:t>attachment to and memories of “old” people</w:t>
      </w:r>
      <w:r w:rsidR="0032714C">
        <w:t>’</w:t>
      </w:r>
      <w:r>
        <w:t>s places;</w:t>
      </w:r>
    </w:p>
    <w:p w:rsidR="00464BBA" w:rsidRDefault="00464BBA" w:rsidP="00464BBA">
      <w:pPr>
        <w:ind w:left="1440" w:hanging="731"/>
      </w:pPr>
      <w:r>
        <w:t>•</w:t>
      </w:r>
      <w:r>
        <w:tab/>
        <w:t xml:space="preserve">expression of ownership and practice of maintenance, care and protection </w:t>
      </w:r>
      <w:r w:rsidR="0032714C">
        <w:t>of</w:t>
      </w:r>
      <w:r>
        <w:t xml:space="preserve"> the country through work area clearances;</w:t>
      </w:r>
    </w:p>
    <w:p w:rsidR="00464BBA" w:rsidRDefault="00464BBA" w:rsidP="00464BBA">
      <w:pPr>
        <w:ind w:left="1440" w:hanging="731"/>
      </w:pPr>
      <w:r>
        <w:t>•</w:t>
      </w:r>
      <w:r>
        <w:tab/>
        <w:t>political organisation and structure continuing in a traditional way;</w:t>
      </w:r>
    </w:p>
    <w:p w:rsidR="00464BBA" w:rsidRDefault="00464BBA" w:rsidP="00464BBA">
      <w:pPr>
        <w:ind w:left="1440" w:hanging="731"/>
      </w:pPr>
      <w:r>
        <w:t>•</w:t>
      </w:r>
      <w:r>
        <w:tab/>
        <w:t xml:space="preserve">speaking of the </w:t>
      </w:r>
      <w:proofErr w:type="spellStart"/>
      <w:r>
        <w:t>Dieri</w:t>
      </w:r>
      <w:proofErr w:type="spellEnd"/>
      <w:r>
        <w:t xml:space="preserve"> language;</w:t>
      </w:r>
    </w:p>
    <w:p w:rsidR="00464BBA" w:rsidRDefault="00464BBA" w:rsidP="00464BBA">
      <w:pPr>
        <w:ind w:left="1440" w:hanging="731"/>
      </w:pPr>
      <w:r>
        <w:t>•</w:t>
      </w:r>
      <w:r>
        <w:tab/>
        <w:t>birth and death rights.</w:t>
      </w:r>
    </w:p>
    <w:p w:rsidR="00464BBA" w:rsidRDefault="00464BBA" w:rsidP="00464BBA">
      <w:pPr>
        <w:pStyle w:val="ParaNumbering"/>
      </w:pPr>
      <w:r>
        <w:t xml:space="preserve">Having regard to these matters, the State has satisfied itself that the </w:t>
      </w:r>
      <w:proofErr w:type="spellStart"/>
      <w:r>
        <w:t>Dieri</w:t>
      </w:r>
      <w:proofErr w:type="spellEnd"/>
      <w:r>
        <w:t xml:space="preserve"> People practice traditional laws and customs that have a continued existence and vitality, and have their origins in those likely to have been held </w:t>
      </w:r>
      <w:r w:rsidR="00D96786">
        <w:t xml:space="preserve">at </w:t>
      </w:r>
      <w:r>
        <w:t>sovereignty.</w:t>
      </w:r>
    </w:p>
    <w:p w:rsidR="00464BBA" w:rsidRDefault="00464BBA" w:rsidP="009F1F2B">
      <w:pPr>
        <w:pStyle w:val="Heading3"/>
      </w:pPr>
      <w:r>
        <w:t>Connection to the determination area by traditional laws and customs</w:t>
      </w:r>
    </w:p>
    <w:p w:rsidR="00464BBA" w:rsidRDefault="00464BBA" w:rsidP="00464BBA">
      <w:pPr>
        <w:pStyle w:val="ParaNumbering"/>
      </w:pPr>
      <w:r>
        <w:t xml:space="preserve">Claimants for native title must follow traditional laws and customs which are connected to the land and which give rise to rights and responsibilities in relation to that land.  Mansfield J observed in </w:t>
      </w:r>
      <w:r>
        <w:rPr>
          <w:i/>
        </w:rPr>
        <w:t>Lander v State of South Australia</w:t>
      </w:r>
      <w:r>
        <w:t xml:space="preserve"> [2012] </w:t>
      </w:r>
      <w:proofErr w:type="spellStart"/>
      <w:r>
        <w:t>FCA</w:t>
      </w:r>
      <w:proofErr w:type="spellEnd"/>
      <w:r>
        <w:t xml:space="preserve"> 427 at [49]:</w:t>
      </w:r>
    </w:p>
    <w:p w:rsidR="00464BBA" w:rsidRDefault="00464BBA" w:rsidP="00464BBA">
      <w:pPr>
        <w:pStyle w:val="Quote1"/>
      </w:pPr>
      <w:r>
        <w:t>[I]</w:t>
      </w:r>
      <w:r w:rsidRPr="00464BBA">
        <w:t>t is not “connection” to the land in the abstract that must be considered, but the content of the traditional laws and customs, the nature and extent of the connection with the land required under those laws and customs, and the relationship between the laws and customs and rights or interests in land which is important.</w:t>
      </w:r>
    </w:p>
    <w:p w:rsidR="00464BBA" w:rsidRDefault="00464BBA" w:rsidP="00464BBA">
      <w:pPr>
        <w:pStyle w:val="Quote1"/>
      </w:pPr>
    </w:p>
    <w:p w:rsidR="00464BBA" w:rsidRDefault="00464BBA" w:rsidP="00464BBA">
      <w:pPr>
        <w:pStyle w:val="ParaNumbering"/>
      </w:pPr>
      <w:r>
        <w:t xml:space="preserve">The evidence considered by the State indicates that two of the principles of </w:t>
      </w:r>
      <w:proofErr w:type="spellStart"/>
      <w:r>
        <w:t>Dieri</w:t>
      </w:r>
      <w:proofErr w:type="spellEnd"/>
      <w:r>
        <w:t xml:space="preserve"> group membership </w:t>
      </w:r>
      <w:r w:rsidR="00C838F6">
        <w:t xml:space="preserve">operative </w:t>
      </w:r>
      <w:r>
        <w:t xml:space="preserve">until the early twentieth century were birth in </w:t>
      </w:r>
      <w:proofErr w:type="spellStart"/>
      <w:r>
        <w:t>Dieri</w:t>
      </w:r>
      <w:proofErr w:type="spellEnd"/>
      <w:r>
        <w:t xml:space="preserve"> country and long-term residence in that country.  Those principles remain important in the senior generations of the </w:t>
      </w:r>
      <w:proofErr w:type="spellStart"/>
      <w:r>
        <w:t>Dieri</w:t>
      </w:r>
      <w:proofErr w:type="spellEnd"/>
      <w:r>
        <w:t xml:space="preserve">, but are adapting in the twentieth century given that many claimants live in communities and towns away from </w:t>
      </w:r>
      <w:proofErr w:type="spellStart"/>
      <w:r>
        <w:t>Dieri</w:t>
      </w:r>
      <w:proofErr w:type="spellEnd"/>
      <w:r>
        <w:t xml:space="preserve"> country.  The anthropologists have found strong evidence of transmission of the traditional law and customs specifically concerning </w:t>
      </w:r>
      <w:proofErr w:type="spellStart"/>
      <w:r>
        <w:t>Dieri</w:t>
      </w:r>
      <w:proofErr w:type="spellEnd"/>
      <w:r>
        <w:t xml:space="preserve"> connection to land, and of spiritual dimensions in that connection.  Dr Martin has accepted that there is evidence of the normative character of </w:t>
      </w:r>
      <w:proofErr w:type="spellStart"/>
      <w:r>
        <w:t>Dieri</w:t>
      </w:r>
      <w:proofErr w:type="spellEnd"/>
      <w:r>
        <w:t xml:space="preserve"> law and custom, examples of which in relation to connection to the country include:</w:t>
      </w:r>
    </w:p>
    <w:p w:rsidR="00464BBA" w:rsidRDefault="00464BBA" w:rsidP="00464BBA">
      <w:pPr>
        <w:ind w:left="709"/>
      </w:pPr>
      <w:r>
        <w:t>•</w:t>
      </w:r>
      <w:r>
        <w:tab/>
        <w:t>treating the country with respect;</w:t>
      </w:r>
    </w:p>
    <w:p w:rsidR="00464BBA" w:rsidRDefault="00464BBA" w:rsidP="00464BBA">
      <w:pPr>
        <w:ind w:left="709"/>
      </w:pPr>
      <w:r>
        <w:t>•</w:t>
      </w:r>
      <w:r>
        <w:tab/>
        <w:t>being introduced to the country by senior people;</w:t>
      </w:r>
    </w:p>
    <w:p w:rsidR="00464BBA" w:rsidRDefault="00464BBA" w:rsidP="00464BBA">
      <w:pPr>
        <w:ind w:left="709"/>
      </w:pPr>
      <w:r>
        <w:t>•</w:t>
      </w:r>
      <w:r>
        <w:tab/>
        <w:t>Elders needing to show the people around;</w:t>
      </w:r>
    </w:p>
    <w:p w:rsidR="00464BBA" w:rsidRDefault="00464BBA" w:rsidP="00464BBA">
      <w:pPr>
        <w:ind w:left="709"/>
      </w:pPr>
      <w:r>
        <w:lastRenderedPageBreak/>
        <w:t>•</w:t>
      </w:r>
      <w:r>
        <w:tab/>
        <w:t>rights to take tucker;</w:t>
      </w:r>
    </w:p>
    <w:p w:rsidR="00464BBA" w:rsidRDefault="00464BBA" w:rsidP="00464BBA">
      <w:pPr>
        <w:ind w:left="709"/>
      </w:pPr>
      <w:r>
        <w:t>•</w:t>
      </w:r>
      <w:r>
        <w:tab/>
        <w:t>kangaroo hunting;</w:t>
      </w:r>
    </w:p>
    <w:p w:rsidR="00464BBA" w:rsidRDefault="00464BBA" w:rsidP="00464BBA">
      <w:pPr>
        <w:ind w:left="709"/>
      </w:pPr>
      <w:r>
        <w:t>•</w:t>
      </w:r>
      <w:r>
        <w:tab/>
        <w:t>children being “shown” the country.</w:t>
      </w:r>
    </w:p>
    <w:p w:rsidR="00464BBA" w:rsidRDefault="00464BBA" w:rsidP="00464BBA">
      <w:pPr>
        <w:pStyle w:val="ParaNumbering"/>
      </w:pPr>
      <w:r>
        <w:t>Evidence of the claimants exercising rights and interests in the claim area include:</w:t>
      </w:r>
    </w:p>
    <w:p w:rsidR="00464BBA" w:rsidRDefault="00464BBA" w:rsidP="00464BBA">
      <w:pPr>
        <w:ind w:left="709"/>
      </w:pPr>
      <w:r>
        <w:t>•</w:t>
      </w:r>
      <w:r>
        <w:tab/>
        <w:t>observing the importance of rock holes;</w:t>
      </w:r>
    </w:p>
    <w:p w:rsidR="00464BBA" w:rsidRDefault="00464BBA" w:rsidP="00464BBA">
      <w:pPr>
        <w:ind w:left="709"/>
      </w:pPr>
      <w:r>
        <w:t>•</w:t>
      </w:r>
      <w:r>
        <w:tab/>
        <w:t>death practices;</w:t>
      </w:r>
    </w:p>
    <w:p w:rsidR="00464BBA" w:rsidRDefault="00464BBA" w:rsidP="00464BBA">
      <w:pPr>
        <w:ind w:left="709"/>
      </w:pPr>
      <w:r>
        <w:t>•</w:t>
      </w:r>
      <w:r>
        <w:tab/>
        <w:t>land-based ceremonies such as funerals;</w:t>
      </w:r>
    </w:p>
    <w:p w:rsidR="00464BBA" w:rsidRDefault="00464BBA" w:rsidP="00464BBA">
      <w:pPr>
        <w:ind w:left="709"/>
      </w:pPr>
      <w:r>
        <w:t>•</w:t>
      </w:r>
      <w:r>
        <w:tab/>
        <w:t>teaching of physical and spiritual attributes of the land;</w:t>
      </w:r>
    </w:p>
    <w:p w:rsidR="00464BBA" w:rsidRDefault="00464BBA" w:rsidP="00464BBA">
      <w:pPr>
        <w:ind w:left="709"/>
      </w:pPr>
      <w:r>
        <w:t>•</w:t>
      </w:r>
      <w:r>
        <w:tab/>
        <w:t>maintaining sites through work area clearances;</w:t>
      </w:r>
    </w:p>
    <w:p w:rsidR="00464BBA" w:rsidRDefault="00464BBA" w:rsidP="00464BBA">
      <w:pPr>
        <w:ind w:left="709"/>
      </w:pPr>
      <w:r>
        <w:t>•</w:t>
      </w:r>
      <w:r>
        <w:tab/>
        <w:t>ritual roles on the land.</w:t>
      </w:r>
    </w:p>
    <w:p w:rsidR="00464BBA" w:rsidRDefault="00464BBA" w:rsidP="00464BBA">
      <w:pPr>
        <w:pStyle w:val="NoNum"/>
      </w:pPr>
      <w:r>
        <w:t xml:space="preserve">In addition, the evidence has confirmed the presence of numerous sites of relevance to the </w:t>
      </w:r>
      <w:proofErr w:type="spellStart"/>
      <w:r>
        <w:t>Dieri</w:t>
      </w:r>
      <w:proofErr w:type="spellEnd"/>
      <w:r>
        <w:t xml:space="preserve"> within the claim area.</w:t>
      </w:r>
    </w:p>
    <w:p w:rsidR="00464BBA" w:rsidRDefault="00464BBA" w:rsidP="00464BBA">
      <w:pPr>
        <w:pStyle w:val="ParaNumbering"/>
      </w:pPr>
      <w:r>
        <w:t xml:space="preserve">The conclusions of the State in these respects are similar to those reached by Mansfield J in </w:t>
      </w:r>
      <w:r>
        <w:rPr>
          <w:i/>
        </w:rPr>
        <w:t xml:space="preserve">Lander v State of South Australia </w:t>
      </w:r>
      <w:r>
        <w:t xml:space="preserve">[2012] </w:t>
      </w:r>
      <w:proofErr w:type="spellStart"/>
      <w:r>
        <w:t>FCA</w:t>
      </w:r>
      <w:proofErr w:type="spellEnd"/>
      <w:r>
        <w:t xml:space="preserve"> 427 at [49]-[52].</w:t>
      </w:r>
    </w:p>
    <w:p w:rsidR="009F1F2B" w:rsidRDefault="009F1F2B" w:rsidP="009F1F2B">
      <w:pPr>
        <w:pStyle w:val="Heading3"/>
      </w:pPr>
      <w:r>
        <w:t>The relationship between the traditional laws and customs with the relevant society and the rights and interests claimed by the applicant</w:t>
      </w:r>
    </w:p>
    <w:p w:rsidR="009F1F2B" w:rsidRDefault="009F1F2B" w:rsidP="009F1F2B">
      <w:pPr>
        <w:pStyle w:val="ParaNumbering"/>
      </w:pPr>
      <w:r>
        <w:t>The rights and interests to be recognised are set out in paragraph 7 of the proposed determination.  I note that those rights are consistent with rights recognised by this Court elsewhere and consistent with the traditional rights and interests which would have been observed previously.</w:t>
      </w:r>
    </w:p>
    <w:p w:rsidR="009F1F2B" w:rsidRDefault="009F1F2B" w:rsidP="009F1F2B">
      <w:pPr>
        <w:pStyle w:val="ParaNumbering"/>
      </w:pPr>
      <w:r>
        <w:t xml:space="preserve">I also note that the State has satisfied itself that the native title rights and interests in Area </w:t>
      </w:r>
      <w:proofErr w:type="spellStart"/>
      <w:r>
        <w:t>B1</w:t>
      </w:r>
      <w:proofErr w:type="spellEnd"/>
      <w:r>
        <w:t xml:space="preserve"> arise from </w:t>
      </w:r>
      <w:r w:rsidR="00A7346E">
        <w:t xml:space="preserve">the </w:t>
      </w:r>
      <w:proofErr w:type="spellStart"/>
      <w:r w:rsidR="00A7346E">
        <w:t>Dieri’s</w:t>
      </w:r>
      <w:proofErr w:type="spellEnd"/>
      <w:r w:rsidR="00A7346E">
        <w:t xml:space="preserve"> </w:t>
      </w:r>
      <w:r>
        <w:t>traditional laws and customs, and that they have evolved from the native title rights and interests as they were likely to have been at sovereignty.</w:t>
      </w:r>
    </w:p>
    <w:p w:rsidR="009F1F2B" w:rsidRDefault="009F1F2B" w:rsidP="009F1F2B">
      <w:pPr>
        <w:pStyle w:val="Heading3"/>
      </w:pPr>
      <w:r>
        <w:t>Recognisable by laws of Australia</w:t>
      </w:r>
    </w:p>
    <w:p w:rsidR="009F1F2B" w:rsidRDefault="009F1F2B" w:rsidP="009F1F2B">
      <w:pPr>
        <w:pStyle w:val="ParaNumbering"/>
      </w:pPr>
      <w:r>
        <w:t>I am satisfied that there is no right or interest to be recognised by the proposed determination which would not be recognised by the law of Australia.</w:t>
      </w:r>
    </w:p>
    <w:p w:rsidR="009F1F2B" w:rsidRDefault="009F1F2B" w:rsidP="009F1F2B">
      <w:pPr>
        <w:pStyle w:val="Heading2"/>
      </w:pPr>
      <w:r>
        <w:t>Section 225</w:t>
      </w:r>
    </w:p>
    <w:p w:rsidR="00A7346E" w:rsidRDefault="009F1F2B" w:rsidP="009F1F2B">
      <w:pPr>
        <w:pStyle w:val="ParaNumbering"/>
      </w:pPr>
      <w:r>
        <w:t xml:space="preserve">Earlier in these reasons I set out in full s 225 of the </w:t>
      </w:r>
      <w:proofErr w:type="spellStart"/>
      <w:r>
        <w:t>NTA</w:t>
      </w:r>
      <w:proofErr w:type="spellEnd"/>
      <w:r>
        <w:t>.  I am satisfied that the proposed determination satisfies the elements of s 225 as required by s </w:t>
      </w:r>
      <w:proofErr w:type="spellStart"/>
      <w:r>
        <w:t>94A</w:t>
      </w:r>
      <w:proofErr w:type="spellEnd"/>
      <w:r>
        <w:t xml:space="preserve"> of the </w:t>
      </w:r>
      <w:proofErr w:type="spellStart"/>
      <w:r>
        <w:t>NTA</w:t>
      </w:r>
      <w:proofErr w:type="spellEnd"/>
      <w:r>
        <w:t xml:space="preserve">.  Paragraphs 2, </w:t>
      </w:r>
      <w:r>
        <w:lastRenderedPageBreak/>
        <w:t xml:space="preserve">4 and Schedule 1 in the proposed determination set out with appropriate particularity </w:t>
      </w:r>
      <w:r w:rsidR="00A7346E">
        <w:t>the</w:t>
      </w:r>
      <w:r>
        <w:t xml:space="preserve"> area</w:t>
      </w:r>
      <w:r w:rsidR="00A7346E">
        <w:t xml:space="preserve"> in which native title exists.</w:t>
      </w:r>
    </w:p>
    <w:p w:rsidR="009F1F2B" w:rsidRDefault="009F1F2B" w:rsidP="009F1F2B">
      <w:pPr>
        <w:pStyle w:val="ParaNumbering"/>
      </w:pPr>
      <w:r>
        <w:t>Paragraph 6 and Schedule 3 of the proposed determ</w:t>
      </w:r>
      <w:r w:rsidR="003D17C8">
        <w:t>ination</w:t>
      </w:r>
      <w:r>
        <w:t xml:space="preserve"> define the group of native title holders and the criteria by which group membership is determined.  The State has satisfied itself that the description in </w:t>
      </w:r>
      <w:r w:rsidR="003D17C8">
        <w:t>the Schedule</w:t>
      </w:r>
      <w:r>
        <w:t xml:space="preserve"> reflects the evidence about relevant ancestors through whom individuals hold rights and interests in land.</w:t>
      </w:r>
    </w:p>
    <w:p w:rsidR="009F1F2B" w:rsidRDefault="009F1F2B" w:rsidP="009F1F2B">
      <w:pPr>
        <w:pStyle w:val="ParaNumbering"/>
      </w:pPr>
      <w:r>
        <w:t xml:space="preserve">Paragraph 7 of the </w:t>
      </w:r>
      <w:r w:rsidR="00A7346E">
        <w:t>proposed determination</w:t>
      </w:r>
      <w:r>
        <w:t xml:space="preserve"> sets out the nature and extent of the native title rights and interests in the determination area.</w:t>
      </w:r>
    </w:p>
    <w:p w:rsidR="009F1F2B" w:rsidRDefault="009F1F2B" w:rsidP="009F1F2B">
      <w:pPr>
        <w:pStyle w:val="ParaNumbering"/>
      </w:pPr>
      <w:r>
        <w:t>Paragraph 11 of the proposed determination sets out in an appropriate way the nature and extent of other interests in the determination area.  I note in this regard that there has been ample opportunity for other interest-holders to identify themselves and join as parties to the claim.</w:t>
      </w:r>
    </w:p>
    <w:p w:rsidR="003D17C8" w:rsidRDefault="003D17C8" w:rsidP="003D17C8">
      <w:pPr>
        <w:pStyle w:val="ParaNumbering"/>
      </w:pPr>
      <w:r>
        <w:t>Paragraphs 12, 15, 16 and Schedule 2 set out areas, resources and improvements in respect of which native title does not exist.</w:t>
      </w:r>
    </w:p>
    <w:p w:rsidR="009F1F2B" w:rsidRDefault="009F1F2B" w:rsidP="009F1F2B">
      <w:pPr>
        <w:pStyle w:val="ParaNumbering"/>
      </w:pPr>
      <w:r>
        <w:t>Paragraph 14 of the proposed determination describes, as required by s 225(d), the relationship between the native title rights referred to in paragraph 7 and the other rights listed in paragraph 11.</w:t>
      </w:r>
    </w:p>
    <w:p w:rsidR="009F1F2B" w:rsidRDefault="009F1F2B" w:rsidP="009F1F2B">
      <w:pPr>
        <w:pStyle w:val="ParaNumbering"/>
      </w:pPr>
      <w:r>
        <w:t xml:space="preserve">In relation to s 225(e), I note that the majority of the Areas </w:t>
      </w:r>
      <w:proofErr w:type="spellStart"/>
      <w:r>
        <w:t>B1</w:t>
      </w:r>
      <w:proofErr w:type="spellEnd"/>
      <w:r>
        <w:t xml:space="preserve"> and </w:t>
      </w:r>
      <w:proofErr w:type="spellStart"/>
      <w:r>
        <w:t>B2</w:t>
      </w:r>
      <w:proofErr w:type="spellEnd"/>
      <w:r>
        <w:t xml:space="preserve"> are covered by parts of two non-exclusive pastoral leases.  There are no areas where the native title rights and interests confer possession, occupation, use and enjoyment of land and waters on the native title holders to the exclusion of all others.</w:t>
      </w:r>
    </w:p>
    <w:p w:rsidR="00A7346E" w:rsidRDefault="00A7346E" w:rsidP="00A7346E">
      <w:pPr>
        <w:pStyle w:val="ParaNumbering"/>
      </w:pPr>
      <w:r>
        <w:t xml:space="preserve">By </w:t>
      </w:r>
      <w:proofErr w:type="spellStart"/>
      <w:r>
        <w:t>ss</w:t>
      </w:r>
      <w:proofErr w:type="spellEnd"/>
      <w:r>
        <w:t xml:space="preserve"> 55 and 56 of the </w:t>
      </w:r>
      <w:proofErr w:type="spellStart"/>
      <w:r>
        <w:t>NTA</w:t>
      </w:r>
      <w:proofErr w:type="spellEnd"/>
      <w:r>
        <w:t>, the Court must determine whether the native title is to be held in trust and, if so, by whom.  Paragraph 18 of the proposed orders provides expressly that the native title is not to be held in trust.</w:t>
      </w:r>
    </w:p>
    <w:p w:rsidR="009F1F2B" w:rsidRDefault="009F1F2B" w:rsidP="009F1F2B">
      <w:pPr>
        <w:pStyle w:val="Heading2"/>
      </w:pPr>
      <w:r>
        <w:t>General</w:t>
      </w:r>
    </w:p>
    <w:p w:rsidR="00A7346E" w:rsidRDefault="009F1F2B" w:rsidP="009F1F2B">
      <w:pPr>
        <w:pStyle w:val="ParaNumbering"/>
      </w:pPr>
      <w:r>
        <w:t xml:space="preserve">As indicated at the commencement of these reasons, it is significant that the parties have reached agreement on the terms of the proposed determinations and join in asking the Court to make the determinations.  Those parties include the two claimant groups, the State of South Australia, affected pastoralists, South Australian Native Title Services Ltd, Telstra </w:t>
      </w:r>
      <w:r>
        <w:lastRenderedPageBreak/>
        <w:t xml:space="preserve">Corporation Ltd, Epic Energy South Australia Pty Ltd, Cauldron Energy Ltd and </w:t>
      </w:r>
      <w:proofErr w:type="spellStart"/>
      <w:r>
        <w:t>T</w:t>
      </w:r>
      <w:r w:rsidR="0088119C">
        <w:t>eale</w:t>
      </w:r>
      <w:proofErr w:type="spellEnd"/>
      <w:r w:rsidR="0088119C">
        <w:t xml:space="preserve"> and Associate</w:t>
      </w:r>
      <w:r w:rsidR="00A7346E">
        <w:t>s Pty Ltd.</w:t>
      </w:r>
    </w:p>
    <w:p w:rsidR="009F1F2B" w:rsidRDefault="009F1F2B" w:rsidP="009F1F2B">
      <w:pPr>
        <w:pStyle w:val="ParaNumbering"/>
      </w:pPr>
      <w:r>
        <w:t xml:space="preserve">The State has searched the cadastre and mining tenements in </w:t>
      </w:r>
      <w:r w:rsidR="00A7346E">
        <w:t>the proposed determination area</w:t>
      </w:r>
      <w:r>
        <w:t xml:space="preserve"> and has not identified any other party as holding a relevant interest.  No party has identified any additional interest and no party has objected to the making of the consent determination.</w:t>
      </w:r>
    </w:p>
    <w:p w:rsidR="009F1F2B" w:rsidRDefault="009F1F2B" w:rsidP="009F1F2B">
      <w:pPr>
        <w:pStyle w:val="ParaNumbering"/>
      </w:pPr>
      <w:r>
        <w:t>It is apparent that nearly all parties have had independent legal advice.  There is no reason to suppose that a lack of representation has disadvantaged any unrepresented respondent.</w:t>
      </w:r>
    </w:p>
    <w:p w:rsidR="009F1F2B" w:rsidRDefault="009F1F2B" w:rsidP="009F1F2B">
      <w:pPr>
        <w:pStyle w:val="ParaNumbering"/>
      </w:pPr>
      <w:r>
        <w:t>The parties are agreed that the prospective registered native title body corporate</w:t>
      </w:r>
      <w:r w:rsidR="00E27367">
        <w:t xml:space="preserve">, </w:t>
      </w:r>
      <w:proofErr w:type="spellStart"/>
      <w:r w:rsidR="00E27367">
        <w:t>Dieri</w:t>
      </w:r>
      <w:proofErr w:type="spellEnd"/>
      <w:r w:rsidR="00E27367">
        <w:t xml:space="preserve"> Aboriginal Corporation </w:t>
      </w:r>
      <w:proofErr w:type="spellStart"/>
      <w:r w:rsidR="00E27367">
        <w:t>RNTBC</w:t>
      </w:r>
      <w:proofErr w:type="spellEnd"/>
      <w:r w:rsidR="00A7346E">
        <w:t xml:space="preserve">, has </w:t>
      </w:r>
      <w:r w:rsidR="00E27367">
        <w:t xml:space="preserve">liberty to apply to seek a variation of the determination of native title in this matter, as it relates to pastoral improvements, in the event that the ruling of this Court in </w:t>
      </w:r>
      <w:r w:rsidR="00E27367">
        <w:rPr>
          <w:i/>
        </w:rPr>
        <w:t>De Rose v South Australia (No 2)</w:t>
      </w:r>
      <w:r w:rsidR="00E27367">
        <w:t xml:space="preserve"> [2005] </w:t>
      </w:r>
      <w:proofErr w:type="spellStart"/>
      <w:r w:rsidR="00E27367">
        <w:t>FCAFC</w:t>
      </w:r>
      <w:proofErr w:type="spellEnd"/>
      <w:r w:rsidR="00E27367">
        <w:t xml:space="preserve"> 110; (2005) 145 </w:t>
      </w:r>
      <w:proofErr w:type="spellStart"/>
      <w:r w:rsidR="00E27367">
        <w:t>FCR</w:t>
      </w:r>
      <w:proofErr w:type="spellEnd"/>
      <w:r w:rsidR="00E27367">
        <w:t xml:space="preserve"> 290 with respect to pastoral improvements is overturned, set aside or otherwise found to be an incorrect legal ruling by the High Court in the context of an appeal to the High Court from the decision of this Court in </w:t>
      </w:r>
      <w:r w:rsidR="00E27367">
        <w:rPr>
          <w:i/>
        </w:rPr>
        <w:t xml:space="preserve">Brown (on behalf of the </w:t>
      </w:r>
      <w:proofErr w:type="spellStart"/>
      <w:r w:rsidR="00E27367">
        <w:rPr>
          <w:i/>
        </w:rPr>
        <w:t>Ngarla</w:t>
      </w:r>
      <w:proofErr w:type="spellEnd"/>
      <w:r w:rsidR="00E27367">
        <w:rPr>
          <w:i/>
        </w:rPr>
        <w:t xml:space="preserve"> People) v State of Western Australia</w:t>
      </w:r>
      <w:r w:rsidR="00E27367">
        <w:t xml:space="preserve"> [2012] </w:t>
      </w:r>
      <w:proofErr w:type="spellStart"/>
      <w:r w:rsidR="00E27367">
        <w:t>FCAFC</w:t>
      </w:r>
      <w:proofErr w:type="spellEnd"/>
      <w:r w:rsidR="00E27367">
        <w:t xml:space="preserve"> 154</w:t>
      </w:r>
      <w:r w:rsidR="00C838F6">
        <w:t xml:space="preserve">; (2012) 208 </w:t>
      </w:r>
      <w:proofErr w:type="spellStart"/>
      <w:r w:rsidR="00C838F6">
        <w:t>FCR</w:t>
      </w:r>
      <w:proofErr w:type="spellEnd"/>
      <w:r w:rsidR="00C838F6">
        <w:t xml:space="preserve"> 505</w:t>
      </w:r>
      <w:r w:rsidR="00E27367">
        <w:t>.</w:t>
      </w:r>
    </w:p>
    <w:p w:rsidR="00E27367" w:rsidRDefault="00E27367" w:rsidP="00E27367">
      <w:pPr>
        <w:pStyle w:val="Heading2"/>
      </w:pPr>
      <w:r>
        <w:t>Conclusion</w:t>
      </w:r>
    </w:p>
    <w:p w:rsidR="00E27367" w:rsidRDefault="00D96786" w:rsidP="00E27367">
      <w:pPr>
        <w:pStyle w:val="ParaNumbering"/>
      </w:pPr>
      <w:r>
        <w:t>Having regard to the above matters, I am satisfied that the proposed determination is appropriate and should be made.  I will make orders in the terms proposed by the parties.</w:t>
      </w:r>
    </w:p>
    <w:p w:rsidR="003D17C8" w:rsidRDefault="003D17C8">
      <w:bookmarkStart w:id="22" w:name="Certification"/>
    </w:p>
    <w:tbl>
      <w:tblPr>
        <w:tblW w:w="0" w:type="auto"/>
        <w:tblLook w:val="04A0" w:firstRow="1" w:lastRow="0" w:firstColumn="1" w:lastColumn="0" w:noHBand="0" w:noVBand="1"/>
      </w:tblPr>
      <w:tblGrid>
        <w:gridCol w:w="3794"/>
      </w:tblGrid>
      <w:tr w:rsidR="003D17C8" w:rsidRPr="003D17C8">
        <w:tc>
          <w:tcPr>
            <w:tcW w:w="3794" w:type="dxa"/>
            <w:shd w:val="clear" w:color="auto" w:fill="auto"/>
          </w:tcPr>
          <w:p w:rsidR="003D17C8" w:rsidRPr="003D17C8" w:rsidRDefault="003D17C8" w:rsidP="003D17C8">
            <w:pPr>
              <w:pStyle w:val="Normal1linespace"/>
              <w:jc w:val="left"/>
            </w:pPr>
            <w:r w:rsidRPr="003D17C8">
              <w:t xml:space="preserve">I certify that the preceding </w:t>
            </w:r>
            <w:bookmarkStart w:id="23" w:name="NumberWord"/>
            <w:r w:rsidR="00D96786">
              <w:t>fifty-eight</w:t>
            </w:r>
            <w:bookmarkEnd w:id="23"/>
            <w:r w:rsidRPr="003D17C8">
              <w:t xml:space="preserve"> (</w:t>
            </w:r>
            <w:bookmarkStart w:id="24" w:name="NumberNumeral"/>
            <w:r w:rsidR="00D96786">
              <w:t>58</w:t>
            </w:r>
            <w:bookmarkEnd w:id="24"/>
            <w:r w:rsidRPr="003D17C8">
              <w:t xml:space="preserve">) numbered </w:t>
            </w:r>
            <w:bookmarkStart w:id="25" w:name="CertPara"/>
            <w:r w:rsidR="00D96786">
              <w:t>paragraphs are</w:t>
            </w:r>
            <w:bookmarkEnd w:id="25"/>
            <w:r w:rsidRPr="003D17C8">
              <w:t xml:space="preserve"> a true copy of the Reasons for Judgment herein of the Honourable </w:t>
            </w:r>
            <w:bookmarkStart w:id="26" w:name="Justice"/>
            <w:r>
              <w:t>Justice White</w:t>
            </w:r>
            <w:bookmarkEnd w:id="26"/>
            <w:r w:rsidRPr="003D17C8">
              <w:t>.</w:t>
            </w:r>
          </w:p>
        </w:tc>
      </w:tr>
    </w:tbl>
    <w:p w:rsidR="003D17C8" w:rsidRDefault="003D17C8"/>
    <w:p w:rsidR="003D17C8" w:rsidRDefault="003D17C8"/>
    <w:p w:rsidR="003D17C8" w:rsidRDefault="003D17C8"/>
    <w:p w:rsidR="003D17C8" w:rsidRDefault="003D17C8">
      <w:pPr>
        <w:suppressAutoHyphens/>
      </w:pPr>
      <w:r>
        <w:t>Associate:</w:t>
      </w:r>
    </w:p>
    <w:p w:rsidR="003D17C8" w:rsidRDefault="003D17C8">
      <w:pPr>
        <w:suppressAutoHyphens/>
      </w:pPr>
    </w:p>
    <w:p w:rsidR="003D17C8" w:rsidRDefault="003D17C8">
      <w:pPr>
        <w:tabs>
          <w:tab w:val="left" w:pos="1134"/>
        </w:tabs>
        <w:suppressAutoHyphens/>
      </w:pPr>
      <w:r>
        <w:t>Dated:</w:t>
      </w:r>
      <w:r>
        <w:tab/>
      </w:r>
      <w:bookmarkStart w:id="27" w:name="CertifyDated"/>
      <w:r w:rsidR="00E37899">
        <w:t>26 February</w:t>
      </w:r>
      <w:r>
        <w:t xml:space="preserve"> 2014</w:t>
      </w:r>
      <w:bookmarkEnd w:id="27"/>
    </w:p>
    <w:bookmarkEnd w:id="22"/>
    <w:p w:rsidR="00E27367" w:rsidRPr="00E27367" w:rsidRDefault="00E27367" w:rsidP="00E27367"/>
    <w:sectPr w:rsidR="00E27367" w:rsidRPr="00E27367">
      <w:headerReference w:type="even" r:id="rId66"/>
      <w:headerReference w:type="default" r:id="rId67"/>
      <w:footerReference w:type="default" r:id="rId68"/>
      <w:headerReference w:type="first" r:id="rId69"/>
      <w:footerReference w:type="first" r:id="rId70"/>
      <w:endnotePr>
        <w:numFmt w:val="decimal"/>
      </w:endnotePr>
      <w:pgSz w:w="11907" w:h="16840" w:code="9"/>
      <w:pgMar w:top="1440" w:right="1440" w:bottom="1440" w:left="1440" w:header="851" w:footer="851" w:gutter="0"/>
      <w:pgNumType w:start="1"/>
      <w:cols w:space="720"/>
      <w:noEndnote/>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573D" w:rsidRDefault="0054573D">
      <w:pPr>
        <w:spacing w:line="20" w:lineRule="exact"/>
      </w:pPr>
    </w:p>
    <w:p w:rsidR="0054573D" w:rsidRDefault="0054573D"/>
    <w:p w:rsidR="0054573D" w:rsidRDefault="0054573D"/>
  </w:endnote>
  <w:endnote w:type="continuationSeparator" w:id="0">
    <w:p w:rsidR="0054573D" w:rsidRDefault="0054573D">
      <w:r>
        <w:t xml:space="preserve"> </w:t>
      </w:r>
    </w:p>
    <w:p w:rsidR="0054573D" w:rsidRDefault="0054573D"/>
    <w:p w:rsidR="0054573D" w:rsidRDefault="0054573D"/>
  </w:endnote>
  <w:endnote w:type="continuationNotice" w:id="1">
    <w:p w:rsidR="0054573D" w:rsidRDefault="0054573D">
      <w:r>
        <w:t xml:space="preserve"> </w:t>
      </w:r>
    </w:p>
    <w:p w:rsidR="0054573D" w:rsidRDefault="0054573D"/>
    <w:p w:rsidR="0054573D" w:rsidRDefault="0054573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Univers">
    <w:altName w:val="Arial"/>
    <w:panose1 w:val="00000000000000000000"/>
    <w:charset w:val="00"/>
    <w:family w:val="swiss"/>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573D" w:rsidRPr="0088119C" w:rsidRDefault="0054573D" w:rsidP="0088119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573D" w:rsidRPr="0088119C" w:rsidRDefault="0054573D" w:rsidP="0088119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573D" w:rsidRPr="0088119C" w:rsidRDefault="0054573D" w:rsidP="0088119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573D" w:rsidRDefault="0054573D"/>
    <w:p w:rsidR="0054573D" w:rsidRDefault="0054573D"/>
    <w:p w:rsidR="0054573D" w:rsidRDefault="0054573D"/>
  </w:footnote>
  <w:footnote w:type="continuationSeparator" w:id="0">
    <w:p w:rsidR="0054573D" w:rsidRDefault="0054573D">
      <w:r>
        <w:continuationSeparator/>
      </w:r>
    </w:p>
    <w:p w:rsidR="0054573D" w:rsidRDefault="0054573D"/>
    <w:p w:rsidR="0054573D" w:rsidRDefault="0054573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573D" w:rsidRDefault="0054573D">
    <w:pPr>
      <w:tabs>
        <w:tab w:val="center" w:pos="4512"/>
      </w:tabs>
      <w:suppressAutoHyphens/>
      <w:rPr>
        <w:spacing w:val="-3"/>
      </w:rPr>
    </w:pPr>
    <w:r>
      <w:rPr>
        <w:spacing w:val="-3"/>
      </w:rPr>
      <w:tab/>
      <w:t xml:space="preserve">- </w:t>
    </w:r>
    <w:r>
      <w:rPr>
        <w:spacing w:val="-3"/>
      </w:rPr>
      <w:fldChar w:fldCharType="begin"/>
    </w:r>
    <w:r>
      <w:rPr>
        <w:spacing w:val="-3"/>
      </w:rPr>
      <w:instrText>page \* arabic</w:instrText>
    </w:r>
    <w:r>
      <w:rPr>
        <w:spacing w:val="-3"/>
      </w:rPr>
      <w:fldChar w:fldCharType="separate"/>
    </w:r>
    <w:r w:rsidR="00555DC8">
      <w:rPr>
        <w:noProof/>
        <w:spacing w:val="-3"/>
      </w:rPr>
      <w:t>2</w:t>
    </w:r>
    <w:r>
      <w:rPr>
        <w:spacing w:val="-3"/>
      </w:rPr>
      <w:fldChar w:fldCharType="end"/>
    </w:r>
    <w:r>
      <w:rPr>
        <w:spacing w:val="-3"/>
      </w:rPr>
      <w:t xml:space="preserve">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43A4" w:rsidRDefault="008A43A4">
    <w:pPr>
      <w:tabs>
        <w:tab w:val="center" w:pos="4512"/>
      </w:tabs>
      <w:suppressAutoHyphens/>
    </w:pPr>
    <w:r>
      <w:tab/>
      <w:t xml:space="preserve">- </w:t>
    </w:r>
    <w:r>
      <w:fldChar w:fldCharType="begin"/>
    </w:r>
    <w:r>
      <w:instrText>page \* arabic</w:instrText>
    </w:r>
    <w:r>
      <w:fldChar w:fldCharType="separate"/>
    </w:r>
    <w:r w:rsidR="00555DC8">
      <w:rPr>
        <w:noProof/>
      </w:rPr>
      <w:t>97</w:t>
    </w:r>
    <w:r>
      <w:fldChar w:fldCharType="end"/>
    </w:r>
    <w:r>
      <w:t xml:space="preserve">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573D" w:rsidRDefault="0054573D"/>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573D" w:rsidRDefault="0054573D">
    <w:pPr>
      <w:tabs>
        <w:tab w:val="center" w:pos="4512"/>
      </w:tabs>
      <w:suppressAutoHyphens/>
    </w:pPr>
    <w:r>
      <w:tab/>
      <w:t xml:space="preserve">- </w:t>
    </w:r>
    <w:r>
      <w:fldChar w:fldCharType="begin"/>
    </w:r>
    <w:r>
      <w:instrText>page \* arabic</w:instrText>
    </w:r>
    <w:r>
      <w:fldChar w:fldCharType="separate"/>
    </w:r>
    <w:r w:rsidR="00555DC8">
      <w:rPr>
        <w:noProof/>
      </w:rPr>
      <w:t>2</w:t>
    </w:r>
    <w:r>
      <w:fldChar w:fldCharType="end"/>
    </w:r>
    <w:r>
      <w:t xml:space="preserve">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573D" w:rsidRDefault="0054573D">
    <w:pPr>
      <w:pStyle w:val="Header"/>
      <w:tabs>
        <w:tab w:val="clear" w:pos="4320"/>
        <w:tab w:val="clear" w:pos="8640"/>
      </w:tabs>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573D" w:rsidRDefault="0054573D">
    <w:pPr>
      <w:tabs>
        <w:tab w:val="center" w:pos="4512"/>
      </w:tabs>
      <w:suppressAutoHyphens/>
      <w:rPr>
        <w:spacing w:val="-3"/>
      </w:rPr>
    </w:pPr>
    <w:r>
      <w:rPr>
        <w:spacing w:val="-3"/>
      </w:rPr>
      <w:tab/>
      <w:t xml:space="preserve">- </w:t>
    </w:r>
    <w:r>
      <w:rPr>
        <w:spacing w:val="-3"/>
      </w:rPr>
      <w:fldChar w:fldCharType="begin"/>
    </w:r>
    <w:r>
      <w:rPr>
        <w:spacing w:val="-3"/>
      </w:rPr>
      <w:instrText>page \* arabic</w:instrText>
    </w:r>
    <w:r>
      <w:rPr>
        <w:spacing w:val="-3"/>
      </w:rPr>
      <w:fldChar w:fldCharType="separate"/>
    </w:r>
    <w:r w:rsidR="00555DC8">
      <w:rPr>
        <w:noProof/>
        <w:spacing w:val="-3"/>
      </w:rPr>
      <w:t>2</w:t>
    </w:r>
    <w:r>
      <w:rPr>
        <w:spacing w:val="-3"/>
      </w:rPr>
      <w:fldChar w:fldCharType="end"/>
    </w:r>
    <w:r>
      <w:rPr>
        <w:spacing w:val="-3"/>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573D" w:rsidRDefault="0054573D" w:rsidP="00E37899">
    <w:pPr>
      <w:tabs>
        <w:tab w:val="center" w:pos="4512"/>
      </w:tabs>
      <w:suppressAutoHyphens/>
      <w:rPr>
        <w:spacing w:val="-3"/>
      </w:rPr>
    </w:pPr>
    <w:r>
      <w:rPr>
        <w:spacing w:val="-3"/>
      </w:rPr>
      <w:tab/>
      <w:t xml:space="preserve">- </w:t>
    </w:r>
    <w:r>
      <w:rPr>
        <w:spacing w:val="-3"/>
      </w:rPr>
      <w:fldChar w:fldCharType="begin"/>
    </w:r>
    <w:r>
      <w:rPr>
        <w:spacing w:val="-3"/>
      </w:rPr>
      <w:instrText>page \* arabic</w:instrText>
    </w:r>
    <w:r>
      <w:rPr>
        <w:spacing w:val="-3"/>
      </w:rPr>
      <w:fldChar w:fldCharType="separate"/>
    </w:r>
    <w:r w:rsidR="00555DC8">
      <w:rPr>
        <w:noProof/>
        <w:spacing w:val="-3"/>
      </w:rPr>
      <w:t>11</w:t>
    </w:r>
    <w:r>
      <w:rPr>
        <w:spacing w:val="-3"/>
      </w:rPr>
      <w:fldChar w:fldCharType="end"/>
    </w:r>
    <w:r>
      <w:rPr>
        <w:spacing w:val="-3"/>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43A4" w:rsidRDefault="008A43A4">
    <w:pPr>
      <w:tabs>
        <w:tab w:val="center" w:pos="4512"/>
      </w:tabs>
      <w:suppressAutoHyphens/>
    </w:pPr>
    <w:r>
      <w:tab/>
      <w:t xml:space="preserve">- </w:t>
    </w:r>
    <w:r>
      <w:fldChar w:fldCharType="begin"/>
    </w:r>
    <w:r>
      <w:instrText>page \* arabic</w:instrText>
    </w:r>
    <w:r>
      <w:fldChar w:fldCharType="separate"/>
    </w:r>
    <w:r w:rsidR="00555DC8">
      <w:rPr>
        <w:noProof/>
      </w:rPr>
      <w:t>61</w:t>
    </w:r>
    <w:r>
      <w:fldChar w:fldCharType="end"/>
    </w:r>
    <w: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43A4" w:rsidRDefault="008A43A4">
    <w:pPr>
      <w:tabs>
        <w:tab w:val="center" w:pos="4512"/>
      </w:tabs>
      <w:suppressAutoHyphens/>
    </w:pPr>
    <w:r>
      <w:tab/>
      <w:t xml:space="preserve">- </w:t>
    </w:r>
    <w:r>
      <w:fldChar w:fldCharType="begin"/>
    </w:r>
    <w:r>
      <w:instrText>page \* arabic</w:instrText>
    </w:r>
    <w:r>
      <w:fldChar w:fldCharType="separate"/>
    </w:r>
    <w:r w:rsidR="00555DC8">
      <w:rPr>
        <w:noProof/>
      </w:rPr>
      <w:t>72</w:t>
    </w:r>
    <w:r>
      <w:fldChar w:fldCharType="end"/>
    </w:r>
    <w: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43A4" w:rsidRDefault="008A43A4" w:rsidP="00E7736B">
    <w:pPr>
      <w:tabs>
        <w:tab w:val="center" w:pos="4512"/>
      </w:tabs>
      <w:suppressAutoHyphens/>
    </w:pPr>
    <w:r>
      <w:tab/>
      <w:t xml:space="preserve">- </w:t>
    </w:r>
    <w:r>
      <w:fldChar w:fldCharType="begin"/>
    </w:r>
    <w:r>
      <w:instrText>page \* arabic</w:instrText>
    </w:r>
    <w:r>
      <w:fldChar w:fldCharType="separate"/>
    </w:r>
    <w:r w:rsidR="00555DC8">
      <w:rPr>
        <w:noProof/>
      </w:rPr>
      <w:t>71</w:t>
    </w:r>
    <w:r>
      <w:fldChar w:fldCharType="end"/>
    </w:r>
    <w:r>
      <w:t xml:space="preserve"> -</w:t>
    </w:r>
  </w:p>
  <w:p w:rsidR="008A43A4" w:rsidRDefault="008A43A4" w:rsidP="005B24E1">
    <w:pPr>
      <w:tabs>
        <w:tab w:val="center" w:pos="4512"/>
      </w:tabs>
      <w:suppressAutoHyphens/>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43A4" w:rsidRDefault="008A43A4">
    <w:pPr>
      <w:tabs>
        <w:tab w:val="center" w:pos="4512"/>
      </w:tabs>
      <w:suppressAutoHyphens/>
    </w:pPr>
    <w:r>
      <w:tab/>
      <w:t xml:space="preserve">- </w:t>
    </w:r>
    <w:r>
      <w:fldChar w:fldCharType="begin"/>
    </w:r>
    <w:r>
      <w:instrText>page \* arabic</w:instrText>
    </w:r>
    <w:r>
      <w:fldChar w:fldCharType="separate"/>
    </w:r>
    <w:r w:rsidR="00555DC8">
      <w:rPr>
        <w:noProof/>
      </w:rPr>
      <w:t>92</w:t>
    </w:r>
    <w:r>
      <w:fldChar w:fldCharType="end"/>
    </w:r>
    <w: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43A4" w:rsidRDefault="008A43A4">
    <w:pPr>
      <w:tabs>
        <w:tab w:val="center" w:pos="4512"/>
      </w:tabs>
      <w:suppressAutoHyphens/>
    </w:pPr>
    <w:r>
      <w:tab/>
      <w:t xml:space="preserve">- </w:t>
    </w:r>
    <w:r>
      <w:fldChar w:fldCharType="begin"/>
    </w:r>
    <w:r>
      <w:instrText>page \* arabic</w:instrText>
    </w:r>
    <w:r>
      <w:fldChar w:fldCharType="separate"/>
    </w:r>
    <w:r>
      <w:rPr>
        <w:noProof/>
      </w:rPr>
      <w:t>2</w:t>
    </w:r>
    <w:r>
      <w:fldChar w:fldCharType="end"/>
    </w:r>
    <w: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43A4" w:rsidRDefault="008A43A4">
    <w:pPr>
      <w:tabs>
        <w:tab w:val="center" w:pos="4512"/>
      </w:tabs>
      <w:suppressAutoHyphens/>
    </w:pPr>
    <w:r>
      <w:tab/>
      <w:t xml:space="preserve">- </w:t>
    </w:r>
    <w:r>
      <w:fldChar w:fldCharType="begin"/>
    </w:r>
    <w:r>
      <w:instrText>page \* arabic</w:instrText>
    </w:r>
    <w:r>
      <w:fldChar w:fldCharType="separate"/>
    </w:r>
    <w:r>
      <w:rPr>
        <w:noProof/>
      </w:rPr>
      <w:t>2</w:t>
    </w:r>
    <w:r>
      <w:fldChar w:fldCharType="end"/>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23ACBC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F04AF16C"/>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163689C0"/>
    <w:lvl w:ilvl="0">
      <w:start w:val="1"/>
      <w:numFmt w:val="decimal"/>
      <w:pStyle w:val="ListNumber3"/>
      <w:lvlText w:val="%1."/>
      <w:lvlJc w:val="left"/>
      <w:pPr>
        <w:tabs>
          <w:tab w:val="num" w:pos="926"/>
        </w:tabs>
        <w:ind w:left="926" w:hanging="360"/>
      </w:pPr>
    </w:lvl>
  </w:abstractNum>
  <w:abstractNum w:abstractNumId="3">
    <w:nsid w:val="FFFFFF7F"/>
    <w:multiLevelType w:val="singleLevel"/>
    <w:tmpl w:val="6B229462"/>
    <w:lvl w:ilvl="0">
      <w:start w:val="1"/>
      <w:numFmt w:val="decimal"/>
      <w:pStyle w:val="ListNumber2"/>
      <w:lvlText w:val="%1."/>
      <w:lvlJc w:val="left"/>
      <w:pPr>
        <w:tabs>
          <w:tab w:val="num" w:pos="643"/>
        </w:tabs>
        <w:ind w:left="643" w:hanging="360"/>
      </w:pPr>
    </w:lvl>
  </w:abstractNum>
  <w:abstractNum w:abstractNumId="4">
    <w:nsid w:val="FFFFFF80"/>
    <w:multiLevelType w:val="singleLevel"/>
    <w:tmpl w:val="88E2E984"/>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B726AA5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BD947F00"/>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8C5AED42"/>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F5EC1148"/>
    <w:lvl w:ilvl="0">
      <w:start w:val="1"/>
      <w:numFmt w:val="decimal"/>
      <w:pStyle w:val="ListNumber"/>
      <w:lvlText w:val="%1."/>
      <w:lvlJc w:val="left"/>
      <w:pPr>
        <w:tabs>
          <w:tab w:val="num" w:pos="360"/>
        </w:tabs>
        <w:ind w:left="360" w:hanging="360"/>
      </w:pPr>
    </w:lvl>
  </w:abstractNum>
  <w:abstractNum w:abstractNumId="9">
    <w:nsid w:val="FFFFFF89"/>
    <w:multiLevelType w:val="singleLevel"/>
    <w:tmpl w:val="26DC146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4B845B9"/>
    <w:multiLevelType w:val="multilevel"/>
    <w:tmpl w:val="EE862A3E"/>
    <w:lvl w:ilvl="0">
      <w:start w:val="1"/>
      <w:numFmt w:val="decimal"/>
      <w:lvlText w:val="%1."/>
      <w:lvlJc w:val="left"/>
      <w:pPr>
        <w:tabs>
          <w:tab w:val="num" w:pos="567"/>
        </w:tabs>
        <w:ind w:left="567" w:hanging="567"/>
      </w:pPr>
      <w:rPr>
        <w:rFonts w:hint="default"/>
        <w:i w:val="0"/>
      </w:rPr>
    </w:lvl>
    <w:lvl w:ilvl="1">
      <w:start w:val="3"/>
      <w:numFmt w:val="lowerLetter"/>
      <w:lvlText w:val="(%2)"/>
      <w:lvlJc w:val="left"/>
      <w:pPr>
        <w:tabs>
          <w:tab w:val="num" w:pos="1139"/>
        </w:tabs>
        <w:ind w:left="1139" w:hanging="567"/>
      </w:pPr>
      <w:rPr>
        <w:rFonts w:hint="default"/>
      </w:rPr>
    </w:lvl>
    <w:lvl w:ilvl="2">
      <w:start w:val="1"/>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3"/>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
    <w:nsid w:val="04FC6E39"/>
    <w:multiLevelType w:val="multilevel"/>
    <w:tmpl w:val="96EA01CE"/>
    <w:lvl w:ilvl="0">
      <w:start w:val="1"/>
      <w:numFmt w:val="decimal"/>
      <w:lvlText w:val="%1."/>
      <w:lvlJc w:val="left"/>
      <w:pPr>
        <w:tabs>
          <w:tab w:val="num" w:pos="567"/>
        </w:tabs>
        <w:ind w:left="567" w:hanging="567"/>
      </w:pPr>
      <w:rPr>
        <w:rFonts w:hint="default"/>
        <w:i w:val="0"/>
      </w:rPr>
    </w:lvl>
    <w:lvl w:ilvl="1">
      <w:start w:val="2"/>
      <w:numFmt w:val="lowerLetter"/>
      <w:lvlText w:val="(%2)"/>
      <w:lvlJc w:val="left"/>
      <w:pPr>
        <w:tabs>
          <w:tab w:val="num" w:pos="1139"/>
        </w:tabs>
        <w:ind w:left="1139" w:hanging="567"/>
      </w:pPr>
      <w:rPr>
        <w:rFonts w:hint="default"/>
      </w:rPr>
    </w:lvl>
    <w:lvl w:ilvl="2">
      <w:start w:val="1"/>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3"/>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
    <w:nsid w:val="101E703B"/>
    <w:multiLevelType w:val="multilevel"/>
    <w:tmpl w:val="ED849658"/>
    <w:lvl w:ilvl="0">
      <w:start w:val="1"/>
      <w:numFmt w:val="decimal"/>
      <w:lvlText w:val="%1."/>
      <w:lvlJc w:val="left"/>
      <w:pPr>
        <w:tabs>
          <w:tab w:val="num" w:pos="567"/>
        </w:tabs>
        <w:ind w:left="567" w:hanging="567"/>
      </w:pPr>
      <w:rPr>
        <w:rFonts w:hint="default"/>
        <w:i w:val="0"/>
      </w:rPr>
    </w:lvl>
    <w:lvl w:ilvl="1">
      <w:start w:val="1"/>
      <w:numFmt w:val="lowerLetter"/>
      <w:lvlText w:val="(%2)"/>
      <w:lvlJc w:val="left"/>
      <w:pPr>
        <w:tabs>
          <w:tab w:val="num" w:pos="1139"/>
        </w:tabs>
        <w:ind w:left="1139" w:hanging="567"/>
      </w:pPr>
      <w:rPr>
        <w:rFonts w:hint="default"/>
      </w:rPr>
    </w:lvl>
    <w:lvl w:ilvl="2">
      <w:start w:val="1"/>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3"/>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
    <w:nsid w:val="11AA5C79"/>
    <w:multiLevelType w:val="hybridMultilevel"/>
    <w:tmpl w:val="8D5EBF66"/>
    <w:lvl w:ilvl="0" w:tplc="9EA824B2">
      <w:start w:val="1"/>
      <w:numFmt w:val="upperLetter"/>
      <w:lvlText w:val="%1."/>
      <w:lvlJc w:val="left"/>
      <w:pPr>
        <w:tabs>
          <w:tab w:val="num" w:pos="724"/>
        </w:tabs>
        <w:ind w:left="724" w:hanging="360"/>
      </w:pPr>
      <w:rPr>
        <w:rFonts w:hint="default"/>
      </w:rPr>
    </w:lvl>
    <w:lvl w:ilvl="1" w:tplc="0C090019" w:tentative="1">
      <w:start w:val="1"/>
      <w:numFmt w:val="lowerLetter"/>
      <w:lvlText w:val="%2."/>
      <w:lvlJc w:val="left"/>
      <w:pPr>
        <w:ind w:left="1440" w:hanging="360"/>
      </w:pPr>
    </w:lvl>
    <w:lvl w:ilvl="2" w:tplc="72F0D74C">
      <w:start w:val="1"/>
      <w:numFmt w:val="lowerLetter"/>
      <w:lvlText w:val="(%3)"/>
      <w:lvlJc w:val="left"/>
      <w:pPr>
        <w:ind w:left="2160" w:hanging="18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168F28D0"/>
    <w:multiLevelType w:val="multilevel"/>
    <w:tmpl w:val="93FA7D28"/>
    <w:lvl w:ilvl="0">
      <w:start w:val="1"/>
      <w:numFmt w:val="bullet"/>
      <w:pStyle w:val="FCBullets"/>
      <w:lvlText w:val=""/>
      <w:lvlJc w:val="left"/>
      <w:pPr>
        <w:tabs>
          <w:tab w:val="num" w:pos="720"/>
        </w:tabs>
        <w:ind w:left="720" w:hanging="720"/>
      </w:pPr>
      <w:rPr>
        <w:rFonts w:ascii="Symbol" w:hAnsi="Symbol"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15">
    <w:nsid w:val="27B51629"/>
    <w:multiLevelType w:val="multilevel"/>
    <w:tmpl w:val="03FE9D26"/>
    <w:lvl w:ilvl="0">
      <w:start w:val="1"/>
      <w:numFmt w:val="decimal"/>
      <w:lvlText w:val="%1."/>
      <w:lvlJc w:val="left"/>
      <w:pPr>
        <w:tabs>
          <w:tab w:val="num" w:pos="567"/>
        </w:tabs>
        <w:ind w:left="567" w:hanging="567"/>
      </w:pPr>
      <w:rPr>
        <w:rFonts w:hint="default"/>
        <w:b w:val="0"/>
        <w:i w:val="0"/>
        <w:vertAlign w:val="baseline"/>
      </w:rPr>
    </w:lvl>
    <w:lvl w:ilvl="1">
      <w:start w:val="1"/>
      <w:numFmt w:val="decimal"/>
      <w:lvlText w:val="%1.%2."/>
      <w:lvlJc w:val="left"/>
      <w:pPr>
        <w:tabs>
          <w:tab w:val="num" w:pos="1474"/>
        </w:tabs>
        <w:ind w:left="1474" w:hanging="907"/>
      </w:pPr>
      <w:rPr>
        <w:rFonts w:hint="default"/>
        <w:b w:val="0"/>
        <w:i w:val="0"/>
        <w:vertAlign w:val="baseline"/>
      </w:rPr>
    </w:lvl>
    <w:lvl w:ilvl="2">
      <w:start w:val="1"/>
      <w:numFmt w:val="lowerLetter"/>
      <w:lvlText w:val="%3)"/>
      <w:lvlJc w:val="left"/>
      <w:pPr>
        <w:tabs>
          <w:tab w:val="num" w:pos="1791"/>
        </w:tabs>
        <w:ind w:left="1791" w:hanging="283"/>
      </w:pPr>
      <w:rPr>
        <w:rFonts w:hint="default"/>
        <w:b w:val="0"/>
        <w:i w:val="0"/>
        <w:vertAlign w:val="baseline"/>
      </w:rPr>
    </w:lvl>
    <w:lvl w:ilvl="3">
      <w:start w:val="1"/>
      <w:numFmt w:val="decimal"/>
      <w:lvlText w:val="%4%1.1"/>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
    <w:nsid w:val="29AE3DD1"/>
    <w:multiLevelType w:val="singleLevel"/>
    <w:tmpl w:val="E01C1A9C"/>
    <w:lvl w:ilvl="0">
      <w:start w:val="1"/>
      <w:numFmt w:val="decimal"/>
      <w:lvlRestart w:val="0"/>
      <w:pStyle w:val="ParaNumbering"/>
      <w:lvlText w:val="%1"/>
      <w:lvlJc w:val="left"/>
      <w:pPr>
        <w:tabs>
          <w:tab w:val="num" w:pos="720"/>
        </w:tabs>
        <w:ind w:left="0" w:hanging="720"/>
      </w:pPr>
      <w:rPr>
        <w:rFonts w:hint="default"/>
        <w:sz w:val="20"/>
      </w:rPr>
    </w:lvl>
  </w:abstractNum>
  <w:abstractNum w:abstractNumId="17">
    <w:nsid w:val="33630A1B"/>
    <w:multiLevelType w:val="multilevel"/>
    <w:tmpl w:val="A09C08BE"/>
    <w:lvl w:ilvl="0">
      <w:start w:val="1"/>
      <w:numFmt w:val="decimal"/>
      <w:lvlRestart w:val="0"/>
      <w:pStyle w:val="ListNo"/>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18">
    <w:nsid w:val="49B30D2B"/>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nsid w:val="4A736C9D"/>
    <w:multiLevelType w:val="multilevel"/>
    <w:tmpl w:val="0C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0">
    <w:nsid w:val="52804910"/>
    <w:multiLevelType w:val="hybridMultilevel"/>
    <w:tmpl w:val="CDCE15AA"/>
    <w:lvl w:ilvl="0" w:tplc="3C4A508A">
      <w:start w:val="1"/>
      <w:numFmt w:val="decimal"/>
      <w:lvlText w:val="(%1)"/>
      <w:lvlJc w:val="left"/>
      <w:pPr>
        <w:tabs>
          <w:tab w:val="num" w:pos="2155"/>
        </w:tabs>
        <w:ind w:left="2155" w:hanging="420"/>
      </w:pPr>
      <w:rPr>
        <w:rFonts w:hint="default"/>
      </w:rPr>
    </w:lvl>
    <w:lvl w:ilvl="1" w:tplc="018A4CA2">
      <w:start w:val="6"/>
      <w:numFmt w:val="lowerLetter"/>
      <w:lvlText w:val="(%2)"/>
      <w:lvlJc w:val="left"/>
      <w:pPr>
        <w:tabs>
          <w:tab w:val="num" w:pos="2815"/>
        </w:tabs>
        <w:ind w:left="2815" w:hanging="360"/>
      </w:pPr>
      <w:rPr>
        <w:rFonts w:hint="default"/>
      </w:rPr>
    </w:lvl>
    <w:lvl w:ilvl="2" w:tplc="9ADEAE70">
      <w:start w:val="16"/>
      <w:numFmt w:val="decimal"/>
      <w:lvlText w:val="%3."/>
      <w:lvlJc w:val="left"/>
      <w:pPr>
        <w:tabs>
          <w:tab w:val="num" w:pos="3715"/>
        </w:tabs>
        <w:ind w:left="3715" w:hanging="360"/>
      </w:pPr>
      <w:rPr>
        <w:rFonts w:hint="default"/>
      </w:rPr>
    </w:lvl>
    <w:lvl w:ilvl="3" w:tplc="0C09000F" w:tentative="1">
      <w:start w:val="1"/>
      <w:numFmt w:val="decimal"/>
      <w:lvlText w:val="%4."/>
      <w:lvlJc w:val="left"/>
      <w:pPr>
        <w:tabs>
          <w:tab w:val="num" w:pos="4255"/>
        </w:tabs>
        <w:ind w:left="4255" w:hanging="360"/>
      </w:pPr>
    </w:lvl>
    <w:lvl w:ilvl="4" w:tplc="0C090019" w:tentative="1">
      <w:start w:val="1"/>
      <w:numFmt w:val="lowerLetter"/>
      <w:lvlText w:val="%5."/>
      <w:lvlJc w:val="left"/>
      <w:pPr>
        <w:tabs>
          <w:tab w:val="num" w:pos="4975"/>
        </w:tabs>
        <w:ind w:left="4975" w:hanging="360"/>
      </w:pPr>
    </w:lvl>
    <w:lvl w:ilvl="5" w:tplc="0C09001B" w:tentative="1">
      <w:start w:val="1"/>
      <w:numFmt w:val="lowerRoman"/>
      <w:lvlText w:val="%6."/>
      <w:lvlJc w:val="right"/>
      <w:pPr>
        <w:tabs>
          <w:tab w:val="num" w:pos="5695"/>
        </w:tabs>
        <w:ind w:left="5695" w:hanging="180"/>
      </w:pPr>
    </w:lvl>
    <w:lvl w:ilvl="6" w:tplc="0C09000F" w:tentative="1">
      <w:start w:val="1"/>
      <w:numFmt w:val="decimal"/>
      <w:lvlText w:val="%7."/>
      <w:lvlJc w:val="left"/>
      <w:pPr>
        <w:tabs>
          <w:tab w:val="num" w:pos="6415"/>
        </w:tabs>
        <w:ind w:left="6415" w:hanging="360"/>
      </w:pPr>
    </w:lvl>
    <w:lvl w:ilvl="7" w:tplc="0C090019" w:tentative="1">
      <w:start w:val="1"/>
      <w:numFmt w:val="lowerLetter"/>
      <w:lvlText w:val="%8."/>
      <w:lvlJc w:val="left"/>
      <w:pPr>
        <w:tabs>
          <w:tab w:val="num" w:pos="7135"/>
        </w:tabs>
        <w:ind w:left="7135" w:hanging="360"/>
      </w:pPr>
    </w:lvl>
    <w:lvl w:ilvl="8" w:tplc="0C09001B" w:tentative="1">
      <w:start w:val="1"/>
      <w:numFmt w:val="lowerRoman"/>
      <w:lvlText w:val="%9."/>
      <w:lvlJc w:val="right"/>
      <w:pPr>
        <w:tabs>
          <w:tab w:val="num" w:pos="7855"/>
        </w:tabs>
        <w:ind w:left="7855" w:hanging="180"/>
      </w:pPr>
    </w:lvl>
  </w:abstractNum>
  <w:abstractNum w:abstractNumId="21">
    <w:nsid w:val="554C030D"/>
    <w:multiLevelType w:val="multilevel"/>
    <w:tmpl w:val="20862F52"/>
    <w:lvl w:ilvl="0">
      <w:start w:val="1"/>
      <w:numFmt w:val="decimal"/>
      <w:lvlText w:val="%1."/>
      <w:lvlJc w:val="left"/>
      <w:pPr>
        <w:tabs>
          <w:tab w:val="num" w:pos="567"/>
        </w:tabs>
        <w:ind w:left="567" w:hanging="567"/>
      </w:pPr>
      <w:rPr>
        <w:rFonts w:hint="default"/>
        <w:i w:val="0"/>
      </w:rPr>
    </w:lvl>
    <w:lvl w:ilvl="1">
      <w:start w:val="1"/>
      <w:numFmt w:val="lowerLetter"/>
      <w:lvlText w:val="(%2)"/>
      <w:lvlJc w:val="left"/>
      <w:pPr>
        <w:tabs>
          <w:tab w:val="num" w:pos="1139"/>
        </w:tabs>
        <w:ind w:left="1139" w:hanging="567"/>
      </w:pPr>
      <w:rPr>
        <w:rFonts w:hint="default"/>
      </w:rPr>
    </w:lvl>
    <w:lvl w:ilvl="2">
      <w:start w:val="1"/>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3"/>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2">
    <w:nsid w:val="561473B2"/>
    <w:multiLevelType w:val="multilevel"/>
    <w:tmpl w:val="76C24ED2"/>
    <w:lvl w:ilvl="0">
      <w:start w:val="1"/>
      <w:numFmt w:val="decimal"/>
      <w:lvlRestart w:val="0"/>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23">
    <w:nsid w:val="5CC406C8"/>
    <w:multiLevelType w:val="multilevel"/>
    <w:tmpl w:val="E3445CEE"/>
    <w:lvl w:ilvl="0">
      <w:start w:val="1"/>
      <w:numFmt w:val="decimal"/>
      <w:lvlText w:val="%1."/>
      <w:lvlJc w:val="left"/>
      <w:pPr>
        <w:tabs>
          <w:tab w:val="num" w:pos="567"/>
        </w:tabs>
        <w:ind w:left="567" w:hanging="567"/>
      </w:pPr>
      <w:rPr>
        <w:rFonts w:hint="default"/>
        <w:i w:val="0"/>
      </w:rPr>
    </w:lvl>
    <w:lvl w:ilvl="1">
      <w:start w:val="1"/>
      <w:numFmt w:val="lowerLetter"/>
      <w:lvlText w:val="(%2)"/>
      <w:lvlJc w:val="left"/>
      <w:pPr>
        <w:tabs>
          <w:tab w:val="num" w:pos="1139"/>
        </w:tabs>
        <w:ind w:left="1139" w:hanging="567"/>
      </w:pPr>
      <w:rPr>
        <w:rFonts w:hint="default"/>
      </w:rPr>
    </w:lvl>
    <w:lvl w:ilvl="2">
      <w:start w:val="1"/>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3"/>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4">
    <w:nsid w:val="5F580F62"/>
    <w:multiLevelType w:val="multilevel"/>
    <w:tmpl w:val="63C4C3A8"/>
    <w:lvl w:ilvl="0">
      <w:start w:val="1"/>
      <w:numFmt w:val="decimal"/>
      <w:lvlText w:val="%1."/>
      <w:lvlJc w:val="left"/>
      <w:pPr>
        <w:tabs>
          <w:tab w:val="num" w:pos="567"/>
        </w:tabs>
        <w:ind w:left="567" w:hanging="567"/>
      </w:pPr>
      <w:rPr>
        <w:rFonts w:hint="default"/>
        <w:i w:val="0"/>
      </w:rPr>
    </w:lvl>
    <w:lvl w:ilvl="1">
      <w:start w:val="1"/>
      <w:numFmt w:val="lowerLetter"/>
      <w:lvlText w:val="(%2)"/>
      <w:lvlJc w:val="left"/>
      <w:pPr>
        <w:tabs>
          <w:tab w:val="num" w:pos="1139"/>
        </w:tabs>
        <w:ind w:left="1139" w:hanging="567"/>
      </w:pPr>
      <w:rPr>
        <w:rFonts w:hint="default"/>
      </w:rPr>
    </w:lvl>
    <w:lvl w:ilvl="2">
      <w:start w:val="1"/>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3"/>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5">
    <w:nsid w:val="61484504"/>
    <w:multiLevelType w:val="hybridMultilevel"/>
    <w:tmpl w:val="27621FA6"/>
    <w:lvl w:ilvl="0" w:tplc="0C090015">
      <w:start w:val="1"/>
      <w:numFmt w:val="upperLetter"/>
      <w:lvlText w:val="%1."/>
      <w:lvlJc w:val="left"/>
      <w:pPr>
        <w:tabs>
          <w:tab w:val="num" w:pos="724"/>
        </w:tabs>
        <w:ind w:left="724" w:hanging="360"/>
      </w:pPr>
    </w:lvl>
    <w:lvl w:ilvl="1" w:tplc="0C090019">
      <w:start w:val="1"/>
      <w:numFmt w:val="lowerLetter"/>
      <w:lvlText w:val="%2."/>
      <w:lvlJc w:val="left"/>
      <w:pPr>
        <w:tabs>
          <w:tab w:val="num" w:pos="1440"/>
        </w:tabs>
        <w:ind w:left="1440" w:hanging="360"/>
      </w:pPr>
    </w:lvl>
    <w:lvl w:ilvl="2" w:tplc="72F0D74C">
      <w:start w:val="1"/>
      <w:numFmt w:val="lowerLetter"/>
      <w:lvlText w:val="(%3)"/>
      <w:lvlJc w:val="left"/>
      <w:pPr>
        <w:tabs>
          <w:tab w:val="num" w:pos="1080"/>
        </w:tabs>
        <w:ind w:left="1080" w:hanging="1080"/>
      </w:pPr>
      <w:rPr>
        <w:rFonts w:hint="default"/>
      </w:rPr>
    </w:lvl>
    <w:lvl w:ilvl="3" w:tplc="0C09000F" w:tentative="1">
      <w:start w:val="1"/>
      <w:numFmt w:val="decimal"/>
      <w:lvlText w:val="%4."/>
      <w:lvlJc w:val="left"/>
      <w:pPr>
        <w:tabs>
          <w:tab w:val="num" w:pos="2880"/>
        </w:tabs>
        <w:ind w:left="2880" w:hanging="360"/>
      </w:pPr>
    </w:lvl>
    <w:lvl w:ilvl="4" w:tplc="0C090019">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6">
    <w:nsid w:val="668713DD"/>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27">
    <w:nsid w:val="6FB36F03"/>
    <w:multiLevelType w:val="multilevel"/>
    <w:tmpl w:val="86C6BF70"/>
    <w:lvl w:ilvl="0">
      <w:start w:val="22"/>
      <w:numFmt w:val="decimal"/>
      <w:lvlText w:val="%1."/>
      <w:lvlJc w:val="left"/>
      <w:pPr>
        <w:tabs>
          <w:tab w:val="num" w:pos="567"/>
        </w:tabs>
        <w:ind w:left="567" w:hanging="567"/>
      </w:pPr>
      <w:rPr>
        <w:rFonts w:hint="default"/>
        <w:i w:val="0"/>
      </w:rPr>
    </w:lvl>
    <w:lvl w:ilvl="1">
      <w:start w:val="1"/>
      <w:numFmt w:val="lowerLetter"/>
      <w:lvlText w:val="(%2)"/>
      <w:lvlJc w:val="left"/>
      <w:pPr>
        <w:tabs>
          <w:tab w:val="num" w:pos="1139"/>
        </w:tabs>
        <w:ind w:left="1139" w:hanging="567"/>
      </w:pPr>
      <w:rPr>
        <w:rFonts w:hint="default"/>
      </w:rPr>
    </w:lvl>
    <w:lvl w:ilvl="2">
      <w:start w:val="1"/>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3"/>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8">
    <w:nsid w:val="77F5497E"/>
    <w:multiLevelType w:val="multilevel"/>
    <w:tmpl w:val="F628E3A6"/>
    <w:lvl w:ilvl="0">
      <w:start w:val="1"/>
      <w:numFmt w:val="decimal"/>
      <w:lvlText w:val="%1."/>
      <w:lvlJc w:val="left"/>
      <w:pPr>
        <w:tabs>
          <w:tab w:val="num" w:pos="567"/>
        </w:tabs>
        <w:ind w:left="567" w:hanging="567"/>
      </w:pPr>
      <w:rPr>
        <w:rFonts w:hint="default"/>
        <w:b w:val="0"/>
        <w:i w:val="0"/>
        <w:vertAlign w:val="baseline"/>
      </w:rPr>
    </w:lvl>
    <w:lvl w:ilvl="1">
      <w:start w:val="1"/>
      <w:numFmt w:val="decimal"/>
      <w:lvlText w:val="%1.%2."/>
      <w:lvlJc w:val="left"/>
      <w:pPr>
        <w:tabs>
          <w:tab w:val="num" w:pos="1474"/>
        </w:tabs>
        <w:ind w:left="1474" w:hanging="907"/>
      </w:pPr>
      <w:rPr>
        <w:rFonts w:hint="default"/>
        <w:b w:val="0"/>
        <w:i w:val="0"/>
        <w:vertAlign w:val="baseline"/>
      </w:rPr>
    </w:lvl>
    <w:lvl w:ilvl="2">
      <w:start w:val="1"/>
      <w:numFmt w:val="lowerLetter"/>
      <w:lvlText w:val="%3)"/>
      <w:lvlJc w:val="left"/>
      <w:pPr>
        <w:tabs>
          <w:tab w:val="num" w:pos="1791"/>
        </w:tabs>
        <w:ind w:left="1791" w:hanging="283"/>
      </w:pPr>
      <w:rPr>
        <w:rFonts w:hint="default"/>
        <w:b w:val="0"/>
        <w:i w:val="0"/>
        <w:vertAlign w:val="baseline"/>
      </w:rPr>
    </w:lvl>
    <w:lvl w:ilvl="3">
      <w:start w:val="1"/>
      <w:numFmt w:val="decimal"/>
      <w:lvlText w:val="%4%1.1"/>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9">
    <w:nsid w:val="7C911203"/>
    <w:multiLevelType w:val="multilevel"/>
    <w:tmpl w:val="ED849658"/>
    <w:lvl w:ilvl="0">
      <w:start w:val="1"/>
      <w:numFmt w:val="decimal"/>
      <w:lvlText w:val="%1."/>
      <w:lvlJc w:val="left"/>
      <w:pPr>
        <w:tabs>
          <w:tab w:val="num" w:pos="567"/>
        </w:tabs>
        <w:ind w:left="567" w:hanging="567"/>
      </w:pPr>
      <w:rPr>
        <w:rFonts w:hint="default"/>
        <w:i w:val="0"/>
      </w:rPr>
    </w:lvl>
    <w:lvl w:ilvl="1">
      <w:start w:val="1"/>
      <w:numFmt w:val="lowerLetter"/>
      <w:lvlText w:val="(%2)"/>
      <w:lvlJc w:val="left"/>
      <w:pPr>
        <w:tabs>
          <w:tab w:val="num" w:pos="1139"/>
        </w:tabs>
        <w:ind w:left="1139" w:hanging="567"/>
      </w:pPr>
      <w:rPr>
        <w:rFonts w:hint="default"/>
      </w:rPr>
    </w:lvl>
    <w:lvl w:ilvl="2">
      <w:start w:val="1"/>
      <w:numFmt w:val="lowerRoman"/>
      <w:lvlText w:val="(%3)"/>
      <w:lvlJc w:val="left"/>
      <w:pPr>
        <w:tabs>
          <w:tab w:val="num" w:pos="1854"/>
        </w:tabs>
        <w:ind w:left="1701" w:hanging="567"/>
      </w:pPr>
      <w:rPr>
        <w:rFonts w:hint="default"/>
        <w:color w:val="auto"/>
      </w:rPr>
    </w:lvl>
    <w:lvl w:ilvl="3">
      <w:start w:val="1"/>
      <w:numFmt w:val="lowerRoman"/>
      <w:lvlText w:val="(%4)"/>
      <w:lvlJc w:val="left"/>
      <w:pPr>
        <w:tabs>
          <w:tab w:val="num" w:pos="2552"/>
        </w:tabs>
        <w:ind w:left="2552" w:hanging="851"/>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3"/>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
    <w:nsid w:val="7D0861FF"/>
    <w:multiLevelType w:val="multilevel"/>
    <w:tmpl w:val="1BC46E94"/>
    <w:lvl w:ilvl="0">
      <w:start w:val="1"/>
      <w:numFmt w:val="decimal"/>
      <w:lvlRestart w:val="0"/>
      <w:pStyle w:val="fcHeading1"/>
      <w:lvlText w:val="%1."/>
      <w:lvlJc w:val="left"/>
      <w:pPr>
        <w:tabs>
          <w:tab w:val="num" w:pos="1134"/>
        </w:tabs>
        <w:ind w:left="1134" w:hanging="1134"/>
      </w:pPr>
      <w:rPr>
        <w:rFonts w:hint="default"/>
      </w:rPr>
    </w:lvl>
    <w:lvl w:ilvl="1">
      <w:start w:val="1"/>
      <w:numFmt w:val="decimal"/>
      <w:pStyle w:val="fcHeading2"/>
      <w:lvlText w:val="%1.%2"/>
      <w:lvlJc w:val="left"/>
      <w:pPr>
        <w:tabs>
          <w:tab w:val="num" w:pos="1134"/>
        </w:tabs>
        <w:ind w:left="1134" w:hanging="1134"/>
      </w:pPr>
      <w:rPr>
        <w:rFonts w:hint="default"/>
      </w:rPr>
    </w:lvl>
    <w:lvl w:ilvl="2">
      <w:start w:val="1"/>
      <w:numFmt w:val="decimal"/>
      <w:pStyle w:val="fcHeading3"/>
      <w:lvlText w:val="%1.%2.%3"/>
      <w:lvlJc w:val="left"/>
      <w:pPr>
        <w:tabs>
          <w:tab w:val="num" w:pos="1134"/>
        </w:tabs>
        <w:ind w:left="1134" w:hanging="1134"/>
      </w:pPr>
      <w:rPr>
        <w:rFonts w:hint="default"/>
      </w:rPr>
    </w:lvl>
    <w:lvl w:ilvl="3">
      <w:start w:val="1"/>
      <w:numFmt w:val="decimal"/>
      <w:pStyle w:val="fcHeading4"/>
      <w:lvlText w:val="%1.%2.%3.%4"/>
      <w:lvlJc w:val="left"/>
      <w:pPr>
        <w:tabs>
          <w:tab w:val="num" w:pos="1134"/>
        </w:tabs>
        <w:ind w:left="1134" w:hanging="1134"/>
      </w:pPr>
      <w:rPr>
        <w:rFonts w:hint="default"/>
      </w:rPr>
    </w:lvl>
    <w:lvl w:ilvl="4">
      <w:start w:val="1"/>
      <w:numFmt w:val="decimal"/>
      <w:pStyle w:val="fcHeading5"/>
      <w:lvlText w:val="%1.%2.%3.%4.%5"/>
      <w:lvlJc w:val="left"/>
      <w:pPr>
        <w:tabs>
          <w:tab w:val="num" w:pos="1134"/>
        </w:tabs>
        <w:ind w:left="1134" w:hanging="1134"/>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num w:numId="1">
    <w:abstractNumId w:val="16"/>
  </w:num>
  <w:num w:numId="2">
    <w:abstractNumId w:val="22"/>
  </w:num>
  <w:num w:numId="3">
    <w:abstractNumId w:val="14"/>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7"/>
  </w:num>
  <w:num w:numId="15">
    <w:abstractNumId w:val="26"/>
  </w:num>
  <w:num w:numId="16">
    <w:abstractNumId w:val="18"/>
  </w:num>
  <w:num w:numId="17">
    <w:abstractNumId w:val="19"/>
  </w:num>
  <w:num w:numId="18">
    <w:abstractNumId w:val="30"/>
  </w:num>
  <w:num w:numId="19">
    <w:abstractNumId w:val="25"/>
  </w:num>
  <w:num w:numId="20">
    <w:abstractNumId w:val="29"/>
  </w:num>
  <w:num w:numId="21">
    <w:abstractNumId w:val="20"/>
  </w:num>
  <w:num w:numId="22">
    <w:abstractNumId w:val="12"/>
  </w:num>
  <w:num w:numId="23">
    <w:abstractNumId w:val="23"/>
  </w:num>
  <w:num w:numId="24">
    <w:abstractNumId w:val="10"/>
  </w:num>
  <w:num w:numId="25">
    <w:abstractNumId w:val="15"/>
  </w:num>
  <w:num w:numId="26">
    <w:abstractNumId w:val="27"/>
  </w:num>
  <w:num w:numId="27">
    <w:abstractNumId w:val="11"/>
  </w:num>
  <w:num w:numId="28">
    <w:abstractNumId w:val="21"/>
  </w:num>
  <w:num w:numId="29">
    <w:abstractNumId w:val="24"/>
  </w:num>
  <w:num w:numId="30">
    <w:abstractNumId w:val="13"/>
  </w:num>
  <w:num w:numId="31">
    <w:abstractNumId w:val="2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ctiveWritingStyle w:appName="MSWord" w:lang="en-AU" w:vendorID="64" w:dllVersion="131078" w:nlCheck="1" w:checkStyle="1"/>
  <w:activeWritingStyle w:appName="MSWord" w:lang="en-US" w:vendorID="64" w:dllVersion="131078" w:nlCheck="1" w:checkStyle="1"/>
  <w:activeWritingStyle w:appName="MSWord" w:lang="en-AU" w:vendorID="8" w:dllVersion="513" w:checkStyle="1"/>
  <w:proofState w:spelling="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916"/>
  <w:doNotHyphenateCaps/>
  <w:displayHorizontalDrawingGridEvery w:val="0"/>
  <w:displayVerticalDrawingGridEvery w:val="0"/>
  <w:doNotUseMarginsForDrawingGridOrigin/>
  <w:doNotShadeFormData/>
  <w:noPunctuationKerning/>
  <w:characterSpacingControl w:val="doNotCompress"/>
  <w:hdrShapeDefaults>
    <o:shapedefaults v:ext="edit" spidmax="18433"/>
  </w:hdrShapeDefaults>
  <w:footnotePr>
    <w:footnote w:id="-1"/>
    <w:footnote w:id="0"/>
  </w:footnotePr>
  <w:endnotePr>
    <w:numFmt w:val="decimal"/>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ppeal" w:val="Not an Appeal"/>
    <w:docVar w:name="Applicant" w:val="Edward Lander and others named in the schedule of parties"/>
    <w:docVar w:name="CounselParties" w:val="Respondent"/>
    <w:docVar w:name="CounselType" w:val="Solicitor for the "/>
    <w:docVar w:name="Division" w:val="GENERAL DIVISION"/>
    <w:docVar w:name="DocCreated" w:val="True"/>
    <w:docVar w:name="FileNumbers" w:val="SAD 163 of 2008"/>
    <w:docVar w:name="FullCourt" w:val="False"/>
    <w:docVar w:name="HearingDate" w:val="## 2014"/>
    <w:docVar w:name="Judgdate" w:val="## 2014"/>
    <w:docVar w:name="Judge" w:val="White"/>
    <w:docVar w:name="JudgePlace" w:val="##"/>
    <w:docVar w:name="lstEntryList" w:val="-1"/>
    <w:docVar w:name="myEntryList" w:val="Counsel for the Applicant=**|Solicitor for the Applicant=**|Counsel for the Respondent=**|Solicitor for the Respondent=**"/>
    <w:docVar w:name="NSD" w:val="NSD SAD 163 of 2008"/>
    <w:docVar w:name="NumApps" w:val="1"/>
    <w:docVar w:name="NumApps_" w:val="1"/>
    <w:docVar w:name="NumJudges" w:val="Single Judge"/>
    <w:docVar w:name="Parties" w:val="Respondent"/>
    <w:docVar w:name="Place_SentenceCase" w:val="##"/>
    <w:docVar w:name="Respondent" w:val="State of South Australia and others named in the schedule of parties"/>
    <w:docVar w:name="ResState" w:val="SOUTH AUSTRALIA"/>
    <w:docVar w:name="Single" w:val="True"/>
  </w:docVars>
  <w:rsids>
    <w:rsidRoot w:val="00391B76"/>
    <w:rsid w:val="00195473"/>
    <w:rsid w:val="001E4FC1"/>
    <w:rsid w:val="00215AF9"/>
    <w:rsid w:val="0023049B"/>
    <w:rsid w:val="0027538A"/>
    <w:rsid w:val="002A0004"/>
    <w:rsid w:val="002C1D41"/>
    <w:rsid w:val="00304845"/>
    <w:rsid w:val="00312A47"/>
    <w:rsid w:val="00314A32"/>
    <w:rsid w:val="00322800"/>
    <w:rsid w:val="0032714C"/>
    <w:rsid w:val="003479BB"/>
    <w:rsid w:val="00352009"/>
    <w:rsid w:val="00391B76"/>
    <w:rsid w:val="00394B6B"/>
    <w:rsid w:val="003D17C8"/>
    <w:rsid w:val="00464BBA"/>
    <w:rsid w:val="004F6C2D"/>
    <w:rsid w:val="005227D2"/>
    <w:rsid w:val="00532141"/>
    <w:rsid w:val="0054573D"/>
    <w:rsid w:val="00555DC8"/>
    <w:rsid w:val="005A63D6"/>
    <w:rsid w:val="005B5FEF"/>
    <w:rsid w:val="00604D4E"/>
    <w:rsid w:val="006166F1"/>
    <w:rsid w:val="00624D2C"/>
    <w:rsid w:val="00654D4A"/>
    <w:rsid w:val="00730854"/>
    <w:rsid w:val="0076516E"/>
    <w:rsid w:val="007B1091"/>
    <w:rsid w:val="0088119C"/>
    <w:rsid w:val="00896F40"/>
    <w:rsid w:val="008A43A4"/>
    <w:rsid w:val="008B1AEE"/>
    <w:rsid w:val="00912F3B"/>
    <w:rsid w:val="00944D15"/>
    <w:rsid w:val="009F1F2B"/>
    <w:rsid w:val="00A03EFA"/>
    <w:rsid w:val="00A7346E"/>
    <w:rsid w:val="00BA4981"/>
    <w:rsid w:val="00C21B2E"/>
    <w:rsid w:val="00C655BD"/>
    <w:rsid w:val="00C838F6"/>
    <w:rsid w:val="00CA7AAB"/>
    <w:rsid w:val="00D16B0E"/>
    <w:rsid w:val="00D84160"/>
    <w:rsid w:val="00D96786"/>
    <w:rsid w:val="00E27367"/>
    <w:rsid w:val="00E37899"/>
    <w:rsid w:val="00F6161C"/>
    <w:rsid w:val="00F97097"/>
    <w:rsid w:val="00FD21F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Batang"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line="360" w:lineRule="auto"/>
      <w:jc w:val="both"/>
    </w:pPr>
    <w:rPr>
      <w:sz w:val="24"/>
      <w:lang w:eastAsia="en-US"/>
    </w:rPr>
  </w:style>
  <w:style w:type="paragraph" w:styleId="Heading1">
    <w:name w:val="heading 1"/>
    <w:basedOn w:val="Normal"/>
    <w:next w:val="ParaNumbering"/>
    <w:link w:val="Heading1Char"/>
    <w:qFormat/>
    <w:pPr>
      <w:keepNext/>
      <w:spacing w:before="240" w:after="60" w:line="240" w:lineRule="auto"/>
      <w:outlineLvl w:val="0"/>
    </w:pPr>
    <w:rPr>
      <w:b/>
      <w:caps/>
      <w:kern w:val="28"/>
    </w:rPr>
  </w:style>
  <w:style w:type="paragraph" w:styleId="Heading2">
    <w:name w:val="heading 2"/>
    <w:basedOn w:val="Normal"/>
    <w:next w:val="ParaNumbering"/>
    <w:link w:val="Heading2Char"/>
    <w:qFormat/>
    <w:pPr>
      <w:keepNext/>
      <w:spacing w:before="240" w:after="60" w:line="240" w:lineRule="auto"/>
      <w:outlineLvl w:val="1"/>
    </w:pPr>
    <w:rPr>
      <w:b/>
      <w:szCs w:val="24"/>
    </w:rPr>
  </w:style>
  <w:style w:type="paragraph" w:styleId="Heading3">
    <w:name w:val="heading 3"/>
    <w:basedOn w:val="Normal"/>
    <w:next w:val="ParaNumbering"/>
    <w:link w:val="Heading3Char"/>
    <w:qFormat/>
    <w:pPr>
      <w:keepNext/>
      <w:spacing w:before="240" w:after="60" w:line="240" w:lineRule="auto"/>
      <w:outlineLvl w:val="2"/>
    </w:pPr>
    <w:rPr>
      <w:b/>
      <w:i/>
    </w:rPr>
  </w:style>
  <w:style w:type="paragraph" w:styleId="Heading4">
    <w:name w:val="heading 4"/>
    <w:basedOn w:val="Normal"/>
    <w:next w:val="ParaNumbering"/>
    <w:link w:val="Heading4Char"/>
    <w:qFormat/>
    <w:pPr>
      <w:keepNext/>
      <w:spacing w:before="240" w:after="60" w:line="240" w:lineRule="auto"/>
      <w:jc w:val="left"/>
      <w:outlineLvl w:val="3"/>
    </w:pPr>
    <w:rPr>
      <w:b/>
      <w:smallCaps/>
      <w:szCs w:val="24"/>
    </w:rPr>
  </w:style>
  <w:style w:type="paragraph" w:styleId="Heading5">
    <w:name w:val="heading 5"/>
    <w:basedOn w:val="fcHeading1"/>
    <w:next w:val="ParaNumbering"/>
    <w:link w:val="Heading5Char"/>
    <w:qFormat/>
    <w:pPr>
      <w:outlineLvl w:val="4"/>
    </w:pPr>
  </w:style>
  <w:style w:type="paragraph" w:styleId="Heading6">
    <w:name w:val="heading 6"/>
    <w:basedOn w:val="fcHeading2"/>
    <w:next w:val="ParaNumbering"/>
    <w:link w:val="Heading6Char"/>
    <w:qFormat/>
    <w:pPr>
      <w:outlineLvl w:val="5"/>
    </w:pPr>
  </w:style>
  <w:style w:type="paragraph" w:styleId="Heading7">
    <w:name w:val="heading 7"/>
    <w:basedOn w:val="fcHeading3"/>
    <w:next w:val="ParaNumbering"/>
    <w:link w:val="Heading7Char"/>
    <w:qFormat/>
    <w:pPr>
      <w:outlineLvl w:val="6"/>
    </w:pPr>
  </w:style>
  <w:style w:type="paragraph" w:styleId="Heading8">
    <w:name w:val="heading 8"/>
    <w:basedOn w:val="fcHeading4"/>
    <w:next w:val="ParaNumbering"/>
    <w:link w:val="Heading8Char"/>
    <w:qFormat/>
    <w:pPr>
      <w:outlineLvl w:val="7"/>
    </w:pPr>
  </w:style>
  <w:style w:type="paragraph" w:styleId="Heading9">
    <w:name w:val="heading 9"/>
    <w:basedOn w:val="fcHeading5"/>
    <w:next w:val="ParaNumbering"/>
    <w:link w:val="Heading9Char"/>
    <w:qFormat/>
    <w:pPr>
      <w:outlineLvl w:val="8"/>
    </w:pPr>
    <w:rPr>
      <w:i/>
      <w:caps w:val="0"/>
      <w:small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dersPage">
    <w:name w:val="OrdersPage"/>
    <w:basedOn w:val="Normal"/>
    <w:semiHidden/>
    <w:pPr>
      <w:spacing w:line="240" w:lineRule="auto"/>
    </w:pPr>
  </w:style>
  <w:style w:type="paragraph" w:styleId="Header">
    <w:name w:val="header"/>
    <w:basedOn w:val="Normal"/>
    <w:link w:val="HeaderChar"/>
    <w:pPr>
      <w:tabs>
        <w:tab w:val="center" w:pos="4320"/>
        <w:tab w:val="right" w:pos="8640"/>
      </w:tabs>
    </w:pPr>
  </w:style>
  <w:style w:type="paragraph" w:styleId="Footer">
    <w:name w:val="footer"/>
    <w:basedOn w:val="Normal"/>
    <w:link w:val="FooterChar"/>
    <w:pPr>
      <w:tabs>
        <w:tab w:val="center" w:pos="4320"/>
        <w:tab w:val="right" w:pos="8640"/>
      </w:tabs>
    </w:pPr>
  </w:style>
  <w:style w:type="paragraph" w:customStyle="1" w:styleId="ParaNumbering">
    <w:name w:val="ParaNumbering"/>
    <w:basedOn w:val="Normal"/>
    <w:uiPriority w:val="99"/>
    <w:pPr>
      <w:numPr>
        <w:numId w:val="1"/>
      </w:numPr>
      <w:spacing w:before="180" w:after="180"/>
    </w:pPr>
  </w:style>
  <w:style w:type="paragraph" w:customStyle="1" w:styleId="Quote1">
    <w:name w:val="Quote1"/>
    <w:uiPriority w:val="99"/>
    <w:pPr>
      <w:widowControl w:val="0"/>
      <w:ind w:left="737" w:right="737"/>
      <w:jc w:val="both"/>
    </w:pPr>
    <w:rPr>
      <w:sz w:val="22"/>
      <w:lang w:eastAsia="en-US"/>
    </w:rPr>
  </w:style>
  <w:style w:type="paragraph" w:customStyle="1" w:styleId="NormalHeadings">
    <w:name w:val="Normal Headings"/>
    <w:semiHidden/>
    <w:pPr>
      <w:widowControl w:val="0"/>
      <w:jc w:val="both"/>
    </w:pPr>
    <w:rPr>
      <w:b/>
      <w:sz w:val="24"/>
      <w:lang w:eastAsia="en-US"/>
    </w:rPr>
  </w:style>
  <w:style w:type="table" w:styleId="TableGrid">
    <w:name w:val="Table Grid"/>
    <w:basedOn w:val="TableNormal"/>
    <w:pPr>
      <w:widowControl w:val="0"/>
      <w:spacing w:line="36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ediaNeutralStyle">
    <w:name w:val="Media Neutral Style"/>
    <w:basedOn w:val="Normal"/>
    <w:next w:val="Normal1linespace"/>
    <w:semiHidden/>
    <w:pPr>
      <w:spacing w:before="20" w:after="20"/>
      <w:jc w:val="center"/>
    </w:pPr>
    <w:rPr>
      <w:b/>
      <w:sz w:val="26"/>
    </w:rPr>
  </w:style>
  <w:style w:type="paragraph" w:customStyle="1" w:styleId="Normal1linespace">
    <w:name w:val="Normal1linespace"/>
    <w:basedOn w:val="Normal"/>
    <w:pPr>
      <w:spacing w:line="240" w:lineRule="auto"/>
    </w:pPr>
  </w:style>
  <w:style w:type="paragraph" w:styleId="BalloonText">
    <w:name w:val="Balloon Text"/>
    <w:basedOn w:val="Normal"/>
    <w:link w:val="BalloonTextChar"/>
    <w:semiHidden/>
    <w:rPr>
      <w:rFonts w:ascii="Tahoma" w:hAnsi="Tahoma" w:cs="Tahoma"/>
      <w:sz w:val="16"/>
      <w:szCs w:val="16"/>
    </w:rPr>
  </w:style>
  <w:style w:type="paragraph" w:customStyle="1" w:styleId="StyleBold">
    <w:name w:val="Style Bold"/>
    <w:basedOn w:val="Normal"/>
    <w:next w:val="Normal"/>
    <w:semiHidden/>
    <w:rPr>
      <w:szCs w:val="24"/>
    </w:rPr>
  </w:style>
  <w:style w:type="paragraph" w:customStyle="1" w:styleId="Bold">
    <w:name w:val="Bold"/>
    <w:basedOn w:val="Normal"/>
    <w:next w:val="Normal"/>
    <w:semiHidden/>
    <w:pPr>
      <w:suppressAutoHyphens/>
      <w:jc w:val="left"/>
    </w:pPr>
    <w:rPr>
      <w:b/>
      <w:szCs w:val="24"/>
    </w:rPr>
  </w:style>
  <w:style w:type="paragraph" w:customStyle="1" w:styleId="Certify">
    <w:name w:val="Certify"/>
    <w:basedOn w:val="Normal"/>
    <w:link w:val="CertifyChar"/>
    <w:semiHidden/>
    <w:pPr>
      <w:spacing w:line="240" w:lineRule="auto"/>
    </w:pPr>
    <w:rPr>
      <w:szCs w:val="24"/>
    </w:rPr>
  </w:style>
  <w:style w:type="character" w:styleId="CommentReference">
    <w:name w:val="annotation reference"/>
    <w:semiHidden/>
    <w:rPr>
      <w:sz w:val="16"/>
      <w:szCs w:val="16"/>
    </w:rPr>
  </w:style>
  <w:style w:type="paragraph" w:styleId="CommentText">
    <w:name w:val="annotation text"/>
    <w:basedOn w:val="Normal"/>
    <w:link w:val="CommentTextChar"/>
    <w:semiHidden/>
    <w:rPr>
      <w:sz w:val="20"/>
    </w:rPr>
  </w:style>
  <w:style w:type="paragraph" w:styleId="CommentSubject">
    <w:name w:val="annotation subject"/>
    <w:basedOn w:val="CommentText"/>
    <w:next w:val="CommentText"/>
    <w:link w:val="CommentSubjectChar"/>
    <w:semiHidden/>
    <w:rPr>
      <w:b/>
      <w:bCs/>
    </w:rPr>
  </w:style>
  <w:style w:type="paragraph" w:customStyle="1" w:styleId="FCBullets">
    <w:name w:val="FCBullets"/>
    <w:basedOn w:val="Normal"/>
    <w:pPr>
      <w:numPr>
        <w:numId w:val="3"/>
      </w:numPr>
      <w:spacing w:before="60" w:after="60"/>
    </w:pPr>
  </w:style>
  <w:style w:type="paragraph" w:customStyle="1" w:styleId="JudgeStyle">
    <w:name w:val="JudgeStyle"/>
    <w:basedOn w:val="Heading1"/>
    <w:next w:val="ParaNumbering"/>
    <w:semiHidden/>
  </w:style>
  <w:style w:type="paragraph" w:styleId="TOC1">
    <w:name w:val="toc 1"/>
    <w:basedOn w:val="Normal"/>
    <w:next w:val="Normal"/>
    <w:autoRedefine/>
    <w:pPr>
      <w:tabs>
        <w:tab w:val="right" w:leader="dot" w:pos="9071"/>
      </w:tabs>
    </w:pPr>
  </w:style>
  <w:style w:type="paragraph" w:styleId="TOC2">
    <w:name w:val="toc 2"/>
    <w:basedOn w:val="Normal"/>
    <w:next w:val="Normal"/>
    <w:autoRedefine/>
    <w:pPr>
      <w:tabs>
        <w:tab w:val="right" w:leader="dot" w:pos="9071"/>
      </w:tabs>
      <w:ind w:left="240"/>
    </w:pPr>
  </w:style>
  <w:style w:type="paragraph" w:styleId="TOC3">
    <w:name w:val="toc 3"/>
    <w:basedOn w:val="Normal"/>
    <w:next w:val="Normal"/>
    <w:autoRedefine/>
    <w:pPr>
      <w:tabs>
        <w:tab w:val="right" w:leader="dot" w:pos="9071"/>
      </w:tabs>
      <w:ind w:left="480"/>
    </w:pPr>
  </w:style>
  <w:style w:type="paragraph" w:styleId="TOC4">
    <w:name w:val="toc 4"/>
    <w:basedOn w:val="Normal"/>
    <w:next w:val="Normal"/>
    <w:autoRedefine/>
    <w:pPr>
      <w:tabs>
        <w:tab w:val="right" w:leader="dot" w:pos="9071"/>
      </w:tabs>
      <w:ind w:left="720"/>
    </w:pPr>
  </w:style>
  <w:style w:type="paragraph" w:customStyle="1" w:styleId="NoNum">
    <w:name w:val="No Num"/>
    <w:basedOn w:val="Normal1linespace"/>
    <w:pPr>
      <w:spacing w:before="120" w:after="180" w:line="360" w:lineRule="auto"/>
    </w:pPr>
  </w:style>
  <w:style w:type="paragraph" w:customStyle="1" w:styleId="AppealTable">
    <w:name w:val="AppealTable"/>
    <w:basedOn w:val="Normal"/>
    <w:pPr>
      <w:spacing w:line="240" w:lineRule="auto"/>
      <w:jc w:val="left"/>
    </w:pPr>
    <w:rPr>
      <w:b/>
      <w:caps/>
      <w:sz w:val="22"/>
      <w:szCs w:val="22"/>
    </w:rPr>
  </w:style>
  <w:style w:type="paragraph" w:customStyle="1" w:styleId="Quote3">
    <w:name w:val="Quote3"/>
    <w:basedOn w:val="Quote1"/>
    <w:pPr>
      <w:ind w:left="2160"/>
    </w:pPr>
  </w:style>
  <w:style w:type="paragraph" w:customStyle="1" w:styleId="Quote2">
    <w:name w:val="Quote2"/>
    <w:basedOn w:val="Quote1"/>
    <w:pPr>
      <w:ind w:left="1440"/>
    </w:pPr>
  </w:style>
  <w:style w:type="paragraph" w:customStyle="1" w:styleId="FTOC1">
    <w:name w:val="FTOC 1"/>
    <w:basedOn w:val="Normal"/>
    <w:semiHidden/>
    <w:pPr>
      <w:tabs>
        <w:tab w:val="right" w:leader="dot" w:pos="9072"/>
      </w:tabs>
      <w:spacing w:before="120" w:after="60" w:line="240" w:lineRule="auto"/>
    </w:pPr>
    <w:rPr>
      <w:b/>
      <w:caps/>
      <w:kern w:val="28"/>
    </w:rPr>
  </w:style>
  <w:style w:type="paragraph" w:customStyle="1" w:styleId="ListNo">
    <w:name w:val="List No"/>
    <w:basedOn w:val="Normal"/>
    <w:pPr>
      <w:numPr>
        <w:numId w:val="14"/>
      </w:numPr>
      <w:spacing w:before="60" w:after="60"/>
    </w:pPr>
  </w:style>
  <w:style w:type="paragraph" w:customStyle="1" w:styleId="FTOC2">
    <w:name w:val="FTOC 2"/>
    <w:basedOn w:val="Normal"/>
    <w:semiHidden/>
    <w:pPr>
      <w:tabs>
        <w:tab w:val="right" w:leader="dot" w:pos="9072"/>
      </w:tabs>
      <w:spacing w:before="120" w:after="60" w:line="240" w:lineRule="auto"/>
      <w:ind w:left="238"/>
    </w:pPr>
    <w:rPr>
      <w:b/>
    </w:rPr>
  </w:style>
  <w:style w:type="paragraph" w:customStyle="1" w:styleId="FTOC3">
    <w:name w:val="FTOC 3"/>
    <w:basedOn w:val="Normal"/>
    <w:semiHidden/>
    <w:pPr>
      <w:tabs>
        <w:tab w:val="right" w:leader="dot" w:pos="9072"/>
      </w:tabs>
      <w:spacing w:before="120" w:after="60" w:line="240" w:lineRule="auto"/>
      <w:ind w:left="482"/>
    </w:pPr>
    <w:rPr>
      <w:b/>
      <w:i/>
    </w:rPr>
  </w:style>
  <w:style w:type="paragraph" w:customStyle="1" w:styleId="FTOC4">
    <w:name w:val="FTOC 4"/>
    <w:basedOn w:val="Normal"/>
    <w:semiHidden/>
    <w:pPr>
      <w:tabs>
        <w:tab w:val="right" w:leader="dot" w:pos="9072"/>
      </w:tabs>
      <w:spacing w:before="120" w:after="60" w:line="240" w:lineRule="auto"/>
      <w:ind w:left="720"/>
    </w:pPr>
    <w:rPr>
      <w:b/>
      <w:smallCaps/>
    </w:rPr>
  </w:style>
  <w:style w:type="paragraph" w:styleId="TOC5">
    <w:name w:val="toc 5"/>
    <w:basedOn w:val="Normal"/>
    <w:next w:val="Normal"/>
    <w:autoRedefine/>
    <w:pPr>
      <w:tabs>
        <w:tab w:val="right" w:leader="dot" w:pos="9072"/>
      </w:tabs>
      <w:ind w:left="960"/>
    </w:pPr>
  </w:style>
  <w:style w:type="numbering" w:styleId="111111">
    <w:name w:val="Outline List 2"/>
    <w:basedOn w:val="NoList"/>
    <w:semiHidden/>
    <w:pPr>
      <w:numPr>
        <w:numId w:val="15"/>
      </w:numPr>
    </w:pPr>
  </w:style>
  <w:style w:type="numbering" w:styleId="1ai">
    <w:name w:val="Outline List 1"/>
    <w:basedOn w:val="NoList"/>
    <w:semiHidden/>
    <w:pPr>
      <w:numPr>
        <w:numId w:val="16"/>
      </w:numPr>
    </w:pPr>
  </w:style>
  <w:style w:type="numbering" w:styleId="ArticleSection">
    <w:name w:val="Outline List 3"/>
    <w:basedOn w:val="NoList"/>
    <w:semiHidden/>
    <w:pPr>
      <w:numPr>
        <w:numId w:val="17"/>
      </w:numPr>
    </w:pPr>
  </w:style>
  <w:style w:type="paragraph" w:styleId="BlockText">
    <w:name w:val="Block Text"/>
    <w:basedOn w:val="Normal"/>
    <w:semiHidden/>
    <w:pPr>
      <w:spacing w:after="120"/>
      <w:ind w:left="1440" w:right="1440"/>
    </w:pPr>
  </w:style>
  <w:style w:type="paragraph" w:styleId="BodyText">
    <w:name w:val="Body Text"/>
    <w:basedOn w:val="Normal"/>
    <w:link w:val="BodyTextChar"/>
    <w:pPr>
      <w:spacing w:after="120"/>
    </w:pPr>
  </w:style>
  <w:style w:type="paragraph" w:styleId="BodyText2">
    <w:name w:val="Body Text 2"/>
    <w:basedOn w:val="Normal"/>
    <w:link w:val="BodyText2Char"/>
    <w:pPr>
      <w:spacing w:after="120" w:line="480" w:lineRule="auto"/>
    </w:pPr>
  </w:style>
  <w:style w:type="paragraph" w:styleId="BodyText3">
    <w:name w:val="Body Text 3"/>
    <w:basedOn w:val="Normal"/>
    <w:link w:val="BodyText3Char"/>
    <w:semiHidden/>
    <w:pPr>
      <w:spacing w:after="120"/>
    </w:pPr>
    <w:rPr>
      <w:sz w:val="16"/>
      <w:szCs w:val="16"/>
    </w:rPr>
  </w:style>
  <w:style w:type="paragraph" w:styleId="BodyTextFirstIndent">
    <w:name w:val="Body Text First Indent"/>
    <w:basedOn w:val="BodyText"/>
    <w:link w:val="BodyTextFirstIndentChar"/>
    <w:semiHidden/>
    <w:pPr>
      <w:ind w:firstLine="210"/>
    </w:pPr>
  </w:style>
  <w:style w:type="paragraph" w:styleId="BodyTextIndent">
    <w:name w:val="Body Text Indent"/>
    <w:basedOn w:val="Normal"/>
    <w:link w:val="BodyTextIndentChar"/>
    <w:pPr>
      <w:spacing w:after="120"/>
      <w:ind w:left="283"/>
    </w:pPr>
  </w:style>
  <w:style w:type="paragraph" w:styleId="BodyTextFirstIndent2">
    <w:name w:val="Body Text First Indent 2"/>
    <w:basedOn w:val="BodyTextIndent"/>
    <w:link w:val="BodyTextFirstIndent2Char"/>
    <w:semiHidden/>
    <w:pPr>
      <w:ind w:firstLine="210"/>
    </w:pPr>
  </w:style>
  <w:style w:type="paragraph" w:styleId="BodyTextIndent2">
    <w:name w:val="Body Text Indent 2"/>
    <w:basedOn w:val="Normal"/>
    <w:link w:val="BodyTextIndent2Char"/>
    <w:pPr>
      <w:spacing w:after="120" w:line="480" w:lineRule="auto"/>
      <w:ind w:left="283"/>
    </w:pPr>
  </w:style>
  <w:style w:type="paragraph" w:styleId="BodyTextIndent3">
    <w:name w:val="Body Text Indent 3"/>
    <w:basedOn w:val="Normal"/>
    <w:link w:val="BodyTextIndent3Char"/>
    <w:semiHidden/>
    <w:pPr>
      <w:spacing w:after="120"/>
      <w:ind w:left="283"/>
    </w:pPr>
    <w:rPr>
      <w:sz w:val="16"/>
      <w:szCs w:val="16"/>
    </w:rPr>
  </w:style>
  <w:style w:type="paragraph" w:styleId="Closing">
    <w:name w:val="Closing"/>
    <w:basedOn w:val="Normal"/>
    <w:link w:val="ClosingChar"/>
    <w:semiHidden/>
    <w:pPr>
      <w:ind w:left="4252"/>
    </w:pPr>
  </w:style>
  <w:style w:type="paragraph" w:styleId="Date">
    <w:name w:val="Date"/>
    <w:basedOn w:val="Normal"/>
    <w:next w:val="Normal"/>
    <w:link w:val="DateChar"/>
    <w:semiHidden/>
  </w:style>
  <w:style w:type="paragraph" w:styleId="E-mailSignature">
    <w:name w:val="E-mail Signature"/>
    <w:basedOn w:val="Normal"/>
    <w:link w:val="E-mailSignatureChar"/>
    <w:semiHidden/>
  </w:style>
  <w:style w:type="character" w:styleId="Emphasis">
    <w:name w:val="Emphasis"/>
    <w:qFormat/>
    <w:rPr>
      <w:i/>
      <w:iCs/>
    </w:rPr>
  </w:style>
  <w:style w:type="paragraph" w:styleId="EnvelopeAddress">
    <w:name w:val="envelope address"/>
    <w:basedOn w:val="Normal"/>
    <w:semiHidden/>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semiHidden/>
    <w:rPr>
      <w:rFonts w:ascii="Arial" w:hAnsi="Arial" w:cs="Arial"/>
      <w:sz w:val="20"/>
    </w:rPr>
  </w:style>
  <w:style w:type="character" w:styleId="FollowedHyperlink">
    <w:name w:val="FollowedHyperlink"/>
    <w:uiPriority w:val="99"/>
    <w:rPr>
      <w:color w:val="800080"/>
      <w:u w:val="single"/>
    </w:rPr>
  </w:style>
  <w:style w:type="character" w:styleId="HTMLAcronym">
    <w:name w:val="HTML Acronym"/>
    <w:basedOn w:val="DefaultParagraphFont"/>
    <w:semiHidden/>
  </w:style>
  <w:style w:type="paragraph" w:styleId="HTMLAddress">
    <w:name w:val="HTML Address"/>
    <w:basedOn w:val="Normal"/>
    <w:link w:val="HTMLAddressChar"/>
    <w:semiHidden/>
    <w:rPr>
      <w:i/>
      <w:iCs/>
    </w:rPr>
  </w:style>
  <w:style w:type="character" w:styleId="HTMLCite">
    <w:name w:val="HTML Cite"/>
    <w:semiHidden/>
    <w:rPr>
      <w:i/>
      <w:iCs/>
    </w:rPr>
  </w:style>
  <w:style w:type="character" w:styleId="HTMLCode">
    <w:name w:val="HTML Code"/>
    <w:semiHidden/>
    <w:rPr>
      <w:rFonts w:ascii="Courier New" w:hAnsi="Courier New" w:cs="Courier New"/>
      <w:sz w:val="20"/>
      <w:szCs w:val="20"/>
    </w:rPr>
  </w:style>
  <w:style w:type="character" w:styleId="HTMLDefinition">
    <w:name w:val="HTML Definition"/>
    <w:semiHidden/>
    <w:rPr>
      <w:i/>
      <w:iCs/>
    </w:rPr>
  </w:style>
  <w:style w:type="character" w:styleId="HTMLKeyboard">
    <w:name w:val="HTML Keyboard"/>
    <w:semiHidden/>
    <w:rPr>
      <w:rFonts w:ascii="Courier New" w:hAnsi="Courier New" w:cs="Courier New"/>
      <w:sz w:val="20"/>
      <w:szCs w:val="20"/>
    </w:rPr>
  </w:style>
  <w:style w:type="paragraph" w:styleId="HTMLPreformatted">
    <w:name w:val="HTML Preformatted"/>
    <w:basedOn w:val="Normal"/>
    <w:link w:val="HTMLPreformattedChar"/>
    <w:semiHidden/>
    <w:rPr>
      <w:rFonts w:ascii="Courier New" w:hAnsi="Courier New" w:cs="Courier New"/>
      <w:sz w:val="20"/>
    </w:rPr>
  </w:style>
  <w:style w:type="character" w:styleId="HTMLSample">
    <w:name w:val="HTML Sample"/>
    <w:semiHidden/>
    <w:rPr>
      <w:rFonts w:ascii="Courier New" w:hAnsi="Courier New" w:cs="Courier New"/>
    </w:rPr>
  </w:style>
  <w:style w:type="character" w:styleId="HTMLTypewriter">
    <w:name w:val="HTML Typewriter"/>
    <w:semiHidden/>
    <w:rPr>
      <w:rFonts w:ascii="Courier New" w:hAnsi="Courier New" w:cs="Courier New"/>
      <w:sz w:val="20"/>
      <w:szCs w:val="20"/>
    </w:rPr>
  </w:style>
  <w:style w:type="character" w:styleId="HTMLVariable">
    <w:name w:val="HTML Variable"/>
    <w:semiHidden/>
    <w:rPr>
      <w:i/>
      <w:iCs/>
    </w:rPr>
  </w:style>
  <w:style w:type="character" w:styleId="Hyperlink">
    <w:name w:val="Hyperlink"/>
    <w:uiPriority w:val="99"/>
    <w:rPr>
      <w:color w:val="0000FF"/>
      <w:u w:val="single"/>
    </w:rPr>
  </w:style>
  <w:style w:type="character" w:styleId="LineNumber">
    <w:name w:val="line number"/>
    <w:basedOn w:val="DefaultParagraphFont"/>
    <w:semiHidden/>
  </w:style>
  <w:style w:type="paragraph" w:styleId="List">
    <w:name w:val="List"/>
    <w:basedOn w:val="Normal"/>
    <w:semiHidden/>
    <w:pPr>
      <w:ind w:left="283" w:hanging="283"/>
    </w:pPr>
  </w:style>
  <w:style w:type="paragraph" w:styleId="List2">
    <w:name w:val="List 2"/>
    <w:basedOn w:val="Normal"/>
    <w:semiHidden/>
    <w:pPr>
      <w:ind w:left="566" w:hanging="283"/>
    </w:pPr>
  </w:style>
  <w:style w:type="paragraph" w:styleId="List3">
    <w:name w:val="List 3"/>
    <w:basedOn w:val="Normal"/>
    <w:semiHidden/>
    <w:pPr>
      <w:ind w:left="849" w:hanging="283"/>
    </w:pPr>
  </w:style>
  <w:style w:type="paragraph" w:styleId="List4">
    <w:name w:val="List 4"/>
    <w:basedOn w:val="Normal"/>
    <w:semiHidden/>
    <w:pPr>
      <w:ind w:left="1132" w:hanging="283"/>
    </w:pPr>
  </w:style>
  <w:style w:type="paragraph" w:styleId="List5">
    <w:name w:val="List 5"/>
    <w:basedOn w:val="Normal"/>
    <w:semiHidden/>
    <w:pPr>
      <w:ind w:left="1415" w:hanging="283"/>
    </w:pPr>
  </w:style>
  <w:style w:type="paragraph" w:styleId="ListBullet">
    <w:name w:val="List Bullet"/>
    <w:basedOn w:val="Normal"/>
    <w:semiHidden/>
    <w:pPr>
      <w:numPr>
        <w:numId w:val="4"/>
      </w:numPr>
    </w:pPr>
  </w:style>
  <w:style w:type="paragraph" w:styleId="ListBullet2">
    <w:name w:val="List Bullet 2"/>
    <w:basedOn w:val="Normal"/>
    <w:semiHidden/>
    <w:pPr>
      <w:numPr>
        <w:numId w:val="5"/>
      </w:numPr>
    </w:pPr>
  </w:style>
  <w:style w:type="paragraph" w:styleId="ListBullet3">
    <w:name w:val="List Bullet 3"/>
    <w:basedOn w:val="Normal"/>
    <w:semiHidden/>
    <w:pPr>
      <w:numPr>
        <w:numId w:val="6"/>
      </w:numPr>
    </w:pPr>
  </w:style>
  <w:style w:type="paragraph" w:styleId="ListBullet4">
    <w:name w:val="List Bullet 4"/>
    <w:basedOn w:val="Normal"/>
    <w:semiHidden/>
    <w:pPr>
      <w:numPr>
        <w:numId w:val="7"/>
      </w:numPr>
    </w:pPr>
  </w:style>
  <w:style w:type="paragraph" w:styleId="ListBullet5">
    <w:name w:val="List Bullet 5"/>
    <w:basedOn w:val="Normal"/>
    <w:semiHidden/>
    <w:pPr>
      <w:numPr>
        <w:numId w:val="8"/>
      </w:numPr>
    </w:pPr>
  </w:style>
  <w:style w:type="paragraph" w:styleId="ListContinue">
    <w:name w:val="List Continue"/>
    <w:basedOn w:val="Normal"/>
    <w:semiHidden/>
    <w:pPr>
      <w:spacing w:after="120"/>
      <w:ind w:left="283"/>
    </w:pPr>
  </w:style>
  <w:style w:type="paragraph" w:styleId="ListContinue2">
    <w:name w:val="List Continue 2"/>
    <w:basedOn w:val="Normal"/>
    <w:semiHidden/>
    <w:pPr>
      <w:spacing w:after="120"/>
      <w:ind w:left="566"/>
    </w:pPr>
  </w:style>
  <w:style w:type="paragraph" w:styleId="ListContinue3">
    <w:name w:val="List Continue 3"/>
    <w:basedOn w:val="Normal"/>
    <w:semiHidden/>
    <w:pPr>
      <w:spacing w:after="120"/>
      <w:ind w:left="849"/>
    </w:pPr>
  </w:style>
  <w:style w:type="paragraph" w:styleId="ListContinue4">
    <w:name w:val="List Continue 4"/>
    <w:basedOn w:val="Normal"/>
    <w:semiHidden/>
    <w:pPr>
      <w:spacing w:after="120"/>
      <w:ind w:left="1132"/>
    </w:pPr>
  </w:style>
  <w:style w:type="paragraph" w:styleId="ListContinue5">
    <w:name w:val="List Continue 5"/>
    <w:basedOn w:val="Normal"/>
    <w:semiHidden/>
    <w:pPr>
      <w:spacing w:after="120"/>
      <w:ind w:left="1415"/>
    </w:pPr>
  </w:style>
  <w:style w:type="paragraph" w:styleId="ListNumber">
    <w:name w:val="List Number"/>
    <w:basedOn w:val="Normal"/>
    <w:semiHidden/>
    <w:pPr>
      <w:numPr>
        <w:numId w:val="9"/>
      </w:numPr>
    </w:pPr>
  </w:style>
  <w:style w:type="paragraph" w:styleId="ListNumber2">
    <w:name w:val="List Number 2"/>
    <w:basedOn w:val="Normal"/>
    <w:semiHidden/>
    <w:pPr>
      <w:numPr>
        <w:numId w:val="10"/>
      </w:numPr>
    </w:pPr>
  </w:style>
  <w:style w:type="paragraph" w:styleId="ListNumber3">
    <w:name w:val="List Number 3"/>
    <w:basedOn w:val="Normal"/>
    <w:semiHidden/>
    <w:pPr>
      <w:numPr>
        <w:numId w:val="11"/>
      </w:numPr>
    </w:pPr>
  </w:style>
  <w:style w:type="paragraph" w:styleId="ListNumber4">
    <w:name w:val="List Number 4"/>
    <w:basedOn w:val="Normal"/>
    <w:semiHidden/>
    <w:pPr>
      <w:numPr>
        <w:numId w:val="12"/>
      </w:numPr>
    </w:pPr>
  </w:style>
  <w:style w:type="paragraph" w:styleId="ListNumber5">
    <w:name w:val="List Number 5"/>
    <w:basedOn w:val="Normal"/>
    <w:semiHidden/>
    <w:pPr>
      <w:numPr>
        <w:numId w:val="13"/>
      </w:numPr>
    </w:pPr>
  </w:style>
  <w:style w:type="paragraph" w:styleId="MessageHeader">
    <w:name w:val="Message Header"/>
    <w:basedOn w:val="Normal"/>
    <w:link w:val="MessageHeaderChar"/>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NormalWeb">
    <w:name w:val="Normal (Web)"/>
    <w:basedOn w:val="Normal"/>
    <w:semiHidden/>
    <w:rPr>
      <w:szCs w:val="24"/>
    </w:rPr>
  </w:style>
  <w:style w:type="paragraph" w:styleId="NormalIndent">
    <w:name w:val="Normal Indent"/>
    <w:basedOn w:val="Normal"/>
    <w:semiHidden/>
    <w:pPr>
      <w:ind w:left="720"/>
    </w:pPr>
  </w:style>
  <w:style w:type="paragraph" w:styleId="NoteHeading">
    <w:name w:val="Note Heading"/>
    <w:basedOn w:val="Normal"/>
    <w:next w:val="Normal"/>
    <w:link w:val="NoteHeadingChar"/>
    <w:semiHidden/>
  </w:style>
  <w:style w:type="character" w:styleId="PageNumber">
    <w:name w:val="page number"/>
    <w:basedOn w:val="DefaultParagraphFont"/>
  </w:style>
  <w:style w:type="paragraph" w:styleId="PlainText">
    <w:name w:val="Plain Text"/>
    <w:basedOn w:val="Normal"/>
    <w:link w:val="PlainTextChar"/>
    <w:rPr>
      <w:rFonts w:ascii="Courier New" w:hAnsi="Courier New" w:cs="Courier New"/>
      <w:sz w:val="20"/>
    </w:rPr>
  </w:style>
  <w:style w:type="paragraph" w:styleId="Salutation">
    <w:name w:val="Salutation"/>
    <w:basedOn w:val="Normal"/>
    <w:next w:val="Normal"/>
    <w:link w:val="SalutationChar"/>
    <w:semiHidden/>
  </w:style>
  <w:style w:type="paragraph" w:styleId="Signature">
    <w:name w:val="Signature"/>
    <w:basedOn w:val="Normal"/>
    <w:link w:val="SignatureChar"/>
    <w:semiHidden/>
    <w:pPr>
      <w:ind w:left="4252"/>
    </w:pPr>
  </w:style>
  <w:style w:type="character" w:styleId="Strong">
    <w:name w:val="Strong"/>
    <w:qFormat/>
    <w:rPr>
      <w:b/>
      <w:bCs/>
    </w:rPr>
  </w:style>
  <w:style w:type="paragraph" w:styleId="Subtitle">
    <w:name w:val="Subtitle"/>
    <w:basedOn w:val="Normal"/>
    <w:link w:val="SubtitleChar"/>
    <w:qFormat/>
    <w:pPr>
      <w:spacing w:after="60"/>
      <w:jc w:val="center"/>
      <w:outlineLvl w:val="1"/>
    </w:pPr>
    <w:rPr>
      <w:rFonts w:ascii="Arial" w:hAnsi="Arial" w:cs="Arial"/>
      <w:szCs w:val="24"/>
    </w:rPr>
  </w:style>
  <w:style w:type="table" w:styleId="Table3Deffects1">
    <w:name w:val="Table 3D effects 1"/>
    <w:basedOn w:val="TableNormal"/>
    <w:semiHidden/>
    <w:pPr>
      <w:spacing w:line="360" w:lineRule="auto"/>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pPr>
      <w:spacing w:line="360" w:lineRule="auto"/>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pPr>
      <w:spacing w:line="360" w:lineRule="auto"/>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pPr>
      <w:spacing w:line="360" w:lineRule="auto"/>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pPr>
      <w:spacing w:line="360" w:lineRule="auto"/>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pPr>
      <w:spacing w:line="360" w:lineRule="auto"/>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pPr>
      <w:spacing w:line="360" w:lineRule="auto"/>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pPr>
      <w:spacing w:line="360" w:lineRule="auto"/>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pPr>
      <w:spacing w:line="360" w:lineRule="auto"/>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pPr>
      <w:spacing w:line="360" w:lineRule="auto"/>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pPr>
      <w:spacing w:line="360" w:lineRule="auto"/>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pPr>
      <w:spacing w:line="360" w:lineRule="auto"/>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pPr>
      <w:spacing w:line="360" w:lineRule="auto"/>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pPr>
      <w:spacing w:line="360" w:lineRule="auto"/>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pPr>
      <w:spacing w:line="360" w:lineRule="auto"/>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pPr>
      <w:spacing w:line="360" w:lineRule="auto"/>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pPr>
      <w:spacing w:line="360" w:lineRule="auto"/>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pPr>
      <w:spacing w:line="360" w:lineRule="auto"/>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pPr>
      <w:spacing w:line="360" w:lineRule="auto"/>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pPr>
      <w:spacing w:line="360" w:lineRule="auto"/>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pPr>
      <w:spacing w:line="360" w:lineRule="auto"/>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pPr>
      <w:spacing w:line="360" w:lineRule="auto"/>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pPr>
      <w:spacing w:line="360" w:lineRule="auto"/>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pPr>
      <w:spacing w:line="360" w:lineRule="auto"/>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pPr>
      <w:spacing w:line="360" w:lineRule="auto"/>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pPr>
      <w:spacing w:line="360" w:lineRule="auto"/>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pPr>
      <w:spacing w:line="360" w:lineRule="auto"/>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pPr>
      <w:spacing w:line="360" w:lineRule="auto"/>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pPr>
      <w:spacing w:line="360" w:lineRule="auto"/>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pPr>
      <w:spacing w:line="360" w:lineRule="auto"/>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pPr>
      <w:spacing w:line="360" w:lineRule="auto"/>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pPr>
      <w:spacing w:line="360" w:lineRule="auto"/>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pPr>
      <w:spacing w:line="360" w:lineRule="auto"/>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pPr>
      <w:spacing w:line="360" w:lineRule="auto"/>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pPr>
      <w:spacing w:line="360" w:lineRule="auto"/>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pPr>
      <w:spacing w:line="36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pPr>
      <w:spacing w:line="360" w:lineRule="auto"/>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pPr>
      <w:spacing w:line="360" w:lineRule="auto"/>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pPr>
      <w:spacing w:line="360" w:lineRule="auto"/>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pPr>
      <w:spacing w:before="240" w:after="60"/>
      <w:jc w:val="center"/>
      <w:outlineLvl w:val="0"/>
    </w:pPr>
    <w:rPr>
      <w:rFonts w:ascii="Arial" w:hAnsi="Arial" w:cs="Arial"/>
      <w:b/>
      <w:bCs/>
      <w:kern w:val="28"/>
      <w:sz w:val="32"/>
      <w:szCs w:val="32"/>
    </w:rPr>
  </w:style>
  <w:style w:type="paragraph" w:customStyle="1" w:styleId="bTOC1">
    <w:name w:val="bTOC 1"/>
    <w:basedOn w:val="TOC1"/>
    <w:semiHidden/>
  </w:style>
  <w:style w:type="paragraph" w:customStyle="1" w:styleId="bTOC2">
    <w:name w:val="bTOC 2"/>
    <w:basedOn w:val="TOC2"/>
    <w:semiHidden/>
  </w:style>
  <w:style w:type="paragraph" w:customStyle="1" w:styleId="bTOC3">
    <w:name w:val="bTOC 3"/>
    <w:basedOn w:val="TOC3"/>
    <w:semiHidden/>
  </w:style>
  <w:style w:type="paragraph" w:customStyle="1" w:styleId="bTOC4">
    <w:name w:val="bTOC 4"/>
    <w:basedOn w:val="TOC4"/>
    <w:semiHidden/>
  </w:style>
  <w:style w:type="paragraph" w:customStyle="1" w:styleId="Counsel">
    <w:name w:val="Counsel"/>
    <w:basedOn w:val="Normal"/>
    <w:pPr>
      <w:widowControl w:val="0"/>
      <w:suppressAutoHyphens/>
      <w:spacing w:line="240" w:lineRule="auto"/>
    </w:pPr>
  </w:style>
  <w:style w:type="character" w:customStyle="1" w:styleId="CertifyChar">
    <w:name w:val="Certify Char"/>
    <w:link w:val="Certify"/>
    <w:rPr>
      <w:sz w:val="24"/>
      <w:szCs w:val="24"/>
      <w:lang w:val="en-AU" w:eastAsia="en-US" w:bidi="ar-SA"/>
    </w:rPr>
  </w:style>
  <w:style w:type="paragraph" w:customStyle="1" w:styleId="fcHeading1">
    <w:name w:val="fcHeading 1"/>
    <w:basedOn w:val="Normal"/>
    <w:next w:val="ParaNumbering"/>
    <w:semiHidden/>
    <w:pPr>
      <w:keepNext/>
      <w:numPr>
        <w:numId w:val="18"/>
      </w:numPr>
      <w:spacing w:before="240" w:after="60" w:line="240" w:lineRule="auto"/>
    </w:pPr>
    <w:rPr>
      <w:b/>
      <w:caps/>
      <w:kern w:val="28"/>
    </w:rPr>
  </w:style>
  <w:style w:type="paragraph" w:customStyle="1" w:styleId="fcHeading2">
    <w:name w:val="fcHeading 2"/>
    <w:basedOn w:val="Normal"/>
    <w:next w:val="ParaNumbering"/>
    <w:semiHidden/>
    <w:pPr>
      <w:keepNext/>
      <w:numPr>
        <w:ilvl w:val="1"/>
        <w:numId w:val="18"/>
      </w:numPr>
      <w:spacing w:before="240" w:after="60" w:line="240" w:lineRule="auto"/>
    </w:pPr>
    <w:rPr>
      <w:b/>
    </w:rPr>
  </w:style>
  <w:style w:type="paragraph" w:customStyle="1" w:styleId="fcHeading3">
    <w:name w:val="fcHeading 3"/>
    <w:basedOn w:val="Normal"/>
    <w:next w:val="ParaNumbering"/>
    <w:semiHidden/>
    <w:pPr>
      <w:keepNext/>
      <w:numPr>
        <w:ilvl w:val="2"/>
        <w:numId w:val="18"/>
      </w:numPr>
      <w:spacing w:before="240" w:after="60" w:line="240" w:lineRule="auto"/>
    </w:pPr>
    <w:rPr>
      <w:b/>
      <w:i/>
    </w:rPr>
  </w:style>
  <w:style w:type="paragraph" w:customStyle="1" w:styleId="fcHeading4">
    <w:name w:val="fcHeading 4"/>
    <w:basedOn w:val="Normal"/>
    <w:next w:val="ParaNumbering"/>
    <w:semiHidden/>
    <w:pPr>
      <w:keepNext/>
      <w:numPr>
        <w:ilvl w:val="3"/>
        <w:numId w:val="18"/>
      </w:numPr>
      <w:spacing w:before="240" w:after="60" w:line="240" w:lineRule="auto"/>
    </w:pPr>
    <w:rPr>
      <w:b/>
      <w:smallCaps/>
    </w:rPr>
  </w:style>
  <w:style w:type="paragraph" w:customStyle="1" w:styleId="fcHeading5">
    <w:name w:val="fcHeading 5"/>
    <w:basedOn w:val="Normal"/>
    <w:next w:val="ParaNumbering"/>
    <w:semiHidden/>
    <w:pPr>
      <w:keepNext/>
      <w:numPr>
        <w:ilvl w:val="4"/>
        <w:numId w:val="18"/>
      </w:numPr>
      <w:spacing w:before="240" w:after="60" w:line="240" w:lineRule="auto"/>
    </w:pPr>
    <w:rPr>
      <w:b/>
      <w:caps/>
    </w:rPr>
  </w:style>
  <w:style w:type="paragraph" w:customStyle="1" w:styleId="FTOC5">
    <w:name w:val="FTOC 5"/>
    <w:basedOn w:val="Normal"/>
    <w:semiHidden/>
    <w:pPr>
      <w:tabs>
        <w:tab w:val="right" w:leader="dot" w:pos="9072"/>
      </w:tabs>
      <w:spacing w:before="240" w:after="60" w:line="240" w:lineRule="auto"/>
      <w:ind w:left="709" w:hanging="709"/>
    </w:pPr>
    <w:rPr>
      <w:b/>
      <w:caps/>
      <w:kern w:val="28"/>
    </w:rPr>
  </w:style>
  <w:style w:type="paragraph" w:customStyle="1" w:styleId="FTOC6">
    <w:name w:val="FTOC 6"/>
    <w:basedOn w:val="Normal"/>
    <w:semiHidden/>
    <w:pPr>
      <w:tabs>
        <w:tab w:val="right" w:leader="dot" w:pos="9072"/>
      </w:tabs>
      <w:spacing w:before="240" w:after="60" w:line="240" w:lineRule="auto"/>
      <w:ind w:left="1418" w:hanging="709"/>
    </w:pPr>
    <w:rPr>
      <w:b/>
    </w:rPr>
  </w:style>
  <w:style w:type="paragraph" w:customStyle="1" w:styleId="FTOC7">
    <w:name w:val="FTOC 7"/>
    <w:basedOn w:val="Normal"/>
    <w:semiHidden/>
    <w:pPr>
      <w:keepNext/>
      <w:tabs>
        <w:tab w:val="right" w:leader="dot" w:pos="9072"/>
      </w:tabs>
      <w:spacing w:before="240" w:after="60" w:line="240" w:lineRule="auto"/>
      <w:ind w:left="2127" w:hanging="709"/>
    </w:pPr>
    <w:rPr>
      <w:b/>
      <w:i/>
    </w:rPr>
  </w:style>
  <w:style w:type="paragraph" w:customStyle="1" w:styleId="FTOC8">
    <w:name w:val="FTOC 8"/>
    <w:basedOn w:val="Normal"/>
    <w:semiHidden/>
    <w:pPr>
      <w:keepNext/>
      <w:tabs>
        <w:tab w:val="right" w:leader="dot" w:pos="9072"/>
      </w:tabs>
      <w:spacing w:before="240" w:after="60" w:line="240" w:lineRule="auto"/>
      <w:ind w:left="3260" w:hanging="1134"/>
    </w:pPr>
    <w:rPr>
      <w:b/>
      <w:smallCaps/>
    </w:rPr>
  </w:style>
  <w:style w:type="paragraph" w:customStyle="1" w:styleId="FTOC9">
    <w:name w:val="FTOC 9"/>
    <w:basedOn w:val="Normal"/>
    <w:semiHidden/>
    <w:pPr>
      <w:keepNext/>
      <w:tabs>
        <w:tab w:val="right" w:leader="dot" w:pos="9072"/>
      </w:tabs>
      <w:spacing w:before="240" w:after="60" w:line="240" w:lineRule="auto"/>
      <w:ind w:left="3969" w:hanging="1134"/>
    </w:pPr>
    <w:rPr>
      <w:b/>
      <w:caps/>
    </w:rPr>
  </w:style>
  <w:style w:type="paragraph" w:customStyle="1" w:styleId="bTOC5">
    <w:name w:val="bTOC 5"/>
    <w:basedOn w:val="Normal"/>
    <w:pPr>
      <w:keepNext/>
      <w:tabs>
        <w:tab w:val="right" w:leader="dot" w:pos="9072"/>
      </w:tabs>
      <w:spacing w:before="240" w:after="60" w:line="240" w:lineRule="auto"/>
      <w:ind w:left="709" w:hanging="709"/>
    </w:pPr>
  </w:style>
  <w:style w:type="paragraph" w:customStyle="1" w:styleId="bTOC6">
    <w:name w:val="bTOC 6"/>
    <w:basedOn w:val="Normal"/>
    <w:pPr>
      <w:keepNext/>
      <w:tabs>
        <w:tab w:val="right" w:leader="dot" w:pos="9072"/>
      </w:tabs>
      <w:spacing w:before="240" w:after="60" w:line="240" w:lineRule="auto"/>
      <w:ind w:left="1418" w:hanging="709"/>
    </w:pPr>
  </w:style>
  <w:style w:type="paragraph" w:customStyle="1" w:styleId="bTOC7">
    <w:name w:val="bTOC 7"/>
    <w:basedOn w:val="Normal"/>
    <w:pPr>
      <w:keepNext/>
      <w:tabs>
        <w:tab w:val="right" w:leader="dot" w:pos="9072"/>
      </w:tabs>
      <w:spacing w:before="240" w:after="60" w:line="240" w:lineRule="auto"/>
      <w:ind w:left="2127" w:hanging="709"/>
    </w:pPr>
  </w:style>
  <w:style w:type="paragraph" w:customStyle="1" w:styleId="bTOC8">
    <w:name w:val="bTOC 8"/>
    <w:basedOn w:val="Normal"/>
    <w:pPr>
      <w:keepNext/>
      <w:tabs>
        <w:tab w:val="right" w:leader="dot" w:pos="9072"/>
      </w:tabs>
      <w:spacing w:before="240" w:after="60" w:line="240" w:lineRule="auto"/>
      <w:ind w:left="3260" w:hanging="1134"/>
    </w:pPr>
  </w:style>
  <w:style w:type="paragraph" w:customStyle="1" w:styleId="bTOC9">
    <w:name w:val="bTOC 9"/>
    <w:basedOn w:val="Normal"/>
    <w:pPr>
      <w:keepNext/>
      <w:tabs>
        <w:tab w:val="right" w:leader="dot" w:pos="9072"/>
      </w:tabs>
      <w:spacing w:before="240" w:after="60" w:line="240" w:lineRule="auto"/>
      <w:ind w:left="3969" w:hanging="1134"/>
    </w:pPr>
  </w:style>
  <w:style w:type="character" w:customStyle="1" w:styleId="Heading5Char">
    <w:name w:val="Heading 5 Char"/>
    <w:basedOn w:val="DefaultParagraphFont"/>
    <w:link w:val="Heading5"/>
    <w:rsid w:val="00C655BD"/>
    <w:rPr>
      <w:b/>
      <w:caps/>
      <w:kern w:val="28"/>
      <w:sz w:val="24"/>
      <w:lang w:eastAsia="en-US"/>
    </w:rPr>
  </w:style>
  <w:style w:type="paragraph" w:customStyle="1" w:styleId="Numberedpara">
    <w:name w:val="Numbered para"/>
    <w:rsid w:val="00314A32"/>
    <w:pPr>
      <w:tabs>
        <w:tab w:val="num" w:pos="567"/>
      </w:tabs>
      <w:spacing w:after="120"/>
      <w:ind w:left="567" w:hanging="567"/>
      <w:jc w:val="both"/>
    </w:pPr>
    <w:rPr>
      <w:rFonts w:ascii="Arial" w:eastAsia="Times New Roman" w:hAnsi="Arial"/>
      <w:sz w:val="24"/>
      <w:lang w:eastAsia="en-US"/>
    </w:rPr>
  </w:style>
  <w:style w:type="paragraph" w:styleId="FootnoteText">
    <w:name w:val="footnote text"/>
    <w:basedOn w:val="Normal"/>
    <w:link w:val="FootnoteTextChar"/>
    <w:rsid w:val="00314A32"/>
    <w:pPr>
      <w:spacing w:line="240" w:lineRule="auto"/>
      <w:jc w:val="left"/>
    </w:pPr>
    <w:rPr>
      <w:rFonts w:ascii="Arial" w:eastAsia="Times New Roman" w:hAnsi="Arial"/>
      <w:sz w:val="20"/>
    </w:rPr>
  </w:style>
  <w:style w:type="character" w:customStyle="1" w:styleId="FootnoteTextChar">
    <w:name w:val="Footnote Text Char"/>
    <w:basedOn w:val="DefaultParagraphFont"/>
    <w:link w:val="FootnoteText"/>
    <w:rsid w:val="00314A32"/>
    <w:rPr>
      <w:rFonts w:ascii="Arial" w:eastAsia="Times New Roman" w:hAnsi="Arial"/>
      <w:lang w:eastAsia="en-US"/>
    </w:rPr>
  </w:style>
  <w:style w:type="character" w:styleId="FootnoteReference">
    <w:name w:val="footnote reference"/>
    <w:rsid w:val="00314A32"/>
    <w:rPr>
      <w:vertAlign w:val="superscript"/>
    </w:rPr>
  </w:style>
  <w:style w:type="paragraph" w:styleId="Revision">
    <w:name w:val="Revision"/>
    <w:hidden/>
    <w:uiPriority w:val="99"/>
    <w:semiHidden/>
    <w:rsid w:val="00314A32"/>
    <w:rPr>
      <w:rFonts w:ascii="Arial" w:eastAsia="Times New Roman" w:hAnsi="Arial"/>
      <w:sz w:val="22"/>
      <w:szCs w:val="24"/>
      <w:lang w:eastAsia="en-US"/>
    </w:rPr>
  </w:style>
  <w:style w:type="character" w:customStyle="1" w:styleId="FooterChar">
    <w:name w:val="Footer Char"/>
    <w:link w:val="Footer"/>
    <w:rsid w:val="00314A32"/>
    <w:rPr>
      <w:sz w:val="24"/>
      <w:lang w:eastAsia="en-US"/>
    </w:rPr>
  </w:style>
  <w:style w:type="character" w:customStyle="1" w:styleId="Heading2Char">
    <w:name w:val="Heading 2 Char"/>
    <w:link w:val="Heading2"/>
    <w:rsid w:val="00314A32"/>
    <w:rPr>
      <w:b/>
      <w:sz w:val="24"/>
      <w:szCs w:val="24"/>
      <w:lang w:eastAsia="en-US"/>
    </w:rPr>
  </w:style>
  <w:style w:type="paragraph" w:customStyle="1" w:styleId="Default">
    <w:name w:val="Default"/>
    <w:rsid w:val="00314A32"/>
    <w:pPr>
      <w:autoSpaceDE w:val="0"/>
      <w:autoSpaceDN w:val="0"/>
      <w:adjustRightInd w:val="0"/>
    </w:pPr>
    <w:rPr>
      <w:rFonts w:ascii="Garamond" w:eastAsia="Times New Roman" w:hAnsi="Garamond" w:cs="Garamond"/>
      <w:color w:val="000000"/>
      <w:sz w:val="24"/>
      <w:szCs w:val="24"/>
    </w:rPr>
  </w:style>
  <w:style w:type="paragraph" w:customStyle="1" w:styleId="Regulations">
    <w:name w:val="Regulations"/>
    <w:rsid w:val="00314A32"/>
    <w:pPr>
      <w:tabs>
        <w:tab w:val="left" w:pos="-720"/>
      </w:tabs>
      <w:suppressAutoHyphens/>
      <w:spacing w:line="360" w:lineRule="auto"/>
    </w:pPr>
    <w:rPr>
      <w:rFonts w:ascii="Univers" w:eastAsia="Times New Roman" w:hAnsi="Univers"/>
      <w:b/>
      <w:sz w:val="24"/>
      <w:lang w:val="en-US" w:eastAsia="en-US"/>
    </w:rPr>
  </w:style>
  <w:style w:type="paragraph" w:customStyle="1" w:styleId="Normal1">
    <w:name w:val="Normal1"/>
    <w:rsid w:val="00314A32"/>
    <w:pPr>
      <w:tabs>
        <w:tab w:val="left" w:pos="-21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8298"/>
        <w:tab w:val="left" w:pos="8862"/>
        <w:tab w:val="left" w:pos="9432"/>
        <w:tab w:val="left" w:pos="9996"/>
      </w:tabs>
      <w:suppressAutoHyphens/>
    </w:pPr>
    <w:rPr>
      <w:rFonts w:ascii="Univers" w:eastAsia="Times New Roman" w:hAnsi="Univers"/>
      <w:sz w:val="24"/>
      <w:lang w:val="en-US" w:eastAsia="en-US"/>
    </w:rPr>
  </w:style>
  <w:style w:type="paragraph" w:customStyle="1" w:styleId="Footer1">
    <w:name w:val="Footer1"/>
    <w:rsid w:val="00314A32"/>
    <w:pPr>
      <w:tabs>
        <w:tab w:val="center" w:pos="3960"/>
        <w:tab w:val="left" w:pos="6234"/>
        <w:tab w:val="left" w:pos="6804"/>
        <w:tab w:val="left" w:pos="7368"/>
        <w:tab w:val="right" w:pos="7560"/>
        <w:tab w:val="left" w:pos="7938"/>
        <w:tab w:val="left" w:pos="8502"/>
        <w:tab w:val="left" w:pos="9072"/>
      </w:tabs>
      <w:suppressAutoHyphens/>
    </w:pPr>
    <w:rPr>
      <w:rFonts w:ascii="Book Antiqua" w:eastAsia="Times New Roman" w:hAnsi="Book Antiqua"/>
      <w:color w:val="000000"/>
      <w:sz w:val="12"/>
      <w:lang w:val="en-US" w:eastAsia="en-US"/>
    </w:rPr>
  </w:style>
  <w:style w:type="paragraph" w:customStyle="1" w:styleId="Header1">
    <w:name w:val="Header1"/>
    <w:rsid w:val="00314A32"/>
    <w:pPr>
      <w:tabs>
        <w:tab w:val="center" w:pos="4326"/>
        <w:tab w:val="left" w:pos="7368"/>
        <w:tab w:val="left" w:pos="7938"/>
        <w:tab w:val="left" w:pos="8502"/>
        <w:tab w:val="right" w:pos="8862"/>
        <w:tab w:val="left" w:pos="9072"/>
      </w:tabs>
      <w:suppressAutoHyphens/>
    </w:pPr>
    <w:rPr>
      <w:rFonts w:ascii="Book Antiqua" w:eastAsia="Times New Roman" w:hAnsi="Book Antiqua"/>
      <w:color w:val="000000"/>
      <w:sz w:val="26"/>
      <w:lang w:val="en-US" w:eastAsia="en-US"/>
    </w:rPr>
  </w:style>
  <w:style w:type="paragraph" w:customStyle="1" w:styleId="PostScript">
    <w:name w:val="PostScript"/>
    <w:rsid w:val="00314A32"/>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pPr>
    <w:rPr>
      <w:rFonts w:ascii="Book Antiqua" w:eastAsia="Times New Roman" w:hAnsi="Book Antiqua"/>
      <w:b/>
      <w:color w:val="000000"/>
      <w:sz w:val="24"/>
      <w:lang w:val="en-US" w:eastAsia="en-US"/>
    </w:rPr>
  </w:style>
  <w:style w:type="character" w:customStyle="1" w:styleId="HR">
    <w:name w:val="HR"/>
    <w:rsid w:val="00314A32"/>
    <w:rPr>
      <w:rFonts w:ascii="Univers" w:hAnsi="Univers"/>
      <w:noProof w:val="0"/>
      <w:sz w:val="24"/>
      <w:lang w:val="en-US"/>
    </w:rPr>
  </w:style>
  <w:style w:type="character" w:customStyle="1" w:styleId="R2">
    <w:name w:val="R2"/>
    <w:rsid w:val="00314A32"/>
    <w:rPr>
      <w:rFonts w:ascii="Univers" w:hAnsi="Univers"/>
      <w:noProof w:val="0"/>
      <w:sz w:val="24"/>
      <w:lang w:val="en-US"/>
    </w:rPr>
  </w:style>
  <w:style w:type="paragraph" w:customStyle="1" w:styleId="P1">
    <w:name w:val="P1"/>
    <w:rsid w:val="00314A32"/>
    <w:pPr>
      <w:tabs>
        <w:tab w:val="left" w:pos="354"/>
        <w:tab w:val="right" w:pos="1440"/>
        <w:tab w:val="left" w:pos="1632"/>
        <w:tab w:val="left" w:pos="1698"/>
        <w:tab w:val="left" w:pos="2268"/>
        <w:tab w:val="left" w:pos="2832"/>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paragraph" w:customStyle="1" w:styleId="P2">
    <w:name w:val="P2"/>
    <w:rsid w:val="00314A32"/>
    <w:pPr>
      <w:tabs>
        <w:tab w:val="left" w:pos="360"/>
        <w:tab w:val="right" w:pos="2160"/>
        <w:tab w:val="left" w:pos="2268"/>
        <w:tab w:val="left" w:pos="2340"/>
        <w:tab w:val="left" w:pos="2832"/>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paragraph" w:customStyle="1" w:styleId="P3">
    <w:name w:val="P3"/>
    <w:rsid w:val="00314A32"/>
    <w:pPr>
      <w:tabs>
        <w:tab w:val="left" w:pos="360"/>
        <w:tab w:val="left" w:pos="2832"/>
        <w:tab w:val="right" w:pos="2880"/>
        <w:tab w:val="left" w:pos="3060"/>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character" w:customStyle="1" w:styleId="HP">
    <w:name w:val="HP"/>
    <w:rsid w:val="00314A32"/>
    <w:rPr>
      <w:rFonts w:ascii="Univers" w:hAnsi="Univers"/>
      <w:noProof w:val="0"/>
      <w:sz w:val="24"/>
      <w:lang w:val="en-US"/>
    </w:rPr>
  </w:style>
  <w:style w:type="paragraph" w:customStyle="1" w:styleId="Body">
    <w:name w:val="Body"/>
    <w:rsid w:val="00314A32"/>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spacing w:line="259" w:lineRule="auto"/>
    </w:pPr>
    <w:rPr>
      <w:rFonts w:ascii="Book Antiqua" w:eastAsia="Times New Roman" w:hAnsi="Book Antiqua"/>
      <w:color w:val="000000"/>
      <w:sz w:val="26"/>
      <w:lang w:val="en-US" w:eastAsia="en-US"/>
    </w:rPr>
  </w:style>
  <w:style w:type="character" w:customStyle="1" w:styleId="SL">
    <w:name w:val="SL"/>
    <w:rsid w:val="00314A32"/>
    <w:rPr>
      <w:rFonts w:ascii="Univers" w:hAnsi="Univers"/>
      <w:noProof w:val="0"/>
      <w:sz w:val="24"/>
      <w:lang w:val="en-US"/>
    </w:rPr>
  </w:style>
  <w:style w:type="character" w:customStyle="1" w:styleId="SR">
    <w:name w:val="SR"/>
    <w:rsid w:val="00314A32"/>
    <w:rPr>
      <w:rFonts w:ascii="Univers" w:hAnsi="Univers"/>
      <w:noProof w:val="0"/>
      <w:sz w:val="24"/>
      <w:lang w:val="en-US"/>
    </w:rPr>
  </w:style>
  <w:style w:type="paragraph" w:customStyle="1" w:styleId="Rc">
    <w:name w:val="Rc"/>
    <w:rsid w:val="00314A32"/>
    <w:pPr>
      <w:tabs>
        <w:tab w:val="left" w:pos="924"/>
        <w:tab w:val="right" w:pos="1440"/>
        <w:tab w:val="left" w:pos="1494"/>
        <w:tab w:val="left" w:pos="1620"/>
        <w:tab w:val="left" w:pos="2058"/>
        <w:tab w:val="left" w:pos="2160"/>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pPr>
    <w:rPr>
      <w:rFonts w:ascii="Book Antiqua" w:eastAsia="Times New Roman" w:hAnsi="Book Antiqua"/>
      <w:sz w:val="24"/>
      <w:lang w:val="en-US" w:eastAsia="en-US"/>
    </w:rPr>
  </w:style>
  <w:style w:type="paragraph" w:customStyle="1" w:styleId="NoteEnd">
    <w:name w:val="Note End"/>
    <w:rsid w:val="00314A32"/>
    <w:pPr>
      <w:tabs>
        <w:tab w:val="left" w:pos="360"/>
        <w:tab w:val="left" w:pos="72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pPr>
    <w:rPr>
      <w:rFonts w:ascii="Book Antiqua" w:eastAsia="Times New Roman" w:hAnsi="Book Antiqua"/>
      <w:color w:val="000000"/>
      <w:sz w:val="22"/>
      <w:lang w:val="en-US" w:eastAsia="en-US"/>
    </w:rPr>
  </w:style>
  <w:style w:type="paragraph" w:customStyle="1" w:styleId="R1">
    <w:name w:val="R1"/>
    <w:rsid w:val="00314A32"/>
    <w:pPr>
      <w:tabs>
        <w:tab w:val="right" w:pos="1440"/>
        <w:tab w:val="left" w:pos="1620"/>
        <w:tab w:val="left" w:pos="2160"/>
        <w:tab w:val="left" w:pos="2268"/>
        <w:tab w:val="left" w:pos="2832"/>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pPr>
    <w:rPr>
      <w:rFonts w:ascii="Book Antiqua" w:eastAsia="Times New Roman" w:hAnsi="Book Antiqua"/>
      <w:color w:val="000000"/>
      <w:sz w:val="26"/>
      <w:lang w:val="en-US" w:eastAsia="en-US"/>
    </w:rPr>
  </w:style>
  <w:style w:type="character" w:customStyle="1" w:styleId="HD">
    <w:name w:val="HD"/>
    <w:rsid w:val="00314A32"/>
    <w:rPr>
      <w:rFonts w:ascii="Univers" w:hAnsi="Univers"/>
      <w:noProof w:val="0"/>
      <w:sz w:val="24"/>
      <w:lang w:val="en-US"/>
    </w:rPr>
  </w:style>
  <w:style w:type="paragraph" w:customStyle="1" w:styleId="P4">
    <w:name w:val="P4"/>
    <w:rsid w:val="00314A32"/>
    <w:pPr>
      <w:tabs>
        <w:tab w:val="left" w:pos="360"/>
        <w:tab w:val="left" w:pos="3402"/>
        <w:tab w:val="right" w:pos="3600"/>
        <w:tab w:val="left" w:pos="3780"/>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character" w:customStyle="1" w:styleId="A3">
    <w:name w:val="A3"/>
    <w:rsid w:val="00314A32"/>
    <w:rPr>
      <w:rFonts w:ascii="Univers" w:hAnsi="Univers"/>
      <w:noProof w:val="0"/>
      <w:sz w:val="24"/>
      <w:lang w:val="en-US"/>
    </w:rPr>
  </w:style>
  <w:style w:type="character" w:customStyle="1" w:styleId="A1">
    <w:name w:val="A1"/>
    <w:rsid w:val="00314A32"/>
    <w:rPr>
      <w:rFonts w:ascii="Univers" w:hAnsi="Univers"/>
      <w:noProof w:val="0"/>
      <w:sz w:val="24"/>
      <w:lang w:val="en-US"/>
    </w:rPr>
  </w:style>
  <w:style w:type="paragraph" w:customStyle="1" w:styleId="A2">
    <w:name w:val="A2"/>
    <w:rsid w:val="00314A32"/>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spacing w:line="259" w:lineRule="auto"/>
    </w:pPr>
    <w:rPr>
      <w:rFonts w:ascii="Book Antiqua" w:eastAsia="Times New Roman" w:hAnsi="Book Antiqua"/>
      <w:color w:val="000000"/>
      <w:sz w:val="26"/>
      <w:lang w:val="en-US" w:eastAsia="en-US"/>
    </w:rPr>
  </w:style>
  <w:style w:type="character" w:customStyle="1" w:styleId="NoteBody">
    <w:name w:val="Note Body"/>
    <w:rsid w:val="00314A32"/>
    <w:rPr>
      <w:rFonts w:ascii="Univers" w:hAnsi="Univers"/>
      <w:noProof w:val="0"/>
      <w:sz w:val="24"/>
      <w:lang w:val="en-US"/>
    </w:rPr>
  </w:style>
  <w:style w:type="character" w:customStyle="1" w:styleId="Paragraph">
    <w:name w:val="Paragraph"/>
    <w:rsid w:val="00314A32"/>
    <w:rPr>
      <w:rFonts w:ascii="Univers" w:hAnsi="Univers"/>
      <w:noProof w:val="0"/>
      <w:sz w:val="24"/>
      <w:lang w:val="en-US"/>
    </w:rPr>
  </w:style>
  <w:style w:type="paragraph" w:customStyle="1" w:styleId="Letterhead">
    <w:name w:val="Letterhead"/>
    <w:rsid w:val="00314A32"/>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jc w:val="right"/>
    </w:pPr>
    <w:rPr>
      <w:rFonts w:ascii="Book Antiqua" w:eastAsia="Times New Roman" w:hAnsi="Book Antiqua"/>
      <w:color w:val="000000"/>
      <w:sz w:val="32"/>
      <w:lang w:val="en-US" w:eastAsia="en-US"/>
    </w:rPr>
  </w:style>
  <w:style w:type="character" w:customStyle="1" w:styleId="i1">
    <w:name w:val="i1"/>
    <w:rsid w:val="00314A32"/>
    <w:rPr>
      <w:rFonts w:ascii="Univers" w:hAnsi="Univers"/>
      <w:noProof w:val="0"/>
      <w:sz w:val="24"/>
      <w:lang w:val="en-US"/>
    </w:rPr>
  </w:style>
  <w:style w:type="character" w:customStyle="1" w:styleId="Heading">
    <w:name w:val="Heading"/>
    <w:rsid w:val="00314A32"/>
    <w:rPr>
      <w:rFonts w:ascii="Univers" w:hAnsi="Univers"/>
      <w:noProof w:val="0"/>
      <w:sz w:val="24"/>
      <w:lang w:val="en-US"/>
    </w:rPr>
  </w:style>
  <w:style w:type="character" w:customStyle="1" w:styleId="i2">
    <w:name w:val="i2"/>
    <w:rsid w:val="00314A32"/>
    <w:rPr>
      <w:rFonts w:ascii="Univers" w:hAnsi="Univers"/>
      <w:noProof w:val="0"/>
      <w:sz w:val="24"/>
      <w:lang w:val="en-US"/>
    </w:rPr>
  </w:style>
  <w:style w:type="character" w:customStyle="1" w:styleId="i3">
    <w:name w:val="i3"/>
    <w:rsid w:val="00314A32"/>
    <w:rPr>
      <w:rFonts w:ascii="Univers" w:hAnsi="Univers"/>
      <w:noProof w:val="0"/>
      <w:sz w:val="24"/>
      <w:lang w:val="en-US"/>
    </w:rPr>
  </w:style>
  <w:style w:type="character" w:customStyle="1" w:styleId="i4">
    <w:name w:val="i4"/>
    <w:rsid w:val="00314A32"/>
    <w:rPr>
      <w:rFonts w:ascii="Univers" w:hAnsi="Univers"/>
      <w:noProof w:val="0"/>
      <w:sz w:val="24"/>
      <w:lang w:val="en-US"/>
    </w:rPr>
  </w:style>
  <w:style w:type="character" w:customStyle="1" w:styleId="Quotation">
    <w:name w:val="Quotation"/>
    <w:rsid w:val="00314A32"/>
    <w:rPr>
      <w:rFonts w:ascii="Univers" w:hAnsi="Univers"/>
      <w:noProof w:val="0"/>
      <w:sz w:val="24"/>
      <w:lang w:val="en-US"/>
    </w:rPr>
  </w:style>
  <w:style w:type="character" w:customStyle="1" w:styleId="Formpara">
    <w:name w:val="Form para"/>
    <w:rsid w:val="00314A32"/>
    <w:rPr>
      <w:rFonts w:ascii="Univers" w:hAnsi="Univers"/>
      <w:noProof w:val="0"/>
      <w:sz w:val="24"/>
      <w:lang w:val="en-US"/>
    </w:rPr>
  </w:style>
  <w:style w:type="character" w:customStyle="1" w:styleId="TitleChar">
    <w:name w:val="Title Char"/>
    <w:link w:val="Title"/>
    <w:rsid w:val="00314A32"/>
    <w:rPr>
      <w:rFonts w:ascii="Arial" w:hAnsi="Arial" w:cs="Arial"/>
      <w:b/>
      <w:bCs/>
      <w:kern w:val="28"/>
      <w:sz w:val="32"/>
      <w:szCs w:val="32"/>
      <w:lang w:eastAsia="en-US"/>
    </w:rPr>
  </w:style>
  <w:style w:type="character" w:customStyle="1" w:styleId="Document8">
    <w:name w:val="Document 8"/>
    <w:rsid w:val="00314A32"/>
  </w:style>
  <w:style w:type="character" w:customStyle="1" w:styleId="Document4">
    <w:name w:val="Document 4"/>
    <w:rsid w:val="00314A32"/>
    <w:rPr>
      <w:b/>
      <w:i/>
      <w:sz w:val="24"/>
    </w:rPr>
  </w:style>
  <w:style w:type="character" w:customStyle="1" w:styleId="Document6">
    <w:name w:val="Document 6"/>
    <w:rsid w:val="00314A32"/>
  </w:style>
  <w:style w:type="character" w:customStyle="1" w:styleId="Document5">
    <w:name w:val="Document 5"/>
    <w:rsid w:val="00314A32"/>
  </w:style>
  <w:style w:type="character" w:customStyle="1" w:styleId="Document2">
    <w:name w:val="Document 2"/>
    <w:rsid w:val="00314A32"/>
    <w:rPr>
      <w:rFonts w:ascii="Univers" w:hAnsi="Univers"/>
      <w:noProof w:val="0"/>
      <w:sz w:val="24"/>
      <w:lang w:val="en-US"/>
    </w:rPr>
  </w:style>
  <w:style w:type="character" w:customStyle="1" w:styleId="Document7">
    <w:name w:val="Document 7"/>
    <w:rsid w:val="00314A32"/>
  </w:style>
  <w:style w:type="character" w:customStyle="1" w:styleId="Bibliogrphy">
    <w:name w:val="Bibliogrphy"/>
    <w:rsid w:val="00314A32"/>
  </w:style>
  <w:style w:type="paragraph" w:customStyle="1" w:styleId="RightPar1">
    <w:name w:val="Right Par 1"/>
    <w:rsid w:val="00314A32"/>
    <w:pPr>
      <w:tabs>
        <w:tab w:val="left" w:pos="-720"/>
        <w:tab w:val="left" w:pos="0"/>
        <w:tab w:val="decimal" w:pos="720"/>
      </w:tabs>
      <w:suppressAutoHyphens/>
      <w:ind w:left="720" w:hanging="432"/>
    </w:pPr>
    <w:rPr>
      <w:rFonts w:ascii="Univers" w:eastAsia="Times New Roman" w:hAnsi="Univers"/>
      <w:sz w:val="24"/>
      <w:lang w:val="en-US" w:eastAsia="en-US"/>
    </w:rPr>
  </w:style>
  <w:style w:type="paragraph" w:customStyle="1" w:styleId="RightPar2">
    <w:name w:val="Right Par 2"/>
    <w:rsid w:val="00314A32"/>
    <w:pPr>
      <w:tabs>
        <w:tab w:val="left" w:pos="-720"/>
        <w:tab w:val="left" w:pos="0"/>
        <w:tab w:val="left" w:pos="720"/>
        <w:tab w:val="decimal" w:pos="1440"/>
      </w:tabs>
      <w:suppressAutoHyphens/>
      <w:ind w:left="1440" w:hanging="432"/>
    </w:pPr>
    <w:rPr>
      <w:rFonts w:ascii="Univers" w:eastAsia="Times New Roman" w:hAnsi="Univers"/>
      <w:sz w:val="24"/>
      <w:lang w:val="en-US" w:eastAsia="en-US"/>
    </w:rPr>
  </w:style>
  <w:style w:type="character" w:customStyle="1" w:styleId="Document3">
    <w:name w:val="Document 3"/>
    <w:rsid w:val="00314A32"/>
    <w:rPr>
      <w:rFonts w:ascii="Univers" w:hAnsi="Univers"/>
      <w:noProof w:val="0"/>
      <w:sz w:val="24"/>
      <w:lang w:val="en-US"/>
    </w:rPr>
  </w:style>
  <w:style w:type="paragraph" w:customStyle="1" w:styleId="RightPar3">
    <w:name w:val="Right Par 3"/>
    <w:rsid w:val="00314A32"/>
    <w:pPr>
      <w:tabs>
        <w:tab w:val="left" w:pos="-720"/>
        <w:tab w:val="left" w:pos="0"/>
        <w:tab w:val="left" w:pos="720"/>
        <w:tab w:val="left" w:pos="1440"/>
        <w:tab w:val="decimal" w:pos="2160"/>
      </w:tabs>
      <w:suppressAutoHyphens/>
      <w:ind w:left="2160" w:hanging="432"/>
    </w:pPr>
    <w:rPr>
      <w:rFonts w:ascii="Univers" w:eastAsia="Times New Roman" w:hAnsi="Univers"/>
      <w:sz w:val="24"/>
      <w:lang w:val="en-US" w:eastAsia="en-US"/>
    </w:rPr>
  </w:style>
  <w:style w:type="paragraph" w:customStyle="1" w:styleId="RightPar4">
    <w:name w:val="Right Par 4"/>
    <w:rsid w:val="00314A32"/>
    <w:pPr>
      <w:tabs>
        <w:tab w:val="left" w:pos="-720"/>
        <w:tab w:val="left" w:pos="0"/>
        <w:tab w:val="left" w:pos="720"/>
        <w:tab w:val="left" w:pos="1440"/>
        <w:tab w:val="left" w:pos="2160"/>
        <w:tab w:val="decimal" w:pos="2880"/>
      </w:tabs>
      <w:suppressAutoHyphens/>
      <w:ind w:left="2880" w:hanging="432"/>
    </w:pPr>
    <w:rPr>
      <w:rFonts w:ascii="Univers" w:eastAsia="Times New Roman" w:hAnsi="Univers"/>
      <w:sz w:val="24"/>
      <w:lang w:val="en-US" w:eastAsia="en-US"/>
    </w:rPr>
  </w:style>
  <w:style w:type="paragraph" w:customStyle="1" w:styleId="RightPar5">
    <w:name w:val="Right Par 5"/>
    <w:rsid w:val="00314A32"/>
    <w:pPr>
      <w:tabs>
        <w:tab w:val="left" w:pos="-720"/>
        <w:tab w:val="left" w:pos="0"/>
        <w:tab w:val="left" w:pos="720"/>
        <w:tab w:val="left" w:pos="1440"/>
        <w:tab w:val="left" w:pos="2160"/>
        <w:tab w:val="left" w:pos="2880"/>
        <w:tab w:val="decimal" w:pos="3600"/>
      </w:tabs>
      <w:suppressAutoHyphens/>
      <w:ind w:left="3600" w:hanging="576"/>
    </w:pPr>
    <w:rPr>
      <w:rFonts w:ascii="Univers" w:eastAsia="Times New Roman" w:hAnsi="Univers"/>
      <w:sz w:val="24"/>
      <w:lang w:val="en-US" w:eastAsia="en-US"/>
    </w:rPr>
  </w:style>
  <w:style w:type="paragraph" w:customStyle="1" w:styleId="RightPar6">
    <w:name w:val="Right Par 6"/>
    <w:rsid w:val="00314A32"/>
    <w:pPr>
      <w:tabs>
        <w:tab w:val="left" w:pos="-720"/>
        <w:tab w:val="left" w:pos="0"/>
        <w:tab w:val="left" w:pos="720"/>
        <w:tab w:val="left" w:pos="1440"/>
        <w:tab w:val="left" w:pos="2160"/>
        <w:tab w:val="left" w:pos="2880"/>
        <w:tab w:val="left" w:pos="3600"/>
        <w:tab w:val="decimal" w:pos="4320"/>
      </w:tabs>
      <w:suppressAutoHyphens/>
      <w:ind w:left="4320" w:hanging="576"/>
    </w:pPr>
    <w:rPr>
      <w:rFonts w:ascii="Univers" w:eastAsia="Times New Roman" w:hAnsi="Univers"/>
      <w:sz w:val="24"/>
      <w:lang w:val="en-US" w:eastAsia="en-US"/>
    </w:rPr>
  </w:style>
  <w:style w:type="paragraph" w:customStyle="1" w:styleId="RightPar7">
    <w:name w:val="Right Par 7"/>
    <w:rsid w:val="00314A32"/>
    <w:pPr>
      <w:tabs>
        <w:tab w:val="left" w:pos="-720"/>
        <w:tab w:val="left" w:pos="0"/>
        <w:tab w:val="left" w:pos="720"/>
        <w:tab w:val="left" w:pos="1440"/>
        <w:tab w:val="left" w:pos="2160"/>
        <w:tab w:val="left" w:pos="2880"/>
        <w:tab w:val="left" w:pos="3600"/>
        <w:tab w:val="left" w:pos="4320"/>
        <w:tab w:val="decimal" w:pos="5040"/>
      </w:tabs>
      <w:suppressAutoHyphens/>
      <w:ind w:left="5040" w:hanging="432"/>
    </w:pPr>
    <w:rPr>
      <w:rFonts w:ascii="Univers" w:eastAsia="Times New Roman" w:hAnsi="Univers"/>
      <w:sz w:val="24"/>
      <w:lang w:val="en-US" w:eastAsia="en-US"/>
    </w:rPr>
  </w:style>
  <w:style w:type="paragraph" w:customStyle="1" w:styleId="RightPar8">
    <w:name w:val="Right Par 8"/>
    <w:rsid w:val="00314A32"/>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hanging="432"/>
    </w:pPr>
    <w:rPr>
      <w:rFonts w:ascii="Univers" w:eastAsia="Times New Roman" w:hAnsi="Univers"/>
      <w:sz w:val="24"/>
      <w:lang w:val="en-US" w:eastAsia="en-US"/>
    </w:rPr>
  </w:style>
  <w:style w:type="paragraph" w:customStyle="1" w:styleId="Document1">
    <w:name w:val="Document 1"/>
    <w:rsid w:val="00314A32"/>
    <w:pPr>
      <w:keepNext/>
      <w:keepLines/>
      <w:tabs>
        <w:tab w:val="left" w:pos="-720"/>
      </w:tabs>
      <w:suppressAutoHyphens/>
    </w:pPr>
    <w:rPr>
      <w:rFonts w:ascii="Univers" w:eastAsia="Times New Roman" w:hAnsi="Univers"/>
      <w:sz w:val="24"/>
      <w:lang w:val="en-US" w:eastAsia="en-US"/>
    </w:rPr>
  </w:style>
  <w:style w:type="character" w:customStyle="1" w:styleId="TechInit">
    <w:name w:val="Tech Init"/>
    <w:rsid w:val="00314A32"/>
    <w:rPr>
      <w:rFonts w:ascii="Univers" w:hAnsi="Univers"/>
      <w:noProof w:val="0"/>
      <w:sz w:val="24"/>
      <w:lang w:val="en-US"/>
    </w:rPr>
  </w:style>
  <w:style w:type="paragraph" w:customStyle="1" w:styleId="Technical5">
    <w:name w:val="Technical 5"/>
    <w:rsid w:val="00314A32"/>
    <w:pPr>
      <w:tabs>
        <w:tab w:val="left" w:pos="-720"/>
      </w:tabs>
      <w:suppressAutoHyphens/>
      <w:ind w:firstLine="720"/>
    </w:pPr>
    <w:rPr>
      <w:rFonts w:ascii="Univers" w:eastAsia="Times New Roman" w:hAnsi="Univers"/>
      <w:b/>
      <w:sz w:val="24"/>
      <w:lang w:val="en-US" w:eastAsia="en-US"/>
    </w:rPr>
  </w:style>
  <w:style w:type="paragraph" w:customStyle="1" w:styleId="Technical6">
    <w:name w:val="Technical 6"/>
    <w:rsid w:val="00314A32"/>
    <w:pPr>
      <w:tabs>
        <w:tab w:val="left" w:pos="-720"/>
      </w:tabs>
      <w:suppressAutoHyphens/>
      <w:ind w:firstLine="720"/>
    </w:pPr>
    <w:rPr>
      <w:rFonts w:ascii="Univers" w:eastAsia="Times New Roman" w:hAnsi="Univers"/>
      <w:b/>
      <w:sz w:val="24"/>
      <w:lang w:val="en-US" w:eastAsia="en-US"/>
    </w:rPr>
  </w:style>
  <w:style w:type="character" w:customStyle="1" w:styleId="Technical2">
    <w:name w:val="Technical 2"/>
    <w:rsid w:val="00314A32"/>
    <w:rPr>
      <w:rFonts w:ascii="Univers" w:hAnsi="Univers"/>
      <w:noProof w:val="0"/>
      <w:sz w:val="24"/>
      <w:lang w:val="en-US"/>
    </w:rPr>
  </w:style>
  <w:style w:type="character" w:customStyle="1" w:styleId="Technical3">
    <w:name w:val="Technical 3"/>
    <w:rsid w:val="00314A32"/>
    <w:rPr>
      <w:rFonts w:ascii="Univers" w:hAnsi="Univers"/>
      <w:noProof w:val="0"/>
      <w:sz w:val="24"/>
      <w:lang w:val="en-US"/>
    </w:rPr>
  </w:style>
  <w:style w:type="paragraph" w:customStyle="1" w:styleId="Technical4">
    <w:name w:val="Technical 4"/>
    <w:rsid w:val="00314A32"/>
    <w:pPr>
      <w:tabs>
        <w:tab w:val="left" w:pos="-720"/>
      </w:tabs>
      <w:suppressAutoHyphens/>
    </w:pPr>
    <w:rPr>
      <w:rFonts w:ascii="Univers" w:eastAsia="Times New Roman" w:hAnsi="Univers"/>
      <w:b/>
      <w:sz w:val="24"/>
      <w:lang w:val="en-US" w:eastAsia="en-US"/>
    </w:rPr>
  </w:style>
  <w:style w:type="character" w:customStyle="1" w:styleId="Technical1">
    <w:name w:val="Technical 1"/>
    <w:rsid w:val="00314A32"/>
    <w:rPr>
      <w:rFonts w:ascii="Univers" w:hAnsi="Univers"/>
      <w:noProof w:val="0"/>
      <w:sz w:val="24"/>
      <w:lang w:val="en-US"/>
    </w:rPr>
  </w:style>
  <w:style w:type="paragraph" w:customStyle="1" w:styleId="Technical7">
    <w:name w:val="Technical 7"/>
    <w:rsid w:val="00314A32"/>
    <w:pPr>
      <w:tabs>
        <w:tab w:val="left" w:pos="-720"/>
      </w:tabs>
      <w:suppressAutoHyphens/>
      <w:ind w:firstLine="720"/>
    </w:pPr>
    <w:rPr>
      <w:rFonts w:ascii="Univers" w:eastAsia="Times New Roman" w:hAnsi="Univers"/>
      <w:b/>
      <w:sz w:val="24"/>
      <w:lang w:val="en-US" w:eastAsia="en-US"/>
    </w:rPr>
  </w:style>
  <w:style w:type="paragraph" w:customStyle="1" w:styleId="Technical8">
    <w:name w:val="Technical 8"/>
    <w:rsid w:val="00314A32"/>
    <w:pPr>
      <w:tabs>
        <w:tab w:val="left" w:pos="-720"/>
      </w:tabs>
      <w:suppressAutoHyphens/>
      <w:ind w:firstLine="720"/>
    </w:pPr>
    <w:rPr>
      <w:rFonts w:ascii="Univers" w:eastAsia="Times New Roman" w:hAnsi="Univers"/>
      <w:b/>
      <w:sz w:val="24"/>
      <w:lang w:val="en-US" w:eastAsia="en-US"/>
    </w:rPr>
  </w:style>
  <w:style w:type="paragraph" w:customStyle="1" w:styleId="Pleading">
    <w:name w:val="Pleading"/>
    <w:rsid w:val="00314A32"/>
    <w:pPr>
      <w:tabs>
        <w:tab w:val="left" w:pos="-720"/>
      </w:tabs>
      <w:suppressAutoHyphens/>
      <w:spacing w:line="240" w:lineRule="exact"/>
    </w:pPr>
    <w:rPr>
      <w:rFonts w:ascii="Univers" w:eastAsia="Times New Roman" w:hAnsi="Univers"/>
      <w:sz w:val="24"/>
      <w:lang w:val="en-US" w:eastAsia="en-US"/>
    </w:rPr>
  </w:style>
  <w:style w:type="character" w:customStyle="1" w:styleId="DocInit">
    <w:name w:val="Doc Init"/>
    <w:rsid w:val="00314A32"/>
  </w:style>
  <w:style w:type="character" w:customStyle="1" w:styleId="DefaultParagraphFo">
    <w:name w:val="Default Paragraph Fo"/>
    <w:rsid w:val="00314A32"/>
  </w:style>
  <w:style w:type="paragraph" w:customStyle="1" w:styleId="toa">
    <w:name w:val="toa"/>
    <w:rsid w:val="00314A32"/>
    <w:pPr>
      <w:tabs>
        <w:tab w:val="left" w:pos="0"/>
        <w:tab w:val="left" w:pos="9000"/>
      </w:tabs>
      <w:suppressAutoHyphens/>
    </w:pPr>
    <w:rPr>
      <w:rFonts w:ascii="Univers" w:eastAsia="Times New Roman" w:hAnsi="Univers"/>
      <w:sz w:val="24"/>
      <w:lang w:val="en-US" w:eastAsia="en-US"/>
    </w:rPr>
  </w:style>
  <w:style w:type="character" w:customStyle="1" w:styleId="EquationCaption">
    <w:name w:val="_Equation Caption"/>
    <w:rsid w:val="00314A32"/>
  </w:style>
  <w:style w:type="paragraph" w:styleId="TOC6">
    <w:name w:val="toc 6"/>
    <w:basedOn w:val="Normal"/>
    <w:next w:val="Normal"/>
    <w:rsid w:val="00314A32"/>
    <w:pPr>
      <w:tabs>
        <w:tab w:val="left" w:pos="9000"/>
        <w:tab w:val="right" w:pos="9360"/>
      </w:tabs>
      <w:suppressAutoHyphens/>
      <w:spacing w:line="240" w:lineRule="auto"/>
      <w:ind w:left="720" w:hanging="720"/>
      <w:jc w:val="left"/>
    </w:pPr>
    <w:rPr>
      <w:rFonts w:ascii="Univers" w:eastAsia="Times New Roman" w:hAnsi="Univers"/>
      <w:lang w:val="en-US"/>
    </w:rPr>
  </w:style>
  <w:style w:type="paragraph" w:styleId="TOC7">
    <w:name w:val="toc 7"/>
    <w:basedOn w:val="Normal"/>
    <w:next w:val="Normal"/>
    <w:rsid w:val="00314A32"/>
    <w:pPr>
      <w:suppressAutoHyphens/>
      <w:spacing w:line="240" w:lineRule="auto"/>
      <w:ind w:left="720" w:hanging="720"/>
      <w:jc w:val="left"/>
    </w:pPr>
    <w:rPr>
      <w:rFonts w:ascii="Univers" w:eastAsia="Times New Roman" w:hAnsi="Univers"/>
      <w:lang w:val="en-US"/>
    </w:rPr>
  </w:style>
  <w:style w:type="paragraph" w:styleId="TOC8">
    <w:name w:val="toc 8"/>
    <w:basedOn w:val="Normal"/>
    <w:next w:val="Normal"/>
    <w:rsid w:val="00314A32"/>
    <w:pPr>
      <w:tabs>
        <w:tab w:val="left" w:pos="9000"/>
        <w:tab w:val="right" w:pos="9360"/>
      </w:tabs>
      <w:suppressAutoHyphens/>
      <w:spacing w:line="240" w:lineRule="auto"/>
      <w:ind w:left="720" w:hanging="720"/>
      <w:jc w:val="left"/>
    </w:pPr>
    <w:rPr>
      <w:rFonts w:ascii="Univers" w:eastAsia="Times New Roman" w:hAnsi="Univers"/>
      <w:lang w:val="en-US"/>
    </w:rPr>
  </w:style>
  <w:style w:type="paragraph" w:styleId="TOC9">
    <w:name w:val="toc 9"/>
    <w:basedOn w:val="Normal"/>
    <w:next w:val="Normal"/>
    <w:rsid w:val="00314A32"/>
    <w:pPr>
      <w:tabs>
        <w:tab w:val="left" w:leader="dot" w:pos="9000"/>
        <w:tab w:val="right" w:pos="9360"/>
      </w:tabs>
      <w:suppressAutoHyphens/>
      <w:spacing w:line="240" w:lineRule="auto"/>
      <w:ind w:left="720" w:hanging="720"/>
      <w:jc w:val="left"/>
    </w:pPr>
    <w:rPr>
      <w:rFonts w:ascii="Univers" w:eastAsia="Times New Roman" w:hAnsi="Univers"/>
      <w:lang w:val="en-US"/>
    </w:rPr>
  </w:style>
  <w:style w:type="paragraph" w:styleId="Index1">
    <w:name w:val="index 1"/>
    <w:basedOn w:val="Normal"/>
    <w:next w:val="Normal"/>
    <w:rsid w:val="00314A32"/>
    <w:pPr>
      <w:tabs>
        <w:tab w:val="left" w:leader="dot" w:pos="9000"/>
        <w:tab w:val="right" w:pos="9360"/>
      </w:tabs>
      <w:suppressAutoHyphens/>
      <w:spacing w:line="240" w:lineRule="auto"/>
      <w:ind w:left="1440" w:right="720" w:hanging="1440"/>
      <w:jc w:val="left"/>
    </w:pPr>
    <w:rPr>
      <w:rFonts w:ascii="Univers" w:eastAsia="Times New Roman" w:hAnsi="Univers"/>
      <w:lang w:val="en-US"/>
    </w:rPr>
  </w:style>
  <w:style w:type="paragraph" w:styleId="Index2">
    <w:name w:val="index 2"/>
    <w:basedOn w:val="Normal"/>
    <w:next w:val="Normal"/>
    <w:rsid w:val="00314A32"/>
    <w:pPr>
      <w:tabs>
        <w:tab w:val="left" w:leader="dot" w:pos="9000"/>
        <w:tab w:val="right" w:pos="9360"/>
      </w:tabs>
      <w:suppressAutoHyphens/>
      <w:spacing w:line="240" w:lineRule="auto"/>
      <w:ind w:left="1440" w:right="720" w:hanging="720"/>
      <w:jc w:val="left"/>
    </w:pPr>
    <w:rPr>
      <w:rFonts w:ascii="Univers" w:eastAsia="Times New Roman" w:hAnsi="Univers"/>
      <w:lang w:val="en-US"/>
    </w:rPr>
  </w:style>
  <w:style w:type="paragraph" w:styleId="TOAHeading">
    <w:name w:val="toa heading"/>
    <w:basedOn w:val="Normal"/>
    <w:next w:val="Normal"/>
    <w:rsid w:val="00314A32"/>
    <w:pPr>
      <w:tabs>
        <w:tab w:val="left" w:pos="9000"/>
        <w:tab w:val="right" w:pos="9360"/>
      </w:tabs>
      <w:suppressAutoHyphens/>
      <w:spacing w:line="240" w:lineRule="auto"/>
      <w:jc w:val="left"/>
    </w:pPr>
    <w:rPr>
      <w:rFonts w:ascii="Univers" w:eastAsia="Times New Roman" w:hAnsi="Univers"/>
      <w:lang w:val="en-US"/>
    </w:rPr>
  </w:style>
  <w:style w:type="paragraph" w:styleId="Caption">
    <w:name w:val="caption"/>
    <w:basedOn w:val="Normal"/>
    <w:next w:val="Normal"/>
    <w:qFormat/>
    <w:rsid w:val="00314A32"/>
    <w:pPr>
      <w:spacing w:line="240" w:lineRule="auto"/>
      <w:jc w:val="left"/>
    </w:pPr>
    <w:rPr>
      <w:rFonts w:ascii="Univers" w:eastAsia="Times New Roman" w:hAnsi="Univers"/>
    </w:rPr>
  </w:style>
  <w:style w:type="character" w:customStyle="1" w:styleId="EquationCaption1">
    <w:name w:val="_Equation Caption1"/>
    <w:rsid w:val="00314A32"/>
  </w:style>
  <w:style w:type="paragraph" w:styleId="DocumentMap">
    <w:name w:val="Document Map"/>
    <w:basedOn w:val="Normal"/>
    <w:link w:val="DocumentMapChar"/>
    <w:rsid w:val="00314A32"/>
    <w:pPr>
      <w:shd w:val="clear" w:color="auto" w:fill="000080"/>
      <w:spacing w:line="240" w:lineRule="auto"/>
      <w:jc w:val="left"/>
    </w:pPr>
    <w:rPr>
      <w:rFonts w:ascii="Tahoma" w:eastAsia="Times New Roman" w:hAnsi="Tahoma" w:cs="Tahoma"/>
    </w:rPr>
  </w:style>
  <w:style w:type="character" w:customStyle="1" w:styleId="DocumentMapChar">
    <w:name w:val="Document Map Char"/>
    <w:basedOn w:val="DefaultParagraphFont"/>
    <w:link w:val="DocumentMap"/>
    <w:rsid w:val="00314A32"/>
    <w:rPr>
      <w:rFonts w:ascii="Tahoma" w:eastAsia="Times New Roman" w:hAnsi="Tahoma" w:cs="Tahoma"/>
      <w:sz w:val="24"/>
      <w:shd w:val="clear" w:color="auto" w:fill="000080"/>
      <w:lang w:eastAsia="en-US"/>
    </w:rPr>
  </w:style>
  <w:style w:type="character" w:customStyle="1" w:styleId="Heading1Char">
    <w:name w:val="Heading 1 Char"/>
    <w:link w:val="Heading1"/>
    <w:rsid w:val="008A43A4"/>
    <w:rPr>
      <w:b/>
      <w:caps/>
      <w:kern w:val="28"/>
      <w:sz w:val="24"/>
      <w:lang w:eastAsia="en-US"/>
    </w:rPr>
  </w:style>
  <w:style w:type="character" w:customStyle="1" w:styleId="Heading3Char">
    <w:name w:val="Heading 3 Char"/>
    <w:link w:val="Heading3"/>
    <w:rsid w:val="008A43A4"/>
    <w:rPr>
      <w:b/>
      <w:i/>
      <w:sz w:val="24"/>
      <w:lang w:eastAsia="en-US"/>
    </w:rPr>
  </w:style>
  <w:style w:type="character" w:customStyle="1" w:styleId="Heading4Char">
    <w:name w:val="Heading 4 Char"/>
    <w:link w:val="Heading4"/>
    <w:rsid w:val="008A43A4"/>
    <w:rPr>
      <w:b/>
      <w:smallCaps/>
      <w:sz w:val="24"/>
      <w:szCs w:val="24"/>
      <w:lang w:eastAsia="en-US"/>
    </w:rPr>
  </w:style>
  <w:style w:type="character" w:customStyle="1" w:styleId="Heading6Char">
    <w:name w:val="Heading 6 Char"/>
    <w:link w:val="Heading6"/>
    <w:rsid w:val="008A43A4"/>
    <w:rPr>
      <w:b/>
      <w:sz w:val="24"/>
      <w:lang w:eastAsia="en-US"/>
    </w:rPr>
  </w:style>
  <w:style w:type="character" w:customStyle="1" w:styleId="Heading7Char">
    <w:name w:val="Heading 7 Char"/>
    <w:link w:val="Heading7"/>
    <w:rsid w:val="008A43A4"/>
    <w:rPr>
      <w:b/>
      <w:i/>
      <w:sz w:val="24"/>
      <w:lang w:eastAsia="en-US"/>
    </w:rPr>
  </w:style>
  <w:style w:type="character" w:customStyle="1" w:styleId="Heading8Char">
    <w:name w:val="Heading 8 Char"/>
    <w:link w:val="Heading8"/>
    <w:rsid w:val="008A43A4"/>
    <w:rPr>
      <w:b/>
      <w:smallCaps/>
      <w:sz w:val="24"/>
      <w:lang w:eastAsia="en-US"/>
    </w:rPr>
  </w:style>
  <w:style w:type="character" w:customStyle="1" w:styleId="Heading9Char">
    <w:name w:val="Heading 9 Char"/>
    <w:link w:val="Heading9"/>
    <w:rsid w:val="008A43A4"/>
    <w:rPr>
      <w:b/>
      <w:i/>
      <w:smallCaps/>
      <w:sz w:val="24"/>
      <w:lang w:eastAsia="en-US"/>
    </w:rPr>
  </w:style>
  <w:style w:type="character" w:customStyle="1" w:styleId="HeaderChar">
    <w:name w:val="Header Char"/>
    <w:link w:val="Header"/>
    <w:rsid w:val="008A43A4"/>
    <w:rPr>
      <w:sz w:val="24"/>
      <w:lang w:eastAsia="en-US"/>
    </w:rPr>
  </w:style>
  <w:style w:type="character" w:customStyle="1" w:styleId="BalloonTextChar">
    <w:name w:val="Balloon Text Char"/>
    <w:link w:val="BalloonText"/>
    <w:semiHidden/>
    <w:rsid w:val="008A43A4"/>
    <w:rPr>
      <w:rFonts w:ascii="Tahoma" w:hAnsi="Tahoma" w:cs="Tahoma"/>
      <w:sz w:val="16"/>
      <w:szCs w:val="16"/>
      <w:lang w:eastAsia="en-US"/>
    </w:rPr>
  </w:style>
  <w:style w:type="character" w:customStyle="1" w:styleId="CommentTextChar">
    <w:name w:val="Comment Text Char"/>
    <w:link w:val="CommentText"/>
    <w:semiHidden/>
    <w:rsid w:val="008A43A4"/>
    <w:rPr>
      <w:lang w:eastAsia="en-US"/>
    </w:rPr>
  </w:style>
  <w:style w:type="character" w:customStyle="1" w:styleId="CommentSubjectChar">
    <w:name w:val="Comment Subject Char"/>
    <w:link w:val="CommentSubject"/>
    <w:semiHidden/>
    <w:rsid w:val="008A43A4"/>
    <w:rPr>
      <w:b/>
      <w:bCs/>
      <w:lang w:eastAsia="en-US"/>
    </w:rPr>
  </w:style>
  <w:style w:type="character" w:customStyle="1" w:styleId="BodyTextChar">
    <w:name w:val="Body Text Char"/>
    <w:link w:val="BodyText"/>
    <w:rsid w:val="008A43A4"/>
    <w:rPr>
      <w:sz w:val="24"/>
      <w:lang w:eastAsia="en-US"/>
    </w:rPr>
  </w:style>
  <w:style w:type="character" w:customStyle="1" w:styleId="BodyText2Char">
    <w:name w:val="Body Text 2 Char"/>
    <w:link w:val="BodyText2"/>
    <w:rsid w:val="008A43A4"/>
    <w:rPr>
      <w:sz w:val="24"/>
      <w:lang w:eastAsia="en-US"/>
    </w:rPr>
  </w:style>
  <w:style w:type="character" w:customStyle="1" w:styleId="BodyText3Char">
    <w:name w:val="Body Text 3 Char"/>
    <w:link w:val="BodyText3"/>
    <w:semiHidden/>
    <w:rsid w:val="008A43A4"/>
    <w:rPr>
      <w:sz w:val="16"/>
      <w:szCs w:val="16"/>
      <w:lang w:eastAsia="en-US"/>
    </w:rPr>
  </w:style>
  <w:style w:type="character" w:customStyle="1" w:styleId="BodyTextFirstIndentChar">
    <w:name w:val="Body Text First Indent Char"/>
    <w:link w:val="BodyTextFirstIndent"/>
    <w:semiHidden/>
    <w:rsid w:val="008A43A4"/>
    <w:rPr>
      <w:sz w:val="24"/>
      <w:lang w:eastAsia="en-US"/>
    </w:rPr>
  </w:style>
  <w:style w:type="character" w:customStyle="1" w:styleId="BodyTextIndentChar">
    <w:name w:val="Body Text Indent Char"/>
    <w:link w:val="BodyTextIndent"/>
    <w:rsid w:val="008A43A4"/>
    <w:rPr>
      <w:sz w:val="24"/>
      <w:lang w:eastAsia="en-US"/>
    </w:rPr>
  </w:style>
  <w:style w:type="character" w:customStyle="1" w:styleId="BodyTextFirstIndent2Char">
    <w:name w:val="Body Text First Indent 2 Char"/>
    <w:link w:val="BodyTextFirstIndent2"/>
    <w:semiHidden/>
    <w:rsid w:val="008A43A4"/>
    <w:rPr>
      <w:sz w:val="24"/>
      <w:lang w:eastAsia="en-US"/>
    </w:rPr>
  </w:style>
  <w:style w:type="character" w:customStyle="1" w:styleId="BodyTextIndent2Char">
    <w:name w:val="Body Text Indent 2 Char"/>
    <w:link w:val="BodyTextIndent2"/>
    <w:rsid w:val="008A43A4"/>
    <w:rPr>
      <w:sz w:val="24"/>
      <w:lang w:eastAsia="en-US"/>
    </w:rPr>
  </w:style>
  <w:style w:type="character" w:customStyle="1" w:styleId="BodyTextIndent3Char">
    <w:name w:val="Body Text Indent 3 Char"/>
    <w:link w:val="BodyTextIndent3"/>
    <w:semiHidden/>
    <w:rsid w:val="008A43A4"/>
    <w:rPr>
      <w:sz w:val="16"/>
      <w:szCs w:val="16"/>
      <w:lang w:eastAsia="en-US"/>
    </w:rPr>
  </w:style>
  <w:style w:type="character" w:customStyle="1" w:styleId="ClosingChar">
    <w:name w:val="Closing Char"/>
    <w:link w:val="Closing"/>
    <w:semiHidden/>
    <w:rsid w:val="008A43A4"/>
    <w:rPr>
      <w:sz w:val="24"/>
      <w:lang w:eastAsia="en-US"/>
    </w:rPr>
  </w:style>
  <w:style w:type="character" w:customStyle="1" w:styleId="DateChar">
    <w:name w:val="Date Char"/>
    <w:link w:val="Date"/>
    <w:semiHidden/>
    <w:rsid w:val="008A43A4"/>
    <w:rPr>
      <w:sz w:val="24"/>
      <w:lang w:eastAsia="en-US"/>
    </w:rPr>
  </w:style>
  <w:style w:type="character" w:customStyle="1" w:styleId="E-mailSignatureChar">
    <w:name w:val="E-mail Signature Char"/>
    <w:link w:val="E-mailSignature"/>
    <w:semiHidden/>
    <w:rsid w:val="008A43A4"/>
    <w:rPr>
      <w:sz w:val="24"/>
      <w:lang w:eastAsia="en-US"/>
    </w:rPr>
  </w:style>
  <w:style w:type="character" w:customStyle="1" w:styleId="HTMLAddressChar">
    <w:name w:val="HTML Address Char"/>
    <w:link w:val="HTMLAddress"/>
    <w:semiHidden/>
    <w:rsid w:val="008A43A4"/>
    <w:rPr>
      <w:i/>
      <w:iCs/>
      <w:sz w:val="24"/>
      <w:lang w:eastAsia="en-US"/>
    </w:rPr>
  </w:style>
  <w:style w:type="character" w:customStyle="1" w:styleId="HTMLPreformattedChar">
    <w:name w:val="HTML Preformatted Char"/>
    <w:link w:val="HTMLPreformatted"/>
    <w:semiHidden/>
    <w:rsid w:val="008A43A4"/>
    <w:rPr>
      <w:rFonts w:ascii="Courier New" w:hAnsi="Courier New" w:cs="Courier New"/>
      <w:lang w:eastAsia="en-US"/>
    </w:rPr>
  </w:style>
  <w:style w:type="character" w:customStyle="1" w:styleId="MessageHeaderChar">
    <w:name w:val="Message Header Char"/>
    <w:link w:val="MessageHeader"/>
    <w:semiHidden/>
    <w:rsid w:val="008A43A4"/>
    <w:rPr>
      <w:rFonts w:ascii="Arial" w:hAnsi="Arial" w:cs="Arial"/>
      <w:sz w:val="24"/>
      <w:szCs w:val="24"/>
      <w:shd w:val="pct20" w:color="auto" w:fill="auto"/>
      <w:lang w:eastAsia="en-US"/>
    </w:rPr>
  </w:style>
  <w:style w:type="character" w:customStyle="1" w:styleId="NoteHeadingChar">
    <w:name w:val="Note Heading Char"/>
    <w:link w:val="NoteHeading"/>
    <w:semiHidden/>
    <w:rsid w:val="008A43A4"/>
    <w:rPr>
      <w:sz w:val="24"/>
      <w:lang w:eastAsia="en-US"/>
    </w:rPr>
  </w:style>
  <w:style w:type="character" w:customStyle="1" w:styleId="PlainTextChar">
    <w:name w:val="Plain Text Char"/>
    <w:link w:val="PlainText"/>
    <w:rsid w:val="008A43A4"/>
    <w:rPr>
      <w:rFonts w:ascii="Courier New" w:hAnsi="Courier New" w:cs="Courier New"/>
      <w:lang w:eastAsia="en-US"/>
    </w:rPr>
  </w:style>
  <w:style w:type="character" w:customStyle="1" w:styleId="SalutationChar">
    <w:name w:val="Salutation Char"/>
    <w:link w:val="Salutation"/>
    <w:semiHidden/>
    <w:rsid w:val="008A43A4"/>
    <w:rPr>
      <w:sz w:val="24"/>
      <w:lang w:eastAsia="en-US"/>
    </w:rPr>
  </w:style>
  <w:style w:type="character" w:customStyle="1" w:styleId="SignatureChar">
    <w:name w:val="Signature Char"/>
    <w:link w:val="Signature"/>
    <w:semiHidden/>
    <w:rsid w:val="008A43A4"/>
    <w:rPr>
      <w:sz w:val="24"/>
      <w:lang w:eastAsia="en-US"/>
    </w:rPr>
  </w:style>
  <w:style w:type="character" w:customStyle="1" w:styleId="SubtitleChar">
    <w:name w:val="Subtitle Char"/>
    <w:link w:val="Subtitle"/>
    <w:rsid w:val="008A43A4"/>
    <w:rPr>
      <w:rFonts w:ascii="Arial" w:hAnsi="Arial" w:cs="Arial"/>
      <w:sz w:val="24"/>
      <w:szCs w:val="24"/>
      <w:lang w:eastAsia="en-US"/>
    </w:rPr>
  </w:style>
  <w:style w:type="paragraph" w:styleId="ListParagraph">
    <w:name w:val="List Paragraph"/>
    <w:basedOn w:val="Normal"/>
    <w:uiPriority w:val="34"/>
    <w:qFormat/>
    <w:rsid w:val="008A43A4"/>
    <w:pPr>
      <w:spacing w:line="240" w:lineRule="auto"/>
      <w:ind w:left="720"/>
      <w:jc w:val="left"/>
    </w:pPr>
    <w:rPr>
      <w:rFonts w:ascii="Arial" w:eastAsia="Times New Roman" w:hAnsi="Arial"/>
      <w:sz w:val="22"/>
      <w:szCs w:val="24"/>
    </w:rPr>
  </w:style>
  <w:style w:type="paragraph" w:customStyle="1" w:styleId="Arial">
    <w:name w:val="Arial"/>
    <w:basedOn w:val="Normal"/>
    <w:rsid w:val="008A43A4"/>
    <w:pPr>
      <w:spacing w:line="240" w:lineRule="auto"/>
    </w:pPr>
    <w:rPr>
      <w:rFonts w:eastAsia="Times New Roman"/>
      <w:sz w:val="22"/>
      <w:szCs w:val="22"/>
    </w:rPr>
  </w:style>
  <w:style w:type="paragraph" w:customStyle="1" w:styleId="StyleJustifiedAfter12ptLinespacing15lines">
    <w:name w:val="Style Justified After:  12 pt Line spacing:  1.5 lines"/>
    <w:basedOn w:val="Normal"/>
    <w:rsid w:val="008A43A4"/>
    <w:rPr>
      <w:rFonts w:ascii="Arial" w:eastAsia="Times New Roman" w:hAnsi="Arial"/>
      <w:sz w:val="22"/>
    </w:rPr>
  </w:style>
  <w:style w:type="paragraph" w:customStyle="1" w:styleId="StyleJustifiedAfter12ptLinespacing15lines1">
    <w:name w:val="Style Justified After:  12 pt Line spacing:  1.5 lines1"/>
    <w:basedOn w:val="Normal"/>
    <w:rsid w:val="008A43A4"/>
    <w:pPr>
      <w:spacing w:after="120"/>
    </w:pPr>
    <w:rPr>
      <w:rFonts w:ascii="Arial" w:eastAsia="Times New Roman" w:hAnsi="Arial"/>
      <w:sz w:val="22"/>
    </w:rPr>
  </w:style>
  <w:style w:type="paragraph" w:customStyle="1" w:styleId="StyleJustifiedAfter12ptLinespacing15lines2">
    <w:name w:val="Style Justified After:  12 pt Line spacing:  1.5 lines2"/>
    <w:basedOn w:val="Normal"/>
    <w:rsid w:val="008A43A4"/>
    <w:pPr>
      <w:spacing w:after="240"/>
    </w:pPr>
    <w:rPr>
      <w:rFonts w:ascii="Arial" w:eastAsia="Times New Roman" w:hAnsi="Arial"/>
      <w:sz w:val="22"/>
    </w:rPr>
  </w:style>
  <w:style w:type="paragraph" w:customStyle="1" w:styleId="xl63">
    <w:name w:val="xl63"/>
    <w:basedOn w:val="Normal"/>
    <w:rsid w:val="008A43A4"/>
    <w:pPr>
      <w:spacing w:before="100" w:beforeAutospacing="1" w:after="100" w:afterAutospacing="1" w:line="240" w:lineRule="auto"/>
      <w:jc w:val="left"/>
      <w:textAlignment w:val="center"/>
    </w:pPr>
    <w:rPr>
      <w:rFonts w:ascii="Arial" w:eastAsia="Times New Roman" w:hAnsi="Arial" w:cs="Arial"/>
      <w:szCs w:val="24"/>
      <w:lang w:eastAsia="en-AU"/>
    </w:rPr>
  </w:style>
  <w:style w:type="paragraph" w:customStyle="1" w:styleId="xl64">
    <w:name w:val="xl64"/>
    <w:basedOn w:val="Normal"/>
    <w:rsid w:val="008A43A4"/>
    <w:pPr>
      <w:spacing w:before="100" w:beforeAutospacing="1" w:after="100" w:afterAutospacing="1" w:line="240" w:lineRule="auto"/>
      <w:jc w:val="left"/>
      <w:textAlignment w:val="center"/>
    </w:pPr>
    <w:rPr>
      <w:rFonts w:ascii="Arial" w:eastAsia="Times New Roman" w:hAnsi="Arial" w:cs="Arial"/>
      <w:szCs w:val="24"/>
      <w:lang w:eastAsia="en-AU"/>
    </w:rPr>
  </w:style>
  <w:style w:type="paragraph" w:customStyle="1" w:styleId="xl65">
    <w:name w:val="xl65"/>
    <w:basedOn w:val="Normal"/>
    <w:rsid w:val="008A43A4"/>
    <w:pPr>
      <w:spacing w:before="100" w:beforeAutospacing="1" w:after="100" w:afterAutospacing="1" w:line="240" w:lineRule="auto"/>
      <w:jc w:val="left"/>
      <w:textAlignment w:val="center"/>
    </w:pPr>
    <w:rPr>
      <w:rFonts w:ascii="Arial" w:eastAsia="Times New Roman" w:hAnsi="Arial" w:cs="Arial"/>
      <w:b/>
      <w:bCs/>
      <w:szCs w:val="24"/>
      <w:lang w:eastAsia="en-AU"/>
    </w:rPr>
  </w:style>
  <w:style w:type="paragraph" w:customStyle="1" w:styleId="xl66">
    <w:name w:val="xl66"/>
    <w:basedOn w:val="Normal"/>
    <w:rsid w:val="008A43A4"/>
    <w:pPr>
      <w:spacing w:before="100" w:beforeAutospacing="1" w:after="100" w:afterAutospacing="1" w:line="240" w:lineRule="auto"/>
      <w:jc w:val="left"/>
      <w:textAlignment w:val="center"/>
    </w:pPr>
    <w:rPr>
      <w:rFonts w:ascii="Arial" w:eastAsia="Times New Roman" w:hAnsi="Arial" w:cs="Arial"/>
      <w:b/>
      <w:bCs/>
      <w:szCs w:val="24"/>
      <w:lang w:eastAsia="en-AU"/>
    </w:rPr>
  </w:style>
  <w:style w:type="paragraph" w:customStyle="1" w:styleId="xl67">
    <w:name w:val="xl67"/>
    <w:basedOn w:val="Normal"/>
    <w:rsid w:val="008A43A4"/>
    <w:pPr>
      <w:spacing w:before="100" w:beforeAutospacing="1" w:after="100" w:afterAutospacing="1" w:line="240" w:lineRule="auto"/>
      <w:jc w:val="center"/>
      <w:textAlignment w:val="center"/>
    </w:pPr>
    <w:rPr>
      <w:rFonts w:ascii="Arial" w:eastAsia="Times New Roman" w:hAnsi="Arial" w:cs="Arial"/>
      <w:szCs w:val="24"/>
      <w:lang w:eastAsia="en-AU"/>
    </w:rPr>
  </w:style>
  <w:style w:type="paragraph" w:customStyle="1" w:styleId="xl68">
    <w:name w:val="xl68"/>
    <w:basedOn w:val="Normal"/>
    <w:rsid w:val="008A43A4"/>
    <w:pPr>
      <w:shd w:val="clear" w:color="000000" w:fill="D9D9D9"/>
      <w:spacing w:before="100" w:beforeAutospacing="1" w:after="100" w:afterAutospacing="1" w:line="240" w:lineRule="auto"/>
      <w:jc w:val="center"/>
      <w:textAlignment w:val="center"/>
    </w:pPr>
    <w:rPr>
      <w:rFonts w:ascii="Arial" w:eastAsia="Times New Roman" w:hAnsi="Arial" w:cs="Arial"/>
      <w:b/>
      <w:bCs/>
      <w:szCs w:val="24"/>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Batang"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line="360" w:lineRule="auto"/>
      <w:jc w:val="both"/>
    </w:pPr>
    <w:rPr>
      <w:sz w:val="24"/>
      <w:lang w:eastAsia="en-US"/>
    </w:rPr>
  </w:style>
  <w:style w:type="paragraph" w:styleId="Heading1">
    <w:name w:val="heading 1"/>
    <w:basedOn w:val="Normal"/>
    <w:next w:val="ParaNumbering"/>
    <w:link w:val="Heading1Char"/>
    <w:qFormat/>
    <w:pPr>
      <w:keepNext/>
      <w:spacing w:before="240" w:after="60" w:line="240" w:lineRule="auto"/>
      <w:outlineLvl w:val="0"/>
    </w:pPr>
    <w:rPr>
      <w:b/>
      <w:caps/>
      <w:kern w:val="28"/>
    </w:rPr>
  </w:style>
  <w:style w:type="paragraph" w:styleId="Heading2">
    <w:name w:val="heading 2"/>
    <w:basedOn w:val="Normal"/>
    <w:next w:val="ParaNumbering"/>
    <w:link w:val="Heading2Char"/>
    <w:qFormat/>
    <w:pPr>
      <w:keepNext/>
      <w:spacing w:before="240" w:after="60" w:line="240" w:lineRule="auto"/>
      <w:outlineLvl w:val="1"/>
    </w:pPr>
    <w:rPr>
      <w:b/>
      <w:szCs w:val="24"/>
    </w:rPr>
  </w:style>
  <w:style w:type="paragraph" w:styleId="Heading3">
    <w:name w:val="heading 3"/>
    <w:basedOn w:val="Normal"/>
    <w:next w:val="ParaNumbering"/>
    <w:link w:val="Heading3Char"/>
    <w:qFormat/>
    <w:pPr>
      <w:keepNext/>
      <w:spacing w:before="240" w:after="60" w:line="240" w:lineRule="auto"/>
      <w:outlineLvl w:val="2"/>
    </w:pPr>
    <w:rPr>
      <w:b/>
      <w:i/>
    </w:rPr>
  </w:style>
  <w:style w:type="paragraph" w:styleId="Heading4">
    <w:name w:val="heading 4"/>
    <w:basedOn w:val="Normal"/>
    <w:next w:val="ParaNumbering"/>
    <w:link w:val="Heading4Char"/>
    <w:qFormat/>
    <w:pPr>
      <w:keepNext/>
      <w:spacing w:before="240" w:after="60" w:line="240" w:lineRule="auto"/>
      <w:jc w:val="left"/>
      <w:outlineLvl w:val="3"/>
    </w:pPr>
    <w:rPr>
      <w:b/>
      <w:smallCaps/>
      <w:szCs w:val="24"/>
    </w:rPr>
  </w:style>
  <w:style w:type="paragraph" w:styleId="Heading5">
    <w:name w:val="heading 5"/>
    <w:basedOn w:val="fcHeading1"/>
    <w:next w:val="ParaNumbering"/>
    <w:link w:val="Heading5Char"/>
    <w:qFormat/>
    <w:pPr>
      <w:outlineLvl w:val="4"/>
    </w:pPr>
  </w:style>
  <w:style w:type="paragraph" w:styleId="Heading6">
    <w:name w:val="heading 6"/>
    <w:basedOn w:val="fcHeading2"/>
    <w:next w:val="ParaNumbering"/>
    <w:link w:val="Heading6Char"/>
    <w:qFormat/>
    <w:pPr>
      <w:outlineLvl w:val="5"/>
    </w:pPr>
  </w:style>
  <w:style w:type="paragraph" w:styleId="Heading7">
    <w:name w:val="heading 7"/>
    <w:basedOn w:val="fcHeading3"/>
    <w:next w:val="ParaNumbering"/>
    <w:link w:val="Heading7Char"/>
    <w:qFormat/>
    <w:pPr>
      <w:outlineLvl w:val="6"/>
    </w:pPr>
  </w:style>
  <w:style w:type="paragraph" w:styleId="Heading8">
    <w:name w:val="heading 8"/>
    <w:basedOn w:val="fcHeading4"/>
    <w:next w:val="ParaNumbering"/>
    <w:link w:val="Heading8Char"/>
    <w:qFormat/>
    <w:pPr>
      <w:outlineLvl w:val="7"/>
    </w:pPr>
  </w:style>
  <w:style w:type="paragraph" w:styleId="Heading9">
    <w:name w:val="heading 9"/>
    <w:basedOn w:val="fcHeading5"/>
    <w:next w:val="ParaNumbering"/>
    <w:link w:val="Heading9Char"/>
    <w:qFormat/>
    <w:pPr>
      <w:outlineLvl w:val="8"/>
    </w:pPr>
    <w:rPr>
      <w:i/>
      <w:caps w:val="0"/>
      <w:small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dersPage">
    <w:name w:val="OrdersPage"/>
    <w:basedOn w:val="Normal"/>
    <w:semiHidden/>
    <w:pPr>
      <w:spacing w:line="240" w:lineRule="auto"/>
    </w:pPr>
  </w:style>
  <w:style w:type="paragraph" w:styleId="Header">
    <w:name w:val="header"/>
    <w:basedOn w:val="Normal"/>
    <w:link w:val="HeaderChar"/>
    <w:pPr>
      <w:tabs>
        <w:tab w:val="center" w:pos="4320"/>
        <w:tab w:val="right" w:pos="8640"/>
      </w:tabs>
    </w:pPr>
  </w:style>
  <w:style w:type="paragraph" w:styleId="Footer">
    <w:name w:val="footer"/>
    <w:basedOn w:val="Normal"/>
    <w:link w:val="FooterChar"/>
    <w:pPr>
      <w:tabs>
        <w:tab w:val="center" w:pos="4320"/>
        <w:tab w:val="right" w:pos="8640"/>
      </w:tabs>
    </w:pPr>
  </w:style>
  <w:style w:type="paragraph" w:customStyle="1" w:styleId="ParaNumbering">
    <w:name w:val="ParaNumbering"/>
    <w:basedOn w:val="Normal"/>
    <w:uiPriority w:val="99"/>
    <w:pPr>
      <w:numPr>
        <w:numId w:val="1"/>
      </w:numPr>
      <w:spacing w:before="180" w:after="180"/>
    </w:pPr>
  </w:style>
  <w:style w:type="paragraph" w:customStyle="1" w:styleId="Quote1">
    <w:name w:val="Quote1"/>
    <w:uiPriority w:val="99"/>
    <w:pPr>
      <w:widowControl w:val="0"/>
      <w:ind w:left="737" w:right="737"/>
      <w:jc w:val="both"/>
    </w:pPr>
    <w:rPr>
      <w:sz w:val="22"/>
      <w:lang w:eastAsia="en-US"/>
    </w:rPr>
  </w:style>
  <w:style w:type="paragraph" w:customStyle="1" w:styleId="NormalHeadings">
    <w:name w:val="Normal Headings"/>
    <w:semiHidden/>
    <w:pPr>
      <w:widowControl w:val="0"/>
      <w:jc w:val="both"/>
    </w:pPr>
    <w:rPr>
      <w:b/>
      <w:sz w:val="24"/>
      <w:lang w:eastAsia="en-US"/>
    </w:rPr>
  </w:style>
  <w:style w:type="table" w:styleId="TableGrid">
    <w:name w:val="Table Grid"/>
    <w:basedOn w:val="TableNormal"/>
    <w:pPr>
      <w:widowControl w:val="0"/>
      <w:spacing w:line="36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ediaNeutralStyle">
    <w:name w:val="Media Neutral Style"/>
    <w:basedOn w:val="Normal"/>
    <w:next w:val="Normal1linespace"/>
    <w:semiHidden/>
    <w:pPr>
      <w:spacing w:before="20" w:after="20"/>
      <w:jc w:val="center"/>
    </w:pPr>
    <w:rPr>
      <w:b/>
      <w:sz w:val="26"/>
    </w:rPr>
  </w:style>
  <w:style w:type="paragraph" w:customStyle="1" w:styleId="Normal1linespace">
    <w:name w:val="Normal1linespace"/>
    <w:basedOn w:val="Normal"/>
    <w:pPr>
      <w:spacing w:line="240" w:lineRule="auto"/>
    </w:pPr>
  </w:style>
  <w:style w:type="paragraph" w:styleId="BalloonText">
    <w:name w:val="Balloon Text"/>
    <w:basedOn w:val="Normal"/>
    <w:link w:val="BalloonTextChar"/>
    <w:semiHidden/>
    <w:rPr>
      <w:rFonts w:ascii="Tahoma" w:hAnsi="Tahoma" w:cs="Tahoma"/>
      <w:sz w:val="16"/>
      <w:szCs w:val="16"/>
    </w:rPr>
  </w:style>
  <w:style w:type="paragraph" w:customStyle="1" w:styleId="StyleBold">
    <w:name w:val="Style Bold"/>
    <w:basedOn w:val="Normal"/>
    <w:next w:val="Normal"/>
    <w:semiHidden/>
    <w:rPr>
      <w:szCs w:val="24"/>
    </w:rPr>
  </w:style>
  <w:style w:type="paragraph" w:customStyle="1" w:styleId="Bold">
    <w:name w:val="Bold"/>
    <w:basedOn w:val="Normal"/>
    <w:next w:val="Normal"/>
    <w:semiHidden/>
    <w:pPr>
      <w:suppressAutoHyphens/>
      <w:jc w:val="left"/>
    </w:pPr>
    <w:rPr>
      <w:b/>
      <w:szCs w:val="24"/>
    </w:rPr>
  </w:style>
  <w:style w:type="paragraph" w:customStyle="1" w:styleId="Certify">
    <w:name w:val="Certify"/>
    <w:basedOn w:val="Normal"/>
    <w:link w:val="CertifyChar"/>
    <w:semiHidden/>
    <w:pPr>
      <w:spacing w:line="240" w:lineRule="auto"/>
    </w:pPr>
    <w:rPr>
      <w:szCs w:val="24"/>
    </w:rPr>
  </w:style>
  <w:style w:type="character" w:styleId="CommentReference">
    <w:name w:val="annotation reference"/>
    <w:semiHidden/>
    <w:rPr>
      <w:sz w:val="16"/>
      <w:szCs w:val="16"/>
    </w:rPr>
  </w:style>
  <w:style w:type="paragraph" w:styleId="CommentText">
    <w:name w:val="annotation text"/>
    <w:basedOn w:val="Normal"/>
    <w:link w:val="CommentTextChar"/>
    <w:semiHidden/>
    <w:rPr>
      <w:sz w:val="20"/>
    </w:rPr>
  </w:style>
  <w:style w:type="paragraph" w:styleId="CommentSubject">
    <w:name w:val="annotation subject"/>
    <w:basedOn w:val="CommentText"/>
    <w:next w:val="CommentText"/>
    <w:link w:val="CommentSubjectChar"/>
    <w:semiHidden/>
    <w:rPr>
      <w:b/>
      <w:bCs/>
    </w:rPr>
  </w:style>
  <w:style w:type="paragraph" w:customStyle="1" w:styleId="FCBullets">
    <w:name w:val="FCBullets"/>
    <w:basedOn w:val="Normal"/>
    <w:pPr>
      <w:numPr>
        <w:numId w:val="3"/>
      </w:numPr>
      <w:spacing w:before="60" w:after="60"/>
    </w:pPr>
  </w:style>
  <w:style w:type="paragraph" w:customStyle="1" w:styleId="JudgeStyle">
    <w:name w:val="JudgeStyle"/>
    <w:basedOn w:val="Heading1"/>
    <w:next w:val="ParaNumbering"/>
    <w:semiHidden/>
  </w:style>
  <w:style w:type="paragraph" w:styleId="TOC1">
    <w:name w:val="toc 1"/>
    <w:basedOn w:val="Normal"/>
    <w:next w:val="Normal"/>
    <w:autoRedefine/>
    <w:pPr>
      <w:tabs>
        <w:tab w:val="right" w:leader="dot" w:pos="9071"/>
      </w:tabs>
    </w:pPr>
  </w:style>
  <w:style w:type="paragraph" w:styleId="TOC2">
    <w:name w:val="toc 2"/>
    <w:basedOn w:val="Normal"/>
    <w:next w:val="Normal"/>
    <w:autoRedefine/>
    <w:pPr>
      <w:tabs>
        <w:tab w:val="right" w:leader="dot" w:pos="9071"/>
      </w:tabs>
      <w:ind w:left="240"/>
    </w:pPr>
  </w:style>
  <w:style w:type="paragraph" w:styleId="TOC3">
    <w:name w:val="toc 3"/>
    <w:basedOn w:val="Normal"/>
    <w:next w:val="Normal"/>
    <w:autoRedefine/>
    <w:pPr>
      <w:tabs>
        <w:tab w:val="right" w:leader="dot" w:pos="9071"/>
      </w:tabs>
      <w:ind w:left="480"/>
    </w:pPr>
  </w:style>
  <w:style w:type="paragraph" w:styleId="TOC4">
    <w:name w:val="toc 4"/>
    <w:basedOn w:val="Normal"/>
    <w:next w:val="Normal"/>
    <w:autoRedefine/>
    <w:pPr>
      <w:tabs>
        <w:tab w:val="right" w:leader="dot" w:pos="9071"/>
      </w:tabs>
      <w:ind w:left="720"/>
    </w:pPr>
  </w:style>
  <w:style w:type="paragraph" w:customStyle="1" w:styleId="NoNum">
    <w:name w:val="No Num"/>
    <w:basedOn w:val="Normal1linespace"/>
    <w:pPr>
      <w:spacing w:before="120" w:after="180" w:line="360" w:lineRule="auto"/>
    </w:pPr>
  </w:style>
  <w:style w:type="paragraph" w:customStyle="1" w:styleId="AppealTable">
    <w:name w:val="AppealTable"/>
    <w:basedOn w:val="Normal"/>
    <w:pPr>
      <w:spacing w:line="240" w:lineRule="auto"/>
      <w:jc w:val="left"/>
    </w:pPr>
    <w:rPr>
      <w:b/>
      <w:caps/>
      <w:sz w:val="22"/>
      <w:szCs w:val="22"/>
    </w:rPr>
  </w:style>
  <w:style w:type="paragraph" w:customStyle="1" w:styleId="Quote3">
    <w:name w:val="Quote3"/>
    <w:basedOn w:val="Quote1"/>
    <w:pPr>
      <w:ind w:left="2160"/>
    </w:pPr>
  </w:style>
  <w:style w:type="paragraph" w:customStyle="1" w:styleId="Quote2">
    <w:name w:val="Quote2"/>
    <w:basedOn w:val="Quote1"/>
    <w:pPr>
      <w:ind w:left="1440"/>
    </w:pPr>
  </w:style>
  <w:style w:type="paragraph" w:customStyle="1" w:styleId="FTOC1">
    <w:name w:val="FTOC 1"/>
    <w:basedOn w:val="Normal"/>
    <w:semiHidden/>
    <w:pPr>
      <w:tabs>
        <w:tab w:val="right" w:leader="dot" w:pos="9072"/>
      </w:tabs>
      <w:spacing w:before="120" w:after="60" w:line="240" w:lineRule="auto"/>
    </w:pPr>
    <w:rPr>
      <w:b/>
      <w:caps/>
      <w:kern w:val="28"/>
    </w:rPr>
  </w:style>
  <w:style w:type="paragraph" w:customStyle="1" w:styleId="ListNo">
    <w:name w:val="List No"/>
    <w:basedOn w:val="Normal"/>
    <w:pPr>
      <w:numPr>
        <w:numId w:val="14"/>
      </w:numPr>
      <w:spacing w:before="60" w:after="60"/>
    </w:pPr>
  </w:style>
  <w:style w:type="paragraph" w:customStyle="1" w:styleId="FTOC2">
    <w:name w:val="FTOC 2"/>
    <w:basedOn w:val="Normal"/>
    <w:semiHidden/>
    <w:pPr>
      <w:tabs>
        <w:tab w:val="right" w:leader="dot" w:pos="9072"/>
      </w:tabs>
      <w:spacing w:before="120" w:after="60" w:line="240" w:lineRule="auto"/>
      <w:ind w:left="238"/>
    </w:pPr>
    <w:rPr>
      <w:b/>
    </w:rPr>
  </w:style>
  <w:style w:type="paragraph" w:customStyle="1" w:styleId="FTOC3">
    <w:name w:val="FTOC 3"/>
    <w:basedOn w:val="Normal"/>
    <w:semiHidden/>
    <w:pPr>
      <w:tabs>
        <w:tab w:val="right" w:leader="dot" w:pos="9072"/>
      </w:tabs>
      <w:spacing w:before="120" w:after="60" w:line="240" w:lineRule="auto"/>
      <w:ind w:left="482"/>
    </w:pPr>
    <w:rPr>
      <w:b/>
      <w:i/>
    </w:rPr>
  </w:style>
  <w:style w:type="paragraph" w:customStyle="1" w:styleId="FTOC4">
    <w:name w:val="FTOC 4"/>
    <w:basedOn w:val="Normal"/>
    <w:semiHidden/>
    <w:pPr>
      <w:tabs>
        <w:tab w:val="right" w:leader="dot" w:pos="9072"/>
      </w:tabs>
      <w:spacing w:before="120" w:after="60" w:line="240" w:lineRule="auto"/>
      <w:ind w:left="720"/>
    </w:pPr>
    <w:rPr>
      <w:b/>
      <w:smallCaps/>
    </w:rPr>
  </w:style>
  <w:style w:type="paragraph" w:styleId="TOC5">
    <w:name w:val="toc 5"/>
    <w:basedOn w:val="Normal"/>
    <w:next w:val="Normal"/>
    <w:autoRedefine/>
    <w:pPr>
      <w:tabs>
        <w:tab w:val="right" w:leader="dot" w:pos="9072"/>
      </w:tabs>
      <w:ind w:left="960"/>
    </w:pPr>
  </w:style>
  <w:style w:type="numbering" w:styleId="111111">
    <w:name w:val="Outline List 2"/>
    <w:basedOn w:val="NoList"/>
    <w:semiHidden/>
    <w:pPr>
      <w:numPr>
        <w:numId w:val="15"/>
      </w:numPr>
    </w:pPr>
  </w:style>
  <w:style w:type="numbering" w:styleId="1ai">
    <w:name w:val="Outline List 1"/>
    <w:basedOn w:val="NoList"/>
    <w:semiHidden/>
    <w:pPr>
      <w:numPr>
        <w:numId w:val="16"/>
      </w:numPr>
    </w:pPr>
  </w:style>
  <w:style w:type="numbering" w:styleId="ArticleSection">
    <w:name w:val="Outline List 3"/>
    <w:basedOn w:val="NoList"/>
    <w:semiHidden/>
    <w:pPr>
      <w:numPr>
        <w:numId w:val="17"/>
      </w:numPr>
    </w:pPr>
  </w:style>
  <w:style w:type="paragraph" w:styleId="BlockText">
    <w:name w:val="Block Text"/>
    <w:basedOn w:val="Normal"/>
    <w:semiHidden/>
    <w:pPr>
      <w:spacing w:after="120"/>
      <w:ind w:left="1440" w:right="1440"/>
    </w:pPr>
  </w:style>
  <w:style w:type="paragraph" w:styleId="BodyText">
    <w:name w:val="Body Text"/>
    <w:basedOn w:val="Normal"/>
    <w:link w:val="BodyTextChar"/>
    <w:pPr>
      <w:spacing w:after="120"/>
    </w:pPr>
  </w:style>
  <w:style w:type="paragraph" w:styleId="BodyText2">
    <w:name w:val="Body Text 2"/>
    <w:basedOn w:val="Normal"/>
    <w:link w:val="BodyText2Char"/>
    <w:pPr>
      <w:spacing w:after="120" w:line="480" w:lineRule="auto"/>
    </w:pPr>
  </w:style>
  <w:style w:type="paragraph" w:styleId="BodyText3">
    <w:name w:val="Body Text 3"/>
    <w:basedOn w:val="Normal"/>
    <w:link w:val="BodyText3Char"/>
    <w:semiHidden/>
    <w:pPr>
      <w:spacing w:after="120"/>
    </w:pPr>
    <w:rPr>
      <w:sz w:val="16"/>
      <w:szCs w:val="16"/>
    </w:rPr>
  </w:style>
  <w:style w:type="paragraph" w:styleId="BodyTextFirstIndent">
    <w:name w:val="Body Text First Indent"/>
    <w:basedOn w:val="BodyText"/>
    <w:link w:val="BodyTextFirstIndentChar"/>
    <w:semiHidden/>
    <w:pPr>
      <w:ind w:firstLine="210"/>
    </w:pPr>
  </w:style>
  <w:style w:type="paragraph" w:styleId="BodyTextIndent">
    <w:name w:val="Body Text Indent"/>
    <w:basedOn w:val="Normal"/>
    <w:link w:val="BodyTextIndentChar"/>
    <w:pPr>
      <w:spacing w:after="120"/>
      <w:ind w:left="283"/>
    </w:pPr>
  </w:style>
  <w:style w:type="paragraph" w:styleId="BodyTextFirstIndent2">
    <w:name w:val="Body Text First Indent 2"/>
    <w:basedOn w:val="BodyTextIndent"/>
    <w:link w:val="BodyTextFirstIndent2Char"/>
    <w:semiHidden/>
    <w:pPr>
      <w:ind w:firstLine="210"/>
    </w:pPr>
  </w:style>
  <w:style w:type="paragraph" w:styleId="BodyTextIndent2">
    <w:name w:val="Body Text Indent 2"/>
    <w:basedOn w:val="Normal"/>
    <w:link w:val="BodyTextIndent2Char"/>
    <w:pPr>
      <w:spacing w:after="120" w:line="480" w:lineRule="auto"/>
      <w:ind w:left="283"/>
    </w:pPr>
  </w:style>
  <w:style w:type="paragraph" w:styleId="BodyTextIndent3">
    <w:name w:val="Body Text Indent 3"/>
    <w:basedOn w:val="Normal"/>
    <w:link w:val="BodyTextIndent3Char"/>
    <w:semiHidden/>
    <w:pPr>
      <w:spacing w:after="120"/>
      <w:ind w:left="283"/>
    </w:pPr>
    <w:rPr>
      <w:sz w:val="16"/>
      <w:szCs w:val="16"/>
    </w:rPr>
  </w:style>
  <w:style w:type="paragraph" w:styleId="Closing">
    <w:name w:val="Closing"/>
    <w:basedOn w:val="Normal"/>
    <w:link w:val="ClosingChar"/>
    <w:semiHidden/>
    <w:pPr>
      <w:ind w:left="4252"/>
    </w:pPr>
  </w:style>
  <w:style w:type="paragraph" w:styleId="Date">
    <w:name w:val="Date"/>
    <w:basedOn w:val="Normal"/>
    <w:next w:val="Normal"/>
    <w:link w:val="DateChar"/>
    <w:semiHidden/>
  </w:style>
  <w:style w:type="paragraph" w:styleId="E-mailSignature">
    <w:name w:val="E-mail Signature"/>
    <w:basedOn w:val="Normal"/>
    <w:link w:val="E-mailSignatureChar"/>
    <w:semiHidden/>
  </w:style>
  <w:style w:type="character" w:styleId="Emphasis">
    <w:name w:val="Emphasis"/>
    <w:qFormat/>
    <w:rPr>
      <w:i/>
      <w:iCs/>
    </w:rPr>
  </w:style>
  <w:style w:type="paragraph" w:styleId="EnvelopeAddress">
    <w:name w:val="envelope address"/>
    <w:basedOn w:val="Normal"/>
    <w:semiHidden/>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semiHidden/>
    <w:rPr>
      <w:rFonts w:ascii="Arial" w:hAnsi="Arial" w:cs="Arial"/>
      <w:sz w:val="20"/>
    </w:rPr>
  </w:style>
  <w:style w:type="character" w:styleId="FollowedHyperlink">
    <w:name w:val="FollowedHyperlink"/>
    <w:uiPriority w:val="99"/>
    <w:rPr>
      <w:color w:val="800080"/>
      <w:u w:val="single"/>
    </w:rPr>
  </w:style>
  <w:style w:type="character" w:styleId="HTMLAcronym">
    <w:name w:val="HTML Acronym"/>
    <w:basedOn w:val="DefaultParagraphFont"/>
    <w:semiHidden/>
  </w:style>
  <w:style w:type="paragraph" w:styleId="HTMLAddress">
    <w:name w:val="HTML Address"/>
    <w:basedOn w:val="Normal"/>
    <w:link w:val="HTMLAddressChar"/>
    <w:semiHidden/>
    <w:rPr>
      <w:i/>
      <w:iCs/>
    </w:rPr>
  </w:style>
  <w:style w:type="character" w:styleId="HTMLCite">
    <w:name w:val="HTML Cite"/>
    <w:semiHidden/>
    <w:rPr>
      <w:i/>
      <w:iCs/>
    </w:rPr>
  </w:style>
  <w:style w:type="character" w:styleId="HTMLCode">
    <w:name w:val="HTML Code"/>
    <w:semiHidden/>
    <w:rPr>
      <w:rFonts w:ascii="Courier New" w:hAnsi="Courier New" w:cs="Courier New"/>
      <w:sz w:val="20"/>
      <w:szCs w:val="20"/>
    </w:rPr>
  </w:style>
  <w:style w:type="character" w:styleId="HTMLDefinition">
    <w:name w:val="HTML Definition"/>
    <w:semiHidden/>
    <w:rPr>
      <w:i/>
      <w:iCs/>
    </w:rPr>
  </w:style>
  <w:style w:type="character" w:styleId="HTMLKeyboard">
    <w:name w:val="HTML Keyboard"/>
    <w:semiHidden/>
    <w:rPr>
      <w:rFonts w:ascii="Courier New" w:hAnsi="Courier New" w:cs="Courier New"/>
      <w:sz w:val="20"/>
      <w:szCs w:val="20"/>
    </w:rPr>
  </w:style>
  <w:style w:type="paragraph" w:styleId="HTMLPreformatted">
    <w:name w:val="HTML Preformatted"/>
    <w:basedOn w:val="Normal"/>
    <w:link w:val="HTMLPreformattedChar"/>
    <w:semiHidden/>
    <w:rPr>
      <w:rFonts w:ascii="Courier New" w:hAnsi="Courier New" w:cs="Courier New"/>
      <w:sz w:val="20"/>
    </w:rPr>
  </w:style>
  <w:style w:type="character" w:styleId="HTMLSample">
    <w:name w:val="HTML Sample"/>
    <w:semiHidden/>
    <w:rPr>
      <w:rFonts w:ascii="Courier New" w:hAnsi="Courier New" w:cs="Courier New"/>
    </w:rPr>
  </w:style>
  <w:style w:type="character" w:styleId="HTMLTypewriter">
    <w:name w:val="HTML Typewriter"/>
    <w:semiHidden/>
    <w:rPr>
      <w:rFonts w:ascii="Courier New" w:hAnsi="Courier New" w:cs="Courier New"/>
      <w:sz w:val="20"/>
      <w:szCs w:val="20"/>
    </w:rPr>
  </w:style>
  <w:style w:type="character" w:styleId="HTMLVariable">
    <w:name w:val="HTML Variable"/>
    <w:semiHidden/>
    <w:rPr>
      <w:i/>
      <w:iCs/>
    </w:rPr>
  </w:style>
  <w:style w:type="character" w:styleId="Hyperlink">
    <w:name w:val="Hyperlink"/>
    <w:uiPriority w:val="99"/>
    <w:rPr>
      <w:color w:val="0000FF"/>
      <w:u w:val="single"/>
    </w:rPr>
  </w:style>
  <w:style w:type="character" w:styleId="LineNumber">
    <w:name w:val="line number"/>
    <w:basedOn w:val="DefaultParagraphFont"/>
    <w:semiHidden/>
  </w:style>
  <w:style w:type="paragraph" w:styleId="List">
    <w:name w:val="List"/>
    <w:basedOn w:val="Normal"/>
    <w:semiHidden/>
    <w:pPr>
      <w:ind w:left="283" w:hanging="283"/>
    </w:pPr>
  </w:style>
  <w:style w:type="paragraph" w:styleId="List2">
    <w:name w:val="List 2"/>
    <w:basedOn w:val="Normal"/>
    <w:semiHidden/>
    <w:pPr>
      <w:ind w:left="566" w:hanging="283"/>
    </w:pPr>
  </w:style>
  <w:style w:type="paragraph" w:styleId="List3">
    <w:name w:val="List 3"/>
    <w:basedOn w:val="Normal"/>
    <w:semiHidden/>
    <w:pPr>
      <w:ind w:left="849" w:hanging="283"/>
    </w:pPr>
  </w:style>
  <w:style w:type="paragraph" w:styleId="List4">
    <w:name w:val="List 4"/>
    <w:basedOn w:val="Normal"/>
    <w:semiHidden/>
    <w:pPr>
      <w:ind w:left="1132" w:hanging="283"/>
    </w:pPr>
  </w:style>
  <w:style w:type="paragraph" w:styleId="List5">
    <w:name w:val="List 5"/>
    <w:basedOn w:val="Normal"/>
    <w:semiHidden/>
    <w:pPr>
      <w:ind w:left="1415" w:hanging="283"/>
    </w:pPr>
  </w:style>
  <w:style w:type="paragraph" w:styleId="ListBullet">
    <w:name w:val="List Bullet"/>
    <w:basedOn w:val="Normal"/>
    <w:semiHidden/>
    <w:pPr>
      <w:numPr>
        <w:numId w:val="4"/>
      </w:numPr>
    </w:pPr>
  </w:style>
  <w:style w:type="paragraph" w:styleId="ListBullet2">
    <w:name w:val="List Bullet 2"/>
    <w:basedOn w:val="Normal"/>
    <w:semiHidden/>
    <w:pPr>
      <w:numPr>
        <w:numId w:val="5"/>
      </w:numPr>
    </w:pPr>
  </w:style>
  <w:style w:type="paragraph" w:styleId="ListBullet3">
    <w:name w:val="List Bullet 3"/>
    <w:basedOn w:val="Normal"/>
    <w:semiHidden/>
    <w:pPr>
      <w:numPr>
        <w:numId w:val="6"/>
      </w:numPr>
    </w:pPr>
  </w:style>
  <w:style w:type="paragraph" w:styleId="ListBullet4">
    <w:name w:val="List Bullet 4"/>
    <w:basedOn w:val="Normal"/>
    <w:semiHidden/>
    <w:pPr>
      <w:numPr>
        <w:numId w:val="7"/>
      </w:numPr>
    </w:pPr>
  </w:style>
  <w:style w:type="paragraph" w:styleId="ListBullet5">
    <w:name w:val="List Bullet 5"/>
    <w:basedOn w:val="Normal"/>
    <w:semiHidden/>
    <w:pPr>
      <w:numPr>
        <w:numId w:val="8"/>
      </w:numPr>
    </w:pPr>
  </w:style>
  <w:style w:type="paragraph" w:styleId="ListContinue">
    <w:name w:val="List Continue"/>
    <w:basedOn w:val="Normal"/>
    <w:semiHidden/>
    <w:pPr>
      <w:spacing w:after="120"/>
      <w:ind w:left="283"/>
    </w:pPr>
  </w:style>
  <w:style w:type="paragraph" w:styleId="ListContinue2">
    <w:name w:val="List Continue 2"/>
    <w:basedOn w:val="Normal"/>
    <w:semiHidden/>
    <w:pPr>
      <w:spacing w:after="120"/>
      <w:ind w:left="566"/>
    </w:pPr>
  </w:style>
  <w:style w:type="paragraph" w:styleId="ListContinue3">
    <w:name w:val="List Continue 3"/>
    <w:basedOn w:val="Normal"/>
    <w:semiHidden/>
    <w:pPr>
      <w:spacing w:after="120"/>
      <w:ind w:left="849"/>
    </w:pPr>
  </w:style>
  <w:style w:type="paragraph" w:styleId="ListContinue4">
    <w:name w:val="List Continue 4"/>
    <w:basedOn w:val="Normal"/>
    <w:semiHidden/>
    <w:pPr>
      <w:spacing w:after="120"/>
      <w:ind w:left="1132"/>
    </w:pPr>
  </w:style>
  <w:style w:type="paragraph" w:styleId="ListContinue5">
    <w:name w:val="List Continue 5"/>
    <w:basedOn w:val="Normal"/>
    <w:semiHidden/>
    <w:pPr>
      <w:spacing w:after="120"/>
      <w:ind w:left="1415"/>
    </w:pPr>
  </w:style>
  <w:style w:type="paragraph" w:styleId="ListNumber">
    <w:name w:val="List Number"/>
    <w:basedOn w:val="Normal"/>
    <w:semiHidden/>
    <w:pPr>
      <w:numPr>
        <w:numId w:val="9"/>
      </w:numPr>
    </w:pPr>
  </w:style>
  <w:style w:type="paragraph" w:styleId="ListNumber2">
    <w:name w:val="List Number 2"/>
    <w:basedOn w:val="Normal"/>
    <w:semiHidden/>
    <w:pPr>
      <w:numPr>
        <w:numId w:val="10"/>
      </w:numPr>
    </w:pPr>
  </w:style>
  <w:style w:type="paragraph" w:styleId="ListNumber3">
    <w:name w:val="List Number 3"/>
    <w:basedOn w:val="Normal"/>
    <w:semiHidden/>
    <w:pPr>
      <w:numPr>
        <w:numId w:val="11"/>
      </w:numPr>
    </w:pPr>
  </w:style>
  <w:style w:type="paragraph" w:styleId="ListNumber4">
    <w:name w:val="List Number 4"/>
    <w:basedOn w:val="Normal"/>
    <w:semiHidden/>
    <w:pPr>
      <w:numPr>
        <w:numId w:val="12"/>
      </w:numPr>
    </w:pPr>
  </w:style>
  <w:style w:type="paragraph" w:styleId="ListNumber5">
    <w:name w:val="List Number 5"/>
    <w:basedOn w:val="Normal"/>
    <w:semiHidden/>
    <w:pPr>
      <w:numPr>
        <w:numId w:val="13"/>
      </w:numPr>
    </w:pPr>
  </w:style>
  <w:style w:type="paragraph" w:styleId="MessageHeader">
    <w:name w:val="Message Header"/>
    <w:basedOn w:val="Normal"/>
    <w:link w:val="MessageHeaderChar"/>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NormalWeb">
    <w:name w:val="Normal (Web)"/>
    <w:basedOn w:val="Normal"/>
    <w:semiHidden/>
    <w:rPr>
      <w:szCs w:val="24"/>
    </w:rPr>
  </w:style>
  <w:style w:type="paragraph" w:styleId="NormalIndent">
    <w:name w:val="Normal Indent"/>
    <w:basedOn w:val="Normal"/>
    <w:semiHidden/>
    <w:pPr>
      <w:ind w:left="720"/>
    </w:pPr>
  </w:style>
  <w:style w:type="paragraph" w:styleId="NoteHeading">
    <w:name w:val="Note Heading"/>
    <w:basedOn w:val="Normal"/>
    <w:next w:val="Normal"/>
    <w:link w:val="NoteHeadingChar"/>
    <w:semiHidden/>
  </w:style>
  <w:style w:type="character" w:styleId="PageNumber">
    <w:name w:val="page number"/>
    <w:basedOn w:val="DefaultParagraphFont"/>
  </w:style>
  <w:style w:type="paragraph" w:styleId="PlainText">
    <w:name w:val="Plain Text"/>
    <w:basedOn w:val="Normal"/>
    <w:link w:val="PlainTextChar"/>
    <w:rPr>
      <w:rFonts w:ascii="Courier New" w:hAnsi="Courier New" w:cs="Courier New"/>
      <w:sz w:val="20"/>
    </w:rPr>
  </w:style>
  <w:style w:type="paragraph" w:styleId="Salutation">
    <w:name w:val="Salutation"/>
    <w:basedOn w:val="Normal"/>
    <w:next w:val="Normal"/>
    <w:link w:val="SalutationChar"/>
    <w:semiHidden/>
  </w:style>
  <w:style w:type="paragraph" w:styleId="Signature">
    <w:name w:val="Signature"/>
    <w:basedOn w:val="Normal"/>
    <w:link w:val="SignatureChar"/>
    <w:semiHidden/>
    <w:pPr>
      <w:ind w:left="4252"/>
    </w:pPr>
  </w:style>
  <w:style w:type="character" w:styleId="Strong">
    <w:name w:val="Strong"/>
    <w:qFormat/>
    <w:rPr>
      <w:b/>
      <w:bCs/>
    </w:rPr>
  </w:style>
  <w:style w:type="paragraph" w:styleId="Subtitle">
    <w:name w:val="Subtitle"/>
    <w:basedOn w:val="Normal"/>
    <w:link w:val="SubtitleChar"/>
    <w:qFormat/>
    <w:pPr>
      <w:spacing w:after="60"/>
      <w:jc w:val="center"/>
      <w:outlineLvl w:val="1"/>
    </w:pPr>
    <w:rPr>
      <w:rFonts w:ascii="Arial" w:hAnsi="Arial" w:cs="Arial"/>
      <w:szCs w:val="24"/>
    </w:rPr>
  </w:style>
  <w:style w:type="table" w:styleId="Table3Deffects1">
    <w:name w:val="Table 3D effects 1"/>
    <w:basedOn w:val="TableNormal"/>
    <w:semiHidden/>
    <w:pPr>
      <w:spacing w:line="360" w:lineRule="auto"/>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pPr>
      <w:spacing w:line="360" w:lineRule="auto"/>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pPr>
      <w:spacing w:line="360" w:lineRule="auto"/>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pPr>
      <w:spacing w:line="360" w:lineRule="auto"/>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pPr>
      <w:spacing w:line="360" w:lineRule="auto"/>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pPr>
      <w:spacing w:line="360" w:lineRule="auto"/>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pPr>
      <w:spacing w:line="360" w:lineRule="auto"/>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pPr>
      <w:spacing w:line="360" w:lineRule="auto"/>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pPr>
      <w:spacing w:line="360" w:lineRule="auto"/>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pPr>
      <w:spacing w:line="360" w:lineRule="auto"/>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pPr>
      <w:spacing w:line="360" w:lineRule="auto"/>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pPr>
      <w:spacing w:line="360" w:lineRule="auto"/>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pPr>
      <w:spacing w:line="360" w:lineRule="auto"/>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pPr>
      <w:spacing w:line="360" w:lineRule="auto"/>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pPr>
      <w:spacing w:line="360" w:lineRule="auto"/>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pPr>
      <w:spacing w:line="360" w:lineRule="auto"/>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pPr>
      <w:spacing w:line="360" w:lineRule="auto"/>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pPr>
      <w:spacing w:line="360" w:lineRule="auto"/>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pPr>
      <w:spacing w:line="360" w:lineRule="auto"/>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pPr>
      <w:spacing w:line="360" w:lineRule="auto"/>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pPr>
      <w:spacing w:line="360" w:lineRule="auto"/>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pPr>
      <w:spacing w:line="360" w:lineRule="auto"/>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pPr>
      <w:spacing w:line="360" w:lineRule="auto"/>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pPr>
      <w:spacing w:line="360" w:lineRule="auto"/>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pPr>
      <w:spacing w:line="360" w:lineRule="auto"/>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pPr>
      <w:spacing w:line="360" w:lineRule="auto"/>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pPr>
      <w:spacing w:line="360" w:lineRule="auto"/>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pPr>
      <w:spacing w:line="360" w:lineRule="auto"/>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pPr>
      <w:spacing w:line="360" w:lineRule="auto"/>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pPr>
      <w:spacing w:line="360" w:lineRule="auto"/>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pPr>
      <w:spacing w:line="360" w:lineRule="auto"/>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pPr>
      <w:spacing w:line="360" w:lineRule="auto"/>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pPr>
      <w:spacing w:line="360" w:lineRule="auto"/>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pPr>
      <w:spacing w:line="360" w:lineRule="auto"/>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pPr>
      <w:spacing w:line="360" w:lineRule="auto"/>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pPr>
      <w:spacing w:line="36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pPr>
      <w:spacing w:line="360" w:lineRule="auto"/>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pPr>
      <w:spacing w:line="360" w:lineRule="auto"/>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pPr>
      <w:spacing w:line="360" w:lineRule="auto"/>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pPr>
      <w:spacing w:before="240" w:after="60"/>
      <w:jc w:val="center"/>
      <w:outlineLvl w:val="0"/>
    </w:pPr>
    <w:rPr>
      <w:rFonts w:ascii="Arial" w:hAnsi="Arial" w:cs="Arial"/>
      <w:b/>
      <w:bCs/>
      <w:kern w:val="28"/>
      <w:sz w:val="32"/>
      <w:szCs w:val="32"/>
    </w:rPr>
  </w:style>
  <w:style w:type="paragraph" w:customStyle="1" w:styleId="bTOC1">
    <w:name w:val="bTOC 1"/>
    <w:basedOn w:val="TOC1"/>
    <w:semiHidden/>
  </w:style>
  <w:style w:type="paragraph" w:customStyle="1" w:styleId="bTOC2">
    <w:name w:val="bTOC 2"/>
    <w:basedOn w:val="TOC2"/>
    <w:semiHidden/>
  </w:style>
  <w:style w:type="paragraph" w:customStyle="1" w:styleId="bTOC3">
    <w:name w:val="bTOC 3"/>
    <w:basedOn w:val="TOC3"/>
    <w:semiHidden/>
  </w:style>
  <w:style w:type="paragraph" w:customStyle="1" w:styleId="bTOC4">
    <w:name w:val="bTOC 4"/>
    <w:basedOn w:val="TOC4"/>
    <w:semiHidden/>
  </w:style>
  <w:style w:type="paragraph" w:customStyle="1" w:styleId="Counsel">
    <w:name w:val="Counsel"/>
    <w:basedOn w:val="Normal"/>
    <w:pPr>
      <w:widowControl w:val="0"/>
      <w:suppressAutoHyphens/>
      <w:spacing w:line="240" w:lineRule="auto"/>
    </w:pPr>
  </w:style>
  <w:style w:type="character" w:customStyle="1" w:styleId="CertifyChar">
    <w:name w:val="Certify Char"/>
    <w:link w:val="Certify"/>
    <w:rPr>
      <w:sz w:val="24"/>
      <w:szCs w:val="24"/>
      <w:lang w:val="en-AU" w:eastAsia="en-US" w:bidi="ar-SA"/>
    </w:rPr>
  </w:style>
  <w:style w:type="paragraph" w:customStyle="1" w:styleId="fcHeading1">
    <w:name w:val="fcHeading 1"/>
    <w:basedOn w:val="Normal"/>
    <w:next w:val="ParaNumbering"/>
    <w:semiHidden/>
    <w:pPr>
      <w:keepNext/>
      <w:numPr>
        <w:numId w:val="18"/>
      </w:numPr>
      <w:spacing w:before="240" w:after="60" w:line="240" w:lineRule="auto"/>
    </w:pPr>
    <w:rPr>
      <w:b/>
      <w:caps/>
      <w:kern w:val="28"/>
    </w:rPr>
  </w:style>
  <w:style w:type="paragraph" w:customStyle="1" w:styleId="fcHeading2">
    <w:name w:val="fcHeading 2"/>
    <w:basedOn w:val="Normal"/>
    <w:next w:val="ParaNumbering"/>
    <w:semiHidden/>
    <w:pPr>
      <w:keepNext/>
      <w:numPr>
        <w:ilvl w:val="1"/>
        <w:numId w:val="18"/>
      </w:numPr>
      <w:spacing w:before="240" w:after="60" w:line="240" w:lineRule="auto"/>
    </w:pPr>
    <w:rPr>
      <w:b/>
    </w:rPr>
  </w:style>
  <w:style w:type="paragraph" w:customStyle="1" w:styleId="fcHeading3">
    <w:name w:val="fcHeading 3"/>
    <w:basedOn w:val="Normal"/>
    <w:next w:val="ParaNumbering"/>
    <w:semiHidden/>
    <w:pPr>
      <w:keepNext/>
      <w:numPr>
        <w:ilvl w:val="2"/>
        <w:numId w:val="18"/>
      </w:numPr>
      <w:spacing w:before="240" w:after="60" w:line="240" w:lineRule="auto"/>
    </w:pPr>
    <w:rPr>
      <w:b/>
      <w:i/>
    </w:rPr>
  </w:style>
  <w:style w:type="paragraph" w:customStyle="1" w:styleId="fcHeading4">
    <w:name w:val="fcHeading 4"/>
    <w:basedOn w:val="Normal"/>
    <w:next w:val="ParaNumbering"/>
    <w:semiHidden/>
    <w:pPr>
      <w:keepNext/>
      <w:numPr>
        <w:ilvl w:val="3"/>
        <w:numId w:val="18"/>
      </w:numPr>
      <w:spacing w:before="240" w:after="60" w:line="240" w:lineRule="auto"/>
    </w:pPr>
    <w:rPr>
      <w:b/>
      <w:smallCaps/>
    </w:rPr>
  </w:style>
  <w:style w:type="paragraph" w:customStyle="1" w:styleId="fcHeading5">
    <w:name w:val="fcHeading 5"/>
    <w:basedOn w:val="Normal"/>
    <w:next w:val="ParaNumbering"/>
    <w:semiHidden/>
    <w:pPr>
      <w:keepNext/>
      <w:numPr>
        <w:ilvl w:val="4"/>
        <w:numId w:val="18"/>
      </w:numPr>
      <w:spacing w:before="240" w:after="60" w:line="240" w:lineRule="auto"/>
    </w:pPr>
    <w:rPr>
      <w:b/>
      <w:caps/>
    </w:rPr>
  </w:style>
  <w:style w:type="paragraph" w:customStyle="1" w:styleId="FTOC5">
    <w:name w:val="FTOC 5"/>
    <w:basedOn w:val="Normal"/>
    <w:semiHidden/>
    <w:pPr>
      <w:tabs>
        <w:tab w:val="right" w:leader="dot" w:pos="9072"/>
      </w:tabs>
      <w:spacing w:before="240" w:after="60" w:line="240" w:lineRule="auto"/>
      <w:ind w:left="709" w:hanging="709"/>
    </w:pPr>
    <w:rPr>
      <w:b/>
      <w:caps/>
      <w:kern w:val="28"/>
    </w:rPr>
  </w:style>
  <w:style w:type="paragraph" w:customStyle="1" w:styleId="FTOC6">
    <w:name w:val="FTOC 6"/>
    <w:basedOn w:val="Normal"/>
    <w:semiHidden/>
    <w:pPr>
      <w:tabs>
        <w:tab w:val="right" w:leader="dot" w:pos="9072"/>
      </w:tabs>
      <w:spacing w:before="240" w:after="60" w:line="240" w:lineRule="auto"/>
      <w:ind w:left="1418" w:hanging="709"/>
    </w:pPr>
    <w:rPr>
      <w:b/>
    </w:rPr>
  </w:style>
  <w:style w:type="paragraph" w:customStyle="1" w:styleId="FTOC7">
    <w:name w:val="FTOC 7"/>
    <w:basedOn w:val="Normal"/>
    <w:semiHidden/>
    <w:pPr>
      <w:keepNext/>
      <w:tabs>
        <w:tab w:val="right" w:leader="dot" w:pos="9072"/>
      </w:tabs>
      <w:spacing w:before="240" w:after="60" w:line="240" w:lineRule="auto"/>
      <w:ind w:left="2127" w:hanging="709"/>
    </w:pPr>
    <w:rPr>
      <w:b/>
      <w:i/>
    </w:rPr>
  </w:style>
  <w:style w:type="paragraph" w:customStyle="1" w:styleId="FTOC8">
    <w:name w:val="FTOC 8"/>
    <w:basedOn w:val="Normal"/>
    <w:semiHidden/>
    <w:pPr>
      <w:keepNext/>
      <w:tabs>
        <w:tab w:val="right" w:leader="dot" w:pos="9072"/>
      </w:tabs>
      <w:spacing w:before="240" w:after="60" w:line="240" w:lineRule="auto"/>
      <w:ind w:left="3260" w:hanging="1134"/>
    </w:pPr>
    <w:rPr>
      <w:b/>
      <w:smallCaps/>
    </w:rPr>
  </w:style>
  <w:style w:type="paragraph" w:customStyle="1" w:styleId="FTOC9">
    <w:name w:val="FTOC 9"/>
    <w:basedOn w:val="Normal"/>
    <w:semiHidden/>
    <w:pPr>
      <w:keepNext/>
      <w:tabs>
        <w:tab w:val="right" w:leader="dot" w:pos="9072"/>
      </w:tabs>
      <w:spacing w:before="240" w:after="60" w:line="240" w:lineRule="auto"/>
      <w:ind w:left="3969" w:hanging="1134"/>
    </w:pPr>
    <w:rPr>
      <w:b/>
      <w:caps/>
    </w:rPr>
  </w:style>
  <w:style w:type="paragraph" w:customStyle="1" w:styleId="bTOC5">
    <w:name w:val="bTOC 5"/>
    <w:basedOn w:val="Normal"/>
    <w:pPr>
      <w:keepNext/>
      <w:tabs>
        <w:tab w:val="right" w:leader="dot" w:pos="9072"/>
      </w:tabs>
      <w:spacing w:before="240" w:after="60" w:line="240" w:lineRule="auto"/>
      <w:ind w:left="709" w:hanging="709"/>
    </w:pPr>
  </w:style>
  <w:style w:type="paragraph" w:customStyle="1" w:styleId="bTOC6">
    <w:name w:val="bTOC 6"/>
    <w:basedOn w:val="Normal"/>
    <w:pPr>
      <w:keepNext/>
      <w:tabs>
        <w:tab w:val="right" w:leader="dot" w:pos="9072"/>
      </w:tabs>
      <w:spacing w:before="240" w:after="60" w:line="240" w:lineRule="auto"/>
      <w:ind w:left="1418" w:hanging="709"/>
    </w:pPr>
  </w:style>
  <w:style w:type="paragraph" w:customStyle="1" w:styleId="bTOC7">
    <w:name w:val="bTOC 7"/>
    <w:basedOn w:val="Normal"/>
    <w:pPr>
      <w:keepNext/>
      <w:tabs>
        <w:tab w:val="right" w:leader="dot" w:pos="9072"/>
      </w:tabs>
      <w:spacing w:before="240" w:after="60" w:line="240" w:lineRule="auto"/>
      <w:ind w:left="2127" w:hanging="709"/>
    </w:pPr>
  </w:style>
  <w:style w:type="paragraph" w:customStyle="1" w:styleId="bTOC8">
    <w:name w:val="bTOC 8"/>
    <w:basedOn w:val="Normal"/>
    <w:pPr>
      <w:keepNext/>
      <w:tabs>
        <w:tab w:val="right" w:leader="dot" w:pos="9072"/>
      </w:tabs>
      <w:spacing w:before="240" w:after="60" w:line="240" w:lineRule="auto"/>
      <w:ind w:left="3260" w:hanging="1134"/>
    </w:pPr>
  </w:style>
  <w:style w:type="paragraph" w:customStyle="1" w:styleId="bTOC9">
    <w:name w:val="bTOC 9"/>
    <w:basedOn w:val="Normal"/>
    <w:pPr>
      <w:keepNext/>
      <w:tabs>
        <w:tab w:val="right" w:leader="dot" w:pos="9072"/>
      </w:tabs>
      <w:spacing w:before="240" w:after="60" w:line="240" w:lineRule="auto"/>
      <w:ind w:left="3969" w:hanging="1134"/>
    </w:pPr>
  </w:style>
  <w:style w:type="character" w:customStyle="1" w:styleId="Heading5Char">
    <w:name w:val="Heading 5 Char"/>
    <w:basedOn w:val="DefaultParagraphFont"/>
    <w:link w:val="Heading5"/>
    <w:rsid w:val="00C655BD"/>
    <w:rPr>
      <w:b/>
      <w:caps/>
      <w:kern w:val="28"/>
      <w:sz w:val="24"/>
      <w:lang w:eastAsia="en-US"/>
    </w:rPr>
  </w:style>
  <w:style w:type="paragraph" w:customStyle="1" w:styleId="Numberedpara">
    <w:name w:val="Numbered para"/>
    <w:rsid w:val="00314A32"/>
    <w:pPr>
      <w:tabs>
        <w:tab w:val="num" w:pos="567"/>
      </w:tabs>
      <w:spacing w:after="120"/>
      <w:ind w:left="567" w:hanging="567"/>
      <w:jc w:val="both"/>
    </w:pPr>
    <w:rPr>
      <w:rFonts w:ascii="Arial" w:eastAsia="Times New Roman" w:hAnsi="Arial"/>
      <w:sz w:val="24"/>
      <w:lang w:eastAsia="en-US"/>
    </w:rPr>
  </w:style>
  <w:style w:type="paragraph" w:styleId="FootnoteText">
    <w:name w:val="footnote text"/>
    <w:basedOn w:val="Normal"/>
    <w:link w:val="FootnoteTextChar"/>
    <w:rsid w:val="00314A32"/>
    <w:pPr>
      <w:spacing w:line="240" w:lineRule="auto"/>
      <w:jc w:val="left"/>
    </w:pPr>
    <w:rPr>
      <w:rFonts w:ascii="Arial" w:eastAsia="Times New Roman" w:hAnsi="Arial"/>
      <w:sz w:val="20"/>
    </w:rPr>
  </w:style>
  <w:style w:type="character" w:customStyle="1" w:styleId="FootnoteTextChar">
    <w:name w:val="Footnote Text Char"/>
    <w:basedOn w:val="DefaultParagraphFont"/>
    <w:link w:val="FootnoteText"/>
    <w:rsid w:val="00314A32"/>
    <w:rPr>
      <w:rFonts w:ascii="Arial" w:eastAsia="Times New Roman" w:hAnsi="Arial"/>
      <w:lang w:eastAsia="en-US"/>
    </w:rPr>
  </w:style>
  <w:style w:type="character" w:styleId="FootnoteReference">
    <w:name w:val="footnote reference"/>
    <w:rsid w:val="00314A32"/>
    <w:rPr>
      <w:vertAlign w:val="superscript"/>
    </w:rPr>
  </w:style>
  <w:style w:type="paragraph" w:styleId="Revision">
    <w:name w:val="Revision"/>
    <w:hidden/>
    <w:uiPriority w:val="99"/>
    <w:semiHidden/>
    <w:rsid w:val="00314A32"/>
    <w:rPr>
      <w:rFonts w:ascii="Arial" w:eastAsia="Times New Roman" w:hAnsi="Arial"/>
      <w:sz w:val="22"/>
      <w:szCs w:val="24"/>
      <w:lang w:eastAsia="en-US"/>
    </w:rPr>
  </w:style>
  <w:style w:type="character" w:customStyle="1" w:styleId="FooterChar">
    <w:name w:val="Footer Char"/>
    <w:link w:val="Footer"/>
    <w:rsid w:val="00314A32"/>
    <w:rPr>
      <w:sz w:val="24"/>
      <w:lang w:eastAsia="en-US"/>
    </w:rPr>
  </w:style>
  <w:style w:type="character" w:customStyle="1" w:styleId="Heading2Char">
    <w:name w:val="Heading 2 Char"/>
    <w:link w:val="Heading2"/>
    <w:rsid w:val="00314A32"/>
    <w:rPr>
      <w:b/>
      <w:sz w:val="24"/>
      <w:szCs w:val="24"/>
      <w:lang w:eastAsia="en-US"/>
    </w:rPr>
  </w:style>
  <w:style w:type="paragraph" w:customStyle="1" w:styleId="Default">
    <w:name w:val="Default"/>
    <w:rsid w:val="00314A32"/>
    <w:pPr>
      <w:autoSpaceDE w:val="0"/>
      <w:autoSpaceDN w:val="0"/>
      <w:adjustRightInd w:val="0"/>
    </w:pPr>
    <w:rPr>
      <w:rFonts w:ascii="Garamond" w:eastAsia="Times New Roman" w:hAnsi="Garamond" w:cs="Garamond"/>
      <w:color w:val="000000"/>
      <w:sz w:val="24"/>
      <w:szCs w:val="24"/>
    </w:rPr>
  </w:style>
  <w:style w:type="paragraph" w:customStyle="1" w:styleId="Regulations">
    <w:name w:val="Regulations"/>
    <w:rsid w:val="00314A32"/>
    <w:pPr>
      <w:tabs>
        <w:tab w:val="left" w:pos="-720"/>
      </w:tabs>
      <w:suppressAutoHyphens/>
      <w:spacing w:line="360" w:lineRule="auto"/>
    </w:pPr>
    <w:rPr>
      <w:rFonts w:ascii="Univers" w:eastAsia="Times New Roman" w:hAnsi="Univers"/>
      <w:b/>
      <w:sz w:val="24"/>
      <w:lang w:val="en-US" w:eastAsia="en-US"/>
    </w:rPr>
  </w:style>
  <w:style w:type="paragraph" w:customStyle="1" w:styleId="Normal1">
    <w:name w:val="Normal1"/>
    <w:rsid w:val="00314A32"/>
    <w:pPr>
      <w:tabs>
        <w:tab w:val="left" w:pos="-21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8298"/>
        <w:tab w:val="left" w:pos="8862"/>
        <w:tab w:val="left" w:pos="9432"/>
        <w:tab w:val="left" w:pos="9996"/>
      </w:tabs>
      <w:suppressAutoHyphens/>
    </w:pPr>
    <w:rPr>
      <w:rFonts w:ascii="Univers" w:eastAsia="Times New Roman" w:hAnsi="Univers"/>
      <w:sz w:val="24"/>
      <w:lang w:val="en-US" w:eastAsia="en-US"/>
    </w:rPr>
  </w:style>
  <w:style w:type="paragraph" w:customStyle="1" w:styleId="Footer1">
    <w:name w:val="Footer1"/>
    <w:rsid w:val="00314A32"/>
    <w:pPr>
      <w:tabs>
        <w:tab w:val="center" w:pos="3960"/>
        <w:tab w:val="left" w:pos="6234"/>
        <w:tab w:val="left" w:pos="6804"/>
        <w:tab w:val="left" w:pos="7368"/>
        <w:tab w:val="right" w:pos="7560"/>
        <w:tab w:val="left" w:pos="7938"/>
        <w:tab w:val="left" w:pos="8502"/>
        <w:tab w:val="left" w:pos="9072"/>
      </w:tabs>
      <w:suppressAutoHyphens/>
    </w:pPr>
    <w:rPr>
      <w:rFonts w:ascii="Book Antiqua" w:eastAsia="Times New Roman" w:hAnsi="Book Antiqua"/>
      <w:color w:val="000000"/>
      <w:sz w:val="12"/>
      <w:lang w:val="en-US" w:eastAsia="en-US"/>
    </w:rPr>
  </w:style>
  <w:style w:type="paragraph" w:customStyle="1" w:styleId="Header1">
    <w:name w:val="Header1"/>
    <w:rsid w:val="00314A32"/>
    <w:pPr>
      <w:tabs>
        <w:tab w:val="center" w:pos="4326"/>
        <w:tab w:val="left" w:pos="7368"/>
        <w:tab w:val="left" w:pos="7938"/>
        <w:tab w:val="left" w:pos="8502"/>
        <w:tab w:val="right" w:pos="8862"/>
        <w:tab w:val="left" w:pos="9072"/>
      </w:tabs>
      <w:suppressAutoHyphens/>
    </w:pPr>
    <w:rPr>
      <w:rFonts w:ascii="Book Antiqua" w:eastAsia="Times New Roman" w:hAnsi="Book Antiqua"/>
      <w:color w:val="000000"/>
      <w:sz w:val="26"/>
      <w:lang w:val="en-US" w:eastAsia="en-US"/>
    </w:rPr>
  </w:style>
  <w:style w:type="paragraph" w:customStyle="1" w:styleId="PostScript">
    <w:name w:val="PostScript"/>
    <w:rsid w:val="00314A32"/>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pPr>
    <w:rPr>
      <w:rFonts w:ascii="Book Antiqua" w:eastAsia="Times New Roman" w:hAnsi="Book Antiqua"/>
      <w:b/>
      <w:color w:val="000000"/>
      <w:sz w:val="24"/>
      <w:lang w:val="en-US" w:eastAsia="en-US"/>
    </w:rPr>
  </w:style>
  <w:style w:type="character" w:customStyle="1" w:styleId="HR">
    <w:name w:val="HR"/>
    <w:rsid w:val="00314A32"/>
    <w:rPr>
      <w:rFonts w:ascii="Univers" w:hAnsi="Univers"/>
      <w:noProof w:val="0"/>
      <w:sz w:val="24"/>
      <w:lang w:val="en-US"/>
    </w:rPr>
  </w:style>
  <w:style w:type="character" w:customStyle="1" w:styleId="R2">
    <w:name w:val="R2"/>
    <w:rsid w:val="00314A32"/>
    <w:rPr>
      <w:rFonts w:ascii="Univers" w:hAnsi="Univers"/>
      <w:noProof w:val="0"/>
      <w:sz w:val="24"/>
      <w:lang w:val="en-US"/>
    </w:rPr>
  </w:style>
  <w:style w:type="paragraph" w:customStyle="1" w:styleId="P1">
    <w:name w:val="P1"/>
    <w:rsid w:val="00314A32"/>
    <w:pPr>
      <w:tabs>
        <w:tab w:val="left" w:pos="354"/>
        <w:tab w:val="right" w:pos="1440"/>
        <w:tab w:val="left" w:pos="1632"/>
        <w:tab w:val="left" w:pos="1698"/>
        <w:tab w:val="left" w:pos="2268"/>
        <w:tab w:val="left" w:pos="2832"/>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paragraph" w:customStyle="1" w:styleId="P2">
    <w:name w:val="P2"/>
    <w:rsid w:val="00314A32"/>
    <w:pPr>
      <w:tabs>
        <w:tab w:val="left" w:pos="360"/>
        <w:tab w:val="right" w:pos="2160"/>
        <w:tab w:val="left" w:pos="2268"/>
        <w:tab w:val="left" w:pos="2340"/>
        <w:tab w:val="left" w:pos="2832"/>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paragraph" w:customStyle="1" w:styleId="P3">
    <w:name w:val="P3"/>
    <w:rsid w:val="00314A32"/>
    <w:pPr>
      <w:tabs>
        <w:tab w:val="left" w:pos="360"/>
        <w:tab w:val="left" w:pos="2832"/>
        <w:tab w:val="right" w:pos="2880"/>
        <w:tab w:val="left" w:pos="3060"/>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character" w:customStyle="1" w:styleId="HP">
    <w:name w:val="HP"/>
    <w:rsid w:val="00314A32"/>
    <w:rPr>
      <w:rFonts w:ascii="Univers" w:hAnsi="Univers"/>
      <w:noProof w:val="0"/>
      <w:sz w:val="24"/>
      <w:lang w:val="en-US"/>
    </w:rPr>
  </w:style>
  <w:style w:type="paragraph" w:customStyle="1" w:styleId="Body">
    <w:name w:val="Body"/>
    <w:rsid w:val="00314A32"/>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spacing w:line="259" w:lineRule="auto"/>
    </w:pPr>
    <w:rPr>
      <w:rFonts w:ascii="Book Antiqua" w:eastAsia="Times New Roman" w:hAnsi="Book Antiqua"/>
      <w:color w:val="000000"/>
      <w:sz w:val="26"/>
      <w:lang w:val="en-US" w:eastAsia="en-US"/>
    </w:rPr>
  </w:style>
  <w:style w:type="character" w:customStyle="1" w:styleId="SL">
    <w:name w:val="SL"/>
    <w:rsid w:val="00314A32"/>
    <w:rPr>
      <w:rFonts w:ascii="Univers" w:hAnsi="Univers"/>
      <w:noProof w:val="0"/>
      <w:sz w:val="24"/>
      <w:lang w:val="en-US"/>
    </w:rPr>
  </w:style>
  <w:style w:type="character" w:customStyle="1" w:styleId="SR">
    <w:name w:val="SR"/>
    <w:rsid w:val="00314A32"/>
    <w:rPr>
      <w:rFonts w:ascii="Univers" w:hAnsi="Univers"/>
      <w:noProof w:val="0"/>
      <w:sz w:val="24"/>
      <w:lang w:val="en-US"/>
    </w:rPr>
  </w:style>
  <w:style w:type="paragraph" w:customStyle="1" w:styleId="Rc">
    <w:name w:val="Rc"/>
    <w:rsid w:val="00314A32"/>
    <w:pPr>
      <w:tabs>
        <w:tab w:val="left" w:pos="924"/>
        <w:tab w:val="right" w:pos="1440"/>
        <w:tab w:val="left" w:pos="1494"/>
        <w:tab w:val="left" w:pos="1620"/>
        <w:tab w:val="left" w:pos="2058"/>
        <w:tab w:val="left" w:pos="2160"/>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pPr>
    <w:rPr>
      <w:rFonts w:ascii="Book Antiqua" w:eastAsia="Times New Roman" w:hAnsi="Book Antiqua"/>
      <w:sz w:val="24"/>
      <w:lang w:val="en-US" w:eastAsia="en-US"/>
    </w:rPr>
  </w:style>
  <w:style w:type="paragraph" w:customStyle="1" w:styleId="NoteEnd">
    <w:name w:val="Note End"/>
    <w:rsid w:val="00314A32"/>
    <w:pPr>
      <w:tabs>
        <w:tab w:val="left" w:pos="360"/>
        <w:tab w:val="left" w:pos="72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pPr>
    <w:rPr>
      <w:rFonts w:ascii="Book Antiqua" w:eastAsia="Times New Roman" w:hAnsi="Book Antiqua"/>
      <w:color w:val="000000"/>
      <w:sz w:val="22"/>
      <w:lang w:val="en-US" w:eastAsia="en-US"/>
    </w:rPr>
  </w:style>
  <w:style w:type="paragraph" w:customStyle="1" w:styleId="R1">
    <w:name w:val="R1"/>
    <w:rsid w:val="00314A32"/>
    <w:pPr>
      <w:tabs>
        <w:tab w:val="right" w:pos="1440"/>
        <w:tab w:val="left" w:pos="1620"/>
        <w:tab w:val="left" w:pos="2160"/>
        <w:tab w:val="left" w:pos="2268"/>
        <w:tab w:val="left" w:pos="2832"/>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pPr>
    <w:rPr>
      <w:rFonts w:ascii="Book Antiqua" w:eastAsia="Times New Roman" w:hAnsi="Book Antiqua"/>
      <w:color w:val="000000"/>
      <w:sz w:val="26"/>
      <w:lang w:val="en-US" w:eastAsia="en-US"/>
    </w:rPr>
  </w:style>
  <w:style w:type="character" w:customStyle="1" w:styleId="HD">
    <w:name w:val="HD"/>
    <w:rsid w:val="00314A32"/>
    <w:rPr>
      <w:rFonts w:ascii="Univers" w:hAnsi="Univers"/>
      <w:noProof w:val="0"/>
      <w:sz w:val="24"/>
      <w:lang w:val="en-US"/>
    </w:rPr>
  </w:style>
  <w:style w:type="paragraph" w:customStyle="1" w:styleId="P4">
    <w:name w:val="P4"/>
    <w:rsid w:val="00314A32"/>
    <w:pPr>
      <w:tabs>
        <w:tab w:val="left" w:pos="360"/>
        <w:tab w:val="left" w:pos="3402"/>
        <w:tab w:val="right" w:pos="3600"/>
        <w:tab w:val="left" w:pos="3780"/>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character" w:customStyle="1" w:styleId="A3">
    <w:name w:val="A3"/>
    <w:rsid w:val="00314A32"/>
    <w:rPr>
      <w:rFonts w:ascii="Univers" w:hAnsi="Univers"/>
      <w:noProof w:val="0"/>
      <w:sz w:val="24"/>
      <w:lang w:val="en-US"/>
    </w:rPr>
  </w:style>
  <w:style w:type="character" w:customStyle="1" w:styleId="A1">
    <w:name w:val="A1"/>
    <w:rsid w:val="00314A32"/>
    <w:rPr>
      <w:rFonts w:ascii="Univers" w:hAnsi="Univers"/>
      <w:noProof w:val="0"/>
      <w:sz w:val="24"/>
      <w:lang w:val="en-US"/>
    </w:rPr>
  </w:style>
  <w:style w:type="paragraph" w:customStyle="1" w:styleId="A2">
    <w:name w:val="A2"/>
    <w:rsid w:val="00314A32"/>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spacing w:line="259" w:lineRule="auto"/>
    </w:pPr>
    <w:rPr>
      <w:rFonts w:ascii="Book Antiqua" w:eastAsia="Times New Roman" w:hAnsi="Book Antiqua"/>
      <w:color w:val="000000"/>
      <w:sz w:val="26"/>
      <w:lang w:val="en-US" w:eastAsia="en-US"/>
    </w:rPr>
  </w:style>
  <w:style w:type="character" w:customStyle="1" w:styleId="NoteBody">
    <w:name w:val="Note Body"/>
    <w:rsid w:val="00314A32"/>
    <w:rPr>
      <w:rFonts w:ascii="Univers" w:hAnsi="Univers"/>
      <w:noProof w:val="0"/>
      <w:sz w:val="24"/>
      <w:lang w:val="en-US"/>
    </w:rPr>
  </w:style>
  <w:style w:type="character" w:customStyle="1" w:styleId="Paragraph">
    <w:name w:val="Paragraph"/>
    <w:rsid w:val="00314A32"/>
    <w:rPr>
      <w:rFonts w:ascii="Univers" w:hAnsi="Univers"/>
      <w:noProof w:val="0"/>
      <w:sz w:val="24"/>
      <w:lang w:val="en-US"/>
    </w:rPr>
  </w:style>
  <w:style w:type="paragraph" w:customStyle="1" w:styleId="Letterhead">
    <w:name w:val="Letterhead"/>
    <w:rsid w:val="00314A32"/>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jc w:val="right"/>
    </w:pPr>
    <w:rPr>
      <w:rFonts w:ascii="Book Antiqua" w:eastAsia="Times New Roman" w:hAnsi="Book Antiqua"/>
      <w:color w:val="000000"/>
      <w:sz w:val="32"/>
      <w:lang w:val="en-US" w:eastAsia="en-US"/>
    </w:rPr>
  </w:style>
  <w:style w:type="character" w:customStyle="1" w:styleId="i1">
    <w:name w:val="i1"/>
    <w:rsid w:val="00314A32"/>
    <w:rPr>
      <w:rFonts w:ascii="Univers" w:hAnsi="Univers"/>
      <w:noProof w:val="0"/>
      <w:sz w:val="24"/>
      <w:lang w:val="en-US"/>
    </w:rPr>
  </w:style>
  <w:style w:type="character" w:customStyle="1" w:styleId="Heading">
    <w:name w:val="Heading"/>
    <w:rsid w:val="00314A32"/>
    <w:rPr>
      <w:rFonts w:ascii="Univers" w:hAnsi="Univers"/>
      <w:noProof w:val="0"/>
      <w:sz w:val="24"/>
      <w:lang w:val="en-US"/>
    </w:rPr>
  </w:style>
  <w:style w:type="character" w:customStyle="1" w:styleId="i2">
    <w:name w:val="i2"/>
    <w:rsid w:val="00314A32"/>
    <w:rPr>
      <w:rFonts w:ascii="Univers" w:hAnsi="Univers"/>
      <w:noProof w:val="0"/>
      <w:sz w:val="24"/>
      <w:lang w:val="en-US"/>
    </w:rPr>
  </w:style>
  <w:style w:type="character" w:customStyle="1" w:styleId="i3">
    <w:name w:val="i3"/>
    <w:rsid w:val="00314A32"/>
    <w:rPr>
      <w:rFonts w:ascii="Univers" w:hAnsi="Univers"/>
      <w:noProof w:val="0"/>
      <w:sz w:val="24"/>
      <w:lang w:val="en-US"/>
    </w:rPr>
  </w:style>
  <w:style w:type="character" w:customStyle="1" w:styleId="i4">
    <w:name w:val="i4"/>
    <w:rsid w:val="00314A32"/>
    <w:rPr>
      <w:rFonts w:ascii="Univers" w:hAnsi="Univers"/>
      <w:noProof w:val="0"/>
      <w:sz w:val="24"/>
      <w:lang w:val="en-US"/>
    </w:rPr>
  </w:style>
  <w:style w:type="character" w:customStyle="1" w:styleId="Quotation">
    <w:name w:val="Quotation"/>
    <w:rsid w:val="00314A32"/>
    <w:rPr>
      <w:rFonts w:ascii="Univers" w:hAnsi="Univers"/>
      <w:noProof w:val="0"/>
      <w:sz w:val="24"/>
      <w:lang w:val="en-US"/>
    </w:rPr>
  </w:style>
  <w:style w:type="character" w:customStyle="1" w:styleId="Formpara">
    <w:name w:val="Form para"/>
    <w:rsid w:val="00314A32"/>
    <w:rPr>
      <w:rFonts w:ascii="Univers" w:hAnsi="Univers"/>
      <w:noProof w:val="0"/>
      <w:sz w:val="24"/>
      <w:lang w:val="en-US"/>
    </w:rPr>
  </w:style>
  <w:style w:type="character" w:customStyle="1" w:styleId="TitleChar">
    <w:name w:val="Title Char"/>
    <w:link w:val="Title"/>
    <w:rsid w:val="00314A32"/>
    <w:rPr>
      <w:rFonts w:ascii="Arial" w:hAnsi="Arial" w:cs="Arial"/>
      <w:b/>
      <w:bCs/>
      <w:kern w:val="28"/>
      <w:sz w:val="32"/>
      <w:szCs w:val="32"/>
      <w:lang w:eastAsia="en-US"/>
    </w:rPr>
  </w:style>
  <w:style w:type="character" w:customStyle="1" w:styleId="Document8">
    <w:name w:val="Document 8"/>
    <w:rsid w:val="00314A32"/>
  </w:style>
  <w:style w:type="character" w:customStyle="1" w:styleId="Document4">
    <w:name w:val="Document 4"/>
    <w:rsid w:val="00314A32"/>
    <w:rPr>
      <w:b/>
      <w:i/>
      <w:sz w:val="24"/>
    </w:rPr>
  </w:style>
  <w:style w:type="character" w:customStyle="1" w:styleId="Document6">
    <w:name w:val="Document 6"/>
    <w:rsid w:val="00314A32"/>
  </w:style>
  <w:style w:type="character" w:customStyle="1" w:styleId="Document5">
    <w:name w:val="Document 5"/>
    <w:rsid w:val="00314A32"/>
  </w:style>
  <w:style w:type="character" w:customStyle="1" w:styleId="Document2">
    <w:name w:val="Document 2"/>
    <w:rsid w:val="00314A32"/>
    <w:rPr>
      <w:rFonts w:ascii="Univers" w:hAnsi="Univers"/>
      <w:noProof w:val="0"/>
      <w:sz w:val="24"/>
      <w:lang w:val="en-US"/>
    </w:rPr>
  </w:style>
  <w:style w:type="character" w:customStyle="1" w:styleId="Document7">
    <w:name w:val="Document 7"/>
    <w:rsid w:val="00314A32"/>
  </w:style>
  <w:style w:type="character" w:customStyle="1" w:styleId="Bibliogrphy">
    <w:name w:val="Bibliogrphy"/>
    <w:rsid w:val="00314A32"/>
  </w:style>
  <w:style w:type="paragraph" w:customStyle="1" w:styleId="RightPar1">
    <w:name w:val="Right Par 1"/>
    <w:rsid w:val="00314A32"/>
    <w:pPr>
      <w:tabs>
        <w:tab w:val="left" w:pos="-720"/>
        <w:tab w:val="left" w:pos="0"/>
        <w:tab w:val="decimal" w:pos="720"/>
      </w:tabs>
      <w:suppressAutoHyphens/>
      <w:ind w:left="720" w:hanging="432"/>
    </w:pPr>
    <w:rPr>
      <w:rFonts w:ascii="Univers" w:eastAsia="Times New Roman" w:hAnsi="Univers"/>
      <w:sz w:val="24"/>
      <w:lang w:val="en-US" w:eastAsia="en-US"/>
    </w:rPr>
  </w:style>
  <w:style w:type="paragraph" w:customStyle="1" w:styleId="RightPar2">
    <w:name w:val="Right Par 2"/>
    <w:rsid w:val="00314A32"/>
    <w:pPr>
      <w:tabs>
        <w:tab w:val="left" w:pos="-720"/>
        <w:tab w:val="left" w:pos="0"/>
        <w:tab w:val="left" w:pos="720"/>
        <w:tab w:val="decimal" w:pos="1440"/>
      </w:tabs>
      <w:suppressAutoHyphens/>
      <w:ind w:left="1440" w:hanging="432"/>
    </w:pPr>
    <w:rPr>
      <w:rFonts w:ascii="Univers" w:eastAsia="Times New Roman" w:hAnsi="Univers"/>
      <w:sz w:val="24"/>
      <w:lang w:val="en-US" w:eastAsia="en-US"/>
    </w:rPr>
  </w:style>
  <w:style w:type="character" w:customStyle="1" w:styleId="Document3">
    <w:name w:val="Document 3"/>
    <w:rsid w:val="00314A32"/>
    <w:rPr>
      <w:rFonts w:ascii="Univers" w:hAnsi="Univers"/>
      <w:noProof w:val="0"/>
      <w:sz w:val="24"/>
      <w:lang w:val="en-US"/>
    </w:rPr>
  </w:style>
  <w:style w:type="paragraph" w:customStyle="1" w:styleId="RightPar3">
    <w:name w:val="Right Par 3"/>
    <w:rsid w:val="00314A32"/>
    <w:pPr>
      <w:tabs>
        <w:tab w:val="left" w:pos="-720"/>
        <w:tab w:val="left" w:pos="0"/>
        <w:tab w:val="left" w:pos="720"/>
        <w:tab w:val="left" w:pos="1440"/>
        <w:tab w:val="decimal" w:pos="2160"/>
      </w:tabs>
      <w:suppressAutoHyphens/>
      <w:ind w:left="2160" w:hanging="432"/>
    </w:pPr>
    <w:rPr>
      <w:rFonts w:ascii="Univers" w:eastAsia="Times New Roman" w:hAnsi="Univers"/>
      <w:sz w:val="24"/>
      <w:lang w:val="en-US" w:eastAsia="en-US"/>
    </w:rPr>
  </w:style>
  <w:style w:type="paragraph" w:customStyle="1" w:styleId="RightPar4">
    <w:name w:val="Right Par 4"/>
    <w:rsid w:val="00314A32"/>
    <w:pPr>
      <w:tabs>
        <w:tab w:val="left" w:pos="-720"/>
        <w:tab w:val="left" w:pos="0"/>
        <w:tab w:val="left" w:pos="720"/>
        <w:tab w:val="left" w:pos="1440"/>
        <w:tab w:val="left" w:pos="2160"/>
        <w:tab w:val="decimal" w:pos="2880"/>
      </w:tabs>
      <w:suppressAutoHyphens/>
      <w:ind w:left="2880" w:hanging="432"/>
    </w:pPr>
    <w:rPr>
      <w:rFonts w:ascii="Univers" w:eastAsia="Times New Roman" w:hAnsi="Univers"/>
      <w:sz w:val="24"/>
      <w:lang w:val="en-US" w:eastAsia="en-US"/>
    </w:rPr>
  </w:style>
  <w:style w:type="paragraph" w:customStyle="1" w:styleId="RightPar5">
    <w:name w:val="Right Par 5"/>
    <w:rsid w:val="00314A32"/>
    <w:pPr>
      <w:tabs>
        <w:tab w:val="left" w:pos="-720"/>
        <w:tab w:val="left" w:pos="0"/>
        <w:tab w:val="left" w:pos="720"/>
        <w:tab w:val="left" w:pos="1440"/>
        <w:tab w:val="left" w:pos="2160"/>
        <w:tab w:val="left" w:pos="2880"/>
        <w:tab w:val="decimal" w:pos="3600"/>
      </w:tabs>
      <w:suppressAutoHyphens/>
      <w:ind w:left="3600" w:hanging="576"/>
    </w:pPr>
    <w:rPr>
      <w:rFonts w:ascii="Univers" w:eastAsia="Times New Roman" w:hAnsi="Univers"/>
      <w:sz w:val="24"/>
      <w:lang w:val="en-US" w:eastAsia="en-US"/>
    </w:rPr>
  </w:style>
  <w:style w:type="paragraph" w:customStyle="1" w:styleId="RightPar6">
    <w:name w:val="Right Par 6"/>
    <w:rsid w:val="00314A32"/>
    <w:pPr>
      <w:tabs>
        <w:tab w:val="left" w:pos="-720"/>
        <w:tab w:val="left" w:pos="0"/>
        <w:tab w:val="left" w:pos="720"/>
        <w:tab w:val="left" w:pos="1440"/>
        <w:tab w:val="left" w:pos="2160"/>
        <w:tab w:val="left" w:pos="2880"/>
        <w:tab w:val="left" w:pos="3600"/>
        <w:tab w:val="decimal" w:pos="4320"/>
      </w:tabs>
      <w:suppressAutoHyphens/>
      <w:ind w:left="4320" w:hanging="576"/>
    </w:pPr>
    <w:rPr>
      <w:rFonts w:ascii="Univers" w:eastAsia="Times New Roman" w:hAnsi="Univers"/>
      <w:sz w:val="24"/>
      <w:lang w:val="en-US" w:eastAsia="en-US"/>
    </w:rPr>
  </w:style>
  <w:style w:type="paragraph" w:customStyle="1" w:styleId="RightPar7">
    <w:name w:val="Right Par 7"/>
    <w:rsid w:val="00314A32"/>
    <w:pPr>
      <w:tabs>
        <w:tab w:val="left" w:pos="-720"/>
        <w:tab w:val="left" w:pos="0"/>
        <w:tab w:val="left" w:pos="720"/>
        <w:tab w:val="left" w:pos="1440"/>
        <w:tab w:val="left" w:pos="2160"/>
        <w:tab w:val="left" w:pos="2880"/>
        <w:tab w:val="left" w:pos="3600"/>
        <w:tab w:val="left" w:pos="4320"/>
        <w:tab w:val="decimal" w:pos="5040"/>
      </w:tabs>
      <w:suppressAutoHyphens/>
      <w:ind w:left="5040" w:hanging="432"/>
    </w:pPr>
    <w:rPr>
      <w:rFonts w:ascii="Univers" w:eastAsia="Times New Roman" w:hAnsi="Univers"/>
      <w:sz w:val="24"/>
      <w:lang w:val="en-US" w:eastAsia="en-US"/>
    </w:rPr>
  </w:style>
  <w:style w:type="paragraph" w:customStyle="1" w:styleId="RightPar8">
    <w:name w:val="Right Par 8"/>
    <w:rsid w:val="00314A32"/>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hanging="432"/>
    </w:pPr>
    <w:rPr>
      <w:rFonts w:ascii="Univers" w:eastAsia="Times New Roman" w:hAnsi="Univers"/>
      <w:sz w:val="24"/>
      <w:lang w:val="en-US" w:eastAsia="en-US"/>
    </w:rPr>
  </w:style>
  <w:style w:type="paragraph" w:customStyle="1" w:styleId="Document1">
    <w:name w:val="Document 1"/>
    <w:rsid w:val="00314A32"/>
    <w:pPr>
      <w:keepNext/>
      <w:keepLines/>
      <w:tabs>
        <w:tab w:val="left" w:pos="-720"/>
      </w:tabs>
      <w:suppressAutoHyphens/>
    </w:pPr>
    <w:rPr>
      <w:rFonts w:ascii="Univers" w:eastAsia="Times New Roman" w:hAnsi="Univers"/>
      <w:sz w:val="24"/>
      <w:lang w:val="en-US" w:eastAsia="en-US"/>
    </w:rPr>
  </w:style>
  <w:style w:type="character" w:customStyle="1" w:styleId="TechInit">
    <w:name w:val="Tech Init"/>
    <w:rsid w:val="00314A32"/>
    <w:rPr>
      <w:rFonts w:ascii="Univers" w:hAnsi="Univers"/>
      <w:noProof w:val="0"/>
      <w:sz w:val="24"/>
      <w:lang w:val="en-US"/>
    </w:rPr>
  </w:style>
  <w:style w:type="paragraph" w:customStyle="1" w:styleId="Technical5">
    <w:name w:val="Technical 5"/>
    <w:rsid w:val="00314A32"/>
    <w:pPr>
      <w:tabs>
        <w:tab w:val="left" w:pos="-720"/>
      </w:tabs>
      <w:suppressAutoHyphens/>
      <w:ind w:firstLine="720"/>
    </w:pPr>
    <w:rPr>
      <w:rFonts w:ascii="Univers" w:eastAsia="Times New Roman" w:hAnsi="Univers"/>
      <w:b/>
      <w:sz w:val="24"/>
      <w:lang w:val="en-US" w:eastAsia="en-US"/>
    </w:rPr>
  </w:style>
  <w:style w:type="paragraph" w:customStyle="1" w:styleId="Technical6">
    <w:name w:val="Technical 6"/>
    <w:rsid w:val="00314A32"/>
    <w:pPr>
      <w:tabs>
        <w:tab w:val="left" w:pos="-720"/>
      </w:tabs>
      <w:suppressAutoHyphens/>
      <w:ind w:firstLine="720"/>
    </w:pPr>
    <w:rPr>
      <w:rFonts w:ascii="Univers" w:eastAsia="Times New Roman" w:hAnsi="Univers"/>
      <w:b/>
      <w:sz w:val="24"/>
      <w:lang w:val="en-US" w:eastAsia="en-US"/>
    </w:rPr>
  </w:style>
  <w:style w:type="character" w:customStyle="1" w:styleId="Technical2">
    <w:name w:val="Technical 2"/>
    <w:rsid w:val="00314A32"/>
    <w:rPr>
      <w:rFonts w:ascii="Univers" w:hAnsi="Univers"/>
      <w:noProof w:val="0"/>
      <w:sz w:val="24"/>
      <w:lang w:val="en-US"/>
    </w:rPr>
  </w:style>
  <w:style w:type="character" w:customStyle="1" w:styleId="Technical3">
    <w:name w:val="Technical 3"/>
    <w:rsid w:val="00314A32"/>
    <w:rPr>
      <w:rFonts w:ascii="Univers" w:hAnsi="Univers"/>
      <w:noProof w:val="0"/>
      <w:sz w:val="24"/>
      <w:lang w:val="en-US"/>
    </w:rPr>
  </w:style>
  <w:style w:type="paragraph" w:customStyle="1" w:styleId="Technical4">
    <w:name w:val="Technical 4"/>
    <w:rsid w:val="00314A32"/>
    <w:pPr>
      <w:tabs>
        <w:tab w:val="left" w:pos="-720"/>
      </w:tabs>
      <w:suppressAutoHyphens/>
    </w:pPr>
    <w:rPr>
      <w:rFonts w:ascii="Univers" w:eastAsia="Times New Roman" w:hAnsi="Univers"/>
      <w:b/>
      <w:sz w:val="24"/>
      <w:lang w:val="en-US" w:eastAsia="en-US"/>
    </w:rPr>
  </w:style>
  <w:style w:type="character" w:customStyle="1" w:styleId="Technical1">
    <w:name w:val="Technical 1"/>
    <w:rsid w:val="00314A32"/>
    <w:rPr>
      <w:rFonts w:ascii="Univers" w:hAnsi="Univers"/>
      <w:noProof w:val="0"/>
      <w:sz w:val="24"/>
      <w:lang w:val="en-US"/>
    </w:rPr>
  </w:style>
  <w:style w:type="paragraph" w:customStyle="1" w:styleId="Technical7">
    <w:name w:val="Technical 7"/>
    <w:rsid w:val="00314A32"/>
    <w:pPr>
      <w:tabs>
        <w:tab w:val="left" w:pos="-720"/>
      </w:tabs>
      <w:suppressAutoHyphens/>
      <w:ind w:firstLine="720"/>
    </w:pPr>
    <w:rPr>
      <w:rFonts w:ascii="Univers" w:eastAsia="Times New Roman" w:hAnsi="Univers"/>
      <w:b/>
      <w:sz w:val="24"/>
      <w:lang w:val="en-US" w:eastAsia="en-US"/>
    </w:rPr>
  </w:style>
  <w:style w:type="paragraph" w:customStyle="1" w:styleId="Technical8">
    <w:name w:val="Technical 8"/>
    <w:rsid w:val="00314A32"/>
    <w:pPr>
      <w:tabs>
        <w:tab w:val="left" w:pos="-720"/>
      </w:tabs>
      <w:suppressAutoHyphens/>
      <w:ind w:firstLine="720"/>
    </w:pPr>
    <w:rPr>
      <w:rFonts w:ascii="Univers" w:eastAsia="Times New Roman" w:hAnsi="Univers"/>
      <w:b/>
      <w:sz w:val="24"/>
      <w:lang w:val="en-US" w:eastAsia="en-US"/>
    </w:rPr>
  </w:style>
  <w:style w:type="paragraph" w:customStyle="1" w:styleId="Pleading">
    <w:name w:val="Pleading"/>
    <w:rsid w:val="00314A32"/>
    <w:pPr>
      <w:tabs>
        <w:tab w:val="left" w:pos="-720"/>
      </w:tabs>
      <w:suppressAutoHyphens/>
      <w:spacing w:line="240" w:lineRule="exact"/>
    </w:pPr>
    <w:rPr>
      <w:rFonts w:ascii="Univers" w:eastAsia="Times New Roman" w:hAnsi="Univers"/>
      <w:sz w:val="24"/>
      <w:lang w:val="en-US" w:eastAsia="en-US"/>
    </w:rPr>
  </w:style>
  <w:style w:type="character" w:customStyle="1" w:styleId="DocInit">
    <w:name w:val="Doc Init"/>
    <w:rsid w:val="00314A32"/>
  </w:style>
  <w:style w:type="character" w:customStyle="1" w:styleId="DefaultParagraphFo">
    <w:name w:val="Default Paragraph Fo"/>
    <w:rsid w:val="00314A32"/>
  </w:style>
  <w:style w:type="paragraph" w:customStyle="1" w:styleId="toa">
    <w:name w:val="toa"/>
    <w:rsid w:val="00314A32"/>
    <w:pPr>
      <w:tabs>
        <w:tab w:val="left" w:pos="0"/>
        <w:tab w:val="left" w:pos="9000"/>
      </w:tabs>
      <w:suppressAutoHyphens/>
    </w:pPr>
    <w:rPr>
      <w:rFonts w:ascii="Univers" w:eastAsia="Times New Roman" w:hAnsi="Univers"/>
      <w:sz w:val="24"/>
      <w:lang w:val="en-US" w:eastAsia="en-US"/>
    </w:rPr>
  </w:style>
  <w:style w:type="character" w:customStyle="1" w:styleId="EquationCaption">
    <w:name w:val="_Equation Caption"/>
    <w:rsid w:val="00314A32"/>
  </w:style>
  <w:style w:type="paragraph" w:styleId="TOC6">
    <w:name w:val="toc 6"/>
    <w:basedOn w:val="Normal"/>
    <w:next w:val="Normal"/>
    <w:rsid w:val="00314A32"/>
    <w:pPr>
      <w:tabs>
        <w:tab w:val="left" w:pos="9000"/>
        <w:tab w:val="right" w:pos="9360"/>
      </w:tabs>
      <w:suppressAutoHyphens/>
      <w:spacing w:line="240" w:lineRule="auto"/>
      <w:ind w:left="720" w:hanging="720"/>
      <w:jc w:val="left"/>
    </w:pPr>
    <w:rPr>
      <w:rFonts w:ascii="Univers" w:eastAsia="Times New Roman" w:hAnsi="Univers"/>
      <w:lang w:val="en-US"/>
    </w:rPr>
  </w:style>
  <w:style w:type="paragraph" w:styleId="TOC7">
    <w:name w:val="toc 7"/>
    <w:basedOn w:val="Normal"/>
    <w:next w:val="Normal"/>
    <w:rsid w:val="00314A32"/>
    <w:pPr>
      <w:suppressAutoHyphens/>
      <w:spacing w:line="240" w:lineRule="auto"/>
      <w:ind w:left="720" w:hanging="720"/>
      <w:jc w:val="left"/>
    </w:pPr>
    <w:rPr>
      <w:rFonts w:ascii="Univers" w:eastAsia="Times New Roman" w:hAnsi="Univers"/>
      <w:lang w:val="en-US"/>
    </w:rPr>
  </w:style>
  <w:style w:type="paragraph" w:styleId="TOC8">
    <w:name w:val="toc 8"/>
    <w:basedOn w:val="Normal"/>
    <w:next w:val="Normal"/>
    <w:rsid w:val="00314A32"/>
    <w:pPr>
      <w:tabs>
        <w:tab w:val="left" w:pos="9000"/>
        <w:tab w:val="right" w:pos="9360"/>
      </w:tabs>
      <w:suppressAutoHyphens/>
      <w:spacing w:line="240" w:lineRule="auto"/>
      <w:ind w:left="720" w:hanging="720"/>
      <w:jc w:val="left"/>
    </w:pPr>
    <w:rPr>
      <w:rFonts w:ascii="Univers" w:eastAsia="Times New Roman" w:hAnsi="Univers"/>
      <w:lang w:val="en-US"/>
    </w:rPr>
  </w:style>
  <w:style w:type="paragraph" w:styleId="TOC9">
    <w:name w:val="toc 9"/>
    <w:basedOn w:val="Normal"/>
    <w:next w:val="Normal"/>
    <w:rsid w:val="00314A32"/>
    <w:pPr>
      <w:tabs>
        <w:tab w:val="left" w:leader="dot" w:pos="9000"/>
        <w:tab w:val="right" w:pos="9360"/>
      </w:tabs>
      <w:suppressAutoHyphens/>
      <w:spacing w:line="240" w:lineRule="auto"/>
      <w:ind w:left="720" w:hanging="720"/>
      <w:jc w:val="left"/>
    </w:pPr>
    <w:rPr>
      <w:rFonts w:ascii="Univers" w:eastAsia="Times New Roman" w:hAnsi="Univers"/>
      <w:lang w:val="en-US"/>
    </w:rPr>
  </w:style>
  <w:style w:type="paragraph" w:styleId="Index1">
    <w:name w:val="index 1"/>
    <w:basedOn w:val="Normal"/>
    <w:next w:val="Normal"/>
    <w:rsid w:val="00314A32"/>
    <w:pPr>
      <w:tabs>
        <w:tab w:val="left" w:leader="dot" w:pos="9000"/>
        <w:tab w:val="right" w:pos="9360"/>
      </w:tabs>
      <w:suppressAutoHyphens/>
      <w:spacing w:line="240" w:lineRule="auto"/>
      <w:ind w:left="1440" w:right="720" w:hanging="1440"/>
      <w:jc w:val="left"/>
    </w:pPr>
    <w:rPr>
      <w:rFonts w:ascii="Univers" w:eastAsia="Times New Roman" w:hAnsi="Univers"/>
      <w:lang w:val="en-US"/>
    </w:rPr>
  </w:style>
  <w:style w:type="paragraph" w:styleId="Index2">
    <w:name w:val="index 2"/>
    <w:basedOn w:val="Normal"/>
    <w:next w:val="Normal"/>
    <w:rsid w:val="00314A32"/>
    <w:pPr>
      <w:tabs>
        <w:tab w:val="left" w:leader="dot" w:pos="9000"/>
        <w:tab w:val="right" w:pos="9360"/>
      </w:tabs>
      <w:suppressAutoHyphens/>
      <w:spacing w:line="240" w:lineRule="auto"/>
      <w:ind w:left="1440" w:right="720" w:hanging="720"/>
      <w:jc w:val="left"/>
    </w:pPr>
    <w:rPr>
      <w:rFonts w:ascii="Univers" w:eastAsia="Times New Roman" w:hAnsi="Univers"/>
      <w:lang w:val="en-US"/>
    </w:rPr>
  </w:style>
  <w:style w:type="paragraph" w:styleId="TOAHeading">
    <w:name w:val="toa heading"/>
    <w:basedOn w:val="Normal"/>
    <w:next w:val="Normal"/>
    <w:rsid w:val="00314A32"/>
    <w:pPr>
      <w:tabs>
        <w:tab w:val="left" w:pos="9000"/>
        <w:tab w:val="right" w:pos="9360"/>
      </w:tabs>
      <w:suppressAutoHyphens/>
      <w:spacing w:line="240" w:lineRule="auto"/>
      <w:jc w:val="left"/>
    </w:pPr>
    <w:rPr>
      <w:rFonts w:ascii="Univers" w:eastAsia="Times New Roman" w:hAnsi="Univers"/>
      <w:lang w:val="en-US"/>
    </w:rPr>
  </w:style>
  <w:style w:type="paragraph" w:styleId="Caption">
    <w:name w:val="caption"/>
    <w:basedOn w:val="Normal"/>
    <w:next w:val="Normal"/>
    <w:qFormat/>
    <w:rsid w:val="00314A32"/>
    <w:pPr>
      <w:spacing w:line="240" w:lineRule="auto"/>
      <w:jc w:val="left"/>
    </w:pPr>
    <w:rPr>
      <w:rFonts w:ascii="Univers" w:eastAsia="Times New Roman" w:hAnsi="Univers"/>
    </w:rPr>
  </w:style>
  <w:style w:type="character" w:customStyle="1" w:styleId="EquationCaption1">
    <w:name w:val="_Equation Caption1"/>
    <w:rsid w:val="00314A32"/>
  </w:style>
  <w:style w:type="paragraph" w:styleId="DocumentMap">
    <w:name w:val="Document Map"/>
    <w:basedOn w:val="Normal"/>
    <w:link w:val="DocumentMapChar"/>
    <w:rsid w:val="00314A32"/>
    <w:pPr>
      <w:shd w:val="clear" w:color="auto" w:fill="000080"/>
      <w:spacing w:line="240" w:lineRule="auto"/>
      <w:jc w:val="left"/>
    </w:pPr>
    <w:rPr>
      <w:rFonts w:ascii="Tahoma" w:eastAsia="Times New Roman" w:hAnsi="Tahoma" w:cs="Tahoma"/>
    </w:rPr>
  </w:style>
  <w:style w:type="character" w:customStyle="1" w:styleId="DocumentMapChar">
    <w:name w:val="Document Map Char"/>
    <w:basedOn w:val="DefaultParagraphFont"/>
    <w:link w:val="DocumentMap"/>
    <w:rsid w:val="00314A32"/>
    <w:rPr>
      <w:rFonts w:ascii="Tahoma" w:eastAsia="Times New Roman" w:hAnsi="Tahoma" w:cs="Tahoma"/>
      <w:sz w:val="24"/>
      <w:shd w:val="clear" w:color="auto" w:fill="000080"/>
      <w:lang w:eastAsia="en-US"/>
    </w:rPr>
  </w:style>
  <w:style w:type="character" w:customStyle="1" w:styleId="Heading1Char">
    <w:name w:val="Heading 1 Char"/>
    <w:link w:val="Heading1"/>
    <w:rsid w:val="008A43A4"/>
    <w:rPr>
      <w:b/>
      <w:caps/>
      <w:kern w:val="28"/>
      <w:sz w:val="24"/>
      <w:lang w:eastAsia="en-US"/>
    </w:rPr>
  </w:style>
  <w:style w:type="character" w:customStyle="1" w:styleId="Heading3Char">
    <w:name w:val="Heading 3 Char"/>
    <w:link w:val="Heading3"/>
    <w:rsid w:val="008A43A4"/>
    <w:rPr>
      <w:b/>
      <w:i/>
      <w:sz w:val="24"/>
      <w:lang w:eastAsia="en-US"/>
    </w:rPr>
  </w:style>
  <w:style w:type="character" w:customStyle="1" w:styleId="Heading4Char">
    <w:name w:val="Heading 4 Char"/>
    <w:link w:val="Heading4"/>
    <w:rsid w:val="008A43A4"/>
    <w:rPr>
      <w:b/>
      <w:smallCaps/>
      <w:sz w:val="24"/>
      <w:szCs w:val="24"/>
      <w:lang w:eastAsia="en-US"/>
    </w:rPr>
  </w:style>
  <w:style w:type="character" w:customStyle="1" w:styleId="Heading6Char">
    <w:name w:val="Heading 6 Char"/>
    <w:link w:val="Heading6"/>
    <w:rsid w:val="008A43A4"/>
    <w:rPr>
      <w:b/>
      <w:sz w:val="24"/>
      <w:lang w:eastAsia="en-US"/>
    </w:rPr>
  </w:style>
  <w:style w:type="character" w:customStyle="1" w:styleId="Heading7Char">
    <w:name w:val="Heading 7 Char"/>
    <w:link w:val="Heading7"/>
    <w:rsid w:val="008A43A4"/>
    <w:rPr>
      <w:b/>
      <w:i/>
      <w:sz w:val="24"/>
      <w:lang w:eastAsia="en-US"/>
    </w:rPr>
  </w:style>
  <w:style w:type="character" w:customStyle="1" w:styleId="Heading8Char">
    <w:name w:val="Heading 8 Char"/>
    <w:link w:val="Heading8"/>
    <w:rsid w:val="008A43A4"/>
    <w:rPr>
      <w:b/>
      <w:smallCaps/>
      <w:sz w:val="24"/>
      <w:lang w:eastAsia="en-US"/>
    </w:rPr>
  </w:style>
  <w:style w:type="character" w:customStyle="1" w:styleId="Heading9Char">
    <w:name w:val="Heading 9 Char"/>
    <w:link w:val="Heading9"/>
    <w:rsid w:val="008A43A4"/>
    <w:rPr>
      <w:b/>
      <w:i/>
      <w:smallCaps/>
      <w:sz w:val="24"/>
      <w:lang w:eastAsia="en-US"/>
    </w:rPr>
  </w:style>
  <w:style w:type="character" w:customStyle="1" w:styleId="HeaderChar">
    <w:name w:val="Header Char"/>
    <w:link w:val="Header"/>
    <w:rsid w:val="008A43A4"/>
    <w:rPr>
      <w:sz w:val="24"/>
      <w:lang w:eastAsia="en-US"/>
    </w:rPr>
  </w:style>
  <w:style w:type="character" w:customStyle="1" w:styleId="BalloonTextChar">
    <w:name w:val="Balloon Text Char"/>
    <w:link w:val="BalloonText"/>
    <w:semiHidden/>
    <w:rsid w:val="008A43A4"/>
    <w:rPr>
      <w:rFonts w:ascii="Tahoma" w:hAnsi="Tahoma" w:cs="Tahoma"/>
      <w:sz w:val="16"/>
      <w:szCs w:val="16"/>
      <w:lang w:eastAsia="en-US"/>
    </w:rPr>
  </w:style>
  <w:style w:type="character" w:customStyle="1" w:styleId="CommentTextChar">
    <w:name w:val="Comment Text Char"/>
    <w:link w:val="CommentText"/>
    <w:semiHidden/>
    <w:rsid w:val="008A43A4"/>
    <w:rPr>
      <w:lang w:eastAsia="en-US"/>
    </w:rPr>
  </w:style>
  <w:style w:type="character" w:customStyle="1" w:styleId="CommentSubjectChar">
    <w:name w:val="Comment Subject Char"/>
    <w:link w:val="CommentSubject"/>
    <w:semiHidden/>
    <w:rsid w:val="008A43A4"/>
    <w:rPr>
      <w:b/>
      <w:bCs/>
      <w:lang w:eastAsia="en-US"/>
    </w:rPr>
  </w:style>
  <w:style w:type="character" w:customStyle="1" w:styleId="BodyTextChar">
    <w:name w:val="Body Text Char"/>
    <w:link w:val="BodyText"/>
    <w:rsid w:val="008A43A4"/>
    <w:rPr>
      <w:sz w:val="24"/>
      <w:lang w:eastAsia="en-US"/>
    </w:rPr>
  </w:style>
  <w:style w:type="character" w:customStyle="1" w:styleId="BodyText2Char">
    <w:name w:val="Body Text 2 Char"/>
    <w:link w:val="BodyText2"/>
    <w:rsid w:val="008A43A4"/>
    <w:rPr>
      <w:sz w:val="24"/>
      <w:lang w:eastAsia="en-US"/>
    </w:rPr>
  </w:style>
  <w:style w:type="character" w:customStyle="1" w:styleId="BodyText3Char">
    <w:name w:val="Body Text 3 Char"/>
    <w:link w:val="BodyText3"/>
    <w:semiHidden/>
    <w:rsid w:val="008A43A4"/>
    <w:rPr>
      <w:sz w:val="16"/>
      <w:szCs w:val="16"/>
      <w:lang w:eastAsia="en-US"/>
    </w:rPr>
  </w:style>
  <w:style w:type="character" w:customStyle="1" w:styleId="BodyTextFirstIndentChar">
    <w:name w:val="Body Text First Indent Char"/>
    <w:link w:val="BodyTextFirstIndent"/>
    <w:semiHidden/>
    <w:rsid w:val="008A43A4"/>
    <w:rPr>
      <w:sz w:val="24"/>
      <w:lang w:eastAsia="en-US"/>
    </w:rPr>
  </w:style>
  <w:style w:type="character" w:customStyle="1" w:styleId="BodyTextIndentChar">
    <w:name w:val="Body Text Indent Char"/>
    <w:link w:val="BodyTextIndent"/>
    <w:rsid w:val="008A43A4"/>
    <w:rPr>
      <w:sz w:val="24"/>
      <w:lang w:eastAsia="en-US"/>
    </w:rPr>
  </w:style>
  <w:style w:type="character" w:customStyle="1" w:styleId="BodyTextFirstIndent2Char">
    <w:name w:val="Body Text First Indent 2 Char"/>
    <w:link w:val="BodyTextFirstIndent2"/>
    <w:semiHidden/>
    <w:rsid w:val="008A43A4"/>
    <w:rPr>
      <w:sz w:val="24"/>
      <w:lang w:eastAsia="en-US"/>
    </w:rPr>
  </w:style>
  <w:style w:type="character" w:customStyle="1" w:styleId="BodyTextIndent2Char">
    <w:name w:val="Body Text Indent 2 Char"/>
    <w:link w:val="BodyTextIndent2"/>
    <w:rsid w:val="008A43A4"/>
    <w:rPr>
      <w:sz w:val="24"/>
      <w:lang w:eastAsia="en-US"/>
    </w:rPr>
  </w:style>
  <w:style w:type="character" w:customStyle="1" w:styleId="BodyTextIndent3Char">
    <w:name w:val="Body Text Indent 3 Char"/>
    <w:link w:val="BodyTextIndent3"/>
    <w:semiHidden/>
    <w:rsid w:val="008A43A4"/>
    <w:rPr>
      <w:sz w:val="16"/>
      <w:szCs w:val="16"/>
      <w:lang w:eastAsia="en-US"/>
    </w:rPr>
  </w:style>
  <w:style w:type="character" w:customStyle="1" w:styleId="ClosingChar">
    <w:name w:val="Closing Char"/>
    <w:link w:val="Closing"/>
    <w:semiHidden/>
    <w:rsid w:val="008A43A4"/>
    <w:rPr>
      <w:sz w:val="24"/>
      <w:lang w:eastAsia="en-US"/>
    </w:rPr>
  </w:style>
  <w:style w:type="character" w:customStyle="1" w:styleId="DateChar">
    <w:name w:val="Date Char"/>
    <w:link w:val="Date"/>
    <w:semiHidden/>
    <w:rsid w:val="008A43A4"/>
    <w:rPr>
      <w:sz w:val="24"/>
      <w:lang w:eastAsia="en-US"/>
    </w:rPr>
  </w:style>
  <w:style w:type="character" w:customStyle="1" w:styleId="E-mailSignatureChar">
    <w:name w:val="E-mail Signature Char"/>
    <w:link w:val="E-mailSignature"/>
    <w:semiHidden/>
    <w:rsid w:val="008A43A4"/>
    <w:rPr>
      <w:sz w:val="24"/>
      <w:lang w:eastAsia="en-US"/>
    </w:rPr>
  </w:style>
  <w:style w:type="character" w:customStyle="1" w:styleId="HTMLAddressChar">
    <w:name w:val="HTML Address Char"/>
    <w:link w:val="HTMLAddress"/>
    <w:semiHidden/>
    <w:rsid w:val="008A43A4"/>
    <w:rPr>
      <w:i/>
      <w:iCs/>
      <w:sz w:val="24"/>
      <w:lang w:eastAsia="en-US"/>
    </w:rPr>
  </w:style>
  <w:style w:type="character" w:customStyle="1" w:styleId="HTMLPreformattedChar">
    <w:name w:val="HTML Preformatted Char"/>
    <w:link w:val="HTMLPreformatted"/>
    <w:semiHidden/>
    <w:rsid w:val="008A43A4"/>
    <w:rPr>
      <w:rFonts w:ascii="Courier New" w:hAnsi="Courier New" w:cs="Courier New"/>
      <w:lang w:eastAsia="en-US"/>
    </w:rPr>
  </w:style>
  <w:style w:type="character" w:customStyle="1" w:styleId="MessageHeaderChar">
    <w:name w:val="Message Header Char"/>
    <w:link w:val="MessageHeader"/>
    <w:semiHidden/>
    <w:rsid w:val="008A43A4"/>
    <w:rPr>
      <w:rFonts w:ascii="Arial" w:hAnsi="Arial" w:cs="Arial"/>
      <w:sz w:val="24"/>
      <w:szCs w:val="24"/>
      <w:shd w:val="pct20" w:color="auto" w:fill="auto"/>
      <w:lang w:eastAsia="en-US"/>
    </w:rPr>
  </w:style>
  <w:style w:type="character" w:customStyle="1" w:styleId="NoteHeadingChar">
    <w:name w:val="Note Heading Char"/>
    <w:link w:val="NoteHeading"/>
    <w:semiHidden/>
    <w:rsid w:val="008A43A4"/>
    <w:rPr>
      <w:sz w:val="24"/>
      <w:lang w:eastAsia="en-US"/>
    </w:rPr>
  </w:style>
  <w:style w:type="character" w:customStyle="1" w:styleId="PlainTextChar">
    <w:name w:val="Plain Text Char"/>
    <w:link w:val="PlainText"/>
    <w:rsid w:val="008A43A4"/>
    <w:rPr>
      <w:rFonts w:ascii="Courier New" w:hAnsi="Courier New" w:cs="Courier New"/>
      <w:lang w:eastAsia="en-US"/>
    </w:rPr>
  </w:style>
  <w:style w:type="character" w:customStyle="1" w:styleId="SalutationChar">
    <w:name w:val="Salutation Char"/>
    <w:link w:val="Salutation"/>
    <w:semiHidden/>
    <w:rsid w:val="008A43A4"/>
    <w:rPr>
      <w:sz w:val="24"/>
      <w:lang w:eastAsia="en-US"/>
    </w:rPr>
  </w:style>
  <w:style w:type="character" w:customStyle="1" w:styleId="SignatureChar">
    <w:name w:val="Signature Char"/>
    <w:link w:val="Signature"/>
    <w:semiHidden/>
    <w:rsid w:val="008A43A4"/>
    <w:rPr>
      <w:sz w:val="24"/>
      <w:lang w:eastAsia="en-US"/>
    </w:rPr>
  </w:style>
  <w:style w:type="character" w:customStyle="1" w:styleId="SubtitleChar">
    <w:name w:val="Subtitle Char"/>
    <w:link w:val="Subtitle"/>
    <w:rsid w:val="008A43A4"/>
    <w:rPr>
      <w:rFonts w:ascii="Arial" w:hAnsi="Arial" w:cs="Arial"/>
      <w:sz w:val="24"/>
      <w:szCs w:val="24"/>
      <w:lang w:eastAsia="en-US"/>
    </w:rPr>
  </w:style>
  <w:style w:type="paragraph" w:styleId="ListParagraph">
    <w:name w:val="List Paragraph"/>
    <w:basedOn w:val="Normal"/>
    <w:uiPriority w:val="34"/>
    <w:qFormat/>
    <w:rsid w:val="008A43A4"/>
    <w:pPr>
      <w:spacing w:line="240" w:lineRule="auto"/>
      <w:ind w:left="720"/>
      <w:jc w:val="left"/>
    </w:pPr>
    <w:rPr>
      <w:rFonts w:ascii="Arial" w:eastAsia="Times New Roman" w:hAnsi="Arial"/>
      <w:sz w:val="22"/>
      <w:szCs w:val="24"/>
    </w:rPr>
  </w:style>
  <w:style w:type="paragraph" w:customStyle="1" w:styleId="Arial">
    <w:name w:val="Arial"/>
    <w:basedOn w:val="Normal"/>
    <w:rsid w:val="008A43A4"/>
    <w:pPr>
      <w:spacing w:line="240" w:lineRule="auto"/>
    </w:pPr>
    <w:rPr>
      <w:rFonts w:eastAsia="Times New Roman"/>
      <w:sz w:val="22"/>
      <w:szCs w:val="22"/>
    </w:rPr>
  </w:style>
  <w:style w:type="paragraph" w:customStyle="1" w:styleId="StyleJustifiedAfter12ptLinespacing15lines">
    <w:name w:val="Style Justified After:  12 pt Line spacing:  1.5 lines"/>
    <w:basedOn w:val="Normal"/>
    <w:rsid w:val="008A43A4"/>
    <w:rPr>
      <w:rFonts w:ascii="Arial" w:eastAsia="Times New Roman" w:hAnsi="Arial"/>
      <w:sz w:val="22"/>
    </w:rPr>
  </w:style>
  <w:style w:type="paragraph" w:customStyle="1" w:styleId="StyleJustifiedAfter12ptLinespacing15lines1">
    <w:name w:val="Style Justified After:  12 pt Line spacing:  1.5 lines1"/>
    <w:basedOn w:val="Normal"/>
    <w:rsid w:val="008A43A4"/>
    <w:pPr>
      <w:spacing w:after="120"/>
    </w:pPr>
    <w:rPr>
      <w:rFonts w:ascii="Arial" w:eastAsia="Times New Roman" w:hAnsi="Arial"/>
      <w:sz w:val="22"/>
    </w:rPr>
  </w:style>
  <w:style w:type="paragraph" w:customStyle="1" w:styleId="StyleJustifiedAfter12ptLinespacing15lines2">
    <w:name w:val="Style Justified After:  12 pt Line spacing:  1.5 lines2"/>
    <w:basedOn w:val="Normal"/>
    <w:rsid w:val="008A43A4"/>
    <w:pPr>
      <w:spacing w:after="240"/>
    </w:pPr>
    <w:rPr>
      <w:rFonts w:ascii="Arial" w:eastAsia="Times New Roman" w:hAnsi="Arial"/>
      <w:sz w:val="22"/>
    </w:rPr>
  </w:style>
  <w:style w:type="paragraph" w:customStyle="1" w:styleId="xl63">
    <w:name w:val="xl63"/>
    <w:basedOn w:val="Normal"/>
    <w:rsid w:val="008A43A4"/>
    <w:pPr>
      <w:spacing w:before="100" w:beforeAutospacing="1" w:after="100" w:afterAutospacing="1" w:line="240" w:lineRule="auto"/>
      <w:jc w:val="left"/>
      <w:textAlignment w:val="center"/>
    </w:pPr>
    <w:rPr>
      <w:rFonts w:ascii="Arial" w:eastAsia="Times New Roman" w:hAnsi="Arial" w:cs="Arial"/>
      <w:szCs w:val="24"/>
      <w:lang w:eastAsia="en-AU"/>
    </w:rPr>
  </w:style>
  <w:style w:type="paragraph" w:customStyle="1" w:styleId="xl64">
    <w:name w:val="xl64"/>
    <w:basedOn w:val="Normal"/>
    <w:rsid w:val="008A43A4"/>
    <w:pPr>
      <w:spacing w:before="100" w:beforeAutospacing="1" w:after="100" w:afterAutospacing="1" w:line="240" w:lineRule="auto"/>
      <w:jc w:val="left"/>
      <w:textAlignment w:val="center"/>
    </w:pPr>
    <w:rPr>
      <w:rFonts w:ascii="Arial" w:eastAsia="Times New Roman" w:hAnsi="Arial" w:cs="Arial"/>
      <w:szCs w:val="24"/>
      <w:lang w:eastAsia="en-AU"/>
    </w:rPr>
  </w:style>
  <w:style w:type="paragraph" w:customStyle="1" w:styleId="xl65">
    <w:name w:val="xl65"/>
    <w:basedOn w:val="Normal"/>
    <w:rsid w:val="008A43A4"/>
    <w:pPr>
      <w:spacing w:before="100" w:beforeAutospacing="1" w:after="100" w:afterAutospacing="1" w:line="240" w:lineRule="auto"/>
      <w:jc w:val="left"/>
      <w:textAlignment w:val="center"/>
    </w:pPr>
    <w:rPr>
      <w:rFonts w:ascii="Arial" w:eastAsia="Times New Roman" w:hAnsi="Arial" w:cs="Arial"/>
      <w:b/>
      <w:bCs/>
      <w:szCs w:val="24"/>
      <w:lang w:eastAsia="en-AU"/>
    </w:rPr>
  </w:style>
  <w:style w:type="paragraph" w:customStyle="1" w:styleId="xl66">
    <w:name w:val="xl66"/>
    <w:basedOn w:val="Normal"/>
    <w:rsid w:val="008A43A4"/>
    <w:pPr>
      <w:spacing w:before="100" w:beforeAutospacing="1" w:after="100" w:afterAutospacing="1" w:line="240" w:lineRule="auto"/>
      <w:jc w:val="left"/>
      <w:textAlignment w:val="center"/>
    </w:pPr>
    <w:rPr>
      <w:rFonts w:ascii="Arial" w:eastAsia="Times New Roman" w:hAnsi="Arial" w:cs="Arial"/>
      <w:b/>
      <w:bCs/>
      <w:szCs w:val="24"/>
      <w:lang w:eastAsia="en-AU"/>
    </w:rPr>
  </w:style>
  <w:style w:type="paragraph" w:customStyle="1" w:styleId="xl67">
    <w:name w:val="xl67"/>
    <w:basedOn w:val="Normal"/>
    <w:rsid w:val="008A43A4"/>
    <w:pPr>
      <w:spacing w:before="100" w:beforeAutospacing="1" w:after="100" w:afterAutospacing="1" w:line="240" w:lineRule="auto"/>
      <w:jc w:val="center"/>
      <w:textAlignment w:val="center"/>
    </w:pPr>
    <w:rPr>
      <w:rFonts w:ascii="Arial" w:eastAsia="Times New Roman" w:hAnsi="Arial" w:cs="Arial"/>
      <w:szCs w:val="24"/>
      <w:lang w:eastAsia="en-AU"/>
    </w:rPr>
  </w:style>
  <w:style w:type="paragraph" w:customStyle="1" w:styleId="xl68">
    <w:name w:val="xl68"/>
    <w:basedOn w:val="Normal"/>
    <w:rsid w:val="008A43A4"/>
    <w:pPr>
      <w:shd w:val="clear" w:color="000000" w:fill="D9D9D9"/>
      <w:spacing w:before="100" w:beforeAutospacing="1" w:after="100" w:afterAutospacing="1" w:line="240" w:lineRule="auto"/>
      <w:jc w:val="center"/>
      <w:textAlignment w:val="center"/>
    </w:pPr>
    <w:rPr>
      <w:rFonts w:ascii="Arial" w:eastAsia="Times New Roman" w:hAnsi="Arial" w:cs="Arial"/>
      <w:b/>
      <w:bCs/>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header" Target="header4.xml"/><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header" Target="header8.xml"/><Relationship Id="rId68"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header" Target="header11.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header" Target="header6.xml"/><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header" Target="header2.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header" Target="header10.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header" Target="header5.xml"/><Relationship Id="rId56" Type="http://schemas.openxmlformats.org/officeDocument/2006/relationships/image" Target="media/image41.jpeg"/><Relationship Id="rId64" Type="http://schemas.openxmlformats.org/officeDocument/2006/relationships/header" Target="header9.xml"/><Relationship Id="rId69" Type="http://schemas.openxmlformats.org/officeDocument/2006/relationships/header" Target="header13.xml"/><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4.jpeg"/><Relationship Id="rId67" Type="http://schemas.openxmlformats.org/officeDocument/2006/relationships/header" Target="header12.xml"/><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39.jpeg"/><Relationship Id="rId62" Type="http://schemas.openxmlformats.org/officeDocument/2006/relationships/header" Target="header7.xml"/><Relationship Id="rId70"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H:\SETUP\13v1%20JUDGMENT%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A4958B-D8C3-4E4B-B3D1-1A04CA85A8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13v1 JUDGMENT TEMPLATE.DOT</Template>
  <TotalTime>1</TotalTime>
  <Pages>146</Pages>
  <Words>14659</Words>
  <Characters>83558</Characters>
  <Application>Microsoft Office Word</Application>
  <DocSecurity>4</DocSecurity>
  <Lines>696</Lines>
  <Paragraphs>196</Paragraphs>
  <ScaleCrop>false</ScaleCrop>
  <HeadingPairs>
    <vt:vector size="2" baseType="variant">
      <vt:variant>
        <vt:lpstr>Title</vt:lpstr>
      </vt:variant>
      <vt:variant>
        <vt:i4>1</vt:i4>
      </vt:variant>
    </vt:vector>
  </HeadingPairs>
  <TitlesOfParts>
    <vt:vector size="1" baseType="lpstr">
      <vt:lpstr>Judgment Template</vt:lpstr>
    </vt:vector>
  </TitlesOfParts>
  <Company>Federal Court of Australia</Company>
  <LinksUpToDate>false</LinksUpToDate>
  <CharactersWithSpaces>98021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Judgment Template</dc:title>
  <dc:creator>Janet Rice</dc:creator>
  <cp:lastModifiedBy>Craig Tudman</cp:lastModifiedBy>
  <cp:revision>2</cp:revision>
  <cp:lastPrinted>2014-02-24T00:15:00Z</cp:lastPrinted>
  <dcterms:created xsi:type="dcterms:W3CDTF">2014-03-13T00:45:00Z</dcterms:created>
  <dcterms:modified xsi:type="dcterms:W3CDTF">2014-03-13T00:45:00Z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licant">
    <vt:lpwstr> </vt:lpwstr>
  </property>
  <property fmtid="{D5CDD505-2E9C-101B-9397-08002B2CF9AE}" pid="3" name="Judge" linkTarget="Judge">
    <vt:lpwstr>WHITE J</vt:lpwstr>
  </property>
  <property fmtid="{D5CDD505-2E9C-101B-9397-08002B2CF9AE}" pid="4" name="Judgment_dated" linkTarget="Judgment_dated">
    <vt:lpwstr>25 february 2014</vt:lpwstr>
  </property>
  <property fmtid="{D5CDD505-2E9C-101B-9397-08002B2CF9AE}" pid="5" name="Distribution" linkTarget="Distribution">
    <vt:lpwstr>GENERAL DISTRIBUTION</vt:lpwstr>
  </property>
  <property fmtid="{D5CDD505-2E9C-101B-9397-08002B2CF9AE}" pid="6" name="MNC" linkTarget="MNC">
    <vt:lpwstr>Lander v State of South Australia [2014] FCA 125 </vt:lpwstr>
  </property>
  <property fmtid="{D5CDD505-2E9C-101B-9397-08002B2CF9AE}" pid="7" name="File_Number" linkTarget="Num">
    <vt:lpwstr>SAD 6001 of 1998</vt:lpwstr>
  </property>
  <property fmtid="{D5CDD505-2E9C-101B-9397-08002B2CF9AE}" pid="8" name="Pages">
    <vt:lpwstr>16</vt:lpwstr>
  </property>
  <property fmtid="{D5CDD505-2E9C-101B-9397-08002B2CF9AE}" pid="9" name="Parties">
    <vt:lpwstr> </vt:lpwstr>
  </property>
  <property fmtid="{D5CDD505-2E9C-101B-9397-08002B2CF9AE}" pid="10" name="Place" linkTarget="Place">
    <vt:lpwstr>SYDNEY</vt:lpwstr>
  </property>
  <property fmtid="{D5CDD505-2E9C-101B-9397-08002B2CF9AE}" pid="11" name="Respondent" linkTarget="Respondent">
    <vt:lpwstr>STATE OF SOUTH AUSTRALIA AND OTHERS NAMED IN THE SCHEDULE OF PARTIES.Respondent.</vt:lpwstr>
  </property>
  <property fmtid="{D5CDD505-2E9C-101B-9397-08002B2CF9AE}" pid="12" name="State" linkTarget="State">
    <vt:lpwstr>SOUTH AUSTRALIA</vt:lpwstr>
  </property>
  <property fmtid="{D5CDD505-2E9C-101B-9397-08002B2CF9AE}" pid="13" name="Year">
    <vt:lpwstr>2006</vt:lpwstr>
  </property>
  <property fmtid="{D5CDD505-2E9C-101B-9397-08002B2CF9AE}" pid="14" name="Judgment Template">
    <vt:lpwstr>True</vt:lpwstr>
  </property>
  <property fmtid="{D5CDD505-2E9C-101B-9397-08002B2CF9AE}" pid="15" name="VERSION">
    <vt:lpwstr>13.3</vt:lpwstr>
  </property>
  <property fmtid="{D5CDD505-2E9C-101B-9397-08002B2CF9AE}" pid="16" name="Legislation">
    <vt:lpwstr>Legislation</vt:lpwstr>
  </property>
  <property fmtid="{D5CDD505-2E9C-101B-9397-08002B2CF9AE}" pid="17" name="Catchwords">
    <vt:lpwstr>Catchwords</vt:lpwstr>
  </property>
  <property fmtid="{D5CDD505-2E9C-101B-9397-08002B2CF9AE}" pid="18" name="Words_Phrases">
    <vt:lpwstr>WordsPhrases</vt:lpwstr>
  </property>
  <property fmtid="{D5CDD505-2E9C-101B-9397-08002B2CF9AE}" pid="19" name="Cases_Cited">
    <vt:lpwstr>CasesCited</vt:lpwstr>
  </property>
</Properties>
</file>