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8DE4D" w14:textId="77777777" w:rsidR="00395B24" w:rsidRDefault="00EE1533" w:rsidP="00A22932">
      <w:pPr>
        <w:pStyle w:val="CourtTitle"/>
      </w:pPr>
      <w:r>
        <w:t>AUSTRALIAN COMPETITION TRIBUNAL</w:t>
      </w:r>
    </w:p>
    <w:p w14:paraId="4B952ED3" w14:textId="77777777" w:rsidR="00395B24" w:rsidRDefault="00395B24">
      <w:pPr>
        <w:pStyle w:val="NormalHeadings"/>
        <w:jc w:val="center"/>
        <w:rPr>
          <w:sz w:val="32"/>
        </w:rPr>
      </w:pPr>
    </w:p>
    <w:bookmarkStart w:id="0" w:name="MNC"/>
    <w:p w14:paraId="35324259" w14:textId="77777777" w:rsidR="00374CC4" w:rsidRDefault="003A1952" w:rsidP="001A2B40">
      <w:pPr>
        <w:pStyle w:val="MNC"/>
      </w:pPr>
      <w:sdt>
        <w:sdtPr>
          <w:alias w:val="MNC"/>
          <w:tag w:val="MNC"/>
          <w:id w:val="343289786"/>
          <w:lock w:val="sdtLocked"/>
          <w:placeholder>
            <w:docPart w:val="EEE57091CFC64FC592D7A08300881096"/>
          </w:placeholder>
          <w:dataBinding w:prefixMappings="xmlns:ns0='http://schemas.globalmacros.com/FCA'" w:xpath="/ns0:root[1]/ns0:Name[1]" w:storeItemID="{687E7CCB-4AA5-44E7-B148-17BA2B6F57C0}"/>
          <w:text w:multiLine="1"/>
        </w:sdtPr>
        <w:sdtEndPr/>
        <w:sdtContent>
          <w:r w:rsidR="00C93E73">
            <w:t xml:space="preserve">Application by New South Wales Minerals Council (No 3) [2021] </w:t>
          </w:r>
          <w:r w:rsidR="00C93E73">
            <w:br/>
          </w:r>
          <w:proofErr w:type="spellStart"/>
          <w:r w:rsidR="00C93E73">
            <w:t>ACompT</w:t>
          </w:r>
          <w:proofErr w:type="spellEnd"/>
          <w:r w:rsidR="00C93E73">
            <w:t xml:space="preserve"> 4 </w:t>
          </w:r>
        </w:sdtContent>
      </w:sdt>
      <w:bookmarkEnd w:id="0"/>
      <w:r w:rsidR="005C185C">
        <w:t xml:space="preserve"> </w:t>
      </w:r>
    </w:p>
    <w:tbl>
      <w:tblPr>
        <w:tblW w:w="9038" w:type="dxa"/>
        <w:tblLayout w:type="fixed"/>
        <w:tblLook w:val="01E0" w:firstRow="1" w:lastRow="1" w:firstColumn="1" w:lastColumn="1" w:noHBand="0" w:noVBand="0"/>
      </w:tblPr>
      <w:tblGrid>
        <w:gridCol w:w="3084"/>
        <w:gridCol w:w="5954"/>
      </w:tblGrid>
      <w:tr w:rsidR="00395B24" w14:paraId="385399CC" w14:textId="77777777" w:rsidTr="00663878">
        <w:tc>
          <w:tcPr>
            <w:tcW w:w="3084" w:type="dxa"/>
            <w:shd w:val="clear" w:color="auto" w:fill="auto"/>
          </w:tcPr>
          <w:p w14:paraId="6428272C" w14:textId="77777777" w:rsidR="00395B24" w:rsidRDefault="00741D4C" w:rsidP="006A7DC3">
            <w:pPr>
              <w:pStyle w:val="Normal1linespace"/>
              <w:widowControl w:val="0"/>
              <w:jc w:val="left"/>
            </w:pPr>
            <w:r>
              <w:t xml:space="preserve">Review </w:t>
            </w:r>
            <w:r w:rsidR="006A7DC3">
              <w:t>of</w:t>
            </w:r>
            <w:r>
              <w:t>:</w:t>
            </w:r>
          </w:p>
        </w:tc>
        <w:tc>
          <w:tcPr>
            <w:tcW w:w="5954" w:type="dxa"/>
            <w:shd w:val="clear" w:color="auto" w:fill="auto"/>
          </w:tcPr>
          <w:p w14:paraId="7373B0D4" w14:textId="77777777" w:rsidR="00395B24" w:rsidRPr="001B1053" w:rsidRDefault="00741D4C" w:rsidP="00CF3C70">
            <w:pPr>
              <w:pStyle w:val="Normal1linespace"/>
              <w:widowControl w:val="0"/>
              <w:jc w:val="left"/>
            </w:pPr>
            <w:r>
              <w:t xml:space="preserve">Decision of the </w:t>
            </w:r>
            <w:r w:rsidR="00CF3C70">
              <w:t>Commonwealth Treasurer</w:t>
            </w:r>
            <w:r>
              <w:t xml:space="preserve"> under s 44H of the </w:t>
            </w:r>
            <w:r w:rsidRPr="00285073">
              <w:rPr>
                <w:i/>
              </w:rPr>
              <w:t>Competition and Consumer Act</w:t>
            </w:r>
            <w:r>
              <w:t xml:space="preserve"> </w:t>
            </w:r>
            <w:r w:rsidRPr="00B428F6">
              <w:rPr>
                <w:i/>
              </w:rPr>
              <w:t>2010</w:t>
            </w:r>
            <w:r>
              <w:t xml:space="preserve"> (</w:t>
            </w:r>
            <w:proofErr w:type="spellStart"/>
            <w:r>
              <w:t>Cth</w:t>
            </w:r>
            <w:proofErr w:type="spellEnd"/>
            <w:r>
              <w:t>) not to declare services at the Port of Newcastle made on 16 February 2021</w:t>
            </w:r>
          </w:p>
        </w:tc>
      </w:tr>
      <w:tr w:rsidR="00741D4C" w14:paraId="09B74560" w14:textId="77777777" w:rsidTr="00663878">
        <w:tc>
          <w:tcPr>
            <w:tcW w:w="3084" w:type="dxa"/>
            <w:shd w:val="clear" w:color="auto" w:fill="auto"/>
          </w:tcPr>
          <w:p w14:paraId="7A3FE66C" w14:textId="77777777" w:rsidR="00741D4C" w:rsidRDefault="00741D4C" w:rsidP="00663878">
            <w:pPr>
              <w:pStyle w:val="Normal1linespace"/>
              <w:widowControl w:val="0"/>
              <w:jc w:val="left"/>
            </w:pPr>
          </w:p>
        </w:tc>
        <w:tc>
          <w:tcPr>
            <w:tcW w:w="5954" w:type="dxa"/>
            <w:shd w:val="clear" w:color="auto" w:fill="auto"/>
          </w:tcPr>
          <w:p w14:paraId="0077A9BC" w14:textId="77777777" w:rsidR="00741D4C" w:rsidRDefault="00741D4C" w:rsidP="00EE1533">
            <w:pPr>
              <w:pStyle w:val="Normal1linespace"/>
              <w:widowControl w:val="0"/>
              <w:jc w:val="left"/>
            </w:pPr>
          </w:p>
        </w:tc>
      </w:tr>
      <w:tr w:rsidR="00741D4C" w14:paraId="47CA0146" w14:textId="77777777" w:rsidTr="00663878">
        <w:tc>
          <w:tcPr>
            <w:tcW w:w="3084" w:type="dxa"/>
            <w:shd w:val="clear" w:color="auto" w:fill="auto"/>
          </w:tcPr>
          <w:p w14:paraId="56ED3091" w14:textId="77777777" w:rsidR="00741D4C" w:rsidRDefault="00741D4C" w:rsidP="00741D4C">
            <w:pPr>
              <w:pStyle w:val="Normal1linespace"/>
              <w:widowControl w:val="0"/>
              <w:jc w:val="left"/>
            </w:pPr>
            <w:r>
              <w:t>File number:</w:t>
            </w:r>
          </w:p>
        </w:tc>
        <w:tc>
          <w:tcPr>
            <w:tcW w:w="5954" w:type="dxa"/>
            <w:shd w:val="clear" w:color="auto" w:fill="auto"/>
          </w:tcPr>
          <w:p w14:paraId="646D14F6" w14:textId="77777777" w:rsidR="00741D4C" w:rsidRPr="001B1053" w:rsidRDefault="00741D4C" w:rsidP="00741D4C">
            <w:pPr>
              <w:pStyle w:val="Normal1linespace"/>
              <w:widowControl w:val="0"/>
              <w:jc w:val="left"/>
            </w:pPr>
            <w:r>
              <w:t>ACT 1 of 2021</w:t>
            </w:r>
          </w:p>
        </w:tc>
      </w:tr>
      <w:tr w:rsidR="00741D4C" w14:paraId="1D34EC10" w14:textId="77777777" w:rsidTr="00663878">
        <w:tc>
          <w:tcPr>
            <w:tcW w:w="3084" w:type="dxa"/>
            <w:shd w:val="clear" w:color="auto" w:fill="auto"/>
          </w:tcPr>
          <w:p w14:paraId="2B9FC774" w14:textId="77777777" w:rsidR="00741D4C" w:rsidRDefault="00741D4C" w:rsidP="00741D4C">
            <w:pPr>
              <w:pStyle w:val="Normal1linespace"/>
              <w:widowControl w:val="0"/>
              <w:jc w:val="left"/>
            </w:pPr>
          </w:p>
        </w:tc>
        <w:tc>
          <w:tcPr>
            <w:tcW w:w="5954" w:type="dxa"/>
            <w:shd w:val="clear" w:color="auto" w:fill="auto"/>
          </w:tcPr>
          <w:p w14:paraId="2BB36BA2" w14:textId="77777777" w:rsidR="00741D4C" w:rsidRDefault="00741D4C" w:rsidP="00741D4C">
            <w:pPr>
              <w:pStyle w:val="Normal1linespace"/>
              <w:widowControl w:val="0"/>
              <w:jc w:val="left"/>
            </w:pPr>
          </w:p>
        </w:tc>
      </w:tr>
      <w:tr w:rsidR="00741D4C" w14:paraId="75D82E74" w14:textId="77777777" w:rsidTr="00663878">
        <w:tc>
          <w:tcPr>
            <w:tcW w:w="3084" w:type="dxa"/>
            <w:shd w:val="clear" w:color="auto" w:fill="auto"/>
          </w:tcPr>
          <w:p w14:paraId="1250DCDC" w14:textId="77777777" w:rsidR="00741D4C" w:rsidRDefault="00741D4C" w:rsidP="00741D4C">
            <w:pPr>
              <w:pStyle w:val="Normal1linespace"/>
              <w:widowControl w:val="0"/>
              <w:jc w:val="left"/>
            </w:pPr>
            <w:r>
              <w:t>Tribunal:</w:t>
            </w:r>
          </w:p>
        </w:tc>
        <w:tc>
          <w:tcPr>
            <w:tcW w:w="5954" w:type="dxa"/>
            <w:shd w:val="clear" w:color="auto" w:fill="auto"/>
          </w:tcPr>
          <w:p w14:paraId="43359C7E" w14:textId="77777777" w:rsidR="00741D4C" w:rsidRDefault="00742036" w:rsidP="00741D4C">
            <w:pPr>
              <w:pStyle w:val="Normal1linespace"/>
              <w:widowControl w:val="0"/>
              <w:jc w:val="left"/>
              <w:rPr>
                <w:b/>
                <w:caps/>
                <w:szCs w:val="24"/>
              </w:rPr>
            </w:pPr>
            <w:r>
              <w:rPr>
                <w:b/>
              </w:rPr>
              <w:t xml:space="preserve">JUSTICE </w:t>
            </w:r>
            <w:fldSimple w:instr=" REF  Judge  \* MERGEFORMAT " w:fldLock="1">
              <w:r>
                <w:rPr>
                  <w:b/>
                  <w:caps/>
                  <w:szCs w:val="24"/>
                </w:rPr>
                <w:t xml:space="preserve">O'Bryan </w:t>
              </w:r>
              <w:r w:rsidR="00741D4C" w:rsidRPr="00BD321E">
                <w:rPr>
                  <w:b/>
                  <w:caps/>
                  <w:szCs w:val="24"/>
                </w:rPr>
                <w:t>(</w:t>
              </w:r>
              <w:r w:rsidR="00741D4C" w:rsidRPr="00BD321E">
                <w:rPr>
                  <w:b/>
                  <w:szCs w:val="24"/>
                </w:rPr>
                <w:t>Deputy President</w:t>
              </w:r>
              <w:r w:rsidR="00741D4C" w:rsidRPr="00BD321E">
                <w:rPr>
                  <w:b/>
                  <w:caps/>
                  <w:szCs w:val="24"/>
                </w:rPr>
                <w:t>)</w:t>
              </w:r>
            </w:fldSimple>
          </w:p>
          <w:p w14:paraId="7AC16CEE" w14:textId="77777777" w:rsidR="00742036" w:rsidRDefault="00742036" w:rsidP="00741D4C">
            <w:pPr>
              <w:pStyle w:val="Normal1linespace"/>
              <w:widowControl w:val="0"/>
              <w:jc w:val="left"/>
              <w:rPr>
                <w:b/>
                <w:caps/>
                <w:szCs w:val="24"/>
              </w:rPr>
            </w:pPr>
            <w:r>
              <w:rPr>
                <w:b/>
                <w:caps/>
                <w:szCs w:val="24"/>
              </w:rPr>
              <w:t>DR D Abraham (</w:t>
            </w:r>
            <w:r>
              <w:rPr>
                <w:b/>
                <w:szCs w:val="24"/>
              </w:rPr>
              <w:t>Member</w:t>
            </w:r>
            <w:r>
              <w:rPr>
                <w:b/>
                <w:caps/>
                <w:szCs w:val="24"/>
              </w:rPr>
              <w:t>)</w:t>
            </w:r>
          </w:p>
          <w:p w14:paraId="697CDA86" w14:textId="77777777" w:rsidR="00742036" w:rsidRDefault="00742036" w:rsidP="00741D4C">
            <w:pPr>
              <w:pStyle w:val="Normal1linespace"/>
              <w:widowControl w:val="0"/>
              <w:jc w:val="left"/>
              <w:rPr>
                <w:b/>
              </w:rPr>
            </w:pPr>
            <w:r>
              <w:rPr>
                <w:b/>
                <w:caps/>
                <w:szCs w:val="24"/>
              </w:rPr>
              <w:t>Prof K Davis (</w:t>
            </w:r>
            <w:r>
              <w:rPr>
                <w:b/>
                <w:szCs w:val="24"/>
              </w:rPr>
              <w:t>Member</w:t>
            </w:r>
            <w:r>
              <w:rPr>
                <w:b/>
                <w:caps/>
                <w:szCs w:val="24"/>
              </w:rPr>
              <w:t>)</w:t>
            </w:r>
          </w:p>
        </w:tc>
      </w:tr>
      <w:tr w:rsidR="00741D4C" w14:paraId="6BDF0BE9" w14:textId="77777777" w:rsidTr="00663878">
        <w:tc>
          <w:tcPr>
            <w:tcW w:w="3084" w:type="dxa"/>
            <w:shd w:val="clear" w:color="auto" w:fill="auto"/>
          </w:tcPr>
          <w:p w14:paraId="017B07F0" w14:textId="77777777" w:rsidR="00741D4C" w:rsidRDefault="00741D4C" w:rsidP="00741D4C">
            <w:pPr>
              <w:pStyle w:val="Normal1linespace"/>
              <w:widowControl w:val="0"/>
              <w:jc w:val="left"/>
            </w:pPr>
          </w:p>
        </w:tc>
        <w:tc>
          <w:tcPr>
            <w:tcW w:w="5954" w:type="dxa"/>
            <w:shd w:val="clear" w:color="auto" w:fill="auto"/>
          </w:tcPr>
          <w:p w14:paraId="67EC35F6" w14:textId="77777777" w:rsidR="00741D4C" w:rsidRDefault="00741D4C" w:rsidP="00741D4C">
            <w:pPr>
              <w:pStyle w:val="Normal1linespace"/>
              <w:widowControl w:val="0"/>
              <w:jc w:val="left"/>
            </w:pPr>
          </w:p>
        </w:tc>
      </w:tr>
      <w:tr w:rsidR="00741D4C" w14:paraId="7EA1EAF9" w14:textId="77777777" w:rsidTr="00663878">
        <w:tc>
          <w:tcPr>
            <w:tcW w:w="3084" w:type="dxa"/>
            <w:shd w:val="clear" w:color="auto" w:fill="auto"/>
          </w:tcPr>
          <w:p w14:paraId="66D8E460" w14:textId="77777777" w:rsidR="00741D4C" w:rsidRDefault="00125ECD" w:rsidP="00741D4C">
            <w:pPr>
              <w:pStyle w:val="Normal1linespace"/>
              <w:widowControl w:val="0"/>
              <w:jc w:val="left"/>
            </w:pPr>
            <w:r>
              <w:t>Date of d</w:t>
            </w:r>
            <w:r w:rsidR="00741D4C">
              <w:t>etermination:</w:t>
            </w:r>
          </w:p>
        </w:tc>
        <w:tc>
          <w:tcPr>
            <w:tcW w:w="5954" w:type="dxa"/>
            <w:shd w:val="clear" w:color="auto" w:fill="auto"/>
          </w:tcPr>
          <w:p w14:paraId="29BE2519" w14:textId="77777777" w:rsidR="00741D4C" w:rsidRDefault="003A6F45" w:rsidP="00E01AA5">
            <w:pPr>
              <w:pStyle w:val="Normal1linespace"/>
              <w:widowControl w:val="0"/>
              <w:jc w:val="left"/>
            </w:pPr>
            <w:bookmarkStart w:id="1" w:name="JudgmentDate"/>
            <w:r>
              <w:t>4</w:t>
            </w:r>
            <w:r w:rsidR="00100C04">
              <w:t xml:space="preserve"> </w:t>
            </w:r>
            <w:r w:rsidR="00E01AA5">
              <w:t>August</w:t>
            </w:r>
            <w:r w:rsidR="00741D4C">
              <w:t xml:space="preserve"> 2021 </w:t>
            </w:r>
            <w:bookmarkEnd w:id="1"/>
          </w:p>
        </w:tc>
      </w:tr>
      <w:tr w:rsidR="00742036" w14:paraId="52814956" w14:textId="77777777" w:rsidTr="00663878">
        <w:tc>
          <w:tcPr>
            <w:tcW w:w="3084" w:type="dxa"/>
            <w:shd w:val="clear" w:color="auto" w:fill="auto"/>
          </w:tcPr>
          <w:p w14:paraId="24C049D2" w14:textId="77777777" w:rsidR="00742036" w:rsidRDefault="00742036" w:rsidP="00741D4C">
            <w:pPr>
              <w:pStyle w:val="Normal1linespace"/>
              <w:widowControl w:val="0"/>
              <w:jc w:val="left"/>
            </w:pPr>
          </w:p>
        </w:tc>
        <w:tc>
          <w:tcPr>
            <w:tcW w:w="5954" w:type="dxa"/>
            <w:shd w:val="clear" w:color="auto" w:fill="auto"/>
          </w:tcPr>
          <w:p w14:paraId="7FDCBE66" w14:textId="77777777" w:rsidR="00742036" w:rsidRDefault="00742036" w:rsidP="00741D4C">
            <w:pPr>
              <w:pStyle w:val="Normal1linespace"/>
              <w:widowControl w:val="0"/>
              <w:jc w:val="left"/>
            </w:pPr>
          </w:p>
        </w:tc>
      </w:tr>
      <w:tr w:rsidR="00741D4C" w14:paraId="1276FF2D" w14:textId="77777777" w:rsidTr="00663878">
        <w:tc>
          <w:tcPr>
            <w:tcW w:w="3084" w:type="dxa"/>
            <w:shd w:val="clear" w:color="auto" w:fill="auto"/>
          </w:tcPr>
          <w:p w14:paraId="44E752DD" w14:textId="77777777" w:rsidR="00741D4C" w:rsidRDefault="00741D4C" w:rsidP="00741D4C">
            <w:pPr>
              <w:pStyle w:val="Normal1linespace"/>
              <w:widowControl w:val="0"/>
              <w:jc w:val="left"/>
            </w:pPr>
            <w:r>
              <w:t>Catchwords:</w:t>
            </w:r>
          </w:p>
        </w:tc>
        <w:tc>
          <w:tcPr>
            <w:tcW w:w="5954" w:type="dxa"/>
            <w:shd w:val="clear" w:color="auto" w:fill="auto"/>
          </w:tcPr>
          <w:p w14:paraId="7962D454" w14:textId="77777777" w:rsidR="00100C04" w:rsidRDefault="00741D4C" w:rsidP="00E939EE">
            <w:pPr>
              <w:pStyle w:val="Normal1linespace"/>
              <w:widowControl w:val="0"/>
              <w:jc w:val="left"/>
            </w:pPr>
            <w:bookmarkStart w:id="2" w:name="Catchwords"/>
            <w:r>
              <w:rPr>
                <w:b/>
              </w:rPr>
              <w:t xml:space="preserve">TRADE PRACTICES </w:t>
            </w:r>
            <w:r w:rsidRPr="005356FC">
              <w:t>–</w:t>
            </w:r>
            <w:r w:rsidR="001C6F51">
              <w:t xml:space="preserve"> </w:t>
            </w:r>
            <w:r>
              <w:t xml:space="preserve">application </w:t>
            </w:r>
            <w:bookmarkEnd w:id="2"/>
            <w:r w:rsidR="00E01AA5">
              <w:t xml:space="preserve">under s 44K(2) of the </w:t>
            </w:r>
            <w:r w:rsidR="00E01AA5" w:rsidRPr="00285073">
              <w:rPr>
                <w:i/>
              </w:rPr>
              <w:t>Competition and Consumer Act</w:t>
            </w:r>
            <w:r w:rsidR="00E01AA5">
              <w:t xml:space="preserve"> </w:t>
            </w:r>
            <w:r w:rsidR="00E01AA5" w:rsidRPr="00B428F6">
              <w:rPr>
                <w:i/>
              </w:rPr>
              <w:t>2010</w:t>
            </w:r>
            <w:r w:rsidR="00E01AA5">
              <w:t xml:space="preserve"> (</w:t>
            </w:r>
            <w:proofErr w:type="spellStart"/>
            <w:r w:rsidR="00E01AA5">
              <w:t>Cth</w:t>
            </w:r>
            <w:proofErr w:type="spellEnd"/>
            <w:r w:rsidR="00E01AA5">
              <w:t xml:space="preserve">) </w:t>
            </w:r>
            <w:r w:rsidR="00100C04">
              <w:t xml:space="preserve">for </w:t>
            </w:r>
            <w:r w:rsidR="002011AB">
              <w:t xml:space="preserve">review of the decision of the </w:t>
            </w:r>
            <w:r w:rsidR="00E01AA5">
              <w:t>Commonwealth Treasurer</w:t>
            </w:r>
            <w:r w:rsidR="002011AB">
              <w:t xml:space="preserve"> under s 44H not to declare </w:t>
            </w:r>
            <w:r w:rsidR="00E01AA5">
              <w:t xml:space="preserve">the </w:t>
            </w:r>
            <w:r w:rsidR="00E939EE">
              <w:t xml:space="preserve">shipping channel </w:t>
            </w:r>
            <w:r w:rsidR="00DE5798">
              <w:t>service</w:t>
            </w:r>
            <w:r w:rsidR="00E939EE">
              <w:t xml:space="preserve"> at the Port of Newcastle</w:t>
            </w:r>
            <w:r w:rsidR="002B1C14">
              <w:t xml:space="preserve"> – </w:t>
            </w:r>
            <w:r w:rsidR="00E939EE">
              <w:t>consideration of statutory framework for review – consideration of declaration criteria in s 44ZZCA – w</w:t>
            </w:r>
            <w:r w:rsidR="002B1C14">
              <w:t xml:space="preserve">hether </w:t>
            </w:r>
            <w:r w:rsidR="00E939EE">
              <w:t xml:space="preserve">declaration criterion (a) satisfied – whether access on reasonable terms and conditions as a result of declaration would promote a material increase in competition in the coal tenements market in the Hunter Valley – consideration of </w:t>
            </w:r>
            <w:r w:rsidR="00E01AA5">
              <w:t xml:space="preserve">commercial, regulatory and economic constraints facing the Port – consideration of </w:t>
            </w:r>
            <w:r w:rsidR="00DE5798">
              <w:t>prices likely to be charged by the Port for the shipping channel service in the future with and without declaration</w:t>
            </w:r>
            <w:r w:rsidR="00E939EE">
              <w:t xml:space="preserve"> </w:t>
            </w:r>
            <w:r w:rsidR="00DE5798">
              <w:t>– whether declaration criterion (d) satisfied</w:t>
            </w:r>
            <w:r w:rsidR="00E01AA5">
              <w:t xml:space="preserve"> – decision of the Commonwealth Treasurer affirmed</w:t>
            </w:r>
          </w:p>
          <w:p w14:paraId="5F7897DE" w14:textId="77777777" w:rsidR="00E939EE" w:rsidRDefault="00E939EE" w:rsidP="00E939EE">
            <w:pPr>
              <w:pStyle w:val="Normal1linespace"/>
              <w:widowControl w:val="0"/>
              <w:jc w:val="left"/>
            </w:pPr>
          </w:p>
          <w:p w14:paraId="30671B82" w14:textId="77777777" w:rsidR="00E939EE" w:rsidRDefault="00E939EE" w:rsidP="00DE5798">
            <w:pPr>
              <w:pStyle w:val="Normal1linespace"/>
              <w:widowControl w:val="0"/>
              <w:jc w:val="left"/>
            </w:pPr>
            <w:r w:rsidRPr="00E939EE">
              <w:rPr>
                <w:b/>
              </w:rPr>
              <w:t>STATUTORY INTERPRETATION</w:t>
            </w:r>
            <w:r>
              <w:t xml:space="preserve"> </w:t>
            </w:r>
            <w:r w:rsidR="00DE5798">
              <w:t>–</w:t>
            </w:r>
            <w:r>
              <w:t xml:space="preserve"> </w:t>
            </w:r>
            <w:r w:rsidR="00DE5798">
              <w:t>meaning of paragraph 44ZZCA(1)(a) – meaning of the phrase “access on reasonable terms and conditions” – meaning of the word “would” – meaning of the phrase “promote a material increase in competition” – time horizon over which criterion to be considered</w:t>
            </w:r>
          </w:p>
          <w:p w14:paraId="7E97075D" w14:textId="77777777" w:rsidR="00DE5798" w:rsidRDefault="00DE5798" w:rsidP="00DE5798">
            <w:pPr>
              <w:pStyle w:val="Normal1linespace"/>
              <w:widowControl w:val="0"/>
              <w:jc w:val="left"/>
            </w:pPr>
          </w:p>
          <w:p w14:paraId="03028362" w14:textId="77777777" w:rsidR="00DE5798" w:rsidRPr="00DE5798" w:rsidRDefault="00DE5798" w:rsidP="00E01AA5">
            <w:pPr>
              <w:pStyle w:val="Normal1linespace"/>
              <w:widowControl w:val="0"/>
              <w:jc w:val="left"/>
            </w:pPr>
            <w:r w:rsidRPr="00DE5798">
              <w:rPr>
                <w:b/>
              </w:rPr>
              <w:t>COSTS</w:t>
            </w:r>
            <w:r>
              <w:rPr>
                <w:b/>
              </w:rPr>
              <w:t xml:space="preserve"> </w:t>
            </w:r>
            <w:r w:rsidRPr="00DE5798">
              <w:t>– whether</w:t>
            </w:r>
            <w:r>
              <w:rPr>
                <w:b/>
              </w:rPr>
              <w:t xml:space="preserve"> </w:t>
            </w:r>
            <w:r w:rsidRPr="00DE5798">
              <w:t>Tribunal is empowered</w:t>
            </w:r>
            <w:r>
              <w:t xml:space="preserve"> by s 44KB</w:t>
            </w:r>
            <w:r w:rsidRPr="00DE5798">
              <w:t xml:space="preserve"> to award costs </w:t>
            </w:r>
            <w:r>
              <w:t xml:space="preserve">in a review </w:t>
            </w:r>
            <w:r w:rsidR="00E01AA5">
              <w:t xml:space="preserve">under s 44K(2) </w:t>
            </w:r>
            <w:r>
              <w:t>of a decision</w:t>
            </w:r>
            <w:r w:rsidR="00E01AA5">
              <w:t xml:space="preserve"> under s 44H</w:t>
            </w:r>
            <w:r>
              <w:t xml:space="preserve"> not to declare a service </w:t>
            </w:r>
          </w:p>
        </w:tc>
      </w:tr>
      <w:tr w:rsidR="00741D4C" w14:paraId="18138414" w14:textId="77777777" w:rsidTr="00663878">
        <w:tc>
          <w:tcPr>
            <w:tcW w:w="3084" w:type="dxa"/>
            <w:shd w:val="clear" w:color="auto" w:fill="auto"/>
          </w:tcPr>
          <w:p w14:paraId="7A281A24" w14:textId="77777777" w:rsidR="00741D4C" w:rsidRDefault="00741D4C" w:rsidP="00741D4C">
            <w:pPr>
              <w:pStyle w:val="Normal1linespace"/>
              <w:widowControl w:val="0"/>
              <w:jc w:val="left"/>
            </w:pPr>
          </w:p>
        </w:tc>
        <w:tc>
          <w:tcPr>
            <w:tcW w:w="5954" w:type="dxa"/>
            <w:shd w:val="clear" w:color="auto" w:fill="auto"/>
          </w:tcPr>
          <w:p w14:paraId="6F7FE224" w14:textId="77777777" w:rsidR="00741D4C" w:rsidRDefault="00741D4C" w:rsidP="00741D4C">
            <w:pPr>
              <w:pStyle w:val="Normal1linespace"/>
              <w:widowControl w:val="0"/>
              <w:jc w:val="left"/>
            </w:pPr>
          </w:p>
        </w:tc>
      </w:tr>
      <w:tr w:rsidR="00741D4C" w14:paraId="08A11EEE" w14:textId="77777777" w:rsidTr="00663878">
        <w:tc>
          <w:tcPr>
            <w:tcW w:w="3084" w:type="dxa"/>
            <w:shd w:val="clear" w:color="auto" w:fill="auto"/>
          </w:tcPr>
          <w:p w14:paraId="3FBEB6A0" w14:textId="77777777" w:rsidR="00741D4C" w:rsidRDefault="00741D4C" w:rsidP="00741D4C">
            <w:pPr>
              <w:pStyle w:val="Normal1linespace"/>
              <w:widowControl w:val="0"/>
              <w:jc w:val="left"/>
            </w:pPr>
            <w:r>
              <w:t>Legislation:</w:t>
            </w:r>
          </w:p>
        </w:tc>
        <w:tc>
          <w:tcPr>
            <w:tcW w:w="5954" w:type="dxa"/>
            <w:shd w:val="clear" w:color="auto" w:fill="auto"/>
          </w:tcPr>
          <w:p w14:paraId="1270FD48" w14:textId="77777777" w:rsidR="00741D4C" w:rsidRDefault="006A7DC3">
            <w:pPr>
              <w:pStyle w:val="CasesLegislationAppealFrom"/>
              <w:spacing w:after="60"/>
              <w:rPr>
                <w:lang w:eastAsia="en-AU"/>
              </w:rPr>
            </w:pPr>
            <w:r w:rsidRPr="00664EBD">
              <w:rPr>
                <w:i/>
                <w:lang w:eastAsia="en-AU"/>
              </w:rPr>
              <w:t>Competition and Consumer Act 2010</w:t>
            </w:r>
            <w:r w:rsidRPr="00664EBD">
              <w:rPr>
                <w:lang w:eastAsia="en-AU"/>
              </w:rPr>
              <w:t xml:space="preserve"> (</w:t>
            </w:r>
            <w:proofErr w:type="spellStart"/>
            <w:r w:rsidRPr="00664EBD">
              <w:rPr>
                <w:lang w:eastAsia="en-AU"/>
              </w:rPr>
              <w:t>Cth</w:t>
            </w:r>
            <w:proofErr w:type="spellEnd"/>
            <w:r w:rsidRPr="00664EBD">
              <w:rPr>
                <w:lang w:eastAsia="en-AU"/>
              </w:rPr>
              <w:t xml:space="preserve">) </w:t>
            </w:r>
            <w:proofErr w:type="spellStart"/>
            <w:r w:rsidRPr="00664EBD">
              <w:rPr>
                <w:lang w:eastAsia="en-AU"/>
              </w:rPr>
              <w:t>ss</w:t>
            </w:r>
            <w:proofErr w:type="spellEnd"/>
            <w:r w:rsidRPr="00664EBD">
              <w:rPr>
                <w:lang w:eastAsia="en-AU"/>
              </w:rPr>
              <w:t xml:space="preserve"> </w:t>
            </w:r>
            <w:r w:rsidR="008268A8" w:rsidRPr="00664EBD">
              <w:rPr>
                <w:lang w:eastAsia="en-AU"/>
              </w:rPr>
              <w:t>44CA</w:t>
            </w:r>
            <w:r w:rsidR="001F5F75" w:rsidRPr="00664EBD">
              <w:rPr>
                <w:lang w:eastAsia="en-AU"/>
              </w:rPr>
              <w:t>,</w:t>
            </w:r>
            <w:r w:rsidRPr="00664EBD">
              <w:rPr>
                <w:lang w:eastAsia="en-AU"/>
              </w:rPr>
              <w:t xml:space="preserve"> 44F, </w:t>
            </w:r>
            <w:r w:rsidR="00B95D21" w:rsidRPr="00664EBD">
              <w:rPr>
                <w:lang w:eastAsia="en-AU"/>
              </w:rPr>
              <w:t xml:space="preserve">44GC, </w:t>
            </w:r>
            <w:r w:rsidRPr="00664EBD">
              <w:rPr>
                <w:lang w:eastAsia="en-AU"/>
              </w:rPr>
              <w:t>44H</w:t>
            </w:r>
            <w:r w:rsidR="00223861" w:rsidRPr="00664EBD">
              <w:rPr>
                <w:lang w:eastAsia="en-AU"/>
              </w:rPr>
              <w:t xml:space="preserve">, </w:t>
            </w:r>
            <w:r w:rsidR="005C1314" w:rsidRPr="00664EBD">
              <w:rPr>
                <w:lang w:eastAsia="en-AU"/>
              </w:rPr>
              <w:t xml:space="preserve">44HA, </w:t>
            </w:r>
            <w:r w:rsidR="001F3FF3" w:rsidRPr="00664EBD">
              <w:rPr>
                <w:lang w:eastAsia="en-AU"/>
              </w:rPr>
              <w:t xml:space="preserve">44J, </w:t>
            </w:r>
            <w:r w:rsidR="008268A8" w:rsidRPr="00664EBD">
              <w:rPr>
                <w:lang w:eastAsia="en-AU"/>
              </w:rPr>
              <w:t>44K</w:t>
            </w:r>
            <w:r w:rsidR="00603B15" w:rsidRPr="00664EBD">
              <w:rPr>
                <w:lang w:eastAsia="en-AU"/>
              </w:rPr>
              <w:t xml:space="preserve">, </w:t>
            </w:r>
            <w:r w:rsidR="00E01AA5">
              <w:rPr>
                <w:lang w:eastAsia="en-AU"/>
              </w:rPr>
              <w:t xml:space="preserve">44KB, </w:t>
            </w:r>
            <w:r w:rsidR="008268A8" w:rsidRPr="00664EBD">
              <w:rPr>
                <w:lang w:eastAsia="en-AU"/>
              </w:rPr>
              <w:t>44ZZOAAA</w:t>
            </w:r>
            <w:r w:rsidR="00A40B13">
              <w:rPr>
                <w:lang w:eastAsia="en-AU"/>
              </w:rPr>
              <w:t xml:space="preserve">, </w:t>
            </w:r>
            <w:r w:rsidR="00A40B13" w:rsidRPr="00664EBD">
              <w:rPr>
                <w:lang w:eastAsia="en-AU"/>
              </w:rPr>
              <w:lastRenderedPageBreak/>
              <w:t>44ZZOAA,</w:t>
            </w:r>
            <w:r w:rsidR="00A40B13">
              <w:rPr>
                <w:lang w:eastAsia="en-AU"/>
              </w:rPr>
              <w:t xml:space="preserve"> 44ZZOA</w:t>
            </w:r>
          </w:p>
          <w:p w14:paraId="13B16EE1" w14:textId="77777777" w:rsidR="001F3FF3" w:rsidRDefault="001F3FF3">
            <w:pPr>
              <w:pStyle w:val="CasesLegislationAppealFrom"/>
              <w:spacing w:after="60"/>
              <w:rPr>
                <w:lang w:eastAsia="en-AU"/>
              </w:rPr>
            </w:pPr>
            <w:r w:rsidRPr="00044C98">
              <w:rPr>
                <w:i/>
                <w:lang w:eastAsia="en-AU"/>
              </w:rPr>
              <w:t>Competition and Consumer Amendment (Competition Policy Review) Act 2017</w:t>
            </w:r>
            <w:r>
              <w:rPr>
                <w:lang w:eastAsia="en-AU"/>
              </w:rPr>
              <w:t xml:space="preserve"> (</w:t>
            </w:r>
            <w:proofErr w:type="spellStart"/>
            <w:r>
              <w:rPr>
                <w:lang w:eastAsia="en-AU"/>
              </w:rPr>
              <w:t>Cth</w:t>
            </w:r>
            <w:proofErr w:type="spellEnd"/>
            <w:r>
              <w:rPr>
                <w:lang w:eastAsia="en-AU"/>
              </w:rPr>
              <w:t>)</w:t>
            </w:r>
          </w:p>
          <w:p w14:paraId="18F7584D" w14:textId="77777777" w:rsidR="00E01AA5" w:rsidRDefault="001A02C6">
            <w:pPr>
              <w:pStyle w:val="CasesLegislationAppealFrom"/>
              <w:spacing w:after="60"/>
              <w:rPr>
                <w:szCs w:val="24"/>
                <w:lang w:eastAsia="en-AU"/>
              </w:rPr>
            </w:pPr>
            <w:r w:rsidRPr="001A02C6">
              <w:rPr>
                <w:i/>
                <w:szCs w:val="24"/>
                <w:lang w:eastAsia="en-AU"/>
              </w:rPr>
              <w:t>Competition Policy Reform Act 1995</w:t>
            </w:r>
            <w:r w:rsidRPr="001A02C6">
              <w:rPr>
                <w:szCs w:val="24"/>
                <w:lang w:eastAsia="en-AU"/>
              </w:rPr>
              <w:t xml:space="preserve"> (</w:t>
            </w:r>
            <w:proofErr w:type="spellStart"/>
            <w:r w:rsidRPr="001A02C6">
              <w:rPr>
                <w:szCs w:val="24"/>
                <w:lang w:eastAsia="en-AU"/>
              </w:rPr>
              <w:t>Cth</w:t>
            </w:r>
            <w:proofErr w:type="spellEnd"/>
            <w:r w:rsidRPr="001A02C6">
              <w:rPr>
                <w:szCs w:val="24"/>
                <w:lang w:eastAsia="en-AU"/>
              </w:rPr>
              <w:t>)</w:t>
            </w:r>
          </w:p>
          <w:p w14:paraId="64033C0A" w14:textId="77777777" w:rsidR="00043C4C" w:rsidRDefault="00E97FD9">
            <w:pPr>
              <w:pStyle w:val="CasesLegislationAppealFrom"/>
              <w:spacing w:after="60"/>
              <w:rPr>
                <w:lang w:eastAsia="en-AU"/>
              </w:rPr>
            </w:pPr>
            <w:r w:rsidRPr="00F74041">
              <w:rPr>
                <w:i/>
                <w:lang w:eastAsia="en-AU"/>
              </w:rPr>
              <w:t>Trade Practices Amendment (Infrastructure Access) Act 2010</w:t>
            </w:r>
            <w:r>
              <w:rPr>
                <w:lang w:eastAsia="en-AU"/>
              </w:rPr>
              <w:t xml:space="preserve"> (</w:t>
            </w:r>
            <w:proofErr w:type="spellStart"/>
            <w:r>
              <w:rPr>
                <w:lang w:eastAsia="en-AU"/>
              </w:rPr>
              <w:t>Cth</w:t>
            </w:r>
            <w:proofErr w:type="spellEnd"/>
            <w:r>
              <w:rPr>
                <w:lang w:eastAsia="en-AU"/>
              </w:rPr>
              <w:t>)</w:t>
            </w:r>
          </w:p>
          <w:p w14:paraId="6B234311" w14:textId="77777777" w:rsidR="001A02C6" w:rsidRDefault="001A02C6">
            <w:pPr>
              <w:pStyle w:val="CasesLegislationAppealFrom"/>
              <w:spacing w:after="60"/>
              <w:rPr>
                <w:lang w:eastAsia="en-AU"/>
              </w:rPr>
            </w:pPr>
            <w:r w:rsidRPr="001A02C6">
              <w:rPr>
                <w:i/>
                <w:lang w:eastAsia="en-AU"/>
              </w:rPr>
              <w:t>Trade Practices Amendment (National Access Regime) Act 2006</w:t>
            </w:r>
            <w:r w:rsidRPr="001A02C6">
              <w:rPr>
                <w:lang w:eastAsia="en-AU"/>
              </w:rPr>
              <w:t xml:space="preserve"> (</w:t>
            </w:r>
            <w:proofErr w:type="spellStart"/>
            <w:r w:rsidRPr="001A02C6">
              <w:rPr>
                <w:lang w:eastAsia="en-AU"/>
              </w:rPr>
              <w:t>Cth</w:t>
            </w:r>
            <w:proofErr w:type="spellEnd"/>
            <w:r w:rsidRPr="001A02C6">
              <w:rPr>
                <w:lang w:eastAsia="en-AU"/>
              </w:rPr>
              <w:t>)</w:t>
            </w:r>
          </w:p>
          <w:p w14:paraId="42D0D18C" w14:textId="77777777" w:rsidR="00C31053" w:rsidRPr="00C31053" w:rsidRDefault="00C31053" w:rsidP="00C31053">
            <w:pPr>
              <w:spacing w:line="240" w:lineRule="auto"/>
              <w:rPr>
                <w:szCs w:val="24"/>
                <w:lang w:eastAsia="en-AU"/>
              </w:rPr>
            </w:pPr>
            <w:r w:rsidRPr="001A02C6">
              <w:rPr>
                <w:i/>
                <w:szCs w:val="24"/>
                <w:lang w:eastAsia="en-AU"/>
              </w:rPr>
              <w:t>Ports and Maritime Administration Act 1995</w:t>
            </w:r>
            <w:r w:rsidRPr="001A02C6">
              <w:rPr>
                <w:szCs w:val="24"/>
                <w:lang w:eastAsia="en-AU"/>
              </w:rPr>
              <w:t xml:space="preserve"> (NSW)</w:t>
            </w:r>
            <w:r>
              <w:rPr>
                <w:szCs w:val="24"/>
                <w:lang w:eastAsia="en-AU"/>
              </w:rPr>
              <w:t xml:space="preserve"> </w:t>
            </w:r>
            <w:proofErr w:type="spellStart"/>
            <w:r>
              <w:rPr>
                <w:szCs w:val="24"/>
                <w:lang w:eastAsia="en-AU"/>
              </w:rPr>
              <w:t>ss</w:t>
            </w:r>
            <w:proofErr w:type="spellEnd"/>
            <w:r>
              <w:rPr>
                <w:szCs w:val="24"/>
                <w:lang w:eastAsia="en-AU"/>
              </w:rPr>
              <w:t xml:space="preserve"> 48, 50, 51, 60, 61, 67, 77, 79, 80</w:t>
            </w:r>
          </w:p>
          <w:p w14:paraId="6003B0C3" w14:textId="77777777" w:rsidR="001A02C6" w:rsidRDefault="001A02C6">
            <w:pPr>
              <w:pStyle w:val="CasesLegislationAppealFrom"/>
              <w:spacing w:after="60"/>
              <w:rPr>
                <w:lang w:eastAsia="en-AU"/>
              </w:rPr>
            </w:pPr>
            <w:r w:rsidRPr="001A02C6">
              <w:rPr>
                <w:i/>
                <w:lang w:eastAsia="en-AU"/>
              </w:rPr>
              <w:t>Ports and Maritime Administration Regulations 2012</w:t>
            </w:r>
            <w:r w:rsidRPr="001A02C6">
              <w:rPr>
                <w:lang w:eastAsia="en-AU"/>
              </w:rPr>
              <w:t xml:space="preserve"> (NSW)</w:t>
            </w:r>
          </w:p>
        </w:tc>
      </w:tr>
      <w:tr w:rsidR="00741D4C" w14:paraId="04365572" w14:textId="77777777" w:rsidTr="00663878">
        <w:tc>
          <w:tcPr>
            <w:tcW w:w="3084" w:type="dxa"/>
            <w:shd w:val="clear" w:color="auto" w:fill="auto"/>
          </w:tcPr>
          <w:p w14:paraId="282C4E21" w14:textId="77777777" w:rsidR="00741D4C" w:rsidRDefault="00741D4C" w:rsidP="00741D4C">
            <w:pPr>
              <w:pStyle w:val="Normal1linespace"/>
              <w:widowControl w:val="0"/>
              <w:jc w:val="left"/>
            </w:pPr>
          </w:p>
        </w:tc>
        <w:tc>
          <w:tcPr>
            <w:tcW w:w="5954" w:type="dxa"/>
            <w:shd w:val="clear" w:color="auto" w:fill="auto"/>
          </w:tcPr>
          <w:p w14:paraId="46BE0E45" w14:textId="77777777" w:rsidR="00741D4C" w:rsidRDefault="00741D4C" w:rsidP="00741D4C">
            <w:pPr>
              <w:pStyle w:val="Normal1linespace"/>
              <w:widowControl w:val="0"/>
              <w:jc w:val="left"/>
            </w:pPr>
          </w:p>
        </w:tc>
      </w:tr>
      <w:tr w:rsidR="00741D4C" w14:paraId="228F1453" w14:textId="77777777" w:rsidTr="00663878">
        <w:tc>
          <w:tcPr>
            <w:tcW w:w="3084" w:type="dxa"/>
            <w:shd w:val="clear" w:color="auto" w:fill="auto"/>
          </w:tcPr>
          <w:p w14:paraId="3378AADD" w14:textId="77777777" w:rsidR="00741D4C" w:rsidRDefault="00741D4C" w:rsidP="00741D4C">
            <w:pPr>
              <w:pStyle w:val="Normal1linespace"/>
              <w:widowControl w:val="0"/>
              <w:jc w:val="left"/>
            </w:pPr>
            <w:r>
              <w:t>Cases cited:</w:t>
            </w:r>
          </w:p>
        </w:tc>
        <w:tc>
          <w:tcPr>
            <w:tcW w:w="5954" w:type="dxa"/>
            <w:shd w:val="clear" w:color="auto" w:fill="auto"/>
          </w:tcPr>
          <w:p w14:paraId="373FBFD2" w14:textId="77777777" w:rsidR="00EC7767" w:rsidRPr="00EC7767" w:rsidRDefault="00EC7767" w:rsidP="00EC7767">
            <w:pPr>
              <w:spacing w:after="60" w:line="240" w:lineRule="auto"/>
              <w:rPr>
                <w:lang w:eastAsia="en-AU"/>
              </w:rPr>
            </w:pPr>
            <w:r w:rsidRPr="00EC7767">
              <w:rPr>
                <w:i/>
                <w:lang w:eastAsia="en-AU"/>
              </w:rPr>
              <w:t>ACCC v Pacific National</w:t>
            </w:r>
            <w:r w:rsidRPr="00EC7767">
              <w:rPr>
                <w:lang w:eastAsia="en-AU"/>
              </w:rPr>
              <w:t xml:space="preserve"> (2020) 277 FCR 49</w:t>
            </w:r>
          </w:p>
          <w:p w14:paraId="23AEA578" w14:textId="77777777" w:rsidR="00EC7767" w:rsidRPr="00EC7767" w:rsidRDefault="00EC7767" w:rsidP="00EC7767">
            <w:pPr>
              <w:spacing w:after="60" w:line="240" w:lineRule="auto"/>
              <w:rPr>
                <w:lang w:eastAsia="en-AU"/>
              </w:rPr>
            </w:pPr>
            <w:r w:rsidRPr="00EC7767">
              <w:rPr>
                <w:i/>
                <w:lang w:eastAsia="en-AU"/>
              </w:rPr>
              <w:t xml:space="preserve">Application by Medicines Australia </w:t>
            </w:r>
            <w:proofErr w:type="spellStart"/>
            <w:r w:rsidRPr="00EC7767">
              <w:rPr>
                <w:i/>
                <w:lang w:eastAsia="en-AU"/>
              </w:rPr>
              <w:t>Inc</w:t>
            </w:r>
            <w:proofErr w:type="spellEnd"/>
            <w:r w:rsidRPr="00EC7767">
              <w:rPr>
                <w:lang w:eastAsia="en-AU"/>
              </w:rPr>
              <w:t xml:space="preserve"> [2007] </w:t>
            </w:r>
            <w:proofErr w:type="spellStart"/>
            <w:r w:rsidRPr="00EC7767">
              <w:rPr>
                <w:lang w:eastAsia="en-AU"/>
              </w:rPr>
              <w:t>ACompT</w:t>
            </w:r>
            <w:proofErr w:type="spellEnd"/>
            <w:r w:rsidRPr="00EC7767">
              <w:rPr>
                <w:lang w:eastAsia="en-AU"/>
              </w:rPr>
              <w:t xml:space="preserve"> 4; ATPR 42-164</w:t>
            </w:r>
          </w:p>
          <w:p w14:paraId="7E0EBFB0" w14:textId="77777777" w:rsidR="00EC7767" w:rsidRDefault="00EC7767" w:rsidP="00EC7767">
            <w:pPr>
              <w:spacing w:after="60" w:line="240" w:lineRule="auto"/>
              <w:rPr>
                <w:i/>
                <w:lang w:eastAsia="en-AU"/>
              </w:rPr>
            </w:pPr>
            <w:r w:rsidRPr="00EC7767">
              <w:rPr>
                <w:i/>
                <w:lang w:eastAsia="en-AU"/>
              </w:rPr>
              <w:t xml:space="preserve">Application by New South Wales Minerals Council (No 2) </w:t>
            </w:r>
            <w:r w:rsidRPr="00EC7767">
              <w:rPr>
                <w:lang w:eastAsia="en-AU"/>
              </w:rPr>
              <w:t xml:space="preserve">[2021] </w:t>
            </w:r>
            <w:proofErr w:type="spellStart"/>
            <w:r w:rsidRPr="00EC7767">
              <w:rPr>
                <w:lang w:eastAsia="en-AU"/>
              </w:rPr>
              <w:t>ACompT</w:t>
            </w:r>
            <w:proofErr w:type="spellEnd"/>
            <w:r w:rsidRPr="00EC7767">
              <w:rPr>
                <w:lang w:eastAsia="en-AU"/>
              </w:rPr>
              <w:t xml:space="preserve"> 3</w:t>
            </w:r>
          </w:p>
          <w:p w14:paraId="16DCADA3" w14:textId="77777777" w:rsidR="00EC7767" w:rsidRPr="00EC7767" w:rsidRDefault="00EC7767" w:rsidP="00EC7767">
            <w:pPr>
              <w:spacing w:after="60" w:line="240" w:lineRule="auto"/>
              <w:rPr>
                <w:i/>
                <w:lang w:eastAsia="en-AU"/>
              </w:rPr>
            </w:pPr>
            <w:r w:rsidRPr="00EC7767">
              <w:rPr>
                <w:i/>
                <w:lang w:eastAsia="en-AU"/>
              </w:rPr>
              <w:t xml:space="preserve">Application by New South Wales Minerals Council </w:t>
            </w:r>
            <w:r w:rsidRPr="00EC7767">
              <w:rPr>
                <w:lang w:eastAsia="en-AU"/>
              </w:rPr>
              <w:t xml:space="preserve">[2021] </w:t>
            </w:r>
            <w:proofErr w:type="spellStart"/>
            <w:r w:rsidRPr="00EC7767">
              <w:rPr>
                <w:lang w:eastAsia="en-AU"/>
              </w:rPr>
              <w:t>ACompT</w:t>
            </w:r>
            <w:proofErr w:type="spellEnd"/>
            <w:r w:rsidRPr="00EC7767">
              <w:rPr>
                <w:lang w:eastAsia="en-AU"/>
              </w:rPr>
              <w:t xml:space="preserve"> 2</w:t>
            </w:r>
          </w:p>
          <w:p w14:paraId="2AFE12DE" w14:textId="77777777" w:rsidR="00EC7767" w:rsidRPr="00EC7767" w:rsidRDefault="00EC7767" w:rsidP="00EC7767">
            <w:pPr>
              <w:spacing w:after="60" w:line="240" w:lineRule="auto"/>
              <w:rPr>
                <w:lang w:eastAsia="en-AU"/>
              </w:rPr>
            </w:pPr>
            <w:r w:rsidRPr="00EC7767">
              <w:rPr>
                <w:i/>
                <w:lang w:eastAsia="en-AU"/>
              </w:rPr>
              <w:t>Application by Port of Newcastle Operations Pty Ltd</w:t>
            </w:r>
            <w:r w:rsidRPr="00EC7767">
              <w:rPr>
                <w:lang w:eastAsia="en-AU"/>
              </w:rPr>
              <w:t xml:space="preserve"> [2019] </w:t>
            </w:r>
            <w:proofErr w:type="spellStart"/>
            <w:r w:rsidRPr="00EC7767">
              <w:rPr>
                <w:lang w:eastAsia="en-AU"/>
              </w:rPr>
              <w:t>ACompT</w:t>
            </w:r>
            <w:proofErr w:type="spellEnd"/>
            <w:r w:rsidRPr="00EC7767">
              <w:rPr>
                <w:lang w:eastAsia="en-AU"/>
              </w:rPr>
              <w:t xml:space="preserve"> 1</w:t>
            </w:r>
          </w:p>
          <w:p w14:paraId="7026A184" w14:textId="77777777" w:rsidR="00EC7767" w:rsidRPr="00EC7767" w:rsidRDefault="00EC7767" w:rsidP="00EC7767">
            <w:pPr>
              <w:spacing w:after="60" w:line="240" w:lineRule="auto"/>
              <w:rPr>
                <w:lang w:eastAsia="en-AU"/>
              </w:rPr>
            </w:pPr>
            <w:r w:rsidRPr="00EC7767">
              <w:rPr>
                <w:i/>
                <w:lang w:eastAsia="en-AU"/>
              </w:rPr>
              <w:t>Brandy v Human Rights and Equal Opportunity Commission</w:t>
            </w:r>
            <w:r w:rsidRPr="00EC7767">
              <w:rPr>
                <w:lang w:eastAsia="en-AU"/>
              </w:rPr>
              <w:t xml:space="preserve"> (1995) 183 CLR 245</w:t>
            </w:r>
          </w:p>
          <w:p w14:paraId="150F411D" w14:textId="77777777" w:rsidR="00EC7767" w:rsidRPr="00EC7767" w:rsidRDefault="00EC7767" w:rsidP="00EC7767">
            <w:pPr>
              <w:spacing w:after="60" w:line="240" w:lineRule="auto"/>
              <w:rPr>
                <w:lang w:eastAsia="en-AU"/>
              </w:rPr>
            </w:pPr>
            <w:r w:rsidRPr="00EC7767">
              <w:rPr>
                <w:i/>
                <w:lang w:eastAsia="en-AU"/>
              </w:rPr>
              <w:t xml:space="preserve">Builders Licensing Board v </w:t>
            </w:r>
            <w:proofErr w:type="spellStart"/>
            <w:r w:rsidRPr="00EC7767">
              <w:rPr>
                <w:i/>
                <w:lang w:eastAsia="en-AU"/>
              </w:rPr>
              <w:t>Sperway</w:t>
            </w:r>
            <w:proofErr w:type="spellEnd"/>
            <w:r w:rsidRPr="00EC7767">
              <w:rPr>
                <w:i/>
                <w:lang w:eastAsia="en-AU"/>
              </w:rPr>
              <w:t xml:space="preserve"> Constructions (Syd) Pty Ltd</w:t>
            </w:r>
            <w:r w:rsidRPr="00EC7767">
              <w:rPr>
                <w:lang w:eastAsia="en-AU"/>
              </w:rPr>
              <w:t xml:space="preserve"> (1976) 135 CLR 616</w:t>
            </w:r>
          </w:p>
          <w:p w14:paraId="0541A844" w14:textId="77777777" w:rsidR="00EC7767" w:rsidRPr="00EC7767" w:rsidRDefault="00EC7767" w:rsidP="00EC7767">
            <w:pPr>
              <w:spacing w:after="60" w:line="240" w:lineRule="auto"/>
              <w:rPr>
                <w:lang w:eastAsia="en-AU"/>
              </w:rPr>
            </w:pPr>
            <w:r w:rsidRPr="00EC7767">
              <w:rPr>
                <w:i/>
                <w:lang w:eastAsia="en-AU"/>
              </w:rPr>
              <w:t>Coal and Allied Operations Pty Ltd v Australian Industrial Relations Commission</w:t>
            </w:r>
            <w:r w:rsidRPr="00EC7767">
              <w:rPr>
                <w:lang w:eastAsia="en-AU"/>
              </w:rPr>
              <w:t xml:space="preserve"> (2000) 203 CLR 194</w:t>
            </w:r>
          </w:p>
          <w:p w14:paraId="42E0EB0E" w14:textId="77777777" w:rsidR="00EC7767" w:rsidRPr="00EC7767" w:rsidRDefault="00EC7767" w:rsidP="00EC7767">
            <w:pPr>
              <w:spacing w:after="60" w:line="240" w:lineRule="auto"/>
              <w:rPr>
                <w:lang w:eastAsia="en-AU"/>
              </w:rPr>
            </w:pPr>
            <w:r w:rsidRPr="00EC7767">
              <w:rPr>
                <w:i/>
                <w:lang w:eastAsia="en-AU"/>
              </w:rPr>
              <w:t>Drake v Minister for Immigration and Ethnic Affairs</w:t>
            </w:r>
            <w:r w:rsidRPr="00EC7767">
              <w:rPr>
                <w:lang w:eastAsia="en-AU"/>
              </w:rPr>
              <w:t xml:space="preserve"> </w:t>
            </w:r>
            <w:r w:rsidR="00D31E21" w:rsidRPr="00C31053">
              <w:rPr>
                <w:lang w:eastAsia="en-AU"/>
              </w:rPr>
              <w:t>(</w:t>
            </w:r>
            <w:r w:rsidR="00D31E21" w:rsidRPr="00367925">
              <w:rPr>
                <w:lang w:eastAsia="en-AU"/>
              </w:rPr>
              <w:t>1979</w:t>
            </w:r>
            <w:r w:rsidR="00D31E21" w:rsidRPr="00D5326B">
              <w:rPr>
                <w:lang w:eastAsia="en-AU"/>
              </w:rPr>
              <w:t xml:space="preserve">) </w:t>
            </w:r>
            <w:r w:rsidR="00D31E21" w:rsidRPr="00177558">
              <w:rPr>
                <w:lang w:eastAsia="en-AU"/>
              </w:rPr>
              <w:t>2 ALD 60</w:t>
            </w:r>
          </w:p>
          <w:p w14:paraId="49A65453" w14:textId="77777777" w:rsidR="00EC7767" w:rsidRPr="00EC7767" w:rsidRDefault="00EC7767" w:rsidP="00EC7767">
            <w:pPr>
              <w:spacing w:after="60" w:line="240" w:lineRule="auto"/>
              <w:rPr>
                <w:lang w:eastAsia="en-AU"/>
              </w:rPr>
            </w:pPr>
            <w:r w:rsidRPr="00EC7767">
              <w:rPr>
                <w:i/>
                <w:lang w:eastAsia="en-AU"/>
              </w:rPr>
              <w:t xml:space="preserve">East Australian Pipeline Pty Ltd v Australian Competition and Consumer Commission </w:t>
            </w:r>
            <w:r w:rsidRPr="00EC7767">
              <w:rPr>
                <w:lang w:eastAsia="en-AU"/>
              </w:rPr>
              <w:t>(2007) 233 CLR 229</w:t>
            </w:r>
          </w:p>
          <w:p w14:paraId="0CFDBEA2" w14:textId="77777777" w:rsidR="00EC7767" w:rsidRPr="00EC7767" w:rsidRDefault="00EC7767" w:rsidP="00EC7767">
            <w:pPr>
              <w:spacing w:after="60" w:line="240" w:lineRule="auto"/>
              <w:rPr>
                <w:lang w:eastAsia="en-AU"/>
              </w:rPr>
            </w:pPr>
            <w:r w:rsidRPr="00EC7767">
              <w:rPr>
                <w:i/>
                <w:lang w:eastAsia="en-AU"/>
              </w:rPr>
              <w:t>Glencore Coal Assets Australia Pty Ltd v Australian Competition Tribunal</w:t>
            </w:r>
            <w:r w:rsidRPr="00EC7767">
              <w:rPr>
                <w:lang w:eastAsia="en-AU"/>
              </w:rPr>
              <w:t xml:space="preserve"> </w:t>
            </w:r>
            <w:r w:rsidR="00E01AA5">
              <w:rPr>
                <w:lang w:eastAsia="en-AU"/>
              </w:rPr>
              <w:t>(2020) 280 FCR 194</w:t>
            </w:r>
          </w:p>
          <w:p w14:paraId="7D871574" w14:textId="77777777" w:rsidR="00EC7767" w:rsidRPr="00EC7767" w:rsidRDefault="00EC7767" w:rsidP="00EC7767">
            <w:pPr>
              <w:spacing w:after="60" w:line="240" w:lineRule="auto"/>
              <w:rPr>
                <w:lang w:eastAsia="en-AU"/>
              </w:rPr>
            </w:pPr>
            <w:r w:rsidRPr="00EC7767">
              <w:rPr>
                <w:i/>
                <w:lang w:eastAsia="en-AU"/>
              </w:rPr>
              <w:t>O’Sullivan v Australian Securities and Investments Commission</w:t>
            </w:r>
            <w:r w:rsidRPr="00EC7767">
              <w:rPr>
                <w:lang w:eastAsia="en-AU"/>
              </w:rPr>
              <w:t xml:space="preserve"> </w:t>
            </w:r>
            <w:r w:rsidR="00E01AA5">
              <w:rPr>
                <w:lang w:eastAsia="en-AU"/>
              </w:rPr>
              <w:t>(2018) 160 ALD 233</w:t>
            </w:r>
          </w:p>
          <w:p w14:paraId="424F03B8" w14:textId="77777777" w:rsidR="00EC7767" w:rsidRPr="00EC7767" w:rsidRDefault="00EC7767" w:rsidP="00EC7767">
            <w:pPr>
              <w:spacing w:after="60" w:line="240" w:lineRule="auto"/>
              <w:rPr>
                <w:b/>
                <w:sz w:val="22"/>
              </w:rPr>
            </w:pPr>
            <w:r w:rsidRPr="00EC7767">
              <w:rPr>
                <w:i/>
                <w:lang w:eastAsia="en-AU"/>
              </w:rPr>
              <w:t>Pilbara Infrastructure Pty Ltd v Australian Competition Tribunal</w:t>
            </w:r>
            <w:r w:rsidRPr="00EC7767">
              <w:rPr>
                <w:lang w:eastAsia="en-AU"/>
              </w:rPr>
              <w:t xml:space="preserve"> (2012) 246 CLR 379</w:t>
            </w:r>
          </w:p>
          <w:p w14:paraId="6C4E77FE" w14:textId="77777777" w:rsidR="00EC7767" w:rsidRPr="00EC7767" w:rsidRDefault="00EC7767" w:rsidP="00EC7767">
            <w:pPr>
              <w:spacing w:after="60" w:line="240" w:lineRule="auto"/>
              <w:rPr>
                <w:lang w:eastAsia="en-AU"/>
              </w:rPr>
            </w:pPr>
            <w:r w:rsidRPr="00EC7767">
              <w:rPr>
                <w:i/>
                <w:lang w:eastAsia="en-AU"/>
              </w:rPr>
              <w:t>Port of Newcastle Operations Pty Ltd v Australian Competition Tribunal</w:t>
            </w:r>
            <w:r w:rsidRPr="00EC7767">
              <w:rPr>
                <w:lang w:eastAsia="en-AU"/>
              </w:rPr>
              <w:t xml:space="preserve"> (2017) 253 FCR 115</w:t>
            </w:r>
          </w:p>
          <w:p w14:paraId="195E366C" w14:textId="77777777" w:rsidR="00EC7767" w:rsidRPr="00EC7767" w:rsidRDefault="00EC7767" w:rsidP="00EC7767">
            <w:pPr>
              <w:spacing w:after="60" w:line="240" w:lineRule="auto"/>
              <w:rPr>
                <w:lang w:eastAsia="en-AU"/>
              </w:rPr>
            </w:pPr>
            <w:r w:rsidRPr="00EC7767">
              <w:rPr>
                <w:i/>
                <w:lang w:eastAsia="en-AU"/>
              </w:rPr>
              <w:t>Re Australian Consumers’ Association’s Application</w:t>
            </w:r>
            <w:r w:rsidRPr="00EC7767">
              <w:rPr>
                <w:lang w:eastAsia="en-AU"/>
              </w:rPr>
              <w:t xml:space="preserve"> (1987) 82 ALR 115</w:t>
            </w:r>
          </w:p>
          <w:p w14:paraId="4E5A9D7B" w14:textId="77777777" w:rsidR="00EC7767" w:rsidRPr="00EC7767" w:rsidRDefault="00EC7767" w:rsidP="00EC7767">
            <w:pPr>
              <w:spacing w:after="60" w:line="240" w:lineRule="auto"/>
              <w:rPr>
                <w:lang w:eastAsia="en-AU"/>
              </w:rPr>
            </w:pPr>
            <w:r w:rsidRPr="00EC7767">
              <w:rPr>
                <w:i/>
                <w:lang w:eastAsia="en-AU"/>
              </w:rPr>
              <w:t>Re Duke Eastern Gas Pipeline Pty Ltd</w:t>
            </w:r>
            <w:r w:rsidRPr="00EC7767">
              <w:rPr>
                <w:lang w:eastAsia="en-AU"/>
              </w:rPr>
              <w:t xml:space="preserve"> [2001] </w:t>
            </w:r>
            <w:proofErr w:type="spellStart"/>
            <w:r w:rsidRPr="00EC7767">
              <w:rPr>
                <w:lang w:eastAsia="en-AU"/>
              </w:rPr>
              <w:t>ACompT</w:t>
            </w:r>
            <w:proofErr w:type="spellEnd"/>
            <w:r w:rsidRPr="00EC7767">
              <w:rPr>
                <w:lang w:eastAsia="en-AU"/>
              </w:rPr>
              <w:t xml:space="preserve"> 2; 162 FLR 1</w:t>
            </w:r>
          </w:p>
          <w:p w14:paraId="05586622" w14:textId="77777777" w:rsidR="00EC7767" w:rsidRPr="00EC7767" w:rsidRDefault="00EC7767" w:rsidP="00EC7767">
            <w:pPr>
              <w:spacing w:after="60" w:line="240" w:lineRule="auto"/>
              <w:rPr>
                <w:lang w:eastAsia="en-AU"/>
              </w:rPr>
            </w:pPr>
            <w:r w:rsidRPr="00EC7767">
              <w:rPr>
                <w:i/>
                <w:lang w:eastAsia="en-AU"/>
              </w:rPr>
              <w:lastRenderedPageBreak/>
              <w:t>Re Fortescue Metals Group Ltd</w:t>
            </w:r>
            <w:r w:rsidRPr="00EC7767">
              <w:rPr>
                <w:lang w:eastAsia="en-AU"/>
              </w:rPr>
              <w:t xml:space="preserve"> [2010] </w:t>
            </w:r>
            <w:proofErr w:type="spellStart"/>
            <w:r w:rsidRPr="00EC7767">
              <w:rPr>
                <w:lang w:eastAsia="en-AU"/>
              </w:rPr>
              <w:t>ACompT</w:t>
            </w:r>
            <w:proofErr w:type="spellEnd"/>
            <w:r w:rsidRPr="00EC7767">
              <w:rPr>
                <w:lang w:eastAsia="en-AU"/>
              </w:rPr>
              <w:t xml:space="preserve"> 2; 271 ALR 256</w:t>
            </w:r>
          </w:p>
          <w:p w14:paraId="2B52CFCA" w14:textId="77777777" w:rsidR="00EC7767" w:rsidRPr="00EC7767" w:rsidRDefault="00EC7767" w:rsidP="00EC7767">
            <w:pPr>
              <w:spacing w:after="60" w:line="240" w:lineRule="auto"/>
              <w:rPr>
                <w:lang w:eastAsia="en-AU"/>
              </w:rPr>
            </w:pPr>
            <w:r w:rsidRPr="00EC7767">
              <w:rPr>
                <w:i/>
                <w:lang w:eastAsia="en-AU"/>
              </w:rPr>
              <w:t>Re Glencore Coal Pty Ltd (No 2)</w:t>
            </w:r>
            <w:r w:rsidRPr="00EC7767">
              <w:rPr>
                <w:lang w:eastAsia="en-AU"/>
              </w:rPr>
              <w:t xml:space="preserve"> [2016] </w:t>
            </w:r>
            <w:proofErr w:type="spellStart"/>
            <w:r w:rsidRPr="00EC7767">
              <w:rPr>
                <w:lang w:eastAsia="en-AU"/>
              </w:rPr>
              <w:t>ACompT</w:t>
            </w:r>
            <w:proofErr w:type="spellEnd"/>
            <w:r w:rsidRPr="00EC7767">
              <w:rPr>
                <w:lang w:eastAsia="en-AU"/>
              </w:rPr>
              <w:t xml:space="preserve"> 7; 309 FLR 358</w:t>
            </w:r>
          </w:p>
          <w:p w14:paraId="22FA3D05" w14:textId="77777777" w:rsidR="00EC7767" w:rsidRPr="00EC7767" w:rsidRDefault="00EC7767" w:rsidP="00EC7767">
            <w:pPr>
              <w:spacing w:after="60" w:line="240" w:lineRule="auto"/>
              <w:rPr>
                <w:lang w:eastAsia="en-AU"/>
              </w:rPr>
            </w:pPr>
            <w:r w:rsidRPr="00EC7767">
              <w:rPr>
                <w:i/>
                <w:lang w:eastAsia="en-AU"/>
              </w:rPr>
              <w:t>Re Glencore Coal Pty Ltd</w:t>
            </w:r>
            <w:r w:rsidRPr="00EC7767">
              <w:rPr>
                <w:lang w:eastAsia="en-AU"/>
              </w:rPr>
              <w:t xml:space="preserve"> [2016] </w:t>
            </w:r>
            <w:proofErr w:type="spellStart"/>
            <w:r w:rsidRPr="00EC7767">
              <w:rPr>
                <w:lang w:eastAsia="en-AU"/>
              </w:rPr>
              <w:t>ACompT</w:t>
            </w:r>
            <w:proofErr w:type="spellEnd"/>
            <w:r w:rsidRPr="00EC7767">
              <w:rPr>
                <w:lang w:eastAsia="en-AU"/>
              </w:rPr>
              <w:t xml:space="preserve"> 6</w:t>
            </w:r>
          </w:p>
          <w:p w14:paraId="7503AAFA" w14:textId="77777777" w:rsidR="00EC7767" w:rsidRPr="00EC7767" w:rsidRDefault="00EC7767" w:rsidP="00EC7767">
            <w:pPr>
              <w:spacing w:after="60" w:line="240" w:lineRule="auto"/>
              <w:rPr>
                <w:lang w:eastAsia="en-AU"/>
              </w:rPr>
            </w:pPr>
            <w:r w:rsidRPr="00EC7767">
              <w:rPr>
                <w:i/>
                <w:lang w:eastAsia="en-AU"/>
              </w:rPr>
              <w:t>Re Herald &amp; Weekly Times Ltd</w:t>
            </w:r>
            <w:r w:rsidRPr="00EC7767">
              <w:rPr>
                <w:lang w:eastAsia="en-AU"/>
              </w:rPr>
              <w:t xml:space="preserve"> (1978) 17 ALR 281</w:t>
            </w:r>
          </w:p>
          <w:p w14:paraId="28C32192" w14:textId="77777777" w:rsidR="00EC7767" w:rsidRPr="00EC7767" w:rsidRDefault="00EC7767" w:rsidP="00EC7767">
            <w:pPr>
              <w:spacing w:after="60" w:line="240" w:lineRule="auto"/>
              <w:rPr>
                <w:lang w:eastAsia="en-AU"/>
              </w:rPr>
            </w:pPr>
            <w:r w:rsidRPr="00EC7767">
              <w:rPr>
                <w:i/>
                <w:lang w:eastAsia="en-AU"/>
              </w:rPr>
              <w:t>Re Queensland Co</w:t>
            </w:r>
            <w:r w:rsidRPr="00EC7767">
              <w:rPr>
                <w:i/>
                <w:lang w:eastAsia="en-AU"/>
              </w:rPr>
              <w:noBreakHyphen/>
              <w:t>operative Milling Association Ltd</w:t>
            </w:r>
            <w:r w:rsidRPr="00EC7767">
              <w:rPr>
                <w:lang w:eastAsia="en-AU"/>
              </w:rPr>
              <w:t xml:space="preserve"> (1976) 8 ALR 481</w:t>
            </w:r>
          </w:p>
          <w:p w14:paraId="60EBB57B" w14:textId="77777777" w:rsidR="00EC7767" w:rsidRPr="00EC7767" w:rsidRDefault="00EC7767" w:rsidP="00EC7767">
            <w:pPr>
              <w:spacing w:after="60" w:line="240" w:lineRule="auto"/>
              <w:rPr>
                <w:lang w:eastAsia="en-AU"/>
              </w:rPr>
            </w:pPr>
            <w:r w:rsidRPr="00EC7767">
              <w:rPr>
                <w:i/>
                <w:lang w:eastAsia="en-AU"/>
              </w:rPr>
              <w:t>Re Services Sydney Pty Ltd</w:t>
            </w:r>
            <w:r w:rsidRPr="00EC7767">
              <w:rPr>
                <w:lang w:eastAsia="en-AU"/>
              </w:rPr>
              <w:t xml:space="preserve"> [2005] </w:t>
            </w:r>
            <w:proofErr w:type="spellStart"/>
            <w:r w:rsidRPr="00EC7767">
              <w:rPr>
                <w:lang w:eastAsia="en-AU"/>
              </w:rPr>
              <w:t>ACompT</w:t>
            </w:r>
            <w:proofErr w:type="spellEnd"/>
            <w:r w:rsidRPr="00EC7767">
              <w:rPr>
                <w:lang w:eastAsia="en-AU"/>
              </w:rPr>
              <w:t xml:space="preserve"> 7; 227 ALR 140</w:t>
            </w:r>
          </w:p>
          <w:p w14:paraId="4D9E088C" w14:textId="77777777" w:rsidR="00EC7767" w:rsidRPr="00EC7767" w:rsidRDefault="00EC7767" w:rsidP="00EC7767">
            <w:pPr>
              <w:spacing w:after="60" w:line="240" w:lineRule="auto"/>
              <w:rPr>
                <w:lang w:eastAsia="en-AU"/>
              </w:rPr>
            </w:pPr>
            <w:r w:rsidRPr="00EC7767">
              <w:rPr>
                <w:i/>
                <w:lang w:eastAsia="en-AU"/>
              </w:rPr>
              <w:t>Re Sydney International Airport</w:t>
            </w:r>
            <w:r w:rsidRPr="00EC7767">
              <w:rPr>
                <w:lang w:eastAsia="en-AU"/>
              </w:rPr>
              <w:t xml:space="preserve"> [2000] </w:t>
            </w:r>
            <w:proofErr w:type="spellStart"/>
            <w:r w:rsidRPr="00EC7767">
              <w:rPr>
                <w:lang w:eastAsia="en-AU"/>
              </w:rPr>
              <w:t>ACompT</w:t>
            </w:r>
            <w:proofErr w:type="spellEnd"/>
            <w:r w:rsidRPr="00EC7767">
              <w:rPr>
                <w:lang w:eastAsia="en-AU"/>
              </w:rPr>
              <w:t xml:space="preserve"> 1; 156 FLR 10</w:t>
            </w:r>
          </w:p>
          <w:p w14:paraId="42BACD08" w14:textId="77777777" w:rsidR="00EC7767" w:rsidRPr="00EC7767" w:rsidRDefault="00EC7767" w:rsidP="00EC7767">
            <w:pPr>
              <w:spacing w:after="60" w:line="240" w:lineRule="auto"/>
              <w:rPr>
                <w:lang w:eastAsia="en-AU"/>
              </w:rPr>
            </w:pPr>
            <w:r w:rsidRPr="00EC7767">
              <w:rPr>
                <w:i/>
                <w:lang w:eastAsia="en-AU"/>
              </w:rPr>
              <w:t>Re Virgin Blue Airlines Pty Ltd</w:t>
            </w:r>
            <w:r w:rsidRPr="00EC7767">
              <w:rPr>
                <w:lang w:eastAsia="en-AU"/>
              </w:rPr>
              <w:t xml:space="preserve"> [2005] </w:t>
            </w:r>
            <w:proofErr w:type="spellStart"/>
            <w:r w:rsidRPr="00EC7767">
              <w:rPr>
                <w:lang w:eastAsia="en-AU"/>
              </w:rPr>
              <w:t>ACompT</w:t>
            </w:r>
            <w:proofErr w:type="spellEnd"/>
            <w:r w:rsidRPr="00EC7767">
              <w:rPr>
                <w:lang w:eastAsia="en-AU"/>
              </w:rPr>
              <w:t xml:space="preserve"> 5; 195 FLR 242</w:t>
            </w:r>
          </w:p>
          <w:p w14:paraId="13589482" w14:textId="77777777" w:rsidR="00EC7767" w:rsidRPr="00EC7767" w:rsidRDefault="00EC7767" w:rsidP="00EC7767">
            <w:pPr>
              <w:spacing w:after="60" w:line="240" w:lineRule="auto"/>
              <w:rPr>
                <w:lang w:eastAsia="en-AU"/>
              </w:rPr>
            </w:pPr>
            <w:r w:rsidRPr="00EC7767">
              <w:rPr>
                <w:i/>
                <w:lang w:eastAsia="en-AU"/>
              </w:rPr>
              <w:t>Shi v Migration Agents Registration Authority</w:t>
            </w:r>
            <w:r w:rsidRPr="00EC7767">
              <w:rPr>
                <w:lang w:eastAsia="en-AU"/>
              </w:rPr>
              <w:t xml:space="preserve"> (2008) 235 CLR 286</w:t>
            </w:r>
          </w:p>
          <w:p w14:paraId="48460895" w14:textId="77777777" w:rsidR="00EC7767" w:rsidRPr="00EC7767" w:rsidRDefault="00EC7767" w:rsidP="00EC7767">
            <w:pPr>
              <w:spacing w:after="60" w:line="240" w:lineRule="auto"/>
              <w:rPr>
                <w:lang w:eastAsia="en-AU"/>
              </w:rPr>
            </w:pPr>
            <w:r w:rsidRPr="00EC7767">
              <w:rPr>
                <w:i/>
                <w:lang w:eastAsia="en-AU"/>
              </w:rPr>
              <w:t>Sydney Airport Corporation Ltd v Australian Competition Tribunal</w:t>
            </w:r>
            <w:r w:rsidRPr="00EC7767">
              <w:rPr>
                <w:lang w:eastAsia="en-AU"/>
              </w:rPr>
              <w:t xml:space="preserve"> (2006) 155 FCR 124</w:t>
            </w:r>
          </w:p>
          <w:p w14:paraId="41C40F4D" w14:textId="77777777" w:rsidR="00EC7767" w:rsidRPr="00EC7767" w:rsidRDefault="00EC7767" w:rsidP="00EC7767">
            <w:pPr>
              <w:spacing w:after="60" w:line="240" w:lineRule="auto"/>
              <w:rPr>
                <w:b/>
              </w:rPr>
            </w:pPr>
            <w:r w:rsidRPr="00EC7767">
              <w:rPr>
                <w:i/>
                <w:lang w:eastAsia="en-AU"/>
              </w:rPr>
              <w:t>Tasty Chicks Pty Ltd v Chief Commissioner of State Revenue (NSW)</w:t>
            </w:r>
            <w:r w:rsidRPr="00EC7767">
              <w:rPr>
                <w:lang w:eastAsia="en-AU"/>
              </w:rPr>
              <w:t xml:space="preserve"> (2011) 245 CLR 446</w:t>
            </w:r>
          </w:p>
          <w:p w14:paraId="198BC847" w14:textId="77777777" w:rsidR="006A7DC3" w:rsidRPr="00EC7767" w:rsidRDefault="00EC7767" w:rsidP="00D31E21">
            <w:pPr>
              <w:spacing w:after="60" w:line="240" w:lineRule="auto"/>
              <w:rPr>
                <w:lang w:eastAsia="en-AU"/>
              </w:rPr>
            </w:pPr>
            <w:r w:rsidRPr="00EC7767">
              <w:rPr>
                <w:i/>
                <w:lang w:eastAsia="en-AU"/>
              </w:rPr>
              <w:t>Telstra Corporation Ltd v Australian Competition Tribunal</w:t>
            </w:r>
            <w:r w:rsidRPr="00EC7767">
              <w:rPr>
                <w:lang w:eastAsia="en-AU"/>
              </w:rPr>
              <w:t xml:space="preserve"> (2009) 175 FCR 201</w:t>
            </w:r>
          </w:p>
        </w:tc>
      </w:tr>
      <w:tr w:rsidR="00741D4C" w14:paraId="7B0928EC" w14:textId="77777777" w:rsidTr="00663878">
        <w:tc>
          <w:tcPr>
            <w:tcW w:w="3084" w:type="dxa"/>
            <w:shd w:val="clear" w:color="auto" w:fill="auto"/>
          </w:tcPr>
          <w:p w14:paraId="660B8765" w14:textId="77777777" w:rsidR="00741D4C" w:rsidRDefault="00741D4C" w:rsidP="00741D4C">
            <w:pPr>
              <w:pStyle w:val="Normal1linespace"/>
              <w:widowControl w:val="0"/>
              <w:jc w:val="left"/>
            </w:pPr>
          </w:p>
        </w:tc>
        <w:tc>
          <w:tcPr>
            <w:tcW w:w="5954" w:type="dxa"/>
            <w:shd w:val="clear" w:color="auto" w:fill="auto"/>
          </w:tcPr>
          <w:p w14:paraId="63562653" w14:textId="77777777" w:rsidR="00741D4C" w:rsidRDefault="00741D4C" w:rsidP="00741D4C">
            <w:pPr>
              <w:pStyle w:val="CasesLegislationAppealFrom"/>
              <w:spacing w:after="60"/>
            </w:pPr>
          </w:p>
        </w:tc>
      </w:tr>
      <w:tr w:rsidR="00741D4C" w14:paraId="6FD1F162" w14:textId="77777777" w:rsidTr="00663878">
        <w:tc>
          <w:tcPr>
            <w:tcW w:w="3084" w:type="dxa"/>
            <w:shd w:val="clear" w:color="auto" w:fill="auto"/>
          </w:tcPr>
          <w:p w14:paraId="2973DFB8" w14:textId="77777777" w:rsidR="00741D4C" w:rsidRPr="00B84951" w:rsidRDefault="00741D4C" w:rsidP="00741D4C">
            <w:pPr>
              <w:pStyle w:val="Normal1linespace"/>
              <w:jc w:val="left"/>
            </w:pPr>
            <w:r w:rsidRPr="00B84951">
              <w:t>Date of hearing:</w:t>
            </w:r>
          </w:p>
        </w:tc>
        <w:tc>
          <w:tcPr>
            <w:tcW w:w="5954" w:type="dxa"/>
            <w:shd w:val="clear" w:color="auto" w:fill="auto"/>
          </w:tcPr>
          <w:p w14:paraId="5D5A6498" w14:textId="77777777" w:rsidR="00741D4C" w:rsidRPr="00B84951" w:rsidRDefault="002011AB" w:rsidP="00741D4C">
            <w:pPr>
              <w:pStyle w:val="Normal1linespace"/>
              <w:jc w:val="left"/>
            </w:pPr>
            <w:r>
              <w:t>22-24</w:t>
            </w:r>
            <w:r w:rsidR="001D48B9">
              <w:t xml:space="preserve"> June</w:t>
            </w:r>
            <w:r w:rsidR="00741D4C">
              <w:t xml:space="preserve"> 2021</w:t>
            </w:r>
          </w:p>
        </w:tc>
      </w:tr>
      <w:tr w:rsidR="00125ECD" w14:paraId="1A7F42D5" w14:textId="77777777" w:rsidTr="00663878">
        <w:tc>
          <w:tcPr>
            <w:tcW w:w="3084" w:type="dxa"/>
            <w:shd w:val="clear" w:color="auto" w:fill="auto"/>
          </w:tcPr>
          <w:p w14:paraId="64263875" w14:textId="77777777" w:rsidR="00125ECD" w:rsidRPr="00B84951" w:rsidRDefault="00125ECD" w:rsidP="00741D4C">
            <w:pPr>
              <w:pStyle w:val="Normal1linespace"/>
              <w:jc w:val="left"/>
            </w:pPr>
          </w:p>
        </w:tc>
        <w:tc>
          <w:tcPr>
            <w:tcW w:w="5954" w:type="dxa"/>
            <w:shd w:val="clear" w:color="auto" w:fill="auto"/>
          </w:tcPr>
          <w:p w14:paraId="2950C416" w14:textId="77777777" w:rsidR="00125ECD" w:rsidRPr="00B84951" w:rsidRDefault="00125ECD" w:rsidP="00741D4C">
            <w:pPr>
              <w:pStyle w:val="Normal1linespace"/>
              <w:jc w:val="left"/>
            </w:pPr>
          </w:p>
        </w:tc>
      </w:tr>
      <w:tr w:rsidR="00741D4C" w14:paraId="6AE33682" w14:textId="77777777" w:rsidTr="00663878">
        <w:tc>
          <w:tcPr>
            <w:tcW w:w="3084" w:type="dxa"/>
            <w:shd w:val="clear" w:color="auto" w:fill="auto"/>
          </w:tcPr>
          <w:p w14:paraId="1F3399C2" w14:textId="77777777" w:rsidR="00741D4C" w:rsidRDefault="00741D4C" w:rsidP="00741D4C">
            <w:pPr>
              <w:pStyle w:val="Normal1linespace"/>
              <w:widowControl w:val="0"/>
              <w:jc w:val="left"/>
            </w:pPr>
            <w:r>
              <w:t>Registry:</w:t>
            </w:r>
          </w:p>
        </w:tc>
        <w:tc>
          <w:tcPr>
            <w:tcW w:w="5954" w:type="dxa"/>
            <w:shd w:val="clear" w:color="auto" w:fill="auto"/>
          </w:tcPr>
          <w:p w14:paraId="199E59AE" w14:textId="77777777" w:rsidR="00741D4C" w:rsidRPr="00F17599" w:rsidRDefault="00741D4C" w:rsidP="00741D4C">
            <w:pPr>
              <w:pStyle w:val="Normal1linespace"/>
              <w:widowControl w:val="0"/>
              <w:jc w:val="left"/>
            </w:pPr>
            <w:r>
              <w:t>Victoria</w:t>
            </w:r>
          </w:p>
        </w:tc>
      </w:tr>
      <w:tr w:rsidR="00741D4C" w14:paraId="09066EA2" w14:textId="77777777" w:rsidTr="00663878">
        <w:tc>
          <w:tcPr>
            <w:tcW w:w="3084" w:type="dxa"/>
            <w:shd w:val="clear" w:color="auto" w:fill="auto"/>
          </w:tcPr>
          <w:p w14:paraId="29AF1250" w14:textId="77777777" w:rsidR="00741D4C" w:rsidRDefault="00741D4C" w:rsidP="00741D4C">
            <w:pPr>
              <w:pStyle w:val="Normal1linespace"/>
              <w:widowControl w:val="0"/>
              <w:jc w:val="left"/>
            </w:pPr>
          </w:p>
        </w:tc>
        <w:tc>
          <w:tcPr>
            <w:tcW w:w="5954" w:type="dxa"/>
            <w:shd w:val="clear" w:color="auto" w:fill="auto"/>
          </w:tcPr>
          <w:p w14:paraId="3C5E4EEB" w14:textId="77777777" w:rsidR="00741D4C" w:rsidRDefault="00741D4C" w:rsidP="00741D4C">
            <w:pPr>
              <w:pStyle w:val="Normal1linespace"/>
              <w:widowControl w:val="0"/>
              <w:jc w:val="left"/>
            </w:pPr>
          </w:p>
        </w:tc>
      </w:tr>
      <w:tr w:rsidR="00741D4C" w14:paraId="1F58E893" w14:textId="77777777" w:rsidTr="00663878">
        <w:tc>
          <w:tcPr>
            <w:tcW w:w="3084" w:type="dxa"/>
            <w:shd w:val="clear" w:color="auto" w:fill="auto"/>
          </w:tcPr>
          <w:p w14:paraId="59602E39" w14:textId="77777777" w:rsidR="00741D4C" w:rsidRDefault="00741D4C" w:rsidP="00741D4C">
            <w:pPr>
              <w:pStyle w:val="Normal1linespace"/>
              <w:widowControl w:val="0"/>
              <w:jc w:val="left"/>
            </w:pPr>
            <w:r>
              <w:t>Number of paragraphs:</w:t>
            </w:r>
          </w:p>
        </w:tc>
        <w:tc>
          <w:tcPr>
            <w:tcW w:w="5954" w:type="dxa"/>
            <w:shd w:val="clear" w:color="auto" w:fill="auto"/>
          </w:tcPr>
          <w:p w14:paraId="59DA1B5F" w14:textId="05623384" w:rsidR="00741D4C" w:rsidRDefault="005A1E63" w:rsidP="00741D4C">
            <w:pPr>
              <w:pStyle w:val="Normal1linespace"/>
              <w:widowControl w:val="0"/>
              <w:jc w:val="left"/>
            </w:pPr>
            <w:r>
              <w:t>278</w:t>
            </w:r>
          </w:p>
        </w:tc>
      </w:tr>
      <w:tr w:rsidR="00741D4C" w14:paraId="35177F14" w14:textId="77777777" w:rsidTr="00663878">
        <w:tc>
          <w:tcPr>
            <w:tcW w:w="3084" w:type="dxa"/>
            <w:shd w:val="clear" w:color="auto" w:fill="auto"/>
          </w:tcPr>
          <w:p w14:paraId="30DF19CF" w14:textId="77777777" w:rsidR="00741D4C" w:rsidRDefault="00741D4C" w:rsidP="00741D4C">
            <w:pPr>
              <w:pStyle w:val="Normal1linespace"/>
              <w:widowControl w:val="0"/>
              <w:jc w:val="left"/>
            </w:pPr>
          </w:p>
        </w:tc>
        <w:tc>
          <w:tcPr>
            <w:tcW w:w="5954" w:type="dxa"/>
            <w:shd w:val="clear" w:color="auto" w:fill="auto"/>
          </w:tcPr>
          <w:p w14:paraId="79EDDBD5" w14:textId="77777777" w:rsidR="00741D4C" w:rsidRDefault="00741D4C" w:rsidP="00741D4C">
            <w:pPr>
              <w:pStyle w:val="Normal1linespace"/>
              <w:widowControl w:val="0"/>
              <w:jc w:val="left"/>
            </w:pPr>
          </w:p>
        </w:tc>
      </w:tr>
      <w:tr w:rsidR="00741D4C" w14:paraId="705F3E90" w14:textId="77777777" w:rsidTr="00663878">
        <w:tc>
          <w:tcPr>
            <w:tcW w:w="3084" w:type="dxa"/>
            <w:shd w:val="clear" w:color="auto" w:fill="auto"/>
          </w:tcPr>
          <w:p w14:paraId="6172F01D" w14:textId="77777777" w:rsidR="00741D4C" w:rsidRDefault="00741D4C" w:rsidP="00741D4C">
            <w:pPr>
              <w:pStyle w:val="Normal1linespace"/>
              <w:widowControl w:val="0"/>
              <w:jc w:val="left"/>
            </w:pPr>
            <w:r>
              <w:t>Counsel for New South Wales Minerals Council:</w:t>
            </w:r>
          </w:p>
        </w:tc>
        <w:tc>
          <w:tcPr>
            <w:tcW w:w="5954" w:type="dxa"/>
            <w:shd w:val="clear" w:color="auto" w:fill="auto"/>
          </w:tcPr>
          <w:p w14:paraId="11727E2D" w14:textId="77777777" w:rsidR="00741D4C" w:rsidRDefault="006A055A" w:rsidP="00741D4C">
            <w:pPr>
              <w:pStyle w:val="Normal1linespace"/>
              <w:widowControl w:val="0"/>
              <w:jc w:val="left"/>
            </w:pPr>
            <w:bookmarkStart w:id="3" w:name="AppCounsel"/>
            <w:bookmarkEnd w:id="3"/>
            <w:r>
              <w:t xml:space="preserve">N De Young QC with </w:t>
            </w:r>
            <w:r w:rsidR="00741D4C">
              <w:t>D Tynan</w:t>
            </w:r>
          </w:p>
        </w:tc>
      </w:tr>
      <w:tr w:rsidR="00741D4C" w14:paraId="7B635CF8" w14:textId="77777777" w:rsidTr="00663878">
        <w:tc>
          <w:tcPr>
            <w:tcW w:w="3084" w:type="dxa"/>
            <w:shd w:val="clear" w:color="auto" w:fill="auto"/>
          </w:tcPr>
          <w:p w14:paraId="10F01FB0" w14:textId="77777777" w:rsidR="00741D4C" w:rsidRDefault="00741D4C" w:rsidP="00741D4C">
            <w:pPr>
              <w:pStyle w:val="Normal1linespace"/>
              <w:widowControl w:val="0"/>
              <w:jc w:val="left"/>
            </w:pPr>
          </w:p>
        </w:tc>
        <w:tc>
          <w:tcPr>
            <w:tcW w:w="5954" w:type="dxa"/>
            <w:shd w:val="clear" w:color="auto" w:fill="auto"/>
          </w:tcPr>
          <w:p w14:paraId="66FC62B3" w14:textId="77777777" w:rsidR="00741D4C" w:rsidRDefault="00741D4C" w:rsidP="00741D4C">
            <w:pPr>
              <w:pStyle w:val="Normal1linespace"/>
              <w:widowControl w:val="0"/>
              <w:jc w:val="left"/>
            </w:pPr>
          </w:p>
        </w:tc>
      </w:tr>
      <w:tr w:rsidR="00741D4C" w14:paraId="6C68599F" w14:textId="77777777" w:rsidTr="00663878">
        <w:tc>
          <w:tcPr>
            <w:tcW w:w="3084" w:type="dxa"/>
            <w:shd w:val="clear" w:color="auto" w:fill="auto"/>
          </w:tcPr>
          <w:p w14:paraId="2DF27E2C" w14:textId="77777777" w:rsidR="00741D4C" w:rsidRDefault="00741D4C" w:rsidP="00741D4C">
            <w:pPr>
              <w:pStyle w:val="Normal1linespace"/>
              <w:widowControl w:val="0"/>
              <w:jc w:val="left"/>
            </w:pPr>
            <w:r>
              <w:t>Solicitor for New South Wales Minerals Council:</w:t>
            </w:r>
          </w:p>
        </w:tc>
        <w:tc>
          <w:tcPr>
            <w:tcW w:w="5954" w:type="dxa"/>
            <w:shd w:val="clear" w:color="auto" w:fill="auto"/>
          </w:tcPr>
          <w:p w14:paraId="4ADF1D00" w14:textId="77777777" w:rsidR="00741D4C" w:rsidRDefault="00741D4C" w:rsidP="00741D4C">
            <w:pPr>
              <w:pStyle w:val="Normal1linespace"/>
              <w:widowControl w:val="0"/>
              <w:jc w:val="left"/>
            </w:pPr>
            <w:r>
              <w:t>Clifford Chance LLP</w:t>
            </w:r>
          </w:p>
        </w:tc>
      </w:tr>
      <w:tr w:rsidR="00741D4C" w14:paraId="76FC78CD" w14:textId="77777777" w:rsidTr="00663878">
        <w:tc>
          <w:tcPr>
            <w:tcW w:w="3084" w:type="dxa"/>
            <w:shd w:val="clear" w:color="auto" w:fill="auto"/>
          </w:tcPr>
          <w:p w14:paraId="7A4313AE" w14:textId="77777777" w:rsidR="00741D4C" w:rsidRDefault="00741D4C" w:rsidP="00741D4C">
            <w:pPr>
              <w:pStyle w:val="Normal1linespace"/>
              <w:widowControl w:val="0"/>
              <w:jc w:val="left"/>
            </w:pPr>
          </w:p>
        </w:tc>
        <w:tc>
          <w:tcPr>
            <w:tcW w:w="5954" w:type="dxa"/>
            <w:shd w:val="clear" w:color="auto" w:fill="auto"/>
          </w:tcPr>
          <w:p w14:paraId="7A570234" w14:textId="77777777" w:rsidR="00741D4C" w:rsidRDefault="00741D4C" w:rsidP="00741D4C">
            <w:pPr>
              <w:pStyle w:val="Normal1linespace"/>
              <w:widowControl w:val="0"/>
              <w:jc w:val="left"/>
            </w:pPr>
          </w:p>
        </w:tc>
      </w:tr>
      <w:tr w:rsidR="00741D4C" w14:paraId="15447D94" w14:textId="77777777" w:rsidTr="00663878">
        <w:tc>
          <w:tcPr>
            <w:tcW w:w="3084" w:type="dxa"/>
            <w:shd w:val="clear" w:color="auto" w:fill="auto"/>
          </w:tcPr>
          <w:p w14:paraId="4EB350AD" w14:textId="77777777" w:rsidR="00741D4C" w:rsidRDefault="00741D4C" w:rsidP="00741D4C">
            <w:pPr>
              <w:pStyle w:val="Normal1linespace"/>
              <w:widowControl w:val="0"/>
              <w:jc w:val="left"/>
            </w:pPr>
            <w:r>
              <w:t>Counsel for Port of Newcastle Operations Pty Ltd:</w:t>
            </w:r>
          </w:p>
        </w:tc>
        <w:tc>
          <w:tcPr>
            <w:tcW w:w="5954" w:type="dxa"/>
            <w:shd w:val="clear" w:color="auto" w:fill="auto"/>
          </w:tcPr>
          <w:p w14:paraId="502ACE98" w14:textId="4A0DA720" w:rsidR="00741D4C" w:rsidRDefault="003A1952" w:rsidP="00741D4C">
            <w:pPr>
              <w:pStyle w:val="Normal1linespace"/>
              <w:widowControl w:val="0"/>
              <w:jc w:val="left"/>
            </w:pPr>
            <w:r w:rsidRPr="005557FE">
              <w:t>D Roche with P Strickland</w:t>
            </w:r>
            <w:bookmarkStart w:id="4" w:name="_GoBack"/>
            <w:bookmarkEnd w:id="4"/>
          </w:p>
        </w:tc>
      </w:tr>
      <w:tr w:rsidR="00741D4C" w14:paraId="31D38889" w14:textId="77777777" w:rsidTr="00663878">
        <w:tc>
          <w:tcPr>
            <w:tcW w:w="3084" w:type="dxa"/>
            <w:shd w:val="clear" w:color="auto" w:fill="auto"/>
          </w:tcPr>
          <w:p w14:paraId="7F9260DE" w14:textId="77777777" w:rsidR="00741D4C" w:rsidRDefault="00741D4C" w:rsidP="00741D4C">
            <w:pPr>
              <w:pStyle w:val="Normal1linespace"/>
              <w:widowControl w:val="0"/>
              <w:jc w:val="left"/>
            </w:pPr>
          </w:p>
        </w:tc>
        <w:tc>
          <w:tcPr>
            <w:tcW w:w="5954" w:type="dxa"/>
            <w:shd w:val="clear" w:color="auto" w:fill="auto"/>
          </w:tcPr>
          <w:p w14:paraId="2D9B1724" w14:textId="77777777" w:rsidR="00741D4C" w:rsidRDefault="00741D4C" w:rsidP="00741D4C">
            <w:pPr>
              <w:pStyle w:val="Normal1linespace"/>
              <w:widowControl w:val="0"/>
              <w:jc w:val="left"/>
            </w:pPr>
          </w:p>
        </w:tc>
      </w:tr>
      <w:tr w:rsidR="00741D4C" w14:paraId="03172627" w14:textId="77777777" w:rsidTr="00663878">
        <w:tc>
          <w:tcPr>
            <w:tcW w:w="3084" w:type="dxa"/>
            <w:shd w:val="clear" w:color="auto" w:fill="auto"/>
          </w:tcPr>
          <w:p w14:paraId="1B29BC0D" w14:textId="77777777" w:rsidR="00741D4C" w:rsidRDefault="00741D4C" w:rsidP="00741D4C">
            <w:pPr>
              <w:pStyle w:val="Normal1linespace"/>
              <w:widowControl w:val="0"/>
              <w:jc w:val="left"/>
            </w:pPr>
            <w:r>
              <w:t>Solicitor for Port of Newcastle Operations Pty Ltd:</w:t>
            </w:r>
          </w:p>
        </w:tc>
        <w:tc>
          <w:tcPr>
            <w:tcW w:w="5954" w:type="dxa"/>
            <w:shd w:val="clear" w:color="auto" w:fill="auto"/>
          </w:tcPr>
          <w:p w14:paraId="2B1FEEC1" w14:textId="77777777" w:rsidR="00741D4C" w:rsidRDefault="00741D4C" w:rsidP="00741D4C">
            <w:pPr>
              <w:pStyle w:val="Normal1linespace"/>
              <w:widowControl w:val="0"/>
              <w:jc w:val="left"/>
            </w:pPr>
            <w:r>
              <w:t xml:space="preserve">Clayton </w:t>
            </w:r>
            <w:proofErr w:type="spellStart"/>
            <w:r>
              <w:t>Utz</w:t>
            </w:r>
            <w:proofErr w:type="spellEnd"/>
          </w:p>
        </w:tc>
      </w:tr>
      <w:tr w:rsidR="00741D4C" w14:paraId="26D4F35E" w14:textId="77777777" w:rsidTr="00663878">
        <w:tc>
          <w:tcPr>
            <w:tcW w:w="3084" w:type="dxa"/>
            <w:shd w:val="clear" w:color="auto" w:fill="auto"/>
          </w:tcPr>
          <w:p w14:paraId="2A1F56F3" w14:textId="77777777" w:rsidR="00741D4C" w:rsidRDefault="00741D4C" w:rsidP="00741D4C">
            <w:pPr>
              <w:pStyle w:val="Normal1linespace"/>
              <w:widowControl w:val="0"/>
              <w:jc w:val="left"/>
            </w:pPr>
          </w:p>
        </w:tc>
        <w:tc>
          <w:tcPr>
            <w:tcW w:w="5954" w:type="dxa"/>
            <w:shd w:val="clear" w:color="auto" w:fill="auto"/>
          </w:tcPr>
          <w:p w14:paraId="0F576546" w14:textId="77777777" w:rsidR="00741D4C" w:rsidRDefault="00741D4C" w:rsidP="00741D4C">
            <w:pPr>
              <w:pStyle w:val="Normal1linespace"/>
              <w:widowControl w:val="0"/>
              <w:jc w:val="left"/>
            </w:pPr>
          </w:p>
        </w:tc>
      </w:tr>
      <w:tr w:rsidR="00741D4C" w14:paraId="7B7FE45F" w14:textId="77777777" w:rsidTr="00663878">
        <w:tc>
          <w:tcPr>
            <w:tcW w:w="3084" w:type="dxa"/>
            <w:shd w:val="clear" w:color="auto" w:fill="auto"/>
          </w:tcPr>
          <w:p w14:paraId="528914D2" w14:textId="77777777" w:rsidR="00741D4C" w:rsidRDefault="00741D4C" w:rsidP="00741D4C">
            <w:pPr>
              <w:pStyle w:val="Normal1linespace"/>
              <w:widowControl w:val="0"/>
              <w:jc w:val="left"/>
            </w:pPr>
            <w:r>
              <w:t>Counsel for National Competition Council:</w:t>
            </w:r>
          </w:p>
        </w:tc>
        <w:tc>
          <w:tcPr>
            <w:tcW w:w="5954" w:type="dxa"/>
            <w:shd w:val="clear" w:color="auto" w:fill="auto"/>
          </w:tcPr>
          <w:p w14:paraId="6FF0948D" w14:textId="77777777" w:rsidR="00741D4C" w:rsidRDefault="006A055A" w:rsidP="00741D4C">
            <w:pPr>
              <w:pStyle w:val="Normal1linespace"/>
              <w:widowControl w:val="0"/>
              <w:jc w:val="left"/>
            </w:pPr>
            <w:r>
              <w:t xml:space="preserve">P Crutchfield QC with </w:t>
            </w:r>
            <w:r w:rsidR="00741D4C">
              <w:t>C Van Proctor</w:t>
            </w:r>
          </w:p>
        </w:tc>
      </w:tr>
      <w:tr w:rsidR="00741D4C" w14:paraId="1FDDC5BB" w14:textId="77777777" w:rsidTr="00663878">
        <w:tc>
          <w:tcPr>
            <w:tcW w:w="3084" w:type="dxa"/>
            <w:shd w:val="clear" w:color="auto" w:fill="auto"/>
          </w:tcPr>
          <w:p w14:paraId="74691A27" w14:textId="77777777" w:rsidR="00741D4C" w:rsidRDefault="00741D4C" w:rsidP="00741D4C">
            <w:pPr>
              <w:pStyle w:val="Normal1linespace"/>
              <w:widowControl w:val="0"/>
              <w:jc w:val="left"/>
            </w:pPr>
          </w:p>
        </w:tc>
        <w:tc>
          <w:tcPr>
            <w:tcW w:w="5954" w:type="dxa"/>
            <w:shd w:val="clear" w:color="auto" w:fill="auto"/>
          </w:tcPr>
          <w:p w14:paraId="7F1D3DEE" w14:textId="77777777" w:rsidR="00741D4C" w:rsidRDefault="00741D4C" w:rsidP="00741D4C">
            <w:pPr>
              <w:pStyle w:val="Normal1linespace"/>
              <w:widowControl w:val="0"/>
              <w:jc w:val="left"/>
            </w:pPr>
          </w:p>
        </w:tc>
      </w:tr>
      <w:tr w:rsidR="00741D4C" w14:paraId="38D15219" w14:textId="77777777" w:rsidTr="00663878">
        <w:tc>
          <w:tcPr>
            <w:tcW w:w="3084" w:type="dxa"/>
            <w:shd w:val="clear" w:color="auto" w:fill="auto"/>
          </w:tcPr>
          <w:p w14:paraId="19F74A90" w14:textId="77777777" w:rsidR="00741D4C" w:rsidRDefault="00741D4C" w:rsidP="00741D4C">
            <w:pPr>
              <w:pStyle w:val="Normal1linespace"/>
              <w:widowControl w:val="0"/>
              <w:jc w:val="left"/>
            </w:pPr>
            <w:r>
              <w:t xml:space="preserve">Solicitor for National </w:t>
            </w:r>
            <w:r>
              <w:lastRenderedPageBreak/>
              <w:t>Competition Council:</w:t>
            </w:r>
          </w:p>
        </w:tc>
        <w:tc>
          <w:tcPr>
            <w:tcW w:w="5954" w:type="dxa"/>
            <w:shd w:val="clear" w:color="auto" w:fill="auto"/>
          </w:tcPr>
          <w:p w14:paraId="3EF42F8F" w14:textId="77777777" w:rsidR="00741D4C" w:rsidRDefault="006A7DC3" w:rsidP="00741D4C">
            <w:pPr>
              <w:pStyle w:val="Normal1linespace"/>
              <w:widowControl w:val="0"/>
              <w:jc w:val="left"/>
            </w:pPr>
            <w:r>
              <w:lastRenderedPageBreak/>
              <w:t>Johnson Winter &amp; Slattery</w:t>
            </w:r>
          </w:p>
        </w:tc>
      </w:tr>
      <w:tr w:rsidR="00741D4C" w14:paraId="4F1B7A06" w14:textId="77777777" w:rsidTr="00663878">
        <w:tc>
          <w:tcPr>
            <w:tcW w:w="3084" w:type="dxa"/>
            <w:shd w:val="clear" w:color="auto" w:fill="auto"/>
          </w:tcPr>
          <w:p w14:paraId="5147580E" w14:textId="77777777" w:rsidR="00741D4C" w:rsidRDefault="00741D4C" w:rsidP="00741D4C">
            <w:pPr>
              <w:pStyle w:val="Normal1linespace"/>
              <w:widowControl w:val="0"/>
              <w:jc w:val="left"/>
            </w:pPr>
          </w:p>
        </w:tc>
        <w:tc>
          <w:tcPr>
            <w:tcW w:w="5954" w:type="dxa"/>
            <w:shd w:val="clear" w:color="auto" w:fill="auto"/>
          </w:tcPr>
          <w:p w14:paraId="3909FC29" w14:textId="77777777" w:rsidR="00741D4C" w:rsidRDefault="00741D4C" w:rsidP="00741D4C">
            <w:pPr>
              <w:pStyle w:val="Normal1linespace"/>
              <w:widowControl w:val="0"/>
              <w:jc w:val="left"/>
            </w:pPr>
          </w:p>
        </w:tc>
      </w:tr>
    </w:tbl>
    <w:p w14:paraId="6C251CCE" w14:textId="77777777" w:rsidR="00E94CBF" w:rsidRDefault="00E94CBF">
      <w:pPr>
        <w:pStyle w:val="Normal1linespace"/>
      </w:pPr>
    </w:p>
    <w:p w14:paraId="66CF08DD" w14:textId="77777777"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14:paraId="2F93F435" w14:textId="77777777" w:rsidR="008C7167" w:rsidRPr="00045BB7" w:rsidRDefault="008C7167" w:rsidP="00045BB7">
      <w:pPr>
        <w:pStyle w:val="NormalHeadings"/>
        <w:spacing w:line="480" w:lineRule="auto"/>
        <w:jc w:val="center"/>
        <w:rPr>
          <w:sz w:val="28"/>
          <w:szCs w:val="28"/>
        </w:rPr>
      </w:pPr>
    </w:p>
    <w:tbl>
      <w:tblPr>
        <w:tblW w:w="9242" w:type="dxa"/>
        <w:tblLayout w:type="fixed"/>
        <w:tblLook w:val="0000" w:firstRow="0" w:lastRow="0" w:firstColumn="0" w:lastColumn="0" w:noHBand="0" w:noVBand="0"/>
      </w:tblPr>
      <w:tblGrid>
        <w:gridCol w:w="2376"/>
        <w:gridCol w:w="6866"/>
      </w:tblGrid>
      <w:tr w:rsidR="00EE1533" w14:paraId="26FE00B3" w14:textId="77777777" w:rsidTr="00EE1533">
        <w:trPr>
          <w:trHeight w:val="491"/>
        </w:trPr>
        <w:tc>
          <w:tcPr>
            <w:tcW w:w="9242" w:type="dxa"/>
            <w:gridSpan w:val="2"/>
          </w:tcPr>
          <w:p w14:paraId="5A0C5AA3" w14:textId="77777777" w:rsidR="00EE1533" w:rsidRDefault="00EE1533" w:rsidP="00EE1533">
            <w:pPr>
              <w:pStyle w:val="NormalHeadings"/>
              <w:jc w:val="left"/>
            </w:pPr>
            <w:r>
              <w:t>IN THE AUSTRALIAN COMPETITION TRIBUNAL</w:t>
            </w:r>
          </w:p>
        </w:tc>
      </w:tr>
      <w:tr w:rsidR="00A76C13" w14:paraId="7B9C9FB6" w14:textId="77777777" w:rsidTr="00EE1533">
        <w:trPr>
          <w:trHeight w:val="570"/>
        </w:trPr>
        <w:tc>
          <w:tcPr>
            <w:tcW w:w="9242" w:type="dxa"/>
            <w:gridSpan w:val="2"/>
          </w:tcPr>
          <w:p w14:paraId="796D9290" w14:textId="77777777" w:rsidR="00A76C13" w:rsidRPr="00EE1533" w:rsidRDefault="00EE1533" w:rsidP="00EE1533">
            <w:pPr>
              <w:pStyle w:val="NormalHeadings"/>
              <w:spacing w:before="240" w:after="240"/>
              <w:jc w:val="right"/>
            </w:pPr>
            <w:r w:rsidRPr="00EE1533">
              <w:t>ACT 1 OF 2021</w:t>
            </w:r>
          </w:p>
        </w:tc>
      </w:tr>
      <w:tr w:rsidR="00A46CCC" w14:paraId="5D190476" w14:textId="77777777" w:rsidTr="00EE1533">
        <w:trPr>
          <w:trHeight w:val="386"/>
        </w:trPr>
        <w:tc>
          <w:tcPr>
            <w:tcW w:w="2376" w:type="dxa"/>
          </w:tcPr>
          <w:p w14:paraId="42A7FDA1" w14:textId="77777777" w:rsidR="00A46CCC" w:rsidRDefault="00EE1533" w:rsidP="00CB7BA0">
            <w:pPr>
              <w:pStyle w:val="NormalHeadings"/>
              <w:jc w:val="left"/>
              <w:rPr>
                <w:caps/>
                <w:szCs w:val="24"/>
              </w:rPr>
            </w:pPr>
            <w:bookmarkStart w:id="5" w:name="Parties"/>
            <w:r>
              <w:rPr>
                <w:caps/>
                <w:szCs w:val="24"/>
              </w:rPr>
              <w:t>RE</w:t>
            </w:r>
            <w:r w:rsidR="00A46CCC">
              <w:rPr>
                <w:caps/>
                <w:szCs w:val="24"/>
              </w:rPr>
              <w:t>:</w:t>
            </w:r>
          </w:p>
        </w:tc>
        <w:tc>
          <w:tcPr>
            <w:tcW w:w="6866" w:type="dxa"/>
          </w:tcPr>
          <w:p w14:paraId="41B9F4B6" w14:textId="77777777" w:rsidR="00A46CCC" w:rsidRDefault="00EE1533" w:rsidP="00EE1533">
            <w:pPr>
              <w:pStyle w:val="Default"/>
              <w:rPr>
                <w:b/>
              </w:rPr>
            </w:pPr>
            <w:bookmarkStart w:id="6" w:name="Applicant"/>
            <w:r w:rsidRPr="004056D9">
              <w:rPr>
                <w:b/>
              </w:rPr>
              <w:t>APPLICATION FOR REVIEW LODGED BY NEW SOUTH WALES MINERALS COUNCIL UNDER SUBSECTION 44K(2) OF THE COMPETITION AND CONSUMER ACT 2010 (CTH) OF THE DECISION OF THE DESIGNATED MINISTER UNDER SUBSECTION 44H(1) OF THE COMPETITION AND CONSUMER ACT 2010 (CTH)</w:t>
            </w:r>
            <w:r w:rsidR="00B761C3">
              <w:rPr>
                <w:b/>
              </w:rPr>
              <w:t xml:space="preserve"> </w:t>
            </w:r>
            <w:bookmarkEnd w:id="6"/>
          </w:p>
          <w:p w14:paraId="15EDC130" w14:textId="77777777" w:rsidR="00365796" w:rsidRPr="00EE1533" w:rsidRDefault="00365796" w:rsidP="00EE1533">
            <w:pPr>
              <w:pStyle w:val="Default"/>
              <w:rPr>
                <w:b/>
              </w:rPr>
            </w:pPr>
          </w:p>
        </w:tc>
      </w:tr>
      <w:tr w:rsidR="00A46CCC" w14:paraId="2D29BC11" w14:textId="77777777" w:rsidTr="00EE1533">
        <w:trPr>
          <w:trHeight w:val="386"/>
        </w:trPr>
        <w:tc>
          <w:tcPr>
            <w:tcW w:w="2376" w:type="dxa"/>
          </w:tcPr>
          <w:p w14:paraId="23CCFB49" w14:textId="77777777" w:rsidR="00A46CCC" w:rsidRDefault="00EE1533" w:rsidP="00CB7BA0">
            <w:pPr>
              <w:pStyle w:val="NormalHeadings"/>
              <w:jc w:val="left"/>
              <w:rPr>
                <w:caps/>
                <w:szCs w:val="24"/>
              </w:rPr>
            </w:pPr>
            <w:r>
              <w:rPr>
                <w:caps/>
                <w:szCs w:val="24"/>
              </w:rPr>
              <w:t>APPLICANT</w:t>
            </w:r>
            <w:r w:rsidR="00A46CCC">
              <w:rPr>
                <w:caps/>
                <w:szCs w:val="24"/>
              </w:rPr>
              <w:t>:</w:t>
            </w:r>
          </w:p>
        </w:tc>
        <w:tc>
          <w:tcPr>
            <w:tcW w:w="6866" w:type="dxa"/>
          </w:tcPr>
          <w:p w14:paraId="09D0DFE3" w14:textId="77777777" w:rsidR="00A46CCC" w:rsidRPr="006555B4" w:rsidRDefault="00EE1533" w:rsidP="00CB7BA0">
            <w:pPr>
              <w:pStyle w:val="NormalHeadings"/>
              <w:jc w:val="left"/>
            </w:pPr>
            <w:bookmarkStart w:id="7" w:name="Respondent"/>
            <w:r w:rsidRPr="004056D9">
              <w:t>NEW SOUTH WALES MINERALS COUNCIL</w:t>
            </w:r>
            <w:r w:rsidR="00A46CCC" w:rsidRPr="006555B4">
              <w:rPr>
                <w:szCs w:val="24"/>
              </w:rPr>
              <w:t xml:space="preserve"> </w:t>
            </w:r>
            <w:bookmarkEnd w:id="7"/>
          </w:p>
        </w:tc>
      </w:tr>
    </w:tbl>
    <w:p w14:paraId="35209F49" w14:textId="77777777" w:rsidR="00395B24" w:rsidRDefault="00395B24">
      <w:pPr>
        <w:pStyle w:val="NormalHeadings"/>
      </w:pPr>
      <w:bookmarkStart w:id="8" w:name="CrossClaimPosition"/>
      <w:bookmarkEnd w:id="5"/>
      <w:bookmarkEnd w:id="8"/>
    </w:p>
    <w:p w14:paraId="3F8B7575" w14:textId="77777777" w:rsidR="00EE1533" w:rsidRDefault="00EE1533">
      <w:pPr>
        <w:pStyle w:val="NormalHeadings"/>
      </w:pPr>
    </w:p>
    <w:p w14:paraId="6425DD59" w14:textId="77777777" w:rsidR="00EE1533" w:rsidRDefault="002011AB" w:rsidP="00EE1533">
      <w:pPr>
        <w:pStyle w:val="NormalHeadings"/>
        <w:jc w:val="center"/>
      </w:pPr>
      <w:r>
        <w:t>DETERMINATION</w:t>
      </w:r>
    </w:p>
    <w:p w14:paraId="1BA982FD" w14:textId="77777777" w:rsidR="00EE1533" w:rsidRDefault="00EE1533" w:rsidP="00EE1533">
      <w:pPr>
        <w:pStyle w:val="NormalHeadings"/>
        <w:jc w:val="center"/>
      </w:pPr>
    </w:p>
    <w:tbl>
      <w:tblPr>
        <w:tblW w:w="0" w:type="auto"/>
        <w:tblLayout w:type="fixed"/>
        <w:tblLook w:val="0000" w:firstRow="0" w:lastRow="0" w:firstColumn="0" w:lastColumn="0" w:noHBand="0" w:noVBand="0"/>
      </w:tblPr>
      <w:tblGrid>
        <w:gridCol w:w="2376"/>
        <w:gridCol w:w="6866"/>
      </w:tblGrid>
      <w:tr w:rsidR="00395B24" w14:paraId="114DF1C8" w14:textId="77777777">
        <w:tc>
          <w:tcPr>
            <w:tcW w:w="2376" w:type="dxa"/>
          </w:tcPr>
          <w:p w14:paraId="5112EDB7" w14:textId="77777777" w:rsidR="00395B24" w:rsidRDefault="00EE1533">
            <w:pPr>
              <w:pStyle w:val="NormalHeadings"/>
              <w:spacing w:after="120"/>
              <w:jc w:val="left"/>
              <w:rPr>
                <w:caps/>
                <w:szCs w:val="24"/>
              </w:rPr>
            </w:pPr>
            <w:r>
              <w:rPr>
                <w:caps/>
                <w:szCs w:val="24"/>
              </w:rPr>
              <w:t>TRIBUNAL</w:t>
            </w:r>
            <w:r w:rsidR="002C7385">
              <w:rPr>
                <w:caps/>
                <w:szCs w:val="24"/>
              </w:rPr>
              <w:t>:</w:t>
            </w:r>
          </w:p>
        </w:tc>
        <w:tc>
          <w:tcPr>
            <w:tcW w:w="6866" w:type="dxa"/>
          </w:tcPr>
          <w:p w14:paraId="5E365C19" w14:textId="77777777" w:rsidR="00395B24" w:rsidRDefault="00EE1533">
            <w:pPr>
              <w:pStyle w:val="NormalHeadings"/>
              <w:jc w:val="left"/>
              <w:rPr>
                <w:szCs w:val="24"/>
              </w:rPr>
            </w:pPr>
            <w:r w:rsidRPr="00BD321E">
              <w:rPr>
                <w:szCs w:val="24"/>
              </w:rPr>
              <w:t>JUSTICE O’BRYAN (D</w:t>
            </w:r>
            <w:r>
              <w:rPr>
                <w:szCs w:val="24"/>
              </w:rPr>
              <w:t>eputy President</w:t>
            </w:r>
            <w:r w:rsidRPr="00BD321E">
              <w:rPr>
                <w:szCs w:val="24"/>
              </w:rPr>
              <w:t>)</w:t>
            </w:r>
          </w:p>
          <w:p w14:paraId="66780405" w14:textId="77777777" w:rsidR="00BF5F90" w:rsidRDefault="00BF5F90">
            <w:pPr>
              <w:pStyle w:val="NormalHeadings"/>
              <w:jc w:val="left"/>
              <w:rPr>
                <w:szCs w:val="24"/>
              </w:rPr>
            </w:pPr>
            <w:r>
              <w:rPr>
                <w:szCs w:val="24"/>
              </w:rPr>
              <w:t>DR D ABRAHAM (Member)</w:t>
            </w:r>
          </w:p>
          <w:p w14:paraId="253F24F6" w14:textId="77777777" w:rsidR="00BF5F90" w:rsidRDefault="00BF5F90">
            <w:pPr>
              <w:pStyle w:val="NormalHeadings"/>
              <w:jc w:val="left"/>
              <w:rPr>
                <w:szCs w:val="24"/>
              </w:rPr>
            </w:pPr>
            <w:r>
              <w:rPr>
                <w:szCs w:val="24"/>
              </w:rPr>
              <w:t>PROF K DAVIS (Member)</w:t>
            </w:r>
          </w:p>
          <w:p w14:paraId="0279AF7D" w14:textId="77777777" w:rsidR="00BF5F90" w:rsidRDefault="00BF5F90">
            <w:pPr>
              <w:pStyle w:val="NormalHeadings"/>
              <w:jc w:val="left"/>
              <w:rPr>
                <w:caps/>
                <w:szCs w:val="24"/>
              </w:rPr>
            </w:pPr>
          </w:p>
        </w:tc>
      </w:tr>
      <w:tr w:rsidR="00395B24" w14:paraId="0EA0B9D0" w14:textId="77777777">
        <w:tc>
          <w:tcPr>
            <w:tcW w:w="2376" w:type="dxa"/>
          </w:tcPr>
          <w:p w14:paraId="76412EF1" w14:textId="77777777" w:rsidR="00395B24" w:rsidRDefault="002C7385" w:rsidP="00EE1533">
            <w:pPr>
              <w:pStyle w:val="NormalHeadings"/>
              <w:spacing w:after="120"/>
              <w:jc w:val="left"/>
              <w:rPr>
                <w:caps/>
                <w:szCs w:val="24"/>
              </w:rPr>
            </w:pPr>
            <w:r>
              <w:rPr>
                <w:caps/>
                <w:szCs w:val="24"/>
              </w:rPr>
              <w:t>DATE:</w:t>
            </w:r>
          </w:p>
        </w:tc>
        <w:tc>
          <w:tcPr>
            <w:tcW w:w="6866" w:type="dxa"/>
          </w:tcPr>
          <w:p w14:paraId="3DB2C79D" w14:textId="77777777" w:rsidR="00395B24" w:rsidRDefault="003A6F45" w:rsidP="00E01AA5">
            <w:pPr>
              <w:pStyle w:val="NormalHeadings"/>
              <w:jc w:val="left"/>
              <w:rPr>
                <w:caps/>
                <w:szCs w:val="24"/>
              </w:rPr>
            </w:pPr>
            <w:bookmarkStart w:id="9" w:name="Judgment_Dated"/>
            <w:r>
              <w:rPr>
                <w:caps/>
                <w:szCs w:val="24"/>
              </w:rPr>
              <w:t>4</w:t>
            </w:r>
            <w:r w:rsidR="001D48B9">
              <w:rPr>
                <w:caps/>
                <w:szCs w:val="24"/>
              </w:rPr>
              <w:t xml:space="preserve"> </w:t>
            </w:r>
            <w:r w:rsidR="00E01AA5">
              <w:rPr>
                <w:caps/>
                <w:szCs w:val="24"/>
              </w:rPr>
              <w:t>august</w:t>
            </w:r>
            <w:r w:rsidR="00EE1533">
              <w:rPr>
                <w:caps/>
                <w:szCs w:val="24"/>
              </w:rPr>
              <w:t xml:space="preserve"> 2021</w:t>
            </w:r>
            <w:r w:rsidR="002C7385">
              <w:rPr>
                <w:caps/>
                <w:szCs w:val="24"/>
              </w:rPr>
              <w:t xml:space="preserve"> </w:t>
            </w:r>
            <w:bookmarkEnd w:id="9"/>
          </w:p>
        </w:tc>
      </w:tr>
    </w:tbl>
    <w:p w14:paraId="470529FE" w14:textId="77777777" w:rsidR="00395B24" w:rsidRDefault="00395B24">
      <w:pPr>
        <w:pStyle w:val="NormalHeadings"/>
        <w:rPr>
          <w:b w:val="0"/>
        </w:rPr>
      </w:pPr>
    </w:p>
    <w:p w14:paraId="2C28CF6A" w14:textId="77777777" w:rsidR="005606F2" w:rsidRPr="00064227" w:rsidRDefault="005606F2" w:rsidP="005606F2">
      <w:pPr>
        <w:pStyle w:val="NormalHeadings"/>
        <w:spacing w:line="360" w:lineRule="auto"/>
        <w:rPr>
          <w:b w:val="0"/>
        </w:rPr>
      </w:pPr>
    </w:p>
    <w:p w14:paraId="34A9DCB1" w14:textId="77777777" w:rsidR="008D1617" w:rsidRDefault="005606F2" w:rsidP="00661873">
      <w:pPr>
        <w:pStyle w:val="NormalHeadings"/>
        <w:spacing w:before="120" w:after="120" w:line="360" w:lineRule="auto"/>
        <w:rPr>
          <w:b w:val="0"/>
        </w:rPr>
      </w:pPr>
      <w:r w:rsidRPr="005606F2">
        <w:t xml:space="preserve">THE TRIBUNAL </w:t>
      </w:r>
      <w:r w:rsidR="00661873">
        <w:t xml:space="preserve">DETERMINES AND </w:t>
      </w:r>
      <w:r w:rsidRPr="005606F2">
        <w:t>DIRECTS THAT</w:t>
      </w:r>
      <w:r w:rsidRPr="005606F2">
        <w:rPr>
          <w:b w:val="0"/>
        </w:rPr>
        <w:t>:</w:t>
      </w:r>
    </w:p>
    <w:p w14:paraId="73843B34" w14:textId="3074D56C" w:rsidR="00B90BA7" w:rsidRDefault="008F013C" w:rsidP="00661873">
      <w:pPr>
        <w:pStyle w:val="ListParagraph"/>
        <w:numPr>
          <w:ilvl w:val="0"/>
          <w:numId w:val="26"/>
        </w:numPr>
        <w:spacing w:before="120" w:after="120"/>
        <w:ind w:left="709" w:hanging="709"/>
        <w:rPr>
          <w:rFonts w:eastAsia="Times New Roman"/>
          <w:bCs/>
          <w:szCs w:val="24"/>
          <w:lang w:val="en-GB" w:eastAsia="en-AU"/>
        </w:rPr>
      </w:pPr>
      <w:r>
        <w:rPr>
          <w:rFonts w:eastAsia="Times New Roman"/>
          <w:bCs/>
          <w:szCs w:val="24"/>
          <w:lang w:val="en-GB" w:eastAsia="en-AU"/>
        </w:rPr>
        <w:t xml:space="preserve">The </w:t>
      </w:r>
      <w:r w:rsidR="005606F2" w:rsidRPr="005606F2">
        <w:rPr>
          <w:lang w:eastAsia="en-AU"/>
        </w:rPr>
        <w:t>decision dated 16 February 2021 by the</w:t>
      </w:r>
      <w:r w:rsidR="005606F2">
        <w:rPr>
          <w:lang w:eastAsia="en-AU"/>
        </w:rPr>
        <w:t xml:space="preserve"> </w:t>
      </w:r>
      <w:r w:rsidR="005606F2" w:rsidRPr="005606F2">
        <w:rPr>
          <w:lang w:eastAsia="en-AU"/>
        </w:rPr>
        <w:t>designated Minister, the Hon Josh</w:t>
      </w:r>
      <w:r w:rsidR="00DB0B83">
        <w:rPr>
          <w:lang w:eastAsia="en-AU"/>
        </w:rPr>
        <w:t>ua</w:t>
      </w:r>
      <w:r w:rsidR="005606F2" w:rsidRPr="005606F2">
        <w:rPr>
          <w:lang w:eastAsia="en-AU"/>
        </w:rPr>
        <w:t xml:space="preserve"> </w:t>
      </w:r>
      <w:proofErr w:type="spellStart"/>
      <w:r w:rsidR="005606F2" w:rsidRPr="005606F2">
        <w:rPr>
          <w:lang w:eastAsia="en-AU"/>
        </w:rPr>
        <w:t>Frydenberg</w:t>
      </w:r>
      <w:proofErr w:type="spellEnd"/>
      <w:r w:rsidR="005606F2" w:rsidRPr="005606F2">
        <w:rPr>
          <w:lang w:eastAsia="en-AU"/>
        </w:rPr>
        <w:t xml:space="preserve"> MP, Treasurer of the</w:t>
      </w:r>
      <w:r w:rsidR="005606F2">
        <w:rPr>
          <w:lang w:eastAsia="en-AU"/>
        </w:rPr>
        <w:t xml:space="preserve"> </w:t>
      </w:r>
      <w:r w:rsidR="005606F2" w:rsidRPr="005606F2">
        <w:rPr>
          <w:lang w:eastAsia="en-AU"/>
        </w:rPr>
        <w:t xml:space="preserve">Commonwealth of Australia, under </w:t>
      </w:r>
      <w:r w:rsidR="003453E0">
        <w:rPr>
          <w:lang w:eastAsia="en-AU"/>
        </w:rPr>
        <w:t>s</w:t>
      </w:r>
      <w:r w:rsidR="005606F2" w:rsidRPr="005606F2">
        <w:rPr>
          <w:lang w:eastAsia="en-AU"/>
        </w:rPr>
        <w:t xml:space="preserve"> 44H(1) of the </w:t>
      </w:r>
      <w:r w:rsidR="00661873" w:rsidRPr="00661873">
        <w:rPr>
          <w:i/>
          <w:lang w:eastAsia="en-AU"/>
        </w:rPr>
        <w:t xml:space="preserve">Competition and Consumer </w:t>
      </w:r>
      <w:r w:rsidR="005606F2" w:rsidRPr="00661873">
        <w:rPr>
          <w:i/>
          <w:lang w:eastAsia="en-AU"/>
        </w:rPr>
        <w:t>Act</w:t>
      </w:r>
      <w:r w:rsidR="00661873" w:rsidRPr="00661873">
        <w:rPr>
          <w:i/>
          <w:lang w:eastAsia="en-AU"/>
        </w:rPr>
        <w:t xml:space="preserve"> 2010</w:t>
      </w:r>
      <w:r w:rsidR="00661873">
        <w:rPr>
          <w:lang w:eastAsia="en-AU"/>
        </w:rPr>
        <w:t xml:space="preserve"> (</w:t>
      </w:r>
      <w:proofErr w:type="spellStart"/>
      <w:r w:rsidR="00661873">
        <w:rPr>
          <w:lang w:eastAsia="en-AU"/>
        </w:rPr>
        <w:t>Cth</w:t>
      </w:r>
      <w:proofErr w:type="spellEnd"/>
      <w:r w:rsidR="00661873">
        <w:rPr>
          <w:lang w:eastAsia="en-AU"/>
        </w:rPr>
        <w:t>) (</w:t>
      </w:r>
      <w:r w:rsidR="00661873" w:rsidRPr="00661873">
        <w:rPr>
          <w:b/>
          <w:lang w:eastAsia="en-AU"/>
        </w:rPr>
        <w:t>Act</w:t>
      </w:r>
      <w:r w:rsidR="00661873">
        <w:rPr>
          <w:lang w:eastAsia="en-AU"/>
        </w:rPr>
        <w:t>)</w:t>
      </w:r>
      <w:r w:rsidR="005606F2" w:rsidRPr="005606F2">
        <w:rPr>
          <w:lang w:eastAsia="en-AU"/>
        </w:rPr>
        <w:t xml:space="preserve">, not to declare </w:t>
      </w:r>
      <w:r w:rsidR="005606F2">
        <w:rPr>
          <w:lang w:eastAsia="en-AU"/>
        </w:rPr>
        <w:t xml:space="preserve">the service </w:t>
      </w:r>
      <w:r w:rsidR="00661873">
        <w:rPr>
          <w:lang w:eastAsia="en-AU"/>
        </w:rPr>
        <w:t xml:space="preserve">provided at the Port of Newcastle </w:t>
      </w:r>
      <w:r w:rsidR="005606F2">
        <w:rPr>
          <w:lang w:eastAsia="en-AU"/>
        </w:rPr>
        <w:t>comprising</w:t>
      </w:r>
      <w:r w:rsidR="005606F2" w:rsidRPr="005606F2">
        <w:rPr>
          <w:lang w:eastAsia="en-AU"/>
        </w:rPr>
        <w:t xml:space="preserve"> the provision of the right to access and use all the shipping</w:t>
      </w:r>
      <w:r w:rsidR="005606F2">
        <w:rPr>
          <w:lang w:eastAsia="en-AU"/>
        </w:rPr>
        <w:t xml:space="preserve"> </w:t>
      </w:r>
      <w:r w:rsidR="005606F2" w:rsidRPr="005606F2">
        <w:rPr>
          <w:lang w:eastAsia="en-AU"/>
        </w:rPr>
        <w:t xml:space="preserve">channels and berthing facilities required for the export of coal from the </w:t>
      </w:r>
      <w:r w:rsidR="00661873">
        <w:rPr>
          <w:lang w:eastAsia="en-AU"/>
        </w:rPr>
        <w:t>p</w:t>
      </w:r>
      <w:r w:rsidR="005606F2" w:rsidRPr="005606F2">
        <w:rPr>
          <w:lang w:eastAsia="en-AU"/>
        </w:rPr>
        <w:t>ort, by virtue</w:t>
      </w:r>
      <w:r w:rsidR="005606F2">
        <w:rPr>
          <w:lang w:eastAsia="en-AU"/>
        </w:rPr>
        <w:t xml:space="preserve"> </w:t>
      </w:r>
      <w:r w:rsidR="005606F2" w:rsidRPr="005606F2">
        <w:rPr>
          <w:lang w:eastAsia="en-AU"/>
        </w:rPr>
        <w:t xml:space="preserve">of which vessels may enter a </w:t>
      </w:r>
      <w:r w:rsidR="005606F2">
        <w:rPr>
          <w:lang w:eastAsia="en-AU"/>
        </w:rPr>
        <w:t>p</w:t>
      </w:r>
      <w:r w:rsidR="005606F2" w:rsidRPr="005606F2">
        <w:rPr>
          <w:lang w:eastAsia="en-AU"/>
        </w:rPr>
        <w:t>ort precinct and load and unload at relevant terminals</w:t>
      </w:r>
      <w:r w:rsidR="005606F2">
        <w:rPr>
          <w:lang w:eastAsia="en-AU"/>
        </w:rPr>
        <w:t xml:space="preserve"> </w:t>
      </w:r>
      <w:r w:rsidR="005606F2" w:rsidRPr="005606F2">
        <w:rPr>
          <w:lang w:eastAsia="en-AU"/>
        </w:rPr>
        <w:t xml:space="preserve">located within the </w:t>
      </w:r>
      <w:r w:rsidR="005606F2">
        <w:rPr>
          <w:lang w:eastAsia="en-AU"/>
        </w:rPr>
        <w:t>p</w:t>
      </w:r>
      <w:r w:rsidR="005606F2" w:rsidRPr="005606F2">
        <w:rPr>
          <w:lang w:eastAsia="en-AU"/>
        </w:rPr>
        <w:t xml:space="preserve">ort precinct, and then depart the </w:t>
      </w:r>
      <w:r w:rsidR="005606F2">
        <w:rPr>
          <w:lang w:eastAsia="en-AU"/>
        </w:rPr>
        <w:t>p</w:t>
      </w:r>
      <w:r w:rsidR="005606F2" w:rsidRPr="005606F2">
        <w:rPr>
          <w:lang w:eastAsia="en-AU"/>
        </w:rPr>
        <w:t>ort precinct, currently being provided by Port of</w:t>
      </w:r>
      <w:r w:rsidR="005606F2">
        <w:rPr>
          <w:lang w:eastAsia="en-AU"/>
        </w:rPr>
        <w:t xml:space="preserve"> </w:t>
      </w:r>
      <w:r w:rsidR="005606F2" w:rsidRPr="005606F2">
        <w:rPr>
          <w:lang w:eastAsia="en-AU"/>
        </w:rPr>
        <w:t>Newcastle Operations Pty Ltd</w:t>
      </w:r>
      <w:r w:rsidR="005606F2">
        <w:rPr>
          <w:lang w:eastAsia="en-AU"/>
        </w:rPr>
        <w:t>, be affirmed</w:t>
      </w:r>
      <w:r>
        <w:rPr>
          <w:rFonts w:eastAsia="Times New Roman"/>
          <w:bCs/>
          <w:szCs w:val="24"/>
          <w:lang w:val="en-GB" w:eastAsia="en-AU"/>
        </w:rPr>
        <w:t>.</w:t>
      </w:r>
    </w:p>
    <w:p w14:paraId="32E02FFB" w14:textId="77777777" w:rsidR="00661873" w:rsidRPr="00661873" w:rsidRDefault="00661873" w:rsidP="00661873">
      <w:pPr>
        <w:pStyle w:val="ListParagraph"/>
        <w:numPr>
          <w:ilvl w:val="0"/>
          <w:numId w:val="26"/>
        </w:numPr>
        <w:spacing w:before="120" w:after="120"/>
        <w:ind w:left="709" w:hanging="709"/>
        <w:rPr>
          <w:rFonts w:eastAsia="Times New Roman"/>
          <w:bCs/>
          <w:szCs w:val="24"/>
          <w:lang w:val="en-GB" w:eastAsia="en-AU"/>
        </w:rPr>
      </w:pPr>
      <w:r>
        <w:rPr>
          <w:rFonts w:eastAsia="Times New Roman"/>
          <w:bCs/>
          <w:szCs w:val="24"/>
          <w:lang w:val="en-GB" w:eastAsia="en-AU"/>
        </w:rPr>
        <w:t xml:space="preserve">Within </w:t>
      </w:r>
      <w:r w:rsidR="001D48B9">
        <w:rPr>
          <w:rFonts w:eastAsia="Times New Roman"/>
          <w:bCs/>
          <w:szCs w:val="24"/>
          <w:lang w:val="en-GB" w:eastAsia="en-AU"/>
        </w:rPr>
        <w:t>14</w:t>
      </w:r>
      <w:r w:rsidR="005606F2">
        <w:rPr>
          <w:rFonts w:eastAsia="Times New Roman"/>
          <w:bCs/>
          <w:szCs w:val="24"/>
          <w:lang w:val="en-GB" w:eastAsia="en-AU"/>
        </w:rPr>
        <w:t xml:space="preserve"> days </w:t>
      </w:r>
      <w:r w:rsidR="005F2148">
        <w:rPr>
          <w:rFonts w:eastAsia="Times New Roman"/>
          <w:bCs/>
          <w:szCs w:val="24"/>
          <w:lang w:val="en-GB" w:eastAsia="en-AU"/>
        </w:rPr>
        <w:t>after</w:t>
      </w:r>
      <w:r w:rsidR="005606F2">
        <w:rPr>
          <w:rFonts w:eastAsia="Times New Roman"/>
          <w:bCs/>
          <w:szCs w:val="24"/>
          <w:lang w:val="en-GB" w:eastAsia="en-AU"/>
        </w:rPr>
        <w:t xml:space="preserve"> the date of this determination, </w:t>
      </w:r>
      <w:r w:rsidR="005606F2" w:rsidRPr="005606F2">
        <w:rPr>
          <w:lang w:eastAsia="en-AU"/>
        </w:rPr>
        <w:t>Port of</w:t>
      </w:r>
      <w:r w:rsidR="005606F2">
        <w:rPr>
          <w:lang w:eastAsia="en-AU"/>
        </w:rPr>
        <w:t xml:space="preserve"> </w:t>
      </w:r>
      <w:r w:rsidR="005606F2" w:rsidRPr="005606F2">
        <w:rPr>
          <w:lang w:eastAsia="en-AU"/>
        </w:rPr>
        <w:t>Newcastle Operations Pty Ltd</w:t>
      </w:r>
      <w:r w:rsidR="005606F2">
        <w:rPr>
          <w:lang w:eastAsia="en-AU"/>
        </w:rPr>
        <w:t xml:space="preserve"> </w:t>
      </w:r>
      <w:r>
        <w:rPr>
          <w:lang w:eastAsia="en-AU"/>
        </w:rPr>
        <w:t>(</w:t>
      </w:r>
      <w:r w:rsidRPr="00661873">
        <w:rPr>
          <w:b/>
          <w:lang w:eastAsia="en-AU"/>
        </w:rPr>
        <w:t>PNO</w:t>
      </w:r>
      <w:r>
        <w:rPr>
          <w:lang w:eastAsia="en-AU"/>
        </w:rPr>
        <w:t xml:space="preserve">) </w:t>
      </w:r>
      <w:r w:rsidR="005606F2">
        <w:rPr>
          <w:lang w:eastAsia="en-AU"/>
        </w:rPr>
        <w:t>is to notify the Tribunal</w:t>
      </w:r>
      <w:r>
        <w:rPr>
          <w:lang w:eastAsia="en-AU"/>
        </w:rPr>
        <w:t>, the New South Wales Minerals Council</w:t>
      </w:r>
      <w:r w:rsidR="005606F2">
        <w:rPr>
          <w:lang w:eastAsia="en-AU"/>
        </w:rPr>
        <w:t xml:space="preserve"> </w:t>
      </w:r>
      <w:r>
        <w:rPr>
          <w:lang w:eastAsia="en-AU"/>
        </w:rPr>
        <w:t>(</w:t>
      </w:r>
      <w:r w:rsidRPr="00661873">
        <w:rPr>
          <w:b/>
          <w:lang w:eastAsia="en-AU"/>
        </w:rPr>
        <w:t>NSWMC</w:t>
      </w:r>
      <w:r>
        <w:rPr>
          <w:lang w:eastAsia="en-AU"/>
        </w:rPr>
        <w:t xml:space="preserve">) </w:t>
      </w:r>
      <w:r w:rsidR="005606F2">
        <w:rPr>
          <w:lang w:eastAsia="en-AU"/>
        </w:rPr>
        <w:t xml:space="preserve">and the </w:t>
      </w:r>
      <w:r>
        <w:rPr>
          <w:lang w:eastAsia="en-AU"/>
        </w:rPr>
        <w:t>National Competition Council (</w:t>
      </w:r>
      <w:r w:rsidRPr="00661873">
        <w:rPr>
          <w:b/>
          <w:lang w:eastAsia="en-AU"/>
        </w:rPr>
        <w:t>NCC</w:t>
      </w:r>
      <w:r>
        <w:rPr>
          <w:lang w:eastAsia="en-AU"/>
        </w:rPr>
        <w:t>) whether it seeks an opportunity to make further written submissions on the question of the Tribunal’s power under s 44KB(1) of the Act to make an order for costs in this proceeding.</w:t>
      </w:r>
    </w:p>
    <w:p w14:paraId="5D9D6DD9" w14:textId="77777777" w:rsidR="00661873" w:rsidRPr="00661873" w:rsidRDefault="00661873" w:rsidP="00661873">
      <w:pPr>
        <w:pStyle w:val="ListParagraph"/>
        <w:numPr>
          <w:ilvl w:val="0"/>
          <w:numId w:val="26"/>
        </w:numPr>
        <w:spacing w:before="120" w:after="120"/>
        <w:ind w:left="709" w:hanging="709"/>
        <w:rPr>
          <w:rFonts w:eastAsia="Times New Roman"/>
          <w:bCs/>
          <w:szCs w:val="24"/>
          <w:lang w:val="en-GB" w:eastAsia="en-AU"/>
        </w:rPr>
      </w:pPr>
      <w:r>
        <w:rPr>
          <w:lang w:eastAsia="en-AU"/>
        </w:rPr>
        <w:lastRenderedPageBreak/>
        <w:t xml:space="preserve">If PNO gives notice under direction </w:t>
      </w:r>
      <w:r w:rsidR="00CD3D55">
        <w:rPr>
          <w:lang w:eastAsia="en-AU"/>
        </w:rPr>
        <w:t>2</w:t>
      </w:r>
      <w:r>
        <w:rPr>
          <w:lang w:eastAsia="en-AU"/>
        </w:rPr>
        <w:t xml:space="preserve"> that it seeks an opportunity to make further written submissions on the question of the Tribunal’s power under s 44KB(1) of the Act:</w:t>
      </w:r>
    </w:p>
    <w:p w14:paraId="7B8C0A7A" w14:textId="77777777" w:rsidR="005606F2" w:rsidRPr="005F2148" w:rsidRDefault="00661873" w:rsidP="00661873">
      <w:pPr>
        <w:pStyle w:val="ListParagraph"/>
        <w:numPr>
          <w:ilvl w:val="1"/>
          <w:numId w:val="26"/>
        </w:numPr>
        <w:spacing w:before="120" w:after="120"/>
        <w:ind w:left="1418" w:hanging="709"/>
        <w:rPr>
          <w:rFonts w:eastAsia="Times New Roman"/>
          <w:bCs/>
          <w:szCs w:val="24"/>
          <w:lang w:val="en-GB" w:eastAsia="en-AU"/>
        </w:rPr>
      </w:pPr>
      <w:r>
        <w:rPr>
          <w:lang w:eastAsia="en-AU"/>
        </w:rPr>
        <w:t xml:space="preserve">PNO must file such submissions, and any supplementary submissions on the exercise of the Tribunal’s discretion to make an order for costs (should the Tribunal reach the view that it has power to make an order for costs), limited to </w:t>
      </w:r>
      <w:r w:rsidR="005F2148">
        <w:rPr>
          <w:lang w:eastAsia="en-AU"/>
        </w:rPr>
        <w:t xml:space="preserve">10 pages, within </w:t>
      </w:r>
      <w:r w:rsidR="001D48B9">
        <w:rPr>
          <w:rFonts w:eastAsia="Times New Roman"/>
          <w:bCs/>
          <w:szCs w:val="24"/>
          <w:lang w:val="en-GB" w:eastAsia="en-AU"/>
        </w:rPr>
        <w:t>28</w:t>
      </w:r>
      <w:r w:rsidR="005F2148">
        <w:rPr>
          <w:rFonts w:eastAsia="Times New Roman"/>
          <w:bCs/>
          <w:szCs w:val="24"/>
          <w:lang w:val="en-GB" w:eastAsia="en-AU"/>
        </w:rPr>
        <w:t xml:space="preserve"> days after the date of this determination</w:t>
      </w:r>
      <w:r w:rsidR="005F2148">
        <w:rPr>
          <w:lang w:eastAsia="en-AU"/>
        </w:rPr>
        <w:t>;</w:t>
      </w:r>
    </w:p>
    <w:p w14:paraId="467AD2B2" w14:textId="77777777" w:rsidR="005F2148" w:rsidRDefault="005F2148" w:rsidP="005F2148">
      <w:pPr>
        <w:pStyle w:val="ListParagraph"/>
        <w:numPr>
          <w:ilvl w:val="1"/>
          <w:numId w:val="26"/>
        </w:numPr>
        <w:spacing w:before="120" w:after="120"/>
        <w:ind w:left="1418" w:hanging="709"/>
        <w:rPr>
          <w:rFonts w:eastAsia="Times New Roman"/>
          <w:bCs/>
          <w:szCs w:val="24"/>
          <w:lang w:val="en-GB" w:eastAsia="en-AU"/>
        </w:rPr>
      </w:pPr>
      <w:r>
        <w:rPr>
          <w:rFonts w:eastAsia="Times New Roman"/>
          <w:bCs/>
          <w:szCs w:val="24"/>
          <w:lang w:val="en-GB" w:eastAsia="en-AU"/>
        </w:rPr>
        <w:t xml:space="preserve">NSWMC </w:t>
      </w:r>
      <w:r>
        <w:rPr>
          <w:lang w:eastAsia="en-AU"/>
        </w:rPr>
        <w:t xml:space="preserve">must file any submissions in reply, limited to 10 pages, within </w:t>
      </w:r>
      <w:r w:rsidR="001D48B9">
        <w:rPr>
          <w:rFonts w:eastAsia="Times New Roman"/>
          <w:bCs/>
          <w:szCs w:val="24"/>
          <w:lang w:val="en-GB" w:eastAsia="en-AU"/>
        </w:rPr>
        <w:t>42</w:t>
      </w:r>
      <w:r>
        <w:rPr>
          <w:rFonts w:eastAsia="Times New Roman"/>
          <w:bCs/>
          <w:szCs w:val="24"/>
          <w:lang w:val="en-GB" w:eastAsia="en-AU"/>
        </w:rPr>
        <w:t xml:space="preserve"> days after the date of this determination;</w:t>
      </w:r>
    </w:p>
    <w:p w14:paraId="70F1D18D" w14:textId="77777777" w:rsidR="005F2148" w:rsidRDefault="003A6F45" w:rsidP="005F2148">
      <w:pPr>
        <w:pStyle w:val="ListParagraph"/>
        <w:numPr>
          <w:ilvl w:val="1"/>
          <w:numId w:val="26"/>
        </w:numPr>
        <w:spacing w:before="120" w:after="120"/>
        <w:ind w:left="1418" w:hanging="709"/>
        <w:rPr>
          <w:rFonts w:eastAsia="Times New Roman"/>
          <w:bCs/>
          <w:szCs w:val="24"/>
          <w:lang w:val="en-GB" w:eastAsia="en-AU"/>
        </w:rPr>
      </w:pPr>
      <w:r>
        <w:rPr>
          <w:rFonts w:eastAsia="Times New Roman"/>
          <w:bCs/>
          <w:szCs w:val="24"/>
          <w:lang w:val="en-GB" w:eastAsia="en-AU"/>
        </w:rPr>
        <w:t>t</w:t>
      </w:r>
      <w:r w:rsidR="005F2148">
        <w:rPr>
          <w:rFonts w:eastAsia="Times New Roman"/>
          <w:bCs/>
          <w:szCs w:val="24"/>
          <w:lang w:val="en-GB" w:eastAsia="en-AU"/>
        </w:rPr>
        <w:t>he Tribunal will determine the application for costs on the papers unless PNO or NSWMC indicate in their written submissions that they seek an opportunity to advance oral submissions on the application.</w:t>
      </w:r>
    </w:p>
    <w:p w14:paraId="0800F4BA" w14:textId="77777777" w:rsidR="005F2148" w:rsidRPr="005F2148" w:rsidRDefault="005F2148" w:rsidP="005F2148">
      <w:pPr>
        <w:pStyle w:val="ListParagraph"/>
        <w:numPr>
          <w:ilvl w:val="0"/>
          <w:numId w:val="26"/>
        </w:numPr>
        <w:spacing w:before="120" w:after="120"/>
        <w:rPr>
          <w:rFonts w:eastAsia="Times New Roman"/>
          <w:bCs/>
          <w:szCs w:val="24"/>
          <w:lang w:val="en-GB" w:eastAsia="en-AU"/>
        </w:rPr>
        <w:sectPr w:rsidR="005F2148" w:rsidRPr="005F2148"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tbl>
      <w:tblPr>
        <w:tblW w:w="9291" w:type="dxa"/>
        <w:tblLook w:val="01E0" w:firstRow="1" w:lastRow="1" w:firstColumn="1" w:lastColumn="1" w:noHBand="0" w:noVBand="0"/>
      </w:tblPr>
      <w:tblGrid>
        <w:gridCol w:w="8291"/>
        <w:gridCol w:w="1000"/>
      </w:tblGrid>
      <w:tr w:rsidR="00DE7137" w:rsidRPr="00D326DB" w14:paraId="44A2FCBF" w14:textId="77777777" w:rsidTr="00DE7137">
        <w:tc>
          <w:tcPr>
            <w:tcW w:w="8291" w:type="dxa"/>
            <w:shd w:val="clear" w:color="auto" w:fill="auto"/>
          </w:tcPr>
          <w:p w14:paraId="233D4919" w14:textId="38C2DB0D" w:rsidR="00DE7137" w:rsidRPr="00DE7137" w:rsidRDefault="00DE7137" w:rsidP="00DE7137">
            <w:pPr>
              <w:pStyle w:val="FTOC1"/>
              <w:tabs>
                <w:tab w:val="clear" w:pos="9072"/>
              </w:tabs>
              <w:rPr>
                <w:lang w:eastAsia="en-AU"/>
              </w:rPr>
            </w:pPr>
            <w:bookmarkStart w:id="10" w:name="ReasonsPage"/>
            <w:bookmarkStart w:id="11" w:name="PTOC"/>
            <w:bookmarkEnd w:id="10"/>
            <w:r>
              <w:rPr>
                <w:lang w:eastAsia="en-AU"/>
              </w:rPr>
              <w:lastRenderedPageBreak/>
              <w:t xml:space="preserve">A. </w:t>
            </w:r>
            <w:r>
              <w:rPr>
                <w:lang w:eastAsia="en-AU"/>
              </w:rPr>
              <w:fldChar w:fldCharType="begin"/>
            </w:r>
            <w:r>
              <w:rPr>
                <w:lang w:eastAsia="en-AU"/>
              </w:rPr>
              <w:instrText xml:space="preserve"> REF _Ref78900475 \h </w:instrText>
            </w:r>
            <w:r>
              <w:rPr>
                <w:lang w:eastAsia="en-AU"/>
              </w:rPr>
            </w:r>
            <w:r>
              <w:rPr>
                <w:lang w:eastAsia="en-AU"/>
              </w:rPr>
              <w:fldChar w:fldCharType="separate"/>
            </w:r>
            <w:r w:rsidR="000E6C3B">
              <w:t>Introduction</w:t>
            </w:r>
            <w:r>
              <w:rPr>
                <w:lang w:eastAsia="en-AU"/>
              </w:rPr>
              <w:fldChar w:fldCharType="end"/>
            </w:r>
          </w:p>
        </w:tc>
        <w:tc>
          <w:tcPr>
            <w:tcW w:w="1000" w:type="dxa"/>
            <w:shd w:val="clear" w:color="auto" w:fill="auto"/>
            <w:vAlign w:val="bottom"/>
          </w:tcPr>
          <w:p w14:paraId="012A08DF" w14:textId="28429A8C" w:rsidR="00DE7137" w:rsidRDefault="00DE7137" w:rsidP="00E33FEA">
            <w:pPr>
              <w:spacing w:before="120" w:after="60" w:line="240" w:lineRule="auto"/>
              <w:jc w:val="right"/>
              <w:rPr>
                <w:szCs w:val="24"/>
              </w:rPr>
            </w:pPr>
            <w:r>
              <w:rPr>
                <w:szCs w:val="24"/>
              </w:rPr>
              <w:t>[1]</w:t>
            </w:r>
          </w:p>
        </w:tc>
      </w:tr>
      <w:tr w:rsidR="00DE7137" w:rsidRPr="00D326DB" w14:paraId="1F538893" w14:textId="77777777" w:rsidTr="00DE7137">
        <w:tc>
          <w:tcPr>
            <w:tcW w:w="8291" w:type="dxa"/>
            <w:shd w:val="clear" w:color="auto" w:fill="auto"/>
          </w:tcPr>
          <w:p w14:paraId="13E6E195" w14:textId="0CBD47ED" w:rsidR="00DE7137" w:rsidRPr="00DE7137" w:rsidRDefault="00DE7137" w:rsidP="00DE7137">
            <w:pPr>
              <w:pStyle w:val="FTOC1"/>
              <w:tabs>
                <w:tab w:val="clear" w:pos="9072"/>
              </w:tabs>
              <w:rPr>
                <w:lang w:eastAsia="en-AU"/>
              </w:rPr>
            </w:pPr>
            <w:r>
              <w:rPr>
                <w:lang w:eastAsia="en-AU"/>
              </w:rPr>
              <w:t xml:space="preserve">B. </w:t>
            </w:r>
            <w:r>
              <w:rPr>
                <w:lang w:eastAsia="en-AU"/>
              </w:rPr>
              <w:fldChar w:fldCharType="begin"/>
            </w:r>
            <w:r>
              <w:rPr>
                <w:lang w:eastAsia="en-AU"/>
              </w:rPr>
              <w:instrText xml:space="preserve"> REF _Ref78900476 \h </w:instrText>
            </w:r>
            <w:r>
              <w:rPr>
                <w:lang w:eastAsia="en-AU"/>
              </w:rPr>
            </w:r>
            <w:r>
              <w:rPr>
                <w:lang w:eastAsia="en-AU"/>
              </w:rPr>
              <w:fldChar w:fldCharType="separate"/>
            </w:r>
            <w:r w:rsidR="000E6C3B">
              <w:rPr>
                <w:lang w:eastAsia="en-AU"/>
              </w:rPr>
              <w:t>Statutory framework for the Tribunal’s review</w:t>
            </w:r>
            <w:r>
              <w:rPr>
                <w:lang w:eastAsia="en-AU"/>
              </w:rPr>
              <w:fldChar w:fldCharType="end"/>
            </w:r>
          </w:p>
        </w:tc>
        <w:tc>
          <w:tcPr>
            <w:tcW w:w="1000" w:type="dxa"/>
            <w:shd w:val="clear" w:color="auto" w:fill="auto"/>
            <w:vAlign w:val="bottom"/>
          </w:tcPr>
          <w:p w14:paraId="1B68D22B" w14:textId="5B85F1FE" w:rsidR="00DE7137" w:rsidRDefault="00DE7137" w:rsidP="00E33FEA">
            <w:pPr>
              <w:spacing w:before="120" w:after="60" w:line="240" w:lineRule="auto"/>
              <w:jc w:val="right"/>
              <w:rPr>
                <w:szCs w:val="24"/>
              </w:rPr>
            </w:pPr>
            <w:r>
              <w:rPr>
                <w:szCs w:val="24"/>
              </w:rPr>
              <w:t>[13]</w:t>
            </w:r>
          </w:p>
        </w:tc>
      </w:tr>
      <w:tr w:rsidR="00DE7137" w:rsidRPr="00D326DB" w14:paraId="463020E4" w14:textId="77777777" w:rsidTr="00DE7137">
        <w:tc>
          <w:tcPr>
            <w:tcW w:w="8291" w:type="dxa"/>
            <w:shd w:val="clear" w:color="auto" w:fill="auto"/>
          </w:tcPr>
          <w:p w14:paraId="7195875E" w14:textId="484462DE" w:rsidR="00DE7137" w:rsidRPr="00DE7137" w:rsidRDefault="00DE7137" w:rsidP="00DE7137">
            <w:pPr>
              <w:pStyle w:val="FTOC2"/>
              <w:tabs>
                <w:tab w:val="clear" w:pos="9072"/>
              </w:tabs>
              <w:rPr>
                <w:lang w:eastAsia="en-AU"/>
              </w:rPr>
            </w:pPr>
            <w:r>
              <w:rPr>
                <w:lang w:eastAsia="en-AU"/>
              </w:rPr>
              <w:fldChar w:fldCharType="begin"/>
            </w:r>
            <w:r>
              <w:rPr>
                <w:lang w:eastAsia="en-AU"/>
              </w:rPr>
              <w:instrText xml:space="preserve"> REF _Ref78900477 \h </w:instrText>
            </w:r>
            <w:r>
              <w:rPr>
                <w:lang w:eastAsia="en-AU"/>
              </w:rPr>
            </w:r>
            <w:r>
              <w:rPr>
                <w:lang w:eastAsia="en-AU"/>
              </w:rPr>
              <w:fldChar w:fldCharType="separate"/>
            </w:r>
            <w:r w:rsidR="000E6C3B">
              <w:rPr>
                <w:lang w:eastAsia="en-AU"/>
              </w:rPr>
              <w:t>Nature of the Tribunal’s review</w:t>
            </w:r>
            <w:r>
              <w:rPr>
                <w:lang w:eastAsia="en-AU"/>
              </w:rPr>
              <w:fldChar w:fldCharType="end"/>
            </w:r>
          </w:p>
        </w:tc>
        <w:tc>
          <w:tcPr>
            <w:tcW w:w="1000" w:type="dxa"/>
            <w:shd w:val="clear" w:color="auto" w:fill="auto"/>
            <w:vAlign w:val="bottom"/>
          </w:tcPr>
          <w:p w14:paraId="1077276C" w14:textId="67BA6FDA" w:rsidR="00DE7137" w:rsidRDefault="00DE7137" w:rsidP="00E33FEA">
            <w:pPr>
              <w:spacing w:before="120" w:after="60" w:line="240" w:lineRule="auto"/>
              <w:jc w:val="right"/>
              <w:rPr>
                <w:szCs w:val="24"/>
              </w:rPr>
            </w:pPr>
            <w:r>
              <w:rPr>
                <w:szCs w:val="24"/>
              </w:rPr>
              <w:t>[13]</w:t>
            </w:r>
          </w:p>
        </w:tc>
      </w:tr>
      <w:tr w:rsidR="00DE7137" w:rsidRPr="00D326DB" w14:paraId="7222B0E5" w14:textId="77777777" w:rsidTr="00DE7137">
        <w:tc>
          <w:tcPr>
            <w:tcW w:w="8291" w:type="dxa"/>
            <w:shd w:val="clear" w:color="auto" w:fill="auto"/>
          </w:tcPr>
          <w:p w14:paraId="67F93D2A" w14:textId="618C38B1" w:rsidR="00DE7137" w:rsidRPr="00DE7137" w:rsidRDefault="00DE7137" w:rsidP="00DE7137">
            <w:pPr>
              <w:pStyle w:val="FTOC2"/>
              <w:tabs>
                <w:tab w:val="clear" w:pos="9072"/>
              </w:tabs>
              <w:rPr>
                <w:lang w:eastAsia="en-AU"/>
              </w:rPr>
            </w:pPr>
            <w:r>
              <w:rPr>
                <w:lang w:eastAsia="en-AU"/>
              </w:rPr>
              <w:fldChar w:fldCharType="begin"/>
            </w:r>
            <w:r>
              <w:rPr>
                <w:lang w:eastAsia="en-AU"/>
              </w:rPr>
              <w:instrText xml:space="preserve"> REF _Ref78900478 \h </w:instrText>
            </w:r>
            <w:r>
              <w:rPr>
                <w:lang w:eastAsia="en-AU"/>
              </w:rPr>
            </w:r>
            <w:r>
              <w:rPr>
                <w:lang w:eastAsia="en-AU"/>
              </w:rPr>
              <w:fldChar w:fldCharType="separate"/>
            </w:r>
            <w:r w:rsidR="000E6C3B">
              <w:rPr>
                <w:lang w:eastAsia="en-AU"/>
              </w:rPr>
              <w:t>The applicable statutory criteria</w:t>
            </w:r>
            <w:r>
              <w:rPr>
                <w:lang w:eastAsia="en-AU"/>
              </w:rPr>
              <w:fldChar w:fldCharType="end"/>
            </w:r>
          </w:p>
        </w:tc>
        <w:tc>
          <w:tcPr>
            <w:tcW w:w="1000" w:type="dxa"/>
            <w:shd w:val="clear" w:color="auto" w:fill="auto"/>
            <w:vAlign w:val="bottom"/>
          </w:tcPr>
          <w:p w14:paraId="5FAC5AC2" w14:textId="2AD2AB0C" w:rsidR="00DE7137" w:rsidRDefault="00DE7137" w:rsidP="00E33FEA">
            <w:pPr>
              <w:spacing w:before="120" w:after="60" w:line="240" w:lineRule="auto"/>
              <w:jc w:val="right"/>
              <w:rPr>
                <w:szCs w:val="24"/>
              </w:rPr>
            </w:pPr>
            <w:r>
              <w:rPr>
                <w:szCs w:val="24"/>
              </w:rPr>
              <w:t>[32]</w:t>
            </w:r>
          </w:p>
        </w:tc>
      </w:tr>
      <w:tr w:rsidR="00DE7137" w:rsidRPr="00D326DB" w14:paraId="4BAF2653" w14:textId="77777777" w:rsidTr="00DE7137">
        <w:tc>
          <w:tcPr>
            <w:tcW w:w="8291" w:type="dxa"/>
            <w:shd w:val="clear" w:color="auto" w:fill="auto"/>
          </w:tcPr>
          <w:p w14:paraId="2E131944" w14:textId="054F5190" w:rsidR="00DE7137" w:rsidRPr="00DE7137" w:rsidRDefault="00DE7137" w:rsidP="00DE7137">
            <w:pPr>
              <w:pStyle w:val="FTOC1"/>
              <w:tabs>
                <w:tab w:val="clear" w:pos="9072"/>
              </w:tabs>
              <w:rPr>
                <w:lang w:eastAsia="en-AU"/>
              </w:rPr>
            </w:pPr>
            <w:r>
              <w:rPr>
                <w:lang w:eastAsia="en-AU"/>
              </w:rPr>
              <w:t xml:space="preserve">C. </w:t>
            </w:r>
            <w:r>
              <w:rPr>
                <w:lang w:eastAsia="en-AU"/>
              </w:rPr>
              <w:fldChar w:fldCharType="begin"/>
            </w:r>
            <w:r>
              <w:rPr>
                <w:lang w:eastAsia="en-AU"/>
              </w:rPr>
              <w:instrText xml:space="preserve"> REF _Ref78900481 \h </w:instrText>
            </w:r>
            <w:r>
              <w:rPr>
                <w:lang w:eastAsia="en-AU"/>
              </w:rPr>
            </w:r>
            <w:r>
              <w:rPr>
                <w:lang w:eastAsia="en-AU"/>
              </w:rPr>
              <w:fldChar w:fldCharType="separate"/>
            </w:r>
            <w:r w:rsidR="000E6C3B">
              <w:rPr>
                <w:lang w:eastAsia="en-AU"/>
              </w:rPr>
              <w:t>Background</w:t>
            </w:r>
            <w:r>
              <w:rPr>
                <w:lang w:eastAsia="en-AU"/>
              </w:rPr>
              <w:fldChar w:fldCharType="end"/>
            </w:r>
          </w:p>
        </w:tc>
        <w:tc>
          <w:tcPr>
            <w:tcW w:w="1000" w:type="dxa"/>
            <w:shd w:val="clear" w:color="auto" w:fill="auto"/>
            <w:vAlign w:val="bottom"/>
          </w:tcPr>
          <w:p w14:paraId="2DBD2131" w14:textId="2600BB17" w:rsidR="00DE7137" w:rsidRDefault="00DE7137" w:rsidP="00E33FEA">
            <w:pPr>
              <w:spacing w:before="120" w:after="60" w:line="240" w:lineRule="auto"/>
              <w:jc w:val="right"/>
              <w:rPr>
                <w:szCs w:val="24"/>
              </w:rPr>
            </w:pPr>
            <w:r>
              <w:rPr>
                <w:szCs w:val="24"/>
              </w:rPr>
              <w:t>[61]</w:t>
            </w:r>
          </w:p>
        </w:tc>
      </w:tr>
      <w:tr w:rsidR="00DE7137" w:rsidRPr="00D326DB" w14:paraId="6CE309DC" w14:textId="77777777" w:rsidTr="00DE7137">
        <w:tc>
          <w:tcPr>
            <w:tcW w:w="8291" w:type="dxa"/>
            <w:shd w:val="clear" w:color="auto" w:fill="auto"/>
          </w:tcPr>
          <w:p w14:paraId="35283CDA" w14:textId="6799C00F" w:rsidR="00DE7137" w:rsidRPr="00DE7137" w:rsidRDefault="00DE7137" w:rsidP="00DE7137">
            <w:pPr>
              <w:pStyle w:val="FTOC2"/>
              <w:tabs>
                <w:tab w:val="clear" w:pos="9072"/>
              </w:tabs>
              <w:rPr>
                <w:lang w:eastAsia="en-AU"/>
              </w:rPr>
            </w:pPr>
            <w:r>
              <w:rPr>
                <w:lang w:eastAsia="en-AU"/>
              </w:rPr>
              <w:fldChar w:fldCharType="begin"/>
            </w:r>
            <w:r>
              <w:rPr>
                <w:lang w:eastAsia="en-AU"/>
              </w:rPr>
              <w:instrText xml:space="preserve"> REF _Ref78900482 \h </w:instrText>
            </w:r>
            <w:r>
              <w:rPr>
                <w:lang w:eastAsia="en-AU"/>
              </w:rPr>
            </w:r>
            <w:r>
              <w:rPr>
                <w:lang w:eastAsia="en-AU"/>
              </w:rPr>
              <w:fldChar w:fldCharType="separate"/>
            </w:r>
            <w:r w:rsidR="000E6C3B">
              <w:rPr>
                <w:lang w:eastAsia="en-AU"/>
              </w:rPr>
              <w:t>The Port and the Hunter Valley coal industry</w:t>
            </w:r>
            <w:r>
              <w:rPr>
                <w:lang w:eastAsia="en-AU"/>
              </w:rPr>
              <w:fldChar w:fldCharType="end"/>
            </w:r>
          </w:p>
        </w:tc>
        <w:tc>
          <w:tcPr>
            <w:tcW w:w="1000" w:type="dxa"/>
            <w:shd w:val="clear" w:color="auto" w:fill="auto"/>
            <w:vAlign w:val="bottom"/>
          </w:tcPr>
          <w:p w14:paraId="63B3341C" w14:textId="7763E557" w:rsidR="00DE7137" w:rsidRDefault="00DE7137" w:rsidP="00E33FEA">
            <w:pPr>
              <w:spacing w:before="120" w:after="60" w:line="240" w:lineRule="auto"/>
              <w:jc w:val="right"/>
              <w:rPr>
                <w:szCs w:val="24"/>
              </w:rPr>
            </w:pPr>
            <w:r>
              <w:rPr>
                <w:szCs w:val="24"/>
              </w:rPr>
              <w:t>[62]</w:t>
            </w:r>
          </w:p>
        </w:tc>
      </w:tr>
      <w:tr w:rsidR="00DE7137" w:rsidRPr="00D326DB" w14:paraId="51E53FE0" w14:textId="77777777" w:rsidTr="00DE7137">
        <w:tc>
          <w:tcPr>
            <w:tcW w:w="8291" w:type="dxa"/>
            <w:shd w:val="clear" w:color="auto" w:fill="auto"/>
          </w:tcPr>
          <w:p w14:paraId="6AAE9681" w14:textId="036A2270" w:rsidR="00DE7137" w:rsidRPr="00DE7137" w:rsidRDefault="00DE7137" w:rsidP="00DE7137">
            <w:pPr>
              <w:pStyle w:val="FTOC2"/>
              <w:tabs>
                <w:tab w:val="clear" w:pos="9072"/>
              </w:tabs>
              <w:rPr>
                <w:lang w:eastAsia="en-AU"/>
              </w:rPr>
            </w:pPr>
            <w:r>
              <w:rPr>
                <w:lang w:eastAsia="en-AU"/>
              </w:rPr>
              <w:fldChar w:fldCharType="begin"/>
            </w:r>
            <w:r>
              <w:rPr>
                <w:lang w:eastAsia="en-AU"/>
              </w:rPr>
              <w:instrText xml:space="preserve"> REF _Ref78900483 \h </w:instrText>
            </w:r>
            <w:r>
              <w:rPr>
                <w:lang w:eastAsia="en-AU"/>
              </w:rPr>
            </w:r>
            <w:r>
              <w:rPr>
                <w:lang w:eastAsia="en-AU"/>
              </w:rPr>
              <w:fldChar w:fldCharType="separate"/>
            </w:r>
            <w:r w:rsidR="000E6C3B">
              <w:rPr>
                <w:lang w:eastAsia="en-AU"/>
              </w:rPr>
              <w:t>Port charges</w:t>
            </w:r>
            <w:r>
              <w:rPr>
                <w:lang w:eastAsia="en-AU"/>
              </w:rPr>
              <w:fldChar w:fldCharType="end"/>
            </w:r>
          </w:p>
        </w:tc>
        <w:tc>
          <w:tcPr>
            <w:tcW w:w="1000" w:type="dxa"/>
            <w:shd w:val="clear" w:color="auto" w:fill="auto"/>
            <w:vAlign w:val="bottom"/>
          </w:tcPr>
          <w:p w14:paraId="46D0C368" w14:textId="22240E6E" w:rsidR="00DE7137" w:rsidRDefault="00DE7137" w:rsidP="00E33FEA">
            <w:pPr>
              <w:spacing w:before="120" w:after="60" w:line="240" w:lineRule="auto"/>
              <w:jc w:val="right"/>
              <w:rPr>
                <w:szCs w:val="24"/>
              </w:rPr>
            </w:pPr>
            <w:r>
              <w:rPr>
                <w:szCs w:val="24"/>
              </w:rPr>
              <w:t>[67]</w:t>
            </w:r>
          </w:p>
        </w:tc>
      </w:tr>
      <w:tr w:rsidR="00DE7137" w:rsidRPr="00D326DB" w14:paraId="7B047F3F" w14:textId="77777777" w:rsidTr="00DE7137">
        <w:tc>
          <w:tcPr>
            <w:tcW w:w="8291" w:type="dxa"/>
            <w:shd w:val="clear" w:color="auto" w:fill="auto"/>
          </w:tcPr>
          <w:p w14:paraId="75050F67" w14:textId="0888FC07" w:rsidR="00DE7137" w:rsidRPr="00DE7137" w:rsidRDefault="00DE7137" w:rsidP="00DE7137">
            <w:pPr>
              <w:pStyle w:val="FTOC2"/>
              <w:tabs>
                <w:tab w:val="clear" w:pos="9072"/>
              </w:tabs>
              <w:rPr>
                <w:lang w:eastAsia="en-AU"/>
              </w:rPr>
            </w:pPr>
            <w:r>
              <w:rPr>
                <w:lang w:eastAsia="en-AU"/>
              </w:rPr>
              <w:fldChar w:fldCharType="begin"/>
            </w:r>
            <w:r>
              <w:rPr>
                <w:lang w:eastAsia="en-AU"/>
              </w:rPr>
              <w:instrText xml:space="preserve"> REF _Ref78900484 \h </w:instrText>
            </w:r>
            <w:r>
              <w:rPr>
                <w:lang w:eastAsia="en-AU"/>
              </w:rPr>
            </w:r>
            <w:r>
              <w:rPr>
                <w:lang w:eastAsia="en-AU"/>
              </w:rPr>
              <w:fldChar w:fldCharType="separate"/>
            </w:r>
            <w:r w:rsidR="000E6C3B">
              <w:rPr>
                <w:lang w:eastAsia="en-AU"/>
              </w:rPr>
              <w:t>The declaration of Port services</w:t>
            </w:r>
            <w:r>
              <w:rPr>
                <w:lang w:eastAsia="en-AU"/>
              </w:rPr>
              <w:fldChar w:fldCharType="end"/>
            </w:r>
          </w:p>
        </w:tc>
        <w:tc>
          <w:tcPr>
            <w:tcW w:w="1000" w:type="dxa"/>
            <w:shd w:val="clear" w:color="auto" w:fill="auto"/>
            <w:vAlign w:val="bottom"/>
          </w:tcPr>
          <w:p w14:paraId="5E2CE2C5" w14:textId="068F12BC" w:rsidR="00DE7137" w:rsidRDefault="00DE7137" w:rsidP="00E33FEA">
            <w:pPr>
              <w:spacing w:before="120" w:after="60" w:line="240" w:lineRule="auto"/>
              <w:jc w:val="right"/>
              <w:rPr>
                <w:szCs w:val="24"/>
              </w:rPr>
            </w:pPr>
            <w:r>
              <w:rPr>
                <w:szCs w:val="24"/>
              </w:rPr>
              <w:t>[74]</w:t>
            </w:r>
          </w:p>
        </w:tc>
      </w:tr>
      <w:tr w:rsidR="00DE7137" w:rsidRPr="00D326DB" w14:paraId="376B475C" w14:textId="77777777" w:rsidTr="00DE7137">
        <w:tc>
          <w:tcPr>
            <w:tcW w:w="8291" w:type="dxa"/>
            <w:shd w:val="clear" w:color="auto" w:fill="auto"/>
          </w:tcPr>
          <w:p w14:paraId="0CEB460F" w14:textId="2EC2BF50" w:rsidR="00DE7137" w:rsidRPr="00DE7137" w:rsidRDefault="00DE7137" w:rsidP="00DE7137">
            <w:pPr>
              <w:pStyle w:val="FTOC2"/>
              <w:tabs>
                <w:tab w:val="clear" w:pos="9072"/>
              </w:tabs>
              <w:rPr>
                <w:lang w:eastAsia="en-AU"/>
              </w:rPr>
            </w:pPr>
            <w:r>
              <w:rPr>
                <w:lang w:eastAsia="en-AU"/>
              </w:rPr>
              <w:fldChar w:fldCharType="begin"/>
            </w:r>
            <w:r>
              <w:rPr>
                <w:lang w:eastAsia="en-AU"/>
              </w:rPr>
              <w:instrText xml:space="preserve"> REF _Ref78900485 \h </w:instrText>
            </w:r>
            <w:r>
              <w:rPr>
                <w:lang w:eastAsia="en-AU"/>
              </w:rPr>
            </w:r>
            <w:r>
              <w:rPr>
                <w:lang w:eastAsia="en-AU"/>
              </w:rPr>
              <w:fldChar w:fldCharType="separate"/>
            </w:r>
            <w:r w:rsidR="000E6C3B">
              <w:rPr>
                <w:lang w:eastAsia="en-AU"/>
              </w:rPr>
              <w:t>Arbitration of Port charges</w:t>
            </w:r>
            <w:r>
              <w:rPr>
                <w:lang w:eastAsia="en-AU"/>
              </w:rPr>
              <w:fldChar w:fldCharType="end"/>
            </w:r>
          </w:p>
        </w:tc>
        <w:tc>
          <w:tcPr>
            <w:tcW w:w="1000" w:type="dxa"/>
            <w:shd w:val="clear" w:color="auto" w:fill="auto"/>
            <w:vAlign w:val="bottom"/>
          </w:tcPr>
          <w:p w14:paraId="38EB56BC" w14:textId="3BDAFFE5" w:rsidR="00DE7137" w:rsidRDefault="00DE7137" w:rsidP="00E33FEA">
            <w:pPr>
              <w:spacing w:before="120" w:after="60" w:line="240" w:lineRule="auto"/>
              <w:jc w:val="right"/>
              <w:rPr>
                <w:szCs w:val="24"/>
              </w:rPr>
            </w:pPr>
            <w:r>
              <w:rPr>
                <w:szCs w:val="24"/>
              </w:rPr>
              <w:t>[77]</w:t>
            </w:r>
          </w:p>
        </w:tc>
      </w:tr>
      <w:tr w:rsidR="00DE7137" w:rsidRPr="00D326DB" w14:paraId="57A46D9B" w14:textId="77777777" w:rsidTr="00DE7137">
        <w:tc>
          <w:tcPr>
            <w:tcW w:w="8291" w:type="dxa"/>
            <w:shd w:val="clear" w:color="auto" w:fill="auto"/>
          </w:tcPr>
          <w:p w14:paraId="65C0C418" w14:textId="42500648" w:rsidR="00DE7137" w:rsidRPr="00DE7137" w:rsidRDefault="00DE7137" w:rsidP="00DE7137">
            <w:pPr>
              <w:pStyle w:val="FTOC2"/>
              <w:tabs>
                <w:tab w:val="clear" w:pos="9072"/>
              </w:tabs>
              <w:rPr>
                <w:lang w:eastAsia="en-AU"/>
              </w:rPr>
            </w:pPr>
            <w:r>
              <w:rPr>
                <w:lang w:eastAsia="en-AU"/>
              </w:rPr>
              <w:fldChar w:fldCharType="begin"/>
            </w:r>
            <w:r>
              <w:rPr>
                <w:lang w:eastAsia="en-AU"/>
              </w:rPr>
              <w:instrText xml:space="preserve"> REF _Ref78900486 \h </w:instrText>
            </w:r>
            <w:r>
              <w:rPr>
                <w:lang w:eastAsia="en-AU"/>
              </w:rPr>
            </w:r>
            <w:r>
              <w:rPr>
                <w:lang w:eastAsia="en-AU"/>
              </w:rPr>
              <w:fldChar w:fldCharType="separate"/>
            </w:r>
            <w:r w:rsidR="000E6C3B">
              <w:rPr>
                <w:lang w:eastAsia="en-AU"/>
              </w:rPr>
              <w:t>The revocation of the declaration</w:t>
            </w:r>
            <w:r>
              <w:rPr>
                <w:lang w:eastAsia="en-AU"/>
              </w:rPr>
              <w:fldChar w:fldCharType="end"/>
            </w:r>
          </w:p>
        </w:tc>
        <w:tc>
          <w:tcPr>
            <w:tcW w:w="1000" w:type="dxa"/>
            <w:shd w:val="clear" w:color="auto" w:fill="auto"/>
            <w:vAlign w:val="bottom"/>
          </w:tcPr>
          <w:p w14:paraId="2F2FCBA6" w14:textId="1BE3DF46" w:rsidR="00DE7137" w:rsidRDefault="00DE7137" w:rsidP="00E33FEA">
            <w:pPr>
              <w:spacing w:before="120" w:after="60" w:line="240" w:lineRule="auto"/>
              <w:jc w:val="right"/>
              <w:rPr>
                <w:szCs w:val="24"/>
              </w:rPr>
            </w:pPr>
            <w:r>
              <w:rPr>
                <w:szCs w:val="24"/>
              </w:rPr>
              <w:t>[84]</w:t>
            </w:r>
          </w:p>
        </w:tc>
      </w:tr>
      <w:tr w:rsidR="00DE7137" w:rsidRPr="00D326DB" w14:paraId="5C2EF8ED" w14:textId="77777777" w:rsidTr="00DE7137">
        <w:tc>
          <w:tcPr>
            <w:tcW w:w="8291" w:type="dxa"/>
            <w:shd w:val="clear" w:color="auto" w:fill="auto"/>
          </w:tcPr>
          <w:p w14:paraId="2A2A10F2" w14:textId="66671B59" w:rsidR="00DE7137" w:rsidRPr="00DE7137" w:rsidRDefault="00DE7137" w:rsidP="00DE7137">
            <w:pPr>
              <w:pStyle w:val="FTOC2"/>
              <w:tabs>
                <w:tab w:val="clear" w:pos="9072"/>
              </w:tabs>
              <w:rPr>
                <w:lang w:eastAsia="en-AU"/>
              </w:rPr>
            </w:pPr>
            <w:r>
              <w:rPr>
                <w:lang w:eastAsia="en-AU"/>
              </w:rPr>
              <w:fldChar w:fldCharType="begin"/>
            </w:r>
            <w:r>
              <w:rPr>
                <w:lang w:eastAsia="en-AU"/>
              </w:rPr>
              <w:instrText xml:space="preserve"> REF _Ref78900487 \h </w:instrText>
            </w:r>
            <w:r>
              <w:rPr>
                <w:lang w:eastAsia="en-AU"/>
              </w:rPr>
            </w:r>
            <w:r>
              <w:rPr>
                <w:lang w:eastAsia="en-AU"/>
              </w:rPr>
              <w:fldChar w:fldCharType="separate"/>
            </w:r>
            <w:r w:rsidR="000E6C3B">
              <w:rPr>
                <w:lang w:eastAsia="en-AU"/>
              </w:rPr>
              <w:t>PNO’s current charges</w:t>
            </w:r>
            <w:r>
              <w:rPr>
                <w:lang w:eastAsia="en-AU"/>
              </w:rPr>
              <w:fldChar w:fldCharType="end"/>
            </w:r>
          </w:p>
        </w:tc>
        <w:tc>
          <w:tcPr>
            <w:tcW w:w="1000" w:type="dxa"/>
            <w:shd w:val="clear" w:color="auto" w:fill="auto"/>
            <w:vAlign w:val="bottom"/>
          </w:tcPr>
          <w:p w14:paraId="2AD8D9F9" w14:textId="0A853119" w:rsidR="00DE7137" w:rsidRDefault="00DE7137" w:rsidP="00E33FEA">
            <w:pPr>
              <w:spacing w:before="120" w:after="60" w:line="240" w:lineRule="auto"/>
              <w:jc w:val="right"/>
              <w:rPr>
                <w:szCs w:val="24"/>
              </w:rPr>
            </w:pPr>
            <w:r>
              <w:rPr>
                <w:szCs w:val="24"/>
              </w:rPr>
              <w:t>[87]</w:t>
            </w:r>
          </w:p>
        </w:tc>
      </w:tr>
      <w:tr w:rsidR="00DE7137" w:rsidRPr="00D326DB" w14:paraId="77622C20" w14:textId="77777777" w:rsidTr="00DE7137">
        <w:tc>
          <w:tcPr>
            <w:tcW w:w="8291" w:type="dxa"/>
            <w:shd w:val="clear" w:color="auto" w:fill="auto"/>
          </w:tcPr>
          <w:p w14:paraId="1920FA87" w14:textId="4DFFFA5F" w:rsidR="00DE7137" w:rsidRPr="00DE7137" w:rsidRDefault="00DE7137" w:rsidP="00DE7137">
            <w:pPr>
              <w:pStyle w:val="FTOC2"/>
              <w:tabs>
                <w:tab w:val="clear" w:pos="9072"/>
              </w:tabs>
              <w:rPr>
                <w:lang w:eastAsia="en-AU"/>
              </w:rPr>
            </w:pPr>
            <w:r>
              <w:rPr>
                <w:lang w:eastAsia="en-AU"/>
              </w:rPr>
              <w:fldChar w:fldCharType="begin"/>
            </w:r>
            <w:r>
              <w:rPr>
                <w:lang w:eastAsia="en-AU"/>
              </w:rPr>
              <w:instrText xml:space="preserve"> REF _Ref78900488 \h </w:instrText>
            </w:r>
            <w:r>
              <w:rPr>
                <w:lang w:eastAsia="en-AU"/>
              </w:rPr>
            </w:r>
            <w:r>
              <w:rPr>
                <w:lang w:eastAsia="en-AU"/>
              </w:rPr>
              <w:fldChar w:fldCharType="separate"/>
            </w:r>
            <w:r w:rsidR="000E6C3B">
              <w:rPr>
                <w:lang w:eastAsia="en-AU"/>
              </w:rPr>
              <w:t>Authorisation of collective bargaining</w:t>
            </w:r>
            <w:r>
              <w:rPr>
                <w:lang w:eastAsia="en-AU"/>
              </w:rPr>
              <w:fldChar w:fldCharType="end"/>
            </w:r>
          </w:p>
        </w:tc>
        <w:tc>
          <w:tcPr>
            <w:tcW w:w="1000" w:type="dxa"/>
            <w:shd w:val="clear" w:color="auto" w:fill="auto"/>
            <w:vAlign w:val="bottom"/>
          </w:tcPr>
          <w:p w14:paraId="2137DE91" w14:textId="45B93948" w:rsidR="00DE7137" w:rsidRDefault="00DE7137" w:rsidP="00E33FEA">
            <w:pPr>
              <w:spacing w:before="120" w:after="60" w:line="240" w:lineRule="auto"/>
              <w:jc w:val="right"/>
              <w:rPr>
                <w:szCs w:val="24"/>
              </w:rPr>
            </w:pPr>
            <w:r>
              <w:rPr>
                <w:szCs w:val="24"/>
              </w:rPr>
              <w:t>[91]</w:t>
            </w:r>
          </w:p>
        </w:tc>
      </w:tr>
      <w:tr w:rsidR="00DE7137" w:rsidRPr="00D326DB" w14:paraId="62CF77D6" w14:textId="77777777" w:rsidTr="00DE7137">
        <w:tc>
          <w:tcPr>
            <w:tcW w:w="8291" w:type="dxa"/>
            <w:shd w:val="clear" w:color="auto" w:fill="auto"/>
          </w:tcPr>
          <w:p w14:paraId="55AEF472" w14:textId="54C898A3" w:rsidR="00DE7137" w:rsidRPr="00DE7137" w:rsidRDefault="00DE7137" w:rsidP="00DE7137">
            <w:pPr>
              <w:pStyle w:val="FTOC1"/>
              <w:tabs>
                <w:tab w:val="clear" w:pos="9072"/>
              </w:tabs>
              <w:rPr>
                <w:lang w:eastAsia="en-AU"/>
              </w:rPr>
            </w:pPr>
            <w:r>
              <w:rPr>
                <w:lang w:eastAsia="en-AU"/>
              </w:rPr>
              <w:t xml:space="preserve">D. </w:t>
            </w:r>
            <w:r>
              <w:rPr>
                <w:lang w:eastAsia="en-AU"/>
              </w:rPr>
              <w:fldChar w:fldCharType="begin"/>
            </w:r>
            <w:r>
              <w:rPr>
                <w:lang w:eastAsia="en-AU"/>
              </w:rPr>
              <w:instrText xml:space="preserve"> REF _Ref78900489 \h </w:instrText>
            </w:r>
            <w:r>
              <w:rPr>
                <w:lang w:eastAsia="en-AU"/>
              </w:rPr>
            </w:r>
            <w:r>
              <w:rPr>
                <w:lang w:eastAsia="en-AU"/>
              </w:rPr>
              <w:fldChar w:fldCharType="separate"/>
            </w:r>
            <w:r w:rsidR="000E6C3B">
              <w:rPr>
                <w:lang w:eastAsia="en-AU"/>
              </w:rPr>
              <w:t>TrEasurer’s Decision</w:t>
            </w:r>
            <w:r>
              <w:rPr>
                <w:lang w:eastAsia="en-AU"/>
              </w:rPr>
              <w:fldChar w:fldCharType="end"/>
            </w:r>
          </w:p>
        </w:tc>
        <w:tc>
          <w:tcPr>
            <w:tcW w:w="1000" w:type="dxa"/>
            <w:shd w:val="clear" w:color="auto" w:fill="auto"/>
            <w:vAlign w:val="bottom"/>
          </w:tcPr>
          <w:p w14:paraId="33E4925B" w14:textId="145327C9" w:rsidR="00DE7137" w:rsidRDefault="00DE7137" w:rsidP="00E33FEA">
            <w:pPr>
              <w:spacing w:before="120" w:after="60" w:line="240" w:lineRule="auto"/>
              <w:jc w:val="right"/>
              <w:rPr>
                <w:szCs w:val="24"/>
              </w:rPr>
            </w:pPr>
            <w:r>
              <w:rPr>
                <w:szCs w:val="24"/>
              </w:rPr>
              <w:t>[93]</w:t>
            </w:r>
          </w:p>
        </w:tc>
      </w:tr>
      <w:tr w:rsidR="00DE7137" w:rsidRPr="00D326DB" w14:paraId="3B03CDA1" w14:textId="77777777" w:rsidTr="00DE7137">
        <w:tc>
          <w:tcPr>
            <w:tcW w:w="8291" w:type="dxa"/>
            <w:shd w:val="clear" w:color="auto" w:fill="auto"/>
          </w:tcPr>
          <w:p w14:paraId="2904D041" w14:textId="7DA28B68" w:rsidR="00DE7137" w:rsidRPr="00DE7137" w:rsidRDefault="00DE7137" w:rsidP="00DE7137">
            <w:pPr>
              <w:pStyle w:val="FTOC1"/>
              <w:tabs>
                <w:tab w:val="clear" w:pos="9072"/>
              </w:tabs>
              <w:rPr>
                <w:lang w:eastAsia="en-AU"/>
              </w:rPr>
            </w:pPr>
            <w:r>
              <w:rPr>
                <w:lang w:eastAsia="en-AU"/>
              </w:rPr>
              <w:t xml:space="preserve">E. </w:t>
            </w:r>
            <w:r>
              <w:rPr>
                <w:lang w:eastAsia="en-AU"/>
              </w:rPr>
              <w:fldChar w:fldCharType="begin"/>
            </w:r>
            <w:r>
              <w:rPr>
                <w:lang w:eastAsia="en-AU"/>
              </w:rPr>
              <w:instrText xml:space="preserve"> REF _Ref78900490 \h </w:instrText>
            </w:r>
            <w:r>
              <w:rPr>
                <w:lang w:eastAsia="en-AU"/>
              </w:rPr>
            </w:r>
            <w:r>
              <w:rPr>
                <w:lang w:eastAsia="en-AU"/>
              </w:rPr>
              <w:fldChar w:fldCharType="separate"/>
            </w:r>
            <w:r w:rsidR="000E6C3B">
              <w:rPr>
                <w:lang w:eastAsia="en-AU"/>
              </w:rPr>
              <w:t>NSWMC submissions</w:t>
            </w:r>
            <w:r>
              <w:rPr>
                <w:lang w:eastAsia="en-AU"/>
              </w:rPr>
              <w:fldChar w:fldCharType="end"/>
            </w:r>
          </w:p>
        </w:tc>
        <w:tc>
          <w:tcPr>
            <w:tcW w:w="1000" w:type="dxa"/>
            <w:shd w:val="clear" w:color="auto" w:fill="auto"/>
            <w:vAlign w:val="bottom"/>
          </w:tcPr>
          <w:p w14:paraId="38B60C54" w14:textId="13B26E30" w:rsidR="00DE7137" w:rsidRDefault="00DE7137" w:rsidP="00E33FEA">
            <w:pPr>
              <w:spacing w:before="120" w:after="60" w:line="240" w:lineRule="auto"/>
              <w:jc w:val="right"/>
              <w:rPr>
                <w:szCs w:val="24"/>
              </w:rPr>
            </w:pPr>
            <w:r>
              <w:rPr>
                <w:szCs w:val="24"/>
              </w:rPr>
              <w:t>[107]</w:t>
            </w:r>
          </w:p>
        </w:tc>
      </w:tr>
      <w:tr w:rsidR="00DE7137" w:rsidRPr="00D326DB" w14:paraId="399A8F21" w14:textId="77777777" w:rsidTr="00DE7137">
        <w:tc>
          <w:tcPr>
            <w:tcW w:w="8291" w:type="dxa"/>
            <w:shd w:val="clear" w:color="auto" w:fill="auto"/>
          </w:tcPr>
          <w:p w14:paraId="3327D16B" w14:textId="4D4CA574" w:rsidR="00DE7137" w:rsidRPr="00DE7137" w:rsidRDefault="00DE7137" w:rsidP="00DE7137">
            <w:pPr>
              <w:pStyle w:val="FTOC2"/>
              <w:tabs>
                <w:tab w:val="clear" w:pos="9072"/>
              </w:tabs>
              <w:rPr>
                <w:lang w:eastAsia="en-AU"/>
              </w:rPr>
            </w:pPr>
            <w:r>
              <w:rPr>
                <w:lang w:eastAsia="en-AU"/>
              </w:rPr>
              <w:fldChar w:fldCharType="begin"/>
            </w:r>
            <w:r>
              <w:rPr>
                <w:lang w:eastAsia="en-AU"/>
              </w:rPr>
              <w:instrText xml:space="preserve"> REF _Ref78900491 \h </w:instrText>
            </w:r>
            <w:r>
              <w:rPr>
                <w:lang w:eastAsia="en-AU"/>
              </w:rPr>
            </w:r>
            <w:r>
              <w:rPr>
                <w:lang w:eastAsia="en-AU"/>
              </w:rPr>
              <w:fldChar w:fldCharType="separate"/>
            </w:r>
            <w:r w:rsidR="000E6C3B">
              <w:rPr>
                <w:lang w:eastAsia="en-AU"/>
              </w:rPr>
              <w:t>Overview</w:t>
            </w:r>
            <w:r>
              <w:rPr>
                <w:lang w:eastAsia="en-AU"/>
              </w:rPr>
              <w:fldChar w:fldCharType="end"/>
            </w:r>
          </w:p>
        </w:tc>
        <w:tc>
          <w:tcPr>
            <w:tcW w:w="1000" w:type="dxa"/>
            <w:shd w:val="clear" w:color="auto" w:fill="auto"/>
            <w:vAlign w:val="bottom"/>
          </w:tcPr>
          <w:p w14:paraId="1999BAA8" w14:textId="408A6BD6" w:rsidR="00DE7137" w:rsidRDefault="00DE7137" w:rsidP="00E33FEA">
            <w:pPr>
              <w:spacing w:before="120" w:after="60" w:line="240" w:lineRule="auto"/>
              <w:jc w:val="right"/>
              <w:rPr>
                <w:szCs w:val="24"/>
              </w:rPr>
            </w:pPr>
            <w:r>
              <w:rPr>
                <w:szCs w:val="24"/>
              </w:rPr>
              <w:t>[107]</w:t>
            </w:r>
          </w:p>
        </w:tc>
      </w:tr>
      <w:tr w:rsidR="00DE7137" w:rsidRPr="00D326DB" w14:paraId="1B1ECD20" w14:textId="77777777" w:rsidTr="00DE7137">
        <w:tc>
          <w:tcPr>
            <w:tcW w:w="8291" w:type="dxa"/>
            <w:shd w:val="clear" w:color="auto" w:fill="auto"/>
          </w:tcPr>
          <w:p w14:paraId="52FEE19E" w14:textId="7BC8F7C3" w:rsidR="00DE7137" w:rsidRPr="00DE7137" w:rsidRDefault="00DE7137" w:rsidP="00DE7137">
            <w:pPr>
              <w:pStyle w:val="FTOC2"/>
              <w:tabs>
                <w:tab w:val="clear" w:pos="9072"/>
              </w:tabs>
              <w:rPr>
                <w:lang w:eastAsia="en-AU"/>
              </w:rPr>
            </w:pPr>
            <w:r>
              <w:rPr>
                <w:lang w:eastAsia="en-AU"/>
              </w:rPr>
              <w:fldChar w:fldCharType="begin"/>
            </w:r>
            <w:r>
              <w:rPr>
                <w:lang w:eastAsia="en-AU"/>
              </w:rPr>
              <w:instrText xml:space="preserve"> REF _Ref78900492 \h </w:instrText>
            </w:r>
            <w:r>
              <w:rPr>
                <w:lang w:eastAsia="en-AU"/>
              </w:rPr>
            </w:r>
            <w:r>
              <w:rPr>
                <w:lang w:eastAsia="en-AU"/>
              </w:rPr>
              <w:fldChar w:fldCharType="separate"/>
            </w:r>
            <w:r w:rsidR="000E6C3B">
              <w:rPr>
                <w:lang w:eastAsia="en-AU"/>
              </w:rPr>
              <w:t>The test to be applied</w:t>
            </w:r>
            <w:r>
              <w:rPr>
                <w:lang w:eastAsia="en-AU"/>
              </w:rPr>
              <w:fldChar w:fldCharType="end"/>
            </w:r>
          </w:p>
        </w:tc>
        <w:tc>
          <w:tcPr>
            <w:tcW w:w="1000" w:type="dxa"/>
            <w:shd w:val="clear" w:color="auto" w:fill="auto"/>
            <w:vAlign w:val="bottom"/>
          </w:tcPr>
          <w:p w14:paraId="172254E0" w14:textId="15C3EBC8" w:rsidR="00DE7137" w:rsidRDefault="00DE7137" w:rsidP="00E33FEA">
            <w:pPr>
              <w:spacing w:before="120" w:after="60" w:line="240" w:lineRule="auto"/>
              <w:jc w:val="right"/>
              <w:rPr>
                <w:szCs w:val="24"/>
              </w:rPr>
            </w:pPr>
            <w:r>
              <w:rPr>
                <w:szCs w:val="24"/>
              </w:rPr>
              <w:t>[111]</w:t>
            </w:r>
          </w:p>
        </w:tc>
      </w:tr>
      <w:tr w:rsidR="00DE7137" w:rsidRPr="00D326DB" w14:paraId="7B37AC2D" w14:textId="77777777" w:rsidTr="00DE7137">
        <w:tc>
          <w:tcPr>
            <w:tcW w:w="8291" w:type="dxa"/>
            <w:shd w:val="clear" w:color="auto" w:fill="auto"/>
          </w:tcPr>
          <w:p w14:paraId="203DEFA9" w14:textId="75375278" w:rsidR="00DE7137" w:rsidRPr="00DE7137" w:rsidRDefault="00DE7137" w:rsidP="00DE7137">
            <w:pPr>
              <w:pStyle w:val="FTOC2"/>
              <w:tabs>
                <w:tab w:val="clear" w:pos="9072"/>
              </w:tabs>
              <w:rPr>
                <w:lang w:eastAsia="en-AU"/>
              </w:rPr>
            </w:pPr>
            <w:r>
              <w:rPr>
                <w:lang w:eastAsia="en-AU"/>
              </w:rPr>
              <w:fldChar w:fldCharType="begin"/>
            </w:r>
            <w:r>
              <w:rPr>
                <w:lang w:eastAsia="en-AU"/>
              </w:rPr>
              <w:instrText xml:space="preserve"> REF _Ref78900493 \h </w:instrText>
            </w:r>
            <w:r>
              <w:rPr>
                <w:lang w:eastAsia="en-AU"/>
              </w:rPr>
            </w:r>
            <w:r>
              <w:rPr>
                <w:lang w:eastAsia="en-AU"/>
              </w:rPr>
              <w:fldChar w:fldCharType="separate"/>
            </w:r>
            <w:r w:rsidR="000E6C3B">
              <w:rPr>
                <w:lang w:eastAsia="en-AU"/>
              </w:rPr>
              <w:t>“Hold-up” risk of investment</w:t>
            </w:r>
            <w:r>
              <w:rPr>
                <w:lang w:eastAsia="en-AU"/>
              </w:rPr>
              <w:fldChar w:fldCharType="end"/>
            </w:r>
          </w:p>
        </w:tc>
        <w:tc>
          <w:tcPr>
            <w:tcW w:w="1000" w:type="dxa"/>
            <w:shd w:val="clear" w:color="auto" w:fill="auto"/>
            <w:vAlign w:val="bottom"/>
          </w:tcPr>
          <w:p w14:paraId="031FEF9B" w14:textId="49CFCBA2" w:rsidR="00DE7137" w:rsidRDefault="00DE7137" w:rsidP="00E33FEA">
            <w:pPr>
              <w:spacing w:before="120" w:after="60" w:line="240" w:lineRule="auto"/>
              <w:jc w:val="right"/>
              <w:rPr>
                <w:szCs w:val="24"/>
              </w:rPr>
            </w:pPr>
            <w:r>
              <w:rPr>
                <w:szCs w:val="24"/>
              </w:rPr>
              <w:t>[112]</w:t>
            </w:r>
          </w:p>
        </w:tc>
      </w:tr>
      <w:tr w:rsidR="00DE7137" w:rsidRPr="00D326DB" w14:paraId="205AAF2F" w14:textId="77777777" w:rsidTr="00DE7137">
        <w:tc>
          <w:tcPr>
            <w:tcW w:w="8291" w:type="dxa"/>
            <w:shd w:val="clear" w:color="auto" w:fill="auto"/>
          </w:tcPr>
          <w:p w14:paraId="4A9BD7BD" w14:textId="71B4B213" w:rsidR="00DE7137" w:rsidRPr="00DE7137" w:rsidRDefault="00DE7137" w:rsidP="00DE7137">
            <w:pPr>
              <w:pStyle w:val="FTOC2"/>
              <w:tabs>
                <w:tab w:val="clear" w:pos="9072"/>
              </w:tabs>
              <w:rPr>
                <w:lang w:eastAsia="en-AU"/>
              </w:rPr>
            </w:pPr>
            <w:r>
              <w:rPr>
                <w:lang w:eastAsia="en-AU"/>
              </w:rPr>
              <w:fldChar w:fldCharType="begin"/>
            </w:r>
            <w:r>
              <w:rPr>
                <w:lang w:eastAsia="en-AU"/>
              </w:rPr>
              <w:instrText xml:space="preserve"> REF _Ref78900494 \h </w:instrText>
            </w:r>
            <w:r>
              <w:rPr>
                <w:lang w:eastAsia="en-AU"/>
              </w:rPr>
            </w:r>
            <w:r>
              <w:rPr>
                <w:lang w:eastAsia="en-AU"/>
              </w:rPr>
              <w:fldChar w:fldCharType="separate"/>
            </w:r>
            <w:r w:rsidR="000E6C3B">
              <w:rPr>
                <w:lang w:eastAsia="en-AU"/>
              </w:rPr>
              <w:t>Competitiveness of the tenements market</w:t>
            </w:r>
            <w:r>
              <w:rPr>
                <w:lang w:eastAsia="en-AU"/>
              </w:rPr>
              <w:fldChar w:fldCharType="end"/>
            </w:r>
          </w:p>
        </w:tc>
        <w:tc>
          <w:tcPr>
            <w:tcW w:w="1000" w:type="dxa"/>
            <w:shd w:val="clear" w:color="auto" w:fill="auto"/>
            <w:vAlign w:val="bottom"/>
          </w:tcPr>
          <w:p w14:paraId="57B0452D" w14:textId="0F793CD2" w:rsidR="00DE7137" w:rsidRDefault="00DE7137" w:rsidP="00E33FEA">
            <w:pPr>
              <w:spacing w:before="120" w:after="60" w:line="240" w:lineRule="auto"/>
              <w:jc w:val="right"/>
              <w:rPr>
                <w:szCs w:val="24"/>
              </w:rPr>
            </w:pPr>
            <w:r>
              <w:rPr>
                <w:szCs w:val="24"/>
              </w:rPr>
              <w:t>[115]</w:t>
            </w:r>
          </w:p>
        </w:tc>
      </w:tr>
      <w:tr w:rsidR="00DE7137" w:rsidRPr="00D326DB" w14:paraId="6A4D2BC2" w14:textId="77777777" w:rsidTr="00DE7137">
        <w:tc>
          <w:tcPr>
            <w:tcW w:w="8291" w:type="dxa"/>
            <w:shd w:val="clear" w:color="auto" w:fill="auto"/>
          </w:tcPr>
          <w:p w14:paraId="4209DB45" w14:textId="105D60AE" w:rsidR="00DE7137" w:rsidRPr="00DE7137" w:rsidRDefault="00DE7137" w:rsidP="00DE7137">
            <w:pPr>
              <w:pStyle w:val="FTOC2"/>
              <w:tabs>
                <w:tab w:val="clear" w:pos="9072"/>
              </w:tabs>
              <w:rPr>
                <w:lang w:eastAsia="en-AU"/>
              </w:rPr>
            </w:pPr>
            <w:r>
              <w:rPr>
                <w:lang w:eastAsia="en-AU"/>
              </w:rPr>
              <w:fldChar w:fldCharType="begin"/>
            </w:r>
            <w:r>
              <w:rPr>
                <w:lang w:eastAsia="en-AU"/>
              </w:rPr>
              <w:instrText xml:space="preserve"> REF _Ref78900495 \h </w:instrText>
            </w:r>
            <w:r>
              <w:rPr>
                <w:lang w:eastAsia="en-AU"/>
              </w:rPr>
            </w:r>
            <w:r>
              <w:rPr>
                <w:lang w:eastAsia="en-AU"/>
              </w:rPr>
              <w:fldChar w:fldCharType="separate"/>
            </w:r>
            <w:r w:rsidR="000E6C3B">
              <w:rPr>
                <w:lang w:eastAsia="en-AU"/>
              </w:rPr>
              <w:t>Port charges relative to coal mining costs</w:t>
            </w:r>
            <w:r>
              <w:rPr>
                <w:lang w:eastAsia="en-AU"/>
              </w:rPr>
              <w:fldChar w:fldCharType="end"/>
            </w:r>
          </w:p>
        </w:tc>
        <w:tc>
          <w:tcPr>
            <w:tcW w:w="1000" w:type="dxa"/>
            <w:shd w:val="clear" w:color="auto" w:fill="auto"/>
            <w:vAlign w:val="bottom"/>
          </w:tcPr>
          <w:p w14:paraId="0F2DC78D" w14:textId="1F195BC3" w:rsidR="00DE7137" w:rsidRDefault="00DE7137" w:rsidP="00E33FEA">
            <w:pPr>
              <w:spacing w:before="120" w:after="60" w:line="240" w:lineRule="auto"/>
              <w:jc w:val="right"/>
              <w:rPr>
                <w:szCs w:val="24"/>
              </w:rPr>
            </w:pPr>
            <w:r>
              <w:rPr>
                <w:szCs w:val="24"/>
              </w:rPr>
              <w:t>[116]</w:t>
            </w:r>
          </w:p>
        </w:tc>
      </w:tr>
      <w:tr w:rsidR="00DE7137" w:rsidRPr="00D326DB" w14:paraId="5E8A6CED" w14:textId="77777777" w:rsidTr="00DE7137">
        <w:tc>
          <w:tcPr>
            <w:tcW w:w="8291" w:type="dxa"/>
            <w:shd w:val="clear" w:color="auto" w:fill="auto"/>
          </w:tcPr>
          <w:p w14:paraId="418C25C8" w14:textId="02FDCB9F" w:rsidR="00DE7137" w:rsidRPr="00DE7137" w:rsidRDefault="00DE7137" w:rsidP="00DE7137">
            <w:pPr>
              <w:pStyle w:val="FTOC2"/>
              <w:tabs>
                <w:tab w:val="clear" w:pos="9072"/>
              </w:tabs>
              <w:rPr>
                <w:lang w:eastAsia="en-AU"/>
              </w:rPr>
            </w:pPr>
            <w:r>
              <w:rPr>
                <w:lang w:eastAsia="en-AU"/>
              </w:rPr>
              <w:fldChar w:fldCharType="begin"/>
            </w:r>
            <w:r>
              <w:rPr>
                <w:lang w:eastAsia="en-AU"/>
              </w:rPr>
              <w:instrText xml:space="preserve"> REF _Ref78900496 \h </w:instrText>
            </w:r>
            <w:r>
              <w:rPr>
                <w:lang w:eastAsia="en-AU"/>
              </w:rPr>
            </w:r>
            <w:r>
              <w:rPr>
                <w:lang w:eastAsia="en-AU"/>
              </w:rPr>
              <w:fldChar w:fldCharType="separate"/>
            </w:r>
            <w:r w:rsidR="000E6C3B">
              <w:rPr>
                <w:lang w:eastAsia="en-AU"/>
              </w:rPr>
              <w:t>PNO’s ability and incentive to exercise market power</w:t>
            </w:r>
            <w:r>
              <w:rPr>
                <w:lang w:eastAsia="en-AU"/>
              </w:rPr>
              <w:fldChar w:fldCharType="end"/>
            </w:r>
          </w:p>
        </w:tc>
        <w:tc>
          <w:tcPr>
            <w:tcW w:w="1000" w:type="dxa"/>
            <w:shd w:val="clear" w:color="auto" w:fill="auto"/>
            <w:vAlign w:val="bottom"/>
          </w:tcPr>
          <w:p w14:paraId="389245BE" w14:textId="541B03B8" w:rsidR="00DE7137" w:rsidRDefault="00DE7137" w:rsidP="00E33FEA">
            <w:pPr>
              <w:spacing w:before="120" w:after="60" w:line="240" w:lineRule="auto"/>
              <w:jc w:val="right"/>
              <w:rPr>
                <w:szCs w:val="24"/>
              </w:rPr>
            </w:pPr>
            <w:r>
              <w:rPr>
                <w:szCs w:val="24"/>
              </w:rPr>
              <w:t>[117]</w:t>
            </w:r>
          </w:p>
        </w:tc>
      </w:tr>
      <w:tr w:rsidR="00DE7137" w:rsidRPr="00D326DB" w14:paraId="69D11B24" w14:textId="77777777" w:rsidTr="00DE7137">
        <w:tc>
          <w:tcPr>
            <w:tcW w:w="8291" w:type="dxa"/>
            <w:shd w:val="clear" w:color="auto" w:fill="auto"/>
          </w:tcPr>
          <w:p w14:paraId="5BDE1002" w14:textId="7D2CE7AD" w:rsidR="00DE7137" w:rsidRPr="00DE7137" w:rsidRDefault="00DE7137" w:rsidP="00DE7137">
            <w:pPr>
              <w:pStyle w:val="FTOC2"/>
              <w:tabs>
                <w:tab w:val="clear" w:pos="9072"/>
              </w:tabs>
              <w:rPr>
                <w:lang w:eastAsia="en-AU"/>
              </w:rPr>
            </w:pPr>
            <w:r>
              <w:rPr>
                <w:lang w:eastAsia="en-AU"/>
              </w:rPr>
              <w:fldChar w:fldCharType="begin"/>
            </w:r>
            <w:r>
              <w:rPr>
                <w:lang w:eastAsia="en-AU"/>
              </w:rPr>
              <w:instrText xml:space="preserve"> REF _Ref78900497 \h </w:instrText>
            </w:r>
            <w:r>
              <w:rPr>
                <w:lang w:eastAsia="en-AU"/>
              </w:rPr>
            </w:r>
            <w:r>
              <w:rPr>
                <w:lang w:eastAsia="en-AU"/>
              </w:rPr>
              <w:fldChar w:fldCharType="separate"/>
            </w:r>
            <w:r w:rsidR="000E6C3B">
              <w:rPr>
                <w:lang w:eastAsia="en-AU"/>
              </w:rPr>
              <w:t>Period of declaration</w:t>
            </w:r>
            <w:r>
              <w:rPr>
                <w:lang w:eastAsia="en-AU"/>
              </w:rPr>
              <w:fldChar w:fldCharType="end"/>
            </w:r>
          </w:p>
        </w:tc>
        <w:tc>
          <w:tcPr>
            <w:tcW w:w="1000" w:type="dxa"/>
            <w:shd w:val="clear" w:color="auto" w:fill="auto"/>
            <w:vAlign w:val="bottom"/>
          </w:tcPr>
          <w:p w14:paraId="711911E9" w14:textId="53ACD046" w:rsidR="00DE7137" w:rsidRDefault="00DE7137" w:rsidP="00E33FEA">
            <w:pPr>
              <w:spacing w:before="120" w:after="60" w:line="240" w:lineRule="auto"/>
              <w:jc w:val="right"/>
              <w:rPr>
                <w:szCs w:val="24"/>
              </w:rPr>
            </w:pPr>
            <w:r>
              <w:rPr>
                <w:szCs w:val="24"/>
              </w:rPr>
              <w:t>[125]</w:t>
            </w:r>
          </w:p>
        </w:tc>
      </w:tr>
      <w:tr w:rsidR="00DE7137" w:rsidRPr="00D326DB" w14:paraId="3FF28958" w14:textId="77777777" w:rsidTr="00DE7137">
        <w:tc>
          <w:tcPr>
            <w:tcW w:w="8291" w:type="dxa"/>
            <w:shd w:val="clear" w:color="auto" w:fill="auto"/>
          </w:tcPr>
          <w:p w14:paraId="606F4172" w14:textId="6D9AA7BC" w:rsidR="00DE7137" w:rsidRPr="00DE7137" w:rsidRDefault="00DE7137" w:rsidP="00DE7137">
            <w:pPr>
              <w:pStyle w:val="FTOC2"/>
              <w:tabs>
                <w:tab w:val="clear" w:pos="9072"/>
              </w:tabs>
              <w:rPr>
                <w:lang w:eastAsia="en-AU"/>
              </w:rPr>
            </w:pPr>
            <w:r>
              <w:rPr>
                <w:lang w:eastAsia="en-AU"/>
              </w:rPr>
              <w:fldChar w:fldCharType="begin"/>
            </w:r>
            <w:r>
              <w:rPr>
                <w:lang w:eastAsia="en-AU"/>
              </w:rPr>
              <w:instrText xml:space="preserve"> REF _Ref78900498 \h </w:instrText>
            </w:r>
            <w:r>
              <w:rPr>
                <w:lang w:eastAsia="en-AU"/>
              </w:rPr>
            </w:r>
            <w:r>
              <w:rPr>
                <w:lang w:eastAsia="en-AU"/>
              </w:rPr>
              <w:fldChar w:fldCharType="separate"/>
            </w:r>
            <w:r w:rsidR="000E6C3B">
              <w:rPr>
                <w:lang w:eastAsia="en-AU"/>
              </w:rPr>
              <w:t>Decisions of the Queensland Competition Authority</w:t>
            </w:r>
            <w:r>
              <w:rPr>
                <w:lang w:eastAsia="en-AU"/>
              </w:rPr>
              <w:fldChar w:fldCharType="end"/>
            </w:r>
          </w:p>
        </w:tc>
        <w:tc>
          <w:tcPr>
            <w:tcW w:w="1000" w:type="dxa"/>
            <w:shd w:val="clear" w:color="auto" w:fill="auto"/>
            <w:vAlign w:val="bottom"/>
          </w:tcPr>
          <w:p w14:paraId="272E8D61" w14:textId="03593DCF" w:rsidR="00DE7137" w:rsidRDefault="00DE7137" w:rsidP="00E33FEA">
            <w:pPr>
              <w:spacing w:before="120" w:after="60" w:line="240" w:lineRule="auto"/>
              <w:jc w:val="right"/>
              <w:rPr>
                <w:szCs w:val="24"/>
              </w:rPr>
            </w:pPr>
            <w:r>
              <w:rPr>
                <w:szCs w:val="24"/>
              </w:rPr>
              <w:t>[126]</w:t>
            </w:r>
          </w:p>
        </w:tc>
      </w:tr>
      <w:tr w:rsidR="00DE7137" w:rsidRPr="00D326DB" w14:paraId="5DC72F5E" w14:textId="77777777" w:rsidTr="00DE7137">
        <w:tc>
          <w:tcPr>
            <w:tcW w:w="8291" w:type="dxa"/>
            <w:shd w:val="clear" w:color="auto" w:fill="auto"/>
          </w:tcPr>
          <w:p w14:paraId="178C615B" w14:textId="33F2B102" w:rsidR="00DE7137" w:rsidRPr="00DE7137" w:rsidRDefault="00DE7137" w:rsidP="00DE7137">
            <w:pPr>
              <w:pStyle w:val="FTOC1"/>
              <w:tabs>
                <w:tab w:val="clear" w:pos="9072"/>
              </w:tabs>
              <w:rPr>
                <w:lang w:eastAsia="en-AU"/>
              </w:rPr>
            </w:pPr>
            <w:r>
              <w:rPr>
                <w:lang w:eastAsia="en-AU"/>
              </w:rPr>
              <w:t xml:space="preserve">F. </w:t>
            </w:r>
            <w:r>
              <w:rPr>
                <w:lang w:eastAsia="en-AU"/>
              </w:rPr>
              <w:fldChar w:fldCharType="begin"/>
            </w:r>
            <w:r>
              <w:rPr>
                <w:lang w:eastAsia="en-AU"/>
              </w:rPr>
              <w:instrText xml:space="preserve"> REF _Ref78900499 \h </w:instrText>
            </w:r>
            <w:r>
              <w:rPr>
                <w:lang w:eastAsia="en-AU"/>
              </w:rPr>
            </w:r>
            <w:r>
              <w:rPr>
                <w:lang w:eastAsia="en-AU"/>
              </w:rPr>
              <w:fldChar w:fldCharType="separate"/>
            </w:r>
            <w:r w:rsidR="000E6C3B">
              <w:rPr>
                <w:lang w:eastAsia="en-AU"/>
              </w:rPr>
              <w:t>consideration of criterion (A)</w:t>
            </w:r>
            <w:r>
              <w:rPr>
                <w:lang w:eastAsia="en-AU"/>
              </w:rPr>
              <w:fldChar w:fldCharType="end"/>
            </w:r>
          </w:p>
        </w:tc>
        <w:tc>
          <w:tcPr>
            <w:tcW w:w="1000" w:type="dxa"/>
            <w:shd w:val="clear" w:color="auto" w:fill="auto"/>
            <w:vAlign w:val="bottom"/>
          </w:tcPr>
          <w:p w14:paraId="7F7F9D6C" w14:textId="53B255F3" w:rsidR="00DE7137" w:rsidRDefault="00DE7137" w:rsidP="00E33FEA">
            <w:pPr>
              <w:spacing w:before="120" w:after="60" w:line="240" w:lineRule="auto"/>
              <w:jc w:val="right"/>
              <w:rPr>
                <w:szCs w:val="24"/>
              </w:rPr>
            </w:pPr>
            <w:r>
              <w:rPr>
                <w:szCs w:val="24"/>
              </w:rPr>
              <w:t>[128]</w:t>
            </w:r>
          </w:p>
        </w:tc>
      </w:tr>
      <w:tr w:rsidR="00DE7137" w:rsidRPr="00D326DB" w14:paraId="69F9369B" w14:textId="77777777" w:rsidTr="00DE7137">
        <w:tc>
          <w:tcPr>
            <w:tcW w:w="8291" w:type="dxa"/>
            <w:shd w:val="clear" w:color="auto" w:fill="auto"/>
          </w:tcPr>
          <w:p w14:paraId="32E589DC" w14:textId="320795BF" w:rsidR="00DE7137" w:rsidRPr="00DE7137" w:rsidRDefault="00DE7137" w:rsidP="00DE7137">
            <w:pPr>
              <w:pStyle w:val="FTOC2"/>
              <w:tabs>
                <w:tab w:val="clear" w:pos="9072"/>
              </w:tabs>
              <w:rPr>
                <w:lang w:eastAsia="en-AU"/>
              </w:rPr>
            </w:pPr>
            <w:r>
              <w:rPr>
                <w:lang w:eastAsia="en-AU"/>
              </w:rPr>
              <w:fldChar w:fldCharType="begin"/>
            </w:r>
            <w:r>
              <w:rPr>
                <w:lang w:eastAsia="en-AU"/>
              </w:rPr>
              <w:instrText xml:space="preserve"> REF _Ref78900500 \h </w:instrText>
            </w:r>
            <w:r>
              <w:rPr>
                <w:lang w:eastAsia="en-AU"/>
              </w:rPr>
            </w:r>
            <w:r>
              <w:rPr>
                <w:lang w:eastAsia="en-AU"/>
              </w:rPr>
              <w:fldChar w:fldCharType="separate"/>
            </w:r>
            <w:r w:rsidR="000E6C3B">
              <w:rPr>
                <w:lang w:eastAsia="en-AU"/>
              </w:rPr>
              <w:t>Meaning of criterion (a)</w:t>
            </w:r>
            <w:r>
              <w:rPr>
                <w:lang w:eastAsia="en-AU"/>
              </w:rPr>
              <w:fldChar w:fldCharType="end"/>
            </w:r>
          </w:p>
        </w:tc>
        <w:tc>
          <w:tcPr>
            <w:tcW w:w="1000" w:type="dxa"/>
            <w:shd w:val="clear" w:color="auto" w:fill="auto"/>
            <w:vAlign w:val="bottom"/>
          </w:tcPr>
          <w:p w14:paraId="2AE68E98" w14:textId="46EDC392" w:rsidR="00DE7137" w:rsidRDefault="00DE7137" w:rsidP="00E33FEA">
            <w:pPr>
              <w:spacing w:before="120" w:after="60" w:line="240" w:lineRule="auto"/>
              <w:jc w:val="right"/>
              <w:rPr>
                <w:szCs w:val="24"/>
              </w:rPr>
            </w:pPr>
            <w:r>
              <w:rPr>
                <w:szCs w:val="24"/>
              </w:rPr>
              <w:t>[128]</w:t>
            </w:r>
          </w:p>
        </w:tc>
      </w:tr>
      <w:tr w:rsidR="00DE7137" w:rsidRPr="00D326DB" w14:paraId="63428C9A" w14:textId="77777777" w:rsidTr="00DE7137">
        <w:tc>
          <w:tcPr>
            <w:tcW w:w="8291" w:type="dxa"/>
            <w:shd w:val="clear" w:color="auto" w:fill="auto"/>
          </w:tcPr>
          <w:p w14:paraId="05115D6A" w14:textId="7226F7FC" w:rsidR="00DE7137" w:rsidRPr="00DE7137" w:rsidRDefault="00DE7137" w:rsidP="00DE7137">
            <w:pPr>
              <w:pStyle w:val="FTOC2"/>
              <w:tabs>
                <w:tab w:val="clear" w:pos="9072"/>
              </w:tabs>
              <w:rPr>
                <w:lang w:eastAsia="en-AU"/>
              </w:rPr>
            </w:pPr>
            <w:r>
              <w:rPr>
                <w:lang w:eastAsia="en-AU"/>
              </w:rPr>
              <w:fldChar w:fldCharType="begin"/>
            </w:r>
            <w:r>
              <w:rPr>
                <w:lang w:eastAsia="en-AU"/>
              </w:rPr>
              <w:instrText xml:space="preserve"> REF _Ref78900506 \h </w:instrText>
            </w:r>
            <w:r>
              <w:rPr>
                <w:lang w:eastAsia="en-AU"/>
              </w:rPr>
            </w:r>
            <w:r>
              <w:rPr>
                <w:lang w:eastAsia="en-AU"/>
              </w:rPr>
              <w:fldChar w:fldCharType="separate"/>
            </w:r>
            <w:r w:rsidR="000E6C3B">
              <w:rPr>
                <w:lang w:eastAsia="en-AU"/>
              </w:rPr>
              <w:t>How access may affect the conditions and environment for competition in dependent markets</w:t>
            </w:r>
            <w:r>
              <w:rPr>
                <w:lang w:eastAsia="en-AU"/>
              </w:rPr>
              <w:fldChar w:fldCharType="end"/>
            </w:r>
          </w:p>
        </w:tc>
        <w:tc>
          <w:tcPr>
            <w:tcW w:w="1000" w:type="dxa"/>
            <w:shd w:val="clear" w:color="auto" w:fill="auto"/>
            <w:vAlign w:val="bottom"/>
          </w:tcPr>
          <w:p w14:paraId="06396774" w14:textId="4490DE8A" w:rsidR="00DE7137" w:rsidRDefault="00DE7137" w:rsidP="00E33FEA">
            <w:pPr>
              <w:spacing w:before="120" w:after="60" w:line="240" w:lineRule="auto"/>
              <w:jc w:val="right"/>
              <w:rPr>
                <w:szCs w:val="24"/>
              </w:rPr>
            </w:pPr>
            <w:r>
              <w:rPr>
                <w:szCs w:val="24"/>
              </w:rPr>
              <w:t>[153]</w:t>
            </w:r>
          </w:p>
        </w:tc>
      </w:tr>
      <w:tr w:rsidR="00DE7137" w:rsidRPr="00D326DB" w14:paraId="79E8D35D" w14:textId="77777777" w:rsidTr="00DE7137">
        <w:tc>
          <w:tcPr>
            <w:tcW w:w="8291" w:type="dxa"/>
            <w:shd w:val="clear" w:color="auto" w:fill="auto"/>
          </w:tcPr>
          <w:p w14:paraId="40A4B6B2" w14:textId="34FAC2D1" w:rsidR="00DE7137" w:rsidRPr="00DE7137" w:rsidRDefault="00DE7137" w:rsidP="00DE7137">
            <w:pPr>
              <w:pStyle w:val="FTOC2"/>
              <w:tabs>
                <w:tab w:val="clear" w:pos="9072"/>
              </w:tabs>
              <w:rPr>
                <w:lang w:eastAsia="en-AU"/>
              </w:rPr>
            </w:pPr>
            <w:r>
              <w:rPr>
                <w:lang w:eastAsia="en-AU"/>
              </w:rPr>
              <w:fldChar w:fldCharType="begin"/>
            </w:r>
            <w:r>
              <w:rPr>
                <w:lang w:eastAsia="en-AU"/>
              </w:rPr>
              <w:instrText xml:space="preserve"> REF _Ref78900507 \h </w:instrText>
            </w:r>
            <w:r>
              <w:rPr>
                <w:lang w:eastAsia="en-AU"/>
              </w:rPr>
            </w:r>
            <w:r>
              <w:rPr>
                <w:lang w:eastAsia="en-AU"/>
              </w:rPr>
              <w:fldChar w:fldCharType="separate"/>
            </w:r>
            <w:r w:rsidR="000E6C3B">
              <w:rPr>
                <w:lang w:eastAsia="en-AU"/>
              </w:rPr>
              <w:t>Framework for the evaluation</w:t>
            </w:r>
            <w:r>
              <w:rPr>
                <w:lang w:eastAsia="en-AU"/>
              </w:rPr>
              <w:fldChar w:fldCharType="end"/>
            </w:r>
          </w:p>
        </w:tc>
        <w:tc>
          <w:tcPr>
            <w:tcW w:w="1000" w:type="dxa"/>
            <w:shd w:val="clear" w:color="auto" w:fill="auto"/>
            <w:vAlign w:val="bottom"/>
          </w:tcPr>
          <w:p w14:paraId="0A01961F" w14:textId="61F84BB8" w:rsidR="00DE7137" w:rsidRDefault="00DE7137" w:rsidP="00E33FEA">
            <w:pPr>
              <w:spacing w:before="120" w:after="60" w:line="240" w:lineRule="auto"/>
              <w:jc w:val="right"/>
              <w:rPr>
                <w:szCs w:val="24"/>
              </w:rPr>
            </w:pPr>
            <w:r>
              <w:rPr>
                <w:szCs w:val="24"/>
              </w:rPr>
              <w:t>[163]</w:t>
            </w:r>
          </w:p>
        </w:tc>
      </w:tr>
      <w:tr w:rsidR="00DE7137" w:rsidRPr="00D326DB" w14:paraId="0BEA84AD" w14:textId="77777777" w:rsidTr="00DE7137">
        <w:tc>
          <w:tcPr>
            <w:tcW w:w="8291" w:type="dxa"/>
            <w:shd w:val="clear" w:color="auto" w:fill="auto"/>
          </w:tcPr>
          <w:p w14:paraId="62172A7A" w14:textId="0441483B" w:rsidR="00DE7137" w:rsidRPr="00DE7137" w:rsidRDefault="00DE7137" w:rsidP="00DE7137">
            <w:pPr>
              <w:pStyle w:val="FTOC2"/>
              <w:tabs>
                <w:tab w:val="clear" w:pos="9072"/>
              </w:tabs>
              <w:rPr>
                <w:lang w:eastAsia="en-AU"/>
              </w:rPr>
            </w:pPr>
            <w:r>
              <w:rPr>
                <w:lang w:eastAsia="en-AU"/>
              </w:rPr>
              <w:fldChar w:fldCharType="begin"/>
            </w:r>
            <w:r>
              <w:rPr>
                <w:lang w:eastAsia="en-AU"/>
              </w:rPr>
              <w:instrText xml:space="preserve"> REF _Ref78900508 \h </w:instrText>
            </w:r>
            <w:r>
              <w:rPr>
                <w:lang w:eastAsia="en-AU"/>
              </w:rPr>
            </w:r>
            <w:r>
              <w:rPr>
                <w:lang w:eastAsia="en-AU"/>
              </w:rPr>
              <w:fldChar w:fldCharType="separate"/>
            </w:r>
            <w:r w:rsidR="000E6C3B">
              <w:rPr>
                <w:lang w:eastAsia="en-AU"/>
              </w:rPr>
              <w:t>The shipping channel service</w:t>
            </w:r>
            <w:r>
              <w:rPr>
                <w:lang w:eastAsia="en-AU"/>
              </w:rPr>
              <w:fldChar w:fldCharType="end"/>
            </w:r>
          </w:p>
        </w:tc>
        <w:tc>
          <w:tcPr>
            <w:tcW w:w="1000" w:type="dxa"/>
            <w:shd w:val="clear" w:color="auto" w:fill="auto"/>
            <w:vAlign w:val="bottom"/>
          </w:tcPr>
          <w:p w14:paraId="2DC57A1D" w14:textId="4B40D0AB" w:rsidR="00DE7137" w:rsidRDefault="00DE7137" w:rsidP="00E33FEA">
            <w:pPr>
              <w:spacing w:before="120" w:after="60" w:line="240" w:lineRule="auto"/>
              <w:jc w:val="right"/>
              <w:rPr>
                <w:szCs w:val="24"/>
              </w:rPr>
            </w:pPr>
            <w:r>
              <w:rPr>
                <w:szCs w:val="24"/>
              </w:rPr>
              <w:t>[166]</w:t>
            </w:r>
          </w:p>
        </w:tc>
      </w:tr>
      <w:tr w:rsidR="00DE7137" w:rsidRPr="00D326DB" w14:paraId="5FE3A4F6" w14:textId="77777777" w:rsidTr="00DE7137">
        <w:tc>
          <w:tcPr>
            <w:tcW w:w="8291" w:type="dxa"/>
            <w:shd w:val="clear" w:color="auto" w:fill="auto"/>
          </w:tcPr>
          <w:p w14:paraId="4E664C0B" w14:textId="42A91C9F" w:rsidR="00DE7137" w:rsidRPr="00DE7137" w:rsidRDefault="00DE7137" w:rsidP="00DE7137">
            <w:pPr>
              <w:pStyle w:val="FTOC2"/>
              <w:tabs>
                <w:tab w:val="clear" w:pos="9072"/>
              </w:tabs>
              <w:rPr>
                <w:lang w:eastAsia="en-AU"/>
              </w:rPr>
            </w:pPr>
            <w:r>
              <w:rPr>
                <w:lang w:eastAsia="en-AU"/>
              </w:rPr>
              <w:fldChar w:fldCharType="begin"/>
            </w:r>
            <w:r>
              <w:rPr>
                <w:lang w:eastAsia="en-AU"/>
              </w:rPr>
              <w:instrText xml:space="preserve"> REF _Ref78900509 \h </w:instrText>
            </w:r>
            <w:r>
              <w:rPr>
                <w:lang w:eastAsia="en-AU"/>
              </w:rPr>
            </w:r>
            <w:r>
              <w:rPr>
                <w:lang w:eastAsia="en-AU"/>
              </w:rPr>
              <w:fldChar w:fldCharType="separate"/>
            </w:r>
            <w:r w:rsidR="000E6C3B">
              <w:rPr>
                <w:lang w:eastAsia="en-AU"/>
              </w:rPr>
              <w:t>The coal tenements market</w:t>
            </w:r>
            <w:r>
              <w:rPr>
                <w:lang w:eastAsia="en-AU"/>
              </w:rPr>
              <w:fldChar w:fldCharType="end"/>
            </w:r>
          </w:p>
        </w:tc>
        <w:tc>
          <w:tcPr>
            <w:tcW w:w="1000" w:type="dxa"/>
            <w:shd w:val="clear" w:color="auto" w:fill="auto"/>
            <w:vAlign w:val="bottom"/>
          </w:tcPr>
          <w:p w14:paraId="458023A1" w14:textId="1A51F523" w:rsidR="00DE7137" w:rsidRDefault="00DE7137" w:rsidP="00E33FEA">
            <w:pPr>
              <w:spacing w:before="120" w:after="60" w:line="240" w:lineRule="auto"/>
              <w:jc w:val="right"/>
              <w:rPr>
                <w:szCs w:val="24"/>
              </w:rPr>
            </w:pPr>
            <w:r>
              <w:rPr>
                <w:szCs w:val="24"/>
              </w:rPr>
              <w:t>[170]</w:t>
            </w:r>
          </w:p>
        </w:tc>
      </w:tr>
      <w:tr w:rsidR="00DE7137" w:rsidRPr="00D326DB" w14:paraId="470556A7" w14:textId="77777777" w:rsidTr="00DE7137">
        <w:tc>
          <w:tcPr>
            <w:tcW w:w="8291" w:type="dxa"/>
            <w:shd w:val="clear" w:color="auto" w:fill="auto"/>
          </w:tcPr>
          <w:p w14:paraId="4A0F12FF" w14:textId="14CE90C4" w:rsidR="00DE7137" w:rsidRPr="00DE7137" w:rsidRDefault="00DE7137" w:rsidP="00DE7137">
            <w:pPr>
              <w:pStyle w:val="FTOC2"/>
              <w:tabs>
                <w:tab w:val="clear" w:pos="9072"/>
              </w:tabs>
              <w:rPr>
                <w:lang w:eastAsia="en-AU"/>
              </w:rPr>
            </w:pPr>
            <w:r>
              <w:rPr>
                <w:lang w:eastAsia="en-AU"/>
              </w:rPr>
              <w:fldChar w:fldCharType="begin"/>
            </w:r>
            <w:r>
              <w:rPr>
                <w:lang w:eastAsia="en-AU"/>
              </w:rPr>
              <w:instrText xml:space="preserve"> REF _Ref78900510 \h </w:instrText>
            </w:r>
            <w:r>
              <w:rPr>
                <w:lang w:eastAsia="en-AU"/>
              </w:rPr>
            </w:r>
            <w:r>
              <w:rPr>
                <w:lang w:eastAsia="en-AU"/>
              </w:rPr>
              <w:fldChar w:fldCharType="separate"/>
            </w:r>
            <w:r w:rsidR="000E6C3B">
              <w:rPr>
                <w:lang w:eastAsia="en-AU"/>
              </w:rPr>
              <w:t>Access without declaration</w:t>
            </w:r>
            <w:r>
              <w:rPr>
                <w:lang w:eastAsia="en-AU"/>
              </w:rPr>
              <w:fldChar w:fldCharType="end"/>
            </w:r>
          </w:p>
        </w:tc>
        <w:tc>
          <w:tcPr>
            <w:tcW w:w="1000" w:type="dxa"/>
            <w:shd w:val="clear" w:color="auto" w:fill="auto"/>
            <w:vAlign w:val="bottom"/>
          </w:tcPr>
          <w:p w14:paraId="3F58A6D7" w14:textId="36E2F51E" w:rsidR="00DE7137" w:rsidRDefault="00DE7137" w:rsidP="00E33FEA">
            <w:pPr>
              <w:spacing w:before="120" w:after="60" w:line="240" w:lineRule="auto"/>
              <w:jc w:val="right"/>
              <w:rPr>
                <w:szCs w:val="24"/>
              </w:rPr>
            </w:pPr>
            <w:r>
              <w:rPr>
                <w:szCs w:val="24"/>
              </w:rPr>
              <w:t>[177]</w:t>
            </w:r>
          </w:p>
        </w:tc>
      </w:tr>
      <w:tr w:rsidR="00DE7137" w:rsidRPr="00D326DB" w14:paraId="33FC63E1" w14:textId="77777777" w:rsidTr="00DE7137">
        <w:tc>
          <w:tcPr>
            <w:tcW w:w="8291" w:type="dxa"/>
            <w:shd w:val="clear" w:color="auto" w:fill="auto"/>
          </w:tcPr>
          <w:p w14:paraId="15B18A93" w14:textId="22AAB555" w:rsidR="00DE7137" w:rsidRPr="00DE7137" w:rsidRDefault="00DE7137" w:rsidP="00DE7137">
            <w:pPr>
              <w:pStyle w:val="FTOC2"/>
              <w:tabs>
                <w:tab w:val="clear" w:pos="9072"/>
              </w:tabs>
              <w:rPr>
                <w:lang w:eastAsia="en-AU"/>
              </w:rPr>
            </w:pPr>
            <w:r>
              <w:rPr>
                <w:lang w:eastAsia="en-AU"/>
              </w:rPr>
              <w:lastRenderedPageBreak/>
              <w:fldChar w:fldCharType="begin"/>
            </w:r>
            <w:r>
              <w:rPr>
                <w:lang w:eastAsia="en-AU"/>
              </w:rPr>
              <w:instrText xml:space="preserve"> REF _Ref78900524 \h </w:instrText>
            </w:r>
            <w:r>
              <w:rPr>
                <w:lang w:eastAsia="en-AU"/>
              </w:rPr>
            </w:r>
            <w:r>
              <w:rPr>
                <w:lang w:eastAsia="en-AU"/>
              </w:rPr>
              <w:fldChar w:fldCharType="separate"/>
            </w:r>
            <w:r w:rsidR="000E6C3B">
              <w:rPr>
                <w:lang w:eastAsia="en-AU"/>
              </w:rPr>
              <w:t>Comparing the effect of access with declaration to access without declaration</w:t>
            </w:r>
            <w:r>
              <w:rPr>
                <w:lang w:eastAsia="en-AU"/>
              </w:rPr>
              <w:fldChar w:fldCharType="end"/>
            </w:r>
          </w:p>
        </w:tc>
        <w:tc>
          <w:tcPr>
            <w:tcW w:w="1000" w:type="dxa"/>
            <w:shd w:val="clear" w:color="auto" w:fill="auto"/>
            <w:vAlign w:val="bottom"/>
          </w:tcPr>
          <w:p w14:paraId="571DF993" w14:textId="1F4C602F" w:rsidR="00DE7137" w:rsidRDefault="00DE7137" w:rsidP="00E33FEA">
            <w:pPr>
              <w:spacing w:before="120" w:after="60" w:line="240" w:lineRule="auto"/>
              <w:jc w:val="right"/>
              <w:rPr>
                <w:szCs w:val="24"/>
              </w:rPr>
            </w:pPr>
            <w:r>
              <w:rPr>
                <w:szCs w:val="24"/>
              </w:rPr>
              <w:t>[241]</w:t>
            </w:r>
          </w:p>
        </w:tc>
      </w:tr>
      <w:tr w:rsidR="00DE7137" w:rsidRPr="00D326DB" w14:paraId="63D7826B" w14:textId="77777777" w:rsidTr="00DE7137">
        <w:tc>
          <w:tcPr>
            <w:tcW w:w="8291" w:type="dxa"/>
            <w:shd w:val="clear" w:color="auto" w:fill="auto"/>
          </w:tcPr>
          <w:p w14:paraId="046D56D2" w14:textId="439F7223" w:rsidR="00DE7137" w:rsidRPr="00DE7137" w:rsidRDefault="00DE7137" w:rsidP="00DE7137">
            <w:pPr>
              <w:pStyle w:val="FTOC2"/>
              <w:tabs>
                <w:tab w:val="clear" w:pos="9072"/>
              </w:tabs>
              <w:rPr>
                <w:lang w:eastAsia="en-AU"/>
              </w:rPr>
            </w:pPr>
            <w:r>
              <w:rPr>
                <w:lang w:eastAsia="en-AU"/>
              </w:rPr>
              <w:fldChar w:fldCharType="begin"/>
            </w:r>
            <w:r>
              <w:rPr>
                <w:lang w:eastAsia="en-AU"/>
              </w:rPr>
              <w:instrText xml:space="preserve"> REF _Ref78900530 \h </w:instrText>
            </w:r>
            <w:r>
              <w:rPr>
                <w:lang w:eastAsia="en-AU"/>
              </w:rPr>
            </w:r>
            <w:r>
              <w:rPr>
                <w:lang w:eastAsia="en-AU"/>
              </w:rPr>
              <w:fldChar w:fldCharType="separate"/>
            </w:r>
            <w:r w:rsidR="000E6C3B">
              <w:rPr>
                <w:lang w:eastAsia="en-AU"/>
              </w:rPr>
              <w:t>Conclusion on criterion (a)</w:t>
            </w:r>
            <w:r>
              <w:rPr>
                <w:lang w:eastAsia="en-AU"/>
              </w:rPr>
              <w:fldChar w:fldCharType="end"/>
            </w:r>
          </w:p>
        </w:tc>
        <w:tc>
          <w:tcPr>
            <w:tcW w:w="1000" w:type="dxa"/>
            <w:shd w:val="clear" w:color="auto" w:fill="auto"/>
            <w:vAlign w:val="bottom"/>
          </w:tcPr>
          <w:p w14:paraId="71A8627E" w14:textId="5B1082D6" w:rsidR="00DE7137" w:rsidRDefault="00DE7137" w:rsidP="00E33FEA">
            <w:pPr>
              <w:spacing w:before="120" w:after="60" w:line="240" w:lineRule="auto"/>
              <w:jc w:val="right"/>
              <w:rPr>
                <w:szCs w:val="24"/>
              </w:rPr>
            </w:pPr>
            <w:r>
              <w:rPr>
                <w:szCs w:val="24"/>
              </w:rPr>
              <w:t>[263]</w:t>
            </w:r>
          </w:p>
        </w:tc>
      </w:tr>
      <w:tr w:rsidR="00DE7137" w:rsidRPr="00D326DB" w14:paraId="4A706087" w14:textId="77777777" w:rsidTr="00DE7137">
        <w:tc>
          <w:tcPr>
            <w:tcW w:w="8291" w:type="dxa"/>
            <w:shd w:val="clear" w:color="auto" w:fill="auto"/>
          </w:tcPr>
          <w:p w14:paraId="3F1EA6C5" w14:textId="121D10BA" w:rsidR="00DE7137" w:rsidRPr="00DE7137" w:rsidRDefault="00DE7137" w:rsidP="00DE7137">
            <w:pPr>
              <w:pStyle w:val="FTOC1"/>
              <w:tabs>
                <w:tab w:val="clear" w:pos="9072"/>
              </w:tabs>
              <w:rPr>
                <w:lang w:eastAsia="en-AU"/>
              </w:rPr>
            </w:pPr>
            <w:r>
              <w:rPr>
                <w:lang w:eastAsia="en-AU"/>
              </w:rPr>
              <w:t xml:space="preserve">G. </w:t>
            </w:r>
            <w:r>
              <w:rPr>
                <w:lang w:eastAsia="en-AU"/>
              </w:rPr>
              <w:fldChar w:fldCharType="begin"/>
            </w:r>
            <w:r>
              <w:rPr>
                <w:lang w:eastAsia="en-AU"/>
              </w:rPr>
              <w:instrText xml:space="preserve"> REF _Ref78900531 \h </w:instrText>
            </w:r>
            <w:r>
              <w:rPr>
                <w:lang w:eastAsia="en-AU"/>
              </w:rPr>
            </w:r>
            <w:r>
              <w:rPr>
                <w:lang w:eastAsia="en-AU"/>
              </w:rPr>
              <w:fldChar w:fldCharType="separate"/>
            </w:r>
            <w:r w:rsidR="000E6C3B">
              <w:rPr>
                <w:lang w:eastAsia="en-AU"/>
              </w:rPr>
              <w:t>consideration of criterion (d)</w:t>
            </w:r>
            <w:r>
              <w:rPr>
                <w:lang w:eastAsia="en-AU"/>
              </w:rPr>
              <w:fldChar w:fldCharType="end"/>
            </w:r>
          </w:p>
        </w:tc>
        <w:tc>
          <w:tcPr>
            <w:tcW w:w="1000" w:type="dxa"/>
            <w:shd w:val="clear" w:color="auto" w:fill="auto"/>
            <w:vAlign w:val="bottom"/>
          </w:tcPr>
          <w:p w14:paraId="15F09AD3" w14:textId="01E8EB83" w:rsidR="00DE7137" w:rsidRDefault="00DE7137" w:rsidP="00E33FEA">
            <w:pPr>
              <w:spacing w:before="120" w:after="60" w:line="240" w:lineRule="auto"/>
              <w:jc w:val="right"/>
              <w:rPr>
                <w:szCs w:val="24"/>
              </w:rPr>
            </w:pPr>
            <w:r>
              <w:rPr>
                <w:szCs w:val="24"/>
              </w:rPr>
              <w:t>[265]</w:t>
            </w:r>
          </w:p>
        </w:tc>
      </w:tr>
      <w:tr w:rsidR="00DE7137" w:rsidRPr="00D326DB" w14:paraId="7D50F79C" w14:textId="77777777" w:rsidTr="00DE7137">
        <w:tc>
          <w:tcPr>
            <w:tcW w:w="8291" w:type="dxa"/>
            <w:shd w:val="clear" w:color="auto" w:fill="auto"/>
          </w:tcPr>
          <w:p w14:paraId="2F672A83" w14:textId="37A62E64" w:rsidR="00DE7137" w:rsidRPr="00DE7137" w:rsidRDefault="00DE7137" w:rsidP="00DE7137">
            <w:pPr>
              <w:pStyle w:val="FTOC1"/>
              <w:tabs>
                <w:tab w:val="clear" w:pos="9072"/>
              </w:tabs>
              <w:rPr>
                <w:lang w:eastAsia="en-AU"/>
              </w:rPr>
            </w:pPr>
            <w:r>
              <w:rPr>
                <w:lang w:eastAsia="en-AU"/>
              </w:rPr>
              <w:t xml:space="preserve">H. </w:t>
            </w:r>
            <w:r>
              <w:rPr>
                <w:lang w:eastAsia="en-AU"/>
              </w:rPr>
              <w:fldChar w:fldCharType="begin"/>
            </w:r>
            <w:r>
              <w:rPr>
                <w:lang w:eastAsia="en-AU"/>
              </w:rPr>
              <w:instrText xml:space="preserve"> REF _Ref78900532 \h </w:instrText>
            </w:r>
            <w:r>
              <w:rPr>
                <w:lang w:eastAsia="en-AU"/>
              </w:rPr>
            </w:r>
            <w:r>
              <w:rPr>
                <w:lang w:eastAsia="en-AU"/>
              </w:rPr>
              <w:fldChar w:fldCharType="separate"/>
            </w:r>
            <w:r w:rsidR="000E6C3B">
              <w:rPr>
                <w:lang w:eastAsia="en-AU"/>
              </w:rPr>
              <w:t>conclusion and costs</w:t>
            </w:r>
            <w:r>
              <w:rPr>
                <w:lang w:eastAsia="en-AU"/>
              </w:rPr>
              <w:fldChar w:fldCharType="end"/>
            </w:r>
          </w:p>
        </w:tc>
        <w:tc>
          <w:tcPr>
            <w:tcW w:w="1000" w:type="dxa"/>
            <w:shd w:val="clear" w:color="auto" w:fill="auto"/>
            <w:vAlign w:val="bottom"/>
          </w:tcPr>
          <w:p w14:paraId="23D6AA53" w14:textId="600AD145" w:rsidR="00DE7137" w:rsidRDefault="00DE7137" w:rsidP="00E33FEA">
            <w:pPr>
              <w:spacing w:before="120" w:after="60" w:line="240" w:lineRule="auto"/>
              <w:jc w:val="right"/>
              <w:rPr>
                <w:szCs w:val="24"/>
              </w:rPr>
            </w:pPr>
            <w:r>
              <w:rPr>
                <w:szCs w:val="24"/>
              </w:rPr>
              <w:t>[267]</w:t>
            </w:r>
          </w:p>
        </w:tc>
      </w:tr>
      <w:bookmarkEnd w:id="11"/>
    </w:tbl>
    <w:p w14:paraId="09DD8591" w14:textId="77777777" w:rsidR="00110D5A" w:rsidRDefault="00110D5A">
      <w:pPr>
        <w:spacing w:line="240" w:lineRule="auto"/>
        <w:jc w:val="left"/>
        <w:rPr>
          <w:b/>
          <w:sz w:val="28"/>
          <w:szCs w:val="28"/>
        </w:rPr>
      </w:pPr>
      <w:r>
        <w:rPr>
          <w:sz w:val="28"/>
          <w:szCs w:val="28"/>
        </w:rPr>
        <w:br w:type="page"/>
      </w:r>
    </w:p>
    <w:p w14:paraId="27B949A1" w14:textId="5CB7950A" w:rsidR="00484F6D" w:rsidRPr="00045BB7" w:rsidRDefault="00484F6D" w:rsidP="00045BB7">
      <w:pPr>
        <w:pStyle w:val="NormalHeadings"/>
        <w:spacing w:line="480" w:lineRule="auto"/>
        <w:jc w:val="center"/>
        <w:rPr>
          <w:sz w:val="28"/>
          <w:szCs w:val="28"/>
        </w:rPr>
      </w:pPr>
      <w:r w:rsidRPr="00045BB7">
        <w:rPr>
          <w:sz w:val="28"/>
          <w:szCs w:val="28"/>
        </w:rPr>
        <w:lastRenderedPageBreak/>
        <w:t xml:space="preserve">REASONS FOR </w:t>
      </w:r>
      <w:r w:rsidR="00EE1533">
        <w:rPr>
          <w:sz w:val="28"/>
          <w:szCs w:val="28"/>
        </w:rPr>
        <w:t>DETERMINATION</w:t>
      </w:r>
    </w:p>
    <w:p w14:paraId="0A4A78F6" w14:textId="77777777" w:rsidR="00694BEB" w:rsidRDefault="002011AB" w:rsidP="005E0510">
      <w:pPr>
        <w:pStyle w:val="NormalHeadings"/>
        <w:spacing w:line="360" w:lineRule="auto"/>
        <w:jc w:val="left"/>
        <w:rPr>
          <w:sz w:val="26"/>
          <w:szCs w:val="26"/>
        </w:rPr>
      </w:pPr>
      <w:r>
        <w:rPr>
          <w:sz w:val="26"/>
          <w:szCs w:val="26"/>
        </w:rPr>
        <w:t>TRIBUNAL</w:t>
      </w:r>
      <w:r w:rsidR="00EE1533">
        <w:rPr>
          <w:sz w:val="26"/>
          <w:szCs w:val="26"/>
        </w:rPr>
        <w:t>:</w:t>
      </w:r>
    </w:p>
    <w:p w14:paraId="660F362E" w14:textId="77777777" w:rsidR="00EE1533" w:rsidRPr="00045BB7" w:rsidRDefault="00EE1533" w:rsidP="009F17C2">
      <w:pPr>
        <w:pStyle w:val="Heading1"/>
        <w:numPr>
          <w:ilvl w:val="0"/>
          <w:numId w:val="29"/>
        </w:numPr>
        <w:ind w:hanging="720"/>
      </w:pPr>
      <w:bookmarkStart w:id="12" w:name="_Ref78900475"/>
      <w:r>
        <w:t>Introduction</w:t>
      </w:r>
      <w:bookmarkEnd w:id="12"/>
    </w:p>
    <w:p w14:paraId="709E611E" w14:textId="77777777" w:rsidR="006C5129" w:rsidRDefault="00895918" w:rsidP="006F3F59">
      <w:pPr>
        <w:pStyle w:val="ParaNumbering"/>
        <w:tabs>
          <w:tab w:val="clear" w:pos="1582"/>
          <w:tab w:val="num" w:pos="720"/>
        </w:tabs>
        <w:rPr>
          <w:lang w:eastAsia="en-AU"/>
        </w:rPr>
      </w:pPr>
      <w:r>
        <w:rPr>
          <w:lang w:eastAsia="en-AU"/>
        </w:rPr>
        <w:t>The Port</w:t>
      </w:r>
      <w:r w:rsidR="00412876">
        <w:rPr>
          <w:lang w:eastAsia="en-AU"/>
        </w:rPr>
        <w:t xml:space="preserve"> of Newcastle </w:t>
      </w:r>
      <w:r w:rsidR="00000D3C">
        <w:rPr>
          <w:lang w:eastAsia="en-AU"/>
        </w:rPr>
        <w:t>(</w:t>
      </w:r>
      <w:r w:rsidR="00000D3C" w:rsidRPr="00000D3C">
        <w:rPr>
          <w:b/>
          <w:lang w:eastAsia="en-AU"/>
        </w:rPr>
        <w:t>Port</w:t>
      </w:r>
      <w:r w:rsidR="00000D3C">
        <w:rPr>
          <w:lang w:eastAsia="en-AU"/>
        </w:rPr>
        <w:t xml:space="preserve">) is one of the larger coal export ports in the world, with coal extracted from the Hunter Valley being shipped through the Port. </w:t>
      </w:r>
      <w:r w:rsidR="006C5129">
        <w:rPr>
          <w:lang w:eastAsia="en-AU"/>
        </w:rPr>
        <w:t xml:space="preserve">The </w:t>
      </w:r>
      <w:r w:rsidR="006C5129" w:rsidRPr="00402BC3">
        <w:rPr>
          <w:lang w:eastAsia="en-AU"/>
        </w:rPr>
        <w:t xml:space="preserve">Port </w:t>
      </w:r>
      <w:r w:rsidR="006C5129">
        <w:rPr>
          <w:lang w:eastAsia="en-AU"/>
        </w:rPr>
        <w:t>can be described a</w:t>
      </w:r>
      <w:r w:rsidR="006C5129" w:rsidRPr="00402BC3">
        <w:rPr>
          <w:lang w:eastAsia="en-AU"/>
        </w:rPr>
        <w:t>s a bottleneck</w:t>
      </w:r>
      <w:r w:rsidR="006C5129">
        <w:rPr>
          <w:lang w:eastAsia="en-AU"/>
        </w:rPr>
        <w:t xml:space="preserve"> facility as coal producers in the</w:t>
      </w:r>
      <w:r w:rsidR="006C5129" w:rsidRPr="00402BC3">
        <w:rPr>
          <w:lang w:eastAsia="en-AU"/>
        </w:rPr>
        <w:t xml:space="preserve"> Hunter Valley have no practicable alternative to the Port for the export of their coal.</w:t>
      </w:r>
    </w:p>
    <w:p w14:paraId="0700B702" w14:textId="77777777" w:rsidR="00895918" w:rsidRDefault="00000D3C" w:rsidP="006F3F59">
      <w:pPr>
        <w:pStyle w:val="ParaNumbering"/>
        <w:tabs>
          <w:tab w:val="clear" w:pos="1582"/>
          <w:tab w:val="num" w:pos="720"/>
        </w:tabs>
        <w:rPr>
          <w:lang w:eastAsia="en-AU"/>
        </w:rPr>
      </w:pPr>
      <w:r>
        <w:rPr>
          <w:lang w:eastAsia="en-AU"/>
        </w:rPr>
        <w:t>I</w:t>
      </w:r>
      <w:r w:rsidR="00412876">
        <w:rPr>
          <w:lang w:eastAsia="en-AU"/>
        </w:rPr>
        <w:t>n May 2014</w:t>
      </w:r>
      <w:r>
        <w:rPr>
          <w:lang w:eastAsia="en-AU"/>
        </w:rPr>
        <w:t>, the Port was privatised</w:t>
      </w:r>
      <w:r w:rsidR="00412876">
        <w:rPr>
          <w:lang w:eastAsia="en-AU"/>
        </w:rPr>
        <w:t xml:space="preserve"> by the grant of a 98 year lease to </w:t>
      </w:r>
      <w:r w:rsidR="00412876" w:rsidRPr="00990672">
        <w:rPr>
          <w:lang w:eastAsia="en-AU"/>
        </w:rPr>
        <w:t xml:space="preserve">The Infrastructure Fund </w:t>
      </w:r>
      <w:r>
        <w:rPr>
          <w:lang w:eastAsia="en-AU"/>
        </w:rPr>
        <w:t>(</w:t>
      </w:r>
      <w:r w:rsidR="00412876">
        <w:rPr>
          <w:lang w:eastAsia="en-AU"/>
        </w:rPr>
        <w:t>managed by Hastings Funds Management</w:t>
      </w:r>
      <w:r>
        <w:rPr>
          <w:lang w:eastAsia="en-AU"/>
        </w:rPr>
        <w:t>)</w:t>
      </w:r>
      <w:r w:rsidR="00412876">
        <w:rPr>
          <w:lang w:eastAsia="en-AU"/>
        </w:rPr>
        <w:t xml:space="preserve"> and China Merchants Group</w:t>
      </w:r>
      <w:r>
        <w:rPr>
          <w:lang w:eastAsia="en-AU"/>
        </w:rPr>
        <w:t xml:space="preserve"> as joint venturers</w:t>
      </w:r>
      <w:r w:rsidR="00412876">
        <w:rPr>
          <w:lang w:eastAsia="en-AU"/>
        </w:rPr>
        <w:t xml:space="preserve">. </w:t>
      </w:r>
      <w:r>
        <w:rPr>
          <w:lang w:eastAsia="en-AU"/>
        </w:rPr>
        <w:t xml:space="preserve">The Port is now operated by Port of </w:t>
      </w:r>
      <w:r w:rsidRPr="00D063CB">
        <w:rPr>
          <w:lang w:eastAsia="en-AU"/>
        </w:rPr>
        <w:t>Newcastle Operations Pty Ltd (</w:t>
      </w:r>
      <w:r w:rsidRPr="00D063CB">
        <w:rPr>
          <w:b/>
          <w:lang w:eastAsia="en-AU"/>
        </w:rPr>
        <w:t>PNO</w:t>
      </w:r>
      <w:r w:rsidRPr="00D063CB">
        <w:rPr>
          <w:lang w:eastAsia="en-AU"/>
        </w:rPr>
        <w:t>)</w:t>
      </w:r>
      <w:r w:rsidR="006C5129">
        <w:rPr>
          <w:lang w:eastAsia="en-AU"/>
        </w:rPr>
        <w:t>, a company owned by the joint venturers</w:t>
      </w:r>
      <w:r>
        <w:rPr>
          <w:lang w:eastAsia="en-AU"/>
        </w:rPr>
        <w:t xml:space="preserve">. </w:t>
      </w:r>
      <w:r w:rsidR="00412876">
        <w:rPr>
          <w:lang w:eastAsia="en-AU"/>
        </w:rPr>
        <w:t xml:space="preserve">As the operator of the Port, PNO controls the terms and conditions of access to the Port including, relevantly, the shipping channels </w:t>
      </w:r>
      <w:r w:rsidR="00412876" w:rsidRPr="00D063CB">
        <w:rPr>
          <w:lang w:eastAsia="en-AU"/>
        </w:rPr>
        <w:t>and berthing facilities required for the export of coal from the Port</w:t>
      </w:r>
      <w:r w:rsidR="00412876">
        <w:rPr>
          <w:lang w:eastAsia="en-AU"/>
        </w:rPr>
        <w:t>.</w:t>
      </w:r>
    </w:p>
    <w:p w14:paraId="41798BFD" w14:textId="77777777" w:rsidR="006F3F59" w:rsidRDefault="006F3F59" w:rsidP="006F3F59">
      <w:pPr>
        <w:pStyle w:val="ParaNumbering"/>
        <w:tabs>
          <w:tab w:val="clear" w:pos="1582"/>
          <w:tab w:val="num" w:pos="720"/>
        </w:tabs>
        <w:rPr>
          <w:lang w:eastAsia="en-AU"/>
        </w:rPr>
      </w:pPr>
      <w:r w:rsidRPr="005E7F3C">
        <w:rPr>
          <w:lang w:eastAsia="en-AU"/>
        </w:rPr>
        <w:t xml:space="preserve">On 23 July 2020, </w:t>
      </w:r>
      <w:r>
        <w:rPr>
          <w:lang w:eastAsia="en-AU"/>
        </w:rPr>
        <w:t>the New South Wales Minerals Council (</w:t>
      </w:r>
      <w:r w:rsidRPr="00051898">
        <w:rPr>
          <w:b/>
          <w:lang w:eastAsia="en-AU"/>
        </w:rPr>
        <w:t>NSWMC</w:t>
      </w:r>
      <w:r>
        <w:rPr>
          <w:lang w:eastAsia="en-AU"/>
        </w:rPr>
        <w:t xml:space="preserve">) </w:t>
      </w:r>
      <w:r w:rsidRPr="005E7F3C">
        <w:rPr>
          <w:lang w:eastAsia="en-AU"/>
        </w:rPr>
        <w:t>applied to the National Competition Council (</w:t>
      </w:r>
      <w:r w:rsidRPr="005E7F3C">
        <w:rPr>
          <w:b/>
          <w:lang w:eastAsia="en-AU"/>
        </w:rPr>
        <w:t>NCC</w:t>
      </w:r>
      <w:r w:rsidRPr="005E7F3C">
        <w:rPr>
          <w:lang w:eastAsia="en-AU"/>
        </w:rPr>
        <w:t xml:space="preserve">) under s 44F(1) of the </w:t>
      </w:r>
      <w:r w:rsidRPr="00D063CB">
        <w:rPr>
          <w:i/>
          <w:lang w:eastAsia="en-AU"/>
        </w:rPr>
        <w:t>Competition and Consumer Act 2010</w:t>
      </w:r>
      <w:r w:rsidRPr="00D063CB">
        <w:rPr>
          <w:lang w:eastAsia="en-AU"/>
        </w:rPr>
        <w:t xml:space="preserve"> </w:t>
      </w:r>
      <w:r>
        <w:rPr>
          <w:lang w:eastAsia="en-AU"/>
        </w:rPr>
        <w:t>(</w:t>
      </w:r>
      <w:proofErr w:type="spellStart"/>
      <w:r>
        <w:rPr>
          <w:lang w:eastAsia="en-AU"/>
        </w:rPr>
        <w:t>Cth</w:t>
      </w:r>
      <w:proofErr w:type="spellEnd"/>
      <w:r>
        <w:rPr>
          <w:lang w:eastAsia="en-AU"/>
        </w:rPr>
        <w:t xml:space="preserve">) </w:t>
      </w:r>
      <w:r w:rsidRPr="00D063CB">
        <w:rPr>
          <w:lang w:eastAsia="en-AU"/>
        </w:rPr>
        <w:t>(</w:t>
      </w:r>
      <w:r w:rsidRPr="00D063CB">
        <w:rPr>
          <w:b/>
          <w:lang w:eastAsia="en-AU"/>
        </w:rPr>
        <w:t>Act</w:t>
      </w:r>
      <w:r>
        <w:rPr>
          <w:lang w:eastAsia="en-AU"/>
        </w:rPr>
        <w:t>)</w:t>
      </w:r>
      <w:r w:rsidRPr="00D063CB">
        <w:rPr>
          <w:lang w:eastAsia="en-AU"/>
        </w:rPr>
        <w:t xml:space="preserve"> </w:t>
      </w:r>
      <w:r>
        <w:rPr>
          <w:lang w:eastAsia="en-AU"/>
        </w:rPr>
        <w:t xml:space="preserve">asking the NCC to recommend that a </w:t>
      </w:r>
      <w:r w:rsidRPr="00D063CB">
        <w:rPr>
          <w:lang w:eastAsia="en-AU"/>
        </w:rPr>
        <w:t xml:space="preserve">service </w:t>
      </w:r>
      <w:r>
        <w:rPr>
          <w:lang w:eastAsia="en-AU"/>
        </w:rPr>
        <w:t xml:space="preserve">at the Port </w:t>
      </w:r>
      <w:r w:rsidRPr="00D063CB">
        <w:rPr>
          <w:lang w:eastAsia="en-AU"/>
        </w:rPr>
        <w:t xml:space="preserve">provided by </w:t>
      </w:r>
      <w:r w:rsidR="006C5129">
        <w:rPr>
          <w:lang w:eastAsia="en-AU"/>
        </w:rPr>
        <w:t xml:space="preserve">PNO </w:t>
      </w:r>
      <w:r>
        <w:rPr>
          <w:lang w:eastAsia="en-AU"/>
        </w:rPr>
        <w:t>be declared</w:t>
      </w:r>
      <w:r w:rsidRPr="005E7F3C">
        <w:rPr>
          <w:lang w:eastAsia="en-AU"/>
        </w:rPr>
        <w:t>.</w:t>
      </w:r>
      <w:r>
        <w:rPr>
          <w:lang w:eastAsia="en-AU"/>
        </w:rPr>
        <w:t xml:space="preserve"> </w:t>
      </w:r>
      <w:r w:rsidRPr="00D063CB">
        <w:rPr>
          <w:lang w:eastAsia="en-AU"/>
        </w:rPr>
        <w:t>The service comprises the provision of the right to access and use all the shipping</w:t>
      </w:r>
      <w:r>
        <w:rPr>
          <w:lang w:eastAsia="en-AU"/>
        </w:rPr>
        <w:t xml:space="preserve"> </w:t>
      </w:r>
      <w:r w:rsidRPr="00D063CB">
        <w:rPr>
          <w:lang w:eastAsia="en-AU"/>
        </w:rPr>
        <w:t xml:space="preserve">channels and berthing facilities required for the export of coal from the Port, by </w:t>
      </w:r>
      <w:r>
        <w:rPr>
          <w:lang w:eastAsia="en-AU"/>
        </w:rPr>
        <w:t>virtue o</w:t>
      </w:r>
      <w:r w:rsidRPr="00D063CB">
        <w:rPr>
          <w:lang w:eastAsia="en-AU"/>
        </w:rPr>
        <w:t>f which vessels may enter a Port precinct and load and unload at relevant terminals</w:t>
      </w:r>
      <w:r>
        <w:rPr>
          <w:lang w:eastAsia="en-AU"/>
        </w:rPr>
        <w:t xml:space="preserve"> </w:t>
      </w:r>
      <w:r w:rsidRPr="00D063CB">
        <w:rPr>
          <w:lang w:eastAsia="en-AU"/>
        </w:rPr>
        <w:t>located within the Port precinct, and then depart the Port precinct (</w:t>
      </w:r>
      <w:r w:rsidR="00294718">
        <w:rPr>
          <w:lang w:eastAsia="en-AU"/>
        </w:rPr>
        <w:t xml:space="preserve">which we will refer to as the </w:t>
      </w:r>
      <w:r w:rsidR="00294718" w:rsidRPr="00294718">
        <w:rPr>
          <w:b/>
          <w:lang w:eastAsia="en-AU"/>
        </w:rPr>
        <w:t>shipping channel service</w:t>
      </w:r>
      <w:r w:rsidR="00294718">
        <w:rPr>
          <w:lang w:eastAsia="en-AU"/>
        </w:rPr>
        <w:t xml:space="preserve"> for convenience</w:t>
      </w:r>
      <w:r w:rsidRPr="00D063CB">
        <w:rPr>
          <w:lang w:eastAsia="en-AU"/>
        </w:rPr>
        <w:t>).</w:t>
      </w:r>
    </w:p>
    <w:p w14:paraId="6EFC2E97" w14:textId="77777777" w:rsidR="006F3F59" w:rsidRDefault="006F3F59" w:rsidP="006F3F59">
      <w:pPr>
        <w:pStyle w:val="ParaNumbering"/>
        <w:tabs>
          <w:tab w:val="clear" w:pos="1582"/>
          <w:tab w:val="num" w:pos="720"/>
        </w:tabs>
        <w:rPr>
          <w:lang w:eastAsia="en-AU"/>
        </w:rPr>
      </w:pPr>
      <w:r w:rsidRPr="007D66A6">
        <w:rPr>
          <w:lang w:eastAsia="en-AU"/>
        </w:rPr>
        <w:t xml:space="preserve">On 18 December 2020, the NCC provided its final recommendation </w:t>
      </w:r>
      <w:r>
        <w:rPr>
          <w:lang w:eastAsia="en-AU"/>
        </w:rPr>
        <w:t>(</w:t>
      </w:r>
      <w:r w:rsidR="00C02833" w:rsidRPr="00C02833">
        <w:rPr>
          <w:b/>
          <w:lang w:eastAsia="en-AU"/>
        </w:rPr>
        <w:t xml:space="preserve">NCC </w:t>
      </w:r>
      <w:r w:rsidRPr="006F3F59">
        <w:rPr>
          <w:b/>
          <w:lang w:eastAsia="en-AU"/>
        </w:rPr>
        <w:t>Recommendation</w:t>
      </w:r>
      <w:r>
        <w:rPr>
          <w:lang w:eastAsia="en-AU"/>
        </w:rPr>
        <w:t xml:space="preserve">) </w:t>
      </w:r>
      <w:r w:rsidRPr="007D66A6">
        <w:rPr>
          <w:lang w:eastAsia="en-AU"/>
        </w:rPr>
        <w:t xml:space="preserve">to the </w:t>
      </w:r>
      <w:r>
        <w:rPr>
          <w:lang w:eastAsia="en-AU"/>
        </w:rPr>
        <w:t>designated Minister, the Hon</w:t>
      </w:r>
      <w:r w:rsidRPr="00D063CB">
        <w:rPr>
          <w:lang w:eastAsia="en-AU"/>
        </w:rPr>
        <w:t xml:space="preserve"> Josh </w:t>
      </w:r>
      <w:proofErr w:type="spellStart"/>
      <w:r w:rsidRPr="00D063CB">
        <w:rPr>
          <w:lang w:eastAsia="en-AU"/>
        </w:rPr>
        <w:t>Frydenberg</w:t>
      </w:r>
      <w:proofErr w:type="spellEnd"/>
      <w:r w:rsidRPr="00D063CB">
        <w:rPr>
          <w:lang w:eastAsia="en-AU"/>
        </w:rPr>
        <w:t xml:space="preserve"> MP, Treasurer of the</w:t>
      </w:r>
      <w:r>
        <w:rPr>
          <w:lang w:eastAsia="en-AU"/>
        </w:rPr>
        <w:t xml:space="preserve"> </w:t>
      </w:r>
      <w:r w:rsidRPr="00D063CB">
        <w:rPr>
          <w:lang w:eastAsia="en-AU"/>
        </w:rPr>
        <w:t>Commonwealth of Australia</w:t>
      </w:r>
      <w:r>
        <w:rPr>
          <w:lang w:eastAsia="en-AU"/>
        </w:rPr>
        <w:t xml:space="preserve"> (</w:t>
      </w:r>
      <w:r w:rsidRPr="007D66A6">
        <w:rPr>
          <w:b/>
          <w:lang w:eastAsia="en-AU"/>
        </w:rPr>
        <w:t>Treasurer</w:t>
      </w:r>
      <w:r>
        <w:rPr>
          <w:lang w:eastAsia="en-AU"/>
        </w:rPr>
        <w:t>)</w:t>
      </w:r>
      <w:r w:rsidRPr="007D66A6">
        <w:rPr>
          <w:lang w:eastAsia="en-AU"/>
        </w:rPr>
        <w:t xml:space="preserve">. The NCC recommended that the </w:t>
      </w:r>
      <w:r w:rsidR="00294718">
        <w:rPr>
          <w:lang w:eastAsia="en-AU"/>
        </w:rPr>
        <w:t>shipping channel service</w:t>
      </w:r>
      <w:r w:rsidRPr="007D66A6">
        <w:rPr>
          <w:lang w:eastAsia="en-AU"/>
        </w:rPr>
        <w:t xml:space="preserve"> not be declared on the basis that the criteria in </w:t>
      </w:r>
      <w:r>
        <w:rPr>
          <w:lang w:eastAsia="en-AU"/>
        </w:rPr>
        <w:t>paragraphs</w:t>
      </w:r>
      <w:r w:rsidRPr="007D66A6">
        <w:rPr>
          <w:lang w:eastAsia="en-AU"/>
        </w:rPr>
        <w:t xml:space="preserve"> 44CA(1)(a) and (d) </w:t>
      </w:r>
      <w:r>
        <w:rPr>
          <w:lang w:eastAsia="en-AU"/>
        </w:rPr>
        <w:t xml:space="preserve">of the Act </w:t>
      </w:r>
      <w:r w:rsidRPr="007D66A6">
        <w:rPr>
          <w:lang w:eastAsia="en-AU"/>
        </w:rPr>
        <w:t>had not been satisfied</w:t>
      </w:r>
      <w:r>
        <w:rPr>
          <w:lang w:eastAsia="en-AU"/>
        </w:rPr>
        <w:t>.</w:t>
      </w:r>
      <w:r w:rsidR="006C5129">
        <w:rPr>
          <w:lang w:eastAsia="en-AU"/>
        </w:rPr>
        <w:t xml:space="preserve"> Those criteria are as follows:</w:t>
      </w:r>
    </w:p>
    <w:p w14:paraId="5B945436" w14:textId="77777777" w:rsidR="006C5129" w:rsidRDefault="006C5129" w:rsidP="006C5129">
      <w:pPr>
        <w:pStyle w:val="Quote1"/>
        <w:tabs>
          <w:tab w:val="left" w:pos="1418"/>
        </w:tabs>
        <w:ind w:left="1418" w:hanging="681"/>
        <w:rPr>
          <w:lang w:eastAsia="en-AU"/>
        </w:rPr>
      </w:pPr>
      <w:r w:rsidRPr="006C5129">
        <w:rPr>
          <w:lang w:eastAsia="en-AU"/>
        </w:rPr>
        <w:t>(a</w:t>
      </w:r>
      <w:r>
        <w:rPr>
          <w:lang w:eastAsia="en-AU"/>
        </w:rPr>
        <w:t xml:space="preserve">) </w:t>
      </w:r>
      <w:r>
        <w:rPr>
          <w:lang w:eastAsia="en-AU"/>
        </w:rPr>
        <w:tab/>
      </w:r>
      <w:r w:rsidRPr="006C5129">
        <w:rPr>
          <w:lang w:eastAsia="en-AU"/>
        </w:rPr>
        <w:t>that access (or increased access) to the service, on reasonable terms and conditions, as a result of a declaration of the service would promote a material increase in competition in at least one market (whether or not in Australia), other than the market for the service;</w:t>
      </w:r>
    </w:p>
    <w:p w14:paraId="646F711C" w14:textId="77777777" w:rsidR="006C5129" w:rsidRDefault="006C5129" w:rsidP="004325DD">
      <w:pPr>
        <w:pStyle w:val="Quote1"/>
        <w:tabs>
          <w:tab w:val="left" w:pos="1418"/>
        </w:tabs>
        <w:ind w:left="1418" w:hanging="681"/>
        <w:rPr>
          <w:lang w:eastAsia="en-AU"/>
        </w:rPr>
      </w:pPr>
      <w:r w:rsidRPr="006C5129">
        <w:rPr>
          <w:lang w:eastAsia="en-AU"/>
        </w:rPr>
        <w:t xml:space="preserve">(d) </w:t>
      </w:r>
      <w:r w:rsidRPr="006C5129">
        <w:rPr>
          <w:lang w:eastAsia="en-AU"/>
        </w:rPr>
        <w:tab/>
        <w:t xml:space="preserve">that access (or increased access) to the service, on reasonable terms and conditions, as a result of a declaration of the service would promote the public </w:t>
      </w:r>
      <w:r w:rsidRPr="006C5129">
        <w:rPr>
          <w:lang w:eastAsia="en-AU"/>
        </w:rPr>
        <w:lastRenderedPageBreak/>
        <w:t>interest.</w:t>
      </w:r>
    </w:p>
    <w:p w14:paraId="225322AE" w14:textId="77777777" w:rsidR="006F3F59" w:rsidRPr="007D66A6" w:rsidRDefault="006F3F59" w:rsidP="006F3F59">
      <w:pPr>
        <w:pStyle w:val="ParaNumbering"/>
        <w:tabs>
          <w:tab w:val="clear" w:pos="1582"/>
          <w:tab w:val="num" w:pos="720"/>
        </w:tabs>
        <w:rPr>
          <w:lang w:eastAsia="en-AU"/>
        </w:rPr>
      </w:pPr>
      <w:r w:rsidRPr="007D66A6">
        <w:rPr>
          <w:lang w:eastAsia="en-AU"/>
        </w:rPr>
        <w:t xml:space="preserve">On 16 February 2021, the Treasurer decided </w:t>
      </w:r>
      <w:r w:rsidRPr="00D063CB">
        <w:rPr>
          <w:lang w:eastAsia="en-AU"/>
        </w:rPr>
        <w:t>under s 44H(1) of the Act</w:t>
      </w:r>
      <w:r w:rsidRPr="007D66A6">
        <w:rPr>
          <w:lang w:eastAsia="en-AU"/>
        </w:rPr>
        <w:t xml:space="preserve"> not to declare the </w:t>
      </w:r>
      <w:r w:rsidR="00294718">
        <w:rPr>
          <w:lang w:eastAsia="en-AU"/>
        </w:rPr>
        <w:t>shipping channel service</w:t>
      </w:r>
      <w:r>
        <w:rPr>
          <w:lang w:eastAsia="en-AU"/>
        </w:rPr>
        <w:t xml:space="preserve"> on the same basis, namely that </w:t>
      </w:r>
      <w:r w:rsidRPr="007D66A6">
        <w:rPr>
          <w:lang w:eastAsia="en-AU"/>
        </w:rPr>
        <w:t xml:space="preserve">the criteria in </w:t>
      </w:r>
      <w:r>
        <w:rPr>
          <w:lang w:eastAsia="en-AU"/>
        </w:rPr>
        <w:t>paragraphs</w:t>
      </w:r>
      <w:r w:rsidRPr="007D66A6">
        <w:rPr>
          <w:lang w:eastAsia="en-AU"/>
        </w:rPr>
        <w:t xml:space="preserve"> 44CA(1)(a) and (d) had not been satisfied</w:t>
      </w:r>
      <w:r w:rsidR="00CF3C70">
        <w:rPr>
          <w:lang w:eastAsia="en-AU"/>
        </w:rPr>
        <w:t>. The Treasurer’s decision and reasons for the decision were published the same day in accordance with s 44HA</w:t>
      </w:r>
      <w:r w:rsidR="00C02833">
        <w:rPr>
          <w:lang w:eastAsia="en-AU"/>
        </w:rPr>
        <w:t xml:space="preserve"> (</w:t>
      </w:r>
      <w:r w:rsidR="00C02833" w:rsidRPr="00C02833">
        <w:rPr>
          <w:b/>
          <w:lang w:eastAsia="en-AU"/>
        </w:rPr>
        <w:t xml:space="preserve">Treasurer’s </w:t>
      </w:r>
      <w:r w:rsidR="00CF3C70">
        <w:rPr>
          <w:b/>
          <w:lang w:eastAsia="en-AU"/>
        </w:rPr>
        <w:t>Reasons</w:t>
      </w:r>
      <w:r w:rsidR="00C02833">
        <w:rPr>
          <w:lang w:eastAsia="en-AU"/>
        </w:rPr>
        <w:t>)</w:t>
      </w:r>
      <w:r>
        <w:rPr>
          <w:lang w:eastAsia="en-AU"/>
        </w:rPr>
        <w:t>.</w:t>
      </w:r>
      <w:r w:rsidRPr="007D66A6">
        <w:rPr>
          <w:lang w:eastAsia="en-AU"/>
        </w:rPr>
        <w:t xml:space="preserve"> </w:t>
      </w:r>
    </w:p>
    <w:p w14:paraId="6A662914" w14:textId="77777777" w:rsidR="006F3F59" w:rsidRDefault="006F3F59" w:rsidP="006F3F59">
      <w:pPr>
        <w:pStyle w:val="ParaNumbering"/>
        <w:tabs>
          <w:tab w:val="num" w:pos="720"/>
        </w:tabs>
        <w:rPr>
          <w:lang w:eastAsia="en-AU"/>
        </w:rPr>
      </w:pPr>
      <w:r>
        <w:rPr>
          <w:lang w:eastAsia="en-AU"/>
        </w:rPr>
        <w:t xml:space="preserve">In this proceeding, </w:t>
      </w:r>
      <w:r w:rsidRPr="005E7F3C">
        <w:rPr>
          <w:lang w:eastAsia="en-AU"/>
        </w:rPr>
        <w:t>NSWMC</w:t>
      </w:r>
      <w:r>
        <w:rPr>
          <w:lang w:eastAsia="en-AU"/>
        </w:rPr>
        <w:t xml:space="preserve"> has applied to the Tribunal </w:t>
      </w:r>
      <w:r w:rsidRPr="00D063CB">
        <w:rPr>
          <w:lang w:eastAsia="en-AU"/>
        </w:rPr>
        <w:t xml:space="preserve">under s 44K(2) of the </w:t>
      </w:r>
      <w:r w:rsidRPr="005E7F3C">
        <w:rPr>
          <w:lang w:eastAsia="en-AU"/>
        </w:rPr>
        <w:t>Act</w:t>
      </w:r>
      <w:r w:rsidRPr="00D063CB">
        <w:rPr>
          <w:lang w:eastAsia="en-AU"/>
        </w:rPr>
        <w:t xml:space="preserve"> for a review of the </w:t>
      </w:r>
      <w:r>
        <w:rPr>
          <w:lang w:eastAsia="en-AU"/>
        </w:rPr>
        <w:t xml:space="preserve">Treasurer’s </w:t>
      </w:r>
      <w:r w:rsidR="00CF3C70">
        <w:rPr>
          <w:lang w:eastAsia="en-AU"/>
        </w:rPr>
        <w:t>d</w:t>
      </w:r>
      <w:r>
        <w:rPr>
          <w:lang w:eastAsia="en-AU"/>
        </w:rPr>
        <w:t>ecision.</w:t>
      </w:r>
    </w:p>
    <w:p w14:paraId="6C42C31F" w14:textId="77777777" w:rsidR="001A621E" w:rsidRDefault="001A621E" w:rsidP="00271EA6">
      <w:pPr>
        <w:pStyle w:val="ParaNumbering"/>
        <w:tabs>
          <w:tab w:val="num" w:pos="720"/>
        </w:tabs>
        <w:rPr>
          <w:lang w:eastAsia="en-AU"/>
        </w:rPr>
      </w:pPr>
      <w:r>
        <w:rPr>
          <w:lang w:eastAsia="en-AU"/>
        </w:rPr>
        <w:t xml:space="preserve">The principal </w:t>
      </w:r>
      <w:r w:rsidR="00B63854">
        <w:rPr>
          <w:lang w:eastAsia="en-AU"/>
        </w:rPr>
        <w:t>contention advanced</w:t>
      </w:r>
      <w:r>
        <w:rPr>
          <w:lang w:eastAsia="en-AU"/>
        </w:rPr>
        <w:t xml:space="preserve"> by NSWMC </w:t>
      </w:r>
      <w:r w:rsidR="00B63854">
        <w:rPr>
          <w:lang w:eastAsia="en-AU"/>
        </w:rPr>
        <w:t xml:space="preserve">to the NCC and maintained </w:t>
      </w:r>
      <w:r>
        <w:rPr>
          <w:lang w:eastAsia="en-AU"/>
        </w:rPr>
        <w:t xml:space="preserve">in this review is that, without declaration of the shipping channel service, </w:t>
      </w:r>
      <w:r w:rsidR="00D56262">
        <w:rPr>
          <w:lang w:eastAsia="en-AU"/>
        </w:rPr>
        <w:t xml:space="preserve">companies considering investments </w:t>
      </w:r>
      <w:r>
        <w:rPr>
          <w:lang w:eastAsia="en-AU"/>
        </w:rPr>
        <w:t xml:space="preserve">in the coal tenements market </w:t>
      </w:r>
      <w:r w:rsidR="00D56262">
        <w:rPr>
          <w:lang w:eastAsia="en-AU"/>
        </w:rPr>
        <w:t xml:space="preserve">in the Hunter Valley region </w:t>
      </w:r>
      <w:r>
        <w:rPr>
          <w:lang w:eastAsia="en-AU"/>
        </w:rPr>
        <w:t xml:space="preserve">will face uncertainty with respect to future prices to be charged by PNO for the shipping channel service. The uncertainty </w:t>
      </w:r>
      <w:r w:rsidR="006862E9">
        <w:rPr>
          <w:lang w:eastAsia="en-AU"/>
        </w:rPr>
        <w:t>will increase</w:t>
      </w:r>
      <w:r w:rsidR="006862E9" w:rsidRPr="00ED3FD8">
        <w:rPr>
          <w:lang w:eastAsia="en-AU"/>
        </w:rPr>
        <w:t xml:space="preserve"> the risk associated with making investments in tenements, as</w:t>
      </w:r>
      <w:r w:rsidR="006862E9">
        <w:rPr>
          <w:lang w:eastAsia="en-AU"/>
        </w:rPr>
        <w:t xml:space="preserve"> </w:t>
      </w:r>
      <w:r w:rsidR="006862E9" w:rsidRPr="00ED3FD8">
        <w:rPr>
          <w:lang w:eastAsia="en-AU"/>
        </w:rPr>
        <w:t>compared to access on reasonable terms and</w:t>
      </w:r>
      <w:r w:rsidR="006862E9">
        <w:rPr>
          <w:lang w:eastAsia="en-AU"/>
        </w:rPr>
        <w:t xml:space="preserve"> conditions</w:t>
      </w:r>
      <w:r w:rsidR="006862E9" w:rsidRPr="00ED3FD8">
        <w:rPr>
          <w:lang w:eastAsia="en-AU"/>
        </w:rPr>
        <w:t xml:space="preserve"> as a result of declaration</w:t>
      </w:r>
      <w:r w:rsidR="006862E9">
        <w:rPr>
          <w:lang w:eastAsia="en-AU"/>
        </w:rPr>
        <w:t>.</w:t>
      </w:r>
      <w:r w:rsidR="006862E9" w:rsidRPr="00ED3FD8">
        <w:t xml:space="preserve"> </w:t>
      </w:r>
      <w:r w:rsidR="006862E9">
        <w:rPr>
          <w:lang w:eastAsia="en-AU"/>
        </w:rPr>
        <w:t xml:space="preserve">The elevated risk increases the likelihood that investors will delay their investments until the uncertainty is resolved. The uncertainty will therefore </w:t>
      </w:r>
      <w:r>
        <w:rPr>
          <w:lang w:eastAsia="en-AU"/>
        </w:rPr>
        <w:t xml:space="preserve">harm the conditions for competition in the coal tenements market. </w:t>
      </w:r>
      <w:r w:rsidR="00D56262">
        <w:rPr>
          <w:lang w:eastAsia="en-AU"/>
        </w:rPr>
        <w:t>In contrast, access to the shipping channel service on reasonable terms and conditions as a result of declaration will remove</w:t>
      </w:r>
      <w:r w:rsidR="004325DD">
        <w:rPr>
          <w:lang w:eastAsia="en-AU"/>
        </w:rPr>
        <w:t xml:space="preserve"> or reduce</w:t>
      </w:r>
      <w:r w:rsidR="00D56262">
        <w:rPr>
          <w:lang w:eastAsia="en-AU"/>
        </w:rPr>
        <w:t xml:space="preserve"> that uncertainty and thereby promote a material increase in competition.</w:t>
      </w:r>
    </w:p>
    <w:p w14:paraId="58447AD0" w14:textId="77777777" w:rsidR="00B63854" w:rsidRDefault="00895918" w:rsidP="00895918">
      <w:pPr>
        <w:pStyle w:val="ParaNumbering"/>
        <w:rPr>
          <w:lang w:eastAsia="en-AU"/>
        </w:rPr>
      </w:pPr>
      <w:r>
        <w:rPr>
          <w:lang w:eastAsia="en-AU"/>
        </w:rPr>
        <w:t xml:space="preserve">NSWMC’s </w:t>
      </w:r>
      <w:r w:rsidR="00B63854">
        <w:rPr>
          <w:lang w:eastAsia="en-AU"/>
        </w:rPr>
        <w:t>principal contention</w:t>
      </w:r>
      <w:r>
        <w:rPr>
          <w:lang w:eastAsia="en-AU"/>
        </w:rPr>
        <w:t xml:space="preserve"> </w:t>
      </w:r>
      <w:r w:rsidR="00B63854">
        <w:rPr>
          <w:lang w:eastAsia="en-AU"/>
        </w:rPr>
        <w:t xml:space="preserve">to the NCC </w:t>
      </w:r>
      <w:r>
        <w:rPr>
          <w:lang w:eastAsia="en-AU"/>
        </w:rPr>
        <w:t>was not supported by an</w:t>
      </w:r>
      <w:r w:rsidR="00E95E64">
        <w:rPr>
          <w:lang w:eastAsia="en-AU"/>
        </w:rPr>
        <w:t>y</w:t>
      </w:r>
      <w:r>
        <w:rPr>
          <w:lang w:eastAsia="en-AU"/>
        </w:rPr>
        <w:t xml:space="preserve"> empirical evidence </w:t>
      </w:r>
      <w:r w:rsidR="00E95E64">
        <w:rPr>
          <w:lang w:eastAsia="en-AU"/>
        </w:rPr>
        <w:t>concerning the coal tenements market</w:t>
      </w:r>
      <w:r>
        <w:rPr>
          <w:lang w:eastAsia="en-AU"/>
        </w:rPr>
        <w:t xml:space="preserve">. </w:t>
      </w:r>
      <w:r w:rsidR="00E95E64">
        <w:rPr>
          <w:lang w:eastAsia="en-AU"/>
        </w:rPr>
        <w:t xml:space="preserve">NSWMC failed to present </w:t>
      </w:r>
      <w:r w:rsidR="00B63854">
        <w:rPr>
          <w:lang w:eastAsia="en-AU"/>
        </w:rPr>
        <w:t xml:space="preserve">to the NCC </w:t>
      </w:r>
      <w:r w:rsidR="00E95E64">
        <w:rPr>
          <w:lang w:eastAsia="en-AU"/>
        </w:rPr>
        <w:t xml:space="preserve">any financial or quantitative </w:t>
      </w:r>
      <w:r w:rsidRPr="00895918">
        <w:rPr>
          <w:lang w:eastAsia="en-AU"/>
        </w:rPr>
        <w:t xml:space="preserve">evidence </w:t>
      </w:r>
      <w:r w:rsidR="00E95E64">
        <w:rPr>
          <w:lang w:eastAsia="en-AU"/>
        </w:rPr>
        <w:t>concerning</w:t>
      </w:r>
      <w:r w:rsidRPr="00895918">
        <w:rPr>
          <w:lang w:eastAsia="en-AU"/>
        </w:rPr>
        <w:t xml:space="preserve"> the </w:t>
      </w:r>
      <w:r w:rsidR="00E95E64">
        <w:rPr>
          <w:lang w:eastAsia="en-AU"/>
        </w:rPr>
        <w:t xml:space="preserve">coal tenements </w:t>
      </w:r>
      <w:r w:rsidRPr="00895918">
        <w:rPr>
          <w:lang w:eastAsia="en-AU"/>
        </w:rPr>
        <w:t>market conditions, structure</w:t>
      </w:r>
      <w:r w:rsidR="00E95E64">
        <w:rPr>
          <w:lang w:eastAsia="en-AU"/>
        </w:rPr>
        <w:t>,</w:t>
      </w:r>
      <w:r w:rsidRPr="00895918">
        <w:rPr>
          <w:lang w:eastAsia="en-AU"/>
        </w:rPr>
        <w:t xml:space="preserve"> </w:t>
      </w:r>
      <w:r w:rsidR="00E95E64">
        <w:rPr>
          <w:lang w:eastAsia="en-AU"/>
        </w:rPr>
        <w:t xml:space="preserve">prices or </w:t>
      </w:r>
      <w:r w:rsidRPr="00895918">
        <w:rPr>
          <w:lang w:eastAsia="en-AU"/>
        </w:rPr>
        <w:t>expec</w:t>
      </w:r>
      <w:r w:rsidR="00E95E64">
        <w:rPr>
          <w:lang w:eastAsia="en-AU"/>
        </w:rPr>
        <w:t>ted returns. No financial evidence was presented as to</w:t>
      </w:r>
      <w:r w:rsidRPr="00895918">
        <w:rPr>
          <w:lang w:eastAsia="en-AU"/>
        </w:rPr>
        <w:t xml:space="preserve"> how investment decisions are made</w:t>
      </w:r>
      <w:r w:rsidR="00E95E64">
        <w:rPr>
          <w:lang w:eastAsia="en-AU"/>
        </w:rPr>
        <w:t xml:space="preserve"> in the coal tenements market </w:t>
      </w:r>
      <w:r w:rsidRPr="00895918">
        <w:rPr>
          <w:lang w:eastAsia="en-AU"/>
        </w:rPr>
        <w:t xml:space="preserve">and how </w:t>
      </w:r>
      <w:r w:rsidR="00FE4E01">
        <w:rPr>
          <w:lang w:eastAsia="en-AU"/>
        </w:rPr>
        <w:t>P</w:t>
      </w:r>
      <w:r w:rsidRPr="00895918">
        <w:rPr>
          <w:lang w:eastAsia="en-AU"/>
        </w:rPr>
        <w:t>ort charges figure in investment decisions.</w:t>
      </w:r>
      <w:r w:rsidR="00E95E64">
        <w:rPr>
          <w:lang w:eastAsia="en-AU"/>
        </w:rPr>
        <w:t xml:space="preserve"> Instead, NSWMC relied on assertions by a limited number of existing coal mining companies </w:t>
      </w:r>
      <w:r w:rsidR="00B63854">
        <w:rPr>
          <w:lang w:eastAsia="en-AU"/>
        </w:rPr>
        <w:t xml:space="preserve">to the effect that investment decisions would be affected if the shipping channel service were not declared, supported by </w:t>
      </w:r>
      <w:r w:rsidR="004325DD">
        <w:rPr>
          <w:lang w:eastAsia="en-AU"/>
        </w:rPr>
        <w:t xml:space="preserve">a theoretical </w:t>
      </w:r>
      <w:r w:rsidR="00B63854">
        <w:rPr>
          <w:lang w:eastAsia="en-AU"/>
        </w:rPr>
        <w:t xml:space="preserve">economic report </w:t>
      </w:r>
      <w:r w:rsidR="003A6F45">
        <w:rPr>
          <w:lang w:eastAsia="en-AU"/>
        </w:rPr>
        <w:t>from</w:t>
      </w:r>
      <w:r w:rsidR="00B63854">
        <w:rPr>
          <w:lang w:eastAsia="en-AU"/>
        </w:rPr>
        <w:t xml:space="preserve"> Synergy Consulting.</w:t>
      </w:r>
    </w:p>
    <w:p w14:paraId="562875D2" w14:textId="77777777" w:rsidR="008177CA" w:rsidRDefault="00B63854" w:rsidP="00895918">
      <w:pPr>
        <w:pStyle w:val="ParaNumbering"/>
        <w:rPr>
          <w:lang w:eastAsia="en-AU"/>
        </w:rPr>
      </w:pPr>
      <w:r>
        <w:rPr>
          <w:lang w:eastAsia="en-AU"/>
        </w:rPr>
        <w:t>Neither the NCC nor the Treasurer were persuaded by NSWMC’s principal contention</w:t>
      </w:r>
      <w:r w:rsidR="00E6460D">
        <w:rPr>
          <w:lang w:eastAsia="en-AU"/>
        </w:rPr>
        <w:t>.</w:t>
      </w:r>
      <w:r w:rsidR="00412876">
        <w:rPr>
          <w:lang w:eastAsia="en-AU"/>
        </w:rPr>
        <w:t xml:space="preserve"> </w:t>
      </w:r>
      <w:r w:rsidR="008177CA">
        <w:rPr>
          <w:lang w:eastAsia="en-AU"/>
        </w:rPr>
        <w:t xml:space="preserve">The NCC concluded </w:t>
      </w:r>
      <w:r w:rsidR="002E37D8">
        <w:rPr>
          <w:lang w:eastAsia="en-AU"/>
        </w:rPr>
        <w:t>(at [7.125], [7.126], [7.154] and [7.155]) that</w:t>
      </w:r>
      <w:r w:rsidR="008177CA">
        <w:rPr>
          <w:lang w:eastAsia="en-AU"/>
        </w:rPr>
        <w:t>:</w:t>
      </w:r>
    </w:p>
    <w:p w14:paraId="693CE795" w14:textId="77777777" w:rsidR="008177CA" w:rsidRDefault="008177CA" w:rsidP="008177CA">
      <w:pPr>
        <w:pStyle w:val="ListNo1alt"/>
        <w:rPr>
          <w:lang w:eastAsia="en-AU"/>
        </w:rPr>
      </w:pPr>
      <w:r>
        <w:rPr>
          <w:lang w:eastAsia="en-AU"/>
        </w:rPr>
        <w:t>I</w:t>
      </w:r>
      <w:r w:rsidRPr="008177CA">
        <w:rPr>
          <w:lang w:eastAsia="en-AU"/>
        </w:rPr>
        <w:t>t is not in PNO’s long-term interests for Port users to experience such uncertainty around access charges at the Port if this risks significantly less investment in coal mining activity in the Newcastle catchment</w:t>
      </w:r>
      <w:r>
        <w:rPr>
          <w:lang w:eastAsia="en-AU"/>
        </w:rPr>
        <w:t>.</w:t>
      </w:r>
    </w:p>
    <w:p w14:paraId="608D275A" w14:textId="77777777" w:rsidR="008177CA" w:rsidRDefault="008177CA" w:rsidP="008177CA">
      <w:pPr>
        <w:pStyle w:val="ListNo1alt"/>
        <w:rPr>
          <w:lang w:eastAsia="en-AU"/>
        </w:rPr>
      </w:pPr>
      <w:r w:rsidRPr="008177CA">
        <w:rPr>
          <w:lang w:eastAsia="en-AU"/>
        </w:rPr>
        <w:lastRenderedPageBreak/>
        <w:t xml:space="preserve">PNO has published open access arrangements that set out terms and conditions of access for </w:t>
      </w:r>
      <w:r>
        <w:rPr>
          <w:lang w:eastAsia="en-AU"/>
        </w:rPr>
        <w:t>coal exports</w:t>
      </w:r>
      <w:r w:rsidRPr="008177CA">
        <w:rPr>
          <w:lang w:eastAsia="en-AU"/>
        </w:rPr>
        <w:t xml:space="preserve"> </w:t>
      </w:r>
      <w:r>
        <w:rPr>
          <w:lang w:eastAsia="en-AU"/>
        </w:rPr>
        <w:t xml:space="preserve">and also offered access prices for coal exports under a long term (10 year) deed. </w:t>
      </w:r>
      <w:r w:rsidRPr="008177CA">
        <w:rPr>
          <w:lang w:eastAsia="en-AU"/>
        </w:rPr>
        <w:t xml:space="preserve">Both the open access arrangements </w:t>
      </w:r>
      <w:r>
        <w:rPr>
          <w:lang w:eastAsia="en-AU"/>
        </w:rPr>
        <w:t xml:space="preserve">and the deed </w:t>
      </w:r>
      <w:r w:rsidRPr="008177CA">
        <w:rPr>
          <w:lang w:eastAsia="en-AU"/>
        </w:rPr>
        <w:t xml:space="preserve">make provision for dispute resolution. </w:t>
      </w:r>
      <w:r>
        <w:rPr>
          <w:lang w:eastAsia="en-AU"/>
        </w:rPr>
        <w:t>These arrangements</w:t>
      </w:r>
      <w:r w:rsidRPr="008177CA">
        <w:rPr>
          <w:lang w:eastAsia="en-AU"/>
        </w:rPr>
        <w:t xml:space="preserve"> assist coal producers in mitigating the risks that may otherwise arise from pricing and other uncertainties at the Port</w:t>
      </w:r>
      <w:r>
        <w:rPr>
          <w:lang w:eastAsia="en-AU"/>
        </w:rPr>
        <w:t>.</w:t>
      </w:r>
    </w:p>
    <w:p w14:paraId="222B9AF0" w14:textId="77777777" w:rsidR="008177CA" w:rsidRDefault="008177CA" w:rsidP="008177CA">
      <w:pPr>
        <w:pStyle w:val="ListNo1alt"/>
        <w:rPr>
          <w:lang w:eastAsia="en-AU"/>
        </w:rPr>
      </w:pPr>
      <w:r>
        <w:rPr>
          <w:lang w:eastAsia="en-AU"/>
        </w:rPr>
        <w:t>C</w:t>
      </w:r>
      <w:r w:rsidRPr="008177CA">
        <w:rPr>
          <w:lang w:eastAsia="en-AU"/>
        </w:rPr>
        <w:t>oal producers and exporters seeking access to the Port face significant uncertainty from other factors that are more likely to influence their ability to compete in export coal markets</w:t>
      </w:r>
      <w:r>
        <w:rPr>
          <w:lang w:eastAsia="en-AU"/>
        </w:rPr>
        <w:t xml:space="preserve">, particularly </w:t>
      </w:r>
      <w:r w:rsidRPr="008177CA">
        <w:rPr>
          <w:lang w:eastAsia="en-AU"/>
        </w:rPr>
        <w:t xml:space="preserve">future changes in coal prices, labour costs and taxes. Relative to these factors, charges for the </w:t>
      </w:r>
      <w:r>
        <w:rPr>
          <w:lang w:eastAsia="en-AU"/>
        </w:rPr>
        <w:t>shipping channel s</w:t>
      </w:r>
      <w:r w:rsidRPr="008177CA">
        <w:rPr>
          <w:lang w:eastAsia="en-AU"/>
        </w:rPr>
        <w:t xml:space="preserve">ervice are likely to remain a small proportion of the cost of production and sale of coal for export. </w:t>
      </w:r>
      <w:r>
        <w:rPr>
          <w:lang w:eastAsia="en-AU"/>
        </w:rPr>
        <w:t>T</w:t>
      </w:r>
      <w:r w:rsidRPr="008177CA">
        <w:rPr>
          <w:lang w:eastAsia="en-AU"/>
        </w:rPr>
        <w:t xml:space="preserve">he risks associated with uncertainty over access charges for the </w:t>
      </w:r>
      <w:r>
        <w:rPr>
          <w:lang w:eastAsia="en-AU"/>
        </w:rPr>
        <w:t>shipping channel s</w:t>
      </w:r>
      <w:r w:rsidRPr="008177CA">
        <w:rPr>
          <w:lang w:eastAsia="en-AU"/>
        </w:rPr>
        <w:t>ervice would not contribute significantly to an investor’s expected valuation of future mining projects in the Newcastle catchment</w:t>
      </w:r>
      <w:r>
        <w:rPr>
          <w:lang w:eastAsia="en-AU"/>
        </w:rPr>
        <w:t>.</w:t>
      </w:r>
    </w:p>
    <w:p w14:paraId="7DE3AA99" w14:textId="77777777" w:rsidR="00895918" w:rsidRDefault="00412876" w:rsidP="00895918">
      <w:pPr>
        <w:pStyle w:val="ParaNumbering"/>
        <w:rPr>
          <w:lang w:eastAsia="en-AU"/>
        </w:rPr>
      </w:pPr>
      <w:r>
        <w:rPr>
          <w:lang w:eastAsia="en-AU"/>
        </w:rPr>
        <w:t xml:space="preserve">The Treasurer accepted the </w:t>
      </w:r>
      <w:r w:rsidR="000B01CE">
        <w:rPr>
          <w:lang w:eastAsia="en-AU"/>
        </w:rPr>
        <w:t xml:space="preserve">conclusions reached by the </w:t>
      </w:r>
      <w:r>
        <w:rPr>
          <w:lang w:eastAsia="en-AU"/>
        </w:rPr>
        <w:t>NCC</w:t>
      </w:r>
      <w:r w:rsidR="000B01CE">
        <w:rPr>
          <w:lang w:eastAsia="en-AU"/>
        </w:rPr>
        <w:t xml:space="preserve"> in the Recommendation.</w:t>
      </w:r>
    </w:p>
    <w:p w14:paraId="22149F61" w14:textId="77777777" w:rsidR="003B5FB1" w:rsidRDefault="004325DD" w:rsidP="00271EA6">
      <w:pPr>
        <w:pStyle w:val="ParaNumbering"/>
        <w:tabs>
          <w:tab w:val="num" w:pos="720"/>
        </w:tabs>
        <w:rPr>
          <w:lang w:eastAsia="en-AU"/>
        </w:rPr>
      </w:pPr>
      <w:r>
        <w:rPr>
          <w:lang w:eastAsia="en-AU"/>
        </w:rPr>
        <w:t xml:space="preserve">The Tribunal has </w:t>
      </w:r>
      <w:r w:rsidR="00E80BF2">
        <w:rPr>
          <w:lang w:eastAsia="en-AU"/>
        </w:rPr>
        <w:t xml:space="preserve">also </w:t>
      </w:r>
      <w:r>
        <w:rPr>
          <w:lang w:eastAsia="en-AU"/>
        </w:rPr>
        <w:t>reached the conclusion</w:t>
      </w:r>
      <w:r w:rsidR="00E80BF2" w:rsidRPr="00E80BF2">
        <w:rPr>
          <w:lang w:eastAsia="en-AU"/>
        </w:rPr>
        <w:t xml:space="preserve"> </w:t>
      </w:r>
      <w:r w:rsidR="00E80BF2">
        <w:rPr>
          <w:lang w:eastAsia="en-AU"/>
        </w:rPr>
        <w:t xml:space="preserve">that </w:t>
      </w:r>
      <w:r w:rsidR="00E80BF2" w:rsidRPr="007D66A6">
        <w:rPr>
          <w:lang w:eastAsia="en-AU"/>
        </w:rPr>
        <w:t xml:space="preserve">the criteria in </w:t>
      </w:r>
      <w:r w:rsidR="00E80BF2">
        <w:rPr>
          <w:lang w:eastAsia="en-AU"/>
        </w:rPr>
        <w:t>paragraphs</w:t>
      </w:r>
      <w:r w:rsidR="00E80BF2" w:rsidRPr="007D66A6">
        <w:rPr>
          <w:lang w:eastAsia="en-AU"/>
        </w:rPr>
        <w:t xml:space="preserve"> 44CA(1)(a) and (d) </w:t>
      </w:r>
      <w:r w:rsidR="00E80BF2">
        <w:rPr>
          <w:lang w:eastAsia="en-AU"/>
        </w:rPr>
        <w:t>of the Act have</w:t>
      </w:r>
      <w:r w:rsidR="00E80BF2" w:rsidRPr="007D66A6">
        <w:rPr>
          <w:lang w:eastAsia="en-AU"/>
        </w:rPr>
        <w:t xml:space="preserve"> not been satisfied</w:t>
      </w:r>
      <w:r>
        <w:rPr>
          <w:lang w:eastAsia="en-AU"/>
        </w:rPr>
        <w:t>, f</w:t>
      </w:r>
      <w:r w:rsidR="00C02833">
        <w:rPr>
          <w:lang w:eastAsia="en-AU"/>
        </w:rPr>
        <w:t xml:space="preserve">or </w:t>
      </w:r>
      <w:r w:rsidR="00412876">
        <w:rPr>
          <w:lang w:eastAsia="en-AU"/>
        </w:rPr>
        <w:t>largely the same reasons</w:t>
      </w:r>
      <w:r w:rsidR="00E80BF2">
        <w:rPr>
          <w:lang w:eastAsia="en-AU"/>
        </w:rPr>
        <w:t xml:space="preserve"> as explained in the NCC Recommendation. The Tribunal therefore </w:t>
      </w:r>
      <w:r w:rsidR="00C02833">
        <w:rPr>
          <w:lang w:eastAsia="en-AU"/>
        </w:rPr>
        <w:t xml:space="preserve">affirms the Treasurer’s </w:t>
      </w:r>
      <w:r w:rsidR="002E37D8">
        <w:rPr>
          <w:lang w:eastAsia="en-AU"/>
        </w:rPr>
        <w:t>d</w:t>
      </w:r>
      <w:r w:rsidR="00CF3C70">
        <w:rPr>
          <w:lang w:eastAsia="en-AU"/>
        </w:rPr>
        <w:t>ecision</w:t>
      </w:r>
      <w:r w:rsidR="00E80BF2">
        <w:rPr>
          <w:lang w:eastAsia="en-AU"/>
        </w:rPr>
        <w:t xml:space="preserve"> not to declare the shipping channel service.</w:t>
      </w:r>
    </w:p>
    <w:p w14:paraId="0C330004" w14:textId="77777777" w:rsidR="001A621E" w:rsidRDefault="000B01CE" w:rsidP="000B01CE">
      <w:pPr>
        <w:pStyle w:val="ParaNumbering"/>
        <w:rPr>
          <w:lang w:eastAsia="en-AU"/>
        </w:rPr>
      </w:pPr>
      <w:r>
        <w:rPr>
          <w:lang w:eastAsia="en-AU"/>
        </w:rPr>
        <w:t xml:space="preserve">On the assumption that NSWMC would not be successful in its application for review, </w:t>
      </w:r>
      <w:r w:rsidRPr="00A1125A">
        <w:rPr>
          <w:lang w:eastAsia="en-AU"/>
        </w:rPr>
        <w:t xml:space="preserve">PNO </w:t>
      </w:r>
      <w:r>
        <w:rPr>
          <w:lang w:eastAsia="en-AU"/>
        </w:rPr>
        <w:t>applied for an order under s 44KB(1) of the Act</w:t>
      </w:r>
      <w:r w:rsidR="007A5992">
        <w:rPr>
          <w:lang w:eastAsia="en-AU"/>
        </w:rPr>
        <w:t xml:space="preserve"> that NSWMC pay its costs of the proceeding</w:t>
      </w:r>
      <w:r w:rsidR="001A621E">
        <w:rPr>
          <w:lang w:eastAsia="en-AU"/>
        </w:rPr>
        <w:t xml:space="preserve">. </w:t>
      </w:r>
      <w:r>
        <w:rPr>
          <w:lang w:eastAsia="en-AU"/>
        </w:rPr>
        <w:t xml:space="preserve">For the reasons set out below, the Tribunal doubts that it has power under s 44KB(1) to make an order for costs in this proceeding, which is a proceeding for review of the Treasurer’s decision not to declare the shipping channel service under s 44K(2) (and not a proceeding </w:t>
      </w:r>
      <w:r w:rsidRPr="000B01CE">
        <w:rPr>
          <w:lang w:eastAsia="en-AU"/>
        </w:rPr>
        <w:t>for a review of a declaration under section 44K</w:t>
      </w:r>
      <w:r>
        <w:rPr>
          <w:lang w:eastAsia="en-AU"/>
        </w:rPr>
        <w:t xml:space="preserve">(1)). However, as neither party addressed the question of power during the hearing, the Tribunal will afford PNO and NSWMC the opportunity to make further written submissions on the question of power </w:t>
      </w:r>
      <w:r w:rsidR="007A5992">
        <w:rPr>
          <w:lang w:eastAsia="en-AU"/>
        </w:rPr>
        <w:t xml:space="preserve">(if they so choose) </w:t>
      </w:r>
      <w:r>
        <w:rPr>
          <w:lang w:eastAsia="en-AU"/>
        </w:rPr>
        <w:t>and any supplementary submissions on the exercise of the Tribunal’s discretion (should the Tribunal reach the view that it has power to make an order for costs).</w:t>
      </w:r>
    </w:p>
    <w:p w14:paraId="1B9460A3" w14:textId="77777777" w:rsidR="00C02833" w:rsidRDefault="00C02833" w:rsidP="009F17C2">
      <w:pPr>
        <w:pStyle w:val="Heading1"/>
        <w:numPr>
          <w:ilvl w:val="0"/>
          <w:numId w:val="29"/>
        </w:numPr>
        <w:ind w:hanging="720"/>
        <w:rPr>
          <w:lang w:eastAsia="en-AU"/>
        </w:rPr>
      </w:pPr>
      <w:bookmarkStart w:id="13" w:name="_Ref78900476"/>
      <w:r>
        <w:rPr>
          <w:lang w:eastAsia="en-AU"/>
        </w:rPr>
        <w:lastRenderedPageBreak/>
        <w:t>Statutory framework for the Tribunal’s review</w:t>
      </w:r>
      <w:bookmarkEnd w:id="13"/>
    </w:p>
    <w:p w14:paraId="264C161F" w14:textId="77777777" w:rsidR="00D32C91" w:rsidRPr="00D32C91" w:rsidRDefault="00D32C91" w:rsidP="00D32C91">
      <w:pPr>
        <w:pStyle w:val="Heading2"/>
        <w:rPr>
          <w:lang w:eastAsia="en-AU"/>
        </w:rPr>
      </w:pPr>
      <w:bookmarkStart w:id="14" w:name="_Ref78900477"/>
      <w:r>
        <w:rPr>
          <w:lang w:eastAsia="en-AU"/>
        </w:rPr>
        <w:t>Nature of the Tribunal’s review</w:t>
      </w:r>
      <w:bookmarkEnd w:id="14"/>
    </w:p>
    <w:p w14:paraId="4FF972FC" w14:textId="77777777" w:rsidR="00C02833" w:rsidRPr="00EC7767" w:rsidRDefault="002E648A" w:rsidP="002E648A">
      <w:pPr>
        <w:pStyle w:val="ParaNumbering"/>
        <w:rPr>
          <w:lang w:eastAsia="en-AU"/>
        </w:rPr>
      </w:pPr>
      <w:r>
        <w:rPr>
          <w:lang w:eastAsia="en-AU"/>
        </w:rPr>
        <w:t xml:space="preserve">In the course of two interlocutory </w:t>
      </w:r>
      <w:r w:rsidRPr="00EC7767">
        <w:rPr>
          <w:lang w:eastAsia="en-AU"/>
        </w:rPr>
        <w:t xml:space="preserve">applications made in this proceeding, the Tribunal has summarised the statutory framework that is applicable to the Tribunal’s power to review the Treasurer’s </w:t>
      </w:r>
      <w:r w:rsidR="00CF3C70" w:rsidRPr="00C31053">
        <w:rPr>
          <w:lang w:eastAsia="en-AU"/>
        </w:rPr>
        <w:t>decision</w:t>
      </w:r>
      <w:r w:rsidRPr="00C31053">
        <w:rPr>
          <w:lang w:eastAsia="en-AU"/>
        </w:rPr>
        <w:t xml:space="preserve"> under s 44K(2) of the Act: see </w:t>
      </w:r>
      <w:r w:rsidRPr="00C31053">
        <w:rPr>
          <w:i/>
          <w:lang w:eastAsia="en-AU"/>
        </w:rPr>
        <w:t>Application by New South Wales Minerals Council</w:t>
      </w:r>
      <w:r w:rsidRPr="00177558">
        <w:rPr>
          <w:lang w:eastAsia="en-AU"/>
        </w:rPr>
        <w:t xml:space="preserve"> [2021] </w:t>
      </w:r>
      <w:proofErr w:type="spellStart"/>
      <w:r w:rsidRPr="00177558">
        <w:rPr>
          <w:lang w:eastAsia="en-AU"/>
        </w:rPr>
        <w:t>ACompT</w:t>
      </w:r>
      <w:proofErr w:type="spellEnd"/>
      <w:r w:rsidRPr="00177558">
        <w:rPr>
          <w:lang w:eastAsia="en-AU"/>
        </w:rPr>
        <w:t xml:space="preserve"> 2 and </w:t>
      </w:r>
      <w:r w:rsidRPr="00177558">
        <w:rPr>
          <w:i/>
          <w:lang w:eastAsia="en-AU"/>
        </w:rPr>
        <w:t>Application by New South Wales Minerals Council (No 2)</w:t>
      </w:r>
      <w:r w:rsidRPr="00177558">
        <w:rPr>
          <w:lang w:eastAsia="en-AU"/>
        </w:rPr>
        <w:t xml:space="preserve"> [2021] </w:t>
      </w:r>
      <w:proofErr w:type="spellStart"/>
      <w:r w:rsidRPr="00177558">
        <w:rPr>
          <w:lang w:eastAsia="en-AU"/>
        </w:rPr>
        <w:t>ACompT</w:t>
      </w:r>
      <w:proofErr w:type="spellEnd"/>
      <w:r w:rsidRPr="00177558">
        <w:rPr>
          <w:lang w:eastAsia="en-AU"/>
        </w:rPr>
        <w:t xml:space="preserve"> 3. It is nevertheless appropriate to </w:t>
      </w:r>
      <w:r w:rsidR="00E54A1D" w:rsidRPr="00EC7767">
        <w:rPr>
          <w:lang w:eastAsia="en-AU"/>
        </w:rPr>
        <w:t>re</w:t>
      </w:r>
      <w:r w:rsidRPr="00EC7767">
        <w:rPr>
          <w:lang w:eastAsia="en-AU"/>
        </w:rPr>
        <w:t xml:space="preserve">state the </w:t>
      </w:r>
      <w:r w:rsidR="00E54A1D" w:rsidRPr="00EC7767">
        <w:rPr>
          <w:lang w:eastAsia="en-AU"/>
        </w:rPr>
        <w:t>principal feat</w:t>
      </w:r>
      <w:r w:rsidR="00CA3B98" w:rsidRPr="00EC7767">
        <w:rPr>
          <w:lang w:eastAsia="en-AU"/>
        </w:rPr>
        <w:t>ures of the statutory framework which govern the Tribunal’s task in this proceeding.</w:t>
      </w:r>
    </w:p>
    <w:p w14:paraId="2FBD1194" w14:textId="77777777" w:rsidR="002E37D8" w:rsidRPr="00EC7767" w:rsidRDefault="002E37D8" w:rsidP="002E648A">
      <w:pPr>
        <w:pStyle w:val="ParaNumbering"/>
        <w:rPr>
          <w:lang w:eastAsia="en-AU"/>
        </w:rPr>
      </w:pPr>
      <w:r w:rsidRPr="00EC7767">
        <w:rPr>
          <w:lang w:eastAsia="en-AU"/>
        </w:rPr>
        <w:t>Since it was first enacted, the relevant provisions of Part IIIA have been subject to significant amendment on three occasions</w:t>
      </w:r>
      <w:r w:rsidR="00642609" w:rsidRPr="00EC7767">
        <w:rPr>
          <w:lang w:eastAsia="en-AU"/>
        </w:rPr>
        <w:t>:</w:t>
      </w:r>
      <w:r w:rsidRPr="00EC7767">
        <w:rPr>
          <w:lang w:eastAsia="en-AU"/>
        </w:rPr>
        <w:t xml:space="preserve"> by the </w:t>
      </w:r>
      <w:r w:rsidR="00642609" w:rsidRPr="00EC7767">
        <w:rPr>
          <w:i/>
          <w:lang w:eastAsia="en-AU"/>
        </w:rPr>
        <w:t>Trade Practices Amendment (National Access Regime) Act 2006</w:t>
      </w:r>
      <w:r w:rsidR="00642609" w:rsidRPr="00EC7767">
        <w:rPr>
          <w:lang w:eastAsia="en-AU"/>
        </w:rPr>
        <w:t xml:space="preserve"> (</w:t>
      </w:r>
      <w:proofErr w:type="spellStart"/>
      <w:r w:rsidR="00642609" w:rsidRPr="00EC7767">
        <w:rPr>
          <w:lang w:eastAsia="en-AU"/>
        </w:rPr>
        <w:t>Cth</w:t>
      </w:r>
      <w:proofErr w:type="spellEnd"/>
      <w:r w:rsidR="00642609" w:rsidRPr="00EC7767">
        <w:rPr>
          <w:lang w:eastAsia="en-AU"/>
        </w:rPr>
        <w:t>) (</w:t>
      </w:r>
      <w:r w:rsidR="00642609" w:rsidRPr="00EC7767">
        <w:rPr>
          <w:b/>
          <w:lang w:eastAsia="en-AU"/>
        </w:rPr>
        <w:t>2006 Amendment Act</w:t>
      </w:r>
      <w:r w:rsidR="00642609" w:rsidRPr="00EC7767">
        <w:rPr>
          <w:lang w:eastAsia="en-AU"/>
        </w:rPr>
        <w:t xml:space="preserve">); by the </w:t>
      </w:r>
      <w:r w:rsidRPr="00EC7767">
        <w:rPr>
          <w:i/>
          <w:lang w:eastAsia="en-AU"/>
        </w:rPr>
        <w:t>Trade Practices Amendment (Infrastructure Access) Act 2010</w:t>
      </w:r>
      <w:r w:rsidRPr="00EC7767">
        <w:rPr>
          <w:lang w:eastAsia="en-AU"/>
        </w:rPr>
        <w:t xml:space="preserve"> (</w:t>
      </w:r>
      <w:proofErr w:type="spellStart"/>
      <w:r w:rsidRPr="00EC7767">
        <w:rPr>
          <w:lang w:eastAsia="en-AU"/>
        </w:rPr>
        <w:t>Cth</w:t>
      </w:r>
      <w:proofErr w:type="spellEnd"/>
      <w:r w:rsidRPr="00EC7767">
        <w:rPr>
          <w:lang w:eastAsia="en-AU"/>
        </w:rPr>
        <w:t>) (</w:t>
      </w:r>
      <w:r w:rsidRPr="00EC7767">
        <w:rPr>
          <w:b/>
          <w:lang w:eastAsia="en-AU"/>
        </w:rPr>
        <w:t>2010 Amendment Act</w:t>
      </w:r>
      <w:r w:rsidRPr="00EC7767">
        <w:rPr>
          <w:lang w:eastAsia="en-AU"/>
        </w:rPr>
        <w:t>)</w:t>
      </w:r>
      <w:r w:rsidR="00642609" w:rsidRPr="00EC7767">
        <w:rPr>
          <w:lang w:eastAsia="en-AU"/>
        </w:rPr>
        <w:t>;</w:t>
      </w:r>
      <w:r w:rsidRPr="00EC7767">
        <w:rPr>
          <w:lang w:eastAsia="en-AU"/>
        </w:rPr>
        <w:t xml:space="preserve"> </w:t>
      </w:r>
      <w:r w:rsidR="00642609" w:rsidRPr="00EC7767">
        <w:rPr>
          <w:lang w:eastAsia="en-AU"/>
        </w:rPr>
        <w:t>and</w:t>
      </w:r>
      <w:r w:rsidRPr="00EC7767">
        <w:rPr>
          <w:lang w:eastAsia="en-AU"/>
        </w:rPr>
        <w:t xml:space="preserve"> </w:t>
      </w:r>
      <w:r w:rsidR="00642609" w:rsidRPr="00EC7767">
        <w:rPr>
          <w:lang w:eastAsia="en-AU"/>
        </w:rPr>
        <w:t xml:space="preserve">by </w:t>
      </w:r>
      <w:r w:rsidRPr="00EC7767">
        <w:rPr>
          <w:lang w:eastAsia="en-AU"/>
        </w:rPr>
        <w:t xml:space="preserve">the </w:t>
      </w:r>
      <w:r w:rsidRPr="00EC7767">
        <w:rPr>
          <w:i/>
          <w:lang w:eastAsia="en-AU"/>
        </w:rPr>
        <w:t>Competition and Consumer Amendment (Competition Policy Review) Act 2017</w:t>
      </w:r>
      <w:r w:rsidRPr="00EC7767">
        <w:rPr>
          <w:lang w:eastAsia="en-AU"/>
        </w:rPr>
        <w:t xml:space="preserve"> (</w:t>
      </w:r>
      <w:proofErr w:type="spellStart"/>
      <w:r w:rsidRPr="00EC7767">
        <w:rPr>
          <w:lang w:eastAsia="en-AU"/>
        </w:rPr>
        <w:t>Cth</w:t>
      </w:r>
      <w:proofErr w:type="spellEnd"/>
      <w:r w:rsidRPr="00EC7767">
        <w:rPr>
          <w:lang w:eastAsia="en-AU"/>
        </w:rPr>
        <w:t>) (</w:t>
      </w:r>
      <w:r w:rsidRPr="00EC7767">
        <w:rPr>
          <w:b/>
          <w:lang w:eastAsia="en-AU"/>
        </w:rPr>
        <w:t>2017 Amendment Act</w:t>
      </w:r>
      <w:r w:rsidRPr="00EC7767">
        <w:rPr>
          <w:lang w:eastAsia="en-AU"/>
        </w:rPr>
        <w:t>)</w:t>
      </w:r>
      <w:r w:rsidR="00642609" w:rsidRPr="00EC7767">
        <w:rPr>
          <w:lang w:eastAsia="en-AU"/>
        </w:rPr>
        <w:t>. It is necessary to keep the amendments in mind when considering earlier Tribunal and Court decisions.</w:t>
      </w:r>
    </w:p>
    <w:p w14:paraId="0358210D" w14:textId="77777777" w:rsidR="00D8642D" w:rsidRDefault="00D8642D" w:rsidP="005A19CA">
      <w:pPr>
        <w:pStyle w:val="ParaNumbering"/>
        <w:rPr>
          <w:lang w:eastAsia="en-AU"/>
        </w:rPr>
      </w:pPr>
      <w:r>
        <w:rPr>
          <w:lang w:eastAsia="en-AU"/>
        </w:rPr>
        <w:t xml:space="preserve">Under s 44F(1), a person may apply in writing to the NCC asking the NCC to recommend that a particular service be declared. Section 44F(2)(b) stipulates that the NCC must, after having regard to the objects of Part IIIA of the Act, recommend to the designated Minister that the service be declared (with the expiry date specified in the recommendation) or that the service not be declared. Section 44G provides that the NCC cannot recommend that a service be declared unless it is satisfied of all of the declaration criteria for the service. </w:t>
      </w:r>
      <w:r w:rsidR="00924FD0">
        <w:rPr>
          <w:lang w:eastAsia="en-AU"/>
        </w:rPr>
        <w:t xml:space="preserve">The declaration criteria are set out below. </w:t>
      </w:r>
      <w:r w:rsidR="00884AD5">
        <w:rPr>
          <w:lang w:eastAsia="en-AU"/>
        </w:rPr>
        <w:t xml:space="preserve">Section 44GA requires the NCC to make a recommendation within a period of 180 days, although the NCC may extend that period in certain circumstances. </w:t>
      </w:r>
      <w:r w:rsidR="00924FD0">
        <w:rPr>
          <w:lang w:eastAsia="en-AU"/>
        </w:rPr>
        <w:t>Section 44GC provides that the NCC must publish its recommendation under section 44F and its reasons for the recommendation.</w:t>
      </w:r>
    </w:p>
    <w:p w14:paraId="66F8B1BC" w14:textId="77777777" w:rsidR="00924FD0" w:rsidRDefault="00924FD0" w:rsidP="005A19CA">
      <w:pPr>
        <w:pStyle w:val="ParaNumbering"/>
        <w:rPr>
          <w:lang w:eastAsia="en-AU"/>
        </w:rPr>
      </w:pPr>
      <w:r>
        <w:rPr>
          <w:lang w:eastAsia="en-AU"/>
        </w:rPr>
        <w:t>By s 44D, the designated Minister is defined as the Commonwealth Minister unless the provider of the service is a State or Territory body. At the time of the decision the subject of this proceeding, the relevant Commonwealth Minister was the Commonwealth Treasurer.</w:t>
      </w:r>
    </w:p>
    <w:p w14:paraId="6DC7541C" w14:textId="77777777" w:rsidR="00924FD0" w:rsidRDefault="00924FD0" w:rsidP="00884AD5">
      <w:pPr>
        <w:pStyle w:val="ParaNumbering"/>
        <w:rPr>
          <w:lang w:eastAsia="en-AU"/>
        </w:rPr>
      </w:pPr>
      <w:r>
        <w:rPr>
          <w:lang w:eastAsia="en-AU"/>
        </w:rPr>
        <w:t xml:space="preserve">Under s 44H(1), on receiving a declaration recommendation, the designated Minister must either declare the service or decide not to declare it. Section 44H(1A) stipulates that the designated Minister must have regard to the objects of Part IIIA in making his or her decision </w:t>
      </w:r>
      <w:r>
        <w:rPr>
          <w:lang w:eastAsia="en-AU"/>
        </w:rPr>
        <w:lastRenderedPageBreak/>
        <w:t>and s 44H(4) stipulates that the designated Minister cannot declare a service unless he or she is satisfied of all of the declaration criteria for the service.</w:t>
      </w:r>
      <w:r w:rsidR="00884AD5">
        <w:rPr>
          <w:lang w:eastAsia="en-AU"/>
        </w:rPr>
        <w:t xml:space="preserve"> Section 44H(9) provides that if the designated Minister does not publish his or her decision on the declaration recommendation within 60 days, the designated Minister is taken, at the end of that 60-day period</w:t>
      </w:r>
      <w:r w:rsidR="00B8330D">
        <w:rPr>
          <w:lang w:eastAsia="en-AU"/>
        </w:rPr>
        <w:t>,</w:t>
      </w:r>
      <w:r w:rsidR="00884AD5">
        <w:rPr>
          <w:lang w:eastAsia="en-AU"/>
        </w:rPr>
        <w:t xml:space="preserve"> to have made a decision in accordance with the declaration recommendation.</w:t>
      </w:r>
    </w:p>
    <w:p w14:paraId="12F295B5" w14:textId="77777777" w:rsidR="00884AD5" w:rsidRDefault="00884AD5" w:rsidP="00884AD5">
      <w:pPr>
        <w:pStyle w:val="ParaNumbering"/>
        <w:rPr>
          <w:lang w:eastAsia="en-AU"/>
        </w:rPr>
      </w:pPr>
      <w:r>
        <w:rPr>
          <w:lang w:eastAsia="en-AU"/>
        </w:rPr>
        <w:t xml:space="preserve">In the present case, the Treasurer published </w:t>
      </w:r>
      <w:r w:rsidR="00CF3C70">
        <w:rPr>
          <w:lang w:eastAsia="en-AU"/>
        </w:rPr>
        <w:t>his</w:t>
      </w:r>
      <w:r>
        <w:rPr>
          <w:lang w:eastAsia="en-AU"/>
        </w:rPr>
        <w:t xml:space="preserve"> </w:t>
      </w:r>
      <w:r w:rsidR="00CF3C70">
        <w:rPr>
          <w:lang w:eastAsia="en-AU"/>
        </w:rPr>
        <w:t>d</w:t>
      </w:r>
      <w:r>
        <w:rPr>
          <w:lang w:eastAsia="en-AU"/>
        </w:rPr>
        <w:t>ecision not to declare the shipping channel service</w:t>
      </w:r>
      <w:r w:rsidR="00B8330D">
        <w:rPr>
          <w:lang w:eastAsia="en-AU"/>
        </w:rPr>
        <w:t>,</w:t>
      </w:r>
      <w:r>
        <w:rPr>
          <w:lang w:eastAsia="en-AU"/>
        </w:rPr>
        <w:t xml:space="preserve"> </w:t>
      </w:r>
      <w:r w:rsidR="00CF3C70">
        <w:rPr>
          <w:lang w:eastAsia="en-AU"/>
        </w:rPr>
        <w:t>and the reasons for the decision</w:t>
      </w:r>
      <w:r w:rsidR="00B8330D">
        <w:rPr>
          <w:lang w:eastAsia="en-AU"/>
        </w:rPr>
        <w:t>,</w:t>
      </w:r>
      <w:r w:rsidR="00CF3C70">
        <w:rPr>
          <w:lang w:eastAsia="en-AU"/>
        </w:rPr>
        <w:t xml:space="preserve"> </w:t>
      </w:r>
      <w:r>
        <w:rPr>
          <w:lang w:eastAsia="en-AU"/>
        </w:rPr>
        <w:t>within the 60-day period specified by s 44H(9).</w:t>
      </w:r>
    </w:p>
    <w:p w14:paraId="7F660B01" w14:textId="77777777" w:rsidR="00640BA3" w:rsidRDefault="00640BA3" w:rsidP="00640BA3">
      <w:pPr>
        <w:pStyle w:val="ParaNumbering"/>
        <w:rPr>
          <w:lang w:eastAsia="en-AU"/>
        </w:rPr>
      </w:pPr>
      <w:r>
        <w:rPr>
          <w:lang w:eastAsia="en-AU"/>
        </w:rPr>
        <w:t>The Tribunal is empowered by s 44K</w:t>
      </w:r>
      <w:r w:rsidR="00884AD5">
        <w:rPr>
          <w:lang w:eastAsia="en-AU"/>
        </w:rPr>
        <w:t>(2)</w:t>
      </w:r>
      <w:r>
        <w:rPr>
          <w:lang w:eastAsia="en-AU"/>
        </w:rPr>
        <w:t xml:space="preserve"> to review </w:t>
      </w:r>
      <w:r w:rsidR="00CA3B98">
        <w:rPr>
          <w:lang w:eastAsia="en-AU"/>
        </w:rPr>
        <w:t>the Treasurer’s</w:t>
      </w:r>
      <w:r>
        <w:rPr>
          <w:lang w:eastAsia="en-AU"/>
        </w:rPr>
        <w:t xml:space="preserve"> </w:t>
      </w:r>
      <w:r w:rsidR="00CF3C70">
        <w:rPr>
          <w:lang w:eastAsia="en-AU"/>
        </w:rPr>
        <w:t>decision</w:t>
      </w:r>
      <w:r>
        <w:rPr>
          <w:lang w:eastAsia="en-AU"/>
        </w:rPr>
        <w:t xml:space="preserve"> not to declare </w:t>
      </w:r>
      <w:r w:rsidR="00CA3B98">
        <w:rPr>
          <w:lang w:eastAsia="en-AU"/>
        </w:rPr>
        <w:t xml:space="preserve">the </w:t>
      </w:r>
      <w:r>
        <w:rPr>
          <w:lang w:eastAsia="en-AU"/>
        </w:rPr>
        <w:t>service. Section 44K provides as follows:</w:t>
      </w:r>
    </w:p>
    <w:p w14:paraId="08C125CB" w14:textId="77777777" w:rsidR="00BB4178" w:rsidRPr="00B761C3" w:rsidRDefault="00BB4178" w:rsidP="00BB4178">
      <w:pPr>
        <w:pStyle w:val="Quote1"/>
        <w:tabs>
          <w:tab w:val="left" w:pos="1276"/>
        </w:tabs>
        <w:rPr>
          <w:b/>
          <w:lang w:eastAsia="en-AU"/>
        </w:rPr>
      </w:pPr>
      <w:r w:rsidRPr="00B761C3">
        <w:rPr>
          <w:b/>
          <w:lang w:eastAsia="en-AU"/>
        </w:rPr>
        <w:t xml:space="preserve">44K </w:t>
      </w:r>
      <w:r w:rsidRPr="00B761C3">
        <w:rPr>
          <w:b/>
          <w:lang w:eastAsia="en-AU"/>
        </w:rPr>
        <w:tab/>
        <w:t xml:space="preserve">Review of declaration </w:t>
      </w:r>
    </w:p>
    <w:p w14:paraId="74D39D1B" w14:textId="77777777" w:rsidR="00BB4178" w:rsidRDefault="00BB4178" w:rsidP="00BB4178">
      <w:pPr>
        <w:pStyle w:val="Quote1"/>
        <w:tabs>
          <w:tab w:val="left" w:pos="1276"/>
        </w:tabs>
        <w:ind w:left="1276" w:hanging="539"/>
        <w:rPr>
          <w:lang w:eastAsia="en-AU"/>
        </w:rPr>
      </w:pPr>
      <w:r>
        <w:rPr>
          <w:lang w:eastAsia="en-AU"/>
        </w:rPr>
        <w:t xml:space="preserve">(1) </w:t>
      </w:r>
      <w:r>
        <w:rPr>
          <w:lang w:eastAsia="en-AU"/>
        </w:rPr>
        <w:tab/>
        <w:t>If the designated Minister declares a service, the provider may apply in writing to the Tribunal for review of the declaration.</w:t>
      </w:r>
    </w:p>
    <w:p w14:paraId="753F1622" w14:textId="77777777" w:rsidR="00BB4178" w:rsidRDefault="00BB4178" w:rsidP="00BB4178">
      <w:pPr>
        <w:pStyle w:val="Quote1"/>
        <w:tabs>
          <w:tab w:val="left" w:pos="1276"/>
        </w:tabs>
        <w:ind w:left="1276" w:hanging="539"/>
        <w:rPr>
          <w:lang w:eastAsia="en-AU"/>
        </w:rPr>
      </w:pPr>
      <w:r>
        <w:rPr>
          <w:lang w:eastAsia="en-AU"/>
        </w:rPr>
        <w:t xml:space="preserve">(2) </w:t>
      </w:r>
      <w:r>
        <w:rPr>
          <w:lang w:eastAsia="en-AU"/>
        </w:rPr>
        <w:tab/>
        <w:t>If the designated Minister decides not to declare a service, an application in writing for review of the designated Minister’s decision may be made by the person who applied for the declaration recommendation.</w:t>
      </w:r>
    </w:p>
    <w:p w14:paraId="104103FA" w14:textId="77777777" w:rsidR="00BB4178" w:rsidRDefault="00BB4178" w:rsidP="00BB4178">
      <w:pPr>
        <w:pStyle w:val="Quote1"/>
        <w:tabs>
          <w:tab w:val="left" w:pos="1276"/>
        </w:tabs>
        <w:ind w:left="1276" w:hanging="539"/>
        <w:rPr>
          <w:lang w:eastAsia="en-AU"/>
        </w:rPr>
      </w:pPr>
      <w:r>
        <w:rPr>
          <w:lang w:eastAsia="en-AU"/>
        </w:rPr>
        <w:t xml:space="preserve">(3) </w:t>
      </w:r>
      <w:r>
        <w:rPr>
          <w:lang w:eastAsia="en-AU"/>
        </w:rPr>
        <w:tab/>
        <w:t>An application for review must be made within 21 days after publication of the designated Minister’s decision.</w:t>
      </w:r>
    </w:p>
    <w:p w14:paraId="29423768" w14:textId="77777777" w:rsidR="00BB4178" w:rsidRDefault="00BB4178" w:rsidP="00BB4178">
      <w:pPr>
        <w:pStyle w:val="Quote1"/>
        <w:tabs>
          <w:tab w:val="left" w:pos="1276"/>
        </w:tabs>
        <w:ind w:left="1276" w:hanging="539"/>
        <w:rPr>
          <w:lang w:eastAsia="en-AU"/>
        </w:rPr>
      </w:pPr>
      <w:r>
        <w:rPr>
          <w:lang w:eastAsia="en-AU"/>
        </w:rPr>
        <w:t xml:space="preserve">(4) </w:t>
      </w:r>
      <w:r>
        <w:rPr>
          <w:lang w:eastAsia="en-AU"/>
        </w:rPr>
        <w:tab/>
        <w:t>The review by the Tribunal is a re‑consideration of the matter based on the information, reports and things referred to in section 44ZZOAA.</w:t>
      </w:r>
    </w:p>
    <w:p w14:paraId="6C54635A" w14:textId="77777777" w:rsidR="00BB4178" w:rsidRPr="00B761C3" w:rsidRDefault="00BB4178" w:rsidP="00BB4178">
      <w:pPr>
        <w:pStyle w:val="Quote1"/>
        <w:ind w:left="1276"/>
        <w:rPr>
          <w:sz w:val="20"/>
          <w:lang w:eastAsia="en-AU"/>
        </w:rPr>
      </w:pPr>
      <w:r w:rsidRPr="00B761C3">
        <w:rPr>
          <w:sz w:val="20"/>
          <w:lang w:eastAsia="en-AU"/>
        </w:rPr>
        <w:t>Note:</w:t>
      </w:r>
      <w:r>
        <w:rPr>
          <w:sz w:val="20"/>
          <w:lang w:eastAsia="en-AU"/>
        </w:rPr>
        <w:t xml:space="preserve"> </w:t>
      </w:r>
      <w:r w:rsidRPr="00B761C3">
        <w:rPr>
          <w:sz w:val="20"/>
          <w:lang w:eastAsia="en-AU"/>
        </w:rPr>
        <w:t>There are limits on the information to which the Tribunal may have regard (see section 44ZZOAA) and time limits that apply to the Tribunal’s decision on the review (see section 44ZZOA).</w:t>
      </w:r>
    </w:p>
    <w:p w14:paraId="7C7453FA" w14:textId="77777777" w:rsidR="00BB4178" w:rsidRDefault="00BB4178" w:rsidP="00BB4178">
      <w:pPr>
        <w:pStyle w:val="Quote1"/>
        <w:tabs>
          <w:tab w:val="left" w:pos="1276"/>
        </w:tabs>
        <w:ind w:left="1276" w:hanging="539"/>
        <w:rPr>
          <w:lang w:eastAsia="en-AU"/>
        </w:rPr>
      </w:pPr>
      <w:r>
        <w:rPr>
          <w:lang w:eastAsia="en-AU"/>
        </w:rPr>
        <w:t xml:space="preserve">(5) </w:t>
      </w:r>
      <w:r>
        <w:rPr>
          <w:lang w:eastAsia="en-AU"/>
        </w:rPr>
        <w:tab/>
        <w:t>For the purposes of the review, the Tribunal has the same powers as the designated Minister.</w:t>
      </w:r>
    </w:p>
    <w:p w14:paraId="15C68766" w14:textId="77777777" w:rsidR="00BB4178" w:rsidRDefault="00BB4178" w:rsidP="00BB4178">
      <w:pPr>
        <w:pStyle w:val="Quote1"/>
        <w:tabs>
          <w:tab w:val="left" w:pos="1276"/>
        </w:tabs>
        <w:ind w:left="1276" w:hanging="539"/>
        <w:rPr>
          <w:lang w:eastAsia="en-AU"/>
        </w:rPr>
      </w:pPr>
      <w:r>
        <w:rPr>
          <w:lang w:eastAsia="en-AU"/>
        </w:rPr>
        <w:t xml:space="preserve">(6) </w:t>
      </w:r>
      <w:r>
        <w:rPr>
          <w:lang w:eastAsia="en-AU"/>
        </w:rPr>
        <w:tab/>
        <w:t>The member of the Tribunal presiding at the review may require the Council to give assistance for the purposes of the review (including for the purposes of deciding whether to make an order under section 44KA).</w:t>
      </w:r>
    </w:p>
    <w:p w14:paraId="7C4504FB" w14:textId="77777777" w:rsidR="00BB4178" w:rsidRDefault="00BB4178" w:rsidP="00BB4178">
      <w:pPr>
        <w:pStyle w:val="Quote1"/>
        <w:tabs>
          <w:tab w:val="left" w:pos="1276"/>
        </w:tabs>
        <w:ind w:left="1276" w:hanging="539"/>
        <w:rPr>
          <w:lang w:eastAsia="en-AU"/>
        </w:rPr>
      </w:pPr>
      <w:r>
        <w:rPr>
          <w:lang w:eastAsia="en-AU"/>
        </w:rPr>
        <w:t xml:space="preserve">(6A) </w:t>
      </w:r>
      <w:r>
        <w:rPr>
          <w:lang w:eastAsia="en-AU"/>
        </w:rPr>
        <w:tab/>
        <w:t>Without limiting subsection (6), the member may, by written notice, require the Council to give information, and to make reports, of a kind specified in the notice, within the period specified in the notice, for the purposes of the review.</w:t>
      </w:r>
    </w:p>
    <w:p w14:paraId="7EDD0279" w14:textId="77777777" w:rsidR="00BB4178" w:rsidRDefault="00BB4178" w:rsidP="00BB4178">
      <w:pPr>
        <w:pStyle w:val="Quote1"/>
        <w:tabs>
          <w:tab w:val="left" w:pos="1276"/>
        </w:tabs>
        <w:ind w:left="1276" w:hanging="539"/>
        <w:rPr>
          <w:lang w:eastAsia="en-AU"/>
        </w:rPr>
      </w:pPr>
      <w:r>
        <w:rPr>
          <w:lang w:eastAsia="en-AU"/>
        </w:rPr>
        <w:t xml:space="preserve">(6B) </w:t>
      </w:r>
      <w:r>
        <w:rPr>
          <w:lang w:eastAsia="en-AU"/>
        </w:rPr>
        <w:tab/>
        <w:t>The Tribunal must:</w:t>
      </w:r>
    </w:p>
    <w:p w14:paraId="7FB4CE5E" w14:textId="77777777" w:rsidR="00BB4178" w:rsidRDefault="00BB4178">
      <w:pPr>
        <w:pStyle w:val="Quote2"/>
        <w:rPr>
          <w:lang w:eastAsia="en-AU"/>
        </w:rPr>
      </w:pPr>
      <w:r>
        <w:rPr>
          <w:lang w:eastAsia="en-AU"/>
        </w:rPr>
        <w:t xml:space="preserve">(a) </w:t>
      </w:r>
      <w:r>
        <w:rPr>
          <w:lang w:eastAsia="en-AU"/>
        </w:rPr>
        <w:tab/>
        <w:t>give a copy of the notice to:</w:t>
      </w:r>
    </w:p>
    <w:p w14:paraId="565DFA70" w14:textId="77777777" w:rsidR="00BB4178" w:rsidRDefault="00BB4178">
      <w:pPr>
        <w:pStyle w:val="Quote3"/>
        <w:rPr>
          <w:lang w:eastAsia="en-AU"/>
        </w:rPr>
      </w:pPr>
      <w:r>
        <w:rPr>
          <w:lang w:eastAsia="en-AU"/>
        </w:rPr>
        <w:t>(</w:t>
      </w:r>
      <w:proofErr w:type="spellStart"/>
      <w:r>
        <w:rPr>
          <w:lang w:eastAsia="en-AU"/>
        </w:rPr>
        <w:t>i</w:t>
      </w:r>
      <w:proofErr w:type="spellEnd"/>
      <w:r>
        <w:rPr>
          <w:lang w:eastAsia="en-AU"/>
        </w:rPr>
        <w:t xml:space="preserve">) </w:t>
      </w:r>
      <w:r>
        <w:rPr>
          <w:lang w:eastAsia="en-AU"/>
        </w:rPr>
        <w:tab/>
        <w:t xml:space="preserve">the person who applied for review; and </w:t>
      </w:r>
    </w:p>
    <w:p w14:paraId="6E5D7220" w14:textId="77777777" w:rsidR="00BB4178" w:rsidRDefault="00BB4178" w:rsidP="00BB4178">
      <w:pPr>
        <w:pStyle w:val="Quote3"/>
        <w:rPr>
          <w:lang w:eastAsia="en-AU"/>
        </w:rPr>
      </w:pPr>
      <w:r>
        <w:rPr>
          <w:lang w:eastAsia="en-AU"/>
        </w:rPr>
        <w:t xml:space="preserve">(ii) </w:t>
      </w:r>
      <w:r>
        <w:rPr>
          <w:lang w:eastAsia="en-AU"/>
        </w:rPr>
        <w:tab/>
        <w:t xml:space="preserve">the provider of the service; and </w:t>
      </w:r>
    </w:p>
    <w:p w14:paraId="11F034DB" w14:textId="77777777" w:rsidR="00BB4178" w:rsidRDefault="00BB4178" w:rsidP="00BB4178">
      <w:pPr>
        <w:pStyle w:val="Quote3"/>
        <w:ind w:left="2880" w:hanging="720"/>
        <w:rPr>
          <w:lang w:eastAsia="en-AU"/>
        </w:rPr>
      </w:pPr>
      <w:r>
        <w:rPr>
          <w:lang w:eastAsia="en-AU"/>
        </w:rPr>
        <w:t xml:space="preserve">(iii) </w:t>
      </w:r>
      <w:r>
        <w:rPr>
          <w:lang w:eastAsia="en-AU"/>
        </w:rPr>
        <w:tab/>
        <w:t xml:space="preserve">the person who applied for the declaration recommendation; and </w:t>
      </w:r>
    </w:p>
    <w:p w14:paraId="47287985" w14:textId="77777777" w:rsidR="00BB4178" w:rsidRDefault="00BB4178" w:rsidP="00BB4178">
      <w:pPr>
        <w:pStyle w:val="Quote3"/>
        <w:ind w:left="2880" w:hanging="720"/>
        <w:rPr>
          <w:lang w:eastAsia="en-AU"/>
        </w:rPr>
      </w:pPr>
      <w:r>
        <w:rPr>
          <w:lang w:eastAsia="en-AU"/>
        </w:rPr>
        <w:t xml:space="preserve">(iv) </w:t>
      </w:r>
      <w:r>
        <w:rPr>
          <w:lang w:eastAsia="en-AU"/>
        </w:rPr>
        <w:tab/>
        <w:t xml:space="preserve">any other person who has been made a party to the </w:t>
      </w:r>
      <w:r>
        <w:rPr>
          <w:lang w:eastAsia="en-AU"/>
        </w:rPr>
        <w:lastRenderedPageBreak/>
        <w:t xml:space="preserve">proceedings for review by the Tribunal; and </w:t>
      </w:r>
    </w:p>
    <w:p w14:paraId="76CAB37D" w14:textId="77777777" w:rsidR="00BB4178" w:rsidRDefault="00BB4178" w:rsidP="00BB4178">
      <w:pPr>
        <w:pStyle w:val="Quote2"/>
        <w:rPr>
          <w:lang w:eastAsia="en-AU"/>
        </w:rPr>
      </w:pPr>
      <w:r>
        <w:rPr>
          <w:lang w:eastAsia="en-AU"/>
        </w:rPr>
        <w:t xml:space="preserve">(b) </w:t>
      </w:r>
      <w:r>
        <w:rPr>
          <w:lang w:eastAsia="en-AU"/>
        </w:rPr>
        <w:tab/>
        <w:t>publish, by electronic or other means, the notice.</w:t>
      </w:r>
    </w:p>
    <w:p w14:paraId="5954A9E3" w14:textId="77777777" w:rsidR="00BB4178" w:rsidRDefault="00BB4178" w:rsidP="00BB4178">
      <w:pPr>
        <w:pStyle w:val="Quote1"/>
        <w:tabs>
          <w:tab w:val="left" w:pos="1276"/>
        </w:tabs>
        <w:ind w:left="1276" w:hanging="539"/>
        <w:rPr>
          <w:lang w:eastAsia="en-AU"/>
        </w:rPr>
      </w:pPr>
      <w:r>
        <w:rPr>
          <w:lang w:eastAsia="en-AU"/>
        </w:rPr>
        <w:t xml:space="preserve">(7) </w:t>
      </w:r>
      <w:r>
        <w:rPr>
          <w:lang w:eastAsia="en-AU"/>
        </w:rPr>
        <w:tab/>
        <w:t>If the designated Minister declared the service, the Tribunal may affirm, vary or set aside the declaration.</w:t>
      </w:r>
    </w:p>
    <w:p w14:paraId="20063D76" w14:textId="77777777" w:rsidR="00BB4178" w:rsidRDefault="00BB4178" w:rsidP="00BB4178">
      <w:pPr>
        <w:pStyle w:val="Quote1"/>
        <w:tabs>
          <w:tab w:val="left" w:pos="1276"/>
        </w:tabs>
        <w:ind w:left="1276" w:hanging="539"/>
        <w:rPr>
          <w:lang w:eastAsia="en-AU"/>
        </w:rPr>
      </w:pPr>
      <w:r>
        <w:rPr>
          <w:lang w:eastAsia="en-AU"/>
        </w:rPr>
        <w:t xml:space="preserve">(8) </w:t>
      </w:r>
      <w:r>
        <w:rPr>
          <w:lang w:eastAsia="en-AU"/>
        </w:rPr>
        <w:tab/>
        <w:t>If the designated Minister decided not to declare the service, the Tribunal may either:</w:t>
      </w:r>
    </w:p>
    <w:p w14:paraId="2A70A319" w14:textId="77777777" w:rsidR="00BB4178" w:rsidRDefault="00BB4178">
      <w:pPr>
        <w:pStyle w:val="Quote2"/>
        <w:rPr>
          <w:lang w:eastAsia="en-AU"/>
        </w:rPr>
      </w:pPr>
      <w:r>
        <w:rPr>
          <w:lang w:eastAsia="en-AU"/>
        </w:rPr>
        <w:t xml:space="preserve">(a) </w:t>
      </w:r>
      <w:r>
        <w:rPr>
          <w:lang w:eastAsia="en-AU"/>
        </w:rPr>
        <w:tab/>
        <w:t xml:space="preserve">affirm the designated Minister’s decision; or </w:t>
      </w:r>
    </w:p>
    <w:p w14:paraId="3E2DB7A5" w14:textId="77777777" w:rsidR="00BB4178" w:rsidRDefault="00BB4178" w:rsidP="00BB4178">
      <w:pPr>
        <w:pStyle w:val="Quote2"/>
        <w:ind w:left="2160" w:hanging="720"/>
        <w:rPr>
          <w:lang w:eastAsia="en-AU"/>
        </w:rPr>
      </w:pPr>
      <w:r>
        <w:rPr>
          <w:lang w:eastAsia="en-AU"/>
        </w:rPr>
        <w:t xml:space="preserve">(b) </w:t>
      </w:r>
      <w:r>
        <w:rPr>
          <w:lang w:eastAsia="en-AU"/>
        </w:rPr>
        <w:tab/>
        <w:t>set aside the designated Minister’s decision and declare the service in question.</w:t>
      </w:r>
    </w:p>
    <w:p w14:paraId="7AEB0C4E" w14:textId="77777777" w:rsidR="00640BA3" w:rsidRDefault="00BB4178" w:rsidP="00CA3B98">
      <w:pPr>
        <w:pStyle w:val="Quote1"/>
        <w:tabs>
          <w:tab w:val="left" w:pos="1276"/>
        </w:tabs>
        <w:ind w:left="1276" w:hanging="539"/>
        <w:rPr>
          <w:lang w:eastAsia="en-AU"/>
        </w:rPr>
      </w:pPr>
      <w:r>
        <w:rPr>
          <w:lang w:eastAsia="en-AU"/>
        </w:rPr>
        <w:t xml:space="preserve">(9) </w:t>
      </w:r>
      <w:r>
        <w:rPr>
          <w:lang w:eastAsia="en-AU"/>
        </w:rPr>
        <w:tab/>
        <w:t>A declaration, or varied declaration, made by the Tribunal is to be taken to be a declaration by the designated Minister for all purposes of this Part (except this section).</w:t>
      </w:r>
    </w:p>
    <w:p w14:paraId="26440499" w14:textId="77777777" w:rsidR="00BA7DE9" w:rsidRDefault="00BA7DE9" w:rsidP="00640BA3">
      <w:pPr>
        <w:pStyle w:val="ParaNumbering"/>
        <w:rPr>
          <w:lang w:eastAsia="en-AU"/>
        </w:rPr>
      </w:pPr>
      <w:r>
        <w:rPr>
          <w:lang w:eastAsia="en-AU"/>
        </w:rPr>
        <w:t xml:space="preserve">The Tribunal’s review power under s 44K was the subject of detailed consideration by the High </w:t>
      </w:r>
      <w:r w:rsidRPr="00EC7767">
        <w:rPr>
          <w:lang w:eastAsia="en-AU"/>
        </w:rPr>
        <w:t xml:space="preserve">Court in </w:t>
      </w:r>
      <w:r w:rsidRPr="00C31053">
        <w:rPr>
          <w:i/>
          <w:lang w:eastAsia="en-AU"/>
        </w:rPr>
        <w:t>Pilbara Infrastructure Pty Ltd v Australian Competition Tribunal</w:t>
      </w:r>
      <w:r w:rsidRPr="00C31053">
        <w:rPr>
          <w:lang w:eastAsia="en-AU"/>
        </w:rPr>
        <w:t xml:space="preserve"> (2012) 246 CLR 379</w:t>
      </w:r>
      <w:r w:rsidRPr="00177558">
        <w:rPr>
          <w:lang w:eastAsia="en-AU"/>
        </w:rPr>
        <w:t xml:space="preserve"> (the </w:t>
      </w:r>
      <w:r w:rsidRPr="00177558">
        <w:rPr>
          <w:b/>
          <w:i/>
          <w:lang w:eastAsia="en-AU"/>
        </w:rPr>
        <w:t>Pilbara case</w:t>
      </w:r>
      <w:r w:rsidRPr="00177558">
        <w:rPr>
          <w:lang w:eastAsia="en-AU"/>
        </w:rPr>
        <w:t xml:space="preserve">), while recognising that </w:t>
      </w:r>
      <w:r w:rsidR="00AF289B" w:rsidRPr="00177558">
        <w:rPr>
          <w:lang w:eastAsia="en-AU"/>
        </w:rPr>
        <w:t>that case considered s 44K in its form prior to the amendments m</w:t>
      </w:r>
      <w:r w:rsidR="00AF289B" w:rsidRPr="00EC7767">
        <w:rPr>
          <w:lang w:eastAsia="en-AU"/>
        </w:rPr>
        <w:t xml:space="preserve">ade by </w:t>
      </w:r>
      <w:r w:rsidR="00A50686" w:rsidRPr="00EC7767">
        <w:rPr>
          <w:lang w:eastAsia="en-AU"/>
        </w:rPr>
        <w:t>the 2010 Amendment</w:t>
      </w:r>
      <w:r w:rsidR="00A50686" w:rsidRPr="00642609">
        <w:rPr>
          <w:lang w:eastAsia="en-AU"/>
        </w:rPr>
        <w:t xml:space="preserve"> Act</w:t>
      </w:r>
      <w:r w:rsidR="00A50686">
        <w:rPr>
          <w:lang w:eastAsia="en-AU"/>
        </w:rPr>
        <w:t>.</w:t>
      </w:r>
    </w:p>
    <w:p w14:paraId="1A712997" w14:textId="77777777" w:rsidR="00640BA3" w:rsidRDefault="00CA3B98" w:rsidP="00640BA3">
      <w:pPr>
        <w:pStyle w:val="ParaNumbering"/>
        <w:rPr>
          <w:lang w:eastAsia="en-AU"/>
        </w:rPr>
      </w:pPr>
      <w:r>
        <w:rPr>
          <w:lang w:eastAsia="en-AU"/>
        </w:rPr>
        <w:t xml:space="preserve">By s 44K(4), the review </w:t>
      </w:r>
      <w:r w:rsidR="009026E9">
        <w:rPr>
          <w:lang w:eastAsia="en-AU"/>
        </w:rPr>
        <w:t xml:space="preserve">by the Tribunal </w:t>
      </w:r>
      <w:r>
        <w:rPr>
          <w:lang w:eastAsia="en-AU"/>
        </w:rPr>
        <w:t xml:space="preserve">is defined as, and limited to, a “re‑consideration of the matter based on the information, reports and things referred to in section 44ZZOAA”. </w:t>
      </w:r>
      <w:r w:rsidR="00640BA3">
        <w:rPr>
          <w:lang w:eastAsia="en-AU"/>
        </w:rPr>
        <w:t>Four aspects of s 44K(4) should be noted.</w:t>
      </w:r>
    </w:p>
    <w:p w14:paraId="02554EB1" w14:textId="77777777" w:rsidR="00640BA3" w:rsidRDefault="00640BA3" w:rsidP="00640BA3">
      <w:pPr>
        <w:pStyle w:val="ParaNumbering"/>
        <w:rPr>
          <w:lang w:eastAsia="en-AU"/>
        </w:rPr>
      </w:pPr>
      <w:r>
        <w:rPr>
          <w:lang w:eastAsia="en-AU"/>
        </w:rPr>
        <w:t xml:space="preserve">First, the “matter” to be reviewed by the Tribunal is the </w:t>
      </w:r>
      <w:r w:rsidR="00BA7DE9">
        <w:rPr>
          <w:lang w:eastAsia="en-AU"/>
        </w:rPr>
        <w:t>Treasurer</w:t>
      </w:r>
      <w:r>
        <w:rPr>
          <w:lang w:eastAsia="en-AU"/>
        </w:rPr>
        <w:t xml:space="preserve">’s </w:t>
      </w:r>
      <w:r w:rsidR="00CF3C70">
        <w:rPr>
          <w:lang w:eastAsia="en-AU"/>
        </w:rPr>
        <w:t>decision</w:t>
      </w:r>
      <w:r>
        <w:rPr>
          <w:lang w:eastAsia="en-AU"/>
        </w:rPr>
        <w:t xml:space="preserve"> not to declare the </w:t>
      </w:r>
      <w:r w:rsidR="00BA7DE9">
        <w:rPr>
          <w:lang w:eastAsia="en-AU"/>
        </w:rPr>
        <w:t xml:space="preserve">relevant </w:t>
      </w:r>
      <w:r>
        <w:rPr>
          <w:lang w:eastAsia="en-AU"/>
        </w:rPr>
        <w:t xml:space="preserve">service, not the NCC </w:t>
      </w:r>
      <w:r w:rsidR="00BA7DE9">
        <w:rPr>
          <w:lang w:eastAsia="en-AU"/>
        </w:rPr>
        <w:t>R</w:t>
      </w:r>
      <w:r>
        <w:rPr>
          <w:lang w:eastAsia="en-AU"/>
        </w:rPr>
        <w:t xml:space="preserve">ecommendation. In the </w:t>
      </w:r>
      <w:r w:rsidRPr="0091160A">
        <w:rPr>
          <w:i/>
          <w:lang w:eastAsia="en-AU"/>
        </w:rPr>
        <w:t>Pilbara case</w:t>
      </w:r>
      <w:r>
        <w:rPr>
          <w:lang w:eastAsia="en-AU"/>
        </w:rPr>
        <w:t>, the plurality stated (at [37]):</w:t>
      </w:r>
    </w:p>
    <w:p w14:paraId="1DB87EB2" w14:textId="77777777" w:rsidR="00640BA3" w:rsidRDefault="00640BA3">
      <w:pPr>
        <w:pStyle w:val="Quote1"/>
        <w:rPr>
          <w:lang w:eastAsia="en-AU"/>
        </w:rPr>
      </w:pPr>
      <w:r>
        <w:rPr>
          <w:lang w:eastAsia="en-AU"/>
        </w:rPr>
        <w:t>The “matter” referred to in s 44K(4) was identified in s 44K(1) and (2). In a case where the Minister has declared a service, the “matter” is “the declaration” made by the Minister. In a case where the Minister decided not to declare a service, the matter is “the designated Minister’s decision” not to make a declaration. In both cases, the hinge about which the identification of the “matter” turns is what the Minister has done, not what the NCC did when it made its declaration recommendation. The requirement of s 44K(4) – that the Tribunal review the matter and that the review be “a re-consideration of the matter” – necessitates identification of the Minister’s task. It is that task, and the result of its performance, which is to be subject to “re-consideration” by the Tribunal.</w:t>
      </w:r>
    </w:p>
    <w:p w14:paraId="49E13474" w14:textId="77777777" w:rsidR="00640BA3" w:rsidRDefault="00640BA3" w:rsidP="00640BA3">
      <w:pPr>
        <w:pStyle w:val="ParaNumbering"/>
        <w:rPr>
          <w:lang w:eastAsia="en-AU"/>
        </w:rPr>
      </w:pPr>
      <w:r>
        <w:rPr>
          <w:lang w:eastAsia="en-AU"/>
        </w:rPr>
        <w:t xml:space="preserve">Second, the </w:t>
      </w:r>
      <w:r w:rsidR="00BA7DE9">
        <w:rPr>
          <w:lang w:eastAsia="en-AU"/>
        </w:rPr>
        <w:t>Treasur</w:t>
      </w:r>
      <w:r>
        <w:rPr>
          <w:lang w:eastAsia="en-AU"/>
        </w:rPr>
        <w:t xml:space="preserve">er’s </w:t>
      </w:r>
      <w:r w:rsidR="00CF3C70">
        <w:rPr>
          <w:lang w:eastAsia="en-AU"/>
        </w:rPr>
        <w:t>decision</w:t>
      </w:r>
      <w:r>
        <w:rPr>
          <w:lang w:eastAsia="en-AU"/>
        </w:rPr>
        <w:t>, which is the subject of review by the Tribunal, is defined by s</w:t>
      </w:r>
      <w:r w:rsidR="004E71AB">
        <w:rPr>
          <w:lang w:eastAsia="en-AU"/>
        </w:rPr>
        <w:t> </w:t>
      </w:r>
      <w:r>
        <w:rPr>
          <w:lang w:eastAsia="en-AU"/>
        </w:rPr>
        <w:t xml:space="preserve">44H(1). </w:t>
      </w:r>
      <w:r w:rsidR="00BA7DE9">
        <w:rPr>
          <w:lang w:eastAsia="en-AU"/>
        </w:rPr>
        <w:t>T</w:t>
      </w:r>
      <w:r>
        <w:rPr>
          <w:lang w:eastAsia="en-AU"/>
        </w:rPr>
        <w:t xml:space="preserve">he plurality in the </w:t>
      </w:r>
      <w:r w:rsidRPr="00D705F0">
        <w:rPr>
          <w:i/>
          <w:lang w:eastAsia="en-AU"/>
        </w:rPr>
        <w:t>Pilbara case</w:t>
      </w:r>
      <w:r>
        <w:rPr>
          <w:lang w:eastAsia="en-AU"/>
        </w:rPr>
        <w:t xml:space="preserve"> described the Minister’s decision-making task as follows (at [45]-[47]):</w:t>
      </w:r>
    </w:p>
    <w:p w14:paraId="5FA6230D" w14:textId="77777777" w:rsidR="00640BA3" w:rsidRDefault="00640BA3" w:rsidP="007D4E85">
      <w:pPr>
        <w:pStyle w:val="Quote1"/>
        <w:ind w:left="1440" w:hanging="703"/>
        <w:rPr>
          <w:lang w:eastAsia="en-AU"/>
        </w:rPr>
      </w:pPr>
      <w:r>
        <w:rPr>
          <w:lang w:eastAsia="en-AU"/>
        </w:rPr>
        <w:t>45</w:t>
      </w:r>
      <w:r>
        <w:rPr>
          <w:lang w:eastAsia="en-AU"/>
        </w:rPr>
        <w:tab/>
        <w:t xml:space="preserve">The Minister had only a short time to decide how to respond to a declaration recommendation. While the NCC could extend (s 44GA) the time for making its recommendation about an application for a declaration, the Minister was </w:t>
      </w:r>
      <w:r>
        <w:rPr>
          <w:lang w:eastAsia="en-AU"/>
        </w:rPr>
        <w:lastRenderedPageBreak/>
        <w:t xml:space="preserve">given sixty days after receiving the NCC’s declaration recommendation to decide whether to declare the service. Section 44H(9) provided that, if the Minister did not publish his or her decision on the declaration recommendation within sixty days after receiving it, the Minister was taken, at the end of that period, to have decided not to declare the service and to have published that decision. In such a case, the Minister would publish no reasons for decision but the NCC’s reasons for recommending a declaration would be published pursuant to s 44GC. If the Minister made a decision, the Act obliged (s 44HA(1)) the Minister to publish that decision and the reasons for it. </w:t>
      </w:r>
    </w:p>
    <w:p w14:paraId="039B8C8F" w14:textId="77777777" w:rsidR="00640BA3" w:rsidRDefault="00640BA3" w:rsidP="007D4E85">
      <w:pPr>
        <w:pStyle w:val="Quote1"/>
        <w:ind w:left="1440" w:hanging="703"/>
        <w:rPr>
          <w:lang w:eastAsia="en-AU"/>
        </w:rPr>
      </w:pPr>
      <w:r>
        <w:rPr>
          <w:lang w:eastAsia="en-AU"/>
        </w:rPr>
        <w:t>46</w:t>
      </w:r>
      <w:r>
        <w:rPr>
          <w:lang w:eastAsia="en-AU"/>
        </w:rPr>
        <w:tab/>
        <w:t>There is one other aspect of the Act’s treatment of the Minister’s task to which attention should be drawn. The Minister, unlike the Tribunal (s 44K(6)), was given no express power to request any further information, assistance or report from the NCC. The statutory supposition appears to have been that the Minister could and would make a decision on the NCC’s recommendation without any need for further information from the NCC.</w:t>
      </w:r>
    </w:p>
    <w:p w14:paraId="016BED78" w14:textId="77777777" w:rsidR="00640BA3" w:rsidRDefault="00640BA3" w:rsidP="007D4E85">
      <w:pPr>
        <w:pStyle w:val="Quote1"/>
        <w:ind w:left="1440" w:hanging="703"/>
        <w:rPr>
          <w:lang w:eastAsia="en-AU"/>
        </w:rPr>
      </w:pPr>
      <w:r>
        <w:rPr>
          <w:lang w:eastAsia="en-AU"/>
        </w:rPr>
        <w:t>47</w:t>
      </w:r>
      <w:r>
        <w:rPr>
          <w:lang w:eastAsia="en-AU"/>
        </w:rPr>
        <w:tab/>
        <w:t>The content of those provisions of Pt IIIA to which reference has been made suggests that it was expected that, armed with a recommendation from an expert and non-partisan body (the NCC), the Minister would make a decision quickly and would do so according to not only the Minister’s view of the public interest but also the expert advice given by the NCC about the more technical criteria of which the Minister had to be satisfied before a declaration could be made. And it is the Minister’s decision, not the NCC’s recommendation, that was the matter that was to be reviewed by the Tribunal.</w:t>
      </w:r>
    </w:p>
    <w:p w14:paraId="2481CBD1" w14:textId="77777777" w:rsidR="00640BA3" w:rsidRDefault="00640BA3" w:rsidP="00640BA3">
      <w:pPr>
        <w:pStyle w:val="ParaNumbering"/>
        <w:rPr>
          <w:lang w:eastAsia="en-AU"/>
        </w:rPr>
      </w:pPr>
      <w:r>
        <w:rPr>
          <w:lang w:eastAsia="en-AU"/>
        </w:rPr>
        <w:t>Third, a review which is a “re-consideration” is a more limited form of review than a “re</w:t>
      </w:r>
      <w:r w:rsidR="004E71AB">
        <w:rPr>
          <w:lang w:eastAsia="en-AU"/>
        </w:rPr>
        <w:noBreakHyphen/>
      </w:r>
      <w:r>
        <w:rPr>
          <w:lang w:eastAsia="en-AU"/>
        </w:rPr>
        <w:t xml:space="preserve">hearing” (as might be conducted by the Tribunal under Part IX of the Act). The plurality in the </w:t>
      </w:r>
      <w:r w:rsidRPr="00D705F0">
        <w:rPr>
          <w:i/>
          <w:lang w:eastAsia="en-AU"/>
        </w:rPr>
        <w:t>Pilbara case</w:t>
      </w:r>
      <w:r>
        <w:rPr>
          <w:lang w:eastAsia="en-AU"/>
        </w:rPr>
        <w:t xml:space="preserve"> contrasted the two forms of review as follows (at [60] and [65]):</w:t>
      </w:r>
    </w:p>
    <w:p w14:paraId="2274E5BF" w14:textId="77777777" w:rsidR="00640BA3" w:rsidRDefault="00640BA3" w:rsidP="00D31E21">
      <w:pPr>
        <w:pStyle w:val="Quote1"/>
        <w:ind w:left="1440" w:hanging="703"/>
        <w:rPr>
          <w:lang w:eastAsia="en-AU"/>
        </w:rPr>
      </w:pPr>
      <w:r>
        <w:rPr>
          <w:lang w:eastAsia="en-AU"/>
        </w:rPr>
        <w:t>60</w:t>
      </w:r>
      <w:r>
        <w:rPr>
          <w:lang w:eastAsia="en-AU"/>
        </w:rPr>
        <w:tab/>
        <w:t xml:space="preserve">When s 101(2) of the Act used “re-hearing” to describe the task of the Tribunal reviewing a determination of the Commission, it was using “re-hearing” in a context wholly divorced from the exercise of judicial power. And when s 44K(4) referred to “re-consideration”, it too used that word in a context divorced from the exercise of judicial power. Nonetheless, some different meaning must presumably be intended by the use of the different words in identifying the review to be undertaken by the Tribunal. The contrast is best understood as being between a “re-hearing” which requires deciding an issue afresh on whatever material is placed before the new decision maker and a “re-consideration” which requires reviewing what the original decision maker decided and doing that by reference to the material that was placed before the original decision maker (supplemented, in this kind of case, only by whatever material the NCC provides in answer to requests made by the Tribunal pursuant to s 44K(6)). </w:t>
      </w:r>
    </w:p>
    <w:p w14:paraId="799EA70A" w14:textId="77777777" w:rsidR="00640BA3" w:rsidRDefault="00640BA3" w:rsidP="00D31E21">
      <w:pPr>
        <w:pStyle w:val="Quote2"/>
        <w:rPr>
          <w:lang w:eastAsia="en-AU"/>
        </w:rPr>
      </w:pPr>
      <w:r>
        <w:rPr>
          <w:lang w:eastAsia="en-AU"/>
        </w:rPr>
        <w:t>…</w:t>
      </w:r>
    </w:p>
    <w:p w14:paraId="567B1A3D" w14:textId="77777777" w:rsidR="00640BA3" w:rsidRDefault="00640BA3" w:rsidP="00D31E21">
      <w:pPr>
        <w:pStyle w:val="Quote1"/>
        <w:ind w:left="1440" w:hanging="703"/>
        <w:rPr>
          <w:lang w:eastAsia="en-AU"/>
        </w:rPr>
      </w:pPr>
      <w:r>
        <w:rPr>
          <w:lang w:eastAsia="en-AU"/>
        </w:rPr>
        <w:t>65</w:t>
      </w:r>
      <w:r>
        <w:rPr>
          <w:lang w:eastAsia="en-AU"/>
        </w:rPr>
        <w:tab/>
        <w:t>As has already been noted, the Tribunal treated its task as being to decide afresh on the new body of evidence and material placed before it whether the services should be declared. That was not its task. Its task was to review the Minister’s decisions by reconsidering those decisions on the material before the Minister supplemented, if necessary, by any information, assistance or report given to the Tribunal by the NCC in response to a request made under s 44K(6)…</w:t>
      </w:r>
    </w:p>
    <w:p w14:paraId="4BAA7219" w14:textId="77777777" w:rsidR="00640BA3" w:rsidRDefault="00640BA3" w:rsidP="00640BA3">
      <w:pPr>
        <w:pStyle w:val="ParaNumbering"/>
        <w:rPr>
          <w:lang w:eastAsia="en-AU"/>
        </w:rPr>
      </w:pPr>
      <w:r>
        <w:rPr>
          <w:lang w:eastAsia="en-AU"/>
        </w:rPr>
        <w:lastRenderedPageBreak/>
        <w:t xml:space="preserve">The fourth aspect of s 44K(4) to be noted is the requirement, introduced by the </w:t>
      </w:r>
      <w:r w:rsidRPr="00DA03CC">
        <w:rPr>
          <w:lang w:eastAsia="en-AU"/>
        </w:rPr>
        <w:t>2010 Amendment Act</w:t>
      </w:r>
      <w:r>
        <w:rPr>
          <w:lang w:eastAsia="en-AU"/>
        </w:rPr>
        <w:t xml:space="preserve">, that the re-consideration of the </w:t>
      </w:r>
      <w:r w:rsidR="00ED5273">
        <w:rPr>
          <w:lang w:eastAsia="en-AU"/>
        </w:rPr>
        <w:t>Treasurer</w:t>
      </w:r>
      <w:r>
        <w:rPr>
          <w:lang w:eastAsia="en-AU"/>
        </w:rPr>
        <w:t xml:space="preserve">’s </w:t>
      </w:r>
      <w:r w:rsidR="00CF3C70">
        <w:rPr>
          <w:lang w:eastAsia="en-AU"/>
        </w:rPr>
        <w:t>decision</w:t>
      </w:r>
      <w:r>
        <w:rPr>
          <w:lang w:eastAsia="en-AU"/>
        </w:rPr>
        <w:t xml:space="preserve"> is to be </w:t>
      </w:r>
      <w:r w:rsidRPr="00D731FE">
        <w:rPr>
          <w:lang w:eastAsia="en-AU"/>
        </w:rPr>
        <w:t xml:space="preserve">based on the information, reports and things referred to in </w:t>
      </w:r>
      <w:r>
        <w:rPr>
          <w:lang w:eastAsia="en-AU"/>
        </w:rPr>
        <w:t>s</w:t>
      </w:r>
      <w:r w:rsidRPr="00D731FE">
        <w:rPr>
          <w:lang w:eastAsia="en-AU"/>
        </w:rPr>
        <w:t xml:space="preserve"> 44ZZOAA</w:t>
      </w:r>
      <w:r>
        <w:rPr>
          <w:lang w:eastAsia="en-AU"/>
        </w:rPr>
        <w:t xml:space="preserve">. That section (which was also introduced by the </w:t>
      </w:r>
      <w:r w:rsidRPr="00DA03CC">
        <w:rPr>
          <w:lang w:eastAsia="en-AU"/>
        </w:rPr>
        <w:t>2010 Amendment Act</w:t>
      </w:r>
      <w:r>
        <w:rPr>
          <w:lang w:eastAsia="en-AU"/>
        </w:rPr>
        <w:t>) relevantly provides as follows:</w:t>
      </w:r>
    </w:p>
    <w:p w14:paraId="64E7FE0C" w14:textId="77777777" w:rsidR="00640BA3" w:rsidRPr="00765B20" w:rsidRDefault="00640BA3" w:rsidP="00640BA3">
      <w:pPr>
        <w:pStyle w:val="Quote1"/>
        <w:rPr>
          <w:b/>
          <w:lang w:eastAsia="en-AU"/>
        </w:rPr>
      </w:pPr>
      <w:r w:rsidRPr="00765B20">
        <w:rPr>
          <w:b/>
          <w:lang w:eastAsia="en-AU"/>
        </w:rPr>
        <w:t>44ZZOAA Tribunal only to consider particular material</w:t>
      </w:r>
    </w:p>
    <w:p w14:paraId="330A11D0" w14:textId="77777777" w:rsidR="00640BA3" w:rsidRDefault="00640BA3" w:rsidP="00640BA3">
      <w:pPr>
        <w:pStyle w:val="Quote1"/>
        <w:rPr>
          <w:lang w:eastAsia="en-AU"/>
        </w:rPr>
      </w:pPr>
      <w:r>
        <w:rPr>
          <w:lang w:eastAsia="en-AU"/>
        </w:rPr>
        <w:t>For the purposes of a review under this Part, the Tribunal:</w:t>
      </w:r>
    </w:p>
    <w:p w14:paraId="245A3148" w14:textId="77777777" w:rsidR="00640BA3" w:rsidRDefault="00640BA3" w:rsidP="00640BA3">
      <w:pPr>
        <w:pStyle w:val="Quote1"/>
        <w:tabs>
          <w:tab w:val="left" w:pos="1418"/>
        </w:tabs>
        <w:ind w:left="1418" w:hanging="681"/>
        <w:rPr>
          <w:lang w:eastAsia="en-AU"/>
        </w:rPr>
      </w:pPr>
      <w:r>
        <w:rPr>
          <w:lang w:eastAsia="en-AU"/>
        </w:rPr>
        <w:t>(a)</w:t>
      </w:r>
      <w:r>
        <w:rPr>
          <w:lang w:eastAsia="en-AU"/>
        </w:rPr>
        <w:tab/>
        <w:t>subject to paragraph (b), must have regard to:</w:t>
      </w:r>
    </w:p>
    <w:p w14:paraId="33214D08" w14:textId="77777777" w:rsidR="00640BA3" w:rsidRDefault="00640BA3" w:rsidP="00E33FEA">
      <w:pPr>
        <w:pStyle w:val="Quote2"/>
        <w:ind w:left="2160" w:hanging="720"/>
        <w:rPr>
          <w:lang w:eastAsia="en-AU"/>
        </w:rPr>
      </w:pPr>
      <w:r>
        <w:rPr>
          <w:lang w:eastAsia="en-AU"/>
        </w:rPr>
        <w:t>(</w:t>
      </w:r>
      <w:proofErr w:type="spellStart"/>
      <w:r>
        <w:rPr>
          <w:lang w:eastAsia="en-AU"/>
        </w:rPr>
        <w:t>i</w:t>
      </w:r>
      <w:proofErr w:type="spellEnd"/>
      <w:r>
        <w:rPr>
          <w:lang w:eastAsia="en-AU"/>
        </w:rPr>
        <w:t xml:space="preserve">) </w:t>
      </w:r>
      <w:r>
        <w:rPr>
          <w:lang w:eastAsia="en-AU"/>
        </w:rPr>
        <w:tab/>
        <w:t>information that was given to the Tribunal under subsection 44ZZOAAA(3); and</w:t>
      </w:r>
    </w:p>
    <w:p w14:paraId="1F94F663" w14:textId="77777777" w:rsidR="00640BA3" w:rsidRDefault="00640BA3" w:rsidP="00E33FEA">
      <w:pPr>
        <w:pStyle w:val="Quote2"/>
        <w:ind w:left="2160" w:hanging="720"/>
        <w:rPr>
          <w:lang w:eastAsia="en-AU"/>
        </w:rPr>
      </w:pPr>
      <w:r>
        <w:rPr>
          <w:lang w:eastAsia="en-AU"/>
        </w:rPr>
        <w:t xml:space="preserve">(ii) </w:t>
      </w:r>
      <w:r>
        <w:rPr>
          <w:lang w:eastAsia="en-AU"/>
        </w:rPr>
        <w:tab/>
        <w:t>any information given to the Tribunal in accordance with a notice given under subsection 44ZZOAAA(5); and</w:t>
      </w:r>
    </w:p>
    <w:p w14:paraId="30BCFC92" w14:textId="77777777" w:rsidR="00640BA3" w:rsidRDefault="00640BA3" w:rsidP="00E33FEA">
      <w:pPr>
        <w:pStyle w:val="Quote2"/>
        <w:ind w:left="2160" w:hanging="720"/>
        <w:rPr>
          <w:lang w:eastAsia="en-AU"/>
        </w:rPr>
      </w:pPr>
      <w:r w:rsidRPr="00765B20">
        <w:rPr>
          <w:lang w:eastAsia="en-AU"/>
        </w:rPr>
        <w:t>(iii</w:t>
      </w:r>
      <w:r>
        <w:rPr>
          <w:lang w:eastAsia="en-AU"/>
        </w:rPr>
        <w:t xml:space="preserve">) </w:t>
      </w:r>
      <w:r>
        <w:rPr>
          <w:lang w:eastAsia="en-AU"/>
        </w:rPr>
        <w:tab/>
      </w:r>
      <w:proofErr w:type="spellStart"/>
      <w:r>
        <w:rPr>
          <w:lang w:eastAsia="en-AU"/>
        </w:rPr>
        <w:t>any thing</w:t>
      </w:r>
      <w:proofErr w:type="spellEnd"/>
      <w:r>
        <w:rPr>
          <w:lang w:eastAsia="en-AU"/>
        </w:rPr>
        <w:t xml:space="preserve"> done as mentioned in subsection 44K(6) …; and</w:t>
      </w:r>
    </w:p>
    <w:p w14:paraId="5D324740" w14:textId="77777777" w:rsidR="00640BA3" w:rsidRDefault="00640BA3" w:rsidP="00E33FEA">
      <w:pPr>
        <w:pStyle w:val="Quote2"/>
        <w:ind w:left="2160" w:hanging="720"/>
        <w:rPr>
          <w:lang w:eastAsia="en-AU"/>
        </w:rPr>
      </w:pPr>
      <w:r>
        <w:rPr>
          <w:lang w:eastAsia="en-AU"/>
        </w:rPr>
        <w:t xml:space="preserve">(iv) </w:t>
      </w:r>
      <w:r>
        <w:rPr>
          <w:lang w:eastAsia="en-AU"/>
        </w:rPr>
        <w:tab/>
        <w:t>any information or report given to the Tribunal in relation to the review under subsection 44K(6A) … within the specified period; and</w:t>
      </w:r>
    </w:p>
    <w:p w14:paraId="6CE456C3" w14:textId="77777777" w:rsidR="00640BA3" w:rsidRDefault="00640BA3" w:rsidP="00640BA3">
      <w:pPr>
        <w:pStyle w:val="Quote1"/>
        <w:tabs>
          <w:tab w:val="left" w:pos="1418"/>
        </w:tabs>
        <w:ind w:left="1418" w:hanging="681"/>
        <w:rPr>
          <w:lang w:eastAsia="en-AU"/>
        </w:rPr>
      </w:pPr>
      <w:r>
        <w:rPr>
          <w:lang w:eastAsia="en-AU"/>
        </w:rPr>
        <w:t xml:space="preserve"> (b) </w:t>
      </w:r>
      <w:r>
        <w:rPr>
          <w:lang w:eastAsia="en-AU"/>
        </w:rPr>
        <w:tab/>
        <w:t>may disregard:</w:t>
      </w:r>
    </w:p>
    <w:p w14:paraId="0EE161FE" w14:textId="77777777" w:rsidR="00640BA3" w:rsidRDefault="00640BA3" w:rsidP="00E33FEA">
      <w:pPr>
        <w:pStyle w:val="Quote2"/>
        <w:ind w:left="2160" w:hanging="720"/>
        <w:rPr>
          <w:lang w:eastAsia="en-AU"/>
        </w:rPr>
      </w:pPr>
      <w:r>
        <w:rPr>
          <w:lang w:eastAsia="en-AU"/>
        </w:rPr>
        <w:t>(</w:t>
      </w:r>
      <w:proofErr w:type="spellStart"/>
      <w:r>
        <w:rPr>
          <w:lang w:eastAsia="en-AU"/>
        </w:rPr>
        <w:t>i</w:t>
      </w:r>
      <w:proofErr w:type="spellEnd"/>
      <w:r>
        <w:rPr>
          <w:lang w:eastAsia="en-AU"/>
        </w:rPr>
        <w:t xml:space="preserve">) </w:t>
      </w:r>
      <w:r>
        <w:rPr>
          <w:lang w:eastAsia="en-AU"/>
        </w:rPr>
        <w:tab/>
        <w:t>any information given to the Tribunal in response to a notice given under subsection 44ZZOAAA(5) after the period specified in the notice has ended; and</w:t>
      </w:r>
    </w:p>
    <w:p w14:paraId="7778F728" w14:textId="77777777" w:rsidR="00640BA3" w:rsidRDefault="00640BA3" w:rsidP="00E33FEA">
      <w:pPr>
        <w:pStyle w:val="Quote2"/>
        <w:ind w:left="2160" w:hanging="720"/>
        <w:rPr>
          <w:lang w:eastAsia="en-AU"/>
        </w:rPr>
      </w:pPr>
      <w:r>
        <w:rPr>
          <w:lang w:eastAsia="en-AU"/>
        </w:rPr>
        <w:t xml:space="preserve">(ii) </w:t>
      </w:r>
      <w:r>
        <w:rPr>
          <w:lang w:eastAsia="en-AU"/>
        </w:rPr>
        <w:tab/>
        <w:t>any information or report of the kind specified in a notice under subsection 44K(6A) … that is given to the Tribunal after the specified period has ended.</w:t>
      </w:r>
    </w:p>
    <w:p w14:paraId="76AEA7F9" w14:textId="77777777" w:rsidR="001678A4" w:rsidRDefault="00640BA3" w:rsidP="00640BA3">
      <w:pPr>
        <w:pStyle w:val="ParaNumbering"/>
        <w:rPr>
          <w:lang w:eastAsia="en-AU"/>
        </w:rPr>
      </w:pPr>
      <w:r>
        <w:rPr>
          <w:lang w:eastAsia="en-AU"/>
        </w:rPr>
        <w:t xml:space="preserve">In the </w:t>
      </w:r>
      <w:r w:rsidR="00A50686">
        <w:rPr>
          <w:lang w:eastAsia="en-AU"/>
        </w:rPr>
        <w:t xml:space="preserve">present case, </w:t>
      </w:r>
      <w:r w:rsidR="001678A4" w:rsidRPr="00D731FE">
        <w:rPr>
          <w:lang w:eastAsia="en-AU"/>
        </w:rPr>
        <w:t xml:space="preserve">the </w:t>
      </w:r>
      <w:r w:rsidR="001678A4">
        <w:rPr>
          <w:lang w:eastAsia="en-AU"/>
        </w:rPr>
        <w:t>“</w:t>
      </w:r>
      <w:r w:rsidR="001678A4" w:rsidRPr="00D731FE">
        <w:rPr>
          <w:lang w:eastAsia="en-AU"/>
        </w:rPr>
        <w:t xml:space="preserve">information, reports and things referred to in </w:t>
      </w:r>
      <w:r w:rsidR="001678A4">
        <w:rPr>
          <w:lang w:eastAsia="en-AU"/>
        </w:rPr>
        <w:t>s</w:t>
      </w:r>
      <w:r w:rsidR="001678A4" w:rsidRPr="00D731FE">
        <w:rPr>
          <w:lang w:eastAsia="en-AU"/>
        </w:rPr>
        <w:t xml:space="preserve"> 44ZZOAA</w:t>
      </w:r>
      <w:r w:rsidR="001678A4">
        <w:rPr>
          <w:lang w:eastAsia="en-AU"/>
        </w:rPr>
        <w:t>” comprise the following</w:t>
      </w:r>
      <w:r w:rsidR="009F0B46">
        <w:rPr>
          <w:lang w:eastAsia="en-AU"/>
        </w:rPr>
        <w:t>:</w:t>
      </w:r>
    </w:p>
    <w:p w14:paraId="256EF1C5" w14:textId="17302D6A" w:rsidR="001678A4" w:rsidRDefault="009F0B46" w:rsidP="00642609">
      <w:pPr>
        <w:pStyle w:val="ListNo1alt"/>
        <w:numPr>
          <w:ilvl w:val="0"/>
          <w:numId w:val="52"/>
        </w:numPr>
        <w:rPr>
          <w:lang w:eastAsia="en-AU"/>
        </w:rPr>
      </w:pPr>
      <w:r>
        <w:rPr>
          <w:lang w:eastAsia="en-AU"/>
        </w:rPr>
        <w:t xml:space="preserve">first, </w:t>
      </w:r>
      <w:r w:rsidR="001678A4">
        <w:rPr>
          <w:lang w:eastAsia="en-AU"/>
        </w:rPr>
        <w:t xml:space="preserve">the </w:t>
      </w:r>
      <w:r>
        <w:rPr>
          <w:lang w:eastAsia="en-AU"/>
        </w:rPr>
        <w:t>material</w:t>
      </w:r>
      <w:r w:rsidR="001678A4">
        <w:rPr>
          <w:lang w:eastAsia="en-AU"/>
        </w:rPr>
        <w:t xml:space="preserve"> that was given to the Tribunal by the Treasurer under </w:t>
      </w:r>
      <w:r w:rsidR="0075617D">
        <w:rPr>
          <w:lang w:eastAsia="en-AU"/>
        </w:rPr>
        <w:t>s </w:t>
      </w:r>
      <w:r w:rsidR="001678A4">
        <w:rPr>
          <w:lang w:eastAsia="en-AU"/>
        </w:rPr>
        <w:t>44ZZOAAA(3)</w:t>
      </w:r>
      <w:r>
        <w:rPr>
          <w:lang w:eastAsia="en-AU"/>
        </w:rPr>
        <w:t xml:space="preserve"> on 21 April 2021</w:t>
      </w:r>
      <w:r w:rsidR="001678A4">
        <w:rPr>
          <w:lang w:eastAsia="en-AU"/>
        </w:rPr>
        <w:t xml:space="preserve">, which </w:t>
      </w:r>
      <w:r w:rsidRPr="009F0B46">
        <w:rPr>
          <w:lang w:eastAsia="en-AU"/>
        </w:rPr>
        <w:t>consist</w:t>
      </w:r>
      <w:r w:rsidR="0070314D">
        <w:rPr>
          <w:lang w:eastAsia="en-AU"/>
        </w:rPr>
        <w:t>ed</w:t>
      </w:r>
      <w:r w:rsidRPr="009F0B46">
        <w:rPr>
          <w:lang w:eastAsia="en-AU"/>
        </w:rPr>
        <w:t xml:space="preserve"> of a Treasury Ministerial Submission dated 18 December 2020, attaching the NCC </w:t>
      </w:r>
      <w:r>
        <w:rPr>
          <w:lang w:eastAsia="en-AU"/>
        </w:rPr>
        <w:t>R</w:t>
      </w:r>
      <w:r w:rsidRPr="009F0B46">
        <w:rPr>
          <w:lang w:eastAsia="en-AU"/>
        </w:rPr>
        <w:t>ecommendation, and a further Treasury Ministerial Submission dated 12 February 2021, attaching a proposed decision and statement of reasons, together with correspondence to the NCC, NSWMC and PNO notifying them of the Treasurer’s decision</w:t>
      </w:r>
      <w:r w:rsidR="001678A4">
        <w:rPr>
          <w:lang w:eastAsia="en-AU"/>
        </w:rPr>
        <w:t>;</w:t>
      </w:r>
    </w:p>
    <w:p w14:paraId="2C3DE537" w14:textId="77777777" w:rsidR="00642609" w:rsidRDefault="009F0B46" w:rsidP="00E33FEA">
      <w:pPr>
        <w:pStyle w:val="ListNo1alt"/>
        <w:numPr>
          <w:ilvl w:val="0"/>
          <w:numId w:val="52"/>
        </w:numPr>
        <w:rPr>
          <w:lang w:eastAsia="en-AU"/>
        </w:rPr>
      </w:pPr>
      <w:r>
        <w:rPr>
          <w:lang w:eastAsia="en-AU"/>
        </w:rPr>
        <w:t xml:space="preserve">second, </w:t>
      </w:r>
      <w:r w:rsidR="001678A4">
        <w:rPr>
          <w:lang w:eastAsia="en-AU"/>
        </w:rPr>
        <w:t xml:space="preserve">the </w:t>
      </w:r>
      <w:r>
        <w:rPr>
          <w:lang w:eastAsia="en-AU"/>
        </w:rPr>
        <w:t>material</w:t>
      </w:r>
      <w:r w:rsidR="001678A4">
        <w:rPr>
          <w:lang w:eastAsia="en-AU"/>
        </w:rPr>
        <w:t xml:space="preserve"> given to the Tribunal </w:t>
      </w:r>
      <w:r w:rsidR="00C83F0F">
        <w:rPr>
          <w:lang w:eastAsia="en-AU"/>
        </w:rPr>
        <w:t xml:space="preserve">by the NCC </w:t>
      </w:r>
      <w:r>
        <w:rPr>
          <w:lang w:eastAsia="en-AU"/>
        </w:rPr>
        <w:t xml:space="preserve">pursuant to a notice issued by the Tribunal </w:t>
      </w:r>
      <w:r w:rsidR="001678A4">
        <w:rPr>
          <w:lang w:eastAsia="en-AU"/>
        </w:rPr>
        <w:t xml:space="preserve">under </w:t>
      </w:r>
      <w:r w:rsidR="003453E0">
        <w:rPr>
          <w:lang w:eastAsia="en-AU"/>
        </w:rPr>
        <w:t>s</w:t>
      </w:r>
      <w:r w:rsidR="001678A4">
        <w:rPr>
          <w:lang w:eastAsia="en-AU"/>
        </w:rPr>
        <w:t xml:space="preserve"> 44K(6A)</w:t>
      </w:r>
      <w:r>
        <w:rPr>
          <w:lang w:eastAsia="en-AU"/>
        </w:rPr>
        <w:t xml:space="preserve"> on 16 June 2021</w:t>
      </w:r>
      <w:r w:rsidR="00C83F0F">
        <w:rPr>
          <w:lang w:eastAsia="en-AU"/>
        </w:rPr>
        <w:t xml:space="preserve">, which </w:t>
      </w:r>
      <w:r>
        <w:rPr>
          <w:lang w:eastAsia="en-AU"/>
        </w:rPr>
        <w:t>consist</w:t>
      </w:r>
      <w:r w:rsidR="0070314D">
        <w:rPr>
          <w:lang w:eastAsia="en-AU"/>
        </w:rPr>
        <w:t>ed</w:t>
      </w:r>
      <w:r>
        <w:rPr>
          <w:lang w:eastAsia="en-AU"/>
        </w:rPr>
        <w:t xml:space="preserve"> of</w:t>
      </w:r>
      <w:r w:rsidR="00C83F0F">
        <w:rPr>
          <w:lang w:eastAsia="en-AU"/>
        </w:rPr>
        <w:t xml:space="preserve"> three pro</w:t>
      </w:r>
      <w:r w:rsidR="004E71AB">
        <w:rPr>
          <w:lang w:eastAsia="en-AU"/>
        </w:rPr>
        <w:t> </w:t>
      </w:r>
      <w:r w:rsidR="00C83F0F">
        <w:rPr>
          <w:lang w:eastAsia="en-AU"/>
        </w:rPr>
        <w:t>forma deeds offered by PNO to Port users being</w:t>
      </w:r>
      <w:r w:rsidR="00642609">
        <w:rPr>
          <w:lang w:eastAsia="en-AU"/>
        </w:rPr>
        <w:t>:</w:t>
      </w:r>
    </w:p>
    <w:p w14:paraId="5D8F2FDE" w14:textId="77777777" w:rsidR="00642609" w:rsidRDefault="00C83F0F" w:rsidP="00E33FEA">
      <w:pPr>
        <w:pStyle w:val="ListNo2alt"/>
        <w:numPr>
          <w:ilvl w:val="1"/>
          <w:numId w:val="52"/>
        </w:numPr>
        <w:rPr>
          <w:lang w:eastAsia="en-AU"/>
        </w:rPr>
      </w:pPr>
      <w:r>
        <w:rPr>
          <w:lang w:eastAsia="en-AU"/>
        </w:rPr>
        <w:t>the Port User Pro Forma Long Term Pricing Deed</w:t>
      </w:r>
      <w:r w:rsidR="003B067A">
        <w:rPr>
          <w:lang w:eastAsia="en-AU"/>
        </w:rPr>
        <w:t xml:space="preserve"> (</w:t>
      </w:r>
      <w:r w:rsidR="003B067A" w:rsidRPr="003B067A">
        <w:rPr>
          <w:b/>
          <w:lang w:eastAsia="en-AU"/>
        </w:rPr>
        <w:t xml:space="preserve">Port User </w:t>
      </w:r>
      <w:r w:rsidR="003B067A">
        <w:rPr>
          <w:b/>
          <w:lang w:eastAsia="en-AU"/>
        </w:rPr>
        <w:t xml:space="preserve">Pricing </w:t>
      </w:r>
      <w:r w:rsidR="003B067A" w:rsidRPr="003B067A">
        <w:rPr>
          <w:b/>
          <w:lang w:eastAsia="en-AU"/>
        </w:rPr>
        <w:t>Deed</w:t>
      </w:r>
      <w:r w:rsidR="003B067A">
        <w:rPr>
          <w:lang w:eastAsia="en-AU"/>
        </w:rPr>
        <w:t xml:space="preserve">), </w:t>
      </w:r>
      <w:r w:rsidR="00642609">
        <w:rPr>
          <w:lang w:eastAsia="en-AU"/>
        </w:rPr>
        <w:t>which</w:t>
      </w:r>
      <w:r w:rsidR="003B067A">
        <w:rPr>
          <w:lang w:eastAsia="en-AU"/>
        </w:rPr>
        <w:t xml:space="preserve"> was offered from December 2019</w:t>
      </w:r>
      <w:r w:rsidR="00642609">
        <w:rPr>
          <w:lang w:eastAsia="en-AU"/>
        </w:rPr>
        <w:t>; and</w:t>
      </w:r>
    </w:p>
    <w:p w14:paraId="592C3D06" w14:textId="77777777" w:rsidR="00642609" w:rsidRDefault="00C83F0F" w:rsidP="00E33FEA">
      <w:pPr>
        <w:pStyle w:val="ListNo2alt"/>
        <w:numPr>
          <w:ilvl w:val="1"/>
          <w:numId w:val="52"/>
        </w:numPr>
        <w:rPr>
          <w:lang w:eastAsia="en-AU"/>
        </w:rPr>
      </w:pPr>
      <w:r>
        <w:rPr>
          <w:lang w:eastAsia="en-AU"/>
        </w:rPr>
        <w:lastRenderedPageBreak/>
        <w:t xml:space="preserve">the Producer Pro Forma Long Term Pricing Deed </w:t>
      </w:r>
      <w:r w:rsidR="003B067A">
        <w:rPr>
          <w:lang w:eastAsia="en-AU"/>
        </w:rPr>
        <w:t>(</w:t>
      </w:r>
      <w:r w:rsidR="003B067A" w:rsidRPr="003B067A">
        <w:rPr>
          <w:b/>
          <w:lang w:eastAsia="en-AU"/>
        </w:rPr>
        <w:t>Producer Pricing Deed</w:t>
      </w:r>
      <w:r w:rsidR="003B067A">
        <w:rPr>
          <w:lang w:eastAsia="en-AU"/>
        </w:rPr>
        <w:t xml:space="preserve">) </w:t>
      </w:r>
      <w:r>
        <w:rPr>
          <w:lang w:eastAsia="en-AU"/>
        </w:rPr>
        <w:t>and the Vessel Agent Pro Forma Long Term Pricing Deed</w:t>
      </w:r>
      <w:r w:rsidR="00642609">
        <w:rPr>
          <w:lang w:eastAsia="en-AU"/>
        </w:rPr>
        <w:t xml:space="preserve"> (</w:t>
      </w:r>
      <w:r w:rsidR="003B067A" w:rsidRPr="003B067A">
        <w:rPr>
          <w:b/>
          <w:lang w:eastAsia="en-AU"/>
        </w:rPr>
        <w:t>Vessel Agent Pricing Deed</w:t>
      </w:r>
      <w:r w:rsidR="003B067A">
        <w:rPr>
          <w:lang w:eastAsia="en-AU"/>
        </w:rPr>
        <w:t xml:space="preserve">), </w:t>
      </w:r>
      <w:r w:rsidR="00642609">
        <w:rPr>
          <w:lang w:eastAsia="en-AU"/>
        </w:rPr>
        <w:t>which were offered from March 2020 in replacement of the Port User Pricing Deed,</w:t>
      </w:r>
    </w:p>
    <w:p w14:paraId="112E062B" w14:textId="77777777" w:rsidR="00C83F0F" w:rsidRDefault="00C83F0F" w:rsidP="002A078C">
      <w:pPr>
        <w:pStyle w:val="ListNo2alt"/>
        <w:numPr>
          <w:ilvl w:val="0"/>
          <w:numId w:val="0"/>
        </w:numPr>
        <w:ind w:left="720"/>
        <w:rPr>
          <w:lang w:eastAsia="en-AU"/>
        </w:rPr>
      </w:pPr>
      <w:r>
        <w:rPr>
          <w:lang w:eastAsia="en-AU"/>
        </w:rPr>
        <w:t>(</w:t>
      </w:r>
      <w:r w:rsidR="003B067A">
        <w:rPr>
          <w:lang w:eastAsia="en-AU"/>
        </w:rPr>
        <w:t xml:space="preserve">collectively, the </w:t>
      </w:r>
      <w:r w:rsidRPr="002A078C">
        <w:rPr>
          <w:b/>
          <w:lang w:eastAsia="en-AU"/>
        </w:rPr>
        <w:t>Pro Forma Pricing Deeds</w:t>
      </w:r>
      <w:r>
        <w:rPr>
          <w:lang w:eastAsia="en-AU"/>
        </w:rPr>
        <w:t>)</w:t>
      </w:r>
      <w:r w:rsidR="003B067A">
        <w:rPr>
          <w:lang w:eastAsia="en-AU"/>
        </w:rPr>
        <w:t>,</w:t>
      </w:r>
      <w:r w:rsidR="009F0B46">
        <w:rPr>
          <w:lang w:eastAsia="en-AU"/>
        </w:rPr>
        <w:t xml:space="preserve"> and which were annexed to NSWMC’s original application to the NCC</w:t>
      </w:r>
      <w:r>
        <w:rPr>
          <w:lang w:eastAsia="en-AU"/>
        </w:rPr>
        <w:t>; and</w:t>
      </w:r>
    </w:p>
    <w:p w14:paraId="2DAF642F" w14:textId="77777777" w:rsidR="00640BA3" w:rsidRDefault="009F0B46" w:rsidP="00E33FEA">
      <w:pPr>
        <w:pStyle w:val="ListNo1alt"/>
        <w:numPr>
          <w:ilvl w:val="0"/>
          <w:numId w:val="52"/>
        </w:numPr>
        <w:rPr>
          <w:lang w:eastAsia="en-AU"/>
        </w:rPr>
      </w:pPr>
      <w:r>
        <w:rPr>
          <w:lang w:eastAsia="en-AU"/>
        </w:rPr>
        <w:t xml:space="preserve">third, the material </w:t>
      </w:r>
      <w:r w:rsidR="00C83F0F">
        <w:rPr>
          <w:lang w:eastAsia="en-AU"/>
        </w:rPr>
        <w:t xml:space="preserve">given to the Tribunal </w:t>
      </w:r>
      <w:r>
        <w:rPr>
          <w:lang w:eastAsia="en-AU"/>
        </w:rPr>
        <w:t>by PNO pursuant to</w:t>
      </w:r>
      <w:r w:rsidR="00DE3EB4">
        <w:rPr>
          <w:lang w:eastAsia="en-AU"/>
        </w:rPr>
        <w:t xml:space="preserve"> </w:t>
      </w:r>
      <w:r>
        <w:rPr>
          <w:lang w:eastAsia="en-AU"/>
        </w:rPr>
        <w:t xml:space="preserve">a </w:t>
      </w:r>
      <w:r w:rsidR="00C83F0F">
        <w:rPr>
          <w:lang w:eastAsia="en-AU"/>
        </w:rPr>
        <w:t xml:space="preserve">notice </w:t>
      </w:r>
      <w:r>
        <w:rPr>
          <w:lang w:eastAsia="en-AU"/>
        </w:rPr>
        <w:t>issued by the Tribunal</w:t>
      </w:r>
      <w:r w:rsidR="00C83F0F">
        <w:rPr>
          <w:lang w:eastAsia="en-AU"/>
        </w:rPr>
        <w:t xml:space="preserve"> under </w:t>
      </w:r>
      <w:r w:rsidR="003453E0">
        <w:rPr>
          <w:lang w:eastAsia="en-AU"/>
        </w:rPr>
        <w:t>s</w:t>
      </w:r>
      <w:r w:rsidR="00C83F0F">
        <w:rPr>
          <w:lang w:eastAsia="en-AU"/>
        </w:rPr>
        <w:t xml:space="preserve"> 44ZZOAAA(5)</w:t>
      </w:r>
      <w:r>
        <w:rPr>
          <w:lang w:eastAsia="en-AU"/>
        </w:rPr>
        <w:t xml:space="preserve"> on 16 June 2021, which consist</w:t>
      </w:r>
      <w:r w:rsidR="0070314D">
        <w:rPr>
          <w:lang w:eastAsia="en-AU"/>
        </w:rPr>
        <w:t>ed</w:t>
      </w:r>
      <w:r>
        <w:rPr>
          <w:lang w:eastAsia="en-AU"/>
        </w:rPr>
        <w:t xml:space="preserve"> of </w:t>
      </w:r>
      <w:r w:rsidR="00CF3C70">
        <w:rPr>
          <w:lang w:eastAsia="en-AU"/>
        </w:rPr>
        <w:t>paragraphs 41 to 45 and 50</w:t>
      </w:r>
      <w:r w:rsidRPr="009F0B46">
        <w:rPr>
          <w:lang w:eastAsia="en-AU"/>
        </w:rPr>
        <w:t xml:space="preserve"> of PNO’s confidential submission to the NCC dated 26 August 2020</w:t>
      </w:r>
      <w:r w:rsidR="00642609">
        <w:rPr>
          <w:lang w:eastAsia="en-AU"/>
        </w:rPr>
        <w:t xml:space="preserve"> and which related to the Pro Forma Pricing Deeds</w:t>
      </w:r>
      <w:r w:rsidR="00640BA3">
        <w:rPr>
          <w:lang w:eastAsia="en-AU"/>
        </w:rPr>
        <w:t>.</w:t>
      </w:r>
    </w:p>
    <w:p w14:paraId="3CA31A45" w14:textId="77777777" w:rsidR="00A6281F" w:rsidRDefault="00A919BE" w:rsidP="001678A4">
      <w:pPr>
        <w:pStyle w:val="ParaNumbering"/>
        <w:rPr>
          <w:lang w:eastAsia="en-AU"/>
        </w:rPr>
      </w:pPr>
      <w:r>
        <w:rPr>
          <w:lang w:eastAsia="en-AU"/>
        </w:rPr>
        <w:t xml:space="preserve">It is necessary to say something more about the nature of the Tribunal’s statutory task of reviewing the Treasurer’s </w:t>
      </w:r>
      <w:r w:rsidR="00CF3C70">
        <w:rPr>
          <w:lang w:eastAsia="en-AU"/>
        </w:rPr>
        <w:t>decision</w:t>
      </w:r>
      <w:r>
        <w:rPr>
          <w:lang w:eastAsia="en-AU"/>
        </w:rPr>
        <w:t xml:space="preserve">. As already noted, in the </w:t>
      </w:r>
      <w:r w:rsidRPr="00A919BE">
        <w:rPr>
          <w:i/>
          <w:lang w:eastAsia="en-AU"/>
        </w:rPr>
        <w:t>Pilbara case</w:t>
      </w:r>
      <w:r>
        <w:rPr>
          <w:lang w:eastAsia="en-AU"/>
        </w:rPr>
        <w:t xml:space="preserve"> the High Court concluded that the statutory task of “re-considering” the decision of the designated Minister is not to decide the issue (whether to declare or not to declare) afresh on whatever material is plac</w:t>
      </w:r>
      <w:r w:rsidR="00AF289B">
        <w:rPr>
          <w:lang w:eastAsia="en-AU"/>
        </w:rPr>
        <w:t>ed before the Tribunal, but to review</w:t>
      </w:r>
      <w:r>
        <w:rPr>
          <w:lang w:eastAsia="en-AU"/>
        </w:rPr>
        <w:t xml:space="preserve"> the original decision by reference to the material that was placed before the </w:t>
      </w:r>
      <w:r w:rsidR="006527E7">
        <w:rPr>
          <w:lang w:eastAsia="en-AU"/>
        </w:rPr>
        <w:t>designated Minister. Followin</w:t>
      </w:r>
      <w:r w:rsidR="00AF289B">
        <w:rPr>
          <w:lang w:eastAsia="en-AU"/>
        </w:rPr>
        <w:t xml:space="preserve">g the 2010 Amendment Act, the </w:t>
      </w:r>
      <w:r w:rsidR="006527E7">
        <w:rPr>
          <w:lang w:eastAsia="en-AU"/>
        </w:rPr>
        <w:t>r</w:t>
      </w:r>
      <w:r w:rsidR="00AF289B">
        <w:rPr>
          <w:lang w:eastAsia="en-AU"/>
        </w:rPr>
        <w:t>eview</w:t>
      </w:r>
      <w:r w:rsidR="006527E7">
        <w:rPr>
          <w:lang w:eastAsia="en-AU"/>
        </w:rPr>
        <w:t xml:space="preserve"> is to be based on the “</w:t>
      </w:r>
      <w:r w:rsidR="006527E7" w:rsidRPr="00D731FE">
        <w:rPr>
          <w:lang w:eastAsia="en-AU"/>
        </w:rPr>
        <w:t xml:space="preserve">information, reports and things referred to in </w:t>
      </w:r>
      <w:r w:rsidR="006527E7">
        <w:rPr>
          <w:lang w:eastAsia="en-AU"/>
        </w:rPr>
        <w:t>s</w:t>
      </w:r>
      <w:r w:rsidR="006527E7" w:rsidRPr="00D731FE">
        <w:rPr>
          <w:lang w:eastAsia="en-AU"/>
        </w:rPr>
        <w:t xml:space="preserve"> 44ZZOAA</w:t>
      </w:r>
      <w:r w:rsidR="006527E7">
        <w:rPr>
          <w:lang w:eastAsia="en-AU"/>
        </w:rPr>
        <w:t>”.</w:t>
      </w:r>
      <w:r>
        <w:rPr>
          <w:lang w:eastAsia="en-AU"/>
        </w:rPr>
        <w:t xml:space="preserve"> </w:t>
      </w:r>
      <w:r w:rsidR="003E1B5A">
        <w:rPr>
          <w:lang w:eastAsia="en-AU"/>
        </w:rPr>
        <w:t>T</w:t>
      </w:r>
      <w:r w:rsidR="001678A4">
        <w:rPr>
          <w:lang w:eastAsia="en-AU"/>
        </w:rPr>
        <w:t xml:space="preserve">he High Court did not elaborate further on the Tribunal’s statutory task of </w:t>
      </w:r>
      <w:r w:rsidR="00A6281F">
        <w:rPr>
          <w:lang w:eastAsia="en-AU"/>
        </w:rPr>
        <w:t>“</w:t>
      </w:r>
      <w:r w:rsidR="001678A4">
        <w:rPr>
          <w:lang w:eastAsia="en-AU"/>
        </w:rPr>
        <w:t>reviewing</w:t>
      </w:r>
      <w:r w:rsidR="00A6281F">
        <w:rPr>
          <w:lang w:eastAsia="en-AU"/>
        </w:rPr>
        <w:t xml:space="preserve">” or “re-considering” </w:t>
      </w:r>
      <w:r w:rsidR="001678A4">
        <w:rPr>
          <w:lang w:eastAsia="en-AU"/>
        </w:rPr>
        <w:t>the decision of the designated Minister.</w:t>
      </w:r>
    </w:p>
    <w:p w14:paraId="58338F93" w14:textId="77777777" w:rsidR="001678A4" w:rsidRPr="00EC7767" w:rsidRDefault="001678A4" w:rsidP="00BA294D">
      <w:pPr>
        <w:pStyle w:val="ParaNumbering"/>
        <w:rPr>
          <w:lang w:eastAsia="en-AU"/>
        </w:rPr>
      </w:pPr>
      <w:r w:rsidRPr="00EC7767">
        <w:rPr>
          <w:lang w:eastAsia="en-AU"/>
        </w:rPr>
        <w:t>The nature of review or appeal rights depends upon the terms of the statute conferring the rights (see</w:t>
      </w:r>
      <w:r w:rsidRPr="00C31053">
        <w:rPr>
          <w:lang w:eastAsia="en-AU"/>
        </w:rPr>
        <w:t xml:space="preserve"> </w:t>
      </w:r>
      <w:r w:rsidRPr="00C31053">
        <w:rPr>
          <w:i/>
          <w:lang w:eastAsia="en-AU"/>
        </w:rPr>
        <w:t xml:space="preserve">Tasty Chicks </w:t>
      </w:r>
      <w:r w:rsidR="00C65D90" w:rsidRPr="00C31053">
        <w:rPr>
          <w:i/>
          <w:lang w:eastAsia="en-AU"/>
        </w:rPr>
        <w:t xml:space="preserve">Pty Ltd </w:t>
      </w:r>
      <w:r w:rsidRPr="00367925">
        <w:rPr>
          <w:i/>
          <w:lang w:eastAsia="en-AU"/>
        </w:rPr>
        <w:t>v Chief Commissioner of State Revenue</w:t>
      </w:r>
      <w:r w:rsidR="00C65D90" w:rsidRPr="00D5326B">
        <w:rPr>
          <w:i/>
          <w:lang w:eastAsia="en-AU"/>
        </w:rPr>
        <w:t xml:space="preserve"> (NSW)</w:t>
      </w:r>
      <w:r w:rsidRPr="00D5326B">
        <w:rPr>
          <w:lang w:eastAsia="en-AU"/>
        </w:rPr>
        <w:t xml:space="preserve"> (2011) </w:t>
      </w:r>
      <w:r w:rsidR="00C65D90" w:rsidRPr="00177558">
        <w:rPr>
          <w:lang w:eastAsia="en-AU"/>
        </w:rPr>
        <w:t>245 CLR 446</w:t>
      </w:r>
      <w:r w:rsidRPr="00177558">
        <w:rPr>
          <w:lang w:eastAsia="en-AU"/>
        </w:rPr>
        <w:t xml:space="preserve"> at [5] per French CJ, </w:t>
      </w:r>
      <w:proofErr w:type="spellStart"/>
      <w:r w:rsidRPr="00177558">
        <w:rPr>
          <w:lang w:eastAsia="en-AU"/>
        </w:rPr>
        <w:t>Gummow</w:t>
      </w:r>
      <w:proofErr w:type="spellEnd"/>
      <w:r w:rsidRPr="00177558">
        <w:rPr>
          <w:lang w:eastAsia="en-AU"/>
        </w:rPr>
        <w:t xml:space="preserve">, </w:t>
      </w:r>
      <w:proofErr w:type="spellStart"/>
      <w:r w:rsidRPr="00177558">
        <w:rPr>
          <w:lang w:eastAsia="en-AU"/>
        </w:rPr>
        <w:t>Crennan</w:t>
      </w:r>
      <w:proofErr w:type="spellEnd"/>
      <w:r w:rsidRPr="00177558">
        <w:rPr>
          <w:lang w:eastAsia="en-AU"/>
        </w:rPr>
        <w:t xml:space="preserve">, </w:t>
      </w:r>
      <w:proofErr w:type="spellStart"/>
      <w:r w:rsidRPr="00177558">
        <w:rPr>
          <w:lang w:eastAsia="en-AU"/>
        </w:rPr>
        <w:t>Kiefel</w:t>
      </w:r>
      <w:proofErr w:type="spellEnd"/>
      <w:r w:rsidRPr="00177558">
        <w:rPr>
          <w:lang w:eastAsia="en-AU"/>
        </w:rPr>
        <w:t xml:space="preserve"> and Bell JJ; </w:t>
      </w:r>
      <w:r w:rsidRPr="00177558">
        <w:rPr>
          <w:i/>
          <w:lang w:eastAsia="en-AU"/>
        </w:rPr>
        <w:t>Shi v Migration Agents Registration Authority</w:t>
      </w:r>
      <w:r w:rsidR="007F7CE3" w:rsidRPr="00EC7767">
        <w:rPr>
          <w:lang w:eastAsia="en-AU"/>
        </w:rPr>
        <w:t xml:space="preserve"> (2008) 235 CLR 286</w:t>
      </w:r>
      <w:r w:rsidR="0043702B" w:rsidRPr="00EC7767">
        <w:rPr>
          <w:lang w:eastAsia="en-AU"/>
        </w:rPr>
        <w:t xml:space="preserve"> (</w:t>
      </w:r>
      <w:r w:rsidR="0043702B" w:rsidRPr="00EC7767">
        <w:rPr>
          <w:b/>
          <w:i/>
          <w:lang w:eastAsia="en-AU"/>
        </w:rPr>
        <w:t>Shi</w:t>
      </w:r>
      <w:r w:rsidR="0043702B" w:rsidRPr="00EC7767">
        <w:rPr>
          <w:lang w:eastAsia="en-AU"/>
        </w:rPr>
        <w:t>)</w:t>
      </w:r>
      <w:r w:rsidR="007F7CE3" w:rsidRPr="00EC7767">
        <w:rPr>
          <w:lang w:eastAsia="en-AU"/>
        </w:rPr>
        <w:t xml:space="preserve"> at [25] per Kirby J, at</w:t>
      </w:r>
      <w:r w:rsidRPr="00EC7767">
        <w:rPr>
          <w:lang w:eastAsia="en-AU"/>
        </w:rPr>
        <w:t xml:space="preserve"> [92] per Hayne and </w:t>
      </w:r>
      <w:proofErr w:type="spellStart"/>
      <w:r w:rsidRPr="00EC7767">
        <w:rPr>
          <w:lang w:eastAsia="en-AU"/>
        </w:rPr>
        <w:t>Heydon</w:t>
      </w:r>
      <w:proofErr w:type="spellEnd"/>
      <w:r w:rsidRPr="00EC7767">
        <w:rPr>
          <w:lang w:eastAsia="en-AU"/>
        </w:rPr>
        <w:t xml:space="preserve"> JJ and at [132] per </w:t>
      </w:r>
      <w:proofErr w:type="spellStart"/>
      <w:r w:rsidRPr="00EC7767">
        <w:rPr>
          <w:lang w:eastAsia="en-AU"/>
        </w:rPr>
        <w:t>Kiefel</w:t>
      </w:r>
      <w:proofErr w:type="spellEnd"/>
      <w:r w:rsidRPr="00EC7767">
        <w:rPr>
          <w:lang w:eastAsia="en-AU"/>
        </w:rPr>
        <w:t xml:space="preserve"> J; </w:t>
      </w:r>
      <w:r w:rsidRPr="00EC7767">
        <w:rPr>
          <w:i/>
          <w:lang w:eastAsia="en-AU"/>
        </w:rPr>
        <w:t>East Australian Pipeline</w:t>
      </w:r>
      <w:r w:rsidR="00BA294D" w:rsidRPr="00EC7767">
        <w:rPr>
          <w:i/>
          <w:lang w:eastAsia="en-AU"/>
        </w:rPr>
        <w:t xml:space="preserve"> Pty Ltd</w:t>
      </w:r>
      <w:r w:rsidRPr="00EC7767">
        <w:rPr>
          <w:i/>
          <w:lang w:eastAsia="en-AU"/>
        </w:rPr>
        <w:t xml:space="preserve"> v</w:t>
      </w:r>
      <w:r w:rsidR="00BA294D" w:rsidRPr="00EC7767">
        <w:rPr>
          <w:i/>
          <w:lang w:eastAsia="en-AU"/>
        </w:rPr>
        <w:t xml:space="preserve"> Australian Competition and Consumer Commission </w:t>
      </w:r>
      <w:r w:rsidRPr="00EC7767">
        <w:rPr>
          <w:lang w:eastAsia="en-AU"/>
        </w:rPr>
        <w:t xml:space="preserve">(2007) 233 CLR 229 at </w:t>
      </w:r>
      <w:r w:rsidR="00D45FF3" w:rsidRPr="00EC7767">
        <w:rPr>
          <w:lang w:eastAsia="en-AU"/>
        </w:rPr>
        <w:t>[62]</w:t>
      </w:r>
      <w:r w:rsidRPr="00EC7767">
        <w:rPr>
          <w:lang w:eastAsia="en-AU"/>
        </w:rPr>
        <w:t xml:space="preserve"> per </w:t>
      </w:r>
      <w:proofErr w:type="spellStart"/>
      <w:r w:rsidRPr="00EC7767">
        <w:rPr>
          <w:lang w:eastAsia="en-AU"/>
        </w:rPr>
        <w:t>Gummow</w:t>
      </w:r>
      <w:proofErr w:type="spellEnd"/>
      <w:r w:rsidRPr="00EC7767">
        <w:rPr>
          <w:lang w:eastAsia="en-AU"/>
        </w:rPr>
        <w:t xml:space="preserve"> and Hayne JJ; </w:t>
      </w:r>
      <w:r w:rsidRPr="00EC7767">
        <w:rPr>
          <w:i/>
          <w:lang w:eastAsia="en-AU"/>
        </w:rPr>
        <w:t xml:space="preserve">Coal and Allied Operations Pty Ltd v Australian </w:t>
      </w:r>
      <w:r w:rsidR="00D45FF3" w:rsidRPr="00EC7767">
        <w:rPr>
          <w:i/>
          <w:lang w:eastAsia="en-AU"/>
        </w:rPr>
        <w:t>I</w:t>
      </w:r>
      <w:r w:rsidRPr="00EC7767">
        <w:rPr>
          <w:i/>
          <w:lang w:eastAsia="en-AU"/>
        </w:rPr>
        <w:t>ndustrial Relations Commission</w:t>
      </w:r>
      <w:r w:rsidRPr="00EC7767">
        <w:rPr>
          <w:lang w:eastAsia="en-AU"/>
        </w:rPr>
        <w:t xml:space="preserve"> (2000) 203 CLR 194 at [11] per Gleeson CJ, </w:t>
      </w:r>
      <w:proofErr w:type="spellStart"/>
      <w:r w:rsidRPr="00EC7767">
        <w:rPr>
          <w:lang w:eastAsia="en-AU"/>
        </w:rPr>
        <w:t>Gaudron</w:t>
      </w:r>
      <w:proofErr w:type="spellEnd"/>
      <w:r w:rsidRPr="00EC7767">
        <w:rPr>
          <w:lang w:eastAsia="en-AU"/>
        </w:rPr>
        <w:t xml:space="preserve"> and Hayne JJ and at [118] per </w:t>
      </w:r>
      <w:proofErr w:type="spellStart"/>
      <w:r w:rsidRPr="00EC7767">
        <w:rPr>
          <w:lang w:eastAsia="en-AU"/>
        </w:rPr>
        <w:t>Callinan</w:t>
      </w:r>
      <w:proofErr w:type="spellEnd"/>
      <w:r w:rsidRPr="00EC7767">
        <w:rPr>
          <w:lang w:eastAsia="en-AU"/>
        </w:rPr>
        <w:t xml:space="preserve"> J citing </w:t>
      </w:r>
      <w:r w:rsidRPr="00EC7767">
        <w:rPr>
          <w:i/>
          <w:lang w:eastAsia="en-AU"/>
        </w:rPr>
        <w:t xml:space="preserve">Builders Licensing Board v </w:t>
      </w:r>
      <w:proofErr w:type="spellStart"/>
      <w:r w:rsidRPr="00EC7767">
        <w:rPr>
          <w:i/>
          <w:lang w:eastAsia="en-AU"/>
        </w:rPr>
        <w:t>Sperway</w:t>
      </w:r>
      <w:proofErr w:type="spellEnd"/>
      <w:r w:rsidRPr="00EC7767">
        <w:rPr>
          <w:i/>
          <w:lang w:eastAsia="en-AU"/>
        </w:rPr>
        <w:t xml:space="preserve"> Constructions (Syd) Pty Ltd</w:t>
      </w:r>
      <w:r w:rsidRPr="00EC7767">
        <w:rPr>
          <w:lang w:eastAsia="en-AU"/>
        </w:rPr>
        <w:t xml:space="preserve"> (1976) 135 CLR 616 at 621-</w:t>
      </w:r>
      <w:r w:rsidR="00D45FF3" w:rsidRPr="00EC7767">
        <w:rPr>
          <w:lang w:eastAsia="en-AU"/>
        </w:rPr>
        <w:t>62</w:t>
      </w:r>
      <w:r w:rsidRPr="00EC7767">
        <w:rPr>
          <w:lang w:eastAsia="en-AU"/>
        </w:rPr>
        <w:t>2 per Mason J, with whose judgment Barwick CJ and Stephen J agreed</w:t>
      </w:r>
      <w:r w:rsidR="003A6F45">
        <w:rPr>
          <w:lang w:eastAsia="en-AU"/>
        </w:rPr>
        <w:t>)</w:t>
      </w:r>
      <w:r w:rsidRPr="00EC7767">
        <w:rPr>
          <w:lang w:eastAsia="en-AU"/>
        </w:rPr>
        <w:t xml:space="preserve">. In </w:t>
      </w:r>
      <w:r w:rsidRPr="00EC7767">
        <w:rPr>
          <w:i/>
          <w:lang w:eastAsia="en-AU"/>
        </w:rPr>
        <w:t>Brandy v Human Rights and Equal Opportunity Commission</w:t>
      </w:r>
      <w:r w:rsidRPr="00EC7767">
        <w:rPr>
          <w:lang w:eastAsia="en-AU"/>
        </w:rPr>
        <w:t xml:space="preserve"> (1995) 183 CLR 245, Mason CJ, Brennan and </w:t>
      </w:r>
      <w:proofErr w:type="spellStart"/>
      <w:r w:rsidRPr="00EC7767">
        <w:rPr>
          <w:lang w:eastAsia="en-AU"/>
        </w:rPr>
        <w:t>Toohey</w:t>
      </w:r>
      <w:proofErr w:type="spellEnd"/>
      <w:r w:rsidRPr="00EC7767">
        <w:rPr>
          <w:lang w:eastAsia="en-AU"/>
        </w:rPr>
        <w:t xml:space="preserve"> JJ observed (at 261):</w:t>
      </w:r>
    </w:p>
    <w:p w14:paraId="4D17D152" w14:textId="77777777" w:rsidR="001678A4" w:rsidRDefault="001678A4" w:rsidP="001678A4">
      <w:pPr>
        <w:pStyle w:val="Quote1"/>
        <w:rPr>
          <w:lang w:eastAsia="en-AU"/>
        </w:rPr>
      </w:pPr>
      <w:r>
        <w:rPr>
          <w:lang w:eastAsia="en-AU"/>
        </w:rPr>
        <w:t xml:space="preserve">In considering the nature of the 'review' contemplated by s25ZAC, it is relevant to note </w:t>
      </w:r>
      <w:r>
        <w:rPr>
          <w:lang w:eastAsia="en-AU"/>
        </w:rPr>
        <w:lastRenderedPageBreak/>
        <w:t>that the expression 'review' is commonly used in the context of judicial control of administrative action and in the context of comprehensive administrative review by an administrative tribunal of administrative decisions. But what emerges from the judicial decisions and, for that matter, from statutes is that 'review' has no settled pre-determined meaning; it takes its meaning from the context in which it appears.</w:t>
      </w:r>
    </w:p>
    <w:p w14:paraId="25C6053E" w14:textId="77777777" w:rsidR="00F158DD" w:rsidRDefault="00A11D9E" w:rsidP="00F158DD">
      <w:pPr>
        <w:pStyle w:val="ParaNumbering"/>
        <w:rPr>
          <w:lang w:eastAsia="en-AU"/>
        </w:rPr>
      </w:pPr>
      <w:r>
        <w:rPr>
          <w:lang w:eastAsia="en-AU"/>
        </w:rPr>
        <w:t xml:space="preserve">As already noted, </w:t>
      </w:r>
      <w:r w:rsidR="003453E0">
        <w:rPr>
          <w:lang w:eastAsia="en-AU"/>
        </w:rPr>
        <w:t>s</w:t>
      </w:r>
      <w:r>
        <w:rPr>
          <w:lang w:eastAsia="en-AU"/>
        </w:rPr>
        <w:t xml:space="preserve"> 44K(4) describes the Tribunal’s task as a “re-consideration” of the decision of the designated Minister. The ordinary meaning of the word “re-consider” is to consider again. </w:t>
      </w:r>
      <w:r w:rsidR="00E51F81">
        <w:rPr>
          <w:lang w:eastAsia="en-AU"/>
        </w:rPr>
        <w:t xml:space="preserve">Together, </w:t>
      </w:r>
      <w:proofErr w:type="spellStart"/>
      <w:r w:rsidR="003453E0">
        <w:rPr>
          <w:lang w:eastAsia="en-AU"/>
        </w:rPr>
        <w:t>ss</w:t>
      </w:r>
      <w:proofErr w:type="spellEnd"/>
      <w:r w:rsidR="003E1B5A">
        <w:rPr>
          <w:lang w:eastAsia="en-AU"/>
        </w:rPr>
        <w:t xml:space="preserve"> 44K(5), (7), (8) and (9</w:t>
      </w:r>
      <w:r w:rsidR="00DE3EB4">
        <w:rPr>
          <w:lang w:eastAsia="en-AU"/>
        </w:rPr>
        <w:t>)</w:t>
      </w:r>
      <w:r w:rsidR="00F158DD">
        <w:rPr>
          <w:lang w:eastAsia="en-AU"/>
        </w:rPr>
        <w:t xml:space="preserve"> provide that:</w:t>
      </w:r>
    </w:p>
    <w:p w14:paraId="38C3D5D2" w14:textId="77777777" w:rsidR="00F158DD" w:rsidRDefault="00F158DD" w:rsidP="009F17C2">
      <w:pPr>
        <w:pStyle w:val="ListNo1alt"/>
        <w:numPr>
          <w:ilvl w:val="0"/>
          <w:numId w:val="30"/>
        </w:numPr>
        <w:rPr>
          <w:lang w:eastAsia="en-AU"/>
        </w:rPr>
      </w:pPr>
      <w:r w:rsidRPr="00F158DD">
        <w:rPr>
          <w:lang w:eastAsia="en-AU"/>
        </w:rPr>
        <w:t>the Tribunal has the same powers as the designated Minister</w:t>
      </w:r>
      <w:r>
        <w:rPr>
          <w:lang w:eastAsia="en-AU"/>
        </w:rPr>
        <w:t>;</w:t>
      </w:r>
    </w:p>
    <w:p w14:paraId="4BEE98E7" w14:textId="77777777" w:rsidR="000F27EC" w:rsidRDefault="00F158DD" w:rsidP="009F17C2">
      <w:pPr>
        <w:pStyle w:val="ListNo1alt"/>
        <w:numPr>
          <w:ilvl w:val="0"/>
          <w:numId w:val="30"/>
        </w:numPr>
        <w:rPr>
          <w:lang w:eastAsia="en-AU"/>
        </w:rPr>
      </w:pPr>
      <w:r>
        <w:rPr>
          <w:lang w:eastAsia="en-AU"/>
        </w:rPr>
        <w:t xml:space="preserve">the Tribunal may affirm, vary or set aside the decision of the designated Minister and, if the Minister decided not to declare the service, the Tribunal may </w:t>
      </w:r>
      <w:r w:rsidR="000F27EC">
        <w:rPr>
          <w:lang w:eastAsia="en-AU"/>
        </w:rPr>
        <w:t>declare the service; and</w:t>
      </w:r>
    </w:p>
    <w:p w14:paraId="1B6CB7ED" w14:textId="77777777" w:rsidR="000F27EC" w:rsidRDefault="000F27EC" w:rsidP="009F17C2">
      <w:pPr>
        <w:pStyle w:val="ListNo1alt"/>
        <w:numPr>
          <w:ilvl w:val="0"/>
          <w:numId w:val="30"/>
        </w:numPr>
        <w:rPr>
          <w:lang w:eastAsia="en-AU"/>
        </w:rPr>
      </w:pPr>
      <w:r>
        <w:rPr>
          <w:lang w:eastAsia="en-AU"/>
        </w:rPr>
        <w:t>the Tribunal’s declaration of the service is taken to be a declaration by the designated Minister for all purposes of Part</w:t>
      </w:r>
      <w:r w:rsidR="00F158DD" w:rsidRPr="00F158DD">
        <w:rPr>
          <w:lang w:eastAsia="en-AU"/>
        </w:rPr>
        <w:t xml:space="preserve"> </w:t>
      </w:r>
      <w:r>
        <w:rPr>
          <w:lang w:eastAsia="en-AU"/>
        </w:rPr>
        <w:t>IIIA.</w:t>
      </w:r>
    </w:p>
    <w:p w14:paraId="34D8C90E" w14:textId="3EB1402D" w:rsidR="001678A4" w:rsidRDefault="00E51F81" w:rsidP="00446DA6">
      <w:pPr>
        <w:pStyle w:val="ParaNumbering"/>
        <w:rPr>
          <w:lang w:eastAsia="en-AU"/>
        </w:rPr>
      </w:pPr>
      <w:r>
        <w:rPr>
          <w:lang w:eastAsia="en-AU"/>
        </w:rPr>
        <w:t xml:space="preserve">The language of those subsections is similar to that found in many statutes that provide for review by an administrative tribunal of administrative decisions including, for example, </w:t>
      </w:r>
      <w:proofErr w:type="spellStart"/>
      <w:r w:rsidR="0075617D">
        <w:rPr>
          <w:lang w:eastAsia="en-AU"/>
        </w:rPr>
        <w:t>ss</w:t>
      </w:r>
      <w:proofErr w:type="spellEnd"/>
      <w:r w:rsidR="0075617D">
        <w:rPr>
          <w:lang w:eastAsia="en-AU"/>
        </w:rPr>
        <w:t> </w:t>
      </w:r>
      <w:r>
        <w:rPr>
          <w:lang w:eastAsia="en-AU"/>
        </w:rPr>
        <w:t xml:space="preserve">43(1) and (6) of the </w:t>
      </w:r>
      <w:r w:rsidRPr="00EC7767">
        <w:rPr>
          <w:i/>
          <w:lang w:eastAsia="en-AU"/>
        </w:rPr>
        <w:t>Administrative Appeals Tribunal Act 1975</w:t>
      </w:r>
      <w:r w:rsidRPr="00EC7767">
        <w:rPr>
          <w:lang w:eastAsia="en-AU"/>
        </w:rPr>
        <w:t xml:space="preserve"> (</w:t>
      </w:r>
      <w:proofErr w:type="spellStart"/>
      <w:r w:rsidRPr="00EC7767">
        <w:rPr>
          <w:lang w:eastAsia="en-AU"/>
        </w:rPr>
        <w:t>Cth</w:t>
      </w:r>
      <w:proofErr w:type="spellEnd"/>
      <w:r w:rsidRPr="00EC7767">
        <w:rPr>
          <w:lang w:eastAsia="en-AU"/>
        </w:rPr>
        <w:t>)</w:t>
      </w:r>
      <w:r w:rsidRPr="00C31053">
        <w:rPr>
          <w:lang w:eastAsia="en-AU"/>
        </w:rPr>
        <w:t>.</w:t>
      </w:r>
      <w:r>
        <w:rPr>
          <w:lang w:eastAsia="en-AU"/>
        </w:rPr>
        <w:t xml:space="preserve"> The combined effect of </w:t>
      </w:r>
      <w:proofErr w:type="spellStart"/>
      <w:r w:rsidR="003453E0">
        <w:rPr>
          <w:lang w:eastAsia="en-AU"/>
        </w:rPr>
        <w:t>ss</w:t>
      </w:r>
      <w:proofErr w:type="spellEnd"/>
      <w:r>
        <w:rPr>
          <w:lang w:eastAsia="en-AU"/>
        </w:rPr>
        <w:t xml:space="preserve"> 44K(4), (5), (7), (8) and (9)</w:t>
      </w:r>
      <w:r w:rsidR="001678A4">
        <w:rPr>
          <w:lang w:eastAsia="en-AU"/>
        </w:rPr>
        <w:t xml:space="preserve"> indicate that the Tribunal</w:t>
      </w:r>
      <w:r w:rsidR="000F27EC">
        <w:rPr>
          <w:lang w:eastAsia="en-AU"/>
        </w:rPr>
        <w:t>’s review task</w:t>
      </w:r>
      <w:r w:rsidR="001678A4">
        <w:rPr>
          <w:lang w:eastAsia="en-AU"/>
        </w:rPr>
        <w:t xml:space="preserve"> is to determine whether the decision made by the designated Minister </w:t>
      </w:r>
      <w:r w:rsidR="001678A4" w:rsidRPr="006E61F0">
        <w:rPr>
          <w:lang w:eastAsia="en-AU"/>
        </w:rPr>
        <w:t xml:space="preserve">was objectively the </w:t>
      </w:r>
      <w:r w:rsidR="001678A4">
        <w:rPr>
          <w:lang w:eastAsia="en-AU"/>
        </w:rPr>
        <w:t>correct or preferable decision</w:t>
      </w:r>
      <w:r w:rsidR="001678A4" w:rsidRPr="006E61F0">
        <w:rPr>
          <w:lang w:eastAsia="en-AU"/>
        </w:rPr>
        <w:t xml:space="preserve"> to be made</w:t>
      </w:r>
      <w:r w:rsidR="001678A4">
        <w:rPr>
          <w:lang w:eastAsia="en-AU"/>
        </w:rPr>
        <w:t>:</w:t>
      </w:r>
      <w:r w:rsidR="001678A4" w:rsidRPr="006E61F0">
        <w:rPr>
          <w:lang w:eastAsia="en-AU"/>
        </w:rPr>
        <w:t xml:space="preserve"> </w:t>
      </w:r>
      <w:proofErr w:type="spellStart"/>
      <w:r w:rsidR="002D6D02">
        <w:rPr>
          <w:lang w:eastAsia="en-AU"/>
        </w:rPr>
        <w:t>cf</w:t>
      </w:r>
      <w:proofErr w:type="spellEnd"/>
      <w:r w:rsidR="002D6D02">
        <w:rPr>
          <w:lang w:eastAsia="en-AU"/>
        </w:rPr>
        <w:t xml:space="preserve"> </w:t>
      </w:r>
      <w:r w:rsidR="001678A4" w:rsidRPr="00EC7767">
        <w:rPr>
          <w:i/>
          <w:lang w:eastAsia="en-AU"/>
        </w:rPr>
        <w:t>Drake v Minister for Immigration and Ethnic Affairs</w:t>
      </w:r>
      <w:r w:rsidR="001678A4" w:rsidRPr="00C31053">
        <w:rPr>
          <w:lang w:eastAsia="en-AU"/>
        </w:rPr>
        <w:t xml:space="preserve"> (</w:t>
      </w:r>
      <w:r w:rsidR="001678A4" w:rsidRPr="00367925">
        <w:rPr>
          <w:lang w:eastAsia="en-AU"/>
        </w:rPr>
        <w:t>1979</w:t>
      </w:r>
      <w:r w:rsidR="001678A4" w:rsidRPr="00D5326B">
        <w:rPr>
          <w:lang w:eastAsia="en-AU"/>
        </w:rPr>
        <w:t xml:space="preserve">) </w:t>
      </w:r>
      <w:r w:rsidR="001678A4" w:rsidRPr="00177558">
        <w:rPr>
          <w:lang w:eastAsia="en-AU"/>
        </w:rPr>
        <w:t xml:space="preserve">2 ALD 60 at 78 </w:t>
      </w:r>
      <w:r w:rsidR="001678A4" w:rsidRPr="0043702B">
        <w:rPr>
          <w:lang w:eastAsia="en-AU"/>
        </w:rPr>
        <w:t xml:space="preserve">(Smithers J). In that sense, the Tribunal “stands in the shoes” of the </w:t>
      </w:r>
      <w:r w:rsidR="000F27EC" w:rsidRPr="0043702B">
        <w:rPr>
          <w:lang w:eastAsia="en-AU"/>
        </w:rPr>
        <w:t>designated Minister</w:t>
      </w:r>
      <w:r w:rsidR="001678A4" w:rsidRPr="0043702B">
        <w:rPr>
          <w:lang w:eastAsia="en-AU"/>
        </w:rPr>
        <w:t>:</w:t>
      </w:r>
      <w:r w:rsidR="001E6C83" w:rsidRPr="0043702B">
        <w:rPr>
          <w:lang w:eastAsia="en-AU"/>
        </w:rPr>
        <w:t xml:space="preserve"> </w:t>
      </w:r>
      <w:r w:rsidR="001678A4" w:rsidRPr="0043702B">
        <w:rPr>
          <w:i/>
          <w:lang w:eastAsia="en-AU"/>
        </w:rPr>
        <w:t>O’Sullivan v Australian Securities and Investments Commission</w:t>
      </w:r>
      <w:r w:rsidR="001678A4" w:rsidRPr="0043702B">
        <w:rPr>
          <w:lang w:eastAsia="en-AU"/>
        </w:rPr>
        <w:t xml:space="preserve"> </w:t>
      </w:r>
      <w:r w:rsidR="00E01AA5">
        <w:rPr>
          <w:lang w:eastAsia="en-AU"/>
        </w:rPr>
        <w:t>(2018) 160 ALD 233</w:t>
      </w:r>
      <w:r w:rsidR="001678A4" w:rsidRPr="0043702B">
        <w:rPr>
          <w:lang w:eastAsia="en-AU"/>
        </w:rPr>
        <w:t xml:space="preserve"> at [36]</w:t>
      </w:r>
      <w:r w:rsidR="001E6C83" w:rsidRPr="0043702B">
        <w:rPr>
          <w:lang w:eastAsia="en-AU"/>
        </w:rPr>
        <w:t xml:space="preserve">, citing </w:t>
      </w:r>
      <w:r w:rsidR="001E6C83" w:rsidRPr="0043702B">
        <w:rPr>
          <w:i/>
          <w:lang w:eastAsia="en-AU"/>
        </w:rPr>
        <w:t xml:space="preserve">Shi </w:t>
      </w:r>
      <w:r w:rsidR="001E6C83" w:rsidRPr="0043702B">
        <w:rPr>
          <w:lang w:eastAsia="en-AU"/>
        </w:rPr>
        <w:t>at [40], [100] and [134]</w:t>
      </w:r>
      <w:r w:rsidR="001678A4" w:rsidRPr="0043702B">
        <w:rPr>
          <w:lang w:eastAsia="en-AU"/>
        </w:rPr>
        <w:t>.</w:t>
      </w:r>
      <w:r w:rsidR="000F27EC" w:rsidRPr="0043702B">
        <w:rPr>
          <w:lang w:eastAsia="en-AU"/>
        </w:rPr>
        <w:t xml:space="preserve"> However</w:t>
      </w:r>
      <w:r w:rsidR="000F27EC">
        <w:rPr>
          <w:lang w:eastAsia="en-AU"/>
        </w:rPr>
        <w:t>, the Tribunal is to conduct the review and make that</w:t>
      </w:r>
      <w:r w:rsidR="007F7CE3">
        <w:rPr>
          <w:lang w:eastAsia="en-AU"/>
        </w:rPr>
        <w:t xml:space="preserve"> determination based on </w:t>
      </w:r>
      <w:r w:rsidR="00FF43CC">
        <w:rPr>
          <w:lang w:eastAsia="en-AU"/>
        </w:rPr>
        <w:t xml:space="preserve">the </w:t>
      </w:r>
      <w:r w:rsidR="007F7CE3" w:rsidRPr="00D731FE">
        <w:rPr>
          <w:lang w:eastAsia="en-AU"/>
        </w:rPr>
        <w:t xml:space="preserve">information, reports and things referred to in </w:t>
      </w:r>
      <w:r w:rsidR="007F7CE3">
        <w:rPr>
          <w:lang w:eastAsia="en-AU"/>
        </w:rPr>
        <w:t>s</w:t>
      </w:r>
      <w:r w:rsidR="007F7CE3" w:rsidRPr="00D731FE">
        <w:rPr>
          <w:lang w:eastAsia="en-AU"/>
        </w:rPr>
        <w:t xml:space="preserve"> 44ZZOAA</w:t>
      </w:r>
      <w:r w:rsidR="007F7CE3">
        <w:rPr>
          <w:lang w:eastAsia="en-AU"/>
        </w:rPr>
        <w:t xml:space="preserve">, not on whatever material the participants seek to place before the </w:t>
      </w:r>
      <w:r>
        <w:rPr>
          <w:lang w:eastAsia="en-AU"/>
        </w:rPr>
        <w:t>Tribunal</w:t>
      </w:r>
      <w:r w:rsidR="007F7CE3">
        <w:rPr>
          <w:lang w:eastAsia="en-AU"/>
        </w:rPr>
        <w:t>.</w:t>
      </w:r>
    </w:p>
    <w:p w14:paraId="7BA5DC46" w14:textId="77777777" w:rsidR="00151EEC" w:rsidRDefault="00C1403D" w:rsidP="007F0C58">
      <w:pPr>
        <w:pStyle w:val="ParaNumbering"/>
        <w:rPr>
          <w:lang w:eastAsia="en-AU"/>
        </w:rPr>
      </w:pPr>
      <w:r>
        <w:rPr>
          <w:lang w:eastAsia="en-AU"/>
        </w:rPr>
        <w:t xml:space="preserve">It follows that </w:t>
      </w:r>
      <w:r w:rsidR="007C11B9">
        <w:rPr>
          <w:lang w:eastAsia="en-AU"/>
        </w:rPr>
        <w:t>the Tribunal’s power of review is not limited to the identification and correction of error</w:t>
      </w:r>
      <w:r w:rsidR="00CF3C70">
        <w:rPr>
          <w:lang w:eastAsia="en-AU"/>
        </w:rPr>
        <w:t xml:space="preserve"> in the Treasurer’s Reasons</w:t>
      </w:r>
      <w:r w:rsidR="007C11B9">
        <w:rPr>
          <w:lang w:eastAsia="en-AU"/>
        </w:rPr>
        <w:t xml:space="preserve">. </w:t>
      </w:r>
      <w:r w:rsidR="009D391B">
        <w:rPr>
          <w:lang w:eastAsia="en-AU"/>
        </w:rPr>
        <w:t xml:space="preserve">The Tribunal is required to review the </w:t>
      </w:r>
      <w:r w:rsidR="00151EEC">
        <w:rPr>
          <w:lang w:eastAsia="en-AU"/>
        </w:rPr>
        <w:t>Treasurer</w:t>
      </w:r>
      <w:r w:rsidR="00CF3C70">
        <w:rPr>
          <w:lang w:eastAsia="en-AU"/>
        </w:rPr>
        <w:t>’s d</w:t>
      </w:r>
      <w:r w:rsidR="009D391B">
        <w:rPr>
          <w:lang w:eastAsia="en-AU"/>
        </w:rPr>
        <w:t xml:space="preserve">ecision </w:t>
      </w:r>
      <w:r w:rsidR="009D391B" w:rsidRPr="00EC7767">
        <w:rPr>
          <w:lang w:eastAsia="en-AU"/>
        </w:rPr>
        <w:t xml:space="preserve">not </w:t>
      </w:r>
      <w:r w:rsidR="00151EEC" w:rsidRPr="00EC7767">
        <w:rPr>
          <w:lang w:eastAsia="en-AU"/>
        </w:rPr>
        <w:t>to declare the relevant service,</w:t>
      </w:r>
      <w:r w:rsidR="009D391B" w:rsidRPr="00C31053">
        <w:rPr>
          <w:lang w:eastAsia="en-AU"/>
        </w:rPr>
        <w:t xml:space="preserve"> not the reasons for decision. In that respect, the review task is analogous to that </w:t>
      </w:r>
      <w:r w:rsidR="00CA5766" w:rsidRPr="00C31053">
        <w:rPr>
          <w:lang w:eastAsia="en-AU"/>
        </w:rPr>
        <w:t>required</w:t>
      </w:r>
      <w:r w:rsidR="009D391B" w:rsidRPr="00C31053">
        <w:rPr>
          <w:lang w:eastAsia="en-AU"/>
        </w:rPr>
        <w:t xml:space="preserve"> under Part IX of the Act: </w:t>
      </w:r>
      <w:r w:rsidR="00D01263" w:rsidRPr="00367925">
        <w:rPr>
          <w:lang w:eastAsia="en-AU"/>
        </w:rPr>
        <w:t xml:space="preserve">see for example </w:t>
      </w:r>
      <w:r w:rsidR="00D01263" w:rsidRPr="00D5326B">
        <w:rPr>
          <w:i/>
          <w:lang w:eastAsia="en-AU"/>
        </w:rPr>
        <w:t>Re Queensland Co</w:t>
      </w:r>
      <w:r w:rsidR="004B6FAB" w:rsidRPr="00177558">
        <w:rPr>
          <w:i/>
          <w:lang w:eastAsia="en-AU"/>
        </w:rPr>
        <w:noBreakHyphen/>
      </w:r>
      <w:r w:rsidR="00D01263" w:rsidRPr="00177558">
        <w:rPr>
          <w:i/>
          <w:lang w:eastAsia="en-AU"/>
        </w:rPr>
        <w:t>operative Milling Association Ltd</w:t>
      </w:r>
      <w:r w:rsidR="00D01263" w:rsidRPr="00177558">
        <w:rPr>
          <w:lang w:eastAsia="en-AU"/>
        </w:rPr>
        <w:t xml:space="preserve"> (1976)</w:t>
      </w:r>
      <w:r w:rsidR="00B224B9" w:rsidRPr="00177558">
        <w:rPr>
          <w:lang w:eastAsia="en-AU"/>
        </w:rPr>
        <w:t xml:space="preserve"> </w:t>
      </w:r>
      <w:r w:rsidR="00D01263" w:rsidRPr="00EC7767">
        <w:rPr>
          <w:lang w:eastAsia="en-AU"/>
        </w:rPr>
        <w:t xml:space="preserve">8 ALR 481 </w:t>
      </w:r>
      <w:r w:rsidR="003453E0" w:rsidRPr="00EC7767">
        <w:rPr>
          <w:lang w:eastAsia="en-AU"/>
        </w:rPr>
        <w:t>(</w:t>
      </w:r>
      <w:r w:rsidR="003453E0" w:rsidRPr="00EC7767">
        <w:rPr>
          <w:b/>
          <w:i/>
          <w:lang w:eastAsia="en-AU"/>
        </w:rPr>
        <w:t>QCMA</w:t>
      </w:r>
      <w:r w:rsidR="003453E0" w:rsidRPr="00EC7767">
        <w:rPr>
          <w:lang w:eastAsia="en-AU"/>
        </w:rPr>
        <w:t>)</w:t>
      </w:r>
      <w:r w:rsidR="003453E0">
        <w:rPr>
          <w:lang w:eastAsia="en-AU"/>
        </w:rPr>
        <w:t xml:space="preserve"> </w:t>
      </w:r>
      <w:r w:rsidR="00D01263" w:rsidRPr="00EC7767">
        <w:rPr>
          <w:lang w:eastAsia="en-AU"/>
        </w:rPr>
        <w:t xml:space="preserve">at 486 (Woodward J, Mr J </w:t>
      </w:r>
      <w:proofErr w:type="spellStart"/>
      <w:r w:rsidR="00D01263" w:rsidRPr="00EC7767">
        <w:rPr>
          <w:lang w:eastAsia="en-AU"/>
        </w:rPr>
        <w:t>Shipton</w:t>
      </w:r>
      <w:proofErr w:type="spellEnd"/>
      <w:r w:rsidR="00D01263" w:rsidRPr="00EC7767">
        <w:rPr>
          <w:lang w:eastAsia="en-AU"/>
        </w:rPr>
        <w:t xml:space="preserve"> and Prof M Brunt); </w:t>
      </w:r>
      <w:r w:rsidR="00D01263" w:rsidRPr="00EC7767">
        <w:rPr>
          <w:i/>
          <w:lang w:eastAsia="en-AU"/>
        </w:rPr>
        <w:t>Re Herald &amp; Weekly Times</w:t>
      </w:r>
      <w:r w:rsidR="008F7B74" w:rsidRPr="00EC7767">
        <w:rPr>
          <w:i/>
          <w:lang w:eastAsia="en-AU"/>
        </w:rPr>
        <w:t xml:space="preserve"> Ltd</w:t>
      </w:r>
      <w:r w:rsidR="00D01263" w:rsidRPr="00EC7767">
        <w:rPr>
          <w:lang w:eastAsia="en-AU"/>
        </w:rPr>
        <w:t xml:space="preserve"> (1978) 17 ALR 281 </w:t>
      </w:r>
      <w:r w:rsidR="00991EC4" w:rsidRPr="00EC7767">
        <w:rPr>
          <w:lang w:eastAsia="en-AU"/>
        </w:rPr>
        <w:t>(</w:t>
      </w:r>
      <w:r w:rsidR="00991EC4" w:rsidRPr="00EC7767">
        <w:rPr>
          <w:b/>
          <w:i/>
          <w:lang w:eastAsia="en-AU"/>
        </w:rPr>
        <w:t>Re Herald &amp; Weekly Times</w:t>
      </w:r>
      <w:r w:rsidR="00991EC4" w:rsidRPr="00EC7767">
        <w:rPr>
          <w:lang w:eastAsia="en-AU"/>
        </w:rPr>
        <w:t xml:space="preserve">) </w:t>
      </w:r>
      <w:r w:rsidR="00D01263" w:rsidRPr="00EC7767">
        <w:rPr>
          <w:lang w:eastAsia="en-AU"/>
        </w:rPr>
        <w:t xml:space="preserve">at 295-296 (Deane J, Mr J </w:t>
      </w:r>
      <w:proofErr w:type="spellStart"/>
      <w:r w:rsidR="00D01263" w:rsidRPr="00EC7767">
        <w:rPr>
          <w:lang w:eastAsia="en-AU"/>
        </w:rPr>
        <w:t>Shipton</w:t>
      </w:r>
      <w:proofErr w:type="spellEnd"/>
      <w:r w:rsidR="00D01263" w:rsidRPr="00EC7767">
        <w:rPr>
          <w:lang w:eastAsia="en-AU"/>
        </w:rPr>
        <w:t xml:space="preserve"> and Mr J Walker); </w:t>
      </w:r>
      <w:r w:rsidR="00AE5616" w:rsidRPr="00EC7767">
        <w:rPr>
          <w:i/>
          <w:lang w:eastAsia="en-AU"/>
        </w:rPr>
        <w:t>Australian Consumers’ Association’s Application</w:t>
      </w:r>
      <w:r w:rsidR="005C5305">
        <w:rPr>
          <w:i/>
          <w:lang w:eastAsia="en-AU"/>
        </w:rPr>
        <w:t xml:space="preserve"> (</w:t>
      </w:r>
      <w:r w:rsidR="005C5305" w:rsidRPr="00EC7767">
        <w:rPr>
          <w:i/>
          <w:lang w:eastAsia="en-AU"/>
        </w:rPr>
        <w:t>Re Media Council of Australia (No 2</w:t>
      </w:r>
      <w:r w:rsidR="005C5305">
        <w:rPr>
          <w:i/>
          <w:lang w:eastAsia="en-AU"/>
        </w:rPr>
        <w:t>))</w:t>
      </w:r>
      <w:r w:rsidR="00D01263" w:rsidRPr="00EC7767">
        <w:rPr>
          <w:lang w:eastAsia="en-AU"/>
        </w:rPr>
        <w:t xml:space="preserve"> (1987) 82 ALR 115 at 126 </w:t>
      </w:r>
      <w:r w:rsidR="00D01263" w:rsidRPr="00EC7767">
        <w:rPr>
          <w:lang w:eastAsia="en-AU"/>
        </w:rPr>
        <w:lastRenderedPageBreak/>
        <w:t xml:space="preserve">(Lockhart J, Prof M Brunt and Dr B Aldrich); </w:t>
      </w:r>
      <w:r w:rsidR="00D01263" w:rsidRPr="00EC7767">
        <w:rPr>
          <w:i/>
          <w:lang w:eastAsia="en-AU"/>
        </w:rPr>
        <w:t xml:space="preserve">Application by Medicines Australia </w:t>
      </w:r>
      <w:proofErr w:type="spellStart"/>
      <w:r w:rsidR="00D01263" w:rsidRPr="00EC7767">
        <w:rPr>
          <w:i/>
          <w:lang w:eastAsia="en-AU"/>
        </w:rPr>
        <w:t>Inc</w:t>
      </w:r>
      <w:proofErr w:type="spellEnd"/>
      <w:r w:rsidR="00D01263" w:rsidRPr="00EC7767">
        <w:rPr>
          <w:lang w:eastAsia="en-AU"/>
        </w:rPr>
        <w:t xml:space="preserve"> [2007] </w:t>
      </w:r>
      <w:proofErr w:type="spellStart"/>
      <w:r w:rsidR="00D01263" w:rsidRPr="00EC7767">
        <w:rPr>
          <w:lang w:eastAsia="en-AU"/>
        </w:rPr>
        <w:t>ACompT</w:t>
      </w:r>
      <w:proofErr w:type="spellEnd"/>
      <w:r w:rsidR="00D01263" w:rsidRPr="00EC7767">
        <w:rPr>
          <w:lang w:eastAsia="en-AU"/>
        </w:rPr>
        <w:t xml:space="preserve"> 4; ATPR 42-164 (</w:t>
      </w:r>
      <w:r w:rsidR="00D01263" w:rsidRPr="005C5305">
        <w:rPr>
          <w:b/>
          <w:i/>
          <w:lang w:eastAsia="en-AU"/>
        </w:rPr>
        <w:t>Medicines Australia</w:t>
      </w:r>
      <w:r w:rsidR="00D01263" w:rsidRPr="00EC7767">
        <w:rPr>
          <w:lang w:eastAsia="en-AU"/>
        </w:rPr>
        <w:t xml:space="preserve">) at [135] and [138] </w:t>
      </w:r>
      <w:r w:rsidR="00D01263" w:rsidRPr="00C31053">
        <w:rPr>
          <w:lang w:eastAsia="en-AU"/>
        </w:rPr>
        <w:t xml:space="preserve">(French J, Mr G </w:t>
      </w:r>
      <w:proofErr w:type="spellStart"/>
      <w:r w:rsidR="00D01263" w:rsidRPr="00C31053">
        <w:rPr>
          <w:lang w:eastAsia="en-AU"/>
        </w:rPr>
        <w:t>Latta</w:t>
      </w:r>
      <w:proofErr w:type="spellEnd"/>
      <w:r w:rsidR="00D01263" w:rsidRPr="00C31053">
        <w:rPr>
          <w:lang w:eastAsia="en-AU"/>
        </w:rPr>
        <w:t xml:space="preserve"> and Prof C Walsh).</w:t>
      </w:r>
      <w:r w:rsidR="00CA5766" w:rsidRPr="00C31053">
        <w:rPr>
          <w:lang w:eastAsia="en-AU"/>
        </w:rPr>
        <w:t xml:space="preserve"> As those decisions of the Tribunal</w:t>
      </w:r>
      <w:r w:rsidR="00CA5766">
        <w:rPr>
          <w:lang w:eastAsia="en-AU"/>
        </w:rPr>
        <w:t xml:space="preserve"> make clear, the task of the Tribunal is not to rev</w:t>
      </w:r>
      <w:r w:rsidR="00151EEC">
        <w:rPr>
          <w:lang w:eastAsia="en-AU"/>
        </w:rPr>
        <w:t>iew the reasons of the decision-</w:t>
      </w:r>
      <w:r w:rsidR="00CA5766">
        <w:rPr>
          <w:lang w:eastAsia="en-AU"/>
        </w:rPr>
        <w:t>maker, but the reasons may “prove a convenient reference point for defining the matters which are truly in dispute” (</w:t>
      </w:r>
      <w:r w:rsidR="00CA5766" w:rsidRPr="00151EEC">
        <w:rPr>
          <w:i/>
          <w:lang w:eastAsia="en-AU"/>
        </w:rPr>
        <w:t>Re Herald &amp; Weekly Times</w:t>
      </w:r>
      <w:r w:rsidR="00151EEC">
        <w:rPr>
          <w:lang w:eastAsia="en-AU"/>
        </w:rPr>
        <w:t xml:space="preserve"> at 296). Ultimately, the Tribunal must make its own </w:t>
      </w:r>
      <w:r w:rsidR="00351AC7">
        <w:rPr>
          <w:lang w:eastAsia="en-AU"/>
        </w:rPr>
        <w:t xml:space="preserve">decision </w:t>
      </w:r>
      <w:r w:rsidR="00A11351">
        <w:rPr>
          <w:lang w:eastAsia="en-AU"/>
        </w:rPr>
        <w:t>with respect to the application of the statutory criteria</w:t>
      </w:r>
      <w:r w:rsidR="008413A0">
        <w:rPr>
          <w:lang w:eastAsia="en-AU"/>
        </w:rPr>
        <w:t xml:space="preserve">, based on the material taken into account by the </w:t>
      </w:r>
      <w:r w:rsidR="00151EEC">
        <w:rPr>
          <w:lang w:eastAsia="en-AU"/>
        </w:rPr>
        <w:t>Treasurer</w:t>
      </w:r>
      <w:r w:rsidR="008413A0">
        <w:rPr>
          <w:lang w:eastAsia="en-AU"/>
        </w:rPr>
        <w:t xml:space="preserve"> supplemented by any additional material obtained by the Tribunal in exercise of its powers under </w:t>
      </w:r>
      <w:proofErr w:type="spellStart"/>
      <w:r w:rsidR="008413A0">
        <w:rPr>
          <w:lang w:eastAsia="en-AU"/>
        </w:rPr>
        <w:t>ss</w:t>
      </w:r>
      <w:proofErr w:type="spellEnd"/>
      <w:r w:rsidR="008413A0">
        <w:rPr>
          <w:lang w:eastAsia="en-AU"/>
        </w:rPr>
        <w:t xml:space="preserve"> 4</w:t>
      </w:r>
      <w:r w:rsidR="00351AC7">
        <w:rPr>
          <w:lang w:eastAsia="en-AU"/>
        </w:rPr>
        <w:t>4K(6), 44K(6A) and 44ZZOAAA(4).</w:t>
      </w:r>
    </w:p>
    <w:p w14:paraId="2500607E" w14:textId="77777777" w:rsidR="00D32C91" w:rsidRDefault="00D32C91" w:rsidP="00D32C91">
      <w:pPr>
        <w:pStyle w:val="Heading2"/>
        <w:rPr>
          <w:lang w:eastAsia="en-AU"/>
        </w:rPr>
      </w:pPr>
      <w:bookmarkStart w:id="15" w:name="_Ref78900478"/>
      <w:r>
        <w:rPr>
          <w:lang w:eastAsia="en-AU"/>
        </w:rPr>
        <w:t>The applicable statutory criteria</w:t>
      </w:r>
      <w:bookmarkEnd w:id="15"/>
    </w:p>
    <w:p w14:paraId="1A828D61" w14:textId="77777777" w:rsidR="001E4219" w:rsidRDefault="00DE3EB4" w:rsidP="00E76AAF">
      <w:pPr>
        <w:pStyle w:val="ParaNumbering"/>
        <w:rPr>
          <w:lang w:eastAsia="en-AU"/>
        </w:rPr>
      </w:pPr>
      <w:r>
        <w:rPr>
          <w:lang w:eastAsia="en-AU"/>
        </w:rPr>
        <w:t>The decision of the Treasurer, which the Tribunal is required to reconsider, was made under s</w:t>
      </w:r>
      <w:r w:rsidR="00FE4E01">
        <w:rPr>
          <w:lang w:eastAsia="en-AU"/>
        </w:rPr>
        <w:t> </w:t>
      </w:r>
      <w:r>
        <w:rPr>
          <w:lang w:eastAsia="en-AU"/>
        </w:rPr>
        <w:t>44H which relevantly provides as follows:</w:t>
      </w:r>
    </w:p>
    <w:p w14:paraId="1D768048" w14:textId="77777777" w:rsidR="003C7E9A" w:rsidRPr="003C7E9A" w:rsidRDefault="00DE3EB4" w:rsidP="003C7E9A">
      <w:pPr>
        <w:pStyle w:val="Quote1"/>
        <w:tabs>
          <w:tab w:val="left" w:pos="1418"/>
        </w:tabs>
        <w:ind w:left="1418" w:hanging="709"/>
        <w:rPr>
          <w:b/>
          <w:lang w:eastAsia="en-AU"/>
        </w:rPr>
      </w:pPr>
      <w:r w:rsidRPr="003C7E9A">
        <w:rPr>
          <w:b/>
          <w:lang w:eastAsia="en-AU"/>
        </w:rPr>
        <w:t xml:space="preserve">44H </w:t>
      </w:r>
      <w:r w:rsidR="003C7E9A">
        <w:rPr>
          <w:b/>
          <w:lang w:eastAsia="en-AU"/>
        </w:rPr>
        <w:tab/>
      </w:r>
      <w:r w:rsidRPr="003C7E9A">
        <w:rPr>
          <w:b/>
          <w:lang w:eastAsia="en-AU"/>
        </w:rPr>
        <w:t>Designated Minister may declare a service</w:t>
      </w:r>
    </w:p>
    <w:p w14:paraId="66240CEA" w14:textId="77777777" w:rsidR="00DE3EB4" w:rsidRDefault="00DE3EB4" w:rsidP="003C7E9A">
      <w:pPr>
        <w:pStyle w:val="Quote1"/>
        <w:tabs>
          <w:tab w:val="left" w:pos="1418"/>
        </w:tabs>
        <w:ind w:left="1418" w:hanging="681"/>
        <w:rPr>
          <w:lang w:eastAsia="en-AU"/>
        </w:rPr>
      </w:pPr>
      <w:r>
        <w:rPr>
          <w:lang w:eastAsia="en-AU"/>
        </w:rPr>
        <w:t xml:space="preserve">(1) </w:t>
      </w:r>
      <w:r w:rsidR="003C7E9A">
        <w:rPr>
          <w:lang w:eastAsia="en-AU"/>
        </w:rPr>
        <w:tab/>
      </w:r>
      <w:r>
        <w:rPr>
          <w:lang w:eastAsia="en-AU"/>
        </w:rPr>
        <w:t>On receiving a declaration recommendation, the designated Minister must either declare the service or decide not to declare it.</w:t>
      </w:r>
    </w:p>
    <w:p w14:paraId="10106725" w14:textId="77777777" w:rsidR="00DE3EB4" w:rsidRPr="003C7E9A" w:rsidRDefault="00DE3EB4" w:rsidP="003C7E9A">
      <w:pPr>
        <w:pStyle w:val="Quote1"/>
        <w:ind w:left="1418"/>
        <w:rPr>
          <w:sz w:val="20"/>
          <w:lang w:eastAsia="en-AU"/>
        </w:rPr>
      </w:pPr>
      <w:r w:rsidRPr="003C7E9A">
        <w:rPr>
          <w:sz w:val="20"/>
          <w:lang w:eastAsia="en-AU"/>
        </w:rPr>
        <w:t>Note: The designated Minister must publish his or her decision: see section 44HA.</w:t>
      </w:r>
    </w:p>
    <w:p w14:paraId="6051ACC3" w14:textId="77777777" w:rsidR="00DE3EB4" w:rsidRDefault="00DE3EB4" w:rsidP="003C7E9A">
      <w:pPr>
        <w:pStyle w:val="Quote1"/>
        <w:tabs>
          <w:tab w:val="left" w:pos="1418"/>
        </w:tabs>
        <w:ind w:left="1418" w:hanging="681"/>
        <w:rPr>
          <w:lang w:eastAsia="en-AU"/>
        </w:rPr>
      </w:pPr>
      <w:r>
        <w:rPr>
          <w:lang w:eastAsia="en-AU"/>
        </w:rPr>
        <w:t xml:space="preserve">(1A) </w:t>
      </w:r>
      <w:r w:rsidR="003C7E9A">
        <w:rPr>
          <w:lang w:eastAsia="en-AU"/>
        </w:rPr>
        <w:tab/>
      </w:r>
      <w:r>
        <w:rPr>
          <w:lang w:eastAsia="en-AU"/>
        </w:rPr>
        <w:t>The designated Minister must have regard to the objects of this Part in making his or her decision.</w:t>
      </w:r>
    </w:p>
    <w:p w14:paraId="385DA921" w14:textId="77777777" w:rsidR="00DE3EB4" w:rsidRDefault="00DE3EB4" w:rsidP="003C7E9A">
      <w:pPr>
        <w:pStyle w:val="Quote1"/>
        <w:tabs>
          <w:tab w:val="left" w:pos="1418"/>
        </w:tabs>
        <w:ind w:left="1418" w:hanging="681"/>
        <w:rPr>
          <w:lang w:eastAsia="en-AU"/>
        </w:rPr>
      </w:pPr>
      <w:r>
        <w:rPr>
          <w:lang w:eastAsia="en-AU"/>
        </w:rPr>
        <w:t xml:space="preserve">(4) </w:t>
      </w:r>
      <w:r w:rsidR="003C7E9A">
        <w:rPr>
          <w:lang w:eastAsia="en-AU"/>
        </w:rPr>
        <w:tab/>
      </w:r>
      <w:r>
        <w:rPr>
          <w:lang w:eastAsia="en-AU"/>
        </w:rPr>
        <w:t xml:space="preserve">The designated Minister cannot declare a service unless he or she is satisfied of all of the declaration criteria for the service. </w:t>
      </w:r>
    </w:p>
    <w:p w14:paraId="7C2E2D3A" w14:textId="77777777" w:rsidR="003C7E9A" w:rsidRDefault="003C7E9A" w:rsidP="00E76AAF">
      <w:pPr>
        <w:pStyle w:val="ParaNumbering"/>
        <w:rPr>
          <w:lang w:eastAsia="en-AU"/>
        </w:rPr>
      </w:pPr>
      <w:r>
        <w:rPr>
          <w:lang w:eastAsia="en-AU"/>
        </w:rPr>
        <w:t xml:space="preserve">The objects of Part </w:t>
      </w:r>
      <w:r w:rsidR="003A6F45">
        <w:rPr>
          <w:lang w:eastAsia="en-AU"/>
        </w:rPr>
        <w:t xml:space="preserve">IIIA </w:t>
      </w:r>
      <w:r>
        <w:rPr>
          <w:lang w:eastAsia="en-AU"/>
        </w:rPr>
        <w:t>are stated in s 44AA as follows:</w:t>
      </w:r>
    </w:p>
    <w:p w14:paraId="128A0CE6" w14:textId="77777777" w:rsidR="003C7E9A" w:rsidRPr="003C7E9A" w:rsidRDefault="003C7E9A" w:rsidP="003C7E9A">
      <w:pPr>
        <w:pStyle w:val="Quote1"/>
        <w:tabs>
          <w:tab w:val="left" w:pos="1418"/>
        </w:tabs>
        <w:ind w:left="1418" w:hanging="681"/>
        <w:rPr>
          <w:b/>
          <w:lang w:eastAsia="en-AU"/>
        </w:rPr>
      </w:pPr>
      <w:r w:rsidRPr="003C7E9A">
        <w:rPr>
          <w:b/>
          <w:lang w:eastAsia="en-AU"/>
        </w:rPr>
        <w:t xml:space="preserve">44AA </w:t>
      </w:r>
      <w:r>
        <w:rPr>
          <w:b/>
          <w:lang w:eastAsia="en-AU"/>
        </w:rPr>
        <w:tab/>
      </w:r>
      <w:r w:rsidRPr="003C7E9A">
        <w:rPr>
          <w:b/>
          <w:lang w:eastAsia="en-AU"/>
        </w:rPr>
        <w:t>Objects of Part</w:t>
      </w:r>
    </w:p>
    <w:p w14:paraId="551D8CB9" w14:textId="77777777" w:rsidR="003C7E9A" w:rsidRDefault="003C7E9A" w:rsidP="003C7E9A">
      <w:pPr>
        <w:pStyle w:val="Quote1"/>
        <w:rPr>
          <w:lang w:eastAsia="en-AU"/>
        </w:rPr>
      </w:pPr>
      <w:r>
        <w:rPr>
          <w:lang w:eastAsia="en-AU"/>
        </w:rPr>
        <w:t>The objects of this Part are to:</w:t>
      </w:r>
    </w:p>
    <w:p w14:paraId="69AC85BF" w14:textId="77777777" w:rsidR="003C7E9A" w:rsidRDefault="003C7E9A" w:rsidP="003C7E9A">
      <w:pPr>
        <w:pStyle w:val="Quote1"/>
        <w:tabs>
          <w:tab w:val="left" w:pos="1418"/>
        </w:tabs>
        <w:ind w:left="1418" w:hanging="681"/>
        <w:rPr>
          <w:lang w:eastAsia="en-AU"/>
        </w:rPr>
      </w:pPr>
      <w:r>
        <w:rPr>
          <w:lang w:eastAsia="en-AU"/>
        </w:rPr>
        <w:t xml:space="preserve">(a) </w:t>
      </w:r>
      <w:r>
        <w:rPr>
          <w:lang w:eastAsia="en-AU"/>
        </w:rPr>
        <w:tab/>
        <w:t>promote the economically efficient operation of, use of and investment in the infrastructure by which services are provided, thereby promoting effective competition in upstream and downstream markets; and</w:t>
      </w:r>
    </w:p>
    <w:p w14:paraId="1A93E9D9" w14:textId="77777777" w:rsidR="003C7E9A" w:rsidRDefault="003C7E9A" w:rsidP="003C7E9A">
      <w:pPr>
        <w:pStyle w:val="Quote1"/>
        <w:tabs>
          <w:tab w:val="left" w:pos="1418"/>
        </w:tabs>
        <w:ind w:left="1418" w:hanging="681"/>
        <w:rPr>
          <w:lang w:eastAsia="en-AU"/>
        </w:rPr>
      </w:pPr>
      <w:r>
        <w:rPr>
          <w:lang w:eastAsia="en-AU"/>
        </w:rPr>
        <w:t xml:space="preserve">(b) </w:t>
      </w:r>
      <w:r>
        <w:rPr>
          <w:lang w:eastAsia="en-AU"/>
        </w:rPr>
        <w:tab/>
        <w:t xml:space="preserve">provide a framework and guiding principles to encourage a consistent approach to access regulation in each industry. </w:t>
      </w:r>
    </w:p>
    <w:p w14:paraId="377EEE2B" w14:textId="77777777" w:rsidR="003C7E9A" w:rsidRDefault="003C7E9A" w:rsidP="00E76AAF">
      <w:pPr>
        <w:pStyle w:val="ParaNumbering"/>
        <w:rPr>
          <w:lang w:eastAsia="en-AU"/>
        </w:rPr>
      </w:pPr>
      <w:r>
        <w:rPr>
          <w:lang w:eastAsia="en-AU"/>
        </w:rPr>
        <w:t>The declaration criteria are defined by s 44CA as follows:</w:t>
      </w:r>
    </w:p>
    <w:p w14:paraId="1B83B446" w14:textId="77777777" w:rsidR="003C7E9A" w:rsidRPr="003C7E9A" w:rsidRDefault="003C7E9A" w:rsidP="003C7E9A">
      <w:pPr>
        <w:pStyle w:val="Quote1"/>
        <w:tabs>
          <w:tab w:val="left" w:pos="1418"/>
        </w:tabs>
        <w:ind w:left="1418" w:hanging="681"/>
        <w:rPr>
          <w:b/>
          <w:lang w:eastAsia="en-AU"/>
        </w:rPr>
      </w:pPr>
      <w:r w:rsidRPr="003C7E9A">
        <w:rPr>
          <w:b/>
          <w:lang w:eastAsia="en-AU"/>
        </w:rPr>
        <w:t xml:space="preserve">44CA </w:t>
      </w:r>
      <w:r w:rsidRPr="003C7E9A">
        <w:rPr>
          <w:b/>
          <w:lang w:eastAsia="en-AU"/>
        </w:rPr>
        <w:tab/>
        <w:t>Meaning of declaration criteria</w:t>
      </w:r>
    </w:p>
    <w:p w14:paraId="26A7B44D" w14:textId="77777777" w:rsidR="003C7E9A" w:rsidRDefault="003C7E9A" w:rsidP="003C7E9A">
      <w:pPr>
        <w:pStyle w:val="Quote1"/>
        <w:tabs>
          <w:tab w:val="left" w:pos="1418"/>
        </w:tabs>
        <w:ind w:left="1418" w:hanging="681"/>
        <w:rPr>
          <w:lang w:eastAsia="en-AU"/>
        </w:rPr>
      </w:pPr>
      <w:r>
        <w:rPr>
          <w:lang w:eastAsia="en-AU"/>
        </w:rPr>
        <w:t xml:space="preserve">(1) </w:t>
      </w:r>
      <w:r w:rsidR="009477B6">
        <w:rPr>
          <w:lang w:eastAsia="en-AU"/>
        </w:rPr>
        <w:tab/>
      </w:r>
      <w:r>
        <w:rPr>
          <w:lang w:eastAsia="en-AU"/>
        </w:rPr>
        <w:t>The declaration criteria for a service are:</w:t>
      </w:r>
    </w:p>
    <w:p w14:paraId="0ABCC3C5" w14:textId="77777777" w:rsidR="009477B6" w:rsidRDefault="003C7E9A" w:rsidP="00E33FEA">
      <w:pPr>
        <w:pStyle w:val="Quote2"/>
        <w:ind w:left="2160" w:hanging="720"/>
        <w:rPr>
          <w:lang w:eastAsia="en-AU"/>
        </w:rPr>
      </w:pPr>
      <w:r>
        <w:rPr>
          <w:lang w:eastAsia="en-AU"/>
        </w:rPr>
        <w:t xml:space="preserve">(a) </w:t>
      </w:r>
      <w:r w:rsidR="009477B6">
        <w:rPr>
          <w:lang w:eastAsia="en-AU"/>
        </w:rPr>
        <w:tab/>
      </w:r>
      <w:r>
        <w:rPr>
          <w:lang w:eastAsia="en-AU"/>
        </w:rPr>
        <w:t>that access (or increased access) to the service, on reasonable terms and conditions, as a result of a declaration of the service would promote a material increase in competition in at least one market (whether or not in Australia), other than the market for the service; and</w:t>
      </w:r>
    </w:p>
    <w:p w14:paraId="06AF0F39" w14:textId="77777777" w:rsidR="003C7E9A" w:rsidRPr="009477B6" w:rsidRDefault="009477B6" w:rsidP="009477B6">
      <w:pPr>
        <w:pStyle w:val="Quote1"/>
        <w:tabs>
          <w:tab w:val="left" w:pos="1843"/>
        </w:tabs>
        <w:ind w:left="1985" w:hanging="11"/>
        <w:rPr>
          <w:sz w:val="20"/>
          <w:lang w:eastAsia="en-AU"/>
        </w:rPr>
      </w:pPr>
      <w:r>
        <w:rPr>
          <w:lang w:eastAsia="en-AU"/>
        </w:rPr>
        <w:lastRenderedPageBreak/>
        <w:tab/>
      </w:r>
      <w:r w:rsidR="003C7E9A" w:rsidRPr="00E33FEA">
        <w:rPr>
          <w:sz w:val="20"/>
        </w:rPr>
        <w:t>Note: Market is defined in section 4E</w:t>
      </w:r>
      <w:r w:rsidR="003C7E9A" w:rsidRPr="009477B6">
        <w:rPr>
          <w:sz w:val="20"/>
          <w:lang w:eastAsia="en-AU"/>
        </w:rPr>
        <w:t>.</w:t>
      </w:r>
    </w:p>
    <w:p w14:paraId="04E7A918" w14:textId="77777777" w:rsidR="003C7E9A" w:rsidRDefault="003C7E9A" w:rsidP="00E33FEA">
      <w:pPr>
        <w:pStyle w:val="Quote2"/>
        <w:ind w:left="2160" w:hanging="720"/>
        <w:rPr>
          <w:lang w:eastAsia="en-AU"/>
        </w:rPr>
      </w:pPr>
      <w:r>
        <w:rPr>
          <w:lang w:eastAsia="en-AU"/>
        </w:rPr>
        <w:t xml:space="preserve">(b) </w:t>
      </w:r>
      <w:r w:rsidR="009477B6">
        <w:rPr>
          <w:lang w:eastAsia="en-AU"/>
        </w:rPr>
        <w:tab/>
      </w:r>
      <w:r>
        <w:rPr>
          <w:lang w:eastAsia="en-AU"/>
        </w:rPr>
        <w:t>that the facility that is used (or will be used) to provide the service could meet the total foreseeable demand in the market:</w:t>
      </w:r>
    </w:p>
    <w:p w14:paraId="464EB7B7" w14:textId="77777777" w:rsidR="009477B6" w:rsidRDefault="003C7E9A" w:rsidP="00E33FEA">
      <w:pPr>
        <w:pStyle w:val="Quote3"/>
        <w:ind w:left="2880" w:hanging="720"/>
        <w:rPr>
          <w:lang w:eastAsia="en-AU"/>
        </w:rPr>
      </w:pPr>
      <w:r>
        <w:rPr>
          <w:lang w:eastAsia="en-AU"/>
        </w:rPr>
        <w:t>(</w:t>
      </w:r>
      <w:proofErr w:type="spellStart"/>
      <w:r>
        <w:rPr>
          <w:lang w:eastAsia="en-AU"/>
        </w:rPr>
        <w:t>i</w:t>
      </w:r>
      <w:proofErr w:type="spellEnd"/>
      <w:r>
        <w:rPr>
          <w:lang w:eastAsia="en-AU"/>
        </w:rPr>
        <w:t xml:space="preserve">) </w:t>
      </w:r>
      <w:r w:rsidR="009477B6">
        <w:rPr>
          <w:lang w:eastAsia="en-AU"/>
        </w:rPr>
        <w:tab/>
      </w:r>
      <w:r>
        <w:rPr>
          <w:lang w:eastAsia="en-AU"/>
        </w:rPr>
        <w:t>over the period for which the service would be declared;</w:t>
      </w:r>
      <w:r w:rsidR="009477B6">
        <w:rPr>
          <w:lang w:eastAsia="en-AU"/>
        </w:rPr>
        <w:t xml:space="preserve"> </w:t>
      </w:r>
      <w:r>
        <w:rPr>
          <w:lang w:eastAsia="en-AU"/>
        </w:rPr>
        <w:t>and</w:t>
      </w:r>
    </w:p>
    <w:p w14:paraId="54EAB195" w14:textId="77777777" w:rsidR="009477B6" w:rsidRDefault="003C7E9A" w:rsidP="00E33FEA">
      <w:pPr>
        <w:pStyle w:val="Quote3"/>
        <w:ind w:left="2880" w:hanging="720"/>
        <w:rPr>
          <w:lang w:eastAsia="en-AU"/>
        </w:rPr>
      </w:pPr>
      <w:r>
        <w:rPr>
          <w:lang w:eastAsia="en-AU"/>
        </w:rPr>
        <w:t xml:space="preserve">(ii) </w:t>
      </w:r>
      <w:r w:rsidR="009477B6">
        <w:rPr>
          <w:lang w:eastAsia="en-AU"/>
        </w:rPr>
        <w:tab/>
      </w:r>
      <w:r>
        <w:rPr>
          <w:lang w:eastAsia="en-AU"/>
        </w:rPr>
        <w:t xml:space="preserve">at the least cost compared to any 2 or more facilities (which could include the first-mentioned facility); and </w:t>
      </w:r>
    </w:p>
    <w:p w14:paraId="4AAB939E" w14:textId="77777777" w:rsidR="003C7E9A" w:rsidRDefault="003C7E9A" w:rsidP="00E33FEA">
      <w:pPr>
        <w:pStyle w:val="Quote2"/>
        <w:rPr>
          <w:lang w:eastAsia="en-AU"/>
        </w:rPr>
      </w:pPr>
      <w:r>
        <w:rPr>
          <w:lang w:eastAsia="en-AU"/>
        </w:rPr>
        <w:t xml:space="preserve">(c) </w:t>
      </w:r>
      <w:r w:rsidR="009477B6">
        <w:rPr>
          <w:lang w:eastAsia="en-AU"/>
        </w:rPr>
        <w:tab/>
      </w:r>
      <w:r>
        <w:rPr>
          <w:lang w:eastAsia="en-AU"/>
        </w:rPr>
        <w:t>that the facility is of national significance, having regard to:</w:t>
      </w:r>
    </w:p>
    <w:p w14:paraId="334B0338" w14:textId="77777777" w:rsidR="009477B6" w:rsidRDefault="003C7E9A" w:rsidP="00E33FEA">
      <w:pPr>
        <w:pStyle w:val="Quote3"/>
        <w:ind w:left="2880" w:hanging="720"/>
        <w:rPr>
          <w:lang w:eastAsia="en-AU"/>
        </w:rPr>
      </w:pPr>
      <w:r>
        <w:rPr>
          <w:lang w:eastAsia="en-AU"/>
        </w:rPr>
        <w:t>(</w:t>
      </w:r>
      <w:proofErr w:type="spellStart"/>
      <w:r>
        <w:rPr>
          <w:lang w:eastAsia="en-AU"/>
        </w:rPr>
        <w:t>i</w:t>
      </w:r>
      <w:proofErr w:type="spellEnd"/>
      <w:r>
        <w:rPr>
          <w:lang w:eastAsia="en-AU"/>
        </w:rPr>
        <w:t xml:space="preserve">) </w:t>
      </w:r>
      <w:r w:rsidR="009477B6">
        <w:rPr>
          <w:lang w:eastAsia="en-AU"/>
        </w:rPr>
        <w:tab/>
      </w:r>
      <w:r>
        <w:rPr>
          <w:lang w:eastAsia="en-AU"/>
        </w:rPr>
        <w:t>the size of the facility; or</w:t>
      </w:r>
    </w:p>
    <w:p w14:paraId="5FC7479E" w14:textId="77777777" w:rsidR="003C7E9A" w:rsidRDefault="003C7E9A" w:rsidP="00E33FEA">
      <w:pPr>
        <w:pStyle w:val="Quote3"/>
        <w:ind w:left="2880" w:hanging="720"/>
        <w:rPr>
          <w:lang w:eastAsia="en-AU"/>
        </w:rPr>
      </w:pPr>
      <w:r>
        <w:rPr>
          <w:lang w:eastAsia="en-AU"/>
        </w:rPr>
        <w:t xml:space="preserve">(ii) </w:t>
      </w:r>
      <w:r w:rsidR="009477B6">
        <w:rPr>
          <w:lang w:eastAsia="en-AU"/>
        </w:rPr>
        <w:tab/>
      </w:r>
      <w:r>
        <w:rPr>
          <w:lang w:eastAsia="en-AU"/>
        </w:rPr>
        <w:t xml:space="preserve">the importance of the facility to constitutional trade or </w:t>
      </w:r>
      <w:r w:rsidR="009477B6">
        <w:rPr>
          <w:lang w:eastAsia="en-AU"/>
        </w:rPr>
        <w:t xml:space="preserve">commerce; </w:t>
      </w:r>
      <w:r>
        <w:rPr>
          <w:lang w:eastAsia="en-AU"/>
        </w:rPr>
        <w:t xml:space="preserve">or </w:t>
      </w:r>
    </w:p>
    <w:p w14:paraId="7B137527" w14:textId="77777777" w:rsidR="009477B6" w:rsidRDefault="009477B6" w:rsidP="00E33FEA">
      <w:pPr>
        <w:pStyle w:val="Quote3"/>
        <w:ind w:left="2880" w:hanging="720"/>
        <w:rPr>
          <w:lang w:eastAsia="en-AU"/>
        </w:rPr>
      </w:pPr>
      <w:r>
        <w:rPr>
          <w:lang w:eastAsia="en-AU"/>
        </w:rPr>
        <w:t xml:space="preserve">(iii) </w:t>
      </w:r>
      <w:r>
        <w:rPr>
          <w:lang w:eastAsia="en-AU"/>
        </w:rPr>
        <w:tab/>
        <w:t>the importance of the facility to the national economy; and</w:t>
      </w:r>
    </w:p>
    <w:p w14:paraId="34824391" w14:textId="77777777" w:rsidR="009477B6" w:rsidRDefault="009477B6" w:rsidP="00E33FEA">
      <w:pPr>
        <w:pStyle w:val="Quote2"/>
        <w:ind w:left="2160" w:hanging="720"/>
        <w:rPr>
          <w:lang w:eastAsia="en-AU"/>
        </w:rPr>
      </w:pPr>
      <w:r>
        <w:rPr>
          <w:lang w:eastAsia="en-AU"/>
        </w:rPr>
        <w:t xml:space="preserve">(d) </w:t>
      </w:r>
      <w:r>
        <w:rPr>
          <w:lang w:eastAsia="en-AU"/>
        </w:rPr>
        <w:tab/>
        <w:t>that access (or increased access) to the service, on reasonable terms and conditions, as a result of a declaration of the service would promote the public interest.</w:t>
      </w:r>
    </w:p>
    <w:p w14:paraId="0466E8D2" w14:textId="77777777" w:rsidR="009477B6" w:rsidRDefault="009477B6" w:rsidP="009477B6">
      <w:pPr>
        <w:pStyle w:val="Quote1"/>
        <w:tabs>
          <w:tab w:val="left" w:pos="1418"/>
        </w:tabs>
        <w:ind w:left="1418" w:hanging="681"/>
        <w:rPr>
          <w:lang w:eastAsia="en-AU"/>
        </w:rPr>
      </w:pPr>
      <w:r>
        <w:rPr>
          <w:lang w:eastAsia="en-AU"/>
        </w:rPr>
        <w:t xml:space="preserve">(2) </w:t>
      </w:r>
      <w:r>
        <w:rPr>
          <w:lang w:eastAsia="en-AU"/>
        </w:rPr>
        <w:tab/>
        <w:t>For the purposes of paragraph (1)(b):</w:t>
      </w:r>
    </w:p>
    <w:p w14:paraId="7AFE7D47" w14:textId="77777777" w:rsidR="009477B6" w:rsidRDefault="009477B6" w:rsidP="00E33FEA">
      <w:pPr>
        <w:pStyle w:val="Quote2"/>
        <w:ind w:left="2160" w:hanging="720"/>
        <w:rPr>
          <w:lang w:eastAsia="en-AU"/>
        </w:rPr>
      </w:pPr>
      <w:r>
        <w:rPr>
          <w:lang w:eastAsia="en-AU"/>
        </w:rPr>
        <w:t xml:space="preserve">(a) </w:t>
      </w:r>
      <w:r>
        <w:rPr>
          <w:lang w:eastAsia="en-AU"/>
        </w:rPr>
        <w:tab/>
        <w:t>if the facility is currently at capacity, and it is reasonably possible to expand that capacity, have regard to the facility as if it had that expanded capacity; and</w:t>
      </w:r>
    </w:p>
    <w:p w14:paraId="10190774" w14:textId="77777777" w:rsidR="009477B6" w:rsidRDefault="009477B6" w:rsidP="00E33FEA">
      <w:pPr>
        <w:pStyle w:val="Quote2"/>
        <w:ind w:left="2160" w:hanging="720"/>
        <w:rPr>
          <w:lang w:eastAsia="en-AU"/>
        </w:rPr>
      </w:pPr>
      <w:r>
        <w:rPr>
          <w:lang w:eastAsia="en-AU"/>
        </w:rPr>
        <w:t xml:space="preserve">(b) </w:t>
      </w:r>
      <w:r>
        <w:rPr>
          <w:lang w:eastAsia="en-AU"/>
        </w:rPr>
        <w:tab/>
        <w:t>without limiting paragraph (1)(b), the cost referred to in that paragraph includes all costs associated with having multiple users of the facility (including such costs that would be incurred if the service is declared).</w:t>
      </w:r>
    </w:p>
    <w:p w14:paraId="2B3FADF5" w14:textId="77777777" w:rsidR="009477B6" w:rsidRDefault="009477B6" w:rsidP="009477B6">
      <w:pPr>
        <w:pStyle w:val="Quote1"/>
        <w:tabs>
          <w:tab w:val="left" w:pos="1418"/>
        </w:tabs>
        <w:ind w:left="1418" w:hanging="681"/>
        <w:rPr>
          <w:lang w:eastAsia="en-AU"/>
        </w:rPr>
      </w:pPr>
      <w:r>
        <w:rPr>
          <w:lang w:eastAsia="en-AU"/>
        </w:rPr>
        <w:t xml:space="preserve">(3) </w:t>
      </w:r>
      <w:r>
        <w:rPr>
          <w:lang w:eastAsia="en-AU"/>
        </w:rPr>
        <w:tab/>
        <w:t>Without limiting the matters to which the Council may have regard for the purposes of section 44G, or the designated Minister may have regard for the purposes of section 44H, in considering whether paragraph (1)(d) of this section applies the Council or designated Minister must have regard to:</w:t>
      </w:r>
    </w:p>
    <w:p w14:paraId="4501480D" w14:textId="77777777" w:rsidR="009477B6" w:rsidRDefault="009477B6" w:rsidP="00E33FEA">
      <w:pPr>
        <w:pStyle w:val="Quote2"/>
        <w:rPr>
          <w:lang w:eastAsia="en-AU"/>
        </w:rPr>
      </w:pPr>
      <w:r>
        <w:rPr>
          <w:lang w:eastAsia="en-AU"/>
        </w:rPr>
        <w:t xml:space="preserve">(a) </w:t>
      </w:r>
      <w:r>
        <w:rPr>
          <w:lang w:eastAsia="en-AU"/>
        </w:rPr>
        <w:tab/>
        <w:t>the effect that declaring the service would have on investment in:</w:t>
      </w:r>
    </w:p>
    <w:p w14:paraId="5D35EF77" w14:textId="77777777" w:rsidR="009477B6" w:rsidRDefault="009477B6" w:rsidP="00E33FEA">
      <w:pPr>
        <w:pStyle w:val="Quote3"/>
        <w:rPr>
          <w:lang w:eastAsia="en-AU"/>
        </w:rPr>
      </w:pPr>
      <w:r>
        <w:rPr>
          <w:lang w:eastAsia="en-AU"/>
        </w:rPr>
        <w:t>(</w:t>
      </w:r>
      <w:proofErr w:type="spellStart"/>
      <w:r>
        <w:rPr>
          <w:lang w:eastAsia="en-AU"/>
        </w:rPr>
        <w:t>i</w:t>
      </w:r>
      <w:proofErr w:type="spellEnd"/>
      <w:r>
        <w:rPr>
          <w:lang w:eastAsia="en-AU"/>
        </w:rPr>
        <w:t xml:space="preserve">) </w:t>
      </w:r>
      <w:r>
        <w:rPr>
          <w:lang w:eastAsia="en-AU"/>
        </w:rPr>
        <w:tab/>
        <w:t>infrastructure services; and</w:t>
      </w:r>
    </w:p>
    <w:p w14:paraId="793092C6" w14:textId="77777777" w:rsidR="009477B6" w:rsidRDefault="009477B6" w:rsidP="00E33FEA">
      <w:pPr>
        <w:pStyle w:val="Quote3"/>
        <w:rPr>
          <w:lang w:eastAsia="en-AU"/>
        </w:rPr>
      </w:pPr>
      <w:r>
        <w:rPr>
          <w:lang w:eastAsia="en-AU"/>
        </w:rPr>
        <w:t xml:space="preserve">(ii) </w:t>
      </w:r>
      <w:r>
        <w:rPr>
          <w:lang w:eastAsia="en-AU"/>
        </w:rPr>
        <w:tab/>
        <w:t>markets that depend on access to the service; and</w:t>
      </w:r>
    </w:p>
    <w:p w14:paraId="577BC15F" w14:textId="77777777" w:rsidR="009477B6" w:rsidRDefault="009477B6" w:rsidP="00E33FEA">
      <w:pPr>
        <w:pStyle w:val="Quote2"/>
        <w:ind w:left="2160" w:hanging="720"/>
        <w:rPr>
          <w:lang w:eastAsia="en-AU"/>
        </w:rPr>
      </w:pPr>
      <w:r>
        <w:rPr>
          <w:lang w:eastAsia="en-AU"/>
        </w:rPr>
        <w:t xml:space="preserve"> (b) </w:t>
      </w:r>
      <w:r>
        <w:rPr>
          <w:lang w:eastAsia="en-AU"/>
        </w:rPr>
        <w:tab/>
        <w:t xml:space="preserve">the administrative and compliance costs that would be incurred by the provider of the service if the service is declared. </w:t>
      </w:r>
    </w:p>
    <w:p w14:paraId="41B634B3" w14:textId="77777777" w:rsidR="00D32C91" w:rsidRDefault="000D66B3" w:rsidP="00E76AAF">
      <w:pPr>
        <w:pStyle w:val="ParaNumbering"/>
        <w:rPr>
          <w:lang w:eastAsia="en-AU"/>
        </w:rPr>
      </w:pPr>
      <w:r>
        <w:rPr>
          <w:lang w:eastAsia="en-AU"/>
        </w:rPr>
        <w:t xml:space="preserve">As noted earlier, </w:t>
      </w:r>
      <w:r w:rsidRPr="007D66A6">
        <w:rPr>
          <w:lang w:eastAsia="en-AU"/>
        </w:rPr>
        <w:t xml:space="preserve">the Treasurer decided not to declare the </w:t>
      </w:r>
      <w:r w:rsidR="00294718">
        <w:rPr>
          <w:lang w:eastAsia="en-AU"/>
        </w:rPr>
        <w:t>shipping channel service</w:t>
      </w:r>
      <w:r>
        <w:rPr>
          <w:lang w:eastAsia="en-AU"/>
        </w:rPr>
        <w:t xml:space="preserve"> on the basis that </w:t>
      </w:r>
      <w:r w:rsidRPr="007D66A6">
        <w:rPr>
          <w:lang w:eastAsia="en-AU"/>
        </w:rPr>
        <w:t xml:space="preserve">the criteria in </w:t>
      </w:r>
      <w:r>
        <w:rPr>
          <w:lang w:eastAsia="en-AU"/>
        </w:rPr>
        <w:t>paragraphs</w:t>
      </w:r>
      <w:r w:rsidRPr="007D66A6">
        <w:rPr>
          <w:lang w:eastAsia="en-AU"/>
        </w:rPr>
        <w:t xml:space="preserve"> 44CA(1)(a) and (d) had not been satisfied</w:t>
      </w:r>
      <w:r>
        <w:rPr>
          <w:lang w:eastAsia="en-AU"/>
        </w:rPr>
        <w:t xml:space="preserve">. In this proceeding, all participants accepted that </w:t>
      </w:r>
      <w:r w:rsidRPr="007D66A6">
        <w:rPr>
          <w:lang w:eastAsia="en-AU"/>
        </w:rPr>
        <w:t xml:space="preserve">the criteria in </w:t>
      </w:r>
      <w:r>
        <w:rPr>
          <w:lang w:eastAsia="en-AU"/>
        </w:rPr>
        <w:t>paragraphs</w:t>
      </w:r>
      <w:r w:rsidRPr="007D66A6">
        <w:rPr>
          <w:lang w:eastAsia="en-AU"/>
        </w:rPr>
        <w:t xml:space="preserve"> 44CA(1)(</w:t>
      </w:r>
      <w:r>
        <w:rPr>
          <w:lang w:eastAsia="en-AU"/>
        </w:rPr>
        <w:t>b</w:t>
      </w:r>
      <w:r w:rsidRPr="007D66A6">
        <w:rPr>
          <w:lang w:eastAsia="en-AU"/>
        </w:rPr>
        <w:t>) and (</w:t>
      </w:r>
      <w:r>
        <w:rPr>
          <w:lang w:eastAsia="en-AU"/>
        </w:rPr>
        <w:t>c</w:t>
      </w:r>
      <w:r w:rsidRPr="007D66A6">
        <w:rPr>
          <w:lang w:eastAsia="en-AU"/>
        </w:rPr>
        <w:t xml:space="preserve">) </w:t>
      </w:r>
      <w:r>
        <w:rPr>
          <w:lang w:eastAsia="en-AU"/>
        </w:rPr>
        <w:t>were</w:t>
      </w:r>
      <w:r w:rsidRPr="007D66A6">
        <w:rPr>
          <w:lang w:eastAsia="en-AU"/>
        </w:rPr>
        <w:t xml:space="preserve"> satisfied</w:t>
      </w:r>
      <w:r>
        <w:rPr>
          <w:lang w:eastAsia="en-AU"/>
        </w:rPr>
        <w:t xml:space="preserve">. Accordingly, it is only necessary for the Tribunal to consider criteria (a) and (d). </w:t>
      </w:r>
    </w:p>
    <w:p w14:paraId="0610930B" w14:textId="0420827D" w:rsidR="003400A7" w:rsidRDefault="00DF4261" w:rsidP="00DF4261">
      <w:pPr>
        <w:pStyle w:val="ParaNumbering"/>
        <w:rPr>
          <w:lang w:eastAsia="en-AU"/>
        </w:rPr>
      </w:pPr>
      <w:r>
        <w:rPr>
          <w:lang w:eastAsia="en-AU"/>
        </w:rPr>
        <w:t xml:space="preserve">The declaration criteria in Part IIIA of the Act were amended </w:t>
      </w:r>
      <w:r w:rsidR="000D66B3">
        <w:rPr>
          <w:lang w:eastAsia="en-AU"/>
        </w:rPr>
        <w:t xml:space="preserve">by </w:t>
      </w:r>
      <w:r w:rsidR="008F72D5">
        <w:rPr>
          <w:lang w:eastAsia="en-AU"/>
        </w:rPr>
        <w:t xml:space="preserve">the </w:t>
      </w:r>
      <w:r w:rsidR="003400A7" w:rsidRPr="00642609">
        <w:rPr>
          <w:lang w:eastAsia="en-AU"/>
        </w:rPr>
        <w:t>2017 Amendment Act</w:t>
      </w:r>
      <w:r w:rsidR="003400A7">
        <w:rPr>
          <w:lang w:eastAsia="en-AU"/>
        </w:rPr>
        <w:t xml:space="preserve"> </w:t>
      </w:r>
      <w:r w:rsidR="008F72D5">
        <w:rPr>
          <w:lang w:eastAsia="en-AU"/>
        </w:rPr>
        <w:t xml:space="preserve">with effect from 6 November 2017. Prior to the amendment, </w:t>
      </w:r>
      <w:r>
        <w:rPr>
          <w:lang w:eastAsia="en-AU"/>
        </w:rPr>
        <w:t>the declaration criteria</w:t>
      </w:r>
      <w:r w:rsidR="008F72D5">
        <w:rPr>
          <w:lang w:eastAsia="en-AU"/>
        </w:rPr>
        <w:t xml:space="preserve"> </w:t>
      </w:r>
      <w:r>
        <w:rPr>
          <w:lang w:eastAsia="en-AU"/>
        </w:rPr>
        <w:t>were</w:t>
      </w:r>
      <w:r w:rsidR="008F72D5">
        <w:rPr>
          <w:lang w:eastAsia="en-AU"/>
        </w:rPr>
        <w:t xml:space="preserve"> </w:t>
      </w:r>
      <w:r>
        <w:rPr>
          <w:lang w:eastAsia="en-AU"/>
        </w:rPr>
        <w:lastRenderedPageBreak/>
        <w:t>located in s</w:t>
      </w:r>
      <w:r w:rsidR="00FE4E01">
        <w:rPr>
          <w:lang w:eastAsia="en-AU"/>
        </w:rPr>
        <w:t> </w:t>
      </w:r>
      <w:r>
        <w:rPr>
          <w:lang w:eastAsia="en-AU"/>
        </w:rPr>
        <w:t xml:space="preserve">44H(4). After the amendment, the declaration criteria were relocated to a new </w:t>
      </w:r>
      <w:r w:rsidR="0075617D">
        <w:rPr>
          <w:lang w:eastAsia="en-AU"/>
        </w:rPr>
        <w:t>s </w:t>
      </w:r>
      <w:r>
        <w:rPr>
          <w:lang w:eastAsia="en-AU"/>
        </w:rPr>
        <w:t>44CA</w:t>
      </w:r>
      <w:r w:rsidR="003A6F45">
        <w:rPr>
          <w:lang w:eastAsia="en-AU"/>
        </w:rPr>
        <w:t>(1)</w:t>
      </w:r>
      <w:r>
        <w:rPr>
          <w:lang w:eastAsia="en-AU"/>
        </w:rPr>
        <w:t>. Each of criterion (a) and (d) were the subject of material revision.</w:t>
      </w:r>
    </w:p>
    <w:p w14:paraId="44E5C292" w14:textId="77777777" w:rsidR="003400A7" w:rsidRDefault="00DF4261" w:rsidP="00DF4261">
      <w:pPr>
        <w:pStyle w:val="Heading3"/>
        <w:rPr>
          <w:lang w:eastAsia="en-AU"/>
        </w:rPr>
      </w:pPr>
      <w:bookmarkStart w:id="16" w:name="_Ref78900479"/>
      <w:r>
        <w:rPr>
          <w:lang w:eastAsia="en-AU"/>
        </w:rPr>
        <w:t>Criterion (a)</w:t>
      </w:r>
      <w:bookmarkEnd w:id="16"/>
    </w:p>
    <w:p w14:paraId="3D663002" w14:textId="77777777" w:rsidR="00E85BE9" w:rsidRPr="0043702B" w:rsidRDefault="00E85BE9" w:rsidP="004207EA">
      <w:pPr>
        <w:pStyle w:val="ParaNumbering"/>
        <w:rPr>
          <w:lang w:eastAsia="en-AU"/>
        </w:rPr>
      </w:pPr>
      <w:r>
        <w:rPr>
          <w:lang w:eastAsia="en-AU"/>
        </w:rPr>
        <w:t xml:space="preserve">When Part IIIA was first enacted by the </w:t>
      </w:r>
      <w:r w:rsidRPr="00EC7767">
        <w:rPr>
          <w:i/>
          <w:lang w:eastAsia="en-AU"/>
        </w:rPr>
        <w:t xml:space="preserve">Competition Policy Reform Act </w:t>
      </w:r>
      <w:r w:rsidR="00692B27" w:rsidRPr="00EC7767">
        <w:rPr>
          <w:i/>
          <w:lang w:eastAsia="en-AU"/>
        </w:rPr>
        <w:t>1995</w:t>
      </w:r>
      <w:r w:rsidR="00692B27" w:rsidRPr="00C31053">
        <w:rPr>
          <w:lang w:eastAsia="en-AU"/>
        </w:rPr>
        <w:t xml:space="preserve"> (</w:t>
      </w:r>
      <w:proofErr w:type="spellStart"/>
      <w:r w:rsidR="00692B27" w:rsidRPr="00C31053">
        <w:rPr>
          <w:lang w:eastAsia="en-AU"/>
        </w:rPr>
        <w:t>Cth</w:t>
      </w:r>
      <w:proofErr w:type="spellEnd"/>
      <w:r w:rsidR="00692B27" w:rsidRPr="00C31053">
        <w:rPr>
          <w:lang w:eastAsia="en-AU"/>
        </w:rPr>
        <w:t xml:space="preserve">), </w:t>
      </w:r>
      <w:r w:rsidR="00DF4261" w:rsidRPr="00C31053">
        <w:rPr>
          <w:lang w:eastAsia="en-AU"/>
        </w:rPr>
        <w:t xml:space="preserve">criterion (a) was </w:t>
      </w:r>
      <w:r w:rsidR="00692B27" w:rsidRPr="00177558">
        <w:rPr>
          <w:lang w:eastAsia="en-AU"/>
        </w:rPr>
        <w:t>expressed as follows: “</w:t>
      </w:r>
      <w:r w:rsidR="000D66B3" w:rsidRPr="00177558">
        <w:rPr>
          <w:lang w:eastAsia="en-AU"/>
        </w:rPr>
        <w:t>that</w:t>
      </w:r>
      <w:r w:rsidR="00692B27" w:rsidRPr="00177558">
        <w:rPr>
          <w:lang w:eastAsia="en-AU"/>
        </w:rPr>
        <w:t xml:space="preserve"> </w:t>
      </w:r>
      <w:r w:rsidR="000D66B3" w:rsidRPr="00177558">
        <w:rPr>
          <w:lang w:eastAsia="en-AU"/>
        </w:rPr>
        <w:t>access (or increased access) to the service would promote competition in at least one market (whether or not in Australia), other th</w:t>
      </w:r>
      <w:r w:rsidR="000D66B3" w:rsidRPr="0043702B">
        <w:rPr>
          <w:lang w:eastAsia="en-AU"/>
        </w:rPr>
        <w:t>an the market for the service</w:t>
      </w:r>
      <w:r w:rsidR="00DF4261" w:rsidRPr="0043702B">
        <w:rPr>
          <w:lang w:eastAsia="en-AU"/>
        </w:rPr>
        <w:t>”</w:t>
      </w:r>
      <w:r w:rsidR="000D66B3" w:rsidRPr="0043702B">
        <w:rPr>
          <w:lang w:eastAsia="en-AU"/>
        </w:rPr>
        <w:t xml:space="preserve">. </w:t>
      </w:r>
    </w:p>
    <w:p w14:paraId="144C95D2" w14:textId="77777777" w:rsidR="005A4196" w:rsidRPr="0043702B" w:rsidRDefault="005A4196" w:rsidP="00692B27">
      <w:pPr>
        <w:pStyle w:val="ParaNumbering"/>
        <w:rPr>
          <w:lang w:eastAsia="en-AU"/>
        </w:rPr>
      </w:pPr>
      <w:r w:rsidRPr="0043702B">
        <w:rPr>
          <w:lang w:eastAsia="en-AU"/>
        </w:rPr>
        <w:t xml:space="preserve">As first enacted, the </w:t>
      </w:r>
      <w:r w:rsidR="00EF6252" w:rsidRPr="0043702B">
        <w:rPr>
          <w:lang w:eastAsia="en-AU"/>
        </w:rPr>
        <w:t xml:space="preserve">criterion focussed on the question whether access would “promote competition”. In </w:t>
      </w:r>
      <w:r w:rsidR="00EF6252" w:rsidRPr="0043702B">
        <w:rPr>
          <w:i/>
          <w:lang w:eastAsia="en-AU"/>
        </w:rPr>
        <w:t xml:space="preserve">Re Sydney </w:t>
      </w:r>
      <w:r w:rsidR="00E604B3" w:rsidRPr="00EC7767">
        <w:rPr>
          <w:i/>
          <w:lang w:eastAsia="en-AU"/>
        </w:rPr>
        <w:t>International Airport</w:t>
      </w:r>
      <w:r w:rsidR="00EF6252" w:rsidRPr="00EC7767">
        <w:rPr>
          <w:lang w:eastAsia="en-AU"/>
        </w:rPr>
        <w:t xml:space="preserve"> </w:t>
      </w:r>
      <w:r w:rsidR="00E604B3" w:rsidRPr="00C31053">
        <w:rPr>
          <w:lang w:eastAsia="en-AU"/>
        </w:rPr>
        <w:t>[</w:t>
      </w:r>
      <w:r w:rsidR="00EF6252" w:rsidRPr="00C31053">
        <w:rPr>
          <w:lang w:eastAsia="en-AU"/>
        </w:rPr>
        <w:t>2000</w:t>
      </w:r>
      <w:r w:rsidR="00E604B3" w:rsidRPr="00C31053">
        <w:rPr>
          <w:lang w:eastAsia="en-AU"/>
        </w:rPr>
        <w:t xml:space="preserve">] </w:t>
      </w:r>
      <w:proofErr w:type="spellStart"/>
      <w:r w:rsidR="00E604B3" w:rsidRPr="00C31053">
        <w:rPr>
          <w:lang w:eastAsia="en-AU"/>
        </w:rPr>
        <w:t>ACompT</w:t>
      </w:r>
      <w:proofErr w:type="spellEnd"/>
      <w:r w:rsidR="00E604B3" w:rsidRPr="00C31053">
        <w:rPr>
          <w:lang w:eastAsia="en-AU"/>
        </w:rPr>
        <w:t xml:space="preserve"> </w:t>
      </w:r>
      <w:r w:rsidR="00E604B3" w:rsidRPr="00177558">
        <w:rPr>
          <w:lang w:eastAsia="en-AU"/>
        </w:rPr>
        <w:t>1;</w:t>
      </w:r>
      <w:r w:rsidR="00EF6252" w:rsidRPr="00177558">
        <w:rPr>
          <w:lang w:eastAsia="en-AU"/>
        </w:rPr>
        <w:t xml:space="preserve"> 1</w:t>
      </w:r>
      <w:r w:rsidR="00E604B3" w:rsidRPr="00177558">
        <w:rPr>
          <w:lang w:eastAsia="en-AU"/>
        </w:rPr>
        <w:t>5</w:t>
      </w:r>
      <w:r w:rsidR="00EF6252" w:rsidRPr="00177558">
        <w:rPr>
          <w:lang w:eastAsia="en-AU"/>
        </w:rPr>
        <w:t>6 FLR 10</w:t>
      </w:r>
      <w:r w:rsidR="00A06701" w:rsidRPr="00177558">
        <w:rPr>
          <w:lang w:eastAsia="en-AU"/>
        </w:rPr>
        <w:t xml:space="preserve"> (</w:t>
      </w:r>
      <w:r w:rsidR="00A06701" w:rsidRPr="00177558">
        <w:rPr>
          <w:b/>
          <w:i/>
          <w:lang w:eastAsia="en-AU"/>
        </w:rPr>
        <w:t xml:space="preserve">Re Sydney </w:t>
      </w:r>
      <w:r w:rsidR="00574E95" w:rsidRPr="0043702B">
        <w:rPr>
          <w:b/>
          <w:i/>
          <w:lang w:eastAsia="en-AU"/>
        </w:rPr>
        <w:t xml:space="preserve">International </w:t>
      </w:r>
      <w:r w:rsidR="00A06701" w:rsidRPr="0043702B">
        <w:rPr>
          <w:b/>
          <w:i/>
          <w:lang w:eastAsia="en-AU"/>
        </w:rPr>
        <w:t>Airport</w:t>
      </w:r>
      <w:r w:rsidR="00A06701" w:rsidRPr="0043702B">
        <w:rPr>
          <w:lang w:eastAsia="en-AU"/>
        </w:rPr>
        <w:t>)</w:t>
      </w:r>
      <w:r w:rsidR="00EF6252" w:rsidRPr="0043702B">
        <w:rPr>
          <w:lang w:eastAsia="en-AU"/>
        </w:rPr>
        <w:t>, the Tribunal construed that expression as follows</w:t>
      </w:r>
      <w:r w:rsidR="00022695" w:rsidRPr="0043702B">
        <w:rPr>
          <w:lang w:eastAsia="en-AU"/>
        </w:rPr>
        <w:t xml:space="preserve"> (at [106]</w:t>
      </w:r>
      <w:r w:rsidR="00B107C1" w:rsidRPr="0043702B">
        <w:rPr>
          <w:lang w:eastAsia="en-AU"/>
        </w:rPr>
        <w:t>-[107]</w:t>
      </w:r>
      <w:r w:rsidR="00022695" w:rsidRPr="0043702B">
        <w:rPr>
          <w:lang w:eastAsia="en-AU"/>
        </w:rPr>
        <w:t>)</w:t>
      </w:r>
      <w:r w:rsidR="00EF6252" w:rsidRPr="0043702B">
        <w:rPr>
          <w:lang w:eastAsia="en-AU"/>
        </w:rPr>
        <w:t>:</w:t>
      </w:r>
    </w:p>
    <w:p w14:paraId="591C4BA4" w14:textId="77777777" w:rsidR="00EF6252" w:rsidRPr="0043702B" w:rsidRDefault="00EF6252" w:rsidP="00EF6252">
      <w:pPr>
        <w:pStyle w:val="Quote1"/>
        <w:rPr>
          <w:lang w:eastAsia="en-AU"/>
        </w:rPr>
      </w:pPr>
      <w:r w:rsidRPr="0043702B">
        <w:rPr>
          <w:lang w:eastAsia="en-AU"/>
        </w:rPr>
        <w:t xml:space="preserve">The Tribunal does not consider that the notion of "promoting" competition in s 44H(4)(a) requires it to be satisfied that there would be an advance in competition in the sense that competition would be increased. Rather, the Tribunal considers that the notion of "promoting" competition in s 44H(4)(a) involves the idea of creating the conditions or environment for improving competition from what it would be otherwise. That is to say, the opportunities and environment for competition given declaration, will be better than they would be without declaration. </w:t>
      </w:r>
    </w:p>
    <w:p w14:paraId="2D8EAED1" w14:textId="77777777" w:rsidR="00B107C1" w:rsidRPr="0043702B" w:rsidRDefault="00B107C1" w:rsidP="00B107C1">
      <w:pPr>
        <w:pStyle w:val="Quote1"/>
        <w:rPr>
          <w:lang w:eastAsia="en-AU"/>
        </w:rPr>
      </w:pPr>
      <w:r w:rsidRPr="0043702B">
        <w:rPr>
          <w:lang w:eastAsia="en-AU"/>
        </w:rPr>
        <w:t xml:space="preserve">We have reached this conclusion having had regard, in particular, to the two stage process of the Pt </w:t>
      </w:r>
      <w:r w:rsidR="00BF5CB6" w:rsidRPr="0043702B">
        <w:rPr>
          <w:lang w:eastAsia="en-AU"/>
        </w:rPr>
        <w:t>II</w:t>
      </w:r>
      <w:r w:rsidRPr="0043702B">
        <w:rPr>
          <w:lang w:eastAsia="en-AU"/>
        </w:rPr>
        <w:t>IA access regime. The purpose of an access declaration is to unlock a bottleneck so that competition can be promoted in a market other than the market for the service. The emphasis is on "access", which leads us to the view that s 44H(4)(a) is concerned with the fostering of competition, that is to say it is concerned with the removal of barriers to entry which inhibit the opportunity for competition in the relevant downstream market. It is in this sense that the Tribunal considers that the promotion of competition involves a consideration that if the conditions or environment for improving competition are enhanced, then there is a likelihood of increased competition that is not trivial.</w:t>
      </w:r>
    </w:p>
    <w:p w14:paraId="55D55267" w14:textId="77777777" w:rsidR="00EF6252" w:rsidRDefault="00EF6252" w:rsidP="003506EF">
      <w:pPr>
        <w:pStyle w:val="ParaNumbering"/>
        <w:rPr>
          <w:lang w:eastAsia="en-AU"/>
        </w:rPr>
      </w:pPr>
      <w:r w:rsidRPr="0043702B">
        <w:rPr>
          <w:lang w:eastAsia="en-AU"/>
        </w:rPr>
        <w:t xml:space="preserve">The Tribunal’s explanation of the meaning of the phrase “promote competition” has been consistently followed in subsequent Tribunal </w:t>
      </w:r>
      <w:r w:rsidR="00022695" w:rsidRPr="0043702B">
        <w:rPr>
          <w:lang w:eastAsia="en-AU"/>
        </w:rPr>
        <w:t>decisions</w:t>
      </w:r>
      <w:r w:rsidRPr="0043702B">
        <w:rPr>
          <w:lang w:eastAsia="en-AU"/>
        </w:rPr>
        <w:t xml:space="preserve">: see </w:t>
      </w:r>
      <w:r w:rsidR="00022695" w:rsidRPr="0043702B">
        <w:rPr>
          <w:i/>
          <w:lang w:eastAsia="en-AU"/>
        </w:rPr>
        <w:t>Re Duke Eastern Gas Pipeline Pty Ltd</w:t>
      </w:r>
      <w:r w:rsidR="00022695" w:rsidRPr="0043702B">
        <w:rPr>
          <w:lang w:eastAsia="en-AU"/>
        </w:rPr>
        <w:t xml:space="preserve"> [2001] </w:t>
      </w:r>
      <w:proofErr w:type="spellStart"/>
      <w:r w:rsidR="00022695" w:rsidRPr="0043702B">
        <w:rPr>
          <w:lang w:eastAsia="en-AU"/>
        </w:rPr>
        <w:t>ACompT</w:t>
      </w:r>
      <w:proofErr w:type="spellEnd"/>
      <w:r w:rsidR="00022695" w:rsidRPr="0043702B">
        <w:rPr>
          <w:lang w:eastAsia="en-AU"/>
        </w:rPr>
        <w:t xml:space="preserve"> 2; 162 FLR 1</w:t>
      </w:r>
      <w:r w:rsidR="00032E97" w:rsidRPr="0043702B">
        <w:rPr>
          <w:lang w:eastAsia="en-AU"/>
        </w:rPr>
        <w:t xml:space="preserve"> </w:t>
      </w:r>
      <w:r w:rsidR="007737EB" w:rsidRPr="0043702B">
        <w:rPr>
          <w:lang w:eastAsia="en-AU"/>
        </w:rPr>
        <w:t>(</w:t>
      </w:r>
      <w:r w:rsidR="007737EB" w:rsidRPr="0043702B">
        <w:rPr>
          <w:b/>
          <w:i/>
          <w:lang w:eastAsia="en-AU"/>
        </w:rPr>
        <w:t>Re Duke</w:t>
      </w:r>
      <w:r w:rsidR="007737EB" w:rsidRPr="0043702B">
        <w:rPr>
          <w:lang w:eastAsia="en-AU"/>
        </w:rPr>
        <w:t xml:space="preserve">) </w:t>
      </w:r>
      <w:r w:rsidR="00022695" w:rsidRPr="0043702B">
        <w:rPr>
          <w:lang w:eastAsia="en-AU"/>
        </w:rPr>
        <w:t xml:space="preserve">at [75]; </w:t>
      </w:r>
      <w:r w:rsidR="00022695" w:rsidRPr="0043702B">
        <w:rPr>
          <w:i/>
          <w:lang w:eastAsia="en-AU"/>
        </w:rPr>
        <w:t>Re Virgin Blue Airlines Pty Ltd</w:t>
      </w:r>
      <w:r w:rsidR="00022695" w:rsidRPr="0043702B">
        <w:rPr>
          <w:lang w:eastAsia="en-AU"/>
        </w:rPr>
        <w:t xml:space="preserve"> [2005] </w:t>
      </w:r>
      <w:proofErr w:type="spellStart"/>
      <w:r w:rsidR="00022695" w:rsidRPr="0043702B">
        <w:rPr>
          <w:lang w:eastAsia="en-AU"/>
        </w:rPr>
        <w:t>ACompT</w:t>
      </w:r>
      <w:proofErr w:type="spellEnd"/>
      <w:r w:rsidR="00022695" w:rsidRPr="0043702B">
        <w:rPr>
          <w:lang w:eastAsia="en-AU"/>
        </w:rPr>
        <w:t xml:space="preserve"> 5; 195 FLR 242 </w:t>
      </w:r>
      <w:r w:rsidR="008E432E" w:rsidRPr="0043702B">
        <w:rPr>
          <w:lang w:eastAsia="en-AU"/>
        </w:rPr>
        <w:t>(</w:t>
      </w:r>
      <w:r w:rsidR="008E432E" w:rsidRPr="0043702B">
        <w:rPr>
          <w:b/>
          <w:i/>
          <w:lang w:eastAsia="en-AU"/>
        </w:rPr>
        <w:t>Re Virgin Blue</w:t>
      </w:r>
      <w:r w:rsidR="008E432E" w:rsidRPr="0043702B">
        <w:rPr>
          <w:lang w:eastAsia="en-AU"/>
        </w:rPr>
        <w:t xml:space="preserve">) </w:t>
      </w:r>
      <w:r w:rsidR="00022695" w:rsidRPr="0043702B">
        <w:rPr>
          <w:lang w:eastAsia="en-AU"/>
        </w:rPr>
        <w:t xml:space="preserve">at [146]; </w:t>
      </w:r>
      <w:r w:rsidR="00032E97" w:rsidRPr="0043702B">
        <w:rPr>
          <w:i/>
          <w:lang w:eastAsia="en-AU"/>
        </w:rPr>
        <w:t>Re Services Sydney Pty Ltd</w:t>
      </w:r>
      <w:r w:rsidR="00032E97" w:rsidRPr="0043702B">
        <w:rPr>
          <w:lang w:eastAsia="en-AU"/>
        </w:rPr>
        <w:t xml:space="preserve"> [2005] </w:t>
      </w:r>
      <w:proofErr w:type="spellStart"/>
      <w:r w:rsidR="00032E97" w:rsidRPr="0043702B">
        <w:rPr>
          <w:lang w:eastAsia="en-AU"/>
        </w:rPr>
        <w:t>ACompT</w:t>
      </w:r>
      <w:proofErr w:type="spellEnd"/>
      <w:r w:rsidR="00032E97" w:rsidRPr="0043702B">
        <w:rPr>
          <w:lang w:eastAsia="en-AU"/>
        </w:rPr>
        <w:t xml:space="preserve"> 7; 227 ALR 140 at [132]; </w:t>
      </w:r>
      <w:r w:rsidR="00022695" w:rsidRPr="0043702B">
        <w:rPr>
          <w:i/>
          <w:lang w:eastAsia="en-AU"/>
        </w:rPr>
        <w:t>Re Fortescue Metals Group Ltd</w:t>
      </w:r>
      <w:r w:rsidR="00022695" w:rsidRPr="0043702B">
        <w:rPr>
          <w:lang w:eastAsia="en-AU"/>
        </w:rPr>
        <w:t xml:space="preserve"> [2010] </w:t>
      </w:r>
      <w:proofErr w:type="spellStart"/>
      <w:r w:rsidR="00022695" w:rsidRPr="0043702B">
        <w:rPr>
          <w:lang w:eastAsia="en-AU"/>
        </w:rPr>
        <w:t>ACompT</w:t>
      </w:r>
      <w:proofErr w:type="spellEnd"/>
      <w:r w:rsidR="00022695" w:rsidRPr="0043702B">
        <w:rPr>
          <w:lang w:eastAsia="en-AU"/>
        </w:rPr>
        <w:t xml:space="preserve"> 2; 271 ALR 256 </w:t>
      </w:r>
      <w:r w:rsidR="00A06701" w:rsidRPr="0043702B">
        <w:rPr>
          <w:lang w:eastAsia="en-AU"/>
        </w:rPr>
        <w:t>(</w:t>
      </w:r>
      <w:r w:rsidR="00A06701" w:rsidRPr="0043702B">
        <w:rPr>
          <w:b/>
          <w:i/>
          <w:lang w:eastAsia="en-AU"/>
        </w:rPr>
        <w:t>Re Fortescue Metals</w:t>
      </w:r>
      <w:r w:rsidR="00A06701" w:rsidRPr="0043702B">
        <w:rPr>
          <w:lang w:eastAsia="en-AU"/>
        </w:rPr>
        <w:t xml:space="preserve">) </w:t>
      </w:r>
      <w:r w:rsidR="00022695" w:rsidRPr="0043702B">
        <w:rPr>
          <w:lang w:eastAsia="en-AU"/>
        </w:rPr>
        <w:t>at [1060].</w:t>
      </w:r>
      <w:r w:rsidR="00AE12FA" w:rsidRPr="0043702B">
        <w:t xml:space="preserve"> </w:t>
      </w:r>
      <w:r w:rsidR="00032E97" w:rsidRPr="0043702B">
        <w:t xml:space="preserve">In </w:t>
      </w:r>
      <w:r w:rsidR="00AE12FA" w:rsidRPr="0043702B">
        <w:rPr>
          <w:i/>
          <w:lang w:eastAsia="en-AU"/>
        </w:rPr>
        <w:t>Telstra Corporation Ltd v Australian Competition Tribunal</w:t>
      </w:r>
      <w:r w:rsidR="00AE12FA" w:rsidRPr="0043702B">
        <w:rPr>
          <w:lang w:eastAsia="en-AU"/>
        </w:rPr>
        <w:t xml:space="preserve"> (2009) 175 FCR 201</w:t>
      </w:r>
      <w:r w:rsidR="003937D8" w:rsidRPr="0043702B">
        <w:rPr>
          <w:lang w:eastAsia="en-AU"/>
        </w:rPr>
        <w:t xml:space="preserve"> (</w:t>
      </w:r>
      <w:r w:rsidR="003937D8" w:rsidRPr="0043702B">
        <w:rPr>
          <w:b/>
          <w:i/>
          <w:lang w:eastAsia="en-AU"/>
        </w:rPr>
        <w:t>Telstra Corporation</w:t>
      </w:r>
      <w:r w:rsidR="003937D8" w:rsidRPr="0043702B">
        <w:rPr>
          <w:lang w:eastAsia="en-AU"/>
        </w:rPr>
        <w:t>)</w:t>
      </w:r>
      <w:r w:rsidR="00032E97" w:rsidRPr="0043702B">
        <w:rPr>
          <w:lang w:eastAsia="en-AU"/>
        </w:rPr>
        <w:t>, the Full Court approved that understanding of the phrase when used in an analogous context in the telecommunications access regime in Part XIC of the Act (</w:t>
      </w:r>
      <w:r w:rsidR="00AE12FA" w:rsidRPr="0043702B">
        <w:rPr>
          <w:lang w:eastAsia="en-AU"/>
        </w:rPr>
        <w:t>at [224]-[225]</w:t>
      </w:r>
      <w:r w:rsidR="00032E97" w:rsidRPr="0043702B">
        <w:rPr>
          <w:lang w:eastAsia="en-AU"/>
        </w:rPr>
        <w:t>)</w:t>
      </w:r>
      <w:r w:rsidR="00AE12FA" w:rsidRPr="0043702B">
        <w:rPr>
          <w:lang w:eastAsia="en-AU"/>
        </w:rPr>
        <w:t>.</w:t>
      </w:r>
      <w:r w:rsidR="003506EF" w:rsidRPr="0043702B">
        <w:rPr>
          <w:lang w:eastAsia="en-AU"/>
        </w:rPr>
        <w:t xml:space="preserve"> So too in </w:t>
      </w:r>
      <w:r w:rsidR="003506EF" w:rsidRPr="0043702B">
        <w:rPr>
          <w:i/>
          <w:lang w:eastAsia="en-AU"/>
        </w:rPr>
        <w:t>Port of Newcastle Operations Pty Ltd v Australian Competition Tribunal</w:t>
      </w:r>
      <w:r w:rsidR="003506EF" w:rsidRPr="0043702B">
        <w:rPr>
          <w:lang w:eastAsia="en-AU"/>
        </w:rPr>
        <w:t xml:space="preserve"> (2017) 253 FCR 115 (</w:t>
      </w:r>
      <w:r w:rsidR="003506EF" w:rsidRPr="0043702B">
        <w:rPr>
          <w:b/>
          <w:i/>
          <w:lang w:eastAsia="en-AU"/>
        </w:rPr>
        <w:t>Port of Newcastle</w:t>
      </w:r>
      <w:r w:rsidR="003506EF" w:rsidRPr="0043702B">
        <w:rPr>
          <w:lang w:eastAsia="en-AU"/>
        </w:rPr>
        <w:t>), the Full Court used the same explanation of the meaning of the phrase “promote competition</w:t>
      </w:r>
      <w:r w:rsidR="003506EF">
        <w:rPr>
          <w:lang w:eastAsia="en-AU"/>
        </w:rPr>
        <w:t>” (at [86]).</w:t>
      </w:r>
      <w:r w:rsidR="00C1060D">
        <w:rPr>
          <w:lang w:eastAsia="en-AU"/>
        </w:rPr>
        <w:t xml:space="preserve"> </w:t>
      </w:r>
      <w:r w:rsidR="00C1060D">
        <w:rPr>
          <w:lang w:eastAsia="en-AU"/>
        </w:rPr>
        <w:lastRenderedPageBreak/>
        <w:t>The Tribunal discusses further the phrase “promote competition”, and particularly the meaning of the word “competition”, below.</w:t>
      </w:r>
    </w:p>
    <w:p w14:paraId="73C72862" w14:textId="77777777" w:rsidR="00947FCF" w:rsidRDefault="00947FCF" w:rsidP="00EF6252">
      <w:pPr>
        <w:pStyle w:val="ParaNumbering"/>
        <w:rPr>
          <w:lang w:eastAsia="en-AU"/>
        </w:rPr>
      </w:pPr>
      <w:r>
        <w:rPr>
          <w:lang w:eastAsia="en-AU"/>
        </w:rPr>
        <w:t xml:space="preserve">In </w:t>
      </w:r>
      <w:r w:rsidRPr="00EF6252">
        <w:rPr>
          <w:i/>
          <w:lang w:eastAsia="en-AU"/>
        </w:rPr>
        <w:t>Re</w:t>
      </w:r>
      <w:r w:rsidR="008E432E">
        <w:rPr>
          <w:i/>
          <w:lang w:eastAsia="en-AU"/>
        </w:rPr>
        <w:t xml:space="preserve"> Sydney </w:t>
      </w:r>
      <w:r w:rsidR="00574E95">
        <w:rPr>
          <w:i/>
          <w:lang w:eastAsia="en-AU"/>
        </w:rPr>
        <w:t xml:space="preserve">International </w:t>
      </w:r>
      <w:r w:rsidR="008E432E">
        <w:rPr>
          <w:i/>
          <w:lang w:eastAsia="en-AU"/>
        </w:rPr>
        <w:t xml:space="preserve">Airport </w:t>
      </w:r>
      <w:r>
        <w:rPr>
          <w:lang w:eastAsia="en-AU"/>
        </w:rPr>
        <w:t xml:space="preserve">and the Tribunal decisions that followed, criterion (a) was understood </w:t>
      </w:r>
      <w:r w:rsidR="0018013F">
        <w:rPr>
          <w:lang w:eastAsia="en-AU"/>
        </w:rPr>
        <w:t>to</w:t>
      </w:r>
      <w:r>
        <w:rPr>
          <w:lang w:eastAsia="en-AU"/>
        </w:rPr>
        <w:t xml:space="preserve"> </w:t>
      </w:r>
      <w:r w:rsidR="0018013F">
        <w:rPr>
          <w:lang w:eastAsia="en-AU"/>
        </w:rPr>
        <w:t xml:space="preserve">require an assessment of the effect of declaration on the promotion of competition. In </w:t>
      </w:r>
      <w:r w:rsidR="0018013F" w:rsidRPr="00022695">
        <w:rPr>
          <w:i/>
          <w:lang w:eastAsia="en-AU"/>
        </w:rPr>
        <w:t>Re Virgin Blue</w:t>
      </w:r>
      <w:r w:rsidR="0018013F">
        <w:rPr>
          <w:lang w:eastAsia="en-AU"/>
        </w:rPr>
        <w:t>, the Tribunal expressed the relevant enquiry as follows (at [148]):</w:t>
      </w:r>
    </w:p>
    <w:p w14:paraId="3A65382E" w14:textId="77777777" w:rsidR="0018013F" w:rsidRDefault="0018013F" w:rsidP="0018013F">
      <w:pPr>
        <w:pStyle w:val="Quote1"/>
        <w:rPr>
          <w:lang w:eastAsia="en-AU"/>
        </w:rPr>
      </w:pPr>
      <w:r>
        <w:rPr>
          <w:lang w:eastAsia="en-AU"/>
        </w:rPr>
        <w:t xml:space="preserve">In order to determine whether access or increased access “would promote competition” in a dependent market, it is necessary to undertake an analysis of the future with declaration (which is referred to as the “factual”) as against the future without declaration (which is referred to as the “counterfactual”). As the Tribunal in </w:t>
      </w:r>
      <w:r w:rsidRPr="003937D8">
        <w:rPr>
          <w:i/>
          <w:lang w:eastAsia="en-AU"/>
        </w:rPr>
        <w:t>Re Sydney Airports Corp</w:t>
      </w:r>
      <w:r>
        <w:rPr>
          <w:lang w:eastAsia="en-AU"/>
        </w:rPr>
        <w:t xml:space="preserve"> observed at [108], a comparison of the factual and the counterfactual requires a forward-looking analysis which involves a comparison of the competitive conditions and environment likely to arise in the future with and without declaration. </w:t>
      </w:r>
    </w:p>
    <w:p w14:paraId="58290ADC" w14:textId="77777777" w:rsidR="00EF6252" w:rsidRDefault="0018013F" w:rsidP="00EF6252">
      <w:pPr>
        <w:pStyle w:val="ParaNumbering"/>
        <w:rPr>
          <w:lang w:eastAsia="en-AU"/>
        </w:rPr>
      </w:pPr>
      <w:r>
        <w:rPr>
          <w:lang w:eastAsia="en-AU"/>
        </w:rPr>
        <w:t xml:space="preserve">However, on application for review of the decision in </w:t>
      </w:r>
      <w:r w:rsidRPr="00022695">
        <w:rPr>
          <w:i/>
          <w:lang w:eastAsia="en-AU"/>
        </w:rPr>
        <w:t>Re Virgin Blue</w:t>
      </w:r>
      <w:r>
        <w:rPr>
          <w:lang w:eastAsia="en-AU"/>
        </w:rPr>
        <w:t xml:space="preserve">, </w:t>
      </w:r>
      <w:r w:rsidR="00EF6252">
        <w:rPr>
          <w:lang w:eastAsia="en-AU"/>
        </w:rPr>
        <w:t xml:space="preserve">the Full Court of the Federal Court </w:t>
      </w:r>
      <w:r w:rsidR="009C1D82">
        <w:rPr>
          <w:lang w:eastAsia="en-AU"/>
        </w:rPr>
        <w:t xml:space="preserve">in </w:t>
      </w:r>
      <w:r w:rsidR="009C1D82" w:rsidRPr="00EC7767">
        <w:rPr>
          <w:i/>
          <w:lang w:eastAsia="en-AU"/>
        </w:rPr>
        <w:t>Sydney Airport Corporation Ltd v Australian Competition Tribunal</w:t>
      </w:r>
      <w:r w:rsidR="009C1D82" w:rsidRPr="00EC7767">
        <w:rPr>
          <w:lang w:eastAsia="en-AU"/>
        </w:rPr>
        <w:t xml:space="preserve"> (2006) 155 FCR 124</w:t>
      </w:r>
      <w:r w:rsidR="009C1D82">
        <w:rPr>
          <w:lang w:eastAsia="en-AU"/>
        </w:rPr>
        <w:t xml:space="preserve"> (</w:t>
      </w:r>
      <w:r w:rsidR="009C1D82" w:rsidRPr="009C1D82">
        <w:rPr>
          <w:b/>
          <w:i/>
          <w:lang w:eastAsia="en-AU"/>
        </w:rPr>
        <w:t>Sydney Airport</w:t>
      </w:r>
      <w:r w:rsidR="009C1D82">
        <w:rPr>
          <w:lang w:eastAsia="en-AU"/>
        </w:rPr>
        <w:t xml:space="preserve">) </w:t>
      </w:r>
      <w:r w:rsidR="00EF6252">
        <w:rPr>
          <w:lang w:eastAsia="en-AU"/>
        </w:rPr>
        <w:t xml:space="preserve">concluded that criterion </w:t>
      </w:r>
      <w:r w:rsidR="009C1D82">
        <w:rPr>
          <w:lang w:eastAsia="en-AU"/>
        </w:rPr>
        <w:t xml:space="preserve">(a) </w:t>
      </w:r>
      <w:r w:rsidR="00EF6252">
        <w:rPr>
          <w:lang w:eastAsia="en-AU"/>
        </w:rPr>
        <w:t>required a comparison between access and no access, and limited access and increased access, to the service (at [81])</w:t>
      </w:r>
      <w:r w:rsidR="00BF1A55">
        <w:rPr>
          <w:lang w:eastAsia="en-AU"/>
        </w:rPr>
        <w:t xml:space="preserve">. In other words, </w:t>
      </w:r>
      <w:r w:rsidR="00EF6252">
        <w:rPr>
          <w:lang w:eastAsia="en-AU"/>
        </w:rPr>
        <w:t>the criterion required a comparison of the future state of competition in the dependent market with a right or ability to use the service and the future state of competition in the dependent market without any right or ability or with a restricted right or ability to use the service (at [8</w:t>
      </w:r>
      <w:r w:rsidR="00C12154">
        <w:rPr>
          <w:lang w:eastAsia="en-AU"/>
        </w:rPr>
        <w:t>3</w:t>
      </w:r>
      <w:r w:rsidR="00EF6252">
        <w:rPr>
          <w:lang w:eastAsia="en-AU"/>
        </w:rPr>
        <w:t>]). The criterion did not involve an enquiry about the effect</w:t>
      </w:r>
      <w:r w:rsidR="005C5305">
        <w:rPr>
          <w:lang w:eastAsia="en-AU"/>
        </w:rPr>
        <w:t xml:space="preserve"> of declaration under Part IIIA</w:t>
      </w:r>
      <w:r w:rsidR="00EF6252">
        <w:rPr>
          <w:lang w:eastAsia="en-AU"/>
        </w:rPr>
        <w:t>.</w:t>
      </w:r>
      <w:r w:rsidR="00BF1A55">
        <w:rPr>
          <w:lang w:eastAsia="en-AU"/>
        </w:rPr>
        <w:t xml:space="preserve"> As discussed below, criterion (a) was amended by the 2017 Amendment Act to overcome the interpretation in </w:t>
      </w:r>
      <w:r w:rsidR="00BF1A55" w:rsidRPr="00BF1A55">
        <w:rPr>
          <w:i/>
          <w:lang w:eastAsia="en-AU"/>
        </w:rPr>
        <w:t>Sydney Airport</w:t>
      </w:r>
      <w:r w:rsidR="00BF1A55">
        <w:rPr>
          <w:lang w:eastAsia="en-AU"/>
        </w:rPr>
        <w:t xml:space="preserve"> and, to a considerable extent, revert to the interpretation in </w:t>
      </w:r>
      <w:r w:rsidR="00BF1A55" w:rsidRPr="00BF1A55">
        <w:rPr>
          <w:i/>
          <w:lang w:eastAsia="en-AU"/>
        </w:rPr>
        <w:t>Re Virgin Blue</w:t>
      </w:r>
      <w:r w:rsidR="00BF1A55">
        <w:rPr>
          <w:lang w:eastAsia="en-AU"/>
        </w:rPr>
        <w:t xml:space="preserve">. </w:t>
      </w:r>
    </w:p>
    <w:p w14:paraId="39928512" w14:textId="77777777" w:rsidR="007737EB" w:rsidRDefault="00692B27" w:rsidP="007737EB">
      <w:pPr>
        <w:pStyle w:val="ParaNumbering"/>
        <w:rPr>
          <w:lang w:eastAsia="en-AU"/>
        </w:rPr>
      </w:pPr>
      <w:r>
        <w:rPr>
          <w:lang w:eastAsia="en-AU"/>
        </w:rPr>
        <w:t xml:space="preserve">Criterion (a) was amended by </w:t>
      </w:r>
      <w:r w:rsidRPr="00642609">
        <w:rPr>
          <w:lang w:eastAsia="en-AU"/>
        </w:rPr>
        <w:t xml:space="preserve">the </w:t>
      </w:r>
      <w:r w:rsidR="009C1D82" w:rsidRPr="00642609">
        <w:rPr>
          <w:lang w:eastAsia="en-AU"/>
        </w:rPr>
        <w:t>2006 Amendment Act</w:t>
      </w:r>
      <w:r>
        <w:rPr>
          <w:lang w:eastAsia="en-AU"/>
        </w:rPr>
        <w:t>, which inserted the phrase “a material increase in” before the word “competition</w:t>
      </w:r>
      <w:r w:rsidR="006B7F31">
        <w:rPr>
          <w:lang w:eastAsia="en-AU"/>
        </w:rPr>
        <w:t>”</w:t>
      </w:r>
      <w:r>
        <w:rPr>
          <w:lang w:eastAsia="en-AU"/>
        </w:rPr>
        <w:t xml:space="preserve">. Thus, criterion (a) became “that access (or increased access) to the service would promote a material increase in competition in at least one market (whether or not in Australia), other than the market for the service”. </w:t>
      </w:r>
      <w:r w:rsidR="00A06701">
        <w:rPr>
          <w:lang w:eastAsia="en-AU"/>
        </w:rPr>
        <w:t xml:space="preserve">In relation to the meaning of the phrase “material increase”, </w:t>
      </w:r>
      <w:r w:rsidR="007737EB">
        <w:rPr>
          <w:lang w:eastAsia="en-AU"/>
        </w:rPr>
        <w:t xml:space="preserve">the Explanatory Memorandum to the </w:t>
      </w:r>
      <w:r w:rsidR="007737EB" w:rsidRPr="002B1C14">
        <w:rPr>
          <w:lang w:eastAsia="en-AU"/>
        </w:rPr>
        <w:t>Trade Practices Amendment (National Access Regime) Bill 2005</w:t>
      </w:r>
      <w:r w:rsidR="001D5A27">
        <w:rPr>
          <w:i/>
          <w:lang w:eastAsia="en-AU"/>
        </w:rPr>
        <w:t xml:space="preserve"> </w:t>
      </w:r>
      <w:r w:rsidR="001D5A27">
        <w:rPr>
          <w:lang w:eastAsia="en-AU"/>
        </w:rPr>
        <w:t>(</w:t>
      </w:r>
      <w:proofErr w:type="spellStart"/>
      <w:r w:rsidR="001D5A27">
        <w:rPr>
          <w:lang w:eastAsia="en-AU"/>
        </w:rPr>
        <w:t>Cth</w:t>
      </w:r>
      <w:proofErr w:type="spellEnd"/>
      <w:r w:rsidR="001D5A27">
        <w:rPr>
          <w:lang w:eastAsia="en-AU"/>
        </w:rPr>
        <w:t>)</w:t>
      </w:r>
      <w:r w:rsidR="007737EB">
        <w:rPr>
          <w:lang w:eastAsia="en-AU"/>
        </w:rPr>
        <w:t xml:space="preserve"> stated (at [1.9]):</w:t>
      </w:r>
    </w:p>
    <w:p w14:paraId="4507D3A3" w14:textId="77777777" w:rsidR="007737EB" w:rsidRPr="000D66B3" w:rsidRDefault="007737EB" w:rsidP="007737EB">
      <w:pPr>
        <w:pStyle w:val="Quote1"/>
        <w:rPr>
          <w:lang w:eastAsia="en-AU"/>
        </w:rPr>
      </w:pPr>
      <w:r>
        <w:rPr>
          <w:lang w:eastAsia="en-AU"/>
        </w:rPr>
        <w:t>The Government has agreed to amend the ‘promote competition’ declaration criteria contained in paragraph 44G(2)(a), to ensure that access declarations are only granted where the expected increase in competition in an upstream or downstream market is not trivial.</w:t>
      </w:r>
    </w:p>
    <w:p w14:paraId="584EF4B9" w14:textId="77777777" w:rsidR="00A06701" w:rsidRDefault="007737EB" w:rsidP="007737EB">
      <w:pPr>
        <w:pStyle w:val="ParaNumbering"/>
        <w:rPr>
          <w:lang w:eastAsia="en-AU"/>
        </w:rPr>
      </w:pPr>
      <w:r>
        <w:rPr>
          <w:lang w:eastAsia="en-AU"/>
        </w:rPr>
        <w:lastRenderedPageBreak/>
        <w:t xml:space="preserve">In </w:t>
      </w:r>
      <w:r w:rsidRPr="007737EB">
        <w:rPr>
          <w:i/>
          <w:lang w:eastAsia="en-AU"/>
        </w:rPr>
        <w:t>Re Fortescue Metals</w:t>
      </w:r>
      <w:r>
        <w:rPr>
          <w:lang w:eastAsia="en-AU"/>
        </w:rPr>
        <w:t xml:space="preserve">, the Tribunal concluded (at [584]) that the inclusion of the phrase “material increase” brought no change to the existing law as the Tribunal had always taken the position that criterion (a) required a non-trivial increase in competition (referring to </w:t>
      </w:r>
      <w:r w:rsidRPr="007737EB">
        <w:rPr>
          <w:i/>
          <w:lang w:eastAsia="en-AU"/>
        </w:rPr>
        <w:t>Re Duke</w:t>
      </w:r>
      <w:r>
        <w:rPr>
          <w:lang w:eastAsia="en-AU"/>
        </w:rPr>
        <w:t xml:space="preserve"> and </w:t>
      </w:r>
      <w:r w:rsidRPr="007737EB">
        <w:rPr>
          <w:i/>
          <w:lang w:eastAsia="en-AU"/>
        </w:rPr>
        <w:t xml:space="preserve">Re Sydney </w:t>
      </w:r>
      <w:r w:rsidR="00574E95">
        <w:rPr>
          <w:i/>
          <w:lang w:eastAsia="en-AU"/>
        </w:rPr>
        <w:t xml:space="preserve">International </w:t>
      </w:r>
      <w:r w:rsidRPr="007737EB">
        <w:rPr>
          <w:i/>
          <w:lang w:eastAsia="en-AU"/>
        </w:rPr>
        <w:t>Airport</w:t>
      </w:r>
      <w:r>
        <w:rPr>
          <w:lang w:eastAsia="en-AU"/>
        </w:rPr>
        <w:t xml:space="preserve">). </w:t>
      </w:r>
    </w:p>
    <w:p w14:paraId="680F353F" w14:textId="77777777" w:rsidR="00BF5CB6" w:rsidRDefault="00692B27" w:rsidP="00BF5CB6">
      <w:pPr>
        <w:pStyle w:val="ParaNumbering"/>
        <w:rPr>
          <w:lang w:eastAsia="en-AU"/>
        </w:rPr>
      </w:pPr>
      <w:r>
        <w:rPr>
          <w:lang w:eastAsia="en-AU"/>
        </w:rPr>
        <w:t xml:space="preserve">In </w:t>
      </w:r>
      <w:r w:rsidRPr="004207EA">
        <w:rPr>
          <w:i/>
          <w:lang w:eastAsia="en-AU"/>
        </w:rPr>
        <w:t>Port of Newcastle</w:t>
      </w:r>
      <w:r>
        <w:rPr>
          <w:lang w:eastAsia="en-AU"/>
        </w:rPr>
        <w:t xml:space="preserve">, the Full Court approved the interpretation of criterion (a) adopted in </w:t>
      </w:r>
      <w:r w:rsidRPr="009C1D82">
        <w:rPr>
          <w:i/>
          <w:lang w:eastAsia="en-AU"/>
        </w:rPr>
        <w:t>Sydney Airport</w:t>
      </w:r>
      <w:r>
        <w:rPr>
          <w:lang w:eastAsia="en-AU"/>
        </w:rPr>
        <w:t xml:space="preserve"> (at </w:t>
      </w:r>
      <w:r w:rsidRPr="004207EA">
        <w:rPr>
          <w:lang w:eastAsia="en-AU"/>
        </w:rPr>
        <w:t>[136]</w:t>
      </w:r>
      <w:r>
        <w:rPr>
          <w:lang w:eastAsia="en-AU"/>
        </w:rPr>
        <w:t>)</w:t>
      </w:r>
      <w:r w:rsidR="00E501DD">
        <w:rPr>
          <w:lang w:eastAsia="en-AU"/>
        </w:rPr>
        <w:t>, and concluded that the proper construction of criterion (a) was not affected by the amendment made by the 2006 Amendment Act (at [144]</w:t>
      </w:r>
      <w:r>
        <w:rPr>
          <w:lang w:eastAsia="en-AU"/>
        </w:rPr>
        <w:t>).</w:t>
      </w:r>
      <w:r w:rsidR="00E501DD">
        <w:rPr>
          <w:lang w:eastAsia="en-AU"/>
        </w:rPr>
        <w:t xml:space="preserve"> In respect of the phrase “material increase”, the Full Court </w:t>
      </w:r>
      <w:r w:rsidR="00810AB2">
        <w:rPr>
          <w:lang w:eastAsia="en-AU"/>
        </w:rPr>
        <w:t xml:space="preserve">also </w:t>
      </w:r>
      <w:r w:rsidR="00E501DD">
        <w:rPr>
          <w:lang w:eastAsia="en-AU"/>
        </w:rPr>
        <w:t xml:space="preserve">noted </w:t>
      </w:r>
      <w:r w:rsidR="009C1D82">
        <w:rPr>
          <w:lang w:eastAsia="en-AU"/>
        </w:rPr>
        <w:t xml:space="preserve">(at [144]) </w:t>
      </w:r>
      <w:r w:rsidR="00E501DD">
        <w:rPr>
          <w:lang w:eastAsia="en-AU"/>
        </w:rPr>
        <w:t xml:space="preserve">the statement in the Explanatory Memorandum </w:t>
      </w:r>
      <w:r w:rsidR="009C1D82">
        <w:rPr>
          <w:lang w:eastAsia="en-AU"/>
        </w:rPr>
        <w:t>(</w:t>
      </w:r>
      <w:r w:rsidR="00BF1A55">
        <w:rPr>
          <w:lang w:eastAsia="en-AU"/>
        </w:rPr>
        <w:t>reproduced above</w:t>
      </w:r>
      <w:r w:rsidR="009C1D82">
        <w:rPr>
          <w:lang w:eastAsia="en-AU"/>
        </w:rPr>
        <w:t>)</w:t>
      </w:r>
      <w:r w:rsidR="00810AB2">
        <w:rPr>
          <w:lang w:eastAsia="en-AU"/>
        </w:rPr>
        <w:t xml:space="preserve"> to the effect that the criterion only applies where </w:t>
      </w:r>
      <w:r w:rsidR="00E501DD">
        <w:rPr>
          <w:lang w:eastAsia="en-AU"/>
        </w:rPr>
        <w:t>the expected increase in competition in an upstream or downstream market is not trivial.</w:t>
      </w:r>
    </w:p>
    <w:p w14:paraId="2A7A9C23" w14:textId="77777777" w:rsidR="00C66DEC" w:rsidRDefault="005746E8" w:rsidP="005746E8">
      <w:pPr>
        <w:pStyle w:val="ParaNumbering"/>
        <w:rPr>
          <w:lang w:eastAsia="en-AU"/>
        </w:rPr>
      </w:pPr>
      <w:r>
        <w:rPr>
          <w:lang w:eastAsia="en-AU"/>
        </w:rPr>
        <w:t xml:space="preserve">Criterion (a) was amended in a more </w:t>
      </w:r>
      <w:r w:rsidR="00810AB2">
        <w:rPr>
          <w:lang w:eastAsia="en-AU"/>
        </w:rPr>
        <w:t>significant</w:t>
      </w:r>
      <w:r>
        <w:rPr>
          <w:lang w:eastAsia="en-AU"/>
        </w:rPr>
        <w:t xml:space="preserve"> way by the 2017 Amendment Act. Since 6 November 2017, criterion (a) has become “</w:t>
      </w:r>
      <w:r w:rsidRPr="005746E8">
        <w:rPr>
          <w:lang w:eastAsia="en-AU"/>
        </w:rPr>
        <w:t>that access (or increased access) to the service, on reasonable terms and conditions, as a result of a declaration of the service would promote a material increase in competition in at least one market (whether or not in Australia), other than the market for the service</w:t>
      </w:r>
      <w:r>
        <w:rPr>
          <w:lang w:eastAsia="en-AU"/>
        </w:rPr>
        <w:t>”. It can be seen that the phrase “access (or increased access) to the service” has now been qualified by the phrase “</w:t>
      </w:r>
      <w:r w:rsidRPr="005746E8">
        <w:rPr>
          <w:lang w:eastAsia="en-AU"/>
        </w:rPr>
        <w:t>on reasonable terms and conditions, as a result of a declaration of the service</w:t>
      </w:r>
      <w:r>
        <w:rPr>
          <w:lang w:eastAsia="en-AU"/>
        </w:rPr>
        <w:t>”.</w:t>
      </w:r>
      <w:r w:rsidR="00001378">
        <w:rPr>
          <w:lang w:eastAsia="en-AU"/>
        </w:rPr>
        <w:t xml:space="preserve"> </w:t>
      </w:r>
      <w:r w:rsidR="00C66DEC">
        <w:rPr>
          <w:lang w:eastAsia="en-AU"/>
        </w:rPr>
        <w:t xml:space="preserve">This is the first decision of the Tribunal to consider criterion (a) as so amended. </w:t>
      </w:r>
    </w:p>
    <w:p w14:paraId="3CC4B3EC" w14:textId="77777777" w:rsidR="00692B27" w:rsidRDefault="00001378" w:rsidP="005746E8">
      <w:pPr>
        <w:pStyle w:val="ParaNumbering"/>
        <w:rPr>
          <w:lang w:eastAsia="en-AU"/>
        </w:rPr>
      </w:pPr>
      <w:r>
        <w:rPr>
          <w:lang w:eastAsia="en-AU"/>
        </w:rPr>
        <w:t xml:space="preserve">On its plain terms, the amended criterion no longer requires a comparison of access </w:t>
      </w:r>
      <w:r w:rsidR="00BC4D73">
        <w:rPr>
          <w:lang w:eastAsia="en-AU"/>
        </w:rPr>
        <w:t>and</w:t>
      </w:r>
      <w:r>
        <w:rPr>
          <w:lang w:eastAsia="en-AU"/>
        </w:rPr>
        <w:t xml:space="preserve"> no access</w:t>
      </w:r>
      <w:r w:rsidR="00D145A7">
        <w:rPr>
          <w:lang w:eastAsia="en-AU"/>
        </w:rPr>
        <w:t xml:space="preserve">. The relevant enquiry has become: what effect would access to the service </w:t>
      </w:r>
      <w:r w:rsidR="00D145A7" w:rsidRPr="005746E8">
        <w:rPr>
          <w:lang w:eastAsia="en-AU"/>
        </w:rPr>
        <w:t xml:space="preserve">on </w:t>
      </w:r>
      <w:r w:rsidR="00D145A7">
        <w:rPr>
          <w:lang w:eastAsia="en-AU"/>
        </w:rPr>
        <w:t>reasonable terms and conditions</w:t>
      </w:r>
      <w:r w:rsidR="00D145A7" w:rsidRPr="005746E8">
        <w:rPr>
          <w:lang w:eastAsia="en-AU"/>
        </w:rPr>
        <w:t xml:space="preserve"> as a result of a declaration of the service</w:t>
      </w:r>
      <w:r w:rsidR="00D145A7">
        <w:rPr>
          <w:lang w:eastAsia="en-AU"/>
        </w:rPr>
        <w:t xml:space="preserve"> have on the promotion of competition in a dependent market? That enquiry invites a comparison </w:t>
      </w:r>
      <w:r>
        <w:rPr>
          <w:lang w:eastAsia="en-AU"/>
        </w:rPr>
        <w:t xml:space="preserve">of </w:t>
      </w:r>
      <w:r w:rsidR="00BC4D73">
        <w:rPr>
          <w:lang w:eastAsia="en-AU"/>
        </w:rPr>
        <w:t>(</w:t>
      </w:r>
      <w:proofErr w:type="spellStart"/>
      <w:r w:rsidR="00BC4D73">
        <w:rPr>
          <w:lang w:eastAsia="en-AU"/>
        </w:rPr>
        <w:t>i</w:t>
      </w:r>
      <w:proofErr w:type="spellEnd"/>
      <w:r w:rsidR="00BC4D73">
        <w:rPr>
          <w:lang w:eastAsia="en-AU"/>
        </w:rPr>
        <w:t xml:space="preserve">) </w:t>
      </w:r>
      <w:r>
        <w:rPr>
          <w:lang w:eastAsia="en-AU"/>
        </w:rPr>
        <w:t xml:space="preserve">access </w:t>
      </w:r>
      <w:r w:rsidRPr="005746E8">
        <w:rPr>
          <w:lang w:eastAsia="en-AU"/>
        </w:rPr>
        <w:t xml:space="preserve">on </w:t>
      </w:r>
      <w:r w:rsidR="00BC4D73">
        <w:rPr>
          <w:lang w:eastAsia="en-AU"/>
        </w:rPr>
        <w:t>reasonable terms and conditions</w:t>
      </w:r>
      <w:r w:rsidRPr="005746E8">
        <w:rPr>
          <w:lang w:eastAsia="en-AU"/>
        </w:rPr>
        <w:t xml:space="preserve"> as a result of a declaration of the service</w:t>
      </w:r>
      <w:r>
        <w:rPr>
          <w:lang w:eastAsia="en-AU"/>
        </w:rPr>
        <w:t xml:space="preserve"> </w:t>
      </w:r>
      <w:r w:rsidR="00BC4D73">
        <w:rPr>
          <w:lang w:eastAsia="en-AU"/>
        </w:rPr>
        <w:t xml:space="preserve">and (ii) </w:t>
      </w:r>
      <w:r w:rsidR="00D145A7">
        <w:rPr>
          <w:lang w:eastAsia="en-AU"/>
        </w:rPr>
        <w:t xml:space="preserve">the </w:t>
      </w:r>
      <w:r w:rsidR="00BC4D73">
        <w:rPr>
          <w:lang w:eastAsia="en-AU"/>
        </w:rPr>
        <w:t xml:space="preserve">circumstances that would be likely to prevail </w:t>
      </w:r>
      <w:r w:rsidR="00D145A7">
        <w:rPr>
          <w:lang w:eastAsia="en-AU"/>
        </w:rPr>
        <w:t>with respect to access in the absence of declaration</w:t>
      </w:r>
      <w:r w:rsidR="00BC4D73">
        <w:rPr>
          <w:lang w:eastAsia="en-AU"/>
        </w:rPr>
        <w:t xml:space="preserve">. </w:t>
      </w:r>
      <w:r w:rsidR="00281BF8">
        <w:rPr>
          <w:lang w:eastAsia="en-AU"/>
        </w:rPr>
        <w:t>While the enquiry is forward looking, the prevailing circumstances relating to access (in particular, whether access is presently given and on what terms) will be relevant to the required forward looking comparison.</w:t>
      </w:r>
    </w:p>
    <w:p w14:paraId="613729F7" w14:textId="77777777" w:rsidR="005746E8" w:rsidRDefault="007277ED" w:rsidP="004207EA">
      <w:pPr>
        <w:pStyle w:val="ParaNumbering"/>
        <w:rPr>
          <w:lang w:eastAsia="en-AU"/>
        </w:rPr>
      </w:pPr>
      <w:r>
        <w:rPr>
          <w:lang w:eastAsia="en-AU"/>
        </w:rPr>
        <w:t>The foregoing understanding of the amended criterion (a) is confirmed by the relevant extrinsic material</w:t>
      </w:r>
      <w:r w:rsidR="00966993">
        <w:rPr>
          <w:lang w:eastAsia="en-AU"/>
        </w:rPr>
        <w:t>s</w:t>
      </w:r>
      <w:r>
        <w:rPr>
          <w:lang w:eastAsia="en-AU"/>
        </w:rPr>
        <w:t xml:space="preserve">. The Explanatory Memorandum to the </w:t>
      </w:r>
      <w:r w:rsidRPr="002B1C14">
        <w:rPr>
          <w:lang w:eastAsia="en-AU"/>
        </w:rPr>
        <w:t>Competition and Consumer Amendment (Competition Policy Review) Bill 2017</w:t>
      </w:r>
      <w:r w:rsidRPr="00CE48CA">
        <w:rPr>
          <w:lang w:eastAsia="en-AU"/>
        </w:rPr>
        <w:t xml:space="preserve"> </w:t>
      </w:r>
      <w:r w:rsidR="00043C4C">
        <w:rPr>
          <w:lang w:eastAsia="en-AU"/>
        </w:rPr>
        <w:t>(</w:t>
      </w:r>
      <w:proofErr w:type="spellStart"/>
      <w:r w:rsidR="00043C4C">
        <w:rPr>
          <w:lang w:eastAsia="en-AU"/>
        </w:rPr>
        <w:t>Cth</w:t>
      </w:r>
      <w:proofErr w:type="spellEnd"/>
      <w:r w:rsidR="00043C4C">
        <w:rPr>
          <w:lang w:eastAsia="en-AU"/>
        </w:rPr>
        <w:t xml:space="preserve">) </w:t>
      </w:r>
      <w:r w:rsidR="00CE48CA">
        <w:rPr>
          <w:lang w:eastAsia="en-AU"/>
        </w:rPr>
        <w:t>(</w:t>
      </w:r>
      <w:r w:rsidR="00CE48CA">
        <w:rPr>
          <w:b/>
          <w:lang w:eastAsia="en-AU"/>
        </w:rPr>
        <w:t xml:space="preserve">Competition Policy Review </w:t>
      </w:r>
      <w:r w:rsidR="00CE48CA" w:rsidRPr="008838FD">
        <w:rPr>
          <w:b/>
          <w:lang w:eastAsia="en-AU"/>
        </w:rPr>
        <w:t>E</w:t>
      </w:r>
      <w:r w:rsidR="00CE48CA" w:rsidRPr="002B1C14">
        <w:rPr>
          <w:b/>
          <w:lang w:eastAsia="en-AU"/>
        </w:rPr>
        <w:t>xplanatory Memorandum</w:t>
      </w:r>
      <w:r w:rsidR="00CE48CA">
        <w:rPr>
          <w:lang w:eastAsia="en-AU"/>
        </w:rPr>
        <w:t xml:space="preserve">) </w:t>
      </w:r>
      <w:r w:rsidR="00253481" w:rsidRPr="008838FD">
        <w:rPr>
          <w:lang w:eastAsia="en-AU"/>
        </w:rPr>
        <w:t>explained</w:t>
      </w:r>
      <w:r w:rsidR="00253481">
        <w:rPr>
          <w:lang w:eastAsia="en-AU"/>
        </w:rPr>
        <w:t xml:space="preserve"> the background to the amendments as follows</w:t>
      </w:r>
      <w:r>
        <w:rPr>
          <w:lang w:eastAsia="en-AU"/>
        </w:rPr>
        <w:t>:</w:t>
      </w:r>
    </w:p>
    <w:p w14:paraId="1C51E2A4" w14:textId="77777777" w:rsidR="007277ED" w:rsidRDefault="007277ED" w:rsidP="00253481">
      <w:pPr>
        <w:pStyle w:val="Quote1"/>
        <w:tabs>
          <w:tab w:val="left" w:pos="1418"/>
        </w:tabs>
        <w:ind w:left="1418" w:hanging="681"/>
        <w:rPr>
          <w:lang w:eastAsia="en-AU"/>
        </w:rPr>
      </w:pPr>
      <w:r>
        <w:rPr>
          <w:lang w:eastAsia="en-AU"/>
        </w:rPr>
        <w:lastRenderedPageBreak/>
        <w:t xml:space="preserve">12.9 </w:t>
      </w:r>
      <w:r w:rsidR="00253481">
        <w:rPr>
          <w:lang w:eastAsia="en-AU"/>
        </w:rPr>
        <w:tab/>
      </w:r>
      <w:r>
        <w:rPr>
          <w:lang w:eastAsia="en-AU"/>
        </w:rPr>
        <w:t>The declaration criteria have been examined in a number of cases heard by both the Federal and High Courts. The declaration criteria have been subject to several different interpretations in these cases, with particular implications for how competition in dependent markets should be assessed. For investment to continue to be made in nationally significant infrastructure, it is important that the Regime is easily understood, creates outcomes that are predictable and addresses the economic problem of natural monopoly in markets for infrastructure services.</w:t>
      </w:r>
    </w:p>
    <w:p w14:paraId="0C70755D" w14:textId="77777777" w:rsidR="007277ED" w:rsidRDefault="007277ED" w:rsidP="00253481">
      <w:pPr>
        <w:pStyle w:val="Quote1"/>
        <w:tabs>
          <w:tab w:val="left" w:pos="1418"/>
        </w:tabs>
        <w:ind w:left="1418" w:hanging="681"/>
        <w:rPr>
          <w:lang w:eastAsia="en-AU"/>
        </w:rPr>
      </w:pPr>
      <w:r>
        <w:rPr>
          <w:lang w:eastAsia="en-AU"/>
        </w:rPr>
        <w:t xml:space="preserve">12.10 </w:t>
      </w:r>
      <w:r w:rsidR="00253481">
        <w:rPr>
          <w:lang w:eastAsia="en-AU"/>
        </w:rPr>
        <w:tab/>
      </w:r>
      <w:r>
        <w:rPr>
          <w:lang w:eastAsia="en-AU"/>
        </w:rPr>
        <w:t>The Regime has been reviewed three times, by the Productivity Commission in 2001 and 2013, and then by the Harper Review in 2015.</w:t>
      </w:r>
      <w:r w:rsidR="00253481">
        <w:rPr>
          <w:lang w:eastAsia="en-AU"/>
        </w:rPr>
        <w:t xml:space="preserve"> </w:t>
      </w:r>
      <w:r>
        <w:rPr>
          <w:lang w:eastAsia="en-AU"/>
        </w:rPr>
        <w:t>Both the 2013 and 2015 reviews examined the application of the declaration criteria and whether they were achieving the objectives of the Regime. These two reviews involved extensive consultation with the public and the States and Territories.</w:t>
      </w:r>
    </w:p>
    <w:p w14:paraId="515324B6" w14:textId="77777777" w:rsidR="007277ED" w:rsidRDefault="007277ED" w:rsidP="00253481">
      <w:pPr>
        <w:pStyle w:val="Quote1"/>
        <w:tabs>
          <w:tab w:val="left" w:pos="1418"/>
        </w:tabs>
        <w:ind w:left="1418" w:hanging="681"/>
        <w:rPr>
          <w:lang w:eastAsia="en-AU"/>
        </w:rPr>
      </w:pPr>
      <w:r>
        <w:rPr>
          <w:lang w:eastAsia="en-AU"/>
        </w:rPr>
        <w:t xml:space="preserve">12.11 </w:t>
      </w:r>
      <w:r w:rsidR="00253481">
        <w:rPr>
          <w:lang w:eastAsia="en-AU"/>
        </w:rPr>
        <w:tab/>
      </w:r>
      <w:r>
        <w:rPr>
          <w:lang w:eastAsia="en-AU"/>
        </w:rPr>
        <w:t>The Government decided in 2014 that it would respond to both reviews following the conclusion of the Harper Review.</w:t>
      </w:r>
    </w:p>
    <w:p w14:paraId="7DB42F3B" w14:textId="77777777" w:rsidR="00253481" w:rsidRDefault="00253481" w:rsidP="00253481">
      <w:pPr>
        <w:pStyle w:val="Quote1"/>
        <w:tabs>
          <w:tab w:val="left" w:pos="1418"/>
        </w:tabs>
        <w:ind w:left="1418" w:hanging="681"/>
        <w:rPr>
          <w:lang w:eastAsia="en-AU"/>
        </w:rPr>
      </w:pPr>
      <w:r>
        <w:rPr>
          <w:lang w:eastAsia="en-AU"/>
        </w:rPr>
        <w:t xml:space="preserve">12.12 </w:t>
      </w:r>
      <w:r>
        <w:rPr>
          <w:lang w:eastAsia="en-AU"/>
        </w:rPr>
        <w:tab/>
        <w:t xml:space="preserve">The Government decided to implement all of the recommendations of the Productivity Commission as part of its response to the Harper Review. These amendments seek to refocus and clarify the intent of the Regime. In particular, they seek to clarify the declaration criteria that the Council and Minister must be satisfied of in order to recommend that a service be declared, or declare the service, respectively. This then determines when arbitration by the Commission will be available to access seekers or access providers. </w:t>
      </w:r>
    </w:p>
    <w:p w14:paraId="0484F7D4" w14:textId="77777777" w:rsidR="00253481" w:rsidRDefault="00253481" w:rsidP="004207EA">
      <w:pPr>
        <w:pStyle w:val="ParaNumbering"/>
        <w:rPr>
          <w:lang w:eastAsia="en-AU"/>
        </w:rPr>
      </w:pPr>
      <w:r>
        <w:rPr>
          <w:lang w:eastAsia="en-AU"/>
        </w:rPr>
        <w:t>The Explanatory Memorandum stated, in respect of criterion (a) that:</w:t>
      </w:r>
    </w:p>
    <w:p w14:paraId="7C242A32" w14:textId="77777777" w:rsidR="000D66B3" w:rsidRPr="000D66B3" w:rsidRDefault="00253481" w:rsidP="00253481">
      <w:pPr>
        <w:pStyle w:val="Quote1"/>
        <w:tabs>
          <w:tab w:val="left" w:pos="1418"/>
        </w:tabs>
        <w:ind w:left="1418" w:hanging="681"/>
        <w:rPr>
          <w:lang w:eastAsia="en-AU"/>
        </w:rPr>
      </w:pPr>
      <w:r>
        <w:rPr>
          <w:lang w:eastAsia="en-AU"/>
        </w:rPr>
        <w:t xml:space="preserve">12.19 </w:t>
      </w:r>
      <w:r>
        <w:rPr>
          <w:lang w:eastAsia="en-AU"/>
        </w:rPr>
        <w:tab/>
        <w:t>The amendments require the Council and the Minister to consider whether access (or increased access) on reasonable terms and conditions as a result of declaration would promote a material increase in competition in a market other than the market for the service. That is, the amendments focus the test on the effect of declaration, rather than merely assessing whether access (or increased access) would promote competition.</w:t>
      </w:r>
    </w:p>
    <w:p w14:paraId="1273CA7C" w14:textId="77777777" w:rsidR="00253481" w:rsidRDefault="0074728A" w:rsidP="003A6F45">
      <w:pPr>
        <w:pStyle w:val="ParaNumbering"/>
        <w:rPr>
          <w:lang w:eastAsia="en-AU"/>
        </w:rPr>
      </w:pPr>
      <w:r>
        <w:rPr>
          <w:lang w:eastAsia="en-AU"/>
        </w:rPr>
        <w:t xml:space="preserve">As stated in the </w:t>
      </w:r>
      <w:r w:rsidR="00CE48CA" w:rsidRPr="00BF2B84">
        <w:rPr>
          <w:lang w:eastAsia="en-AU"/>
        </w:rPr>
        <w:t>Competition Policy Review</w:t>
      </w:r>
      <w:r w:rsidR="00CE48CA" w:rsidRPr="003A6F45">
        <w:rPr>
          <w:b/>
          <w:lang w:eastAsia="en-AU"/>
        </w:rPr>
        <w:t xml:space="preserve"> </w:t>
      </w:r>
      <w:r>
        <w:rPr>
          <w:lang w:eastAsia="en-AU"/>
        </w:rPr>
        <w:t xml:space="preserve">Explanatory Memorandum, the Government decided to implement the recommendations of the Productivity Commission as part of its response to the </w:t>
      </w:r>
      <w:r w:rsidR="00367925">
        <w:rPr>
          <w:lang w:eastAsia="en-AU"/>
        </w:rPr>
        <w:t xml:space="preserve">2015 Final Report of the </w:t>
      </w:r>
      <w:r w:rsidR="00E110CB">
        <w:rPr>
          <w:lang w:eastAsia="en-AU"/>
        </w:rPr>
        <w:t xml:space="preserve">Competition Policy Review chaired by Professor Ian Harper (and commonly referred to as the </w:t>
      </w:r>
      <w:r w:rsidRPr="003A6F45">
        <w:rPr>
          <w:b/>
          <w:lang w:eastAsia="en-AU"/>
        </w:rPr>
        <w:t>Harper Review</w:t>
      </w:r>
      <w:r w:rsidR="00E110CB">
        <w:rPr>
          <w:lang w:eastAsia="en-AU"/>
        </w:rPr>
        <w:t>)</w:t>
      </w:r>
      <w:r>
        <w:rPr>
          <w:lang w:eastAsia="en-AU"/>
        </w:rPr>
        <w:t>. In its Inquiry Report No 66 titled “National Access Regime” (25 October 2013)</w:t>
      </w:r>
      <w:r w:rsidR="00B009D9">
        <w:rPr>
          <w:lang w:eastAsia="en-AU"/>
        </w:rPr>
        <w:t xml:space="preserve"> (</w:t>
      </w:r>
      <w:r w:rsidR="00B009D9" w:rsidRPr="003A6F45">
        <w:rPr>
          <w:b/>
          <w:lang w:eastAsia="en-AU"/>
        </w:rPr>
        <w:t>2013 Productivity Commission Report</w:t>
      </w:r>
      <w:r w:rsidR="00B009D9">
        <w:rPr>
          <w:lang w:eastAsia="en-AU"/>
        </w:rPr>
        <w:t>)</w:t>
      </w:r>
      <w:r>
        <w:rPr>
          <w:lang w:eastAsia="en-AU"/>
        </w:rPr>
        <w:t xml:space="preserve">, the Productivity Commission recommended that </w:t>
      </w:r>
      <w:r w:rsidR="00BE303C">
        <w:rPr>
          <w:lang w:eastAsia="en-AU"/>
        </w:rPr>
        <w:t xml:space="preserve">criterion (a) be amended so that it “becomes a comparison of competition with and without access on reasonable terms and conditions through declaration” (recommendation 8.1). </w:t>
      </w:r>
      <w:r w:rsidR="00F470B4">
        <w:rPr>
          <w:lang w:eastAsia="en-AU"/>
        </w:rPr>
        <w:t xml:space="preserve">In summarising its proposed reform to criterion (a), the Productivity Commission </w:t>
      </w:r>
      <w:r w:rsidR="00452B22">
        <w:rPr>
          <w:lang w:eastAsia="en-AU"/>
        </w:rPr>
        <w:t>said</w:t>
      </w:r>
      <w:r w:rsidR="00F470B4">
        <w:rPr>
          <w:lang w:eastAsia="en-AU"/>
        </w:rPr>
        <w:t xml:space="preserve"> (at p</w:t>
      </w:r>
      <w:r w:rsidR="008F3801">
        <w:rPr>
          <w:lang w:eastAsia="en-AU"/>
        </w:rPr>
        <w:t> </w:t>
      </w:r>
      <w:r w:rsidR="00452B22">
        <w:rPr>
          <w:lang w:eastAsia="en-AU"/>
        </w:rPr>
        <w:t>249</w:t>
      </w:r>
      <w:r w:rsidR="00F470B4">
        <w:rPr>
          <w:lang w:eastAsia="en-AU"/>
        </w:rPr>
        <w:t>):</w:t>
      </w:r>
    </w:p>
    <w:p w14:paraId="7F2BB682" w14:textId="77777777" w:rsidR="007475AD" w:rsidRDefault="007475AD" w:rsidP="007475AD">
      <w:pPr>
        <w:pStyle w:val="Quote1"/>
        <w:rPr>
          <w:lang w:eastAsia="en-AU"/>
        </w:rPr>
      </w:pPr>
      <w:r>
        <w:rPr>
          <w:lang w:eastAsia="en-AU"/>
        </w:rPr>
        <w:t xml:space="preserve">Criterion (a) should be amended so that it is only satisfied where access to an infrastructure service on reasonable terms and conditions through </w:t>
      </w:r>
      <w:r w:rsidRPr="00BF2B84">
        <w:rPr>
          <w:i/>
          <w:lang w:eastAsia="en-AU"/>
        </w:rPr>
        <w:t>declaration</w:t>
      </w:r>
      <w:r>
        <w:rPr>
          <w:lang w:eastAsia="en-AU"/>
        </w:rPr>
        <w:t xml:space="preserve"> (rather than access per se) would promote a material increase in competition in a dependent market. This amended criterion would require a comparison of the future state of competition under the status quo (including where access may already be available </w:t>
      </w:r>
      <w:r>
        <w:rPr>
          <w:lang w:eastAsia="en-AU"/>
        </w:rPr>
        <w:lastRenderedPageBreak/>
        <w:t>under the status quo) against the future state of competition where access is granted on reasonable terms and conditions through declaration.</w:t>
      </w:r>
    </w:p>
    <w:p w14:paraId="4B0593A9" w14:textId="77777777" w:rsidR="00452B22" w:rsidRDefault="007475AD" w:rsidP="007475AD">
      <w:pPr>
        <w:pStyle w:val="Quote1"/>
        <w:rPr>
          <w:lang w:eastAsia="en-AU"/>
        </w:rPr>
      </w:pPr>
      <w:r>
        <w:rPr>
          <w:lang w:eastAsia="en-AU"/>
        </w:rPr>
        <w:t xml:space="preserve">A declaration-focused competition test is the most effective way to target the economic problem that the Regime is intended to address. This competition test would not be satisfied where there is already effective competition in dependent markets. It would also not be satisfied where access is already granted to all third parties on reasonable terms and conditions, as declaration would not be expected to alter the terms and conditions of access. </w:t>
      </w:r>
    </w:p>
    <w:p w14:paraId="2FFE8CBE" w14:textId="77777777" w:rsidR="008838FD" w:rsidRDefault="008838FD" w:rsidP="007475AD">
      <w:pPr>
        <w:pStyle w:val="Quote1"/>
        <w:rPr>
          <w:lang w:eastAsia="en-AU"/>
        </w:rPr>
      </w:pPr>
      <w:r>
        <w:rPr>
          <w:lang w:eastAsia="en-AU"/>
        </w:rPr>
        <w:t>(Original emphasis.)</w:t>
      </w:r>
    </w:p>
    <w:p w14:paraId="536A2067" w14:textId="77777777" w:rsidR="007475AD" w:rsidRDefault="007475AD" w:rsidP="006D633A">
      <w:pPr>
        <w:pStyle w:val="ParaNumbering"/>
        <w:rPr>
          <w:lang w:eastAsia="en-AU"/>
        </w:rPr>
      </w:pPr>
      <w:r>
        <w:rPr>
          <w:lang w:eastAsia="en-AU"/>
        </w:rPr>
        <w:t xml:space="preserve">The </w:t>
      </w:r>
      <w:r w:rsidR="00C5758C">
        <w:rPr>
          <w:lang w:eastAsia="en-AU"/>
        </w:rPr>
        <w:t xml:space="preserve">Final Report of the </w:t>
      </w:r>
      <w:r w:rsidR="00C744CC">
        <w:rPr>
          <w:lang w:eastAsia="en-AU"/>
        </w:rPr>
        <w:t>Harper Review agreed with the Productivity Commission’s recommendation to re-focus criterion (a) on the effect of declaration, but expressed concern that criterion (a) set a low threshold for declaration</w:t>
      </w:r>
      <w:r w:rsidR="005A4196">
        <w:rPr>
          <w:lang w:eastAsia="en-AU"/>
        </w:rPr>
        <w:t xml:space="preserve"> (at p 433)</w:t>
      </w:r>
      <w:r w:rsidR="00C744CC">
        <w:rPr>
          <w:lang w:eastAsia="en-AU"/>
        </w:rPr>
        <w:t>. The Harper Review recommended that criterion (a) should require that access on reasonable terms and conditions through declaration promote a substantial increase in competition in a dependent market</w:t>
      </w:r>
      <w:r w:rsidR="005A4196">
        <w:rPr>
          <w:lang w:eastAsia="en-AU"/>
        </w:rPr>
        <w:t xml:space="preserve"> </w:t>
      </w:r>
      <w:r w:rsidR="00C5758C">
        <w:rPr>
          <w:lang w:eastAsia="en-AU"/>
        </w:rPr>
        <w:t xml:space="preserve">that is nationally significant </w:t>
      </w:r>
      <w:r w:rsidR="005A4196">
        <w:rPr>
          <w:lang w:eastAsia="en-AU"/>
        </w:rPr>
        <w:t>(at p 437)</w:t>
      </w:r>
      <w:r w:rsidR="00C744CC">
        <w:rPr>
          <w:lang w:eastAsia="en-AU"/>
        </w:rPr>
        <w:t>. That recommendation was not adopted by Parliament when enacting the 2017 Amendment Act.</w:t>
      </w:r>
    </w:p>
    <w:p w14:paraId="2969DEEB" w14:textId="77777777" w:rsidR="00E21346" w:rsidRDefault="00C213E1" w:rsidP="00E76AAF">
      <w:pPr>
        <w:pStyle w:val="ParaNumbering"/>
        <w:rPr>
          <w:lang w:eastAsia="en-AU"/>
        </w:rPr>
      </w:pPr>
      <w:r>
        <w:rPr>
          <w:lang w:eastAsia="en-AU"/>
        </w:rPr>
        <w:t xml:space="preserve">The foregoing </w:t>
      </w:r>
      <w:r w:rsidR="00E21346">
        <w:rPr>
          <w:lang w:eastAsia="en-AU"/>
        </w:rPr>
        <w:t>review</w:t>
      </w:r>
      <w:r>
        <w:rPr>
          <w:lang w:eastAsia="en-AU"/>
        </w:rPr>
        <w:t xml:space="preserve"> of the legislative history and text supports the following propositions</w:t>
      </w:r>
      <w:r w:rsidR="00E21346">
        <w:rPr>
          <w:lang w:eastAsia="en-AU"/>
        </w:rPr>
        <w:t>:</w:t>
      </w:r>
    </w:p>
    <w:p w14:paraId="5D99AC7E" w14:textId="77777777" w:rsidR="00E21346" w:rsidRDefault="00E21346" w:rsidP="009F17C2">
      <w:pPr>
        <w:pStyle w:val="ListNo1alt"/>
        <w:numPr>
          <w:ilvl w:val="0"/>
          <w:numId w:val="31"/>
        </w:numPr>
        <w:rPr>
          <w:lang w:eastAsia="en-AU"/>
        </w:rPr>
      </w:pPr>
      <w:r>
        <w:rPr>
          <w:lang w:eastAsia="en-AU"/>
        </w:rPr>
        <w:t>Criterion (a) requires an assessment of the effect of access (or increased access) to the service on reasonable terms and conditions as a result of declaration.</w:t>
      </w:r>
    </w:p>
    <w:p w14:paraId="6B7B56C8" w14:textId="77777777" w:rsidR="00E21346" w:rsidRDefault="00E21346" w:rsidP="009F17C2">
      <w:pPr>
        <w:pStyle w:val="ListNo1alt"/>
        <w:numPr>
          <w:ilvl w:val="0"/>
          <w:numId w:val="31"/>
        </w:numPr>
        <w:rPr>
          <w:lang w:eastAsia="en-AU"/>
        </w:rPr>
      </w:pPr>
      <w:r>
        <w:rPr>
          <w:lang w:eastAsia="en-AU"/>
        </w:rPr>
        <w:t xml:space="preserve">The criterion requires that such access would promote a material increase in competition in at least one market other than the market for the service. </w:t>
      </w:r>
      <w:r w:rsidR="006226BE">
        <w:rPr>
          <w:lang w:eastAsia="en-AU"/>
        </w:rPr>
        <w:t xml:space="preserve">A material increase in competition is promoted if the conditions, opportunities or environment for competition </w:t>
      </w:r>
      <w:r w:rsidR="00CE48CA">
        <w:rPr>
          <w:lang w:eastAsia="en-AU"/>
        </w:rPr>
        <w:t xml:space="preserve">are </w:t>
      </w:r>
      <w:r w:rsidR="006226BE">
        <w:rPr>
          <w:lang w:eastAsia="en-AU"/>
        </w:rPr>
        <w:t>improved in more than a trivial way.</w:t>
      </w:r>
    </w:p>
    <w:p w14:paraId="75BD1DE8" w14:textId="77777777" w:rsidR="005A4196" w:rsidRDefault="00E21346" w:rsidP="009F17C2">
      <w:pPr>
        <w:pStyle w:val="ListNo1alt"/>
        <w:numPr>
          <w:ilvl w:val="0"/>
          <w:numId w:val="31"/>
        </w:numPr>
        <w:rPr>
          <w:lang w:eastAsia="en-AU"/>
        </w:rPr>
      </w:pPr>
      <w:r>
        <w:rPr>
          <w:lang w:eastAsia="en-AU"/>
        </w:rPr>
        <w:t xml:space="preserve">The criterion necessitates a forward looking </w:t>
      </w:r>
      <w:r w:rsidR="006226BE">
        <w:rPr>
          <w:lang w:eastAsia="en-AU"/>
        </w:rPr>
        <w:t xml:space="preserve">analysis focussed upon the effect of access as a result of declaration. The necessary comparator is the commercial environment without declaration. </w:t>
      </w:r>
      <w:r w:rsidR="001973C9">
        <w:rPr>
          <w:lang w:eastAsia="en-AU"/>
        </w:rPr>
        <w:t>An important consideration in applying the criterion is whether access will be, or is likely to be, available without declaration and the commercial features of such access including the nature and scope of access, the terms and conditions of access and any capacity limitations to access.</w:t>
      </w:r>
      <w:r>
        <w:rPr>
          <w:lang w:eastAsia="en-AU"/>
        </w:rPr>
        <w:t xml:space="preserve"> </w:t>
      </w:r>
      <w:r w:rsidR="001973C9">
        <w:rPr>
          <w:lang w:eastAsia="en-AU"/>
        </w:rPr>
        <w:t xml:space="preserve">The existing availability of access </w:t>
      </w:r>
      <w:r w:rsidR="00777C8E">
        <w:rPr>
          <w:lang w:eastAsia="en-AU"/>
        </w:rPr>
        <w:t>will be relevant to assessing</w:t>
      </w:r>
      <w:r w:rsidR="001973C9">
        <w:rPr>
          <w:lang w:eastAsia="en-AU"/>
        </w:rPr>
        <w:t xml:space="preserve"> the likely future availability of access.</w:t>
      </w:r>
      <w:r w:rsidR="00C213E1">
        <w:rPr>
          <w:lang w:eastAsia="en-AU"/>
        </w:rPr>
        <w:t xml:space="preserve"> </w:t>
      </w:r>
      <w:r w:rsidR="00777C8E">
        <w:rPr>
          <w:lang w:eastAsia="en-AU"/>
        </w:rPr>
        <w:t>However, due consideration must also be given to the prospect of future changes in the commercial, regulatory and economic circumstances that might alter the incentives, and likely behaviour, of the service provider.</w:t>
      </w:r>
    </w:p>
    <w:p w14:paraId="733132CE" w14:textId="77777777" w:rsidR="0032241F" w:rsidRDefault="00CD11E3" w:rsidP="00467F87">
      <w:pPr>
        <w:pStyle w:val="ParaNumbering"/>
        <w:rPr>
          <w:lang w:eastAsia="en-AU"/>
        </w:rPr>
      </w:pPr>
      <w:r>
        <w:rPr>
          <w:lang w:eastAsia="en-AU"/>
        </w:rPr>
        <w:lastRenderedPageBreak/>
        <w:t xml:space="preserve">In these reasons, </w:t>
      </w:r>
      <w:r w:rsidR="004D0BAD">
        <w:rPr>
          <w:lang w:eastAsia="en-AU"/>
        </w:rPr>
        <w:t xml:space="preserve">we will use the descriptive phrase “the effects of declaration” as an abbreviation of the statutory criterion which concerns the effects of </w:t>
      </w:r>
      <w:r>
        <w:rPr>
          <w:lang w:eastAsia="en-AU"/>
        </w:rPr>
        <w:t>access (or increased access) to the service on reasonable terms and conditions as a result of declaration</w:t>
      </w:r>
      <w:r w:rsidR="004D0BAD">
        <w:rPr>
          <w:lang w:eastAsia="en-AU"/>
        </w:rPr>
        <w:t xml:space="preserve">. A similar abbreviation is used in the </w:t>
      </w:r>
      <w:r w:rsidR="00B009D9">
        <w:rPr>
          <w:lang w:eastAsia="en-AU"/>
        </w:rPr>
        <w:t xml:space="preserve">2013 </w:t>
      </w:r>
      <w:r w:rsidR="004D0BAD">
        <w:rPr>
          <w:lang w:eastAsia="en-AU"/>
        </w:rPr>
        <w:t xml:space="preserve">Productivity Commission </w:t>
      </w:r>
      <w:r w:rsidR="00B009D9">
        <w:rPr>
          <w:lang w:eastAsia="en-AU"/>
        </w:rPr>
        <w:t>R</w:t>
      </w:r>
      <w:r w:rsidR="004D0BAD">
        <w:rPr>
          <w:lang w:eastAsia="en-AU"/>
        </w:rPr>
        <w:t xml:space="preserve">eport and the </w:t>
      </w:r>
      <w:r w:rsidR="00CE48CA" w:rsidRPr="002B1C14">
        <w:rPr>
          <w:lang w:eastAsia="en-AU"/>
        </w:rPr>
        <w:t xml:space="preserve">Competition Policy Review </w:t>
      </w:r>
      <w:r w:rsidR="004D0BAD" w:rsidRPr="008838FD">
        <w:rPr>
          <w:lang w:eastAsia="en-AU"/>
        </w:rPr>
        <w:t xml:space="preserve">Explanatory </w:t>
      </w:r>
      <w:r w:rsidR="004D0BAD">
        <w:rPr>
          <w:lang w:eastAsia="en-AU"/>
        </w:rPr>
        <w:t>Memorandum, as seen in the extracts reproduced above. We emphasise, though, that in using that abbreviation we do not lose sight of the statutory criterion.</w:t>
      </w:r>
    </w:p>
    <w:p w14:paraId="41770DD5" w14:textId="77777777" w:rsidR="00C66DEC" w:rsidRDefault="00C66DEC" w:rsidP="00467F87">
      <w:pPr>
        <w:pStyle w:val="ParaNumbering"/>
        <w:rPr>
          <w:lang w:eastAsia="en-AU"/>
        </w:rPr>
      </w:pPr>
      <w:r>
        <w:rPr>
          <w:lang w:eastAsia="en-AU"/>
        </w:rPr>
        <w:t>During the hearing, the parties advanced arguments about the proper construction, and approach to the application, of criterion (a). Those arguments are considered below.</w:t>
      </w:r>
    </w:p>
    <w:p w14:paraId="0F5A8E1B" w14:textId="77777777" w:rsidR="00E92557" w:rsidRDefault="00E92557" w:rsidP="00E92557">
      <w:pPr>
        <w:pStyle w:val="Heading3"/>
        <w:rPr>
          <w:lang w:eastAsia="en-AU"/>
        </w:rPr>
      </w:pPr>
      <w:bookmarkStart w:id="17" w:name="_Ref78900480"/>
      <w:r>
        <w:rPr>
          <w:lang w:eastAsia="en-AU"/>
        </w:rPr>
        <w:t>Criterion (</w:t>
      </w:r>
      <w:r w:rsidR="00270122">
        <w:rPr>
          <w:lang w:eastAsia="en-AU"/>
        </w:rPr>
        <w:t>d</w:t>
      </w:r>
      <w:r>
        <w:rPr>
          <w:lang w:eastAsia="en-AU"/>
        </w:rPr>
        <w:t>)</w:t>
      </w:r>
      <w:bookmarkEnd w:id="17"/>
    </w:p>
    <w:p w14:paraId="200A609A" w14:textId="77777777" w:rsidR="00187694" w:rsidRDefault="00187694" w:rsidP="00187694">
      <w:pPr>
        <w:pStyle w:val="ParaNumbering"/>
        <w:rPr>
          <w:lang w:eastAsia="en-AU"/>
        </w:rPr>
      </w:pPr>
      <w:r>
        <w:rPr>
          <w:lang w:eastAsia="en-AU"/>
        </w:rPr>
        <w:t xml:space="preserve">When Part IIIA was first enacted, criterion (f) </w:t>
      </w:r>
      <w:r w:rsidR="00270122">
        <w:rPr>
          <w:lang w:eastAsia="en-AU"/>
        </w:rPr>
        <w:t xml:space="preserve">(in s 44H(4)) </w:t>
      </w:r>
      <w:r>
        <w:rPr>
          <w:lang w:eastAsia="en-AU"/>
        </w:rPr>
        <w:t xml:space="preserve">was expressed as follows: “that access (or increased access) to the service would not be contrary to the public interest”. </w:t>
      </w:r>
    </w:p>
    <w:p w14:paraId="4928AFAA" w14:textId="77777777" w:rsidR="00096927" w:rsidRDefault="001A4756" w:rsidP="001A4756">
      <w:pPr>
        <w:pStyle w:val="ParaNumbering"/>
        <w:rPr>
          <w:lang w:eastAsia="en-AU"/>
        </w:rPr>
      </w:pPr>
      <w:r>
        <w:rPr>
          <w:lang w:eastAsia="en-AU"/>
        </w:rPr>
        <w:t xml:space="preserve">In the </w:t>
      </w:r>
      <w:r w:rsidR="00187694" w:rsidRPr="001A4756">
        <w:rPr>
          <w:i/>
          <w:lang w:eastAsia="en-AU"/>
        </w:rPr>
        <w:t>Pilbara</w:t>
      </w:r>
      <w:r w:rsidRPr="001A4756">
        <w:rPr>
          <w:i/>
          <w:lang w:eastAsia="en-AU"/>
        </w:rPr>
        <w:t xml:space="preserve"> case</w:t>
      </w:r>
      <w:r>
        <w:rPr>
          <w:lang w:eastAsia="en-AU"/>
        </w:rPr>
        <w:t xml:space="preserve">, the plurality </w:t>
      </w:r>
      <w:r w:rsidR="003255F2">
        <w:rPr>
          <w:lang w:eastAsia="en-AU"/>
        </w:rPr>
        <w:t>confirmed the breadth of the phrase “public interest”</w:t>
      </w:r>
      <w:r w:rsidR="00096927">
        <w:rPr>
          <w:lang w:eastAsia="en-AU"/>
        </w:rPr>
        <w:t xml:space="preserve"> in criterion (f) (at [42], citations omitted):</w:t>
      </w:r>
    </w:p>
    <w:p w14:paraId="38E7DDAE" w14:textId="77777777" w:rsidR="00E92557" w:rsidRDefault="00096927" w:rsidP="00096927">
      <w:pPr>
        <w:pStyle w:val="Quote1"/>
        <w:rPr>
          <w:lang w:eastAsia="en-AU"/>
        </w:rPr>
      </w:pPr>
      <w:r>
        <w:rPr>
          <w:lang w:eastAsia="en-AU"/>
        </w:rPr>
        <w:t xml:space="preserve">Criterion (f) was “that access (or increased access) to the service would not be contrary to the public interest”. It is well established that, when used in a statute, the expression “public interest” imports a discretionary value judgment to be made by reference to undefined factual matters. As Dixon J pointed out in </w:t>
      </w:r>
      <w:r w:rsidRPr="00096927">
        <w:rPr>
          <w:i/>
          <w:lang w:eastAsia="en-AU"/>
        </w:rPr>
        <w:t>Water Conservation and Irrigation Commission (NSW) v Browning</w:t>
      </w:r>
      <w:r>
        <w:rPr>
          <w:lang w:eastAsia="en-AU"/>
        </w:rPr>
        <w:t xml:space="preserve">, when a discretionary power of this kind is given, the power is “neither arbitrary nor completely unlimited” but is “unconfined except in so far as the subject matter and the scope and purpose of the statutory enactments may enable the Court to pronounce given reasons to be definitely extraneous to any objects the legislature could have had in view”. It follows that the range of matters to which the NCC and, more particularly, the Minister may have regard when considering whether to be satisfied that access (or increased access) would </w:t>
      </w:r>
      <w:r w:rsidRPr="00BF2B84">
        <w:rPr>
          <w:i/>
          <w:lang w:eastAsia="en-AU"/>
        </w:rPr>
        <w:t xml:space="preserve">not </w:t>
      </w:r>
      <w:r>
        <w:rPr>
          <w:lang w:eastAsia="en-AU"/>
        </w:rPr>
        <w:t xml:space="preserve">be contrary to the public interest is very wide indeed. And conferring the power to </w:t>
      </w:r>
      <w:r w:rsidRPr="00BF2B84">
        <w:rPr>
          <w:i/>
          <w:lang w:eastAsia="en-AU"/>
        </w:rPr>
        <w:t xml:space="preserve">decide </w:t>
      </w:r>
      <w:r>
        <w:rPr>
          <w:lang w:eastAsia="en-AU"/>
        </w:rPr>
        <w:t xml:space="preserve">on the Minister (as distinct from giving to the NCC a power to </w:t>
      </w:r>
      <w:r w:rsidRPr="00BF2B84">
        <w:rPr>
          <w:i/>
          <w:lang w:eastAsia="en-AU"/>
        </w:rPr>
        <w:t>recommend</w:t>
      </w:r>
      <w:r>
        <w:rPr>
          <w:lang w:eastAsia="en-AU"/>
        </w:rPr>
        <w:t xml:space="preserve">) is consistent with legislative recognition of the great breadth of matters that can be encompassed by an inquiry into what is or is not in the public interest and with legislative recognition that the inquiries are best suited to resolution by the holder of a political office. </w:t>
      </w:r>
    </w:p>
    <w:p w14:paraId="32303CA5" w14:textId="77777777" w:rsidR="008838FD" w:rsidRDefault="008838FD" w:rsidP="00096927">
      <w:pPr>
        <w:pStyle w:val="Quote1"/>
        <w:rPr>
          <w:lang w:eastAsia="en-AU"/>
        </w:rPr>
      </w:pPr>
      <w:r>
        <w:rPr>
          <w:lang w:eastAsia="en-AU"/>
        </w:rPr>
        <w:t>(Original emphasis.)</w:t>
      </w:r>
    </w:p>
    <w:p w14:paraId="7F935703" w14:textId="77777777" w:rsidR="00E4097C" w:rsidRDefault="00E4097C" w:rsidP="00E76AAF">
      <w:pPr>
        <w:pStyle w:val="ParaNumbering"/>
        <w:rPr>
          <w:lang w:eastAsia="en-AU"/>
        </w:rPr>
      </w:pPr>
      <w:r>
        <w:rPr>
          <w:lang w:eastAsia="en-AU"/>
        </w:rPr>
        <w:t>By reason of the breadth of the phrase, the plurality also observed that a Tribunal reviewing the Minister’s decision should be slow to reach a conclusion with respect to criterion (f) to the contrary of the Minister’s conclusion (at [112]):</w:t>
      </w:r>
    </w:p>
    <w:p w14:paraId="527DFC75" w14:textId="77777777" w:rsidR="00E4097C" w:rsidRDefault="00E4097C" w:rsidP="00E4097C">
      <w:pPr>
        <w:pStyle w:val="Quote1"/>
        <w:rPr>
          <w:lang w:eastAsia="en-AU"/>
        </w:rPr>
      </w:pPr>
      <w:r>
        <w:rPr>
          <w:lang w:eastAsia="en-AU"/>
        </w:rPr>
        <w:t xml:space="preserve">In neither case is it to be expected that the Tribunal, reconsidering the Minister’s decision, would lightly depart from a ministerial conclusion about whether access or increased access would not be in the public interest. In particular, if the Minister has not found that access would not be in the public interest, the Tribunal should ordinarily be slow to find to the contrary. And it is to be doubted that such a finding would be </w:t>
      </w:r>
      <w:r>
        <w:rPr>
          <w:lang w:eastAsia="en-AU"/>
        </w:rPr>
        <w:lastRenderedPageBreak/>
        <w:t>made, except in the clearest of cases, by reference to some overall balancing of costs and benefits.</w:t>
      </w:r>
    </w:p>
    <w:p w14:paraId="464B03C6" w14:textId="77777777" w:rsidR="001678A4" w:rsidRDefault="00270122" w:rsidP="006D633A">
      <w:pPr>
        <w:pStyle w:val="ParaNumbering"/>
        <w:rPr>
          <w:lang w:eastAsia="en-AU"/>
        </w:rPr>
      </w:pPr>
      <w:r>
        <w:rPr>
          <w:lang w:eastAsia="en-AU"/>
        </w:rPr>
        <w:t>As noted above, the declaration criteria</w:t>
      </w:r>
      <w:r w:rsidR="00E4097C">
        <w:rPr>
          <w:lang w:eastAsia="en-AU"/>
        </w:rPr>
        <w:t xml:space="preserve"> </w:t>
      </w:r>
      <w:r>
        <w:rPr>
          <w:lang w:eastAsia="en-AU"/>
        </w:rPr>
        <w:t>in s 44H(4)</w:t>
      </w:r>
      <w:r w:rsidR="00E4097C">
        <w:rPr>
          <w:lang w:eastAsia="en-AU"/>
        </w:rPr>
        <w:t xml:space="preserve"> </w:t>
      </w:r>
      <w:r>
        <w:rPr>
          <w:lang w:eastAsia="en-AU"/>
        </w:rPr>
        <w:t xml:space="preserve">were amended by </w:t>
      </w:r>
      <w:r w:rsidR="00E4097C">
        <w:rPr>
          <w:lang w:eastAsia="en-AU"/>
        </w:rPr>
        <w:t xml:space="preserve">the </w:t>
      </w:r>
      <w:r w:rsidR="00E4097C" w:rsidRPr="00E4097C">
        <w:rPr>
          <w:lang w:eastAsia="en-AU"/>
        </w:rPr>
        <w:t>2017</w:t>
      </w:r>
      <w:r w:rsidR="00E4097C">
        <w:rPr>
          <w:lang w:eastAsia="en-AU"/>
        </w:rPr>
        <w:t xml:space="preserve"> Amendment Act</w:t>
      </w:r>
      <w:r>
        <w:rPr>
          <w:lang w:eastAsia="en-AU"/>
        </w:rPr>
        <w:t xml:space="preserve"> and relocated to s 44CA(1). C</w:t>
      </w:r>
      <w:r w:rsidR="00B9664D">
        <w:rPr>
          <w:lang w:eastAsia="en-AU"/>
        </w:rPr>
        <w:t xml:space="preserve">riterion (f) </w:t>
      </w:r>
      <w:r>
        <w:rPr>
          <w:lang w:eastAsia="en-AU"/>
        </w:rPr>
        <w:t xml:space="preserve">became criterion (d) in the new section and was </w:t>
      </w:r>
      <w:r w:rsidR="00DF6448">
        <w:rPr>
          <w:lang w:eastAsia="en-AU"/>
        </w:rPr>
        <w:t>rephrased as follows:</w:t>
      </w:r>
      <w:r w:rsidR="00B9664D">
        <w:rPr>
          <w:lang w:eastAsia="en-AU"/>
        </w:rPr>
        <w:t xml:space="preserve"> “</w:t>
      </w:r>
      <w:r w:rsidR="00B9664D" w:rsidRPr="005746E8">
        <w:rPr>
          <w:lang w:eastAsia="en-AU"/>
        </w:rPr>
        <w:t>that access (or increased access) to the service, on reasonable terms and conditions, as a result of a declaration of the service would promote</w:t>
      </w:r>
      <w:r w:rsidR="00B9664D">
        <w:rPr>
          <w:lang w:eastAsia="en-AU"/>
        </w:rPr>
        <w:t xml:space="preserve"> the public interest”. Thus, like criterion (a), criterion (</w:t>
      </w:r>
      <w:r w:rsidR="00DF6448">
        <w:rPr>
          <w:lang w:eastAsia="en-AU"/>
        </w:rPr>
        <w:t>d</w:t>
      </w:r>
      <w:r w:rsidR="00B9664D">
        <w:rPr>
          <w:lang w:eastAsia="en-AU"/>
        </w:rPr>
        <w:t>) is now focussed on the effect of access (or increased access) to the service on reasonable terms and conditions as a result of declaration</w:t>
      </w:r>
      <w:r w:rsidR="00DF6448">
        <w:rPr>
          <w:lang w:eastAsia="en-AU"/>
        </w:rPr>
        <w:t>. The new criterion</w:t>
      </w:r>
      <w:r w:rsidR="00325EF5">
        <w:rPr>
          <w:lang w:eastAsia="en-AU"/>
        </w:rPr>
        <w:t xml:space="preserve"> necessitates a forward looking analysis focussed upon the effect of access as a result of declaration</w:t>
      </w:r>
      <w:r w:rsidR="00DF6448">
        <w:rPr>
          <w:lang w:eastAsia="en-AU"/>
        </w:rPr>
        <w:t xml:space="preserve"> and </w:t>
      </w:r>
      <w:r w:rsidR="00B9664D">
        <w:rPr>
          <w:lang w:eastAsia="en-AU"/>
        </w:rPr>
        <w:t>requires that such access would promote the public interest.</w:t>
      </w:r>
      <w:r w:rsidR="00325EF5">
        <w:rPr>
          <w:lang w:eastAsia="en-AU"/>
        </w:rPr>
        <w:t xml:space="preserve"> </w:t>
      </w:r>
      <w:r w:rsidR="00F93116">
        <w:rPr>
          <w:lang w:eastAsia="en-AU"/>
        </w:rPr>
        <w:t xml:space="preserve">Consistently with the conclusion of the High Court in the </w:t>
      </w:r>
      <w:r w:rsidR="00F93116" w:rsidRPr="00F93116">
        <w:rPr>
          <w:i/>
          <w:lang w:eastAsia="en-AU"/>
        </w:rPr>
        <w:t>Pilbara case</w:t>
      </w:r>
      <w:r w:rsidR="00F93116">
        <w:rPr>
          <w:lang w:eastAsia="en-AU"/>
        </w:rPr>
        <w:t xml:space="preserve">, the criterion </w:t>
      </w:r>
      <w:r w:rsidR="00F93116" w:rsidRPr="00F93116">
        <w:rPr>
          <w:lang w:eastAsia="en-AU"/>
        </w:rPr>
        <w:t xml:space="preserve">imports a discretionary value judgment to be made by reference to </w:t>
      </w:r>
      <w:r w:rsidR="00F93116">
        <w:rPr>
          <w:lang w:eastAsia="en-AU"/>
        </w:rPr>
        <w:t xml:space="preserve">undefined </w:t>
      </w:r>
      <w:r w:rsidR="00F93116" w:rsidRPr="00F93116">
        <w:rPr>
          <w:lang w:eastAsia="en-AU"/>
        </w:rPr>
        <w:t>factual matters</w:t>
      </w:r>
      <w:r w:rsidR="00F93116">
        <w:rPr>
          <w:lang w:eastAsia="en-AU"/>
        </w:rPr>
        <w:t xml:space="preserve"> confined only by the subject matter, scope and purpose of the Act.</w:t>
      </w:r>
    </w:p>
    <w:p w14:paraId="46DC92A7" w14:textId="77777777" w:rsidR="00750A53" w:rsidRDefault="00F93116" w:rsidP="00750A53">
      <w:pPr>
        <w:pStyle w:val="ParaNumbering"/>
        <w:rPr>
          <w:lang w:eastAsia="en-AU"/>
        </w:rPr>
      </w:pPr>
      <w:r>
        <w:rPr>
          <w:lang w:eastAsia="en-AU"/>
        </w:rPr>
        <w:t xml:space="preserve">As noted above, s 44CA(3) </w:t>
      </w:r>
      <w:r w:rsidR="00750A53">
        <w:rPr>
          <w:lang w:eastAsia="en-AU"/>
        </w:rPr>
        <w:t>stipulates that, in considering whether criterion (d) applies, the designated Minister must have regard to the following (non-exhaustive) factors:</w:t>
      </w:r>
    </w:p>
    <w:p w14:paraId="16F2F4B3" w14:textId="77777777" w:rsidR="00750A53" w:rsidRDefault="00750A53" w:rsidP="009F17C2">
      <w:pPr>
        <w:pStyle w:val="ListNo1alt"/>
        <w:numPr>
          <w:ilvl w:val="0"/>
          <w:numId w:val="32"/>
        </w:numPr>
        <w:rPr>
          <w:lang w:eastAsia="en-AU"/>
        </w:rPr>
      </w:pPr>
      <w:r>
        <w:rPr>
          <w:lang w:eastAsia="en-AU"/>
        </w:rPr>
        <w:t>the effect that declaring the service would have on investment in infrastructure services; and markets that depend on access to the service; and</w:t>
      </w:r>
    </w:p>
    <w:p w14:paraId="01A23D50" w14:textId="77777777" w:rsidR="00F93116" w:rsidRDefault="00750A53" w:rsidP="009F17C2">
      <w:pPr>
        <w:pStyle w:val="ListNo1alt"/>
        <w:numPr>
          <w:ilvl w:val="0"/>
          <w:numId w:val="32"/>
        </w:numPr>
        <w:rPr>
          <w:lang w:eastAsia="en-AU"/>
        </w:rPr>
      </w:pPr>
      <w:r>
        <w:rPr>
          <w:lang w:eastAsia="en-AU"/>
        </w:rPr>
        <w:t>the administrative and compliance costs that would be incurred by the provider of the service if the service is declared.</w:t>
      </w:r>
    </w:p>
    <w:p w14:paraId="4816E813" w14:textId="77777777" w:rsidR="00301331" w:rsidRDefault="001A2F9A" w:rsidP="00301331">
      <w:pPr>
        <w:pStyle w:val="ParaNumbering"/>
        <w:rPr>
          <w:lang w:eastAsia="en-AU"/>
        </w:rPr>
      </w:pPr>
      <w:r>
        <w:rPr>
          <w:lang w:eastAsia="en-AU"/>
        </w:rPr>
        <w:t xml:space="preserve">The </w:t>
      </w:r>
      <w:r w:rsidR="003B7F3C" w:rsidRPr="00BF2B84">
        <w:rPr>
          <w:lang w:eastAsia="en-AU"/>
        </w:rPr>
        <w:t>Competition Policy Review Explanatory Memorandum</w:t>
      </w:r>
      <w:r w:rsidR="003B7F3C" w:rsidRPr="00B61E93" w:rsidDel="003B7F3C">
        <w:rPr>
          <w:lang w:eastAsia="en-AU"/>
        </w:rPr>
        <w:t xml:space="preserve"> </w:t>
      </w:r>
      <w:r w:rsidR="00301331" w:rsidRPr="003B7F3C">
        <w:rPr>
          <w:lang w:eastAsia="en-AU"/>
        </w:rPr>
        <w:t>stated</w:t>
      </w:r>
      <w:r w:rsidR="00301331">
        <w:rPr>
          <w:lang w:eastAsia="en-AU"/>
        </w:rPr>
        <w:t>, in respect of criterion (</w:t>
      </w:r>
      <w:r w:rsidR="00DF6448">
        <w:rPr>
          <w:lang w:eastAsia="en-AU"/>
        </w:rPr>
        <w:t>d</w:t>
      </w:r>
      <w:r w:rsidR="00301331">
        <w:rPr>
          <w:lang w:eastAsia="en-AU"/>
        </w:rPr>
        <w:t>), that:</w:t>
      </w:r>
    </w:p>
    <w:p w14:paraId="31D1FBB8" w14:textId="77777777" w:rsidR="00750A53" w:rsidRDefault="00301331" w:rsidP="00301331">
      <w:pPr>
        <w:pStyle w:val="Quote1"/>
        <w:tabs>
          <w:tab w:val="left" w:pos="1418"/>
        </w:tabs>
        <w:ind w:left="1418" w:hanging="681"/>
        <w:rPr>
          <w:lang w:eastAsia="en-AU"/>
        </w:rPr>
      </w:pPr>
      <w:r>
        <w:rPr>
          <w:lang w:eastAsia="en-AU"/>
        </w:rPr>
        <w:t xml:space="preserve">12.37 </w:t>
      </w:r>
      <w:r>
        <w:rPr>
          <w:lang w:eastAsia="en-AU"/>
        </w:rPr>
        <w:tab/>
        <w:t>Subsection 44CA(1)(d) asks if access or increased access to the service as a result of declaration of the service, on reasonable terms and conditions, would promote the public interest. This means that a decision maker must be satisfied that declaration is likely to generate overall gains to the community.</w:t>
      </w:r>
    </w:p>
    <w:p w14:paraId="5FB2867A" w14:textId="77777777" w:rsidR="001A2F9A" w:rsidRDefault="001A2F9A" w:rsidP="006D633A">
      <w:pPr>
        <w:pStyle w:val="ParaNumbering"/>
        <w:rPr>
          <w:lang w:eastAsia="en-AU"/>
        </w:rPr>
      </w:pPr>
      <w:r>
        <w:rPr>
          <w:lang w:eastAsia="en-AU"/>
        </w:rPr>
        <w:t xml:space="preserve">That statement reflected the recommendation </w:t>
      </w:r>
      <w:r w:rsidR="00301331">
        <w:rPr>
          <w:lang w:eastAsia="en-AU"/>
        </w:rPr>
        <w:t xml:space="preserve">in </w:t>
      </w:r>
      <w:r w:rsidR="00B009D9">
        <w:rPr>
          <w:lang w:eastAsia="en-AU"/>
        </w:rPr>
        <w:t xml:space="preserve">the </w:t>
      </w:r>
      <w:r w:rsidR="00176B01" w:rsidRPr="00BF2B84">
        <w:rPr>
          <w:lang w:eastAsia="en-AU"/>
        </w:rPr>
        <w:t>2013 Productivity Commission Report</w:t>
      </w:r>
      <w:r w:rsidR="00B009D9" w:rsidRPr="00B009D9">
        <w:rPr>
          <w:lang w:eastAsia="en-AU"/>
        </w:rPr>
        <w:t xml:space="preserve"> </w:t>
      </w:r>
      <w:r>
        <w:rPr>
          <w:lang w:eastAsia="en-AU"/>
        </w:rPr>
        <w:t xml:space="preserve">that “Criterion (f) should be a rigorous test, which only enables the declaration of infrastructure services where the decision maker is satisfied that declaration is likely to generate overall gains to the community” (at pp 181, 251). </w:t>
      </w:r>
    </w:p>
    <w:p w14:paraId="5EDDDED8" w14:textId="77777777" w:rsidR="00CA3B98" w:rsidRDefault="00CA3B98" w:rsidP="009F17C2">
      <w:pPr>
        <w:pStyle w:val="Heading1"/>
        <w:numPr>
          <w:ilvl w:val="0"/>
          <w:numId w:val="29"/>
        </w:numPr>
        <w:ind w:hanging="720"/>
        <w:rPr>
          <w:lang w:eastAsia="en-AU"/>
        </w:rPr>
      </w:pPr>
      <w:bookmarkStart w:id="18" w:name="_Ref78900481"/>
      <w:r>
        <w:rPr>
          <w:lang w:eastAsia="en-AU"/>
        </w:rPr>
        <w:t>Background</w:t>
      </w:r>
      <w:bookmarkEnd w:id="18"/>
    </w:p>
    <w:p w14:paraId="00BAED39" w14:textId="77777777" w:rsidR="003438AA" w:rsidRDefault="00931E09" w:rsidP="002B703D">
      <w:pPr>
        <w:pStyle w:val="ParaNumbering"/>
        <w:rPr>
          <w:lang w:eastAsia="en-AU"/>
        </w:rPr>
      </w:pPr>
      <w:r>
        <w:rPr>
          <w:lang w:eastAsia="en-AU"/>
        </w:rPr>
        <w:t xml:space="preserve">The Port has been the subject of a number of contested declaration decisions since its privatisation in May 2014, which have resulted in previous decisions of the Tribunal and the </w:t>
      </w:r>
      <w:r>
        <w:rPr>
          <w:lang w:eastAsia="en-AU"/>
        </w:rPr>
        <w:lastRenderedPageBreak/>
        <w:t>Full Federal Court. This section briefly summarises that history to contextualise the present application. The background information has largely been drawn from the NCC Recommendation, but includes certain uncontroversial facts that have been drawn from the</w:t>
      </w:r>
      <w:r w:rsidR="0089783A">
        <w:rPr>
          <w:lang w:eastAsia="en-AU"/>
        </w:rPr>
        <w:t xml:space="preserve"> previous</w:t>
      </w:r>
      <w:r>
        <w:rPr>
          <w:lang w:eastAsia="en-AU"/>
        </w:rPr>
        <w:t xml:space="preserve"> </w:t>
      </w:r>
      <w:r w:rsidR="00BA3C69">
        <w:rPr>
          <w:lang w:eastAsia="en-AU"/>
        </w:rPr>
        <w:t xml:space="preserve">declaration </w:t>
      </w:r>
      <w:r>
        <w:rPr>
          <w:lang w:eastAsia="en-AU"/>
        </w:rPr>
        <w:t xml:space="preserve">decision of the Tribunal </w:t>
      </w:r>
      <w:r w:rsidRPr="00EC7767">
        <w:rPr>
          <w:lang w:eastAsia="en-AU"/>
        </w:rPr>
        <w:t xml:space="preserve">in </w:t>
      </w:r>
      <w:r w:rsidRPr="00C31053">
        <w:rPr>
          <w:i/>
          <w:lang w:eastAsia="en-AU"/>
        </w:rPr>
        <w:t>Re Glencore Coal Pty Ltd</w:t>
      </w:r>
      <w:r w:rsidRPr="00C31053">
        <w:rPr>
          <w:lang w:eastAsia="en-AU"/>
        </w:rPr>
        <w:t xml:space="preserve"> [2016] </w:t>
      </w:r>
      <w:proofErr w:type="spellStart"/>
      <w:r w:rsidRPr="00C31053">
        <w:rPr>
          <w:lang w:eastAsia="en-AU"/>
        </w:rPr>
        <w:t>ACompT</w:t>
      </w:r>
      <w:proofErr w:type="spellEnd"/>
      <w:r w:rsidRPr="00C31053">
        <w:rPr>
          <w:lang w:eastAsia="en-AU"/>
        </w:rPr>
        <w:t xml:space="preserve"> 6 </w:t>
      </w:r>
      <w:r>
        <w:rPr>
          <w:lang w:eastAsia="en-AU"/>
        </w:rPr>
        <w:t>(</w:t>
      </w:r>
      <w:r w:rsidRPr="00AF5034">
        <w:rPr>
          <w:b/>
          <w:i/>
          <w:lang w:eastAsia="en-AU"/>
        </w:rPr>
        <w:t>Re Glencore Coal</w:t>
      </w:r>
      <w:r>
        <w:rPr>
          <w:lang w:eastAsia="en-AU"/>
        </w:rPr>
        <w:t xml:space="preserve">) which were reproduced in the Full Court’s decision in </w:t>
      </w:r>
      <w:r w:rsidRPr="00AF5034">
        <w:rPr>
          <w:i/>
          <w:lang w:eastAsia="en-AU"/>
        </w:rPr>
        <w:t>Port of Newcastle</w:t>
      </w:r>
      <w:r>
        <w:rPr>
          <w:lang w:eastAsia="en-AU"/>
        </w:rPr>
        <w:t>.</w:t>
      </w:r>
    </w:p>
    <w:p w14:paraId="1E2B54A3" w14:textId="77777777" w:rsidR="00D60A80" w:rsidRDefault="00D60A80" w:rsidP="00D60A80">
      <w:pPr>
        <w:pStyle w:val="Heading2"/>
        <w:rPr>
          <w:lang w:eastAsia="en-AU"/>
        </w:rPr>
      </w:pPr>
      <w:bookmarkStart w:id="19" w:name="_Ref78900482"/>
      <w:r>
        <w:rPr>
          <w:lang w:eastAsia="en-AU"/>
        </w:rPr>
        <w:t>The Port and the Hunter Valley coal industry</w:t>
      </w:r>
      <w:bookmarkEnd w:id="19"/>
    </w:p>
    <w:p w14:paraId="7F5ABC24" w14:textId="77777777" w:rsidR="00AF5034" w:rsidRDefault="00AF5034" w:rsidP="006D633A">
      <w:pPr>
        <w:pStyle w:val="ParaNumbering"/>
        <w:rPr>
          <w:lang w:eastAsia="en-AU"/>
        </w:rPr>
      </w:pPr>
      <w:r w:rsidRPr="00AF5034">
        <w:rPr>
          <w:lang w:eastAsia="en-AU"/>
        </w:rPr>
        <w:t>Until May 2014, the Port was operated by the State of NSW.</w:t>
      </w:r>
      <w:r>
        <w:rPr>
          <w:lang w:eastAsia="en-AU"/>
        </w:rPr>
        <w:t xml:space="preserve"> It is one of the larger coal export ports in the world</w:t>
      </w:r>
      <w:r w:rsidR="004347A1">
        <w:rPr>
          <w:lang w:eastAsia="en-AU"/>
        </w:rPr>
        <w:t>, with coal extracted from the Hunter Valley being shipped through the Port</w:t>
      </w:r>
      <w:r>
        <w:rPr>
          <w:lang w:eastAsia="en-AU"/>
        </w:rPr>
        <w:t>.</w:t>
      </w:r>
      <w:r w:rsidR="0089783A">
        <w:rPr>
          <w:lang w:eastAsia="en-AU"/>
        </w:rPr>
        <w:t xml:space="preserve"> I</w:t>
      </w:r>
      <w:r w:rsidR="0089783A" w:rsidRPr="00716F9E">
        <w:rPr>
          <w:lang w:eastAsia="en-AU"/>
        </w:rPr>
        <w:t>n 2018</w:t>
      </w:r>
      <w:r w:rsidR="0089783A">
        <w:rPr>
          <w:lang w:eastAsia="en-AU"/>
        </w:rPr>
        <w:t>,</w:t>
      </w:r>
      <w:r w:rsidR="0089783A" w:rsidRPr="00716F9E">
        <w:rPr>
          <w:lang w:eastAsia="en-AU"/>
        </w:rPr>
        <w:t xml:space="preserve"> the Port handled 158.6 million tonnes of coal with a value of approximately $23.6 billion.</w:t>
      </w:r>
    </w:p>
    <w:p w14:paraId="56F0AEFE" w14:textId="77777777" w:rsidR="00AF5034" w:rsidRDefault="000D7FCF" w:rsidP="006D633A">
      <w:pPr>
        <w:pStyle w:val="ParaNumbering"/>
        <w:rPr>
          <w:lang w:eastAsia="en-AU"/>
        </w:rPr>
      </w:pPr>
      <w:r>
        <w:rPr>
          <w:lang w:eastAsia="en-AU"/>
        </w:rPr>
        <w:t xml:space="preserve">In </w:t>
      </w:r>
      <w:r w:rsidRPr="000D7FCF">
        <w:rPr>
          <w:i/>
          <w:lang w:eastAsia="en-AU"/>
        </w:rPr>
        <w:t>Re Glencore Coal</w:t>
      </w:r>
      <w:r>
        <w:rPr>
          <w:lang w:eastAsia="en-AU"/>
        </w:rPr>
        <w:t>, the Tribunal noted that t</w:t>
      </w:r>
      <w:r w:rsidR="004347A1">
        <w:rPr>
          <w:lang w:eastAsia="en-AU"/>
        </w:rPr>
        <w:t xml:space="preserve">he </w:t>
      </w:r>
      <w:r w:rsidR="00AF5034">
        <w:rPr>
          <w:lang w:eastAsia="en-AU"/>
        </w:rPr>
        <w:t>Hunter Valley coal industry and associated supply chain are the largest coal</w:t>
      </w:r>
      <w:r w:rsidR="004347A1">
        <w:rPr>
          <w:lang w:eastAsia="en-AU"/>
        </w:rPr>
        <w:t xml:space="preserve"> </w:t>
      </w:r>
      <w:r w:rsidR="00AF5034">
        <w:rPr>
          <w:lang w:eastAsia="en-AU"/>
        </w:rPr>
        <w:t>export operations in the world. The Hunter Valley/Newcastle coalfields produce over 170</w:t>
      </w:r>
      <w:r>
        <w:rPr>
          <w:lang w:eastAsia="en-AU"/>
        </w:rPr>
        <w:t xml:space="preserve"> million </w:t>
      </w:r>
      <w:r w:rsidR="00AF5034">
        <w:rPr>
          <w:lang w:eastAsia="en-AU"/>
        </w:rPr>
        <w:t>tonnes of saleable coal per year.</w:t>
      </w:r>
      <w:r>
        <w:rPr>
          <w:lang w:eastAsia="en-AU"/>
        </w:rPr>
        <w:t xml:space="preserve"> There are more than 30 operating coal mines in the Hunter Valley operated by 11 coal producers as well as other coal projects in various stages of exploration and development. There are three main rail haulage providers who transport coal from the mines to export terminals at the Port. Coal is then loaded onto vessels at one of the loading terminals.</w:t>
      </w:r>
    </w:p>
    <w:p w14:paraId="6A763CE2" w14:textId="77777777" w:rsidR="00716F9E" w:rsidRDefault="00716F9E" w:rsidP="00716F9E">
      <w:pPr>
        <w:pStyle w:val="ParaNumbering"/>
        <w:rPr>
          <w:lang w:eastAsia="en-AU"/>
        </w:rPr>
      </w:pPr>
      <w:r>
        <w:rPr>
          <w:lang w:eastAsia="en-AU"/>
        </w:rPr>
        <w:t>I</w:t>
      </w:r>
      <w:r w:rsidRPr="00716F9E">
        <w:rPr>
          <w:lang w:eastAsia="en-AU"/>
        </w:rPr>
        <w:t xml:space="preserve">n </w:t>
      </w:r>
      <w:r w:rsidR="00420907">
        <w:rPr>
          <w:lang w:eastAsia="en-AU"/>
        </w:rPr>
        <w:t xml:space="preserve">the </w:t>
      </w:r>
      <w:r w:rsidRPr="00716F9E">
        <w:rPr>
          <w:lang w:eastAsia="en-AU"/>
        </w:rPr>
        <w:t>20</w:t>
      </w:r>
      <w:r w:rsidR="00420907">
        <w:rPr>
          <w:lang w:eastAsia="en-AU"/>
        </w:rPr>
        <w:t>1</w:t>
      </w:r>
      <w:r w:rsidRPr="00716F9E">
        <w:rPr>
          <w:lang w:eastAsia="en-AU"/>
        </w:rPr>
        <w:t>9</w:t>
      </w:r>
      <w:r w:rsidR="00420907">
        <w:rPr>
          <w:lang w:eastAsia="en-AU"/>
        </w:rPr>
        <w:t xml:space="preserve"> financial year</w:t>
      </w:r>
      <w:r w:rsidRPr="00716F9E">
        <w:rPr>
          <w:lang w:eastAsia="en-AU"/>
        </w:rPr>
        <w:t>, the Hunter Valley mining sector directly supported 3,282 businesses</w:t>
      </w:r>
      <w:r>
        <w:rPr>
          <w:lang w:eastAsia="en-AU"/>
        </w:rPr>
        <w:t xml:space="preserve">, </w:t>
      </w:r>
      <w:r w:rsidRPr="00716F9E">
        <w:rPr>
          <w:lang w:eastAsia="en-AU"/>
        </w:rPr>
        <w:t>directly employed 13,347 people</w:t>
      </w:r>
      <w:r>
        <w:rPr>
          <w:lang w:eastAsia="en-AU"/>
        </w:rPr>
        <w:t xml:space="preserve">, </w:t>
      </w:r>
      <w:r w:rsidRPr="00716F9E">
        <w:rPr>
          <w:lang w:eastAsia="en-AU"/>
        </w:rPr>
        <w:t>paid $1.4 billion in wages and salaries</w:t>
      </w:r>
      <w:r>
        <w:rPr>
          <w:lang w:eastAsia="en-AU"/>
        </w:rPr>
        <w:t xml:space="preserve"> and </w:t>
      </w:r>
      <w:r w:rsidRPr="00716F9E">
        <w:rPr>
          <w:lang w:eastAsia="en-AU"/>
        </w:rPr>
        <w:t>directly spent $4.0 billion on goods and services. In total, about 19.1% of the Hunter Region’s workforce was supported by mining.</w:t>
      </w:r>
    </w:p>
    <w:p w14:paraId="550A988B" w14:textId="77777777" w:rsidR="00402BC3" w:rsidRDefault="00402BC3" w:rsidP="00716F9E">
      <w:pPr>
        <w:pStyle w:val="ParaNumbering"/>
        <w:rPr>
          <w:lang w:eastAsia="en-AU"/>
        </w:rPr>
      </w:pPr>
      <w:r>
        <w:rPr>
          <w:lang w:eastAsia="en-AU"/>
        </w:rPr>
        <w:t xml:space="preserve">The NCC </w:t>
      </w:r>
      <w:r w:rsidR="00176EE7">
        <w:rPr>
          <w:lang w:eastAsia="en-AU"/>
        </w:rPr>
        <w:t xml:space="preserve">described the </w:t>
      </w:r>
      <w:r w:rsidRPr="00402BC3">
        <w:rPr>
          <w:lang w:eastAsia="en-AU"/>
        </w:rPr>
        <w:t xml:space="preserve">Port </w:t>
      </w:r>
      <w:r w:rsidR="00176EE7">
        <w:rPr>
          <w:lang w:eastAsia="en-AU"/>
        </w:rPr>
        <w:t>a</w:t>
      </w:r>
      <w:r w:rsidRPr="00402BC3">
        <w:rPr>
          <w:lang w:eastAsia="en-AU"/>
        </w:rPr>
        <w:t>s a bottleneck</w:t>
      </w:r>
      <w:r w:rsidR="00176EE7">
        <w:rPr>
          <w:lang w:eastAsia="en-AU"/>
        </w:rPr>
        <w:t xml:space="preserve"> facility. That </w:t>
      </w:r>
      <w:r w:rsidR="0089783A">
        <w:rPr>
          <w:lang w:eastAsia="en-AU"/>
        </w:rPr>
        <w:t>description is</w:t>
      </w:r>
      <w:r w:rsidR="00176EE7">
        <w:rPr>
          <w:lang w:eastAsia="en-AU"/>
        </w:rPr>
        <w:t xml:space="preserve"> uncontroversial. In practical terms, the Port facilities, including particularly the shipping channel service, </w:t>
      </w:r>
      <w:r w:rsidR="00176EE7" w:rsidRPr="00176EE7">
        <w:rPr>
          <w:lang w:eastAsia="en-AU"/>
        </w:rPr>
        <w:t>is necessary for the export of coal f</w:t>
      </w:r>
      <w:r w:rsidR="00176EE7">
        <w:rPr>
          <w:lang w:eastAsia="en-AU"/>
        </w:rPr>
        <w:t>ro</w:t>
      </w:r>
      <w:r w:rsidR="00176EE7" w:rsidRPr="00176EE7">
        <w:rPr>
          <w:lang w:eastAsia="en-AU"/>
        </w:rPr>
        <w:t>m the Hunter Valley</w:t>
      </w:r>
      <w:r w:rsidR="00176EE7">
        <w:rPr>
          <w:lang w:eastAsia="en-AU"/>
        </w:rPr>
        <w:t>. Coal producers in the</w:t>
      </w:r>
      <w:r w:rsidRPr="00402BC3">
        <w:rPr>
          <w:lang w:eastAsia="en-AU"/>
        </w:rPr>
        <w:t xml:space="preserve"> Hunter Valley have no practicable alternative to the Port for the export of their coal.</w:t>
      </w:r>
    </w:p>
    <w:p w14:paraId="128B02A9" w14:textId="77777777" w:rsidR="007D7384" w:rsidRDefault="00DB060A" w:rsidP="00990672">
      <w:pPr>
        <w:pStyle w:val="ParaNumbering"/>
        <w:rPr>
          <w:lang w:eastAsia="en-AU"/>
        </w:rPr>
      </w:pPr>
      <w:r>
        <w:rPr>
          <w:lang w:eastAsia="en-AU"/>
        </w:rPr>
        <w:t xml:space="preserve">The Port was privatised in May 2014 by the grant of a 98 year lease to </w:t>
      </w:r>
      <w:r w:rsidR="000D7FCF">
        <w:rPr>
          <w:lang w:eastAsia="en-AU"/>
        </w:rPr>
        <w:t xml:space="preserve">the joint venture parents of PNO, </w:t>
      </w:r>
      <w:r w:rsidR="00A020B4" w:rsidRPr="00990672">
        <w:rPr>
          <w:lang w:eastAsia="en-AU"/>
        </w:rPr>
        <w:t xml:space="preserve">The Infrastructure Fund </w:t>
      </w:r>
      <w:r w:rsidR="00A020B4">
        <w:rPr>
          <w:lang w:eastAsia="en-AU"/>
        </w:rPr>
        <w:t xml:space="preserve">managed by </w:t>
      </w:r>
      <w:r w:rsidR="000D7FCF">
        <w:rPr>
          <w:lang w:eastAsia="en-AU"/>
        </w:rPr>
        <w:t>Hastings Funds Management and China Merchants Group</w:t>
      </w:r>
      <w:r>
        <w:rPr>
          <w:lang w:eastAsia="en-AU"/>
        </w:rPr>
        <w:t xml:space="preserve">. </w:t>
      </w:r>
      <w:r w:rsidR="000D7FCF" w:rsidRPr="000D7FCF">
        <w:rPr>
          <w:lang w:eastAsia="en-AU"/>
        </w:rPr>
        <w:t>The transaction generated gross proceeds</w:t>
      </w:r>
      <w:r w:rsidR="000D7FCF">
        <w:rPr>
          <w:lang w:eastAsia="en-AU"/>
        </w:rPr>
        <w:t xml:space="preserve"> of some </w:t>
      </w:r>
      <w:r w:rsidR="000D7FCF" w:rsidRPr="000D7FCF">
        <w:rPr>
          <w:lang w:eastAsia="en-AU"/>
        </w:rPr>
        <w:t>$1.75</w:t>
      </w:r>
      <w:r w:rsidR="000D7FCF">
        <w:rPr>
          <w:lang w:eastAsia="en-AU"/>
        </w:rPr>
        <w:t xml:space="preserve"> billion </w:t>
      </w:r>
      <w:r w:rsidR="000D7FCF" w:rsidRPr="000D7FCF">
        <w:rPr>
          <w:lang w:eastAsia="en-AU"/>
        </w:rPr>
        <w:t>to the State of NSW</w:t>
      </w:r>
      <w:r w:rsidR="000D7FCF">
        <w:rPr>
          <w:lang w:eastAsia="en-AU"/>
        </w:rPr>
        <w:t xml:space="preserve">. </w:t>
      </w:r>
      <w:r w:rsidR="000D7FCF" w:rsidRPr="000D7FCF">
        <w:rPr>
          <w:lang w:eastAsia="en-AU"/>
        </w:rPr>
        <w:t>PNO operates the Port under a 98-year sublease</w:t>
      </w:r>
      <w:r w:rsidR="007D7384">
        <w:rPr>
          <w:lang w:eastAsia="en-AU"/>
        </w:rPr>
        <w:t xml:space="preserve">. As the operator of the Port, PNO controls the terms and conditions of access to the Port including, relevantly, the shipping channels </w:t>
      </w:r>
      <w:r w:rsidR="007D7384" w:rsidRPr="00D063CB">
        <w:rPr>
          <w:lang w:eastAsia="en-AU"/>
        </w:rPr>
        <w:t>and berthing facilities required for the export of coal from the Port</w:t>
      </w:r>
      <w:r w:rsidR="007D7384">
        <w:rPr>
          <w:lang w:eastAsia="en-AU"/>
        </w:rPr>
        <w:t>.</w:t>
      </w:r>
    </w:p>
    <w:p w14:paraId="79F1D207" w14:textId="77777777" w:rsidR="00AF4E5B" w:rsidRDefault="00534AD7" w:rsidP="00AF4E5B">
      <w:pPr>
        <w:pStyle w:val="Heading2"/>
        <w:rPr>
          <w:lang w:eastAsia="en-AU"/>
        </w:rPr>
      </w:pPr>
      <w:bookmarkStart w:id="20" w:name="_Ref78900483"/>
      <w:r>
        <w:rPr>
          <w:lang w:eastAsia="en-AU"/>
        </w:rPr>
        <w:lastRenderedPageBreak/>
        <w:t>Port charges</w:t>
      </w:r>
      <w:bookmarkEnd w:id="20"/>
    </w:p>
    <w:p w14:paraId="4D133F11" w14:textId="77777777" w:rsidR="00990672" w:rsidRDefault="00990672" w:rsidP="00990672">
      <w:pPr>
        <w:pStyle w:val="ParaNumbering"/>
        <w:rPr>
          <w:lang w:eastAsia="en-AU"/>
        </w:rPr>
      </w:pPr>
      <w:r>
        <w:rPr>
          <w:lang w:eastAsia="en-AU"/>
        </w:rPr>
        <w:t xml:space="preserve">As </w:t>
      </w:r>
      <w:r w:rsidR="00DA0B75">
        <w:rPr>
          <w:lang w:eastAsia="en-AU"/>
        </w:rPr>
        <w:t>the</w:t>
      </w:r>
      <w:r>
        <w:rPr>
          <w:lang w:eastAsia="en-AU"/>
        </w:rPr>
        <w:t xml:space="preserve"> port operator</w:t>
      </w:r>
      <w:r w:rsidR="00DA0B75">
        <w:rPr>
          <w:lang w:eastAsia="en-AU"/>
        </w:rPr>
        <w:t xml:space="preserve"> in respect of the Port</w:t>
      </w:r>
      <w:r>
        <w:rPr>
          <w:lang w:eastAsia="en-AU"/>
        </w:rPr>
        <w:t xml:space="preserve">, PNO is empowered under Part 5 of the </w:t>
      </w:r>
      <w:r w:rsidRPr="00EC7767">
        <w:rPr>
          <w:i/>
          <w:lang w:eastAsia="en-AU"/>
        </w:rPr>
        <w:t>Ports and Maritime Administration Ac</w:t>
      </w:r>
      <w:r w:rsidRPr="00C31053">
        <w:rPr>
          <w:i/>
          <w:lang w:eastAsia="en-AU"/>
        </w:rPr>
        <w:t>t</w:t>
      </w:r>
      <w:r w:rsidRPr="00C31053">
        <w:rPr>
          <w:lang w:eastAsia="en-AU"/>
        </w:rPr>
        <w:t xml:space="preserve"> </w:t>
      </w:r>
      <w:r w:rsidRPr="00BF2B84">
        <w:rPr>
          <w:i/>
          <w:lang w:eastAsia="en-AU"/>
        </w:rPr>
        <w:t>1995</w:t>
      </w:r>
      <w:r w:rsidRPr="00EC7767">
        <w:rPr>
          <w:lang w:eastAsia="en-AU"/>
        </w:rPr>
        <w:t xml:space="preserve"> (NSW)</w:t>
      </w:r>
      <w:r w:rsidR="00C2647F" w:rsidRPr="00C31053">
        <w:rPr>
          <w:lang w:eastAsia="en-AU"/>
        </w:rPr>
        <w:t xml:space="preserve"> </w:t>
      </w:r>
      <w:r>
        <w:rPr>
          <w:lang w:eastAsia="en-AU"/>
        </w:rPr>
        <w:t>(</w:t>
      </w:r>
      <w:r w:rsidRPr="00990672">
        <w:rPr>
          <w:b/>
          <w:lang w:eastAsia="en-AU"/>
        </w:rPr>
        <w:t>P</w:t>
      </w:r>
      <w:r w:rsidR="002C460A">
        <w:rPr>
          <w:b/>
          <w:lang w:eastAsia="en-AU"/>
        </w:rPr>
        <w:t>A</w:t>
      </w:r>
      <w:r w:rsidRPr="00990672">
        <w:rPr>
          <w:b/>
          <w:lang w:eastAsia="en-AU"/>
        </w:rPr>
        <w:t>MA Act</w:t>
      </w:r>
      <w:r>
        <w:rPr>
          <w:lang w:eastAsia="en-AU"/>
        </w:rPr>
        <w:t xml:space="preserve">) to fix and levy three types of charges on the users of </w:t>
      </w:r>
      <w:r w:rsidR="00181D55">
        <w:rPr>
          <w:lang w:eastAsia="en-AU"/>
        </w:rPr>
        <w:t>P</w:t>
      </w:r>
      <w:r>
        <w:rPr>
          <w:lang w:eastAsia="en-AU"/>
        </w:rPr>
        <w:t>ort services:</w:t>
      </w:r>
    </w:p>
    <w:p w14:paraId="766757FF" w14:textId="76FCFC5B" w:rsidR="00DB060A" w:rsidRDefault="00990672" w:rsidP="009F17C2">
      <w:pPr>
        <w:pStyle w:val="ListNo1alt"/>
        <w:numPr>
          <w:ilvl w:val="0"/>
          <w:numId w:val="33"/>
        </w:numPr>
        <w:rPr>
          <w:lang w:eastAsia="en-AU"/>
        </w:rPr>
      </w:pPr>
      <w:r w:rsidRPr="00990672">
        <w:rPr>
          <w:lang w:eastAsia="en-AU"/>
        </w:rPr>
        <w:t xml:space="preserve">the </w:t>
      </w:r>
      <w:r>
        <w:rPr>
          <w:lang w:eastAsia="en-AU"/>
        </w:rPr>
        <w:t>navigation service charge</w:t>
      </w:r>
      <w:r w:rsidRPr="00990672">
        <w:rPr>
          <w:lang w:eastAsia="en-AU"/>
        </w:rPr>
        <w:t>, which is payable in respect of general use by a vessel of the Port and its infrastructure</w:t>
      </w:r>
      <w:r w:rsidR="0065163A">
        <w:rPr>
          <w:lang w:eastAsia="en-AU"/>
        </w:rPr>
        <w:t xml:space="preserve">, and is paid by the owner of the vessel (as defined in </w:t>
      </w:r>
      <w:r w:rsidR="005C433E">
        <w:rPr>
          <w:lang w:eastAsia="en-AU"/>
        </w:rPr>
        <w:t>s </w:t>
      </w:r>
      <w:r w:rsidR="0065163A">
        <w:rPr>
          <w:lang w:eastAsia="en-AU"/>
        </w:rPr>
        <w:t>48 of the PAMA Act) on each entry by the vessel into the Port calculated by reference to the gross tonnage of the vessel</w:t>
      </w:r>
      <w:r w:rsidR="00DA0B75">
        <w:rPr>
          <w:lang w:eastAsia="en-AU"/>
        </w:rPr>
        <w:t xml:space="preserve"> (</w:t>
      </w:r>
      <w:proofErr w:type="spellStart"/>
      <w:r w:rsidR="00DA0B75">
        <w:rPr>
          <w:lang w:eastAsia="en-AU"/>
        </w:rPr>
        <w:t>ss</w:t>
      </w:r>
      <w:proofErr w:type="spellEnd"/>
      <w:r w:rsidR="00DA0B75">
        <w:rPr>
          <w:lang w:eastAsia="en-AU"/>
        </w:rPr>
        <w:t xml:space="preserve"> 50 and 51 of the P</w:t>
      </w:r>
      <w:r w:rsidR="002C460A">
        <w:rPr>
          <w:lang w:eastAsia="en-AU"/>
        </w:rPr>
        <w:t>A</w:t>
      </w:r>
      <w:r w:rsidR="00DA0B75">
        <w:rPr>
          <w:lang w:eastAsia="en-AU"/>
        </w:rPr>
        <w:t>MA Act)</w:t>
      </w:r>
      <w:r>
        <w:rPr>
          <w:lang w:eastAsia="en-AU"/>
        </w:rPr>
        <w:t>;</w:t>
      </w:r>
    </w:p>
    <w:p w14:paraId="75A7D642" w14:textId="77777777" w:rsidR="00990672" w:rsidRDefault="00E24A0D" w:rsidP="009F17C2">
      <w:pPr>
        <w:pStyle w:val="ListNo1alt"/>
        <w:numPr>
          <w:ilvl w:val="0"/>
          <w:numId w:val="33"/>
        </w:numPr>
        <w:rPr>
          <w:lang w:eastAsia="en-AU"/>
        </w:rPr>
      </w:pPr>
      <w:r>
        <w:rPr>
          <w:lang w:eastAsia="en-AU"/>
        </w:rPr>
        <w:t>the wharfage charge</w:t>
      </w:r>
      <w:r w:rsidR="00990672" w:rsidRPr="00990672">
        <w:rPr>
          <w:lang w:eastAsia="en-AU"/>
        </w:rPr>
        <w:t xml:space="preserve">, which is payable in respect of the availability of a site at which stevedoring operations may be carried out, and is paid by the owner of the cargo at the time </w:t>
      </w:r>
      <w:r w:rsidR="0065163A">
        <w:rPr>
          <w:lang w:eastAsia="en-AU"/>
        </w:rPr>
        <w:t xml:space="preserve">immediately before </w:t>
      </w:r>
      <w:r w:rsidR="00990672" w:rsidRPr="00990672">
        <w:rPr>
          <w:lang w:eastAsia="en-AU"/>
        </w:rPr>
        <w:t xml:space="preserve">it is loaded or </w:t>
      </w:r>
      <w:r w:rsidR="0065163A">
        <w:rPr>
          <w:lang w:eastAsia="en-AU"/>
        </w:rPr>
        <w:t xml:space="preserve">immediately after it is </w:t>
      </w:r>
      <w:r w:rsidR="00990672" w:rsidRPr="00990672">
        <w:rPr>
          <w:lang w:eastAsia="en-AU"/>
        </w:rPr>
        <w:t>unloaded</w:t>
      </w:r>
      <w:r w:rsidR="0065163A">
        <w:rPr>
          <w:lang w:eastAsia="en-AU"/>
        </w:rPr>
        <w:t xml:space="preserve"> at the site </w:t>
      </w:r>
      <w:r w:rsidR="00972400">
        <w:rPr>
          <w:lang w:eastAsia="en-AU"/>
        </w:rPr>
        <w:t xml:space="preserve">by reference to the quantity of cargo loaded or unloaded </w:t>
      </w:r>
      <w:r w:rsidR="0065163A">
        <w:rPr>
          <w:lang w:eastAsia="en-AU"/>
        </w:rPr>
        <w:t>(s 61 of the PAMA Act)</w:t>
      </w:r>
      <w:r w:rsidR="00990672" w:rsidRPr="00990672">
        <w:rPr>
          <w:lang w:eastAsia="en-AU"/>
        </w:rPr>
        <w:t>; and</w:t>
      </w:r>
    </w:p>
    <w:p w14:paraId="42D38F4C" w14:textId="77777777" w:rsidR="00990672" w:rsidRDefault="00990672" w:rsidP="009F17C2">
      <w:pPr>
        <w:pStyle w:val="ListNo1alt"/>
        <w:numPr>
          <w:ilvl w:val="0"/>
          <w:numId w:val="33"/>
        </w:numPr>
        <w:rPr>
          <w:lang w:eastAsia="en-AU"/>
        </w:rPr>
      </w:pPr>
      <w:r w:rsidRPr="00990672">
        <w:rPr>
          <w:lang w:eastAsia="en-AU"/>
        </w:rPr>
        <w:t>the site occupation charge, which is payable by occupiers of land-side facilities such as stevedoring at terminals</w:t>
      </w:r>
      <w:r w:rsidR="0065163A">
        <w:rPr>
          <w:lang w:eastAsia="en-AU"/>
        </w:rPr>
        <w:t xml:space="preserve"> (s 60 of the PAMA Act)</w:t>
      </w:r>
      <w:r w:rsidRPr="00990672">
        <w:rPr>
          <w:lang w:eastAsia="en-AU"/>
        </w:rPr>
        <w:t>.</w:t>
      </w:r>
    </w:p>
    <w:p w14:paraId="492D310C" w14:textId="77777777" w:rsidR="0065163A" w:rsidRDefault="00972400" w:rsidP="002B703D">
      <w:pPr>
        <w:pStyle w:val="ParaNumbering"/>
        <w:rPr>
          <w:lang w:eastAsia="en-AU"/>
        </w:rPr>
      </w:pPr>
      <w:r>
        <w:rPr>
          <w:lang w:eastAsia="en-AU"/>
        </w:rPr>
        <w:t>Section 67 of the PAMA Act empowers PNO, as the port operator in respect of the Port, to enter into an agreement with a person otherwise liable to pay a charge under Part 5 of the PAMA Act in respect of such charges. It provides as follows:</w:t>
      </w:r>
    </w:p>
    <w:p w14:paraId="65BF7C6A" w14:textId="77777777" w:rsidR="00C2647F" w:rsidRPr="00C2647F" w:rsidRDefault="00972400" w:rsidP="00C2647F">
      <w:pPr>
        <w:pStyle w:val="Quote1"/>
        <w:tabs>
          <w:tab w:val="left" w:pos="1418"/>
        </w:tabs>
        <w:ind w:left="1418" w:hanging="681"/>
        <w:rPr>
          <w:b/>
          <w:lang w:eastAsia="en-AU"/>
        </w:rPr>
      </w:pPr>
      <w:r>
        <w:rPr>
          <w:lang w:eastAsia="en-AU"/>
        </w:rPr>
        <w:t xml:space="preserve"> </w:t>
      </w:r>
      <w:r w:rsidR="00C2647F" w:rsidRPr="00C2647F">
        <w:rPr>
          <w:b/>
          <w:lang w:eastAsia="en-AU"/>
        </w:rPr>
        <w:t>67</w:t>
      </w:r>
      <w:r w:rsidR="00C2647F">
        <w:rPr>
          <w:b/>
          <w:lang w:eastAsia="en-AU"/>
        </w:rPr>
        <w:t xml:space="preserve"> </w:t>
      </w:r>
      <w:r w:rsidR="00C2647F" w:rsidRPr="00C2647F">
        <w:rPr>
          <w:b/>
          <w:lang w:eastAsia="en-AU"/>
        </w:rPr>
        <w:tab/>
        <w:t>Agreements in respect of charges</w:t>
      </w:r>
    </w:p>
    <w:p w14:paraId="7E14CD4A" w14:textId="77777777" w:rsidR="00C2647F" w:rsidRDefault="00C2647F" w:rsidP="00C2647F">
      <w:pPr>
        <w:pStyle w:val="Quote1"/>
        <w:tabs>
          <w:tab w:val="left" w:pos="1418"/>
        </w:tabs>
        <w:ind w:left="1418" w:hanging="681"/>
        <w:rPr>
          <w:lang w:eastAsia="en-AU"/>
        </w:rPr>
      </w:pPr>
      <w:r>
        <w:rPr>
          <w:lang w:eastAsia="en-AU"/>
        </w:rPr>
        <w:t xml:space="preserve">(1) </w:t>
      </w:r>
      <w:r>
        <w:rPr>
          <w:lang w:eastAsia="en-AU"/>
        </w:rPr>
        <w:tab/>
        <w:t>The relevant port authority may enter into an agreement with a person liable to pay any kind of charge under this Part.</w:t>
      </w:r>
    </w:p>
    <w:p w14:paraId="7F148777" w14:textId="77777777" w:rsidR="00C2647F" w:rsidRDefault="00C2647F" w:rsidP="00C2647F">
      <w:pPr>
        <w:pStyle w:val="Quote1"/>
        <w:tabs>
          <w:tab w:val="left" w:pos="1418"/>
        </w:tabs>
        <w:ind w:left="1418" w:hanging="681"/>
        <w:rPr>
          <w:lang w:eastAsia="en-AU"/>
        </w:rPr>
      </w:pPr>
      <w:r>
        <w:rPr>
          <w:lang w:eastAsia="en-AU"/>
        </w:rPr>
        <w:t xml:space="preserve">(2) </w:t>
      </w:r>
      <w:r>
        <w:rPr>
          <w:lang w:eastAsia="en-AU"/>
        </w:rPr>
        <w:tab/>
        <w:t>Such an agreement may make provision for or with respect to—</w:t>
      </w:r>
    </w:p>
    <w:p w14:paraId="519DDC89" w14:textId="77777777" w:rsidR="00C2647F" w:rsidRDefault="00C2647F" w:rsidP="00E33FEA">
      <w:pPr>
        <w:pStyle w:val="Quote2"/>
        <w:ind w:left="2160" w:hanging="720"/>
        <w:rPr>
          <w:lang w:eastAsia="en-AU"/>
        </w:rPr>
      </w:pPr>
      <w:r>
        <w:rPr>
          <w:lang w:eastAsia="en-AU"/>
        </w:rPr>
        <w:t xml:space="preserve">(a) </w:t>
      </w:r>
      <w:r>
        <w:rPr>
          <w:lang w:eastAsia="en-AU"/>
        </w:rPr>
        <w:tab/>
        <w:t>fixing the amount of any charge payable by the person to the relevant port authority, and</w:t>
      </w:r>
    </w:p>
    <w:p w14:paraId="30225ACC" w14:textId="77777777" w:rsidR="00C2647F" w:rsidRDefault="00C2647F" w:rsidP="00E33FEA">
      <w:pPr>
        <w:pStyle w:val="Quote2"/>
        <w:ind w:left="2160" w:hanging="720"/>
        <w:rPr>
          <w:lang w:eastAsia="en-AU"/>
        </w:rPr>
      </w:pPr>
      <w:r>
        <w:rPr>
          <w:lang w:eastAsia="en-AU"/>
        </w:rPr>
        <w:t xml:space="preserve">(b) </w:t>
      </w:r>
      <w:r>
        <w:rPr>
          <w:lang w:eastAsia="en-AU"/>
        </w:rPr>
        <w:tab/>
        <w:t>any other matter which the relevant port authority is permitted by or under this Part to determine in respect of the charge, and</w:t>
      </w:r>
    </w:p>
    <w:p w14:paraId="31021495" w14:textId="77777777" w:rsidR="00C2647F" w:rsidRDefault="00C2647F" w:rsidP="00E33FEA">
      <w:pPr>
        <w:pStyle w:val="Quote2"/>
        <w:ind w:left="2160" w:hanging="720"/>
        <w:rPr>
          <w:lang w:eastAsia="en-AU"/>
        </w:rPr>
      </w:pPr>
      <w:r>
        <w:rPr>
          <w:lang w:eastAsia="en-AU"/>
        </w:rPr>
        <w:t xml:space="preserve">(c) </w:t>
      </w:r>
      <w:r>
        <w:rPr>
          <w:lang w:eastAsia="en-AU"/>
        </w:rPr>
        <w:tab/>
        <w:t>any right or privilege which by or under this Part accrues to the person liable to pay the charge, or which the relevant port authority may confer on the person.</w:t>
      </w:r>
    </w:p>
    <w:p w14:paraId="37DC751E" w14:textId="77777777" w:rsidR="00972400" w:rsidRDefault="00C2647F" w:rsidP="00C2647F">
      <w:pPr>
        <w:pStyle w:val="Quote1"/>
        <w:tabs>
          <w:tab w:val="left" w:pos="1418"/>
        </w:tabs>
        <w:ind w:left="1418" w:hanging="681"/>
        <w:rPr>
          <w:lang w:eastAsia="en-AU"/>
        </w:rPr>
      </w:pPr>
      <w:r>
        <w:rPr>
          <w:lang w:eastAsia="en-AU"/>
        </w:rPr>
        <w:t xml:space="preserve">(3) </w:t>
      </w:r>
      <w:r>
        <w:rPr>
          <w:lang w:eastAsia="en-AU"/>
        </w:rPr>
        <w:tab/>
        <w:t>To the extent that provision is so made, the agreement displaces any determinations of the relevant port authority in relation to the charge or to the matter, right or privilege concerned.</w:t>
      </w:r>
    </w:p>
    <w:p w14:paraId="1F85C356" w14:textId="77777777" w:rsidR="00E13685" w:rsidRDefault="009C6D7A" w:rsidP="00E13685">
      <w:pPr>
        <w:pStyle w:val="ParaNumbering"/>
        <w:rPr>
          <w:lang w:eastAsia="en-AU"/>
        </w:rPr>
      </w:pPr>
      <w:r>
        <w:rPr>
          <w:lang w:eastAsia="en-AU"/>
        </w:rPr>
        <w:t>Part 6 of the PAMA Act establishes a price monitoring scheme in respect of charges imposed at various ports in NSW including the Port. Section 77 states the objective of the scheme:</w:t>
      </w:r>
    </w:p>
    <w:p w14:paraId="69A38000" w14:textId="77777777" w:rsidR="009C6D7A" w:rsidRDefault="009C6D7A" w:rsidP="009C6D7A">
      <w:pPr>
        <w:pStyle w:val="Quote1"/>
        <w:rPr>
          <w:lang w:eastAsia="en-AU"/>
        </w:rPr>
      </w:pPr>
      <w:r w:rsidRPr="009C6D7A">
        <w:rPr>
          <w:lang w:eastAsia="en-AU"/>
        </w:rPr>
        <w:t xml:space="preserve">The objective of the price monitoring scheme established by this Part (the </w:t>
      </w:r>
      <w:r w:rsidRPr="00BF2B84">
        <w:rPr>
          <w:i/>
          <w:lang w:eastAsia="en-AU"/>
        </w:rPr>
        <w:t xml:space="preserve">scheme </w:t>
      </w:r>
      <w:r w:rsidRPr="00BF2B84">
        <w:rPr>
          <w:i/>
          <w:lang w:eastAsia="en-AU"/>
        </w:rPr>
        <w:lastRenderedPageBreak/>
        <w:t>objective)</w:t>
      </w:r>
      <w:r w:rsidRPr="009C6D7A">
        <w:rPr>
          <w:lang w:eastAsia="en-AU"/>
        </w:rPr>
        <w:t xml:space="preserve"> is to promote the economically efficient operation of, use of and investment in major port facilities in the State by monitoring the prices port operators charge users of those facilities, so as to promote a competitive commercial environment in port operations.</w:t>
      </w:r>
      <w:r>
        <w:rPr>
          <w:lang w:eastAsia="en-AU"/>
        </w:rPr>
        <w:t xml:space="preserve"> </w:t>
      </w:r>
    </w:p>
    <w:p w14:paraId="40725DF6" w14:textId="77777777" w:rsidR="009C6D7A" w:rsidRDefault="009C6D7A" w:rsidP="009C6D7A">
      <w:pPr>
        <w:pStyle w:val="ParaNumbering"/>
        <w:rPr>
          <w:lang w:eastAsia="en-AU"/>
        </w:rPr>
      </w:pPr>
      <w:r>
        <w:rPr>
          <w:lang w:eastAsia="en-AU"/>
        </w:rPr>
        <w:t xml:space="preserve">By s 79, PNO is required to publish, on its website, a list of the </w:t>
      </w:r>
      <w:r w:rsidR="00181D55">
        <w:rPr>
          <w:lang w:eastAsia="en-AU"/>
        </w:rPr>
        <w:t>P</w:t>
      </w:r>
      <w:r>
        <w:rPr>
          <w:lang w:eastAsia="en-AU"/>
        </w:rPr>
        <w:t>ort charges charged by it (other than charges made pursuant to an agreement under s 67).</w:t>
      </w:r>
      <w:r w:rsidR="005B6353">
        <w:rPr>
          <w:lang w:eastAsia="en-AU"/>
        </w:rPr>
        <w:t xml:space="preserve"> Under s 80, PNO is required to give prior notice of any change in its charges to the Minister (responsible for the administration of the PAMA Act in NSW) and by publication on its website, and must state the reason for the change. Under s 81, PNO must provide an annual report to the Minister in respect of its charges and the revenue received from the charges.</w:t>
      </w:r>
    </w:p>
    <w:p w14:paraId="7E8B77A9" w14:textId="77777777" w:rsidR="00C2647F" w:rsidRDefault="00C2647F" w:rsidP="00C2647F">
      <w:pPr>
        <w:pStyle w:val="ParaNumbering"/>
        <w:rPr>
          <w:lang w:eastAsia="en-AU"/>
        </w:rPr>
      </w:pPr>
      <w:r w:rsidRPr="00C2647F">
        <w:rPr>
          <w:lang w:eastAsia="en-AU"/>
        </w:rPr>
        <w:t>PNO publishes a Schedule of Service Charges that apply to the use of the Port, pursuant</w:t>
      </w:r>
      <w:r>
        <w:rPr>
          <w:lang w:eastAsia="en-AU"/>
        </w:rPr>
        <w:t xml:space="preserve"> </w:t>
      </w:r>
      <w:r w:rsidRPr="00C2647F">
        <w:rPr>
          <w:lang w:eastAsia="en-AU"/>
        </w:rPr>
        <w:t>to the P</w:t>
      </w:r>
      <w:r w:rsidR="00F94BE0">
        <w:rPr>
          <w:lang w:eastAsia="en-AU"/>
        </w:rPr>
        <w:t>A</w:t>
      </w:r>
      <w:r w:rsidRPr="00C2647F">
        <w:rPr>
          <w:lang w:eastAsia="en-AU"/>
        </w:rPr>
        <w:t>MA</w:t>
      </w:r>
      <w:r w:rsidR="00F94BE0">
        <w:rPr>
          <w:lang w:eastAsia="en-AU"/>
        </w:rPr>
        <w:t xml:space="preserve"> </w:t>
      </w:r>
      <w:r w:rsidRPr="00C2647F">
        <w:rPr>
          <w:lang w:eastAsia="en-AU"/>
        </w:rPr>
        <w:t>A</w:t>
      </w:r>
      <w:r w:rsidR="00F94BE0">
        <w:rPr>
          <w:lang w:eastAsia="en-AU"/>
        </w:rPr>
        <w:t>ct</w:t>
      </w:r>
      <w:r w:rsidRPr="00C2647F">
        <w:rPr>
          <w:lang w:eastAsia="en-AU"/>
        </w:rPr>
        <w:t xml:space="preserve">, which includes </w:t>
      </w:r>
      <w:r>
        <w:rPr>
          <w:lang w:eastAsia="en-AU"/>
        </w:rPr>
        <w:t xml:space="preserve">the </w:t>
      </w:r>
      <w:r w:rsidR="00E24A0D">
        <w:rPr>
          <w:lang w:eastAsia="en-AU"/>
        </w:rPr>
        <w:t>navigation service charge</w:t>
      </w:r>
      <w:r w:rsidRPr="00C2647F">
        <w:rPr>
          <w:lang w:eastAsia="en-AU"/>
        </w:rPr>
        <w:t xml:space="preserve"> and </w:t>
      </w:r>
      <w:r>
        <w:rPr>
          <w:lang w:eastAsia="en-AU"/>
        </w:rPr>
        <w:t xml:space="preserve">the </w:t>
      </w:r>
      <w:r w:rsidR="00E24A0D">
        <w:rPr>
          <w:lang w:eastAsia="en-AU"/>
        </w:rPr>
        <w:t>wharfage charge</w:t>
      </w:r>
      <w:r>
        <w:rPr>
          <w:lang w:eastAsia="en-AU"/>
        </w:rPr>
        <w:t xml:space="preserve">. </w:t>
      </w:r>
    </w:p>
    <w:p w14:paraId="477A91AB" w14:textId="77777777" w:rsidR="000271E1" w:rsidRDefault="00E356DA" w:rsidP="006D633A">
      <w:pPr>
        <w:pStyle w:val="ParaNumbering"/>
        <w:rPr>
          <w:lang w:eastAsia="en-AU"/>
        </w:rPr>
      </w:pPr>
      <w:r>
        <w:rPr>
          <w:lang w:eastAsia="en-AU"/>
        </w:rPr>
        <w:t xml:space="preserve">It should be </w:t>
      </w:r>
      <w:r w:rsidR="009521B7">
        <w:rPr>
          <w:lang w:eastAsia="en-AU"/>
        </w:rPr>
        <w:t>not</w:t>
      </w:r>
      <w:r>
        <w:rPr>
          <w:lang w:eastAsia="en-AU"/>
        </w:rPr>
        <w:t xml:space="preserve">ed that </w:t>
      </w:r>
      <w:r w:rsidR="000271E1">
        <w:rPr>
          <w:lang w:eastAsia="en-AU"/>
        </w:rPr>
        <w:t xml:space="preserve">s 50 of the PAMA Act requires that the </w:t>
      </w:r>
      <w:r w:rsidR="00E24A0D">
        <w:rPr>
          <w:lang w:eastAsia="en-AU"/>
        </w:rPr>
        <w:t>navigation service charge</w:t>
      </w:r>
      <w:r w:rsidR="000271E1">
        <w:rPr>
          <w:lang w:eastAsia="en-AU"/>
        </w:rPr>
        <w:t xml:space="preserve"> be calculated by reference to the gross tonnage of the vessel using the shipping channel, and not the quantity of coal shipped on the vessel. </w:t>
      </w:r>
      <w:r>
        <w:rPr>
          <w:lang w:eastAsia="en-AU"/>
        </w:rPr>
        <w:t xml:space="preserve">Further, </w:t>
      </w:r>
      <w:r w:rsidRPr="00EC7767">
        <w:rPr>
          <w:lang w:eastAsia="en-AU"/>
        </w:rPr>
        <w:t>t</w:t>
      </w:r>
      <w:r w:rsidR="000271E1" w:rsidRPr="00C31053">
        <w:rPr>
          <w:lang w:eastAsia="en-AU"/>
        </w:rPr>
        <w:t xml:space="preserve">he </w:t>
      </w:r>
      <w:r w:rsidR="000271E1" w:rsidRPr="00C31053">
        <w:rPr>
          <w:i/>
          <w:lang w:eastAsia="en-AU"/>
        </w:rPr>
        <w:t>Ports and Maritime Administration Regulations 2012</w:t>
      </w:r>
      <w:r w:rsidR="000271E1" w:rsidRPr="00C31053">
        <w:rPr>
          <w:lang w:eastAsia="en-AU"/>
        </w:rPr>
        <w:t xml:space="preserve"> (NSW)</w:t>
      </w:r>
      <w:r w:rsidR="000271E1" w:rsidRPr="00177558">
        <w:rPr>
          <w:lang w:eastAsia="en-AU"/>
        </w:rPr>
        <w:t xml:space="preserve"> </w:t>
      </w:r>
      <w:r w:rsidR="00F70B8E" w:rsidRPr="00177558">
        <w:rPr>
          <w:lang w:eastAsia="en-AU"/>
        </w:rPr>
        <w:t>(</w:t>
      </w:r>
      <w:r w:rsidR="00F70B8E" w:rsidRPr="00177558">
        <w:rPr>
          <w:b/>
          <w:lang w:eastAsia="en-AU"/>
        </w:rPr>
        <w:t>PAMA Regulations</w:t>
      </w:r>
      <w:r w:rsidR="00F70B8E" w:rsidRPr="00177558">
        <w:rPr>
          <w:lang w:eastAsia="en-AU"/>
        </w:rPr>
        <w:t xml:space="preserve">) </w:t>
      </w:r>
      <w:r w:rsidR="000271E1" w:rsidRPr="00177558">
        <w:rPr>
          <w:lang w:eastAsia="en-AU"/>
        </w:rPr>
        <w:t>provide</w:t>
      </w:r>
      <w:r w:rsidR="000271E1">
        <w:rPr>
          <w:lang w:eastAsia="en-AU"/>
        </w:rPr>
        <w:t xml:space="preserve"> for the conversion </w:t>
      </w:r>
      <w:r>
        <w:rPr>
          <w:lang w:eastAsia="en-AU"/>
        </w:rPr>
        <w:t xml:space="preserve">of a vessel’s volume into a gross tonnage measurement. Accordingly, the cost of shipping one tonne of coal through the Port is not necessarily the prevailing rate of the </w:t>
      </w:r>
      <w:r w:rsidR="00E24A0D">
        <w:rPr>
          <w:lang w:eastAsia="en-AU"/>
        </w:rPr>
        <w:t>navigation service charge</w:t>
      </w:r>
      <w:r>
        <w:rPr>
          <w:lang w:eastAsia="en-AU"/>
        </w:rPr>
        <w:t xml:space="preserve">. There was no evidence before the Tribunal concerning the average conversion ratio of the prevailing </w:t>
      </w:r>
      <w:r w:rsidR="00E24A0D">
        <w:rPr>
          <w:lang w:eastAsia="en-AU"/>
        </w:rPr>
        <w:t>navigation service charge</w:t>
      </w:r>
      <w:r>
        <w:rPr>
          <w:lang w:eastAsia="en-AU"/>
        </w:rPr>
        <w:t xml:space="preserve"> into a cost per tonne of coal shipped through the Port in any given period</w:t>
      </w:r>
      <w:r w:rsidR="00D83661">
        <w:rPr>
          <w:lang w:eastAsia="en-AU"/>
        </w:rPr>
        <w:t>, and no party submitted that the conversion ratio would make any material difference to the issues arising on the review.</w:t>
      </w:r>
    </w:p>
    <w:p w14:paraId="44332FF4" w14:textId="77777777" w:rsidR="00376B2F" w:rsidRDefault="00D60A80" w:rsidP="006D633A">
      <w:pPr>
        <w:pStyle w:val="ParaNumbering"/>
        <w:rPr>
          <w:lang w:eastAsia="en-AU"/>
        </w:rPr>
      </w:pPr>
      <w:r>
        <w:rPr>
          <w:lang w:eastAsia="en-AU"/>
        </w:rPr>
        <w:t xml:space="preserve">In </w:t>
      </w:r>
      <w:r w:rsidRPr="00D60A80">
        <w:rPr>
          <w:i/>
          <w:lang w:eastAsia="en-AU"/>
        </w:rPr>
        <w:t>Re Glencore Coal</w:t>
      </w:r>
      <w:r>
        <w:rPr>
          <w:lang w:eastAsia="en-AU"/>
        </w:rPr>
        <w:t>, the Tribunal noted that, after PNO assumed the role of Port operator, the price for coal ships using the shipping channels to enter and exit the Port was increased by between approximately 40% and 60% for some vessel types – particularly the larger more efficient vessels (at [16]).</w:t>
      </w:r>
    </w:p>
    <w:p w14:paraId="7AC36D84" w14:textId="77777777" w:rsidR="00534AD7" w:rsidRDefault="001D48B9" w:rsidP="00534AD7">
      <w:pPr>
        <w:pStyle w:val="Heading2"/>
        <w:rPr>
          <w:lang w:eastAsia="en-AU"/>
        </w:rPr>
      </w:pPr>
      <w:bookmarkStart w:id="21" w:name="_Ref78900484"/>
      <w:r>
        <w:rPr>
          <w:lang w:eastAsia="en-AU"/>
        </w:rPr>
        <w:t xml:space="preserve">The </w:t>
      </w:r>
      <w:r w:rsidR="00534AD7">
        <w:rPr>
          <w:lang w:eastAsia="en-AU"/>
        </w:rPr>
        <w:t>declaration of Port services</w:t>
      </w:r>
      <w:bookmarkEnd w:id="21"/>
    </w:p>
    <w:p w14:paraId="364D64E7" w14:textId="77777777" w:rsidR="00A07D8E" w:rsidRDefault="00D60A80" w:rsidP="007835B6">
      <w:pPr>
        <w:pStyle w:val="ParaNumbering"/>
        <w:rPr>
          <w:lang w:eastAsia="en-AU"/>
        </w:rPr>
      </w:pPr>
      <w:r>
        <w:rPr>
          <w:lang w:eastAsia="en-AU"/>
        </w:rPr>
        <w:t>In May 2015, Glencore Coal Pty Ltd (</w:t>
      </w:r>
      <w:r w:rsidRPr="00D60A80">
        <w:rPr>
          <w:b/>
          <w:lang w:eastAsia="en-AU"/>
        </w:rPr>
        <w:t>Glencore</w:t>
      </w:r>
      <w:r>
        <w:rPr>
          <w:lang w:eastAsia="en-AU"/>
        </w:rPr>
        <w:t xml:space="preserve">) made an application </w:t>
      </w:r>
      <w:r w:rsidR="00534AD7">
        <w:rPr>
          <w:lang w:eastAsia="en-AU"/>
        </w:rPr>
        <w:t>for the declaration of</w:t>
      </w:r>
      <w:r>
        <w:rPr>
          <w:lang w:eastAsia="en-AU"/>
        </w:rPr>
        <w:t xml:space="preserve"> </w:t>
      </w:r>
      <w:r w:rsidR="00534AD7">
        <w:rPr>
          <w:lang w:eastAsia="en-AU"/>
        </w:rPr>
        <w:t xml:space="preserve">the shipping channel and berthing </w:t>
      </w:r>
      <w:r>
        <w:rPr>
          <w:lang w:eastAsia="en-AU"/>
        </w:rPr>
        <w:t xml:space="preserve">service </w:t>
      </w:r>
      <w:r w:rsidR="00534AD7">
        <w:rPr>
          <w:lang w:eastAsia="en-AU"/>
        </w:rPr>
        <w:t xml:space="preserve">at the Port. In January 2015, the NCC recommended against declaration, and in January 2016 the Treasurer decided not to declare the Port service. </w:t>
      </w:r>
      <w:r w:rsidR="00BA0B40">
        <w:rPr>
          <w:lang w:eastAsia="en-AU"/>
        </w:rPr>
        <w:t xml:space="preserve">In concluding that criterion (a) (as it then was) was not satisfied, the </w:t>
      </w:r>
      <w:r w:rsidR="00A020B4">
        <w:rPr>
          <w:lang w:eastAsia="en-AU"/>
        </w:rPr>
        <w:t>Treasurer</w:t>
      </w:r>
      <w:r w:rsidR="00BA0B40">
        <w:rPr>
          <w:lang w:eastAsia="en-AU"/>
        </w:rPr>
        <w:t xml:space="preserve"> took account of the fact that PNO provided access to vessels shipping coal at published prices. </w:t>
      </w:r>
      <w:r w:rsidR="00534AD7">
        <w:rPr>
          <w:lang w:eastAsia="en-AU"/>
        </w:rPr>
        <w:t xml:space="preserve">Glencore applied to the Tribunal for review of that decision. </w:t>
      </w:r>
    </w:p>
    <w:p w14:paraId="5224C6D0" w14:textId="77777777" w:rsidR="00D60A80" w:rsidRDefault="00534AD7" w:rsidP="007835B6">
      <w:pPr>
        <w:pStyle w:val="ParaNumbering"/>
        <w:rPr>
          <w:lang w:eastAsia="en-AU"/>
        </w:rPr>
      </w:pPr>
      <w:r>
        <w:rPr>
          <w:lang w:eastAsia="en-AU"/>
        </w:rPr>
        <w:lastRenderedPageBreak/>
        <w:t xml:space="preserve">On 31 May 2016, the Tribunal published its reasons for deciding to set aside the Minister’s decision and </w:t>
      </w:r>
      <w:r w:rsidR="007835B6">
        <w:rPr>
          <w:lang w:eastAsia="en-AU"/>
        </w:rPr>
        <w:t>make an order to declare the Port service</w:t>
      </w:r>
      <w:r w:rsidR="00141948">
        <w:rPr>
          <w:lang w:eastAsia="en-AU"/>
        </w:rPr>
        <w:t xml:space="preserve"> for a </w:t>
      </w:r>
      <w:r w:rsidR="00141948" w:rsidRPr="00EC7767">
        <w:rPr>
          <w:lang w:eastAsia="en-AU"/>
        </w:rPr>
        <w:t>period of 15 years, commencing July 2016 and expiri</w:t>
      </w:r>
      <w:r w:rsidR="00141948" w:rsidRPr="00C31053">
        <w:rPr>
          <w:lang w:eastAsia="en-AU"/>
        </w:rPr>
        <w:t>ng July 2031</w:t>
      </w:r>
      <w:r w:rsidR="006E7C51" w:rsidRPr="00C31053">
        <w:rPr>
          <w:lang w:eastAsia="en-AU"/>
        </w:rPr>
        <w:t xml:space="preserve">: </w:t>
      </w:r>
      <w:r w:rsidR="006E7C51" w:rsidRPr="00C31053">
        <w:rPr>
          <w:i/>
          <w:lang w:eastAsia="en-AU"/>
        </w:rPr>
        <w:t>Re Glencore Coal</w:t>
      </w:r>
      <w:r w:rsidR="007835B6" w:rsidRPr="00367925">
        <w:rPr>
          <w:lang w:eastAsia="en-AU"/>
        </w:rPr>
        <w:t xml:space="preserve">. That order was made on 10 June 2016: </w:t>
      </w:r>
      <w:r w:rsidR="007835B6" w:rsidRPr="00177558">
        <w:rPr>
          <w:i/>
          <w:lang w:eastAsia="en-AU"/>
        </w:rPr>
        <w:t>Re Glencore Coal Pty Ltd (No 2)</w:t>
      </w:r>
      <w:r w:rsidR="007835B6" w:rsidRPr="00177558">
        <w:rPr>
          <w:lang w:eastAsia="en-AU"/>
        </w:rPr>
        <w:t xml:space="preserve"> [2016] </w:t>
      </w:r>
      <w:proofErr w:type="spellStart"/>
      <w:r w:rsidR="007835B6" w:rsidRPr="00177558">
        <w:rPr>
          <w:lang w:eastAsia="en-AU"/>
        </w:rPr>
        <w:t>ACompT</w:t>
      </w:r>
      <w:proofErr w:type="spellEnd"/>
      <w:r w:rsidR="007835B6" w:rsidRPr="00177558">
        <w:rPr>
          <w:lang w:eastAsia="en-AU"/>
        </w:rPr>
        <w:t xml:space="preserve"> 7</w:t>
      </w:r>
      <w:r w:rsidR="007A72C2" w:rsidRPr="00177558">
        <w:rPr>
          <w:lang w:eastAsia="en-AU"/>
        </w:rPr>
        <w:t>; 309 FLR 358</w:t>
      </w:r>
      <w:r w:rsidR="007835B6" w:rsidRPr="00177558">
        <w:rPr>
          <w:lang w:eastAsia="en-AU"/>
        </w:rPr>
        <w:t xml:space="preserve"> (</w:t>
      </w:r>
      <w:r w:rsidR="007835B6" w:rsidRPr="00177558">
        <w:rPr>
          <w:b/>
          <w:i/>
          <w:lang w:eastAsia="en-AU"/>
        </w:rPr>
        <w:t>Re Glencore</w:t>
      </w:r>
      <w:r w:rsidR="007835B6" w:rsidRPr="007835B6">
        <w:rPr>
          <w:b/>
          <w:i/>
          <w:lang w:eastAsia="en-AU"/>
        </w:rPr>
        <w:t xml:space="preserve"> Coal No 2</w:t>
      </w:r>
      <w:r w:rsidR="007835B6" w:rsidRPr="007835B6">
        <w:rPr>
          <w:lang w:eastAsia="en-AU"/>
        </w:rPr>
        <w:t>)</w:t>
      </w:r>
      <w:r w:rsidR="007835B6">
        <w:rPr>
          <w:lang w:eastAsia="en-AU"/>
        </w:rPr>
        <w:t>.</w:t>
      </w:r>
      <w:r w:rsidR="00A07D8E">
        <w:rPr>
          <w:lang w:eastAsia="en-AU"/>
        </w:rPr>
        <w:t xml:space="preserve"> In relation to criterion (a), the Tribunal </w:t>
      </w:r>
      <w:r w:rsidR="002D4F79">
        <w:rPr>
          <w:lang w:eastAsia="en-AU"/>
        </w:rPr>
        <w:t xml:space="preserve">in </w:t>
      </w:r>
      <w:r w:rsidR="002D4F79">
        <w:rPr>
          <w:i/>
          <w:lang w:eastAsia="en-AU"/>
        </w:rPr>
        <w:t xml:space="preserve">Re Glencore Coal </w:t>
      </w:r>
      <w:r w:rsidR="00A07D8E">
        <w:rPr>
          <w:lang w:eastAsia="en-AU"/>
        </w:rPr>
        <w:t xml:space="preserve">concluded that it was bound to apply the test as stated by the Full Court in </w:t>
      </w:r>
      <w:r w:rsidR="00A07D8E" w:rsidRPr="00A07D8E">
        <w:rPr>
          <w:i/>
          <w:lang w:eastAsia="en-AU"/>
        </w:rPr>
        <w:t>Sydney Airport</w:t>
      </w:r>
      <w:r w:rsidR="00A07D8E">
        <w:rPr>
          <w:lang w:eastAsia="en-AU"/>
        </w:rPr>
        <w:t xml:space="preserve"> (at [100]) and, on th</w:t>
      </w:r>
      <w:r w:rsidR="002D4F79">
        <w:rPr>
          <w:lang w:eastAsia="en-AU"/>
        </w:rPr>
        <w:t>at</w:t>
      </w:r>
      <w:r w:rsidR="00A07D8E">
        <w:rPr>
          <w:lang w:eastAsia="en-AU"/>
        </w:rPr>
        <w:t xml:space="preserve"> basis, criterion (a) was </w:t>
      </w:r>
      <w:r w:rsidR="00BA0B40">
        <w:rPr>
          <w:lang w:eastAsia="en-AU"/>
        </w:rPr>
        <w:t>satisfied (at [112]-[113], [121]).</w:t>
      </w:r>
      <w:r w:rsidR="00CC4DE0">
        <w:rPr>
          <w:lang w:eastAsia="en-AU"/>
        </w:rPr>
        <w:t xml:space="preserve"> Although unnecessary to its decision, the Tribunal also considered whether criterion (a) would have been </w:t>
      </w:r>
      <w:r w:rsidR="00A020B4">
        <w:rPr>
          <w:lang w:eastAsia="en-AU"/>
        </w:rPr>
        <w:t xml:space="preserve">satisfied if it were relevant to consider the effect of declaration (with access being provided on reasonable terms and conditions by reason of the declaration) on the promotion of competition, taking into account the likely terms of access in the absence of declaration. </w:t>
      </w:r>
      <w:r w:rsidR="009521B7">
        <w:rPr>
          <w:lang w:eastAsia="en-AU"/>
        </w:rPr>
        <w:t>T</w:t>
      </w:r>
      <w:r w:rsidR="00A020B4">
        <w:rPr>
          <w:lang w:eastAsia="en-AU"/>
        </w:rPr>
        <w:t>he Tribunal concluded that criterion (a) would not have been satisfied on that approach (at [157]).</w:t>
      </w:r>
      <w:r w:rsidR="00372440">
        <w:rPr>
          <w:lang w:eastAsia="en-AU"/>
        </w:rPr>
        <w:t xml:space="preserve"> That latter approach is now required to be taken following the amendments made by the 2017 Amendment Act.</w:t>
      </w:r>
    </w:p>
    <w:p w14:paraId="67EBEBAF" w14:textId="77777777" w:rsidR="00372440" w:rsidRDefault="00372440" w:rsidP="007835B6">
      <w:pPr>
        <w:pStyle w:val="ParaNumbering"/>
        <w:rPr>
          <w:lang w:eastAsia="en-AU"/>
        </w:rPr>
      </w:pPr>
      <w:r>
        <w:rPr>
          <w:lang w:eastAsia="en-AU"/>
        </w:rPr>
        <w:t xml:space="preserve">The Tribunal’s decision in </w:t>
      </w:r>
      <w:r w:rsidRPr="00372440">
        <w:rPr>
          <w:i/>
          <w:lang w:eastAsia="en-AU"/>
        </w:rPr>
        <w:t>Re Glencore Coal</w:t>
      </w:r>
      <w:r>
        <w:rPr>
          <w:i/>
          <w:lang w:eastAsia="en-AU"/>
        </w:rPr>
        <w:t xml:space="preserve"> </w:t>
      </w:r>
      <w:r>
        <w:rPr>
          <w:lang w:eastAsia="en-AU"/>
        </w:rPr>
        <w:t xml:space="preserve">was upheld by the Full Court in </w:t>
      </w:r>
      <w:r w:rsidRPr="00372440">
        <w:rPr>
          <w:i/>
          <w:lang w:eastAsia="en-AU"/>
        </w:rPr>
        <w:t>Port of Newcastle</w:t>
      </w:r>
      <w:r>
        <w:rPr>
          <w:lang w:eastAsia="en-AU"/>
        </w:rPr>
        <w:t>.</w:t>
      </w:r>
    </w:p>
    <w:p w14:paraId="60BD7569" w14:textId="77777777" w:rsidR="00017627" w:rsidRDefault="00017627" w:rsidP="00017627">
      <w:pPr>
        <w:pStyle w:val="Heading2"/>
        <w:rPr>
          <w:lang w:eastAsia="en-AU"/>
        </w:rPr>
      </w:pPr>
      <w:bookmarkStart w:id="22" w:name="_Ref78900485"/>
      <w:r>
        <w:rPr>
          <w:lang w:eastAsia="en-AU"/>
        </w:rPr>
        <w:t>Arbitration of Port charges</w:t>
      </w:r>
      <w:bookmarkEnd w:id="22"/>
    </w:p>
    <w:p w14:paraId="5F4E1901" w14:textId="2C55D431" w:rsidR="00C83DBC" w:rsidRDefault="00017627" w:rsidP="006D633A">
      <w:pPr>
        <w:pStyle w:val="ParaNumbering"/>
        <w:rPr>
          <w:lang w:eastAsia="en-AU"/>
        </w:rPr>
      </w:pPr>
      <w:r>
        <w:rPr>
          <w:lang w:eastAsia="en-AU"/>
        </w:rPr>
        <w:t xml:space="preserve">As recorded in the NCC Recommendation, Glencore notified the ACCC of an access dispute with respect to the </w:t>
      </w:r>
      <w:r w:rsidR="00E24A0D">
        <w:rPr>
          <w:lang w:eastAsia="en-AU"/>
        </w:rPr>
        <w:t xml:space="preserve">navigation service </w:t>
      </w:r>
      <w:r>
        <w:rPr>
          <w:lang w:eastAsia="en-AU"/>
        </w:rPr>
        <w:t xml:space="preserve">and </w:t>
      </w:r>
      <w:r w:rsidR="00E24A0D">
        <w:rPr>
          <w:lang w:eastAsia="en-AU"/>
        </w:rPr>
        <w:t>wharfage charge</w:t>
      </w:r>
      <w:r w:rsidR="00534F16">
        <w:rPr>
          <w:lang w:eastAsia="en-AU"/>
        </w:rPr>
        <w:t>s</w:t>
      </w:r>
      <w:r w:rsidR="007F62F9">
        <w:rPr>
          <w:rStyle w:val="CommentReference"/>
        </w:rPr>
        <w:t xml:space="preserve"> </w:t>
      </w:r>
      <w:r>
        <w:rPr>
          <w:lang w:eastAsia="en-AU"/>
        </w:rPr>
        <w:t>at the Port under Division 3 of Part IIIA of the Act.</w:t>
      </w:r>
      <w:r w:rsidR="00C80A7D">
        <w:rPr>
          <w:lang w:eastAsia="en-AU"/>
        </w:rPr>
        <w:t xml:space="preserve"> </w:t>
      </w:r>
      <w:r w:rsidR="00C22E0D" w:rsidRPr="00C22E0D">
        <w:rPr>
          <w:lang w:eastAsia="en-AU"/>
        </w:rPr>
        <w:t xml:space="preserve">In its arbitral </w:t>
      </w:r>
      <w:r w:rsidR="00420907">
        <w:rPr>
          <w:lang w:eastAsia="en-AU"/>
        </w:rPr>
        <w:t>determination</w:t>
      </w:r>
      <w:r w:rsidR="0048536F">
        <w:rPr>
          <w:lang w:eastAsia="en-AU"/>
        </w:rPr>
        <w:t xml:space="preserve"> made on 18 September 2018</w:t>
      </w:r>
      <w:r w:rsidR="00C22E0D" w:rsidRPr="00C22E0D">
        <w:rPr>
          <w:lang w:eastAsia="en-AU"/>
        </w:rPr>
        <w:t>,</w:t>
      </w:r>
      <w:r w:rsidR="00C22E0D">
        <w:rPr>
          <w:lang w:eastAsia="en-AU"/>
        </w:rPr>
        <w:t xml:space="preserve"> </w:t>
      </w:r>
      <w:r w:rsidR="00045D8D">
        <w:rPr>
          <w:lang w:eastAsia="en-AU"/>
        </w:rPr>
        <w:t xml:space="preserve">the ACCC </w:t>
      </w:r>
      <w:r w:rsidR="00420907">
        <w:rPr>
          <w:lang w:eastAsia="en-AU"/>
        </w:rPr>
        <w:t xml:space="preserve">set out the following information concerning PNO’s </w:t>
      </w:r>
      <w:r w:rsidR="003A6F45">
        <w:rPr>
          <w:lang w:eastAsia="en-AU"/>
        </w:rPr>
        <w:t>published rates</w:t>
      </w:r>
      <w:r w:rsidR="00420907">
        <w:rPr>
          <w:lang w:eastAsia="en-AU"/>
        </w:rPr>
        <w:t xml:space="preserve"> for the </w:t>
      </w:r>
      <w:r w:rsidR="00534F16">
        <w:rPr>
          <w:lang w:eastAsia="en-AU"/>
        </w:rPr>
        <w:t>two charges</w:t>
      </w:r>
      <w:r w:rsidR="00420907">
        <w:rPr>
          <w:lang w:eastAsia="en-AU"/>
        </w:rPr>
        <w:t xml:space="preserve">, the </w:t>
      </w:r>
      <w:r w:rsidR="00534F16">
        <w:rPr>
          <w:lang w:eastAsia="en-AU"/>
        </w:rPr>
        <w:t xml:space="preserve">rates of the </w:t>
      </w:r>
      <w:r w:rsidR="00420907">
        <w:rPr>
          <w:lang w:eastAsia="en-AU"/>
        </w:rPr>
        <w:t xml:space="preserve">charges proposed by each of PNO and Glencore </w:t>
      </w:r>
      <w:r w:rsidR="00C83DBC">
        <w:rPr>
          <w:lang w:eastAsia="en-AU"/>
        </w:rPr>
        <w:t>in the arbitration and the ACCC’s determination of the charges (all in 2018 dollars):</w:t>
      </w:r>
    </w:p>
    <w:tbl>
      <w:tblPr>
        <w:tblStyle w:val="TableGrid"/>
        <w:tblW w:w="0" w:type="auto"/>
        <w:tblInd w:w="142" w:type="dxa"/>
        <w:tblLook w:val="04A0" w:firstRow="1" w:lastRow="0" w:firstColumn="1" w:lastColumn="0" w:noHBand="0" w:noVBand="1"/>
      </w:tblPr>
      <w:tblGrid>
        <w:gridCol w:w="4815"/>
        <w:gridCol w:w="2126"/>
        <w:gridCol w:w="1934"/>
      </w:tblGrid>
      <w:tr w:rsidR="00C83DBC" w14:paraId="0ACB2D66" w14:textId="77777777" w:rsidTr="003B067A">
        <w:trPr>
          <w:cantSplit/>
        </w:trPr>
        <w:tc>
          <w:tcPr>
            <w:tcW w:w="4815" w:type="dxa"/>
            <w:vAlign w:val="center"/>
          </w:tcPr>
          <w:p w14:paraId="52222FBA" w14:textId="77777777" w:rsidR="00C83DBC" w:rsidRDefault="00C83DBC" w:rsidP="00E83236">
            <w:pPr>
              <w:pStyle w:val="BodyText"/>
              <w:rPr>
                <w:lang w:eastAsia="en-AU"/>
              </w:rPr>
            </w:pPr>
          </w:p>
        </w:tc>
        <w:tc>
          <w:tcPr>
            <w:tcW w:w="2126" w:type="dxa"/>
            <w:vAlign w:val="center"/>
          </w:tcPr>
          <w:p w14:paraId="048DCFC9" w14:textId="77777777" w:rsidR="00C83DBC" w:rsidRDefault="00C83DBC" w:rsidP="00E83236">
            <w:pPr>
              <w:pStyle w:val="BodyText"/>
              <w:jc w:val="center"/>
              <w:rPr>
                <w:lang w:eastAsia="en-AU"/>
              </w:rPr>
            </w:pPr>
            <w:r>
              <w:rPr>
                <w:lang w:eastAsia="en-AU"/>
              </w:rPr>
              <w:t>Navigation service charge ($ per gross tonne</w:t>
            </w:r>
          </w:p>
        </w:tc>
        <w:tc>
          <w:tcPr>
            <w:tcW w:w="1934" w:type="dxa"/>
            <w:vAlign w:val="center"/>
          </w:tcPr>
          <w:p w14:paraId="4F6903FF" w14:textId="77777777" w:rsidR="00C83DBC" w:rsidRDefault="00C83DBC" w:rsidP="00E83236">
            <w:pPr>
              <w:pStyle w:val="BodyText"/>
              <w:jc w:val="center"/>
              <w:rPr>
                <w:lang w:eastAsia="en-AU"/>
              </w:rPr>
            </w:pPr>
            <w:r>
              <w:rPr>
                <w:lang w:eastAsia="en-AU"/>
              </w:rPr>
              <w:t>Wharfage charge ($ per revenue tonne)</w:t>
            </w:r>
          </w:p>
        </w:tc>
      </w:tr>
      <w:tr w:rsidR="00C83DBC" w14:paraId="54F41573" w14:textId="77777777" w:rsidTr="003B067A">
        <w:trPr>
          <w:cantSplit/>
        </w:trPr>
        <w:tc>
          <w:tcPr>
            <w:tcW w:w="4815" w:type="dxa"/>
            <w:vAlign w:val="center"/>
          </w:tcPr>
          <w:p w14:paraId="2F995AC7" w14:textId="77777777" w:rsidR="00C83DBC" w:rsidRDefault="00C83DBC" w:rsidP="00E83236">
            <w:pPr>
              <w:pStyle w:val="BodyText"/>
              <w:jc w:val="center"/>
              <w:rPr>
                <w:lang w:eastAsia="en-AU"/>
              </w:rPr>
            </w:pPr>
            <w:r>
              <w:rPr>
                <w:lang w:eastAsia="en-AU"/>
              </w:rPr>
              <w:t>PNO 2015 port pricing schedule</w:t>
            </w:r>
          </w:p>
        </w:tc>
        <w:tc>
          <w:tcPr>
            <w:tcW w:w="2126" w:type="dxa"/>
            <w:vAlign w:val="center"/>
          </w:tcPr>
          <w:p w14:paraId="293C4B07" w14:textId="77777777" w:rsidR="00C83DBC" w:rsidRDefault="00C83DBC" w:rsidP="00E83236">
            <w:pPr>
              <w:pStyle w:val="BodyText"/>
              <w:jc w:val="right"/>
              <w:rPr>
                <w:lang w:eastAsia="en-AU"/>
              </w:rPr>
            </w:pPr>
            <w:r>
              <w:rPr>
                <w:lang w:eastAsia="en-AU"/>
              </w:rPr>
              <w:t>0.7286</w:t>
            </w:r>
          </w:p>
        </w:tc>
        <w:tc>
          <w:tcPr>
            <w:tcW w:w="1934" w:type="dxa"/>
            <w:vAlign w:val="center"/>
          </w:tcPr>
          <w:p w14:paraId="09171101" w14:textId="77777777" w:rsidR="00C83DBC" w:rsidRDefault="00B75EAB" w:rsidP="00E83236">
            <w:pPr>
              <w:pStyle w:val="BodyText"/>
              <w:jc w:val="right"/>
              <w:rPr>
                <w:lang w:eastAsia="en-AU"/>
              </w:rPr>
            </w:pPr>
            <w:r>
              <w:rPr>
                <w:lang w:eastAsia="en-AU"/>
              </w:rPr>
              <w:t>0.0720</w:t>
            </w:r>
          </w:p>
        </w:tc>
      </w:tr>
      <w:tr w:rsidR="00C83DBC" w14:paraId="25327242" w14:textId="77777777" w:rsidTr="003B067A">
        <w:trPr>
          <w:cantSplit/>
        </w:trPr>
        <w:tc>
          <w:tcPr>
            <w:tcW w:w="4815" w:type="dxa"/>
            <w:vAlign w:val="center"/>
          </w:tcPr>
          <w:p w14:paraId="32E7BE8F" w14:textId="77777777" w:rsidR="00C83DBC" w:rsidRDefault="00C83DBC" w:rsidP="00E83236">
            <w:pPr>
              <w:pStyle w:val="BodyText"/>
              <w:jc w:val="center"/>
              <w:rPr>
                <w:lang w:eastAsia="en-AU"/>
              </w:rPr>
            </w:pPr>
            <w:r>
              <w:rPr>
                <w:lang w:eastAsia="en-AU"/>
              </w:rPr>
              <w:t xml:space="preserve">PNO 2018 port pricing </w:t>
            </w:r>
            <w:r w:rsidR="00B75EAB">
              <w:rPr>
                <w:lang w:eastAsia="en-AU"/>
              </w:rPr>
              <w:t>schedule</w:t>
            </w:r>
          </w:p>
        </w:tc>
        <w:tc>
          <w:tcPr>
            <w:tcW w:w="2126" w:type="dxa"/>
            <w:vAlign w:val="center"/>
          </w:tcPr>
          <w:p w14:paraId="7F864F5C" w14:textId="77777777" w:rsidR="00C83DBC" w:rsidRDefault="00C83DBC" w:rsidP="00E83236">
            <w:pPr>
              <w:pStyle w:val="BodyText"/>
              <w:jc w:val="right"/>
              <w:rPr>
                <w:lang w:eastAsia="en-AU"/>
              </w:rPr>
            </w:pPr>
            <w:r>
              <w:rPr>
                <w:lang w:eastAsia="en-AU"/>
              </w:rPr>
              <w:t>0.7553</w:t>
            </w:r>
          </w:p>
        </w:tc>
        <w:tc>
          <w:tcPr>
            <w:tcW w:w="1934" w:type="dxa"/>
            <w:vAlign w:val="center"/>
          </w:tcPr>
          <w:p w14:paraId="5E9F6D56" w14:textId="77777777" w:rsidR="00C83DBC" w:rsidRDefault="00B75EAB" w:rsidP="00E83236">
            <w:pPr>
              <w:pStyle w:val="BodyText"/>
              <w:jc w:val="right"/>
              <w:rPr>
                <w:lang w:eastAsia="en-AU"/>
              </w:rPr>
            </w:pPr>
            <w:r>
              <w:rPr>
                <w:lang w:eastAsia="en-AU"/>
              </w:rPr>
              <w:t>0.0746</w:t>
            </w:r>
          </w:p>
        </w:tc>
      </w:tr>
      <w:tr w:rsidR="00C83DBC" w14:paraId="406B5B96" w14:textId="77777777" w:rsidTr="003B067A">
        <w:trPr>
          <w:cantSplit/>
        </w:trPr>
        <w:tc>
          <w:tcPr>
            <w:tcW w:w="4815" w:type="dxa"/>
            <w:vAlign w:val="center"/>
          </w:tcPr>
          <w:p w14:paraId="1B5604AD" w14:textId="77777777" w:rsidR="00C83DBC" w:rsidRDefault="00C83DBC" w:rsidP="00E83236">
            <w:pPr>
              <w:pStyle w:val="BodyText"/>
              <w:jc w:val="center"/>
              <w:rPr>
                <w:lang w:eastAsia="en-AU"/>
              </w:rPr>
            </w:pPr>
            <w:r>
              <w:rPr>
                <w:lang w:eastAsia="en-AU"/>
              </w:rPr>
              <w:t>PNO proposed pricing</w:t>
            </w:r>
          </w:p>
        </w:tc>
        <w:tc>
          <w:tcPr>
            <w:tcW w:w="2126" w:type="dxa"/>
            <w:vAlign w:val="center"/>
          </w:tcPr>
          <w:p w14:paraId="4DFE2B40" w14:textId="77777777" w:rsidR="00C83DBC" w:rsidRDefault="00B75EAB" w:rsidP="00E83236">
            <w:pPr>
              <w:pStyle w:val="BodyText"/>
              <w:jc w:val="right"/>
              <w:rPr>
                <w:lang w:eastAsia="en-AU"/>
              </w:rPr>
            </w:pPr>
            <w:r>
              <w:rPr>
                <w:lang w:eastAsia="en-AU"/>
              </w:rPr>
              <w:t>1.3643</w:t>
            </w:r>
          </w:p>
        </w:tc>
        <w:tc>
          <w:tcPr>
            <w:tcW w:w="1934" w:type="dxa"/>
            <w:vAlign w:val="center"/>
          </w:tcPr>
          <w:p w14:paraId="2ACE1E41" w14:textId="77777777" w:rsidR="00C83DBC" w:rsidRDefault="00B75EAB" w:rsidP="00E83236">
            <w:pPr>
              <w:pStyle w:val="BodyText"/>
              <w:jc w:val="right"/>
              <w:rPr>
                <w:lang w:eastAsia="en-AU"/>
              </w:rPr>
            </w:pPr>
            <w:r w:rsidRPr="00B75EAB">
              <w:rPr>
                <w:lang w:eastAsia="en-AU"/>
              </w:rPr>
              <w:t>0.0746</w:t>
            </w:r>
          </w:p>
        </w:tc>
      </w:tr>
      <w:tr w:rsidR="00C83DBC" w14:paraId="0C160390" w14:textId="77777777" w:rsidTr="003B067A">
        <w:trPr>
          <w:cantSplit/>
        </w:trPr>
        <w:tc>
          <w:tcPr>
            <w:tcW w:w="4815" w:type="dxa"/>
            <w:vAlign w:val="center"/>
          </w:tcPr>
          <w:p w14:paraId="71A55744" w14:textId="77777777" w:rsidR="00C83DBC" w:rsidRDefault="00C83DBC" w:rsidP="00E83236">
            <w:pPr>
              <w:pStyle w:val="BodyText"/>
              <w:jc w:val="center"/>
              <w:rPr>
                <w:lang w:eastAsia="en-AU"/>
              </w:rPr>
            </w:pPr>
            <w:r>
              <w:rPr>
                <w:lang w:eastAsia="en-AU"/>
              </w:rPr>
              <w:t>Glencore proposed pricing</w:t>
            </w:r>
          </w:p>
        </w:tc>
        <w:tc>
          <w:tcPr>
            <w:tcW w:w="2126" w:type="dxa"/>
            <w:vAlign w:val="center"/>
          </w:tcPr>
          <w:p w14:paraId="6F11BA5F" w14:textId="77777777" w:rsidR="00C83DBC" w:rsidRDefault="00B75EAB" w:rsidP="00E83236">
            <w:pPr>
              <w:pStyle w:val="BodyText"/>
              <w:jc w:val="right"/>
              <w:rPr>
                <w:lang w:eastAsia="en-AU"/>
              </w:rPr>
            </w:pPr>
            <w:r>
              <w:rPr>
                <w:lang w:eastAsia="en-AU"/>
              </w:rPr>
              <w:t>0.4139</w:t>
            </w:r>
          </w:p>
        </w:tc>
        <w:tc>
          <w:tcPr>
            <w:tcW w:w="1934" w:type="dxa"/>
            <w:vAlign w:val="center"/>
          </w:tcPr>
          <w:p w14:paraId="1627B34B" w14:textId="77777777" w:rsidR="00C83DBC" w:rsidRDefault="00B75EAB" w:rsidP="00E83236">
            <w:pPr>
              <w:pStyle w:val="BodyText"/>
              <w:jc w:val="right"/>
              <w:rPr>
                <w:lang w:eastAsia="en-AU"/>
              </w:rPr>
            </w:pPr>
            <w:r w:rsidRPr="00B75EAB">
              <w:rPr>
                <w:lang w:eastAsia="en-AU"/>
              </w:rPr>
              <w:t>0.0746</w:t>
            </w:r>
          </w:p>
        </w:tc>
      </w:tr>
      <w:tr w:rsidR="00C83DBC" w14:paraId="17D3E809" w14:textId="77777777" w:rsidTr="003B067A">
        <w:trPr>
          <w:cantSplit/>
        </w:trPr>
        <w:tc>
          <w:tcPr>
            <w:tcW w:w="4815" w:type="dxa"/>
            <w:vAlign w:val="center"/>
          </w:tcPr>
          <w:p w14:paraId="43937172" w14:textId="77777777" w:rsidR="00C83DBC" w:rsidRDefault="00C83DBC" w:rsidP="00E83236">
            <w:pPr>
              <w:pStyle w:val="BodyText"/>
              <w:jc w:val="center"/>
              <w:rPr>
                <w:lang w:eastAsia="en-AU"/>
              </w:rPr>
            </w:pPr>
            <w:r>
              <w:rPr>
                <w:lang w:eastAsia="en-AU"/>
              </w:rPr>
              <w:t>ACCC determination</w:t>
            </w:r>
          </w:p>
        </w:tc>
        <w:tc>
          <w:tcPr>
            <w:tcW w:w="2126" w:type="dxa"/>
            <w:vAlign w:val="center"/>
          </w:tcPr>
          <w:p w14:paraId="0A73FCDB" w14:textId="77777777" w:rsidR="00C83DBC" w:rsidRDefault="00B75EAB" w:rsidP="00E83236">
            <w:pPr>
              <w:pStyle w:val="BodyText"/>
              <w:jc w:val="right"/>
              <w:rPr>
                <w:lang w:eastAsia="en-AU"/>
              </w:rPr>
            </w:pPr>
            <w:r>
              <w:rPr>
                <w:lang w:eastAsia="en-AU"/>
              </w:rPr>
              <w:t>0.6075</w:t>
            </w:r>
          </w:p>
        </w:tc>
        <w:tc>
          <w:tcPr>
            <w:tcW w:w="1934" w:type="dxa"/>
            <w:vAlign w:val="center"/>
          </w:tcPr>
          <w:p w14:paraId="1EB81A41" w14:textId="77777777" w:rsidR="00C83DBC" w:rsidRDefault="00B75EAB" w:rsidP="00E83236">
            <w:pPr>
              <w:pStyle w:val="BodyText"/>
              <w:jc w:val="right"/>
              <w:rPr>
                <w:lang w:eastAsia="en-AU"/>
              </w:rPr>
            </w:pPr>
            <w:r w:rsidRPr="00B75EAB">
              <w:rPr>
                <w:lang w:eastAsia="en-AU"/>
              </w:rPr>
              <w:t>0.0746</w:t>
            </w:r>
          </w:p>
        </w:tc>
      </w:tr>
    </w:tbl>
    <w:p w14:paraId="3779727E" w14:textId="2604F1C7" w:rsidR="00C22E0D" w:rsidRDefault="00B75EAB" w:rsidP="004559FF">
      <w:pPr>
        <w:pStyle w:val="ParaNumbering"/>
        <w:rPr>
          <w:lang w:eastAsia="en-AU"/>
        </w:rPr>
      </w:pPr>
      <w:r>
        <w:rPr>
          <w:lang w:eastAsia="en-AU"/>
        </w:rPr>
        <w:lastRenderedPageBreak/>
        <w:t xml:space="preserve">In determining the initial </w:t>
      </w:r>
      <w:r w:rsidR="007A5106">
        <w:rPr>
          <w:lang w:eastAsia="en-AU"/>
        </w:rPr>
        <w:t>rate</w:t>
      </w:r>
      <w:r>
        <w:rPr>
          <w:lang w:eastAsia="en-AU"/>
        </w:rPr>
        <w:t xml:space="preserve">s for the </w:t>
      </w:r>
      <w:r w:rsidR="00E24A0D">
        <w:rPr>
          <w:lang w:eastAsia="en-AU"/>
        </w:rPr>
        <w:t xml:space="preserve">navigation service </w:t>
      </w:r>
      <w:r>
        <w:rPr>
          <w:lang w:eastAsia="en-AU"/>
        </w:rPr>
        <w:t xml:space="preserve">and </w:t>
      </w:r>
      <w:r w:rsidR="00E24A0D">
        <w:rPr>
          <w:lang w:eastAsia="en-AU"/>
        </w:rPr>
        <w:t>wharfage charge</w:t>
      </w:r>
      <w:r w:rsidR="007A5106">
        <w:rPr>
          <w:lang w:eastAsia="en-AU"/>
        </w:rPr>
        <w:t>s</w:t>
      </w:r>
      <w:r>
        <w:rPr>
          <w:lang w:eastAsia="en-AU"/>
        </w:rPr>
        <w:t xml:space="preserve">, the ACCC </w:t>
      </w:r>
      <w:r w:rsidR="00045D8D">
        <w:rPr>
          <w:lang w:eastAsia="en-AU"/>
        </w:rPr>
        <w:t xml:space="preserve">used a building block model to calculate the maximum allowable revenue that PNO could recover from the </w:t>
      </w:r>
      <w:r w:rsidR="005C433E">
        <w:rPr>
          <w:lang w:eastAsia="en-AU"/>
        </w:rPr>
        <w:t>two</w:t>
      </w:r>
      <w:r w:rsidR="00E24A0D">
        <w:rPr>
          <w:lang w:eastAsia="en-AU"/>
        </w:rPr>
        <w:t xml:space="preserve"> charge</w:t>
      </w:r>
      <w:r w:rsidR="005C433E">
        <w:rPr>
          <w:lang w:eastAsia="en-AU"/>
        </w:rPr>
        <w:t>s</w:t>
      </w:r>
      <w:r w:rsidR="00045D8D">
        <w:rPr>
          <w:lang w:eastAsia="en-AU"/>
        </w:rPr>
        <w:t xml:space="preserve">. </w:t>
      </w:r>
      <w:r w:rsidR="003E6DD3">
        <w:rPr>
          <w:lang w:eastAsia="en-AU"/>
        </w:rPr>
        <w:t>The parties agreed to use the depreciated optimised replacement cost (</w:t>
      </w:r>
      <w:r w:rsidR="003E6DD3" w:rsidRPr="003E6DD3">
        <w:rPr>
          <w:b/>
          <w:lang w:eastAsia="en-AU"/>
        </w:rPr>
        <w:t>DORC</w:t>
      </w:r>
      <w:r w:rsidR="003E6DD3">
        <w:rPr>
          <w:lang w:eastAsia="en-AU"/>
        </w:rPr>
        <w:t xml:space="preserve">) methodology to value the Port assets and establish the regulated asset base upon which the capital components of the allowed revenue were to be calculated. </w:t>
      </w:r>
      <w:r w:rsidR="002D14D9">
        <w:rPr>
          <w:lang w:eastAsia="en-AU"/>
        </w:rPr>
        <w:t xml:space="preserve">As noted </w:t>
      </w:r>
      <w:r w:rsidR="00045D8D">
        <w:rPr>
          <w:lang w:eastAsia="en-AU"/>
        </w:rPr>
        <w:t>in</w:t>
      </w:r>
      <w:r w:rsidR="002D14D9">
        <w:rPr>
          <w:lang w:eastAsia="en-AU"/>
        </w:rPr>
        <w:t xml:space="preserve"> the NCC</w:t>
      </w:r>
      <w:r w:rsidR="00045D8D">
        <w:rPr>
          <w:lang w:eastAsia="en-AU"/>
        </w:rPr>
        <w:t xml:space="preserve"> Recommendation</w:t>
      </w:r>
      <w:r w:rsidR="002D14D9">
        <w:rPr>
          <w:lang w:eastAsia="en-AU"/>
        </w:rPr>
        <w:t xml:space="preserve">, the </w:t>
      </w:r>
      <w:r w:rsidR="00A15F82">
        <w:rPr>
          <w:lang w:eastAsia="en-AU"/>
        </w:rPr>
        <w:t xml:space="preserve">rate for the </w:t>
      </w:r>
      <w:r w:rsidR="00E24A0D">
        <w:rPr>
          <w:lang w:eastAsia="en-AU"/>
        </w:rPr>
        <w:t>navigation service charge</w:t>
      </w:r>
      <w:r w:rsidR="00A15F82">
        <w:rPr>
          <w:lang w:eastAsia="en-AU"/>
        </w:rPr>
        <w:t xml:space="preserve"> determined by the ACCC represented a significant decrease below the rate published by PNO as at 1 January 2018.</w:t>
      </w:r>
      <w:r w:rsidR="00B87785">
        <w:rPr>
          <w:lang w:eastAsia="en-AU"/>
        </w:rPr>
        <w:t xml:space="preserve"> The term of the determination made by the ACCC coincided with the term of declaration of the shipping channel service, expiring July 2031 (with the arbitral prices to apply from the commencement of declaration, July 2016). Under the determination, the initial prices were to be adjusted over the declaration period as follows:</w:t>
      </w:r>
    </w:p>
    <w:p w14:paraId="492A21B7" w14:textId="77777777" w:rsidR="00B87785" w:rsidRDefault="00B87785" w:rsidP="00B87785">
      <w:pPr>
        <w:pStyle w:val="ListNo1alt"/>
        <w:numPr>
          <w:ilvl w:val="0"/>
          <w:numId w:val="40"/>
        </w:numPr>
        <w:rPr>
          <w:lang w:eastAsia="en-AU"/>
        </w:rPr>
      </w:pPr>
      <w:r>
        <w:rPr>
          <w:lang w:eastAsia="en-AU"/>
        </w:rPr>
        <w:t xml:space="preserve">The </w:t>
      </w:r>
      <w:r w:rsidR="00E24A0D">
        <w:rPr>
          <w:lang w:eastAsia="en-AU"/>
        </w:rPr>
        <w:t>wharfage charge</w:t>
      </w:r>
      <w:r>
        <w:rPr>
          <w:lang w:eastAsia="en-AU"/>
        </w:rPr>
        <w:t xml:space="preserve"> was to be indexed annually by reference to CPI.</w:t>
      </w:r>
    </w:p>
    <w:p w14:paraId="705C506E" w14:textId="77777777" w:rsidR="00B87785" w:rsidRDefault="00045D8D" w:rsidP="00454D7C">
      <w:pPr>
        <w:pStyle w:val="ListNo1alt"/>
        <w:numPr>
          <w:ilvl w:val="0"/>
          <w:numId w:val="40"/>
        </w:numPr>
        <w:rPr>
          <w:lang w:eastAsia="en-AU"/>
        </w:rPr>
      </w:pPr>
      <w:r>
        <w:rPr>
          <w:lang w:eastAsia="en-AU"/>
        </w:rPr>
        <w:t xml:space="preserve">The </w:t>
      </w:r>
      <w:r w:rsidR="00E24A0D">
        <w:rPr>
          <w:lang w:eastAsia="en-AU"/>
        </w:rPr>
        <w:t>navigation service charge</w:t>
      </w:r>
      <w:r>
        <w:rPr>
          <w:lang w:eastAsia="en-AU"/>
        </w:rPr>
        <w:t xml:space="preserve"> was to be reviewed on an annual and five yearly basis. In the annual review, the inputs to the building block model to be reviewed were limited to the forecast cargo volumes and gross tonnage coal vessels and non-coal vessels for the year. </w:t>
      </w:r>
      <w:r w:rsidR="00454D7C">
        <w:rPr>
          <w:lang w:eastAsia="en-AU"/>
        </w:rPr>
        <w:t>T</w:t>
      </w:r>
      <w:r>
        <w:rPr>
          <w:lang w:eastAsia="en-AU"/>
        </w:rPr>
        <w:t>he five yearly review</w:t>
      </w:r>
      <w:r w:rsidR="00454D7C">
        <w:rPr>
          <w:lang w:eastAsia="en-AU"/>
        </w:rPr>
        <w:t xml:space="preserve"> allowed review of the primary integers of the building block model including the roll forward of the regulated asset base, rates of depreciation and the useful life of assets, the weighted average cost of capital, forecast capital expenditure and forecast operating expenditure. In both categories of review, account could be taken of </w:t>
      </w:r>
      <w:r w:rsidR="00454D7C" w:rsidRPr="00454D7C">
        <w:rPr>
          <w:lang w:eastAsia="en-AU"/>
        </w:rPr>
        <w:t>material change events</w:t>
      </w:r>
      <w:r w:rsidR="00454D7C">
        <w:rPr>
          <w:lang w:eastAsia="en-AU"/>
        </w:rPr>
        <w:t>, being a change in law that was expected to cause an increase in costs that would cause a change in the charges of more than 2.5%.</w:t>
      </w:r>
    </w:p>
    <w:p w14:paraId="20867BD5" w14:textId="77777777" w:rsidR="00A15F82" w:rsidRDefault="00A15F82" w:rsidP="00CE1D2D">
      <w:pPr>
        <w:pStyle w:val="ParaNumbering"/>
        <w:rPr>
          <w:lang w:eastAsia="en-AU"/>
        </w:rPr>
      </w:pPr>
      <w:r>
        <w:rPr>
          <w:lang w:eastAsia="en-AU"/>
        </w:rPr>
        <w:t xml:space="preserve">It is relevant to note that a material area of dispute between Glencore and PNO in the arbitration before the ACCC was the treatment </w:t>
      </w:r>
      <w:r w:rsidR="00454D7C">
        <w:rPr>
          <w:lang w:eastAsia="en-AU"/>
        </w:rPr>
        <w:t xml:space="preserve">in the regulated asset base </w:t>
      </w:r>
      <w:r>
        <w:rPr>
          <w:lang w:eastAsia="en-AU"/>
        </w:rPr>
        <w:t xml:space="preserve">of user funded </w:t>
      </w:r>
      <w:r w:rsidR="00454D7C">
        <w:rPr>
          <w:lang w:eastAsia="en-AU"/>
        </w:rPr>
        <w:t xml:space="preserve">capital </w:t>
      </w:r>
      <w:r>
        <w:rPr>
          <w:lang w:eastAsia="en-AU"/>
        </w:rPr>
        <w:t xml:space="preserve">contributions, being </w:t>
      </w:r>
      <w:r w:rsidRPr="00A15F82">
        <w:rPr>
          <w:lang w:eastAsia="en-AU"/>
        </w:rPr>
        <w:t xml:space="preserve">historic payments made by Port users to the Port </w:t>
      </w:r>
      <w:r w:rsidR="00454D7C">
        <w:rPr>
          <w:lang w:eastAsia="en-AU"/>
        </w:rPr>
        <w:t xml:space="preserve">owner </w:t>
      </w:r>
      <w:r w:rsidRPr="00A15F82">
        <w:rPr>
          <w:lang w:eastAsia="en-AU"/>
        </w:rPr>
        <w:t>which funded, amongst other things, channel dredging to allow larger ships to berth at the Port</w:t>
      </w:r>
      <w:r>
        <w:rPr>
          <w:lang w:eastAsia="en-AU"/>
        </w:rPr>
        <w:t xml:space="preserve">. Glencore argued that user funded contributions </w:t>
      </w:r>
      <w:r w:rsidR="00CE1D2D" w:rsidRPr="00CE1D2D">
        <w:rPr>
          <w:lang w:eastAsia="en-AU"/>
        </w:rPr>
        <w:t>should be deducted from the Port's regulatory asset base</w:t>
      </w:r>
      <w:r w:rsidR="00CE1D2D">
        <w:rPr>
          <w:lang w:eastAsia="en-AU"/>
        </w:rPr>
        <w:t>, upon which the capital components of Port charges w</w:t>
      </w:r>
      <w:r w:rsidR="00E5730E">
        <w:rPr>
          <w:lang w:eastAsia="en-AU"/>
        </w:rPr>
        <w:t>ere</w:t>
      </w:r>
      <w:r w:rsidR="00CE1D2D">
        <w:rPr>
          <w:lang w:eastAsia="en-AU"/>
        </w:rPr>
        <w:t xml:space="preserve"> calculated</w:t>
      </w:r>
      <w:r w:rsidR="00CE1D2D" w:rsidRPr="00CE1D2D">
        <w:rPr>
          <w:lang w:eastAsia="en-AU"/>
        </w:rPr>
        <w:t xml:space="preserve">. </w:t>
      </w:r>
      <w:r w:rsidR="00CE1D2D">
        <w:rPr>
          <w:lang w:eastAsia="en-AU"/>
        </w:rPr>
        <w:t xml:space="preserve">The deduction of user funded contributions from the regulatory asset base </w:t>
      </w:r>
      <w:r w:rsidR="00CE1D2D" w:rsidRPr="00CE1D2D">
        <w:rPr>
          <w:lang w:eastAsia="en-AU"/>
        </w:rPr>
        <w:t xml:space="preserve">would reduce the amount of </w:t>
      </w:r>
      <w:r w:rsidR="00CE1D2D">
        <w:rPr>
          <w:lang w:eastAsia="en-AU"/>
        </w:rPr>
        <w:t xml:space="preserve">capital </w:t>
      </w:r>
      <w:r w:rsidR="00CE1D2D" w:rsidRPr="00CE1D2D">
        <w:rPr>
          <w:lang w:eastAsia="en-AU"/>
        </w:rPr>
        <w:t xml:space="preserve">costs PNO </w:t>
      </w:r>
      <w:r w:rsidR="00E5730E">
        <w:rPr>
          <w:lang w:eastAsia="en-AU"/>
        </w:rPr>
        <w:t>wa</w:t>
      </w:r>
      <w:r w:rsidR="00CE1D2D" w:rsidRPr="00CE1D2D">
        <w:rPr>
          <w:lang w:eastAsia="en-AU"/>
        </w:rPr>
        <w:t xml:space="preserve">s able to recover through charges for the </w:t>
      </w:r>
      <w:r w:rsidR="00E24A0D">
        <w:rPr>
          <w:lang w:eastAsia="en-AU"/>
        </w:rPr>
        <w:t>navigation service charge</w:t>
      </w:r>
      <w:r w:rsidR="00CE1D2D" w:rsidRPr="00CE1D2D">
        <w:rPr>
          <w:lang w:eastAsia="en-AU"/>
        </w:rPr>
        <w:t>.</w:t>
      </w:r>
    </w:p>
    <w:p w14:paraId="62495532" w14:textId="77777777" w:rsidR="00017627" w:rsidRDefault="00C22E0D" w:rsidP="00C22E0D">
      <w:pPr>
        <w:pStyle w:val="ParaNumbering"/>
        <w:rPr>
          <w:lang w:eastAsia="en-AU"/>
        </w:rPr>
      </w:pPr>
      <w:r>
        <w:rPr>
          <w:lang w:eastAsia="en-AU"/>
        </w:rPr>
        <w:t xml:space="preserve">PNO applied to the Tribunal for review of the prices that had been determined by the ACCC. </w:t>
      </w:r>
      <w:r w:rsidRPr="00C22E0D">
        <w:rPr>
          <w:lang w:eastAsia="en-AU"/>
        </w:rPr>
        <w:t xml:space="preserve">In </w:t>
      </w:r>
      <w:r>
        <w:rPr>
          <w:lang w:eastAsia="en-AU"/>
        </w:rPr>
        <w:t>its</w:t>
      </w:r>
      <w:r w:rsidRPr="00C22E0D">
        <w:rPr>
          <w:lang w:eastAsia="en-AU"/>
        </w:rPr>
        <w:t xml:space="preserve"> arbitral </w:t>
      </w:r>
      <w:r w:rsidR="0048536F">
        <w:rPr>
          <w:lang w:eastAsia="en-AU"/>
        </w:rPr>
        <w:t>determination made on 30 October 2019</w:t>
      </w:r>
      <w:r>
        <w:rPr>
          <w:lang w:eastAsia="en-AU"/>
        </w:rPr>
        <w:t xml:space="preserve">, the </w:t>
      </w:r>
      <w:r w:rsidRPr="00C22E0D">
        <w:rPr>
          <w:lang w:eastAsia="en-AU"/>
        </w:rPr>
        <w:t>Tribunal</w:t>
      </w:r>
      <w:r>
        <w:rPr>
          <w:lang w:eastAsia="en-AU"/>
        </w:rPr>
        <w:t xml:space="preserve"> determined an </w:t>
      </w:r>
      <w:r w:rsidRPr="00C22E0D">
        <w:rPr>
          <w:lang w:eastAsia="en-AU"/>
        </w:rPr>
        <w:t xml:space="preserve">initial arbitral price for the </w:t>
      </w:r>
      <w:r w:rsidR="00E24A0D">
        <w:rPr>
          <w:lang w:eastAsia="en-AU"/>
        </w:rPr>
        <w:t>navigation service charge</w:t>
      </w:r>
      <w:r w:rsidRPr="00C22E0D">
        <w:rPr>
          <w:lang w:eastAsia="en-AU"/>
        </w:rPr>
        <w:t xml:space="preserve"> </w:t>
      </w:r>
      <w:r>
        <w:rPr>
          <w:lang w:eastAsia="en-AU"/>
        </w:rPr>
        <w:t>of</w:t>
      </w:r>
      <w:r w:rsidRPr="00C22E0D">
        <w:rPr>
          <w:lang w:eastAsia="en-AU"/>
        </w:rPr>
        <w:t xml:space="preserve"> $1.0058 per </w:t>
      </w:r>
      <w:r w:rsidR="00215976">
        <w:rPr>
          <w:lang w:eastAsia="en-AU"/>
        </w:rPr>
        <w:t>gross tonne</w:t>
      </w:r>
      <w:r>
        <w:rPr>
          <w:lang w:eastAsia="en-AU"/>
        </w:rPr>
        <w:t xml:space="preserve"> </w:t>
      </w:r>
      <w:r w:rsidR="0048536F">
        <w:rPr>
          <w:lang w:eastAsia="en-AU"/>
        </w:rPr>
        <w:t xml:space="preserve">(as at 1 January </w:t>
      </w:r>
      <w:r w:rsidR="0048536F">
        <w:rPr>
          <w:lang w:eastAsia="en-AU"/>
        </w:rPr>
        <w:lastRenderedPageBreak/>
        <w:t xml:space="preserve">2018) </w:t>
      </w:r>
      <w:r>
        <w:rPr>
          <w:lang w:eastAsia="en-AU"/>
        </w:rPr>
        <w:t xml:space="preserve">and </w:t>
      </w:r>
      <w:r w:rsidRPr="00C22E0D">
        <w:rPr>
          <w:lang w:eastAsia="en-AU"/>
        </w:rPr>
        <w:t xml:space="preserve">the rate of </w:t>
      </w:r>
      <w:r w:rsidR="00E24A0D">
        <w:rPr>
          <w:lang w:eastAsia="en-AU"/>
        </w:rPr>
        <w:t>wharfage charge</w:t>
      </w:r>
      <w:r w:rsidRPr="00C22E0D">
        <w:rPr>
          <w:lang w:eastAsia="en-AU"/>
        </w:rPr>
        <w:t xml:space="preserve"> agreed in the ACCC arbitration was maintained</w:t>
      </w:r>
      <w:r>
        <w:rPr>
          <w:lang w:eastAsia="en-AU"/>
        </w:rPr>
        <w:t xml:space="preserve">: </w:t>
      </w:r>
      <w:r w:rsidRPr="00EC7767">
        <w:rPr>
          <w:i/>
          <w:lang w:eastAsia="en-AU"/>
        </w:rPr>
        <w:t>Application by Port of Newcastle Operations Pty Ltd</w:t>
      </w:r>
      <w:r w:rsidRPr="00C31053">
        <w:rPr>
          <w:lang w:eastAsia="en-AU"/>
        </w:rPr>
        <w:t xml:space="preserve"> [2019] </w:t>
      </w:r>
      <w:proofErr w:type="spellStart"/>
      <w:r w:rsidRPr="00C31053">
        <w:rPr>
          <w:lang w:eastAsia="en-AU"/>
        </w:rPr>
        <w:t>ACompT</w:t>
      </w:r>
      <w:proofErr w:type="spellEnd"/>
      <w:r w:rsidRPr="00C31053">
        <w:rPr>
          <w:lang w:eastAsia="en-AU"/>
        </w:rPr>
        <w:t xml:space="preserve"> 1</w:t>
      </w:r>
      <w:r w:rsidR="006E7C51">
        <w:rPr>
          <w:lang w:eastAsia="en-AU"/>
        </w:rPr>
        <w:t xml:space="preserve"> (</w:t>
      </w:r>
      <w:r w:rsidR="006E7C51">
        <w:rPr>
          <w:b/>
          <w:i/>
          <w:lang w:eastAsia="en-AU"/>
        </w:rPr>
        <w:t xml:space="preserve">Re </w:t>
      </w:r>
      <w:r w:rsidR="006E7C51" w:rsidRPr="006E7C51">
        <w:rPr>
          <w:b/>
          <w:i/>
          <w:lang w:eastAsia="en-AU"/>
        </w:rPr>
        <w:t>Port of Newcastle Operations</w:t>
      </w:r>
      <w:r w:rsidR="006E7C51">
        <w:rPr>
          <w:lang w:eastAsia="en-AU"/>
        </w:rPr>
        <w:t>)</w:t>
      </w:r>
      <w:r w:rsidRPr="00C22E0D">
        <w:rPr>
          <w:lang w:eastAsia="en-AU"/>
        </w:rPr>
        <w:t>.</w:t>
      </w:r>
      <w:r w:rsidR="00CE1D2D">
        <w:rPr>
          <w:lang w:eastAsia="en-AU"/>
        </w:rPr>
        <w:t xml:space="preserve"> In its decision, the Tribunal disagreed with the ACCC’s deduction of historic user funded contributions</w:t>
      </w:r>
      <w:r w:rsidR="00E60549">
        <w:rPr>
          <w:lang w:eastAsia="en-AU"/>
        </w:rPr>
        <w:t xml:space="preserve"> from the regulatory asset base of the Port.</w:t>
      </w:r>
    </w:p>
    <w:p w14:paraId="32564F8F" w14:textId="77777777" w:rsidR="00C80A7D" w:rsidRDefault="00C22E0D" w:rsidP="00DF6448">
      <w:pPr>
        <w:pStyle w:val="ParaNumbering"/>
        <w:rPr>
          <w:lang w:eastAsia="en-AU"/>
        </w:rPr>
      </w:pPr>
      <w:r>
        <w:rPr>
          <w:lang w:eastAsia="en-AU"/>
        </w:rPr>
        <w:t xml:space="preserve">Glencore applied to the Full Federal Court for judicial review of the </w:t>
      </w:r>
      <w:r w:rsidRPr="00C22E0D">
        <w:rPr>
          <w:lang w:eastAsia="en-AU"/>
        </w:rPr>
        <w:t xml:space="preserve">2019 </w:t>
      </w:r>
      <w:r>
        <w:rPr>
          <w:lang w:eastAsia="en-AU"/>
        </w:rPr>
        <w:t>arbitral decision of the Tribunal.</w:t>
      </w:r>
      <w:r w:rsidR="0029180F">
        <w:rPr>
          <w:lang w:eastAsia="en-AU"/>
        </w:rPr>
        <w:t xml:space="preserve"> </w:t>
      </w:r>
      <w:r>
        <w:rPr>
          <w:lang w:eastAsia="en-AU"/>
        </w:rPr>
        <w:t>I</w:t>
      </w:r>
      <w:r w:rsidRPr="00C22E0D">
        <w:rPr>
          <w:lang w:eastAsia="en-AU"/>
        </w:rPr>
        <w:t>n August 2020</w:t>
      </w:r>
      <w:r w:rsidR="0029180F">
        <w:rPr>
          <w:lang w:eastAsia="en-AU"/>
        </w:rPr>
        <w:t>,</w:t>
      </w:r>
      <w:r w:rsidRPr="00C22E0D">
        <w:rPr>
          <w:lang w:eastAsia="en-AU"/>
        </w:rPr>
        <w:t xml:space="preserve"> the Full Court determined that </w:t>
      </w:r>
      <w:r w:rsidR="0029180F">
        <w:rPr>
          <w:lang w:eastAsia="en-AU"/>
        </w:rPr>
        <w:t xml:space="preserve">the Tribunal’s decision was affected by </w:t>
      </w:r>
      <w:r w:rsidRPr="00C22E0D">
        <w:rPr>
          <w:lang w:eastAsia="en-AU"/>
        </w:rPr>
        <w:t>error</w:t>
      </w:r>
      <w:r w:rsidR="001151F2">
        <w:rPr>
          <w:lang w:eastAsia="en-AU"/>
        </w:rPr>
        <w:t>s</w:t>
      </w:r>
      <w:r w:rsidRPr="00C22E0D">
        <w:rPr>
          <w:lang w:eastAsia="en-AU"/>
        </w:rPr>
        <w:t xml:space="preserve"> </w:t>
      </w:r>
      <w:r w:rsidR="009A1A15">
        <w:rPr>
          <w:lang w:eastAsia="en-AU"/>
        </w:rPr>
        <w:t>of</w:t>
      </w:r>
      <w:r w:rsidRPr="00C22E0D">
        <w:rPr>
          <w:lang w:eastAsia="en-AU"/>
        </w:rPr>
        <w:t xml:space="preserve"> law</w:t>
      </w:r>
      <w:r w:rsidR="006119FF">
        <w:rPr>
          <w:lang w:eastAsia="en-AU"/>
        </w:rPr>
        <w:t xml:space="preserve">, in failing to take into account </w:t>
      </w:r>
      <w:r w:rsidR="006119FF" w:rsidRPr="00DE6A8F">
        <w:rPr>
          <w:lang w:eastAsia="en-AU"/>
        </w:rPr>
        <w:t xml:space="preserve">the value of expansions of capacity </w:t>
      </w:r>
      <w:r w:rsidR="006119FF">
        <w:rPr>
          <w:lang w:eastAsia="en-AU"/>
        </w:rPr>
        <w:t>to the shipping channels</w:t>
      </w:r>
      <w:r w:rsidR="006119FF" w:rsidRPr="00DE6A8F">
        <w:rPr>
          <w:lang w:eastAsia="en-AU"/>
        </w:rPr>
        <w:t xml:space="preserve"> </w:t>
      </w:r>
      <w:r w:rsidR="006119FF">
        <w:rPr>
          <w:lang w:eastAsia="en-AU"/>
        </w:rPr>
        <w:t xml:space="preserve">the cost of which was historically </w:t>
      </w:r>
      <w:r w:rsidR="006119FF" w:rsidRPr="00DE6A8F">
        <w:rPr>
          <w:lang w:eastAsia="en-AU"/>
        </w:rPr>
        <w:t xml:space="preserve">borne by </w:t>
      </w:r>
      <w:r w:rsidR="006119FF">
        <w:rPr>
          <w:lang w:eastAsia="en-AU"/>
        </w:rPr>
        <w:t>Port users,</w:t>
      </w:r>
      <w:r w:rsidRPr="00C22E0D">
        <w:rPr>
          <w:lang w:eastAsia="en-AU"/>
        </w:rPr>
        <w:t xml:space="preserve"> and remitted the arbitral determination to the Tribunal for re-determination</w:t>
      </w:r>
      <w:r w:rsidR="0029180F" w:rsidRPr="00EC7767">
        <w:rPr>
          <w:lang w:eastAsia="en-AU"/>
        </w:rPr>
        <w:t xml:space="preserve">: </w:t>
      </w:r>
      <w:r w:rsidR="0029180F" w:rsidRPr="00C31053">
        <w:rPr>
          <w:i/>
          <w:lang w:eastAsia="en-AU"/>
        </w:rPr>
        <w:t>Glencore Coal Assets Australia Pty Ltd v Australian Competition Tribunal</w:t>
      </w:r>
      <w:r w:rsidR="0029180F" w:rsidRPr="00C31053">
        <w:rPr>
          <w:lang w:eastAsia="en-AU"/>
        </w:rPr>
        <w:t xml:space="preserve"> </w:t>
      </w:r>
      <w:r w:rsidR="00E01AA5">
        <w:rPr>
          <w:lang w:eastAsia="en-AU"/>
        </w:rPr>
        <w:t>(2020) 280 FCR 194</w:t>
      </w:r>
      <w:r w:rsidR="006E7C51" w:rsidRPr="00C31053">
        <w:rPr>
          <w:lang w:eastAsia="en-AU"/>
        </w:rPr>
        <w:t xml:space="preserve"> (</w:t>
      </w:r>
      <w:r w:rsidR="006E7C51" w:rsidRPr="006E7C51">
        <w:rPr>
          <w:b/>
          <w:i/>
          <w:lang w:eastAsia="en-AU"/>
        </w:rPr>
        <w:t>Glencore Coal</w:t>
      </w:r>
      <w:r w:rsidR="006E7C51">
        <w:rPr>
          <w:lang w:eastAsia="en-AU"/>
        </w:rPr>
        <w:t>)</w:t>
      </w:r>
      <w:r w:rsidR="0029180F">
        <w:rPr>
          <w:lang w:eastAsia="en-AU"/>
        </w:rPr>
        <w:t>.</w:t>
      </w:r>
      <w:r w:rsidR="001151F2">
        <w:rPr>
          <w:lang w:eastAsia="en-AU"/>
        </w:rPr>
        <w:t xml:space="preserve"> </w:t>
      </w:r>
      <w:r w:rsidR="005A5D71">
        <w:rPr>
          <w:lang w:eastAsia="en-AU"/>
        </w:rPr>
        <w:t xml:space="preserve">The Full Court rejected a submission of Glencore that the Full Court should order that the Tribunal’s determination be varied by substituting the </w:t>
      </w:r>
      <w:r w:rsidR="00E24A0D">
        <w:rPr>
          <w:lang w:eastAsia="en-AU"/>
        </w:rPr>
        <w:t>navigation service charge</w:t>
      </w:r>
      <w:r w:rsidR="005A5D71">
        <w:rPr>
          <w:lang w:eastAsia="en-AU"/>
        </w:rPr>
        <w:t xml:space="preserve"> as determined by the ACCC. The Full Court concluded that such an order was not one that could be made by the Court (at [317]). The Full Court further concluded that its findings did not mean that, on remittal, the Tribunal was bound to adopt the </w:t>
      </w:r>
      <w:r w:rsidR="00E24A0D">
        <w:rPr>
          <w:lang w:eastAsia="en-AU"/>
        </w:rPr>
        <w:t>navigation service charge</w:t>
      </w:r>
      <w:r w:rsidR="005A5D71">
        <w:rPr>
          <w:lang w:eastAsia="en-AU"/>
        </w:rPr>
        <w:t xml:space="preserve"> as determined by the ACCC</w:t>
      </w:r>
      <w:r w:rsidR="00C80A7D">
        <w:rPr>
          <w:lang w:eastAsia="en-AU"/>
        </w:rPr>
        <w:t>, stating</w:t>
      </w:r>
      <w:r w:rsidR="00666AFC">
        <w:rPr>
          <w:lang w:eastAsia="en-AU"/>
        </w:rPr>
        <w:t xml:space="preserve"> (at [320]-[321])</w:t>
      </w:r>
      <w:r w:rsidR="00C80A7D">
        <w:rPr>
          <w:lang w:eastAsia="en-AU"/>
        </w:rPr>
        <w:t>:</w:t>
      </w:r>
    </w:p>
    <w:p w14:paraId="3436E61C" w14:textId="77777777" w:rsidR="00C80A7D" w:rsidRDefault="00C80A7D" w:rsidP="00BF2B84">
      <w:pPr>
        <w:pStyle w:val="Quote1"/>
        <w:ind w:left="1440" w:hanging="703"/>
        <w:rPr>
          <w:lang w:eastAsia="en-AU"/>
        </w:rPr>
      </w:pPr>
      <w:r>
        <w:rPr>
          <w:lang w:eastAsia="en-AU"/>
        </w:rPr>
        <w:t>[320]</w:t>
      </w:r>
      <w:r w:rsidR="00B009D9">
        <w:rPr>
          <w:lang w:eastAsia="en-AU"/>
        </w:rPr>
        <w:tab/>
      </w:r>
      <w:r>
        <w:rPr>
          <w:lang w:eastAsia="en-AU"/>
        </w:rPr>
        <w:t>…the statutory task to be undertaken by the Tribunal required it to have regard to the user contributions and not simply to bring them to account in the manner reasoned by the ACCC in its determination. It is not for this Court on review to undertake that task which involves regard to matters other than user contributions alone.</w:t>
      </w:r>
    </w:p>
    <w:p w14:paraId="39268CC0" w14:textId="77777777" w:rsidR="006D633A" w:rsidRDefault="00C80A7D" w:rsidP="00BF2B84">
      <w:pPr>
        <w:pStyle w:val="Quote1"/>
        <w:ind w:left="1440" w:hanging="703"/>
        <w:rPr>
          <w:lang w:eastAsia="en-AU"/>
        </w:rPr>
      </w:pPr>
      <w:r>
        <w:rPr>
          <w:lang w:eastAsia="en-AU"/>
        </w:rPr>
        <w:t>[321]</w:t>
      </w:r>
      <w:r w:rsidR="00B009D9">
        <w:rPr>
          <w:lang w:eastAsia="en-AU"/>
        </w:rPr>
        <w:tab/>
      </w:r>
      <w:r>
        <w:rPr>
          <w:lang w:eastAsia="en-AU"/>
        </w:rPr>
        <w:t>Therefore, the question of user contributions and any consequence for the access price arising from a determination of that issue is a matter for the Tribunal and that aspect must be referred back to the Tribunal.</w:t>
      </w:r>
    </w:p>
    <w:p w14:paraId="16F26DA8" w14:textId="77777777" w:rsidR="0029180F" w:rsidRDefault="0029180F" w:rsidP="0029180F">
      <w:pPr>
        <w:pStyle w:val="ParaNumbering"/>
        <w:rPr>
          <w:lang w:eastAsia="en-AU"/>
        </w:rPr>
      </w:pPr>
      <w:r>
        <w:rPr>
          <w:lang w:eastAsia="en-AU"/>
        </w:rPr>
        <w:t>PNO has subsequently applied for, and been granted, special leave to appeal the Full Court decision to the High Court.</w:t>
      </w:r>
    </w:p>
    <w:p w14:paraId="6D657994" w14:textId="77777777" w:rsidR="0029180F" w:rsidRPr="00017627" w:rsidRDefault="0029180F" w:rsidP="0029180F">
      <w:pPr>
        <w:pStyle w:val="ParaNumbering"/>
        <w:rPr>
          <w:lang w:eastAsia="en-AU"/>
        </w:rPr>
      </w:pPr>
      <w:r>
        <w:rPr>
          <w:lang w:eastAsia="en-AU"/>
        </w:rPr>
        <w:t xml:space="preserve">As a consequence of the foregoing reviews and appeals, neither the </w:t>
      </w:r>
      <w:r w:rsidR="00E24A0D">
        <w:rPr>
          <w:lang w:eastAsia="en-AU"/>
        </w:rPr>
        <w:t>navigation service charge</w:t>
      </w:r>
      <w:r>
        <w:rPr>
          <w:lang w:eastAsia="en-AU"/>
        </w:rPr>
        <w:t xml:space="preserve"> nor the </w:t>
      </w:r>
      <w:r w:rsidR="00E24A0D">
        <w:rPr>
          <w:lang w:eastAsia="en-AU"/>
        </w:rPr>
        <w:t>wharfage charge</w:t>
      </w:r>
      <w:r>
        <w:rPr>
          <w:lang w:eastAsia="en-AU"/>
        </w:rPr>
        <w:t xml:space="preserve"> is the subject of an arbitral determination under Division 3 of Part IIIA of the Act, and the current level of those charges are as </w:t>
      </w:r>
      <w:r w:rsidR="00F94BE0">
        <w:rPr>
          <w:lang w:eastAsia="en-AU"/>
        </w:rPr>
        <w:t>set</w:t>
      </w:r>
      <w:r>
        <w:rPr>
          <w:lang w:eastAsia="en-AU"/>
        </w:rPr>
        <w:t xml:space="preserve"> by PNO under the PAMA Act.</w:t>
      </w:r>
    </w:p>
    <w:p w14:paraId="68F621C4" w14:textId="77777777" w:rsidR="00372440" w:rsidRDefault="00372440" w:rsidP="00372440">
      <w:pPr>
        <w:pStyle w:val="Heading2"/>
        <w:rPr>
          <w:lang w:eastAsia="en-AU"/>
        </w:rPr>
      </w:pPr>
      <w:bookmarkStart w:id="23" w:name="_Ref78900486"/>
      <w:r>
        <w:rPr>
          <w:lang w:eastAsia="en-AU"/>
        </w:rPr>
        <w:t>The revocation of the declaration</w:t>
      </w:r>
      <w:bookmarkEnd w:id="23"/>
    </w:p>
    <w:p w14:paraId="457A57E9" w14:textId="77777777" w:rsidR="00BE0A68" w:rsidRDefault="00BE0A68" w:rsidP="00044C98">
      <w:pPr>
        <w:pStyle w:val="ParaNumbering"/>
        <w:rPr>
          <w:lang w:eastAsia="en-AU"/>
        </w:rPr>
      </w:pPr>
      <w:r>
        <w:rPr>
          <w:lang w:eastAsia="en-AU"/>
        </w:rPr>
        <w:t xml:space="preserve">Under s 44J of the Act, the NCC may recommend to the designated Minister that </w:t>
      </w:r>
      <w:r w:rsidR="00A250F1">
        <w:rPr>
          <w:lang w:eastAsia="en-AU"/>
        </w:rPr>
        <w:t>the</w:t>
      </w:r>
      <w:r>
        <w:rPr>
          <w:lang w:eastAsia="en-AU"/>
        </w:rPr>
        <w:t xml:space="preserve"> declaration </w:t>
      </w:r>
      <w:r w:rsidR="00A250F1">
        <w:rPr>
          <w:lang w:eastAsia="en-AU"/>
        </w:rPr>
        <w:t xml:space="preserve">of a service </w:t>
      </w:r>
      <w:r>
        <w:rPr>
          <w:lang w:eastAsia="en-AU"/>
        </w:rPr>
        <w:t xml:space="preserve">be revoked </w:t>
      </w:r>
      <w:r w:rsidR="00A250F1">
        <w:rPr>
          <w:lang w:eastAsia="en-AU"/>
        </w:rPr>
        <w:t>if it is satisfied that, at the time of the recommendation, the declaration criteria would prevent the service being declared.</w:t>
      </w:r>
    </w:p>
    <w:p w14:paraId="018B5B37" w14:textId="77777777" w:rsidR="00D3430B" w:rsidRDefault="00A250F1" w:rsidP="00044C98">
      <w:pPr>
        <w:pStyle w:val="ParaNumbering"/>
        <w:rPr>
          <w:lang w:eastAsia="en-AU"/>
        </w:rPr>
      </w:pPr>
      <w:r>
        <w:rPr>
          <w:lang w:eastAsia="en-AU"/>
        </w:rPr>
        <w:lastRenderedPageBreak/>
        <w:t>F</w:t>
      </w:r>
      <w:r w:rsidRPr="002C794D">
        <w:rPr>
          <w:lang w:eastAsia="en-AU"/>
        </w:rPr>
        <w:t>ollow</w:t>
      </w:r>
      <w:r>
        <w:rPr>
          <w:lang w:eastAsia="en-AU"/>
        </w:rPr>
        <w:t>ing</w:t>
      </w:r>
      <w:r w:rsidRPr="002C794D">
        <w:rPr>
          <w:lang w:eastAsia="en-AU"/>
        </w:rPr>
        <w:t xml:space="preserve"> </w:t>
      </w:r>
      <w:r>
        <w:rPr>
          <w:lang w:eastAsia="en-AU"/>
        </w:rPr>
        <w:t>the amendments made to the declaration criteria by the 2017 Amendment Act, i</w:t>
      </w:r>
      <w:r w:rsidR="00BE0A68">
        <w:rPr>
          <w:lang w:eastAsia="en-AU"/>
        </w:rPr>
        <w:t>n</w:t>
      </w:r>
      <w:r w:rsidR="002C794D" w:rsidRPr="002C794D">
        <w:rPr>
          <w:lang w:eastAsia="en-AU"/>
        </w:rPr>
        <w:t xml:space="preserve"> July 20</w:t>
      </w:r>
      <w:r>
        <w:rPr>
          <w:lang w:eastAsia="en-AU"/>
        </w:rPr>
        <w:t>19</w:t>
      </w:r>
      <w:r w:rsidR="002C794D" w:rsidRPr="002C794D">
        <w:rPr>
          <w:lang w:eastAsia="en-AU"/>
        </w:rPr>
        <w:t xml:space="preserve"> the </w:t>
      </w:r>
      <w:r w:rsidR="002C794D">
        <w:rPr>
          <w:lang w:eastAsia="en-AU"/>
        </w:rPr>
        <w:t>NCC</w:t>
      </w:r>
      <w:r w:rsidR="002C794D" w:rsidRPr="002C794D">
        <w:rPr>
          <w:lang w:eastAsia="en-AU"/>
        </w:rPr>
        <w:t xml:space="preserve"> recommended to the Treasurer</w:t>
      </w:r>
      <w:r w:rsidR="002C794D">
        <w:rPr>
          <w:lang w:eastAsia="en-AU"/>
        </w:rPr>
        <w:t xml:space="preserve"> </w:t>
      </w:r>
      <w:r w:rsidR="002C794D" w:rsidRPr="002C794D">
        <w:rPr>
          <w:lang w:eastAsia="en-AU"/>
        </w:rPr>
        <w:t xml:space="preserve">that the 2016 </w:t>
      </w:r>
      <w:r w:rsidR="002C794D">
        <w:rPr>
          <w:lang w:eastAsia="en-AU"/>
        </w:rPr>
        <w:t>d</w:t>
      </w:r>
      <w:r w:rsidR="002C794D" w:rsidRPr="002C794D">
        <w:rPr>
          <w:lang w:eastAsia="en-AU"/>
        </w:rPr>
        <w:t xml:space="preserve">eclaration </w:t>
      </w:r>
      <w:r w:rsidR="00BE0A68">
        <w:rPr>
          <w:lang w:eastAsia="en-AU"/>
        </w:rPr>
        <w:t xml:space="preserve">of Port services </w:t>
      </w:r>
      <w:r w:rsidR="002C794D" w:rsidRPr="002C794D">
        <w:rPr>
          <w:lang w:eastAsia="en-AU"/>
        </w:rPr>
        <w:t xml:space="preserve">should be revoked. </w:t>
      </w:r>
      <w:r>
        <w:rPr>
          <w:lang w:eastAsia="en-AU"/>
        </w:rPr>
        <w:t>The</w:t>
      </w:r>
      <w:r w:rsidR="002C794D" w:rsidRPr="002C794D">
        <w:rPr>
          <w:lang w:eastAsia="en-AU"/>
        </w:rPr>
        <w:t xml:space="preserve"> </w:t>
      </w:r>
      <w:r w:rsidR="00044C98">
        <w:rPr>
          <w:lang w:eastAsia="en-AU"/>
        </w:rPr>
        <w:t>Treasurer</w:t>
      </w:r>
      <w:r w:rsidR="002C794D" w:rsidRPr="002C794D">
        <w:rPr>
          <w:lang w:eastAsia="en-AU"/>
        </w:rPr>
        <w:t xml:space="preserve"> did not publish a decision on </w:t>
      </w:r>
      <w:r>
        <w:rPr>
          <w:lang w:eastAsia="en-AU"/>
        </w:rPr>
        <w:t>that r</w:t>
      </w:r>
      <w:r w:rsidR="002C794D" w:rsidRPr="002C794D">
        <w:rPr>
          <w:lang w:eastAsia="en-AU"/>
        </w:rPr>
        <w:t>ecommendation within 60 days of receiving it</w:t>
      </w:r>
      <w:r>
        <w:rPr>
          <w:lang w:eastAsia="en-AU"/>
        </w:rPr>
        <w:t>. As a result,</w:t>
      </w:r>
      <w:r w:rsidR="002C794D" w:rsidRPr="002C794D">
        <w:rPr>
          <w:lang w:eastAsia="en-AU"/>
        </w:rPr>
        <w:t xml:space="preserve"> he was deemed by</w:t>
      </w:r>
      <w:r w:rsidR="002C794D">
        <w:rPr>
          <w:lang w:eastAsia="en-AU"/>
        </w:rPr>
        <w:t xml:space="preserve"> </w:t>
      </w:r>
      <w:r w:rsidR="00044C98" w:rsidRPr="00044C98">
        <w:rPr>
          <w:lang w:eastAsia="en-AU"/>
        </w:rPr>
        <w:t xml:space="preserve">s 44J(7) of the </w:t>
      </w:r>
      <w:r w:rsidR="00044C98">
        <w:rPr>
          <w:lang w:eastAsia="en-AU"/>
        </w:rPr>
        <w:t>Act</w:t>
      </w:r>
      <w:r w:rsidR="00044C98" w:rsidRPr="00044C98">
        <w:rPr>
          <w:lang w:eastAsia="en-AU"/>
        </w:rPr>
        <w:t xml:space="preserve"> to have made a decision that the declaration be revoked</w:t>
      </w:r>
      <w:r w:rsidR="00044C98">
        <w:rPr>
          <w:lang w:eastAsia="en-AU"/>
        </w:rPr>
        <w:t>.</w:t>
      </w:r>
      <w:r w:rsidR="0029180F">
        <w:rPr>
          <w:lang w:eastAsia="en-AU"/>
        </w:rPr>
        <w:t xml:space="preserve"> A revocation decision under s 44J is not reviewable by the Tribunal.</w:t>
      </w:r>
    </w:p>
    <w:p w14:paraId="5A371117" w14:textId="2224AFDD" w:rsidR="002C794D" w:rsidRDefault="00D3430B" w:rsidP="00044C98">
      <w:pPr>
        <w:pStyle w:val="ParaNumbering"/>
        <w:rPr>
          <w:lang w:eastAsia="en-AU"/>
        </w:rPr>
      </w:pPr>
      <w:r>
        <w:rPr>
          <w:lang w:eastAsia="en-AU"/>
        </w:rPr>
        <w:t xml:space="preserve">We note for completeness that the revocation of the </w:t>
      </w:r>
      <w:r w:rsidRPr="002C794D">
        <w:rPr>
          <w:lang w:eastAsia="en-AU"/>
        </w:rPr>
        <w:t xml:space="preserve">2016 </w:t>
      </w:r>
      <w:r>
        <w:rPr>
          <w:lang w:eastAsia="en-AU"/>
        </w:rPr>
        <w:t>d</w:t>
      </w:r>
      <w:r w:rsidRPr="002C794D">
        <w:rPr>
          <w:lang w:eastAsia="en-AU"/>
        </w:rPr>
        <w:t xml:space="preserve">eclaration </w:t>
      </w:r>
      <w:r>
        <w:rPr>
          <w:lang w:eastAsia="en-AU"/>
        </w:rPr>
        <w:t>of Port services</w:t>
      </w:r>
      <w:r w:rsidR="0029180F">
        <w:rPr>
          <w:lang w:eastAsia="en-AU"/>
        </w:rPr>
        <w:t xml:space="preserve"> </w:t>
      </w:r>
      <w:r>
        <w:rPr>
          <w:lang w:eastAsia="en-AU"/>
        </w:rPr>
        <w:t xml:space="preserve">does not affect accrued rights. Accordingly, Glencore is able to maintain its application, originally made to the ACCC, for an arbitral determination of the </w:t>
      </w:r>
      <w:r w:rsidR="00E24A0D">
        <w:rPr>
          <w:lang w:eastAsia="en-AU"/>
        </w:rPr>
        <w:t xml:space="preserve">navigation service </w:t>
      </w:r>
      <w:r>
        <w:rPr>
          <w:lang w:eastAsia="en-AU"/>
        </w:rPr>
        <w:t xml:space="preserve">and </w:t>
      </w:r>
      <w:r w:rsidR="00E24A0D">
        <w:rPr>
          <w:lang w:eastAsia="en-AU"/>
        </w:rPr>
        <w:t>wharfage charge</w:t>
      </w:r>
      <w:r w:rsidR="007A5106">
        <w:rPr>
          <w:lang w:eastAsia="en-AU"/>
        </w:rPr>
        <w:t>s</w:t>
      </w:r>
      <w:r w:rsidR="0048536F">
        <w:rPr>
          <w:lang w:eastAsia="en-AU"/>
        </w:rPr>
        <w:t xml:space="preserve"> at the Port</w:t>
      </w:r>
      <w:r>
        <w:rPr>
          <w:lang w:eastAsia="en-AU"/>
        </w:rPr>
        <w:t>.</w:t>
      </w:r>
    </w:p>
    <w:p w14:paraId="0D977D78" w14:textId="77777777" w:rsidR="0029180F" w:rsidRDefault="0029180F" w:rsidP="0029180F">
      <w:pPr>
        <w:pStyle w:val="Heading2"/>
        <w:rPr>
          <w:lang w:eastAsia="en-AU"/>
        </w:rPr>
      </w:pPr>
      <w:bookmarkStart w:id="24" w:name="_Ref78900487"/>
      <w:r>
        <w:rPr>
          <w:lang w:eastAsia="en-AU"/>
        </w:rPr>
        <w:t>PNO’s current charges</w:t>
      </w:r>
      <w:bookmarkEnd w:id="24"/>
    </w:p>
    <w:p w14:paraId="07B528EF" w14:textId="7C2FEE94" w:rsidR="008239E9" w:rsidRDefault="00D3430B" w:rsidP="006D633A">
      <w:pPr>
        <w:pStyle w:val="ParaNumbering"/>
        <w:rPr>
          <w:lang w:eastAsia="en-AU"/>
        </w:rPr>
      </w:pPr>
      <w:r>
        <w:rPr>
          <w:lang w:eastAsia="en-AU"/>
        </w:rPr>
        <w:t xml:space="preserve">The NCC Recommendation records that, </w:t>
      </w:r>
      <w:r w:rsidR="001E16F8">
        <w:rPr>
          <w:lang w:eastAsia="en-AU"/>
        </w:rPr>
        <w:t>in December 2019 (and subsequent to the revocation decision)</w:t>
      </w:r>
      <w:r>
        <w:rPr>
          <w:lang w:eastAsia="en-AU"/>
        </w:rPr>
        <w:t xml:space="preserve">, PNO published </w:t>
      </w:r>
      <w:r w:rsidR="00BE0F02">
        <w:rPr>
          <w:lang w:eastAsia="en-AU"/>
        </w:rPr>
        <w:t>on its website</w:t>
      </w:r>
      <w:r w:rsidR="001E16F8">
        <w:rPr>
          <w:lang w:eastAsia="en-AU"/>
        </w:rPr>
        <w:t xml:space="preserve"> </w:t>
      </w:r>
      <w:r>
        <w:rPr>
          <w:lang w:eastAsia="en-AU"/>
        </w:rPr>
        <w:t xml:space="preserve">new </w:t>
      </w:r>
      <w:r w:rsidR="008239E9">
        <w:rPr>
          <w:lang w:eastAsia="en-AU"/>
        </w:rPr>
        <w:t xml:space="preserve">“open access” </w:t>
      </w:r>
      <w:r>
        <w:rPr>
          <w:lang w:eastAsia="en-AU"/>
        </w:rPr>
        <w:t xml:space="preserve">rates for </w:t>
      </w:r>
      <w:r w:rsidR="008239E9">
        <w:rPr>
          <w:lang w:eastAsia="en-AU"/>
        </w:rPr>
        <w:t xml:space="preserve">the </w:t>
      </w:r>
      <w:r w:rsidR="00E24A0D">
        <w:rPr>
          <w:lang w:eastAsia="en-AU"/>
        </w:rPr>
        <w:t xml:space="preserve">navigation service </w:t>
      </w:r>
      <w:r w:rsidR="008239E9">
        <w:rPr>
          <w:lang w:eastAsia="en-AU"/>
        </w:rPr>
        <w:t xml:space="preserve">and </w:t>
      </w:r>
      <w:r w:rsidR="00E24A0D">
        <w:rPr>
          <w:lang w:eastAsia="en-AU"/>
        </w:rPr>
        <w:t>wharfage charge</w:t>
      </w:r>
      <w:r w:rsidR="007A5106">
        <w:rPr>
          <w:lang w:eastAsia="en-AU"/>
        </w:rPr>
        <w:t>s</w:t>
      </w:r>
      <w:r>
        <w:rPr>
          <w:lang w:eastAsia="en-AU"/>
        </w:rPr>
        <w:t xml:space="preserve"> </w:t>
      </w:r>
      <w:r w:rsidR="008239E9">
        <w:rPr>
          <w:lang w:eastAsia="en-AU"/>
        </w:rPr>
        <w:t>for ves</w:t>
      </w:r>
      <w:r w:rsidR="00294718">
        <w:rPr>
          <w:lang w:eastAsia="en-AU"/>
        </w:rPr>
        <w:t>sels using the shipping channel service</w:t>
      </w:r>
      <w:r w:rsidR="008239E9">
        <w:rPr>
          <w:lang w:eastAsia="en-AU"/>
        </w:rPr>
        <w:t xml:space="preserve"> </w:t>
      </w:r>
      <w:r w:rsidR="002A7991">
        <w:rPr>
          <w:lang w:eastAsia="en-AU"/>
        </w:rPr>
        <w:t>taking</w:t>
      </w:r>
      <w:r w:rsidR="00383079">
        <w:rPr>
          <w:lang w:eastAsia="en-AU"/>
        </w:rPr>
        <w:t xml:space="preserve"> effect from 1 January 2020</w:t>
      </w:r>
      <w:r w:rsidR="008239E9">
        <w:rPr>
          <w:lang w:eastAsia="en-AU"/>
        </w:rPr>
        <w:t xml:space="preserve">. </w:t>
      </w:r>
      <w:r w:rsidR="00BE0F02">
        <w:rPr>
          <w:lang w:eastAsia="en-AU"/>
        </w:rPr>
        <w:t xml:space="preserve">The “open access” rates published by PNO, available to any coal vessel entering the Port, are a </w:t>
      </w:r>
      <w:r w:rsidR="00E24A0D">
        <w:rPr>
          <w:lang w:eastAsia="en-AU"/>
        </w:rPr>
        <w:t>navigation service charge</w:t>
      </w:r>
      <w:r w:rsidR="00BE0F02">
        <w:rPr>
          <w:lang w:eastAsia="en-AU"/>
        </w:rPr>
        <w:t xml:space="preserve"> of $1.0424 per gross tonne and a </w:t>
      </w:r>
      <w:r w:rsidR="00E24A0D">
        <w:rPr>
          <w:lang w:eastAsia="en-AU"/>
        </w:rPr>
        <w:t>wharfage charge</w:t>
      </w:r>
      <w:r w:rsidR="00BE0F02">
        <w:rPr>
          <w:lang w:eastAsia="en-AU"/>
        </w:rPr>
        <w:t xml:space="preserve"> of $0.0802 per revenue tonne. </w:t>
      </w:r>
      <w:r w:rsidR="008239E9">
        <w:rPr>
          <w:lang w:eastAsia="en-AU"/>
        </w:rPr>
        <w:t xml:space="preserve">In addition to publishing </w:t>
      </w:r>
      <w:r w:rsidR="001E16F8">
        <w:rPr>
          <w:lang w:eastAsia="en-AU"/>
        </w:rPr>
        <w:t xml:space="preserve">“open access” </w:t>
      </w:r>
      <w:r w:rsidR="008239E9">
        <w:rPr>
          <w:lang w:eastAsia="en-AU"/>
        </w:rPr>
        <w:t xml:space="preserve">rates on its website, PNO also published, and offered on a standing basis, </w:t>
      </w:r>
      <w:r w:rsidR="003D2B63">
        <w:rPr>
          <w:lang w:eastAsia="en-AU"/>
        </w:rPr>
        <w:t>the Pro</w:t>
      </w:r>
      <w:r w:rsidR="003B067A">
        <w:rPr>
          <w:lang w:eastAsia="en-AU"/>
        </w:rPr>
        <w:t xml:space="preserve"> Forma Pricing Deeds. As noted earlier, the Port User Pricing Deed was published in December 2019 but was replaced by the Producer Pricing Deed and Vessel Agent Pricing Deed in March 2020. </w:t>
      </w:r>
      <w:r w:rsidR="003D2B63">
        <w:rPr>
          <w:lang w:eastAsia="en-AU"/>
        </w:rPr>
        <w:t>The</w:t>
      </w:r>
      <w:r w:rsidR="0089783A">
        <w:rPr>
          <w:lang w:eastAsia="en-AU"/>
        </w:rPr>
        <w:t xml:space="preserve"> </w:t>
      </w:r>
      <w:r w:rsidR="008B052A">
        <w:rPr>
          <w:lang w:eastAsia="en-AU"/>
        </w:rPr>
        <w:t xml:space="preserve">Pro Forma Pricing </w:t>
      </w:r>
      <w:r w:rsidR="003D2B63">
        <w:rPr>
          <w:lang w:eastAsia="en-AU"/>
        </w:rPr>
        <w:t>Deeds were offered as</w:t>
      </w:r>
      <w:r w:rsidR="008239E9">
        <w:rPr>
          <w:lang w:eastAsia="en-AU"/>
        </w:rPr>
        <w:t xml:space="preserve"> an agreement in respect of the </w:t>
      </w:r>
      <w:r w:rsidR="00E24A0D">
        <w:rPr>
          <w:lang w:eastAsia="en-AU"/>
        </w:rPr>
        <w:t>navigation service charge</w:t>
      </w:r>
      <w:r w:rsidR="008239E9">
        <w:rPr>
          <w:lang w:eastAsia="en-AU"/>
        </w:rPr>
        <w:t xml:space="preserve"> and </w:t>
      </w:r>
      <w:r w:rsidR="00E24A0D">
        <w:rPr>
          <w:lang w:eastAsia="en-AU"/>
        </w:rPr>
        <w:t>wharfage charge</w:t>
      </w:r>
      <w:r w:rsidR="008239E9">
        <w:rPr>
          <w:lang w:eastAsia="en-AU"/>
        </w:rPr>
        <w:t xml:space="preserve"> pursuant to s 67 of the PAMA Act</w:t>
      </w:r>
      <w:r w:rsidR="00A62D42">
        <w:rPr>
          <w:lang w:eastAsia="en-AU"/>
        </w:rPr>
        <w:t xml:space="preserve"> which could be entered into by, relevantly, coal producers or vessel agents</w:t>
      </w:r>
      <w:r w:rsidR="008239E9">
        <w:rPr>
          <w:lang w:eastAsia="en-AU"/>
        </w:rPr>
        <w:t>.</w:t>
      </w:r>
      <w:r w:rsidR="00383079">
        <w:rPr>
          <w:lang w:eastAsia="en-AU"/>
        </w:rPr>
        <w:t xml:space="preserve"> </w:t>
      </w:r>
      <w:r w:rsidR="00BE0F02">
        <w:rPr>
          <w:lang w:eastAsia="en-AU"/>
        </w:rPr>
        <w:t xml:space="preserve">The </w:t>
      </w:r>
      <w:r w:rsidR="008B052A">
        <w:rPr>
          <w:lang w:eastAsia="en-AU"/>
        </w:rPr>
        <w:t xml:space="preserve">Pro Forma Pricing </w:t>
      </w:r>
      <w:r w:rsidR="003D2B63">
        <w:rPr>
          <w:lang w:eastAsia="en-AU"/>
        </w:rPr>
        <w:t xml:space="preserve">Deeds have </w:t>
      </w:r>
      <w:r w:rsidR="00BE0F02">
        <w:rPr>
          <w:lang w:eastAsia="en-AU"/>
        </w:rPr>
        <w:t xml:space="preserve">a 10 year term. Under </w:t>
      </w:r>
      <w:r w:rsidR="008B052A">
        <w:rPr>
          <w:lang w:eastAsia="en-AU"/>
        </w:rPr>
        <w:t xml:space="preserve">each of </w:t>
      </w:r>
      <w:r w:rsidR="00BE0F02">
        <w:rPr>
          <w:lang w:eastAsia="en-AU"/>
        </w:rPr>
        <w:t xml:space="preserve">the </w:t>
      </w:r>
      <w:r w:rsidR="008B052A">
        <w:rPr>
          <w:lang w:eastAsia="en-AU"/>
        </w:rPr>
        <w:t>three d</w:t>
      </w:r>
      <w:r w:rsidR="00BE0F02">
        <w:rPr>
          <w:lang w:eastAsia="en-AU"/>
        </w:rPr>
        <w:t>eed</w:t>
      </w:r>
      <w:r w:rsidR="0089783A">
        <w:rPr>
          <w:lang w:eastAsia="en-AU"/>
        </w:rPr>
        <w:t>s</w:t>
      </w:r>
      <w:r w:rsidR="00BE0F02">
        <w:rPr>
          <w:lang w:eastAsia="en-AU"/>
        </w:rPr>
        <w:t xml:space="preserve">, PNO offered a </w:t>
      </w:r>
      <w:r w:rsidR="00E24A0D">
        <w:rPr>
          <w:lang w:eastAsia="en-AU"/>
        </w:rPr>
        <w:t>navigation service charge</w:t>
      </w:r>
      <w:r w:rsidR="00BE0F02">
        <w:rPr>
          <w:lang w:eastAsia="en-AU"/>
        </w:rPr>
        <w:t xml:space="preserve"> of $0.8121 per gross tonne and a </w:t>
      </w:r>
      <w:r w:rsidR="00E24A0D">
        <w:rPr>
          <w:lang w:eastAsia="en-AU"/>
        </w:rPr>
        <w:t>wharfage charge</w:t>
      </w:r>
      <w:r w:rsidR="00BE0F02">
        <w:rPr>
          <w:lang w:eastAsia="en-AU"/>
        </w:rPr>
        <w:t xml:space="preserve"> of $0.0802 per revenue tonne, subject to </w:t>
      </w:r>
      <w:r w:rsidR="00C80A7D">
        <w:rPr>
          <w:lang w:eastAsia="en-AU"/>
        </w:rPr>
        <w:t xml:space="preserve">an </w:t>
      </w:r>
      <w:r w:rsidR="00BE0F02">
        <w:rPr>
          <w:lang w:eastAsia="en-AU"/>
        </w:rPr>
        <w:t xml:space="preserve">annual price adjustment (the greater of CPI increases and </w:t>
      </w:r>
      <w:r w:rsidR="002A7991">
        <w:rPr>
          <w:lang w:eastAsia="en-AU"/>
        </w:rPr>
        <w:t xml:space="preserve">4%) and other adjustment terms. </w:t>
      </w:r>
      <w:r w:rsidR="008239E9">
        <w:rPr>
          <w:lang w:eastAsia="en-AU"/>
        </w:rPr>
        <w:t>It is convenient to reproduce the NCC’</w:t>
      </w:r>
      <w:r w:rsidR="001E16F8">
        <w:rPr>
          <w:lang w:eastAsia="en-AU"/>
        </w:rPr>
        <w:t>s summary of th</w:t>
      </w:r>
      <w:r w:rsidR="008239E9">
        <w:rPr>
          <w:lang w:eastAsia="en-AU"/>
        </w:rPr>
        <w:t xml:space="preserve">e </w:t>
      </w:r>
      <w:r w:rsidR="001E16F8">
        <w:rPr>
          <w:lang w:eastAsia="en-AU"/>
        </w:rPr>
        <w:t>terms offered by PNO</w:t>
      </w:r>
      <w:r w:rsidR="002A7991">
        <w:rPr>
          <w:lang w:eastAsia="en-AU"/>
        </w:rPr>
        <w:t xml:space="preserve"> </w:t>
      </w:r>
      <w:r w:rsidR="00234EB0">
        <w:rPr>
          <w:lang w:eastAsia="en-AU"/>
        </w:rPr>
        <w:t>under each set of arrangements</w:t>
      </w:r>
      <w:r w:rsidR="004519F1">
        <w:rPr>
          <w:lang w:eastAsia="en-AU"/>
        </w:rPr>
        <w:t xml:space="preserve"> (pp 25-26)</w:t>
      </w:r>
      <w:r w:rsidR="001E16F8">
        <w:rPr>
          <w:lang w:eastAsia="en-AU"/>
        </w:rPr>
        <w:t>:</w:t>
      </w:r>
    </w:p>
    <w:p w14:paraId="4BEFFF1D" w14:textId="77777777" w:rsidR="002A7991" w:rsidRDefault="001E16F8" w:rsidP="001E16F8">
      <w:pPr>
        <w:pStyle w:val="Quote1"/>
        <w:rPr>
          <w:b/>
          <w:lang w:eastAsia="en-AU"/>
        </w:rPr>
      </w:pPr>
      <w:r w:rsidRPr="00234EB0">
        <w:rPr>
          <w:b/>
          <w:lang w:eastAsia="en-AU"/>
        </w:rPr>
        <w:t>Developments at the Port since the Revocation of the 2016 Glencore Declaration</w:t>
      </w:r>
    </w:p>
    <w:p w14:paraId="511ACE68" w14:textId="77777777" w:rsidR="00234EB0" w:rsidRDefault="001E16F8" w:rsidP="001E16F8">
      <w:pPr>
        <w:pStyle w:val="Quote1"/>
        <w:rPr>
          <w:lang w:eastAsia="en-AU"/>
        </w:rPr>
      </w:pPr>
      <w:r w:rsidRPr="00234EB0">
        <w:rPr>
          <w:i/>
          <w:lang w:eastAsia="en-AU"/>
        </w:rPr>
        <w:t>Vessel Open Access Regime</w:t>
      </w:r>
    </w:p>
    <w:p w14:paraId="0C6D4194" w14:textId="77777777" w:rsidR="001E16F8" w:rsidRDefault="001E16F8" w:rsidP="00234EB0">
      <w:pPr>
        <w:pStyle w:val="Quote1"/>
        <w:tabs>
          <w:tab w:val="left" w:pos="1418"/>
        </w:tabs>
        <w:ind w:left="1418" w:hanging="681"/>
        <w:rPr>
          <w:lang w:eastAsia="en-AU"/>
        </w:rPr>
      </w:pPr>
      <w:r>
        <w:rPr>
          <w:lang w:eastAsia="en-AU"/>
        </w:rPr>
        <w:t>5.23</w:t>
      </w:r>
      <w:r w:rsidR="00234EB0">
        <w:rPr>
          <w:lang w:eastAsia="en-AU"/>
        </w:rPr>
        <w:t xml:space="preserve"> </w:t>
      </w:r>
      <w:r w:rsidR="00234EB0">
        <w:rPr>
          <w:lang w:eastAsia="en-AU"/>
        </w:rPr>
        <w:tab/>
      </w:r>
      <w:r>
        <w:rPr>
          <w:lang w:eastAsia="en-AU"/>
        </w:rPr>
        <w:t>In December 2019 PNO published a number of documents which collectively establish formal terms and conditions of open access arrangements at the Port for any vessel seeking to enter the Port and use its facilities. Relevant to the Council's consideration,</w:t>
      </w:r>
      <w:r w:rsidR="00234EB0">
        <w:rPr>
          <w:lang w:eastAsia="en-AU"/>
        </w:rPr>
        <w:t xml:space="preserve"> </w:t>
      </w:r>
      <w:r>
        <w:rPr>
          <w:lang w:eastAsia="en-AU"/>
        </w:rPr>
        <w:t>the open access arrangements provide:</w:t>
      </w:r>
    </w:p>
    <w:p w14:paraId="56797D6B" w14:textId="77777777" w:rsidR="00234EB0" w:rsidRDefault="00234EB0" w:rsidP="00234EB0">
      <w:pPr>
        <w:pStyle w:val="Quote1"/>
        <w:tabs>
          <w:tab w:val="left" w:pos="1985"/>
        </w:tabs>
        <w:ind w:left="1985" w:hanging="567"/>
        <w:rPr>
          <w:lang w:eastAsia="en-AU"/>
        </w:rPr>
      </w:pPr>
      <w:r>
        <w:rPr>
          <w:lang w:eastAsia="en-AU"/>
        </w:rPr>
        <w:lastRenderedPageBreak/>
        <w:t>(a)</w:t>
      </w:r>
      <w:r>
        <w:rPr>
          <w:lang w:eastAsia="en-AU"/>
        </w:rPr>
        <w:tab/>
      </w:r>
      <w:r w:rsidR="001E16F8">
        <w:rPr>
          <w:lang w:eastAsia="en-AU"/>
        </w:rPr>
        <w:t>An initial NSC rate of $1.0424 per GT, with effect from 1 January 2020.</w:t>
      </w:r>
    </w:p>
    <w:p w14:paraId="0DCD439F" w14:textId="77777777" w:rsidR="00234EB0" w:rsidRDefault="00234EB0" w:rsidP="00234EB0">
      <w:pPr>
        <w:pStyle w:val="Quote1"/>
        <w:tabs>
          <w:tab w:val="left" w:pos="1985"/>
        </w:tabs>
        <w:ind w:left="1985" w:hanging="567"/>
        <w:rPr>
          <w:lang w:eastAsia="en-AU"/>
        </w:rPr>
      </w:pPr>
      <w:r>
        <w:rPr>
          <w:lang w:eastAsia="en-AU"/>
        </w:rPr>
        <w:t>(b)</w:t>
      </w:r>
      <w:r>
        <w:rPr>
          <w:lang w:eastAsia="en-AU"/>
        </w:rPr>
        <w:tab/>
      </w:r>
      <w:r w:rsidR="001E16F8">
        <w:rPr>
          <w:lang w:eastAsia="en-AU"/>
        </w:rPr>
        <w:t>That PNO may vary its schedule of charges from time to time, including varying or introducing any new fees or charges. PNO will publish a notice of the proposed change on its website at least 10 Business Days before the variation is proposed to take effect.</w:t>
      </w:r>
    </w:p>
    <w:p w14:paraId="16A7E4C2" w14:textId="77777777" w:rsidR="00234EB0" w:rsidRDefault="001E16F8" w:rsidP="00234EB0">
      <w:pPr>
        <w:pStyle w:val="Quote1"/>
        <w:tabs>
          <w:tab w:val="left" w:pos="1985"/>
        </w:tabs>
        <w:ind w:left="1985" w:hanging="567"/>
        <w:rPr>
          <w:lang w:eastAsia="en-AU"/>
        </w:rPr>
      </w:pPr>
      <w:r>
        <w:rPr>
          <w:lang w:eastAsia="en-AU"/>
        </w:rPr>
        <w:t>(c)</w:t>
      </w:r>
      <w:r w:rsidR="00234EB0">
        <w:rPr>
          <w:lang w:eastAsia="en-AU"/>
        </w:rPr>
        <w:tab/>
      </w:r>
      <w:r>
        <w:rPr>
          <w:lang w:eastAsia="en-AU"/>
        </w:rPr>
        <w:t>As at 13 March 2020, it was PNO's intention to adjust the NSC and wharfage charge for coal vessels annually by an amount equal to the CPI. PNO intends that these charges may also be increased to reflect additional investment by PNO in port services, any increases in government charges or taxes or changes in law and any material change events.</w:t>
      </w:r>
    </w:p>
    <w:p w14:paraId="41FFB095" w14:textId="77777777" w:rsidR="001E16F8" w:rsidRDefault="00234EB0" w:rsidP="00234EB0">
      <w:pPr>
        <w:pStyle w:val="Quote1"/>
        <w:tabs>
          <w:tab w:val="left" w:pos="1985"/>
        </w:tabs>
        <w:ind w:left="1985" w:hanging="567"/>
        <w:rPr>
          <w:lang w:eastAsia="en-AU"/>
        </w:rPr>
      </w:pPr>
      <w:r>
        <w:rPr>
          <w:lang w:eastAsia="en-AU"/>
        </w:rPr>
        <w:t>(d)</w:t>
      </w:r>
      <w:r>
        <w:rPr>
          <w:lang w:eastAsia="en-AU"/>
        </w:rPr>
        <w:tab/>
      </w:r>
      <w:r w:rsidR="001E16F8">
        <w:rPr>
          <w:lang w:eastAsia="en-AU"/>
        </w:rPr>
        <w:t>Established a dispute resolution process (mediation and commercial arbitration).</w:t>
      </w:r>
    </w:p>
    <w:p w14:paraId="09261042" w14:textId="77777777" w:rsidR="001700C6" w:rsidRPr="001700C6" w:rsidRDefault="003B067A" w:rsidP="001E16F8">
      <w:pPr>
        <w:pStyle w:val="Quote1"/>
        <w:rPr>
          <w:i/>
          <w:lang w:eastAsia="en-AU"/>
        </w:rPr>
      </w:pPr>
      <w:r>
        <w:rPr>
          <w:i/>
          <w:lang w:eastAsia="en-AU"/>
        </w:rPr>
        <w:t>Port User Deed</w:t>
      </w:r>
    </w:p>
    <w:p w14:paraId="144A7C6F" w14:textId="77777777" w:rsidR="001E16F8" w:rsidRDefault="001700C6" w:rsidP="001700C6">
      <w:pPr>
        <w:pStyle w:val="Quote1"/>
        <w:tabs>
          <w:tab w:val="left" w:pos="1418"/>
        </w:tabs>
        <w:ind w:left="1418" w:hanging="681"/>
        <w:rPr>
          <w:lang w:eastAsia="en-AU"/>
        </w:rPr>
      </w:pPr>
      <w:r>
        <w:rPr>
          <w:lang w:eastAsia="en-AU"/>
        </w:rPr>
        <w:t xml:space="preserve">5.24 </w:t>
      </w:r>
      <w:r>
        <w:rPr>
          <w:lang w:eastAsia="en-AU"/>
        </w:rPr>
        <w:tab/>
      </w:r>
      <w:r w:rsidR="001E16F8">
        <w:rPr>
          <w:lang w:eastAsia="en-AU"/>
        </w:rPr>
        <w:t>In December 2019, PNO published a long term pricing Deed which could be entered into by Vessel Agents, Vessel Operators, Coal Producers and free on board coal consignees involved in the shipment of coal from the Port (the Port User Deed).</w:t>
      </w:r>
      <w:r w:rsidR="003D2B63">
        <w:rPr>
          <w:lang w:eastAsia="en-AU"/>
        </w:rPr>
        <w:t xml:space="preserve"> </w:t>
      </w:r>
      <w:r w:rsidR="001E16F8">
        <w:rPr>
          <w:lang w:eastAsia="en-AU"/>
        </w:rPr>
        <w:t>The Port User Deed has now been superseded and is no longer offered by PNO. Its terms included, in part:</w:t>
      </w:r>
    </w:p>
    <w:p w14:paraId="08947A9B" w14:textId="77777777" w:rsidR="001700C6" w:rsidRDefault="001700C6" w:rsidP="001700C6">
      <w:pPr>
        <w:pStyle w:val="Quote1"/>
        <w:tabs>
          <w:tab w:val="left" w:pos="1985"/>
        </w:tabs>
        <w:ind w:left="1985" w:hanging="567"/>
        <w:rPr>
          <w:lang w:eastAsia="en-AU"/>
        </w:rPr>
      </w:pPr>
      <w:r>
        <w:rPr>
          <w:lang w:eastAsia="en-AU"/>
        </w:rPr>
        <w:t>(a)</w:t>
      </w:r>
      <w:r>
        <w:rPr>
          <w:lang w:eastAsia="en-AU"/>
        </w:rPr>
        <w:tab/>
      </w:r>
      <w:r w:rsidR="001E16F8">
        <w:rPr>
          <w:lang w:eastAsia="en-AU"/>
        </w:rPr>
        <w:t>An initial term of 10 years.</w:t>
      </w:r>
    </w:p>
    <w:p w14:paraId="43303C56" w14:textId="77777777" w:rsidR="001700C6" w:rsidRDefault="001700C6" w:rsidP="001700C6">
      <w:pPr>
        <w:pStyle w:val="Quote1"/>
        <w:tabs>
          <w:tab w:val="left" w:pos="1985"/>
        </w:tabs>
        <w:ind w:left="1985" w:hanging="567"/>
        <w:rPr>
          <w:lang w:eastAsia="en-AU"/>
        </w:rPr>
      </w:pPr>
      <w:r>
        <w:rPr>
          <w:lang w:eastAsia="en-AU"/>
        </w:rPr>
        <w:t>(b)</w:t>
      </w:r>
      <w:r>
        <w:rPr>
          <w:lang w:eastAsia="en-AU"/>
        </w:rPr>
        <w:tab/>
      </w:r>
      <w:r w:rsidR="001E16F8">
        <w:rPr>
          <w:lang w:eastAsia="en-AU"/>
        </w:rPr>
        <w:t>An initial NSC rate of $0.8121 per GT, with effect from 1 January 2020.</w:t>
      </w:r>
    </w:p>
    <w:p w14:paraId="2C8799A4" w14:textId="77777777" w:rsidR="001700C6" w:rsidRDefault="001E16F8" w:rsidP="001700C6">
      <w:pPr>
        <w:pStyle w:val="Quote1"/>
        <w:tabs>
          <w:tab w:val="left" w:pos="1985"/>
        </w:tabs>
        <w:ind w:left="1985" w:hanging="567"/>
        <w:rPr>
          <w:lang w:eastAsia="en-AU"/>
        </w:rPr>
      </w:pPr>
      <w:r>
        <w:rPr>
          <w:lang w:eastAsia="en-AU"/>
        </w:rPr>
        <w:t>(c)</w:t>
      </w:r>
      <w:r w:rsidR="001700C6">
        <w:rPr>
          <w:lang w:eastAsia="en-AU"/>
        </w:rPr>
        <w:tab/>
      </w:r>
      <w:r>
        <w:rPr>
          <w:lang w:eastAsia="en-AU"/>
        </w:rPr>
        <w:t>An 'annual adjustment', being the greater of CPI or 4%.</w:t>
      </w:r>
    </w:p>
    <w:p w14:paraId="691DFFB8" w14:textId="77777777" w:rsidR="001700C6" w:rsidRDefault="001700C6" w:rsidP="001700C6">
      <w:pPr>
        <w:pStyle w:val="Quote1"/>
        <w:tabs>
          <w:tab w:val="left" w:pos="1985"/>
        </w:tabs>
        <w:ind w:left="1985" w:hanging="567"/>
        <w:rPr>
          <w:lang w:eastAsia="en-AU"/>
        </w:rPr>
      </w:pPr>
      <w:r>
        <w:rPr>
          <w:lang w:eastAsia="en-AU"/>
        </w:rPr>
        <w:t>(d)</w:t>
      </w:r>
      <w:r>
        <w:rPr>
          <w:lang w:eastAsia="en-AU"/>
        </w:rPr>
        <w:tab/>
      </w:r>
      <w:r w:rsidR="001E16F8">
        <w:rPr>
          <w:lang w:eastAsia="en-AU"/>
        </w:rPr>
        <w:t>Provided for ad hoc variations to the NSC in response to changes in tax or other law which increased PNO's costs or decreased its revenues.</w:t>
      </w:r>
    </w:p>
    <w:p w14:paraId="3EE81933" w14:textId="77777777" w:rsidR="001700C6" w:rsidRDefault="001700C6" w:rsidP="001700C6">
      <w:pPr>
        <w:pStyle w:val="Quote1"/>
        <w:tabs>
          <w:tab w:val="left" w:pos="1985"/>
        </w:tabs>
        <w:ind w:left="1985" w:hanging="567"/>
        <w:rPr>
          <w:lang w:eastAsia="en-AU"/>
        </w:rPr>
      </w:pPr>
      <w:r>
        <w:rPr>
          <w:lang w:eastAsia="en-AU"/>
        </w:rPr>
        <w:t>(e)</w:t>
      </w:r>
      <w:r>
        <w:rPr>
          <w:lang w:eastAsia="en-AU"/>
        </w:rPr>
        <w:tab/>
      </w:r>
      <w:r w:rsidR="001E16F8">
        <w:rPr>
          <w:lang w:eastAsia="en-AU"/>
        </w:rPr>
        <w:t>Provided for ad hoc variations to the NSC in response to material change events (to allow PNO to recover additional costs and to sustain its equity rate of return).</w:t>
      </w:r>
    </w:p>
    <w:p w14:paraId="691B8DD2" w14:textId="77777777" w:rsidR="001700C6" w:rsidRDefault="001700C6" w:rsidP="001700C6">
      <w:pPr>
        <w:pStyle w:val="Quote1"/>
        <w:tabs>
          <w:tab w:val="left" w:pos="1985"/>
        </w:tabs>
        <w:ind w:left="1985" w:hanging="567"/>
        <w:rPr>
          <w:lang w:eastAsia="en-AU"/>
        </w:rPr>
      </w:pPr>
      <w:r>
        <w:rPr>
          <w:lang w:eastAsia="en-AU"/>
        </w:rPr>
        <w:t>(f)</w:t>
      </w:r>
      <w:r>
        <w:rPr>
          <w:lang w:eastAsia="en-AU"/>
        </w:rPr>
        <w:tab/>
      </w:r>
      <w:r w:rsidR="001E16F8">
        <w:rPr>
          <w:lang w:eastAsia="en-AU"/>
        </w:rPr>
        <w:t>Established a dispute resolution process (mediation and commercial arbitration).</w:t>
      </w:r>
    </w:p>
    <w:p w14:paraId="611C9864" w14:textId="77777777" w:rsidR="001700C6" w:rsidRDefault="001700C6" w:rsidP="001700C6">
      <w:pPr>
        <w:pStyle w:val="Quote1"/>
        <w:tabs>
          <w:tab w:val="left" w:pos="1985"/>
        </w:tabs>
        <w:ind w:left="1985" w:hanging="567"/>
        <w:rPr>
          <w:lang w:eastAsia="en-AU"/>
        </w:rPr>
      </w:pPr>
      <w:r>
        <w:rPr>
          <w:lang w:eastAsia="en-AU"/>
        </w:rPr>
        <w:t>(g)</w:t>
      </w:r>
      <w:r>
        <w:rPr>
          <w:lang w:eastAsia="en-AU"/>
        </w:rPr>
        <w:tab/>
      </w:r>
      <w:r w:rsidR="001E16F8">
        <w:rPr>
          <w:lang w:eastAsia="en-AU"/>
        </w:rPr>
        <w:t>Established 'pricing principles' to be applied in mediation and arbitration. The pricing principles include elements consistent with those the ACCC must take into account when making an arbitration determination under Part IIIA of the CCA.</w:t>
      </w:r>
    </w:p>
    <w:p w14:paraId="210F0BC6" w14:textId="77777777" w:rsidR="001700C6" w:rsidRDefault="001700C6" w:rsidP="001700C6">
      <w:pPr>
        <w:pStyle w:val="Quote1"/>
        <w:tabs>
          <w:tab w:val="left" w:pos="1985"/>
        </w:tabs>
        <w:ind w:left="1985" w:hanging="567"/>
        <w:rPr>
          <w:lang w:eastAsia="en-AU"/>
        </w:rPr>
      </w:pPr>
      <w:r>
        <w:rPr>
          <w:lang w:eastAsia="en-AU"/>
        </w:rPr>
        <w:t>(h)</w:t>
      </w:r>
      <w:r>
        <w:rPr>
          <w:lang w:eastAsia="en-AU"/>
        </w:rPr>
        <w:tab/>
      </w:r>
      <w:r w:rsidR="001E16F8">
        <w:rPr>
          <w:lang w:eastAsia="en-AU"/>
        </w:rPr>
        <w:t>Established 'excluded disputes' which include disputes about the NSC when the NSC does not exceed the value of $0.8121 plus each subsequent annual adjustment.</w:t>
      </w:r>
    </w:p>
    <w:p w14:paraId="59435D6E" w14:textId="77777777" w:rsidR="001700C6" w:rsidRDefault="001700C6" w:rsidP="001700C6">
      <w:pPr>
        <w:pStyle w:val="Quote1"/>
        <w:tabs>
          <w:tab w:val="left" w:pos="1985"/>
        </w:tabs>
        <w:ind w:left="1985" w:hanging="567"/>
        <w:rPr>
          <w:lang w:eastAsia="en-AU"/>
        </w:rPr>
      </w:pPr>
      <w:r>
        <w:rPr>
          <w:lang w:eastAsia="en-AU"/>
        </w:rPr>
        <w:t>(</w:t>
      </w:r>
      <w:proofErr w:type="spellStart"/>
      <w:r>
        <w:rPr>
          <w:lang w:eastAsia="en-AU"/>
        </w:rPr>
        <w:t>i</w:t>
      </w:r>
      <w:proofErr w:type="spellEnd"/>
      <w:r>
        <w:rPr>
          <w:lang w:eastAsia="en-AU"/>
        </w:rPr>
        <w:t>)</w:t>
      </w:r>
      <w:r>
        <w:rPr>
          <w:lang w:eastAsia="en-AU"/>
        </w:rPr>
        <w:tab/>
      </w:r>
      <w:r w:rsidR="001E16F8">
        <w:rPr>
          <w:lang w:eastAsia="en-AU"/>
        </w:rPr>
        <w:t>Established an 'initial capital base' being the value established by reference to the depreciated optimised replacement cost as at 31 December 2014 of the assets used in the provision of all of the services at the Port and, unless otherwise agreed by PNO, without deduction for user contributions.</w:t>
      </w:r>
    </w:p>
    <w:p w14:paraId="08642F23" w14:textId="77777777" w:rsidR="001E16F8" w:rsidRDefault="001700C6" w:rsidP="001700C6">
      <w:pPr>
        <w:pStyle w:val="Quote1"/>
        <w:tabs>
          <w:tab w:val="left" w:pos="1985"/>
        </w:tabs>
        <w:ind w:left="1985" w:hanging="567"/>
        <w:rPr>
          <w:lang w:eastAsia="en-AU"/>
        </w:rPr>
      </w:pPr>
      <w:r>
        <w:rPr>
          <w:lang w:eastAsia="en-AU"/>
        </w:rPr>
        <w:t>(j)</w:t>
      </w:r>
      <w:r>
        <w:rPr>
          <w:lang w:eastAsia="en-AU"/>
        </w:rPr>
        <w:tab/>
      </w:r>
      <w:r w:rsidR="001E16F8">
        <w:rPr>
          <w:lang w:eastAsia="en-AU"/>
        </w:rPr>
        <w:t>Established a number of information requirements.</w:t>
      </w:r>
    </w:p>
    <w:p w14:paraId="067113F5" w14:textId="77777777" w:rsidR="001700C6" w:rsidRPr="001700C6" w:rsidRDefault="003B067A" w:rsidP="001E16F8">
      <w:pPr>
        <w:pStyle w:val="Quote1"/>
        <w:rPr>
          <w:i/>
          <w:lang w:eastAsia="en-AU"/>
        </w:rPr>
      </w:pPr>
      <w:r>
        <w:rPr>
          <w:i/>
          <w:lang w:eastAsia="en-AU"/>
        </w:rPr>
        <w:t>Producer Deed</w:t>
      </w:r>
      <w:r w:rsidR="001E16F8" w:rsidRPr="001700C6">
        <w:rPr>
          <w:i/>
          <w:lang w:eastAsia="en-AU"/>
        </w:rPr>
        <w:t xml:space="preserve"> and </w:t>
      </w:r>
      <w:r>
        <w:rPr>
          <w:i/>
          <w:lang w:eastAsia="en-AU"/>
        </w:rPr>
        <w:t>Vessel Agent Deed</w:t>
      </w:r>
    </w:p>
    <w:p w14:paraId="3B1740FF" w14:textId="77777777" w:rsidR="001700C6" w:rsidRDefault="001E16F8" w:rsidP="001700C6">
      <w:pPr>
        <w:pStyle w:val="Quote1"/>
        <w:tabs>
          <w:tab w:val="left" w:pos="1418"/>
        </w:tabs>
        <w:ind w:left="1418" w:hanging="681"/>
        <w:rPr>
          <w:lang w:eastAsia="en-AU"/>
        </w:rPr>
      </w:pPr>
      <w:r>
        <w:rPr>
          <w:lang w:eastAsia="en-AU"/>
        </w:rPr>
        <w:lastRenderedPageBreak/>
        <w:t>5.25</w:t>
      </w:r>
      <w:r w:rsidR="001700C6">
        <w:rPr>
          <w:lang w:eastAsia="en-AU"/>
        </w:rPr>
        <w:tab/>
      </w:r>
      <w:r>
        <w:rPr>
          <w:lang w:eastAsia="en-AU"/>
        </w:rPr>
        <w:t>In March 2020, PNO published the Producer Pro Forma Long Term Pricing Deed and Vessel Agent Pro Forma Long Term Pricing Deed</w:t>
      </w:r>
      <w:r w:rsidR="001700C6">
        <w:rPr>
          <w:lang w:eastAsia="en-AU"/>
        </w:rPr>
        <w:t xml:space="preserve"> </w:t>
      </w:r>
      <w:r>
        <w:rPr>
          <w:lang w:eastAsia="en-AU"/>
        </w:rPr>
        <w:t>(collectively, the Deed). The Deed replaced the Port User Deed.</w:t>
      </w:r>
    </w:p>
    <w:p w14:paraId="062549D0" w14:textId="77777777" w:rsidR="001E16F8" w:rsidRDefault="001E16F8" w:rsidP="001700C6">
      <w:pPr>
        <w:pStyle w:val="Quote1"/>
        <w:tabs>
          <w:tab w:val="left" w:pos="1418"/>
        </w:tabs>
        <w:ind w:left="1418" w:hanging="681"/>
        <w:rPr>
          <w:lang w:eastAsia="en-AU"/>
        </w:rPr>
      </w:pPr>
      <w:r>
        <w:rPr>
          <w:lang w:eastAsia="en-AU"/>
        </w:rPr>
        <w:t>5.26</w:t>
      </w:r>
      <w:r w:rsidR="001700C6">
        <w:rPr>
          <w:lang w:eastAsia="en-AU"/>
        </w:rPr>
        <w:tab/>
      </w:r>
      <w:r>
        <w:rPr>
          <w:lang w:eastAsia="en-AU"/>
        </w:rPr>
        <w:t xml:space="preserve">The Deed maintained the terms described at items 5.23 (a) - (c) and (f) - (j) but removed the specific provisions that permitted variation to the NSC in response to tax and law reform and amended the approach to material change events. The Deed also introduced capital expenditure transparency measures and non-discriminatory pricing provisions. </w:t>
      </w:r>
    </w:p>
    <w:p w14:paraId="5F8D5580" w14:textId="77777777" w:rsidR="007668DD" w:rsidRDefault="00A346E8" w:rsidP="008240D1">
      <w:pPr>
        <w:pStyle w:val="ParaNumbering"/>
        <w:rPr>
          <w:lang w:eastAsia="en-AU"/>
        </w:rPr>
      </w:pPr>
      <w:r>
        <w:rPr>
          <w:lang w:eastAsia="en-AU"/>
        </w:rPr>
        <w:t>Copies of the Pro Forma</w:t>
      </w:r>
      <w:r w:rsidR="003B067A">
        <w:rPr>
          <w:lang w:eastAsia="en-AU"/>
        </w:rPr>
        <w:t xml:space="preserve"> Pricing Deed</w:t>
      </w:r>
      <w:r>
        <w:rPr>
          <w:lang w:eastAsia="en-AU"/>
        </w:rPr>
        <w:t>s</w:t>
      </w:r>
      <w:r w:rsidR="002A7991">
        <w:rPr>
          <w:lang w:eastAsia="en-AU"/>
        </w:rPr>
        <w:t xml:space="preserve"> were in evidence before the Tribunal, together with an extract of PNO’s submission to the NCC </w:t>
      </w:r>
      <w:r w:rsidR="00C80A7D">
        <w:rPr>
          <w:lang w:eastAsia="en-AU"/>
        </w:rPr>
        <w:t>explaining</w:t>
      </w:r>
      <w:r w:rsidR="002A7991">
        <w:rPr>
          <w:lang w:eastAsia="en-AU"/>
        </w:rPr>
        <w:t xml:space="preserve"> those documents. It will be necessary to refer to the terms of </w:t>
      </w:r>
      <w:r w:rsidR="000726AD">
        <w:rPr>
          <w:lang w:eastAsia="en-AU"/>
        </w:rPr>
        <w:t xml:space="preserve">the </w:t>
      </w:r>
      <w:r w:rsidR="003B067A">
        <w:rPr>
          <w:lang w:eastAsia="en-AU"/>
        </w:rPr>
        <w:t>Producer and Vessel Agent Pricing Deeds</w:t>
      </w:r>
      <w:r w:rsidR="008B052A">
        <w:rPr>
          <w:lang w:eastAsia="en-AU"/>
        </w:rPr>
        <w:t xml:space="preserve"> (</w:t>
      </w:r>
      <w:r w:rsidR="00443116">
        <w:rPr>
          <w:lang w:eastAsia="en-AU"/>
        </w:rPr>
        <w:t>together, the</w:t>
      </w:r>
      <w:r w:rsidR="008B052A">
        <w:rPr>
          <w:b/>
          <w:lang w:eastAsia="en-AU"/>
        </w:rPr>
        <w:t xml:space="preserve"> Deeds</w:t>
      </w:r>
      <w:r w:rsidR="008B052A">
        <w:rPr>
          <w:lang w:eastAsia="en-AU"/>
        </w:rPr>
        <w:t>)</w:t>
      </w:r>
      <w:r w:rsidR="000726AD">
        <w:rPr>
          <w:lang w:eastAsia="en-AU"/>
        </w:rPr>
        <w:t xml:space="preserve"> </w:t>
      </w:r>
      <w:r w:rsidR="002A7991">
        <w:rPr>
          <w:lang w:eastAsia="en-AU"/>
        </w:rPr>
        <w:t>in more detail below.</w:t>
      </w:r>
      <w:r w:rsidR="008A0D8A">
        <w:rPr>
          <w:lang w:eastAsia="en-AU"/>
        </w:rPr>
        <w:t xml:space="preserve"> However, </w:t>
      </w:r>
      <w:r w:rsidR="00966667">
        <w:rPr>
          <w:lang w:eastAsia="en-AU"/>
        </w:rPr>
        <w:t xml:space="preserve">it should be noted that both the </w:t>
      </w:r>
      <w:r w:rsidR="003B067A">
        <w:rPr>
          <w:lang w:eastAsia="en-AU"/>
        </w:rPr>
        <w:t xml:space="preserve">Producer </w:t>
      </w:r>
      <w:r w:rsidR="00966667">
        <w:rPr>
          <w:lang w:eastAsia="en-AU"/>
        </w:rPr>
        <w:t xml:space="preserve">and the </w:t>
      </w:r>
      <w:r w:rsidR="003B067A">
        <w:rPr>
          <w:lang w:eastAsia="en-AU"/>
        </w:rPr>
        <w:t>Vessel Agent Pricing Deed</w:t>
      </w:r>
      <w:r w:rsidR="00856126">
        <w:rPr>
          <w:lang w:eastAsia="en-AU"/>
        </w:rPr>
        <w:t>s</w:t>
      </w:r>
      <w:r w:rsidR="00966667">
        <w:rPr>
          <w:lang w:eastAsia="en-AU"/>
        </w:rPr>
        <w:t xml:space="preserve"> constitute an agreement under s 67 of the P</w:t>
      </w:r>
      <w:r w:rsidR="002C460A">
        <w:rPr>
          <w:lang w:eastAsia="en-AU"/>
        </w:rPr>
        <w:t>A</w:t>
      </w:r>
      <w:r w:rsidR="00966667">
        <w:rPr>
          <w:lang w:eastAsia="en-AU"/>
        </w:rPr>
        <w:t xml:space="preserve">MA Act in respect of the </w:t>
      </w:r>
      <w:r w:rsidR="00E24A0D">
        <w:rPr>
          <w:lang w:eastAsia="en-AU"/>
        </w:rPr>
        <w:t>navigation service charge</w:t>
      </w:r>
      <w:r w:rsidR="003D2B63">
        <w:rPr>
          <w:lang w:eastAsia="en-AU"/>
        </w:rPr>
        <w:t xml:space="preserve">, while </w:t>
      </w:r>
      <w:r w:rsidR="00966667">
        <w:rPr>
          <w:lang w:eastAsia="en-AU"/>
        </w:rPr>
        <w:t xml:space="preserve">only the </w:t>
      </w:r>
      <w:r w:rsidR="003B067A">
        <w:rPr>
          <w:lang w:eastAsia="en-AU"/>
        </w:rPr>
        <w:t>Producer Pricing Deed</w:t>
      </w:r>
      <w:r w:rsidR="003D2B63">
        <w:rPr>
          <w:lang w:eastAsia="en-AU"/>
        </w:rPr>
        <w:t xml:space="preserve"> governs the </w:t>
      </w:r>
      <w:r w:rsidR="00E24A0D">
        <w:rPr>
          <w:lang w:eastAsia="en-AU"/>
        </w:rPr>
        <w:t>wharfage charge</w:t>
      </w:r>
      <w:r w:rsidR="00966667">
        <w:rPr>
          <w:lang w:eastAsia="en-AU"/>
        </w:rPr>
        <w:t xml:space="preserve">. The </w:t>
      </w:r>
      <w:r w:rsidR="003B067A">
        <w:rPr>
          <w:lang w:eastAsia="en-AU"/>
        </w:rPr>
        <w:t>Producer Pricing Deed</w:t>
      </w:r>
      <w:r w:rsidR="00966667">
        <w:rPr>
          <w:lang w:eastAsia="en-AU"/>
        </w:rPr>
        <w:t xml:space="preserve"> enables coal producers to agree the </w:t>
      </w:r>
      <w:r w:rsidR="00E24A0D">
        <w:rPr>
          <w:lang w:eastAsia="en-AU"/>
        </w:rPr>
        <w:t>navigation service charge</w:t>
      </w:r>
      <w:r w:rsidR="008C4CEE">
        <w:rPr>
          <w:lang w:eastAsia="en-AU"/>
        </w:rPr>
        <w:t xml:space="preserve"> and </w:t>
      </w:r>
      <w:r w:rsidR="00E24A0D">
        <w:rPr>
          <w:lang w:eastAsia="en-AU"/>
        </w:rPr>
        <w:t>wharfage charge</w:t>
      </w:r>
      <w:r w:rsidR="00966667">
        <w:rPr>
          <w:lang w:eastAsia="en-AU"/>
        </w:rPr>
        <w:t xml:space="preserve"> with PNO in respect of </w:t>
      </w:r>
      <w:r w:rsidR="00585614">
        <w:rPr>
          <w:lang w:eastAsia="en-AU"/>
        </w:rPr>
        <w:t>“Covered Vessels” which are defined as a vessel that is loaded with and carries out of the Port (a) the producer’s coal (i</w:t>
      </w:r>
      <w:r w:rsidR="00520B0E">
        <w:rPr>
          <w:lang w:eastAsia="en-AU"/>
        </w:rPr>
        <w:t>.</w:t>
      </w:r>
      <w:r w:rsidR="00585614">
        <w:rPr>
          <w:lang w:eastAsia="en-AU"/>
        </w:rPr>
        <w:t>e</w:t>
      </w:r>
      <w:r w:rsidR="00520B0E">
        <w:rPr>
          <w:lang w:eastAsia="en-AU"/>
        </w:rPr>
        <w:t>.</w:t>
      </w:r>
      <w:r w:rsidR="00585614">
        <w:rPr>
          <w:lang w:eastAsia="en-AU"/>
        </w:rPr>
        <w:t xml:space="preserve"> coal mined from one of the producer’s mines) and no other coal or (b) the producer’s coal and other coal in respect of which PNO has agreed that the </w:t>
      </w:r>
      <w:r w:rsidR="00E24A0D">
        <w:rPr>
          <w:lang w:eastAsia="en-AU"/>
        </w:rPr>
        <w:t>navigation service charge</w:t>
      </w:r>
      <w:r w:rsidR="00585614">
        <w:rPr>
          <w:lang w:eastAsia="en-AU"/>
        </w:rPr>
        <w:t xml:space="preserve"> and </w:t>
      </w:r>
      <w:r w:rsidR="00E24A0D">
        <w:rPr>
          <w:lang w:eastAsia="en-AU"/>
        </w:rPr>
        <w:t>wharfage charge</w:t>
      </w:r>
      <w:r w:rsidR="00585614">
        <w:rPr>
          <w:lang w:eastAsia="en-AU"/>
        </w:rPr>
        <w:t xml:space="preserve"> are the same for that other coal as </w:t>
      </w:r>
      <w:r w:rsidR="008240D1">
        <w:rPr>
          <w:lang w:eastAsia="en-AU"/>
        </w:rPr>
        <w:t xml:space="preserve">for </w:t>
      </w:r>
      <w:r w:rsidR="00585614">
        <w:rPr>
          <w:lang w:eastAsia="en-AU"/>
        </w:rPr>
        <w:t>the producer, and no other</w:t>
      </w:r>
      <w:r w:rsidR="008240D1">
        <w:rPr>
          <w:lang w:eastAsia="en-AU"/>
        </w:rPr>
        <w:t xml:space="preserve"> </w:t>
      </w:r>
      <w:r w:rsidR="00585614">
        <w:rPr>
          <w:lang w:eastAsia="en-AU"/>
        </w:rPr>
        <w:t>coal.</w:t>
      </w:r>
      <w:r w:rsidR="008240D1">
        <w:rPr>
          <w:lang w:eastAsia="en-AU"/>
        </w:rPr>
        <w:t xml:space="preserve"> </w:t>
      </w:r>
      <w:r w:rsidR="00966667">
        <w:rPr>
          <w:lang w:eastAsia="en-AU"/>
        </w:rPr>
        <w:t xml:space="preserve">The </w:t>
      </w:r>
      <w:r w:rsidR="003B067A">
        <w:rPr>
          <w:lang w:eastAsia="en-AU"/>
        </w:rPr>
        <w:t>Vessel Agent Pricing Deed</w:t>
      </w:r>
      <w:r w:rsidR="00966667">
        <w:rPr>
          <w:lang w:eastAsia="en-AU"/>
        </w:rPr>
        <w:t xml:space="preserve"> enables vessel agents to agree the </w:t>
      </w:r>
      <w:r w:rsidR="00E24A0D">
        <w:rPr>
          <w:lang w:eastAsia="en-AU"/>
        </w:rPr>
        <w:t>navigation service charge</w:t>
      </w:r>
      <w:r w:rsidR="00966667">
        <w:rPr>
          <w:lang w:eastAsia="en-AU"/>
        </w:rPr>
        <w:t xml:space="preserve"> with PNO in respect of </w:t>
      </w:r>
      <w:r w:rsidR="00585614">
        <w:rPr>
          <w:lang w:eastAsia="en-AU"/>
        </w:rPr>
        <w:t>“Covered Vessels” which are defined as a vessel that is</w:t>
      </w:r>
      <w:r w:rsidR="00966667">
        <w:rPr>
          <w:lang w:eastAsia="en-AU"/>
        </w:rPr>
        <w:t xml:space="preserve"> </w:t>
      </w:r>
      <w:r w:rsidR="00585614">
        <w:rPr>
          <w:lang w:eastAsia="en-AU"/>
        </w:rPr>
        <w:t>loaded with coal at the Port in respect of which the Vessel Agent is named as the vessel's inward agent in the vessel berthing application lodged with PNO in respect of that vessel's visit to the Port</w:t>
      </w:r>
      <w:r w:rsidR="00966667">
        <w:rPr>
          <w:lang w:eastAsia="en-AU"/>
        </w:rPr>
        <w:t>.</w:t>
      </w:r>
    </w:p>
    <w:p w14:paraId="4C15FE65" w14:textId="358DB9CC" w:rsidR="006B546F" w:rsidRDefault="006B546F" w:rsidP="00CC0998">
      <w:pPr>
        <w:pStyle w:val="ParaNumbering"/>
        <w:rPr>
          <w:lang w:eastAsia="en-AU"/>
        </w:rPr>
      </w:pPr>
      <w:r>
        <w:rPr>
          <w:lang w:eastAsia="en-AU"/>
        </w:rPr>
        <w:t xml:space="preserve">PNO’s submission to the NCC in respect of the Deeds states that PNO </w:t>
      </w:r>
      <w:r w:rsidR="008A0D8A">
        <w:rPr>
          <w:lang w:eastAsia="en-AU"/>
        </w:rPr>
        <w:t xml:space="preserve">has (through their agents) entered into, with effect from 1 April 2020, </w:t>
      </w:r>
      <w:r w:rsidR="008B052A">
        <w:rPr>
          <w:lang w:eastAsia="en-AU"/>
        </w:rPr>
        <w:t>d</w:t>
      </w:r>
      <w:r w:rsidR="008A0D8A">
        <w:rPr>
          <w:lang w:eastAsia="en-AU"/>
        </w:rPr>
        <w:t>eeds with all of the coal vessels calling at the Port</w:t>
      </w:r>
      <w:r w:rsidR="00FA186E">
        <w:rPr>
          <w:lang w:eastAsia="en-AU"/>
        </w:rPr>
        <w:t>. As the Deeds have a 10 year term, the Deeds will determine</w:t>
      </w:r>
      <w:r w:rsidR="008A0D8A">
        <w:rPr>
          <w:lang w:eastAsia="en-AU"/>
        </w:rPr>
        <w:t xml:space="preserve"> the charges in respect of navigation services supplied at the Port</w:t>
      </w:r>
      <w:r w:rsidR="00FA186E">
        <w:rPr>
          <w:lang w:eastAsia="en-AU"/>
        </w:rPr>
        <w:t xml:space="preserve"> in respect of the covered vessels for the next ten years (in the absence of </w:t>
      </w:r>
      <w:r w:rsidR="0079129A">
        <w:rPr>
          <w:lang w:eastAsia="en-AU"/>
        </w:rPr>
        <w:t xml:space="preserve">another </w:t>
      </w:r>
      <w:r w:rsidR="00FA186E">
        <w:rPr>
          <w:lang w:eastAsia="en-AU"/>
        </w:rPr>
        <w:t xml:space="preserve">declaration which </w:t>
      </w:r>
      <w:r w:rsidR="0079129A">
        <w:rPr>
          <w:lang w:eastAsia="en-AU"/>
        </w:rPr>
        <w:t xml:space="preserve">results in </w:t>
      </w:r>
      <w:r w:rsidR="00FA186E">
        <w:rPr>
          <w:lang w:eastAsia="en-AU"/>
        </w:rPr>
        <w:t>lower charges)</w:t>
      </w:r>
      <w:r w:rsidR="008A0D8A">
        <w:rPr>
          <w:lang w:eastAsia="en-AU"/>
        </w:rPr>
        <w:t>.</w:t>
      </w:r>
      <w:r w:rsidR="00F87ED7">
        <w:rPr>
          <w:lang w:eastAsia="en-AU"/>
        </w:rPr>
        <w:t xml:space="preserve"> </w:t>
      </w:r>
      <w:r w:rsidR="00FA186E">
        <w:rPr>
          <w:lang w:eastAsia="en-AU"/>
        </w:rPr>
        <w:t>The terms of tho</w:t>
      </w:r>
      <w:r w:rsidR="008A0D8A" w:rsidRPr="008A0D8A">
        <w:rPr>
          <w:lang w:eastAsia="en-AU"/>
        </w:rPr>
        <w:t xml:space="preserve">se Deeds are the same as the </w:t>
      </w:r>
      <w:r w:rsidR="008A0D8A">
        <w:rPr>
          <w:lang w:eastAsia="en-AU"/>
        </w:rPr>
        <w:t>pro forma</w:t>
      </w:r>
      <w:r w:rsidR="008A0D8A" w:rsidRPr="008A0D8A">
        <w:rPr>
          <w:lang w:eastAsia="en-AU"/>
        </w:rPr>
        <w:t xml:space="preserve"> </w:t>
      </w:r>
      <w:r w:rsidR="003B067A">
        <w:rPr>
          <w:lang w:eastAsia="en-AU"/>
        </w:rPr>
        <w:t>Vessel Agent Pricing Deed</w:t>
      </w:r>
      <w:r w:rsidR="008A0D8A">
        <w:rPr>
          <w:lang w:eastAsia="en-AU"/>
        </w:rPr>
        <w:t xml:space="preserve">. As a result, PNO has been charging all </w:t>
      </w:r>
      <w:r w:rsidR="00FA186E">
        <w:rPr>
          <w:lang w:eastAsia="en-AU"/>
        </w:rPr>
        <w:t xml:space="preserve">coal </w:t>
      </w:r>
      <w:r w:rsidR="008A0D8A">
        <w:rPr>
          <w:lang w:eastAsia="en-AU"/>
        </w:rPr>
        <w:t>vessels calling at the Port</w:t>
      </w:r>
      <w:r w:rsidR="003C37E8">
        <w:rPr>
          <w:lang w:eastAsia="en-AU"/>
        </w:rPr>
        <w:t xml:space="preserve"> </w:t>
      </w:r>
      <w:r w:rsidR="0079129A">
        <w:rPr>
          <w:lang w:eastAsia="en-AU"/>
        </w:rPr>
        <w:t xml:space="preserve">the </w:t>
      </w:r>
      <w:r w:rsidR="00E24A0D">
        <w:rPr>
          <w:lang w:eastAsia="en-AU"/>
        </w:rPr>
        <w:t>navigation service charge</w:t>
      </w:r>
      <w:r w:rsidR="0079129A">
        <w:rPr>
          <w:lang w:eastAsia="en-AU"/>
        </w:rPr>
        <w:t xml:space="preserve"> as determined in accordance with </w:t>
      </w:r>
      <w:r w:rsidR="00897CB3">
        <w:rPr>
          <w:lang w:eastAsia="en-AU"/>
        </w:rPr>
        <w:t>that pro forma</w:t>
      </w:r>
      <w:r w:rsidR="00897CB3" w:rsidRPr="008A0D8A">
        <w:rPr>
          <w:lang w:eastAsia="en-AU"/>
        </w:rPr>
        <w:t xml:space="preserve"> </w:t>
      </w:r>
      <w:r w:rsidR="0079129A">
        <w:rPr>
          <w:lang w:eastAsia="en-AU"/>
        </w:rPr>
        <w:t>Deed</w:t>
      </w:r>
      <w:r w:rsidR="008A0D8A">
        <w:rPr>
          <w:lang w:eastAsia="en-AU"/>
        </w:rPr>
        <w:t xml:space="preserve">. No charges have been levied on any coal vessel under s 50 of the PAMA Act since that date and PNO does not expect to levy any charges under s 50 of the PAMA Act in relation to any coal vessel for the ten year duration of those s 67 agreements. PNO stated that it has made it clear by way of open offer on its website that the same s 67 </w:t>
      </w:r>
      <w:r w:rsidR="008A0D8A">
        <w:rPr>
          <w:lang w:eastAsia="en-AU"/>
        </w:rPr>
        <w:lastRenderedPageBreak/>
        <w:t>agreement is available to any other coal vessel that should choose to call at the Port to carry export coal. This would include operators of vessels that should choose to call at the Port in the future in respect of any new mine which is developed over the period of the term of the pricing arrangement offer.</w:t>
      </w:r>
    </w:p>
    <w:p w14:paraId="02CD3BF1" w14:textId="3223B5A3" w:rsidR="00B2059E" w:rsidRDefault="00B2059E" w:rsidP="00CC0998">
      <w:pPr>
        <w:pStyle w:val="ParaNumbering"/>
        <w:rPr>
          <w:lang w:eastAsia="en-AU"/>
        </w:rPr>
      </w:pPr>
      <w:r>
        <w:rPr>
          <w:lang w:eastAsia="en-AU"/>
        </w:rPr>
        <w:t xml:space="preserve">While NSWMC submitted that no coal producer had entered into the </w:t>
      </w:r>
      <w:r w:rsidR="003B067A">
        <w:rPr>
          <w:lang w:eastAsia="en-AU"/>
        </w:rPr>
        <w:t>Producer Pricing Deed</w:t>
      </w:r>
      <w:r>
        <w:rPr>
          <w:lang w:eastAsia="en-AU"/>
        </w:rPr>
        <w:t xml:space="preserve"> with PNO, it is uncontroversial that coal producers presently </w:t>
      </w:r>
      <w:r w:rsidR="00D75F4F">
        <w:rPr>
          <w:lang w:eastAsia="en-AU"/>
        </w:rPr>
        <w:t xml:space="preserve">have the </w:t>
      </w:r>
      <w:r>
        <w:rPr>
          <w:lang w:eastAsia="en-AU"/>
        </w:rPr>
        <w:t xml:space="preserve">benefit </w:t>
      </w:r>
      <w:r w:rsidR="00D75F4F">
        <w:rPr>
          <w:lang w:eastAsia="en-AU"/>
        </w:rPr>
        <w:t>of</w:t>
      </w:r>
      <w:r>
        <w:rPr>
          <w:lang w:eastAsia="en-AU"/>
        </w:rPr>
        <w:t xml:space="preserve"> the </w:t>
      </w:r>
      <w:r w:rsidR="00E24A0D">
        <w:rPr>
          <w:lang w:eastAsia="en-AU"/>
        </w:rPr>
        <w:t>navigation service charge</w:t>
      </w:r>
      <w:r w:rsidR="00D75F4F">
        <w:rPr>
          <w:lang w:eastAsia="en-AU"/>
        </w:rPr>
        <w:t xml:space="preserve"> </w:t>
      </w:r>
      <w:r w:rsidR="003A6F45">
        <w:rPr>
          <w:lang w:eastAsia="en-AU"/>
        </w:rPr>
        <w:t>rate</w:t>
      </w:r>
      <w:r w:rsidR="00D75F4F">
        <w:rPr>
          <w:lang w:eastAsia="en-AU"/>
        </w:rPr>
        <w:t xml:space="preserve"> in the </w:t>
      </w:r>
      <w:r w:rsidR="003B067A">
        <w:rPr>
          <w:lang w:eastAsia="en-AU"/>
        </w:rPr>
        <w:t>Vessel Agent Pricing Deed</w:t>
      </w:r>
      <w:r w:rsidR="00D75F4F">
        <w:rPr>
          <w:lang w:eastAsia="en-AU"/>
        </w:rPr>
        <w:t xml:space="preserve">s </w:t>
      </w:r>
      <w:r w:rsidR="00650C16">
        <w:rPr>
          <w:lang w:eastAsia="en-AU"/>
        </w:rPr>
        <w:t>which appl</w:t>
      </w:r>
      <w:r w:rsidR="003A6F45">
        <w:rPr>
          <w:lang w:eastAsia="en-AU"/>
        </w:rPr>
        <w:t>ies</w:t>
      </w:r>
      <w:r w:rsidR="00650C16">
        <w:rPr>
          <w:lang w:eastAsia="en-AU"/>
        </w:rPr>
        <w:t xml:space="preserve"> to all</w:t>
      </w:r>
      <w:r w:rsidR="00D75F4F">
        <w:rPr>
          <w:lang w:eastAsia="en-AU"/>
        </w:rPr>
        <w:t xml:space="preserve"> coal vessels using the shipping channel service at the Port.</w:t>
      </w:r>
    </w:p>
    <w:p w14:paraId="16813876" w14:textId="77777777" w:rsidR="00650C16" w:rsidRDefault="00650C16" w:rsidP="00650C16">
      <w:pPr>
        <w:pStyle w:val="Heading2"/>
        <w:rPr>
          <w:lang w:eastAsia="en-AU"/>
        </w:rPr>
      </w:pPr>
      <w:bookmarkStart w:id="25" w:name="_Ref78900488"/>
      <w:r>
        <w:rPr>
          <w:lang w:eastAsia="en-AU"/>
        </w:rPr>
        <w:t>Authorisation of collective bargaining</w:t>
      </w:r>
      <w:bookmarkEnd w:id="25"/>
    </w:p>
    <w:p w14:paraId="765FCB47" w14:textId="77777777" w:rsidR="007C6911" w:rsidRDefault="00650C16" w:rsidP="007C6911">
      <w:pPr>
        <w:pStyle w:val="ParaNumbering"/>
        <w:rPr>
          <w:lang w:eastAsia="en-AU"/>
        </w:rPr>
      </w:pPr>
      <w:r w:rsidRPr="00650C16">
        <w:rPr>
          <w:lang w:eastAsia="en-AU"/>
        </w:rPr>
        <w:t xml:space="preserve">In March 2020, the </w:t>
      </w:r>
      <w:r>
        <w:rPr>
          <w:lang w:eastAsia="en-AU"/>
        </w:rPr>
        <w:t>NSWMC and ten mining companies</w:t>
      </w:r>
      <w:r w:rsidRPr="00650C16">
        <w:rPr>
          <w:lang w:eastAsia="en-AU"/>
        </w:rPr>
        <w:t xml:space="preserve"> sought authorisation from the ACCC to bargain </w:t>
      </w:r>
      <w:r w:rsidR="003A6F45" w:rsidRPr="00650C16">
        <w:rPr>
          <w:lang w:eastAsia="en-AU"/>
        </w:rPr>
        <w:t xml:space="preserve">collectively </w:t>
      </w:r>
      <w:r w:rsidRPr="00650C16">
        <w:rPr>
          <w:lang w:eastAsia="en-AU"/>
        </w:rPr>
        <w:t xml:space="preserve">with PNO </w:t>
      </w:r>
      <w:r w:rsidR="007C6911">
        <w:rPr>
          <w:lang w:eastAsia="en-AU"/>
        </w:rPr>
        <w:t xml:space="preserve">in respect of </w:t>
      </w:r>
      <w:r w:rsidRPr="00650C16">
        <w:rPr>
          <w:lang w:eastAsia="en-AU"/>
        </w:rPr>
        <w:t xml:space="preserve">the terms and conditions of access </w:t>
      </w:r>
      <w:r w:rsidR="007C6911">
        <w:rPr>
          <w:lang w:eastAsia="en-AU"/>
        </w:rPr>
        <w:t>for</w:t>
      </w:r>
      <w:r w:rsidRPr="00650C16">
        <w:rPr>
          <w:lang w:eastAsia="en-AU"/>
        </w:rPr>
        <w:t xml:space="preserve"> the export of coal from the Port</w:t>
      </w:r>
      <w:r w:rsidR="007C6911">
        <w:rPr>
          <w:lang w:eastAsia="en-AU"/>
        </w:rPr>
        <w:t xml:space="preserve">. </w:t>
      </w:r>
      <w:r w:rsidR="007C6911" w:rsidRPr="007C6911">
        <w:rPr>
          <w:lang w:eastAsia="en-AU"/>
        </w:rPr>
        <w:t xml:space="preserve">The ACCC </w:t>
      </w:r>
      <w:r w:rsidR="007C6911">
        <w:rPr>
          <w:lang w:eastAsia="en-AU"/>
        </w:rPr>
        <w:t>granted authorisation on 27 August 2020.</w:t>
      </w:r>
      <w:r w:rsidR="007C6911" w:rsidRPr="007C6911">
        <w:rPr>
          <w:lang w:eastAsia="en-AU"/>
        </w:rPr>
        <w:t xml:space="preserve"> The </w:t>
      </w:r>
      <w:r w:rsidR="007C6911">
        <w:rPr>
          <w:lang w:eastAsia="en-AU"/>
        </w:rPr>
        <w:t>a</w:t>
      </w:r>
      <w:r w:rsidR="007C6911" w:rsidRPr="007C6911">
        <w:rPr>
          <w:lang w:eastAsia="en-AU"/>
        </w:rPr>
        <w:t>uthorisation permits the NSWMC and ten of its nominated members to negotiate</w:t>
      </w:r>
      <w:r w:rsidR="003A6F45">
        <w:rPr>
          <w:lang w:eastAsia="en-AU"/>
        </w:rPr>
        <w:t xml:space="preserve"> </w:t>
      </w:r>
      <w:r w:rsidR="003A6F45" w:rsidRPr="007C6911">
        <w:rPr>
          <w:lang w:eastAsia="en-AU"/>
        </w:rPr>
        <w:t>collectively</w:t>
      </w:r>
      <w:r w:rsidR="007C6911" w:rsidRPr="007C6911">
        <w:rPr>
          <w:lang w:eastAsia="en-AU"/>
        </w:rPr>
        <w:t xml:space="preserve"> with PNO in relation to the terms and conditions of access, including price, at the Port. The authorised </w:t>
      </w:r>
      <w:r w:rsidR="007C6911">
        <w:rPr>
          <w:lang w:eastAsia="en-AU"/>
        </w:rPr>
        <w:t>conduct allows</w:t>
      </w:r>
      <w:r w:rsidR="007C6911" w:rsidRPr="007C6911">
        <w:rPr>
          <w:lang w:eastAsia="en-AU"/>
        </w:rPr>
        <w:t xml:space="preserve"> for joint discussion and negotiation of common industry issues. Participation in the collective bargaining is voluntary for all parties and </w:t>
      </w:r>
      <w:r w:rsidR="007C6911">
        <w:rPr>
          <w:lang w:eastAsia="en-AU"/>
        </w:rPr>
        <w:t>the authorisation</w:t>
      </w:r>
      <w:r w:rsidR="007C6911" w:rsidRPr="007C6911">
        <w:rPr>
          <w:lang w:eastAsia="en-AU"/>
        </w:rPr>
        <w:t xml:space="preserve"> does not permit boycotts. As such, PNO may be invited, but is not required, to attend and cannot be compelled to participate in the bargaining process</w:t>
      </w:r>
      <w:r w:rsidR="007C6911">
        <w:rPr>
          <w:lang w:eastAsia="en-AU"/>
        </w:rPr>
        <w:t>.</w:t>
      </w:r>
    </w:p>
    <w:p w14:paraId="54064D6A" w14:textId="77777777" w:rsidR="007C6911" w:rsidRPr="00650C16" w:rsidRDefault="007C6911" w:rsidP="007C6911">
      <w:pPr>
        <w:pStyle w:val="ParaNumbering"/>
        <w:rPr>
          <w:lang w:eastAsia="en-AU"/>
        </w:rPr>
      </w:pPr>
      <w:r w:rsidRPr="007C6911">
        <w:rPr>
          <w:lang w:eastAsia="en-AU"/>
        </w:rPr>
        <w:t xml:space="preserve">On 17 September 2020, PNO applied to the Tribunal for review of the ACCC’s determination. The </w:t>
      </w:r>
      <w:r>
        <w:rPr>
          <w:lang w:eastAsia="en-AU"/>
        </w:rPr>
        <w:t>review</w:t>
      </w:r>
      <w:r w:rsidRPr="007C6911">
        <w:rPr>
          <w:lang w:eastAsia="en-AU"/>
        </w:rPr>
        <w:t xml:space="preserve"> </w:t>
      </w:r>
      <w:r>
        <w:rPr>
          <w:lang w:eastAsia="en-AU"/>
        </w:rPr>
        <w:t>is yet to be heard by</w:t>
      </w:r>
      <w:r w:rsidRPr="007C6911">
        <w:rPr>
          <w:lang w:eastAsia="en-AU"/>
        </w:rPr>
        <w:t xml:space="preserve"> the Tribunal</w:t>
      </w:r>
      <w:r>
        <w:rPr>
          <w:lang w:eastAsia="en-AU"/>
        </w:rPr>
        <w:t>.</w:t>
      </w:r>
      <w:r w:rsidR="00FA10D0">
        <w:rPr>
          <w:lang w:eastAsia="en-AU"/>
        </w:rPr>
        <w:t xml:space="preserve"> </w:t>
      </w:r>
      <w:r w:rsidR="00E23552">
        <w:rPr>
          <w:lang w:eastAsia="en-AU"/>
        </w:rPr>
        <w:t>PNO’s application to the Tribunal for review has the effect that the authorisation has not come into effect (see s 91(1A) of the Act).</w:t>
      </w:r>
    </w:p>
    <w:p w14:paraId="10D4C7A2" w14:textId="77777777" w:rsidR="007668DD" w:rsidRDefault="007668DD" w:rsidP="009F17C2">
      <w:pPr>
        <w:pStyle w:val="Heading1"/>
        <w:numPr>
          <w:ilvl w:val="0"/>
          <w:numId w:val="29"/>
        </w:numPr>
        <w:ind w:hanging="720"/>
        <w:rPr>
          <w:lang w:eastAsia="en-AU"/>
        </w:rPr>
      </w:pPr>
      <w:bookmarkStart w:id="26" w:name="_Ref78900489"/>
      <w:r>
        <w:rPr>
          <w:lang w:eastAsia="en-AU"/>
        </w:rPr>
        <w:t>TrEasurer’s Decision</w:t>
      </w:r>
      <w:bookmarkEnd w:id="26"/>
    </w:p>
    <w:p w14:paraId="4DFB4973" w14:textId="77777777" w:rsidR="001A5B70" w:rsidRDefault="00462C29" w:rsidP="007668DD">
      <w:pPr>
        <w:pStyle w:val="ParaNumbering"/>
        <w:rPr>
          <w:lang w:eastAsia="en-AU"/>
        </w:rPr>
      </w:pPr>
      <w:r w:rsidRPr="00462C29">
        <w:rPr>
          <w:lang w:eastAsia="en-AU"/>
        </w:rPr>
        <w:t xml:space="preserve">On 16 February 2021, the Treasurer decided under s 44H(1) of the Act not to declare the </w:t>
      </w:r>
      <w:r w:rsidR="00294718">
        <w:rPr>
          <w:lang w:eastAsia="en-AU"/>
        </w:rPr>
        <w:t>shipping channel service</w:t>
      </w:r>
      <w:r w:rsidRPr="00462C29">
        <w:rPr>
          <w:lang w:eastAsia="en-AU"/>
        </w:rPr>
        <w:t xml:space="preserve"> </w:t>
      </w:r>
      <w:r w:rsidR="0027140A">
        <w:rPr>
          <w:lang w:eastAsia="en-AU"/>
        </w:rPr>
        <w:t>because he was not satisfied</w:t>
      </w:r>
      <w:r w:rsidRPr="00462C29">
        <w:rPr>
          <w:lang w:eastAsia="en-AU"/>
        </w:rPr>
        <w:t xml:space="preserve"> that the criteria in paragraphs 44CA(1)(a) and (d) </w:t>
      </w:r>
      <w:r w:rsidR="0027140A">
        <w:rPr>
          <w:lang w:eastAsia="en-AU"/>
        </w:rPr>
        <w:t>were</w:t>
      </w:r>
      <w:r w:rsidRPr="00462C29">
        <w:rPr>
          <w:lang w:eastAsia="en-AU"/>
        </w:rPr>
        <w:t xml:space="preserve"> satisfied.</w:t>
      </w:r>
      <w:r w:rsidR="001A5B70">
        <w:rPr>
          <w:lang w:eastAsia="en-AU"/>
        </w:rPr>
        <w:t xml:space="preserve"> In accordance with s 44HA, the </w:t>
      </w:r>
      <w:r w:rsidR="00CF3C70">
        <w:rPr>
          <w:lang w:eastAsia="en-AU"/>
        </w:rPr>
        <w:t>Reasons</w:t>
      </w:r>
      <w:r w:rsidR="001A5B70">
        <w:rPr>
          <w:lang w:eastAsia="en-AU"/>
        </w:rPr>
        <w:t xml:space="preserve"> set out the Treasurer’s reasons for </w:t>
      </w:r>
      <w:r w:rsidR="00AB1B90">
        <w:rPr>
          <w:lang w:eastAsia="en-AU"/>
        </w:rPr>
        <w:t xml:space="preserve">his </w:t>
      </w:r>
      <w:r w:rsidR="001A5B70">
        <w:rPr>
          <w:lang w:eastAsia="en-AU"/>
        </w:rPr>
        <w:t xml:space="preserve">decision. The </w:t>
      </w:r>
      <w:r w:rsidR="00CF3C70">
        <w:rPr>
          <w:lang w:eastAsia="en-AU"/>
        </w:rPr>
        <w:t>Reasons</w:t>
      </w:r>
      <w:r w:rsidR="001A5B70">
        <w:rPr>
          <w:lang w:eastAsia="en-AU"/>
        </w:rPr>
        <w:t xml:space="preserve"> stated that:</w:t>
      </w:r>
    </w:p>
    <w:p w14:paraId="3C3D9213" w14:textId="77777777" w:rsidR="001A5B70" w:rsidRDefault="001A5B70" w:rsidP="001A5B70">
      <w:pPr>
        <w:pStyle w:val="Quote1"/>
        <w:rPr>
          <w:lang w:eastAsia="en-AU"/>
        </w:rPr>
      </w:pPr>
      <w:r>
        <w:rPr>
          <w:lang w:eastAsia="en-AU"/>
        </w:rPr>
        <w:t>In making this decision, I have had regard to:</w:t>
      </w:r>
    </w:p>
    <w:p w14:paraId="2119BFD1" w14:textId="77777777" w:rsidR="001A5B70" w:rsidRDefault="001A5B70" w:rsidP="001A5B70">
      <w:pPr>
        <w:pStyle w:val="Quote1"/>
        <w:tabs>
          <w:tab w:val="left" w:pos="1418"/>
        </w:tabs>
        <w:ind w:left="1418" w:hanging="681"/>
        <w:rPr>
          <w:lang w:eastAsia="en-AU"/>
        </w:rPr>
      </w:pPr>
      <w:r>
        <w:rPr>
          <w:lang w:eastAsia="en-AU"/>
        </w:rPr>
        <w:t xml:space="preserve">• </w:t>
      </w:r>
      <w:r>
        <w:rPr>
          <w:lang w:eastAsia="en-AU"/>
        </w:rPr>
        <w:tab/>
        <w:t>the objects of Part IIIA;</w:t>
      </w:r>
    </w:p>
    <w:p w14:paraId="73E07164" w14:textId="77777777" w:rsidR="001A5B70" w:rsidRDefault="001A5B70" w:rsidP="001A5B70">
      <w:pPr>
        <w:pStyle w:val="Quote1"/>
        <w:tabs>
          <w:tab w:val="left" w:pos="1418"/>
        </w:tabs>
        <w:ind w:left="1418" w:hanging="681"/>
        <w:rPr>
          <w:lang w:eastAsia="en-AU"/>
        </w:rPr>
      </w:pPr>
      <w:r>
        <w:rPr>
          <w:lang w:eastAsia="en-AU"/>
        </w:rPr>
        <w:t xml:space="preserve">• </w:t>
      </w:r>
      <w:r>
        <w:rPr>
          <w:lang w:eastAsia="en-AU"/>
        </w:rPr>
        <w:tab/>
        <w:t>the declaration criteria in section 44CA of the CCA; and</w:t>
      </w:r>
    </w:p>
    <w:p w14:paraId="046AF993" w14:textId="77777777" w:rsidR="001A5B70" w:rsidRDefault="001A5B70" w:rsidP="001A5B70">
      <w:pPr>
        <w:pStyle w:val="Quote1"/>
        <w:tabs>
          <w:tab w:val="left" w:pos="1418"/>
        </w:tabs>
        <w:ind w:left="1418" w:hanging="681"/>
        <w:rPr>
          <w:lang w:eastAsia="en-AU"/>
        </w:rPr>
      </w:pPr>
      <w:r>
        <w:rPr>
          <w:lang w:eastAsia="en-AU"/>
        </w:rPr>
        <w:t xml:space="preserve">• </w:t>
      </w:r>
      <w:r>
        <w:rPr>
          <w:lang w:eastAsia="en-AU"/>
        </w:rPr>
        <w:tab/>
        <w:t>the NCC's Recommendation provided to me on 18 December 2020.</w:t>
      </w:r>
    </w:p>
    <w:p w14:paraId="16F533C7" w14:textId="77777777" w:rsidR="002B703D" w:rsidRDefault="00583A51" w:rsidP="001A5B70">
      <w:pPr>
        <w:pStyle w:val="Quote1"/>
        <w:rPr>
          <w:lang w:eastAsia="en-AU"/>
        </w:rPr>
      </w:pPr>
      <w:r>
        <w:rPr>
          <w:lang w:eastAsia="en-AU"/>
        </w:rPr>
        <w:t>I</w:t>
      </w:r>
      <w:r w:rsidR="001A5B70">
        <w:rPr>
          <w:lang w:eastAsia="en-AU"/>
        </w:rPr>
        <w:t xml:space="preserve"> have considered the findings and reasoning in the NCC's Recommendation, including </w:t>
      </w:r>
      <w:r w:rsidR="001A5B70">
        <w:rPr>
          <w:lang w:eastAsia="en-AU"/>
        </w:rPr>
        <w:lastRenderedPageBreak/>
        <w:t xml:space="preserve">the NCC's consideration of the submissions it received, and I accept the conclusions reached by the NCC in the Recommendation. Having considered those conclusions, I have independently decided that I am not satisfied that either paragraph 44CA(l)(a) or (d) are met. </w:t>
      </w:r>
    </w:p>
    <w:p w14:paraId="57D015AF" w14:textId="77777777" w:rsidR="0022375C" w:rsidRDefault="0027140A" w:rsidP="00DF6448">
      <w:pPr>
        <w:pStyle w:val="ParaNumbering"/>
        <w:rPr>
          <w:lang w:eastAsia="en-AU"/>
        </w:rPr>
      </w:pPr>
      <w:r>
        <w:rPr>
          <w:lang w:eastAsia="en-AU"/>
        </w:rPr>
        <w:t xml:space="preserve">In relation to criterion (a), the </w:t>
      </w:r>
      <w:r w:rsidR="00CF3C70">
        <w:rPr>
          <w:lang w:eastAsia="en-AU"/>
        </w:rPr>
        <w:t>Reasons</w:t>
      </w:r>
      <w:r w:rsidR="00BF2B84">
        <w:rPr>
          <w:lang w:eastAsia="en-AU"/>
        </w:rPr>
        <w:t xml:space="preserve"> record</w:t>
      </w:r>
      <w:r>
        <w:rPr>
          <w:lang w:eastAsia="en-AU"/>
        </w:rPr>
        <w:t xml:space="preserve"> that </w:t>
      </w:r>
      <w:r w:rsidR="0022375C">
        <w:rPr>
          <w:lang w:eastAsia="en-AU"/>
        </w:rPr>
        <w:t>the Treasurer reached the following conclusions.</w:t>
      </w:r>
    </w:p>
    <w:p w14:paraId="64DCC3D9" w14:textId="77777777" w:rsidR="0022375C" w:rsidRDefault="0022375C" w:rsidP="0022375C">
      <w:pPr>
        <w:pStyle w:val="ParaNumbering"/>
        <w:rPr>
          <w:lang w:eastAsia="en-AU"/>
        </w:rPr>
      </w:pPr>
      <w:r>
        <w:rPr>
          <w:lang w:eastAsia="en-AU"/>
        </w:rPr>
        <w:t xml:space="preserve">First, there are likely to be five functionally distinct dependent markets relevant to access to the </w:t>
      </w:r>
      <w:r w:rsidR="00294718">
        <w:rPr>
          <w:lang w:eastAsia="en-AU"/>
        </w:rPr>
        <w:t>shipping channel service</w:t>
      </w:r>
      <w:r>
        <w:rPr>
          <w:lang w:eastAsia="en-AU"/>
        </w:rPr>
        <w:t xml:space="preserve"> being:</w:t>
      </w:r>
    </w:p>
    <w:p w14:paraId="04523D8B" w14:textId="77777777" w:rsidR="0022375C" w:rsidRDefault="0022375C" w:rsidP="009F17C2">
      <w:pPr>
        <w:pStyle w:val="ListNo1alt"/>
        <w:numPr>
          <w:ilvl w:val="0"/>
          <w:numId w:val="34"/>
        </w:numPr>
        <w:rPr>
          <w:lang w:eastAsia="en-AU"/>
        </w:rPr>
      </w:pPr>
      <w:r>
        <w:rPr>
          <w:lang w:eastAsia="en-AU"/>
        </w:rPr>
        <w:t xml:space="preserve">a coal export market (the </w:t>
      </w:r>
      <w:r w:rsidRPr="00294718">
        <w:rPr>
          <w:b/>
          <w:lang w:eastAsia="en-AU"/>
        </w:rPr>
        <w:t>coal export market</w:t>
      </w:r>
      <w:r>
        <w:rPr>
          <w:lang w:eastAsia="en-AU"/>
        </w:rPr>
        <w:t>);</w:t>
      </w:r>
    </w:p>
    <w:p w14:paraId="620FAB93" w14:textId="77777777" w:rsidR="0022375C" w:rsidRDefault="0022375C" w:rsidP="009F17C2">
      <w:pPr>
        <w:pStyle w:val="ListNo1alt"/>
        <w:numPr>
          <w:ilvl w:val="0"/>
          <w:numId w:val="34"/>
        </w:numPr>
        <w:rPr>
          <w:lang w:eastAsia="en-AU"/>
        </w:rPr>
      </w:pPr>
      <w:r>
        <w:rPr>
          <w:lang w:eastAsia="en-AU"/>
        </w:rPr>
        <w:t xml:space="preserve">markets for the acquisition and disposal of exploration and/or mining authorities (the </w:t>
      </w:r>
      <w:r w:rsidRPr="00294718">
        <w:rPr>
          <w:b/>
          <w:lang w:eastAsia="en-AU"/>
        </w:rPr>
        <w:t>tenements market</w:t>
      </w:r>
      <w:r>
        <w:rPr>
          <w:lang w:eastAsia="en-AU"/>
        </w:rPr>
        <w:t>);</w:t>
      </w:r>
    </w:p>
    <w:p w14:paraId="0E361B72" w14:textId="77777777" w:rsidR="0022375C" w:rsidRDefault="0022375C" w:rsidP="009F17C2">
      <w:pPr>
        <w:pStyle w:val="ListNo1alt"/>
        <w:numPr>
          <w:ilvl w:val="0"/>
          <w:numId w:val="34"/>
        </w:numPr>
        <w:rPr>
          <w:lang w:eastAsia="en-AU"/>
        </w:rPr>
      </w:pPr>
      <w:r>
        <w:rPr>
          <w:lang w:eastAsia="en-AU"/>
        </w:rPr>
        <w:t xml:space="preserve">markets for the provision of infrastructure connected with mining operations, including rail, road, power and water (the </w:t>
      </w:r>
      <w:r w:rsidRPr="00294718">
        <w:rPr>
          <w:b/>
          <w:lang w:eastAsia="en-AU"/>
        </w:rPr>
        <w:t>infrastructure market</w:t>
      </w:r>
      <w:r>
        <w:rPr>
          <w:lang w:eastAsia="en-AU"/>
        </w:rPr>
        <w:t>);</w:t>
      </w:r>
    </w:p>
    <w:p w14:paraId="4CC78D40" w14:textId="77777777" w:rsidR="0022375C" w:rsidRDefault="0022375C" w:rsidP="009F17C2">
      <w:pPr>
        <w:pStyle w:val="ListNo1alt"/>
        <w:numPr>
          <w:ilvl w:val="0"/>
          <w:numId w:val="34"/>
        </w:numPr>
        <w:rPr>
          <w:lang w:eastAsia="en-AU"/>
        </w:rPr>
      </w:pPr>
      <w:r>
        <w:rPr>
          <w:lang w:eastAsia="en-AU"/>
        </w:rPr>
        <w:t xml:space="preserve">markets for services such as geological and drilling services, construction, operation and maintenance (the </w:t>
      </w:r>
      <w:r w:rsidRPr="00294718">
        <w:rPr>
          <w:b/>
          <w:lang w:eastAsia="en-AU"/>
        </w:rPr>
        <w:t>specialist services market</w:t>
      </w:r>
      <w:r>
        <w:rPr>
          <w:lang w:eastAsia="en-AU"/>
        </w:rPr>
        <w:t>); and</w:t>
      </w:r>
    </w:p>
    <w:p w14:paraId="1E82A9DE" w14:textId="77777777" w:rsidR="0022375C" w:rsidRDefault="0022375C" w:rsidP="009F17C2">
      <w:pPr>
        <w:pStyle w:val="ListNo1alt"/>
        <w:numPr>
          <w:ilvl w:val="0"/>
          <w:numId w:val="34"/>
        </w:numPr>
        <w:rPr>
          <w:lang w:eastAsia="en-AU"/>
        </w:rPr>
      </w:pPr>
      <w:r>
        <w:rPr>
          <w:lang w:eastAsia="en-AU"/>
        </w:rPr>
        <w:t xml:space="preserve">a market for the provision of shipping services involving shipping agents and vessel operators, of which ships exporting coal from the Port of Newcastle are a party (the </w:t>
      </w:r>
      <w:r w:rsidRPr="00294718">
        <w:rPr>
          <w:b/>
          <w:lang w:eastAsia="en-AU"/>
        </w:rPr>
        <w:t>bulk shipping market</w:t>
      </w:r>
      <w:r>
        <w:rPr>
          <w:lang w:eastAsia="en-AU"/>
        </w:rPr>
        <w:t>).</w:t>
      </w:r>
    </w:p>
    <w:p w14:paraId="15BB666B" w14:textId="77777777" w:rsidR="0027140A" w:rsidRDefault="0022375C" w:rsidP="0022375C">
      <w:pPr>
        <w:pStyle w:val="ParaNumbering"/>
        <w:rPr>
          <w:lang w:eastAsia="en-AU"/>
        </w:rPr>
      </w:pPr>
      <w:r>
        <w:rPr>
          <w:lang w:eastAsia="en-AU"/>
        </w:rPr>
        <w:t>Second, the tenements market, infrastructure market, specialist services market and bulk shipping market are derivative markets of the coal export market. It follows that if declaration is unlikely to promote a material increase in</w:t>
      </w:r>
      <w:r w:rsidR="00AD2E2E">
        <w:rPr>
          <w:lang w:eastAsia="en-AU"/>
        </w:rPr>
        <w:t xml:space="preserve"> competition in the coal export</w:t>
      </w:r>
      <w:r>
        <w:rPr>
          <w:lang w:eastAsia="en-AU"/>
        </w:rPr>
        <w:t xml:space="preserve"> market, there would be unlikely to be a material increase in competition in any derivative market</w:t>
      </w:r>
      <w:r w:rsidR="009E2DAB">
        <w:rPr>
          <w:lang w:eastAsia="en-AU"/>
        </w:rPr>
        <w:t>.</w:t>
      </w:r>
    </w:p>
    <w:p w14:paraId="5154D642" w14:textId="77777777" w:rsidR="009E2DAB" w:rsidRDefault="009E2DAB" w:rsidP="00DF6448">
      <w:pPr>
        <w:pStyle w:val="ParaNumbering"/>
        <w:rPr>
          <w:lang w:eastAsia="en-AU"/>
        </w:rPr>
      </w:pPr>
      <w:r>
        <w:rPr>
          <w:lang w:eastAsia="en-AU"/>
        </w:rPr>
        <w:t>Third, the Port is a bottleneck, with Hunter Valley coal producers having no practical alternative to the Port for the export of their coal. This gives PNO considerable bargaining power over coal producers who have sunk costs in the Newcastle catchment.</w:t>
      </w:r>
    </w:p>
    <w:p w14:paraId="3EAC9571" w14:textId="77777777" w:rsidR="009E2DAB" w:rsidRDefault="009E2DAB" w:rsidP="00DF6448">
      <w:pPr>
        <w:pStyle w:val="ParaNumbering"/>
        <w:rPr>
          <w:lang w:eastAsia="en-AU"/>
        </w:rPr>
      </w:pPr>
      <w:r>
        <w:rPr>
          <w:lang w:eastAsia="en-AU"/>
        </w:rPr>
        <w:t xml:space="preserve">Fourth, </w:t>
      </w:r>
      <w:bookmarkStart w:id="27" w:name="PastedTemp1"/>
      <w:r>
        <w:rPr>
          <w:lang w:eastAsia="en-AU"/>
        </w:rPr>
        <w:t xml:space="preserve">PNO’s incentive to deny access to the </w:t>
      </w:r>
      <w:r w:rsidR="00294718">
        <w:rPr>
          <w:lang w:eastAsia="en-AU"/>
        </w:rPr>
        <w:t>shipping channel service</w:t>
      </w:r>
      <w:r>
        <w:rPr>
          <w:lang w:eastAsia="en-AU"/>
        </w:rPr>
        <w:t xml:space="preserve"> or otherwise exercise market power is limited for the following reasons:</w:t>
      </w:r>
    </w:p>
    <w:p w14:paraId="7DEDE65D" w14:textId="77777777" w:rsidR="009E2DAB" w:rsidRDefault="009E2DAB" w:rsidP="009F17C2">
      <w:pPr>
        <w:pStyle w:val="ListNo1alt"/>
        <w:numPr>
          <w:ilvl w:val="0"/>
          <w:numId w:val="35"/>
        </w:numPr>
        <w:rPr>
          <w:lang w:eastAsia="en-AU"/>
        </w:rPr>
      </w:pPr>
      <w:r>
        <w:rPr>
          <w:lang w:eastAsia="en-AU"/>
        </w:rPr>
        <w:t>PNO is not vertically integrated into dependent markets in any meaningful way and has no incentive to deny access to firms operating in dependent markets;</w:t>
      </w:r>
    </w:p>
    <w:p w14:paraId="2AAB8794" w14:textId="77777777" w:rsidR="009E2DAB" w:rsidRDefault="009E2DAB" w:rsidP="009F17C2">
      <w:pPr>
        <w:pStyle w:val="ListNo1alt"/>
        <w:numPr>
          <w:ilvl w:val="0"/>
          <w:numId w:val="35"/>
        </w:numPr>
        <w:rPr>
          <w:lang w:eastAsia="en-AU"/>
        </w:rPr>
      </w:pPr>
      <w:r>
        <w:rPr>
          <w:lang w:eastAsia="en-AU"/>
        </w:rPr>
        <w:t>PNO is not capacity constrained at the Port, nor is it likely to become so over the foreseeable future;</w:t>
      </w:r>
    </w:p>
    <w:p w14:paraId="117D141B" w14:textId="77777777" w:rsidR="009E2DAB" w:rsidRDefault="009E2DAB" w:rsidP="009F17C2">
      <w:pPr>
        <w:pStyle w:val="ListNo1alt"/>
        <w:numPr>
          <w:ilvl w:val="0"/>
          <w:numId w:val="35"/>
        </w:numPr>
        <w:rPr>
          <w:lang w:eastAsia="en-AU"/>
        </w:rPr>
      </w:pPr>
      <w:r>
        <w:rPr>
          <w:lang w:eastAsia="en-AU"/>
        </w:rPr>
        <w:lastRenderedPageBreak/>
        <w:t xml:space="preserve">PNO has provided an open access arrangement and offered a ten-year </w:t>
      </w:r>
      <w:r w:rsidR="00CE2959">
        <w:rPr>
          <w:lang w:eastAsia="en-AU"/>
        </w:rPr>
        <w:t>d</w:t>
      </w:r>
      <w:r>
        <w:rPr>
          <w:lang w:eastAsia="en-AU"/>
        </w:rPr>
        <w:t>eed to coal exporters wishing to use the Port</w:t>
      </w:r>
      <w:bookmarkEnd w:id="27"/>
      <w:r>
        <w:rPr>
          <w:lang w:eastAsia="en-AU"/>
        </w:rPr>
        <w:t>;</w:t>
      </w:r>
    </w:p>
    <w:p w14:paraId="06791366" w14:textId="77777777" w:rsidR="009E2DAB" w:rsidRDefault="009E2DAB" w:rsidP="009F17C2">
      <w:pPr>
        <w:pStyle w:val="ListNo1alt"/>
        <w:numPr>
          <w:ilvl w:val="0"/>
          <w:numId w:val="35"/>
        </w:numPr>
        <w:rPr>
          <w:lang w:eastAsia="en-AU"/>
        </w:rPr>
      </w:pPr>
      <w:r>
        <w:rPr>
          <w:lang w:eastAsia="en-AU"/>
        </w:rPr>
        <w:t>the potential for regulatory intervention by the NSW Government is likely to provide a low level of constraint on PNO’s pricing absent declaration; and</w:t>
      </w:r>
    </w:p>
    <w:p w14:paraId="6DE9DD62" w14:textId="77777777" w:rsidR="009E2DAB" w:rsidRDefault="009E2DAB" w:rsidP="009F17C2">
      <w:pPr>
        <w:pStyle w:val="ListNo1alt"/>
        <w:numPr>
          <w:ilvl w:val="0"/>
          <w:numId w:val="35"/>
        </w:numPr>
        <w:rPr>
          <w:lang w:eastAsia="en-AU"/>
        </w:rPr>
      </w:pPr>
      <w:r>
        <w:rPr>
          <w:lang w:eastAsia="en-AU"/>
        </w:rPr>
        <w:t>given the importance to PNO of coal mining revenue, and its long lease, where there is the prospect of further investment and continued demand for coal export services, PNO is likely to be mindful of reputational effects caused by its pricing.</w:t>
      </w:r>
    </w:p>
    <w:p w14:paraId="3FDEF4AF" w14:textId="635E1C01" w:rsidR="009E2DAB" w:rsidRDefault="009E2DAB" w:rsidP="00DF6448">
      <w:pPr>
        <w:pStyle w:val="ParaNumbering"/>
        <w:rPr>
          <w:lang w:eastAsia="en-AU"/>
        </w:rPr>
      </w:pPr>
      <w:r>
        <w:rPr>
          <w:lang w:eastAsia="en-AU"/>
        </w:rPr>
        <w:t xml:space="preserve">Fifth, in relation to the coal export market, </w:t>
      </w:r>
      <w:bookmarkStart w:id="28" w:name="PastedTemp81"/>
      <w:r>
        <w:rPr>
          <w:lang w:eastAsia="en-AU"/>
        </w:rPr>
        <w:t>the market is likely to be effectively competitive and PNO is unlikely to have an incentive to diminish competition in coal export markets or to price discriminate in a way that will inhibit coal exporters’ ability to compete</w:t>
      </w:r>
      <w:bookmarkEnd w:id="28"/>
      <w:r>
        <w:rPr>
          <w:lang w:eastAsia="en-AU"/>
        </w:rPr>
        <w:t>. Port charges are likely to remain a comparatively small component of the cost of production and export of coal, with or without declaration</w:t>
      </w:r>
      <w:r w:rsidR="00C53393">
        <w:rPr>
          <w:lang w:eastAsia="en-AU"/>
        </w:rPr>
        <w:t>. While there is uncertainty around the price the Tribunal will re</w:t>
      </w:r>
      <w:r w:rsidR="00080121">
        <w:rPr>
          <w:lang w:eastAsia="en-AU"/>
        </w:rPr>
        <w:noBreakHyphen/>
      </w:r>
      <w:r w:rsidR="00C53393">
        <w:rPr>
          <w:lang w:eastAsia="en-AU"/>
        </w:rPr>
        <w:t xml:space="preserve">determine for the </w:t>
      </w:r>
      <w:r w:rsidR="00E24A0D">
        <w:rPr>
          <w:lang w:eastAsia="en-AU"/>
        </w:rPr>
        <w:t>navigation service charge</w:t>
      </w:r>
      <w:r w:rsidR="00C53393">
        <w:rPr>
          <w:lang w:eastAsia="en-AU"/>
        </w:rPr>
        <w:t xml:space="preserve"> in its re-determination of the Glencore-PNO access dispute, the NCC considered that it is not clear that a </w:t>
      </w:r>
      <w:r w:rsidR="00E24A0D">
        <w:rPr>
          <w:lang w:eastAsia="en-AU"/>
        </w:rPr>
        <w:t>navigation service charge</w:t>
      </w:r>
      <w:r w:rsidR="00C53393">
        <w:rPr>
          <w:lang w:eastAsia="en-AU"/>
        </w:rPr>
        <w:t xml:space="preserve"> set with declaration will be materially different to that offered by PNO absent declaration and, in a future without declaration, users are expected to have the option of entering a long-term deed and PNO has also published open access arrangements. </w:t>
      </w:r>
      <w:bookmarkStart w:id="29" w:name="PastedTemp4"/>
      <w:r w:rsidR="00C53393">
        <w:rPr>
          <w:lang w:eastAsia="en-AU"/>
        </w:rPr>
        <w:t xml:space="preserve">Coal producers face uncertainty from factors other than </w:t>
      </w:r>
      <w:r w:rsidR="00080121">
        <w:rPr>
          <w:lang w:eastAsia="en-AU"/>
        </w:rPr>
        <w:t>P</w:t>
      </w:r>
      <w:r w:rsidR="00C53393">
        <w:rPr>
          <w:lang w:eastAsia="en-AU"/>
        </w:rPr>
        <w:t>ort charges that are more likely to influence their ability to compete in export coal markets.</w:t>
      </w:r>
      <w:bookmarkEnd w:id="29"/>
      <w:r w:rsidR="00C53393">
        <w:rPr>
          <w:lang w:eastAsia="en-AU"/>
        </w:rPr>
        <w:t xml:space="preserve"> </w:t>
      </w:r>
      <w:bookmarkStart w:id="30" w:name="PastedTemp41"/>
      <w:r w:rsidR="00C53393">
        <w:rPr>
          <w:lang w:eastAsia="en-AU"/>
        </w:rPr>
        <w:t xml:space="preserve">Therefore, access or increased access to the </w:t>
      </w:r>
      <w:r w:rsidR="00294718">
        <w:rPr>
          <w:lang w:eastAsia="en-AU"/>
        </w:rPr>
        <w:t>shipping channel service</w:t>
      </w:r>
      <w:r w:rsidR="00C53393">
        <w:rPr>
          <w:lang w:eastAsia="en-AU"/>
        </w:rPr>
        <w:t>, on reasonable terms and conditions, as a result of declaration</w:t>
      </w:r>
      <w:r w:rsidR="00E15885">
        <w:rPr>
          <w:lang w:eastAsia="en-AU"/>
        </w:rPr>
        <w:t>,</w:t>
      </w:r>
      <w:r w:rsidR="00C53393">
        <w:rPr>
          <w:lang w:eastAsia="en-AU"/>
        </w:rPr>
        <w:t xml:space="preserve"> would not promote a material increase in competition in that market</w:t>
      </w:r>
      <w:bookmarkEnd w:id="30"/>
      <w:r w:rsidR="00C53393">
        <w:rPr>
          <w:lang w:eastAsia="en-AU"/>
        </w:rPr>
        <w:t>.</w:t>
      </w:r>
    </w:p>
    <w:p w14:paraId="675DAF9E" w14:textId="77777777" w:rsidR="00C53393" w:rsidRDefault="00C53393" w:rsidP="00DF6448">
      <w:pPr>
        <w:pStyle w:val="ParaNumbering"/>
        <w:rPr>
          <w:lang w:eastAsia="en-AU"/>
        </w:rPr>
      </w:pPr>
      <w:r>
        <w:rPr>
          <w:lang w:eastAsia="en-AU"/>
        </w:rPr>
        <w:t xml:space="preserve">Sixth, in relation to the other dependent markets, as those markets </w:t>
      </w:r>
      <w:r w:rsidRPr="00C53393">
        <w:rPr>
          <w:lang w:eastAsia="en-AU"/>
        </w:rPr>
        <w:t xml:space="preserve">are derivative of the coal export market, it follows </w:t>
      </w:r>
      <w:r>
        <w:rPr>
          <w:lang w:eastAsia="en-AU"/>
        </w:rPr>
        <w:t>that declaration would not be likely to promote competition in those markets</w:t>
      </w:r>
      <w:r w:rsidR="00270122">
        <w:rPr>
          <w:lang w:eastAsia="en-AU"/>
        </w:rPr>
        <w:t>.</w:t>
      </w:r>
    </w:p>
    <w:p w14:paraId="10273CA2" w14:textId="77777777" w:rsidR="00824B56" w:rsidRDefault="00824B56" w:rsidP="00DF6448">
      <w:pPr>
        <w:pStyle w:val="ParaNumbering"/>
        <w:rPr>
          <w:lang w:eastAsia="en-AU"/>
        </w:rPr>
      </w:pPr>
      <w:r>
        <w:rPr>
          <w:lang w:eastAsia="en-AU"/>
        </w:rPr>
        <w:t>For those reasons, the Treasurer was not satisfied that access, or increased access, to the service on reasonable terms and conditions, as a result of declaration of the service</w:t>
      </w:r>
      <w:r w:rsidR="00E15885">
        <w:rPr>
          <w:lang w:eastAsia="en-AU"/>
        </w:rPr>
        <w:t>,</w:t>
      </w:r>
      <w:r>
        <w:rPr>
          <w:lang w:eastAsia="en-AU"/>
        </w:rPr>
        <w:t xml:space="preserve"> would promote competition in any dependent market.</w:t>
      </w:r>
    </w:p>
    <w:p w14:paraId="4C4DCC79" w14:textId="77777777" w:rsidR="00270122" w:rsidRDefault="00270122" w:rsidP="00DF6448">
      <w:pPr>
        <w:pStyle w:val="ParaNumbering"/>
        <w:rPr>
          <w:lang w:eastAsia="en-AU"/>
        </w:rPr>
      </w:pPr>
      <w:r>
        <w:rPr>
          <w:lang w:eastAsia="en-AU"/>
        </w:rPr>
        <w:t xml:space="preserve">In relation to criterion (d), the </w:t>
      </w:r>
      <w:r w:rsidR="00CF3C70">
        <w:rPr>
          <w:lang w:eastAsia="en-AU"/>
        </w:rPr>
        <w:t>Reasons</w:t>
      </w:r>
      <w:r w:rsidR="00BF2B84">
        <w:rPr>
          <w:lang w:eastAsia="en-AU"/>
        </w:rPr>
        <w:t xml:space="preserve"> record</w:t>
      </w:r>
      <w:r>
        <w:rPr>
          <w:lang w:eastAsia="en-AU"/>
        </w:rPr>
        <w:t xml:space="preserve"> that the Treasurer </w:t>
      </w:r>
      <w:bookmarkStart w:id="31" w:name="PastedTemp86"/>
      <w:r w:rsidR="00DF6448">
        <w:rPr>
          <w:lang w:eastAsia="en-AU"/>
        </w:rPr>
        <w:t>considered the NCC’s approach and adopted that approach in making his decision.</w:t>
      </w:r>
      <w:bookmarkEnd w:id="31"/>
      <w:r w:rsidR="00DF6448">
        <w:rPr>
          <w:lang w:eastAsia="en-AU"/>
        </w:rPr>
        <w:t xml:space="preserve"> In particular, the Treasurer accepted and adopted the NCC’s conclusions that declaration:</w:t>
      </w:r>
    </w:p>
    <w:p w14:paraId="5FAA0B95" w14:textId="77777777" w:rsidR="00DF6448" w:rsidRDefault="00DF6448" w:rsidP="009F17C2">
      <w:pPr>
        <w:pStyle w:val="ListNo1alt"/>
        <w:numPr>
          <w:ilvl w:val="0"/>
          <w:numId w:val="36"/>
        </w:numPr>
        <w:rPr>
          <w:lang w:eastAsia="en-AU"/>
        </w:rPr>
      </w:pPr>
      <w:r>
        <w:rPr>
          <w:lang w:eastAsia="en-AU"/>
        </w:rPr>
        <w:lastRenderedPageBreak/>
        <w:t xml:space="preserve">is unlikely to significantly affect investment in the infrastructure necessary to provide the </w:t>
      </w:r>
      <w:r w:rsidR="00294718">
        <w:rPr>
          <w:lang w:eastAsia="en-AU"/>
        </w:rPr>
        <w:t>shipping channel service</w:t>
      </w:r>
      <w:r>
        <w:rPr>
          <w:lang w:eastAsia="en-AU"/>
        </w:rPr>
        <w:t xml:space="preserve"> as it is unclear how different (if at all) prices for the </w:t>
      </w:r>
      <w:r w:rsidR="00294718">
        <w:rPr>
          <w:lang w:eastAsia="en-AU"/>
        </w:rPr>
        <w:t>shipping channel service</w:t>
      </w:r>
      <w:r>
        <w:rPr>
          <w:lang w:eastAsia="en-AU"/>
        </w:rPr>
        <w:t xml:space="preserve"> would be in a future with</w:t>
      </w:r>
      <w:r w:rsidR="00824B56">
        <w:rPr>
          <w:lang w:eastAsia="en-AU"/>
        </w:rPr>
        <w:t xml:space="preserve"> and without declaration;</w:t>
      </w:r>
    </w:p>
    <w:p w14:paraId="198B33DD" w14:textId="77777777" w:rsidR="00824B56" w:rsidRDefault="00824B56" w:rsidP="009F17C2">
      <w:pPr>
        <w:pStyle w:val="ListNo1alt"/>
        <w:numPr>
          <w:ilvl w:val="0"/>
          <w:numId w:val="36"/>
        </w:numPr>
        <w:rPr>
          <w:lang w:eastAsia="en-AU"/>
        </w:rPr>
      </w:pPr>
      <w:r w:rsidRPr="00824B56">
        <w:rPr>
          <w:lang w:eastAsia="en-AU"/>
        </w:rPr>
        <w:t>is unlikely to significantly affect investment in dependent markets</w:t>
      </w:r>
      <w:r>
        <w:rPr>
          <w:lang w:eastAsia="en-AU"/>
        </w:rPr>
        <w:t>;</w:t>
      </w:r>
    </w:p>
    <w:p w14:paraId="0C516BDF" w14:textId="77777777" w:rsidR="00824B56" w:rsidRDefault="00E15885" w:rsidP="009F17C2">
      <w:pPr>
        <w:pStyle w:val="ListNo1alt"/>
        <w:numPr>
          <w:ilvl w:val="0"/>
          <w:numId w:val="36"/>
        </w:numPr>
        <w:rPr>
          <w:lang w:eastAsia="en-AU"/>
        </w:rPr>
      </w:pPr>
      <w:r>
        <w:rPr>
          <w:lang w:eastAsia="en-AU"/>
        </w:rPr>
        <w:t xml:space="preserve">is, on balance, unlikely to materially affect </w:t>
      </w:r>
      <w:r w:rsidR="00824B56">
        <w:rPr>
          <w:lang w:eastAsia="en-AU"/>
        </w:rPr>
        <w:t>administrative and compliance costs</w:t>
      </w:r>
      <w:r>
        <w:rPr>
          <w:lang w:eastAsia="en-AU"/>
        </w:rPr>
        <w:t>, as these costs</w:t>
      </w:r>
      <w:r w:rsidR="00824B56">
        <w:rPr>
          <w:lang w:eastAsia="en-AU"/>
        </w:rPr>
        <w:t xml:space="preserve"> are likely to arise in the future </w:t>
      </w:r>
      <w:r>
        <w:rPr>
          <w:lang w:eastAsia="en-AU"/>
        </w:rPr>
        <w:t xml:space="preserve">both </w:t>
      </w:r>
      <w:r w:rsidR="00824B56">
        <w:rPr>
          <w:lang w:eastAsia="en-AU"/>
        </w:rPr>
        <w:t>with, and without, declaration;</w:t>
      </w:r>
      <w:r w:rsidR="00B75CB7">
        <w:rPr>
          <w:lang w:eastAsia="en-AU"/>
        </w:rPr>
        <w:t xml:space="preserve"> and</w:t>
      </w:r>
    </w:p>
    <w:p w14:paraId="2AA40189" w14:textId="77777777" w:rsidR="00824B56" w:rsidRDefault="00805DB5" w:rsidP="009F17C2">
      <w:pPr>
        <w:pStyle w:val="ListNo1alt"/>
        <w:numPr>
          <w:ilvl w:val="0"/>
          <w:numId w:val="36"/>
        </w:numPr>
        <w:rPr>
          <w:lang w:eastAsia="en-AU"/>
        </w:rPr>
      </w:pPr>
      <w:bookmarkStart w:id="32" w:name="PastedTemp79"/>
      <w:r>
        <w:rPr>
          <w:lang w:eastAsia="en-AU"/>
        </w:rPr>
        <w:t xml:space="preserve">is </w:t>
      </w:r>
      <w:r w:rsidR="00824B56">
        <w:rPr>
          <w:lang w:eastAsia="en-AU"/>
        </w:rPr>
        <w:t>not likely to lead to material improvements in productive, allocative or dynamic efficiency relative to the future absent declaration, or materially promote efficiency in dependent markets.</w:t>
      </w:r>
      <w:bookmarkEnd w:id="32"/>
    </w:p>
    <w:p w14:paraId="70DBAF19" w14:textId="77777777" w:rsidR="00824B56" w:rsidRDefault="00824B56" w:rsidP="001660DE">
      <w:pPr>
        <w:pStyle w:val="ParaNumbering"/>
        <w:rPr>
          <w:lang w:eastAsia="en-AU"/>
        </w:rPr>
      </w:pPr>
      <w:bookmarkStart w:id="33" w:name="PastedTemp37"/>
      <w:r>
        <w:rPr>
          <w:lang w:eastAsia="en-AU"/>
        </w:rPr>
        <w:t>For those reasons, the Treasurer was not satisfied that access, or increased access, to the service on reasonable terms and conditions, as a result of declaration of the service</w:t>
      </w:r>
      <w:r w:rsidR="00805DB5">
        <w:rPr>
          <w:lang w:eastAsia="en-AU"/>
        </w:rPr>
        <w:t>,</w:t>
      </w:r>
      <w:r>
        <w:rPr>
          <w:lang w:eastAsia="en-AU"/>
        </w:rPr>
        <w:t xml:space="preserve"> would promote the public interest</w:t>
      </w:r>
      <w:bookmarkEnd w:id="33"/>
      <w:r>
        <w:rPr>
          <w:lang w:eastAsia="en-AU"/>
        </w:rPr>
        <w:t>.</w:t>
      </w:r>
    </w:p>
    <w:p w14:paraId="36D9331D" w14:textId="77777777" w:rsidR="00CC0998" w:rsidRDefault="00CC0998" w:rsidP="001660DE">
      <w:pPr>
        <w:pStyle w:val="ParaNumbering"/>
        <w:rPr>
          <w:lang w:eastAsia="en-AU"/>
        </w:rPr>
      </w:pPr>
      <w:r>
        <w:rPr>
          <w:lang w:eastAsia="en-AU"/>
        </w:rPr>
        <w:t xml:space="preserve">In the course of submissions, NSWMC drew attention to </w:t>
      </w:r>
      <w:r w:rsidR="009F1956">
        <w:rPr>
          <w:lang w:eastAsia="en-AU"/>
        </w:rPr>
        <w:t>the following</w:t>
      </w:r>
      <w:r>
        <w:rPr>
          <w:lang w:eastAsia="en-AU"/>
        </w:rPr>
        <w:t xml:space="preserve"> statement</w:t>
      </w:r>
      <w:r w:rsidR="009F1956">
        <w:rPr>
          <w:lang w:eastAsia="en-AU"/>
        </w:rPr>
        <w:t xml:space="preserve"> concerning the amendment to criterion (a) made by the 2017 Amendment Act</w:t>
      </w:r>
      <w:r>
        <w:rPr>
          <w:lang w:eastAsia="en-AU"/>
        </w:rPr>
        <w:t xml:space="preserve"> </w:t>
      </w:r>
      <w:r w:rsidR="009F1956">
        <w:rPr>
          <w:lang w:eastAsia="en-AU"/>
        </w:rPr>
        <w:t xml:space="preserve">which appeared in a briefing note dated 18 December </w:t>
      </w:r>
      <w:r w:rsidR="003358D0">
        <w:rPr>
          <w:lang w:eastAsia="en-AU"/>
        </w:rPr>
        <w:t xml:space="preserve">2020 </w:t>
      </w:r>
      <w:r w:rsidR="009F1956">
        <w:rPr>
          <w:lang w:eastAsia="en-AU"/>
        </w:rPr>
        <w:t>to the Treasurer from an officer in the Department of Treasury (the Director of the Competition Unit):</w:t>
      </w:r>
    </w:p>
    <w:p w14:paraId="458AC211" w14:textId="77777777" w:rsidR="009F1956" w:rsidRDefault="009F1956" w:rsidP="009F1956">
      <w:pPr>
        <w:pStyle w:val="Quote1"/>
        <w:rPr>
          <w:lang w:eastAsia="en-AU"/>
        </w:rPr>
      </w:pPr>
      <w:r>
        <w:rPr>
          <w:lang w:eastAsia="en-AU"/>
        </w:rPr>
        <w:t>The 2017 amendments were intended to ensure that the [National Access Regime] only applies to vertically-integrated natural monopolies, consistent with the original policy intention.</w:t>
      </w:r>
    </w:p>
    <w:p w14:paraId="7743DA8B" w14:textId="77777777" w:rsidR="009F1956" w:rsidRDefault="009F1956" w:rsidP="009F1956">
      <w:pPr>
        <w:pStyle w:val="ParaNumbering"/>
        <w:rPr>
          <w:lang w:eastAsia="en-AU"/>
        </w:rPr>
      </w:pPr>
      <w:r>
        <w:rPr>
          <w:lang w:eastAsia="en-AU"/>
        </w:rPr>
        <w:t xml:space="preserve">NSWMC submitted that the statement is legally erroneous and reveals a fundamental error in the Treasurer’s </w:t>
      </w:r>
      <w:r w:rsidR="00CF3C70">
        <w:rPr>
          <w:lang w:eastAsia="en-AU"/>
        </w:rPr>
        <w:t>decision</w:t>
      </w:r>
      <w:r>
        <w:rPr>
          <w:lang w:eastAsia="en-AU"/>
        </w:rPr>
        <w:t>.</w:t>
      </w:r>
    </w:p>
    <w:p w14:paraId="0123F492" w14:textId="73622162" w:rsidR="009F1956" w:rsidRDefault="009F1956" w:rsidP="009F1956">
      <w:pPr>
        <w:pStyle w:val="ParaNumbering"/>
        <w:rPr>
          <w:lang w:eastAsia="en-AU"/>
        </w:rPr>
      </w:pPr>
      <w:r>
        <w:rPr>
          <w:lang w:eastAsia="en-AU"/>
        </w:rPr>
        <w:t xml:space="preserve">The Tribunal accepts that the statement is legally erroneous. The declaration criteria in </w:t>
      </w:r>
      <w:r w:rsidR="00453293">
        <w:rPr>
          <w:lang w:eastAsia="en-AU"/>
        </w:rPr>
        <w:t>s </w:t>
      </w:r>
      <w:r>
        <w:rPr>
          <w:lang w:eastAsia="en-AU"/>
        </w:rPr>
        <w:t xml:space="preserve">44CA do not exclude the possibility that </w:t>
      </w:r>
      <w:r w:rsidR="00276676">
        <w:rPr>
          <w:lang w:eastAsia="en-AU"/>
        </w:rPr>
        <w:t>a service will be declared even though the service provider is not vertically integrated into any dependent market.</w:t>
      </w:r>
      <w:r>
        <w:rPr>
          <w:lang w:eastAsia="en-AU"/>
        </w:rPr>
        <w:t xml:space="preserve"> </w:t>
      </w:r>
      <w:r w:rsidR="00276676">
        <w:rPr>
          <w:lang w:eastAsia="en-AU"/>
        </w:rPr>
        <w:t xml:space="preserve">As discussed below, whether a service provider is vertically integrated into a dependent market will be relevant to the assessment of the declaration criteria, and particularly criterion (a), but it is not a determinative consideration. However, the erroneous statement in the Departmental briefing note has no bearing on the Tribunal’s review. </w:t>
      </w:r>
      <w:r w:rsidR="00AF1873">
        <w:rPr>
          <w:lang w:eastAsia="en-AU"/>
        </w:rPr>
        <w:t xml:space="preserve">There is nothing in the Treasurer’s </w:t>
      </w:r>
      <w:r w:rsidR="00CF3C70">
        <w:rPr>
          <w:lang w:eastAsia="en-AU"/>
        </w:rPr>
        <w:t>Reasons</w:t>
      </w:r>
      <w:r w:rsidR="00AF1873">
        <w:rPr>
          <w:lang w:eastAsia="en-AU"/>
        </w:rPr>
        <w:t xml:space="preserve"> to suggest that the Treasurer based his decision on th</w:t>
      </w:r>
      <w:r w:rsidR="003358D0">
        <w:rPr>
          <w:lang w:eastAsia="en-AU"/>
        </w:rPr>
        <w:t>at statement. Nor does the NCC</w:t>
      </w:r>
      <w:r w:rsidR="00AF1873">
        <w:rPr>
          <w:lang w:eastAsia="en-AU"/>
        </w:rPr>
        <w:t xml:space="preserve"> Recommendation contain a statement to that effect, and the Treasurer stated that he adopted the NCC’s reasoning and conclusions.</w:t>
      </w:r>
    </w:p>
    <w:p w14:paraId="5B6A3212" w14:textId="77777777" w:rsidR="007668DD" w:rsidRDefault="00AB559F" w:rsidP="009F17C2">
      <w:pPr>
        <w:pStyle w:val="Heading1"/>
        <w:numPr>
          <w:ilvl w:val="0"/>
          <w:numId w:val="29"/>
        </w:numPr>
        <w:ind w:hanging="720"/>
        <w:rPr>
          <w:lang w:eastAsia="en-AU"/>
        </w:rPr>
      </w:pPr>
      <w:bookmarkStart w:id="34" w:name="_Ref78900490"/>
      <w:r>
        <w:rPr>
          <w:lang w:eastAsia="en-AU"/>
        </w:rPr>
        <w:lastRenderedPageBreak/>
        <w:t>NSWMC</w:t>
      </w:r>
      <w:r w:rsidR="007668DD">
        <w:rPr>
          <w:lang w:eastAsia="en-AU"/>
        </w:rPr>
        <w:t xml:space="preserve"> submissions</w:t>
      </w:r>
      <w:bookmarkEnd w:id="34"/>
    </w:p>
    <w:p w14:paraId="140FBCC0" w14:textId="77777777" w:rsidR="00ED3FD8" w:rsidRPr="00ED3FD8" w:rsidRDefault="00ED3FD8" w:rsidP="00ED3FD8">
      <w:pPr>
        <w:pStyle w:val="Heading2"/>
        <w:rPr>
          <w:lang w:eastAsia="en-AU"/>
        </w:rPr>
      </w:pPr>
      <w:bookmarkStart w:id="35" w:name="_Ref78900491"/>
      <w:r>
        <w:rPr>
          <w:lang w:eastAsia="en-AU"/>
        </w:rPr>
        <w:t>Overview</w:t>
      </w:r>
      <w:bookmarkEnd w:id="35"/>
    </w:p>
    <w:p w14:paraId="3AC8D962" w14:textId="77777777" w:rsidR="007668DD" w:rsidRDefault="000832ED" w:rsidP="001660DE">
      <w:pPr>
        <w:pStyle w:val="ParaNumbering"/>
        <w:rPr>
          <w:lang w:eastAsia="en-AU"/>
        </w:rPr>
      </w:pPr>
      <w:r>
        <w:rPr>
          <w:lang w:eastAsia="en-AU"/>
        </w:rPr>
        <w:t xml:space="preserve">As noted earlier, it was common ground that declaration criterion (b) and (c) were satisfied. Accordingly, </w:t>
      </w:r>
      <w:r w:rsidR="00B06836">
        <w:rPr>
          <w:lang w:eastAsia="en-AU"/>
        </w:rPr>
        <w:t xml:space="preserve">NSWMC’s submissions were </w:t>
      </w:r>
      <w:r>
        <w:rPr>
          <w:lang w:eastAsia="en-AU"/>
        </w:rPr>
        <w:t>directed to</w:t>
      </w:r>
      <w:r w:rsidR="00B06836">
        <w:rPr>
          <w:lang w:eastAsia="en-AU"/>
        </w:rPr>
        <w:t xml:space="preserve"> criterion (a) and </w:t>
      </w:r>
      <w:r w:rsidR="00AD2E2E">
        <w:rPr>
          <w:lang w:eastAsia="en-AU"/>
        </w:rPr>
        <w:t>criterion (d</w:t>
      </w:r>
      <w:r>
        <w:rPr>
          <w:lang w:eastAsia="en-AU"/>
        </w:rPr>
        <w:t>).</w:t>
      </w:r>
    </w:p>
    <w:p w14:paraId="464850F4" w14:textId="77777777" w:rsidR="000832ED" w:rsidRDefault="000832ED" w:rsidP="00B75CB7">
      <w:pPr>
        <w:pStyle w:val="ParaNumbering"/>
        <w:rPr>
          <w:lang w:eastAsia="en-AU"/>
        </w:rPr>
      </w:pPr>
      <w:r>
        <w:rPr>
          <w:lang w:eastAsia="en-AU"/>
        </w:rPr>
        <w:t>In relation to criterion (a), NSWMC</w:t>
      </w:r>
      <w:r w:rsidR="00043927">
        <w:rPr>
          <w:lang w:eastAsia="en-AU"/>
        </w:rPr>
        <w:t>’s submissions were focussed solely on the effect of declaration on the tenements market</w:t>
      </w:r>
      <w:r w:rsidR="00294718">
        <w:rPr>
          <w:lang w:eastAsia="en-AU"/>
        </w:rPr>
        <w:t>. It</w:t>
      </w:r>
      <w:r>
        <w:rPr>
          <w:lang w:eastAsia="en-AU"/>
        </w:rPr>
        <w:t xml:space="preserve"> submitted that </w:t>
      </w:r>
      <w:bookmarkStart w:id="36" w:name="PastedTemp96"/>
      <w:r>
        <w:rPr>
          <w:lang w:eastAsia="en-AU"/>
        </w:rPr>
        <w:t xml:space="preserve">access (or increased access) to the </w:t>
      </w:r>
      <w:r w:rsidR="003A6F45">
        <w:rPr>
          <w:lang w:eastAsia="en-AU"/>
        </w:rPr>
        <w:t>shipping channel s</w:t>
      </w:r>
      <w:r>
        <w:rPr>
          <w:lang w:eastAsia="en-AU"/>
        </w:rPr>
        <w:t>ervice on reasonable terms and conditions as a result</w:t>
      </w:r>
      <w:r w:rsidR="00043927">
        <w:rPr>
          <w:lang w:eastAsia="en-AU"/>
        </w:rPr>
        <w:t xml:space="preserve"> </w:t>
      </w:r>
      <w:r>
        <w:rPr>
          <w:lang w:eastAsia="en-AU"/>
        </w:rPr>
        <w:t>of declaration, by comparison to the counterfactual without declaration under Part IIIA,</w:t>
      </w:r>
      <w:r w:rsidR="00043927">
        <w:rPr>
          <w:lang w:eastAsia="en-AU"/>
        </w:rPr>
        <w:t xml:space="preserve"> </w:t>
      </w:r>
      <w:r>
        <w:rPr>
          <w:lang w:eastAsia="en-AU"/>
        </w:rPr>
        <w:t>would promote a material increase in competition in the depend</w:t>
      </w:r>
      <w:r w:rsidR="003A6F45">
        <w:rPr>
          <w:lang w:eastAsia="en-AU"/>
        </w:rPr>
        <w:t>e</w:t>
      </w:r>
      <w:r>
        <w:rPr>
          <w:lang w:eastAsia="en-AU"/>
        </w:rPr>
        <w:t>nt tenements market</w:t>
      </w:r>
      <w:r w:rsidR="00294718">
        <w:rPr>
          <w:lang w:eastAsia="en-AU"/>
        </w:rPr>
        <w:t xml:space="preserve"> for the following reasons:</w:t>
      </w:r>
    </w:p>
    <w:p w14:paraId="5F567E00" w14:textId="77777777" w:rsidR="000832ED" w:rsidRDefault="000832ED" w:rsidP="009F17C2">
      <w:pPr>
        <w:pStyle w:val="ListNo1alt"/>
        <w:numPr>
          <w:ilvl w:val="0"/>
          <w:numId w:val="37"/>
        </w:numPr>
        <w:rPr>
          <w:lang w:eastAsia="en-AU"/>
        </w:rPr>
      </w:pPr>
      <w:r>
        <w:rPr>
          <w:lang w:eastAsia="en-AU"/>
        </w:rPr>
        <w:t>There will be greater certainty for investment in tenements, as market</w:t>
      </w:r>
      <w:r w:rsidR="00294718">
        <w:rPr>
          <w:lang w:eastAsia="en-AU"/>
        </w:rPr>
        <w:t xml:space="preserve"> </w:t>
      </w:r>
      <w:r>
        <w:rPr>
          <w:lang w:eastAsia="en-AU"/>
        </w:rPr>
        <w:t>participants will have the assurance of reasonable terms and conditions of access</w:t>
      </w:r>
      <w:r w:rsidR="00294718">
        <w:rPr>
          <w:lang w:eastAsia="en-AU"/>
        </w:rPr>
        <w:t xml:space="preserve"> </w:t>
      </w:r>
      <w:r>
        <w:rPr>
          <w:lang w:eastAsia="en-AU"/>
        </w:rPr>
        <w:t xml:space="preserve">(or increased access) to the </w:t>
      </w:r>
      <w:r w:rsidR="003A6F45">
        <w:rPr>
          <w:lang w:eastAsia="en-AU"/>
        </w:rPr>
        <w:t>shipping channel s</w:t>
      </w:r>
      <w:r>
        <w:rPr>
          <w:lang w:eastAsia="en-AU"/>
        </w:rPr>
        <w:t>ervice against future likely price increases by PNO.</w:t>
      </w:r>
    </w:p>
    <w:p w14:paraId="142CAC48" w14:textId="77777777" w:rsidR="000832ED" w:rsidRDefault="00294718" w:rsidP="00E33FEA">
      <w:pPr>
        <w:pStyle w:val="ListNo1alt"/>
        <w:numPr>
          <w:ilvl w:val="0"/>
          <w:numId w:val="37"/>
        </w:numPr>
        <w:rPr>
          <w:lang w:eastAsia="en-AU"/>
        </w:rPr>
      </w:pPr>
      <w:r>
        <w:rPr>
          <w:lang w:eastAsia="en-AU"/>
        </w:rPr>
        <w:t>A</w:t>
      </w:r>
      <w:r w:rsidR="000832ED">
        <w:rPr>
          <w:lang w:eastAsia="en-AU"/>
        </w:rPr>
        <w:t>bsent declaration, substantial price increases are likely given PNO’s</w:t>
      </w:r>
      <w:r>
        <w:rPr>
          <w:lang w:eastAsia="en-AU"/>
        </w:rPr>
        <w:t xml:space="preserve"> </w:t>
      </w:r>
      <w:r w:rsidR="000832ED">
        <w:rPr>
          <w:lang w:eastAsia="en-AU"/>
        </w:rPr>
        <w:t>unconstrained market power and its stated views as to the limited time period</w:t>
      </w:r>
      <w:r>
        <w:rPr>
          <w:lang w:eastAsia="en-AU"/>
        </w:rPr>
        <w:t xml:space="preserve"> </w:t>
      </w:r>
      <w:r w:rsidR="000832ED">
        <w:rPr>
          <w:lang w:eastAsia="en-AU"/>
        </w:rPr>
        <w:t>for operation of coal mining in the Hunter Valley and because of PNO’s major</w:t>
      </w:r>
      <w:r>
        <w:rPr>
          <w:lang w:eastAsia="en-AU"/>
        </w:rPr>
        <w:t xml:space="preserve"> </w:t>
      </w:r>
      <w:r w:rsidR="000832ED">
        <w:rPr>
          <w:lang w:eastAsia="en-AU"/>
        </w:rPr>
        <w:t>shareholders</w:t>
      </w:r>
      <w:r w:rsidR="00EF6CE8">
        <w:rPr>
          <w:lang w:eastAsia="en-AU"/>
        </w:rPr>
        <w:t>’</w:t>
      </w:r>
      <w:r w:rsidR="000832ED">
        <w:rPr>
          <w:lang w:eastAsia="en-AU"/>
        </w:rPr>
        <w:t xml:space="preserve"> interest in container terminal operations.</w:t>
      </w:r>
    </w:p>
    <w:p w14:paraId="10D9F750" w14:textId="77777777" w:rsidR="000832ED" w:rsidRDefault="000832ED" w:rsidP="00E33FEA">
      <w:pPr>
        <w:pStyle w:val="ListNo1alt"/>
        <w:numPr>
          <w:ilvl w:val="0"/>
          <w:numId w:val="37"/>
        </w:numPr>
        <w:rPr>
          <w:lang w:eastAsia="en-AU"/>
        </w:rPr>
      </w:pPr>
      <w:r>
        <w:rPr>
          <w:lang w:eastAsia="en-AU"/>
        </w:rPr>
        <w:t>In addition, the continued or increased participation of smaller coal producers</w:t>
      </w:r>
      <w:r w:rsidR="00294718">
        <w:rPr>
          <w:lang w:eastAsia="en-AU"/>
        </w:rPr>
        <w:t xml:space="preserve"> </w:t>
      </w:r>
      <w:r>
        <w:rPr>
          <w:lang w:eastAsia="en-AU"/>
        </w:rPr>
        <w:t>would result in an increased demand for mining licences and result in a material</w:t>
      </w:r>
      <w:r w:rsidR="00A91CBE">
        <w:rPr>
          <w:lang w:eastAsia="en-AU"/>
        </w:rPr>
        <w:t xml:space="preserve"> </w:t>
      </w:r>
      <w:r>
        <w:rPr>
          <w:lang w:eastAsia="en-AU"/>
        </w:rPr>
        <w:t>increase in competition in the bidding for the award of mining licences.</w:t>
      </w:r>
    </w:p>
    <w:p w14:paraId="14F17189" w14:textId="77777777" w:rsidR="000832ED" w:rsidRDefault="000832ED" w:rsidP="00E33FEA">
      <w:pPr>
        <w:pStyle w:val="ListNo1alt"/>
        <w:numPr>
          <w:ilvl w:val="0"/>
          <w:numId w:val="37"/>
        </w:numPr>
        <w:rPr>
          <w:lang w:eastAsia="en-AU"/>
        </w:rPr>
      </w:pPr>
      <w:r>
        <w:rPr>
          <w:lang w:eastAsia="en-AU"/>
        </w:rPr>
        <w:t>Declaration is consistent with the objects of Part IIIA as it is likely to lead to</w:t>
      </w:r>
      <w:r w:rsidR="00A91CBE">
        <w:rPr>
          <w:lang w:eastAsia="en-AU"/>
        </w:rPr>
        <w:t xml:space="preserve"> </w:t>
      </w:r>
      <w:r>
        <w:rPr>
          <w:lang w:eastAsia="en-AU"/>
        </w:rPr>
        <w:t>greater efficiency in the operation of, use of, and investment in supply chain</w:t>
      </w:r>
      <w:r w:rsidR="00A91CBE">
        <w:rPr>
          <w:lang w:eastAsia="en-AU"/>
        </w:rPr>
        <w:t xml:space="preserve"> </w:t>
      </w:r>
      <w:r>
        <w:rPr>
          <w:lang w:eastAsia="en-AU"/>
        </w:rPr>
        <w:t xml:space="preserve">infrastructure, and will </w:t>
      </w:r>
      <w:r w:rsidR="00A91CBE">
        <w:rPr>
          <w:lang w:eastAsia="en-AU"/>
        </w:rPr>
        <w:t>thereby promote</w:t>
      </w:r>
      <w:r>
        <w:rPr>
          <w:lang w:eastAsia="en-AU"/>
        </w:rPr>
        <w:t xml:space="preserve"> </w:t>
      </w:r>
      <w:r w:rsidR="00A91CBE">
        <w:rPr>
          <w:lang w:eastAsia="en-AU"/>
        </w:rPr>
        <w:t>an increase</w:t>
      </w:r>
      <w:r>
        <w:rPr>
          <w:lang w:eastAsia="en-AU"/>
        </w:rPr>
        <w:t xml:space="preserve"> in competition in dependent markets</w:t>
      </w:r>
      <w:r w:rsidR="00A91CBE">
        <w:rPr>
          <w:lang w:eastAsia="en-AU"/>
        </w:rPr>
        <w:t xml:space="preserve"> </w:t>
      </w:r>
      <w:r>
        <w:rPr>
          <w:lang w:eastAsia="en-AU"/>
        </w:rPr>
        <w:t>with the effect being material in at least the tenements market</w:t>
      </w:r>
      <w:bookmarkEnd w:id="36"/>
      <w:r w:rsidR="00A91CBE">
        <w:rPr>
          <w:lang w:eastAsia="en-AU"/>
        </w:rPr>
        <w:t>.</w:t>
      </w:r>
    </w:p>
    <w:p w14:paraId="0D9D5476" w14:textId="77777777" w:rsidR="00A91CBE" w:rsidRDefault="00A91CBE" w:rsidP="00A91CBE">
      <w:pPr>
        <w:pStyle w:val="ParaNumbering"/>
        <w:rPr>
          <w:lang w:eastAsia="en-AU"/>
        </w:rPr>
      </w:pPr>
      <w:r>
        <w:rPr>
          <w:lang w:eastAsia="en-AU"/>
        </w:rPr>
        <w:t xml:space="preserve">In relation to criterion (d), NSWMC submitted that the Treasurer’s conclusions were derivative of the conclusions reached with respect to criterion (a). In particular, the Treasurer did not find that declaration would cause any public detriments such as adverse effects on investment </w:t>
      </w:r>
      <w:r w:rsidR="00CD11E3">
        <w:rPr>
          <w:lang w:eastAsia="en-AU"/>
        </w:rPr>
        <w:t xml:space="preserve">in the facilities used to provide the shipping channel service or in dependent markets, nor increases </w:t>
      </w:r>
      <w:r w:rsidR="00EF6CE8">
        <w:rPr>
          <w:lang w:eastAsia="en-AU"/>
        </w:rPr>
        <w:t xml:space="preserve">in </w:t>
      </w:r>
      <w:r w:rsidR="00CD11E3">
        <w:rPr>
          <w:lang w:eastAsia="en-AU"/>
        </w:rPr>
        <w:t xml:space="preserve">administrative and compliance costs. Rather, the Treasurer was not satisfied that </w:t>
      </w:r>
      <w:r w:rsidR="00C51656">
        <w:rPr>
          <w:lang w:eastAsia="en-AU"/>
        </w:rPr>
        <w:t>declaration</w:t>
      </w:r>
      <w:r w:rsidR="00CD11E3">
        <w:rPr>
          <w:lang w:eastAsia="en-AU"/>
        </w:rPr>
        <w:t xml:space="preserve"> would promote </w:t>
      </w:r>
      <w:r w:rsidR="00C51656">
        <w:rPr>
          <w:lang w:eastAsia="en-AU"/>
        </w:rPr>
        <w:t xml:space="preserve">the public interest because he considered that declaration would not promote competition in any dependent market and would not promote efficiency. NSWMC submitted that, if the Tribunal were </w:t>
      </w:r>
      <w:r w:rsidR="00485B59">
        <w:rPr>
          <w:lang w:eastAsia="en-AU"/>
        </w:rPr>
        <w:t>satisfied</w:t>
      </w:r>
      <w:r w:rsidR="00C51656">
        <w:rPr>
          <w:lang w:eastAsia="en-AU"/>
        </w:rPr>
        <w:t xml:space="preserve"> that declaration would promote a material increase in </w:t>
      </w:r>
      <w:r w:rsidR="00C51656">
        <w:rPr>
          <w:lang w:eastAsia="en-AU"/>
        </w:rPr>
        <w:lastRenderedPageBreak/>
        <w:t xml:space="preserve">competition in a </w:t>
      </w:r>
      <w:r w:rsidR="00485B59">
        <w:rPr>
          <w:lang w:eastAsia="en-AU"/>
        </w:rPr>
        <w:t>dependent</w:t>
      </w:r>
      <w:r w:rsidR="00C51656">
        <w:rPr>
          <w:lang w:eastAsia="en-AU"/>
        </w:rPr>
        <w:t xml:space="preserve"> market, it should for that reason be </w:t>
      </w:r>
      <w:r w:rsidR="00485B59">
        <w:rPr>
          <w:lang w:eastAsia="en-AU"/>
        </w:rPr>
        <w:t>satisfied</w:t>
      </w:r>
      <w:r w:rsidR="00C51656">
        <w:rPr>
          <w:lang w:eastAsia="en-AU"/>
        </w:rPr>
        <w:t xml:space="preserve"> that declaration would promote the public interest.</w:t>
      </w:r>
      <w:r w:rsidR="00485B59">
        <w:rPr>
          <w:lang w:eastAsia="en-AU"/>
        </w:rPr>
        <w:t xml:space="preserve"> NSWMC further submitted that the following additional public benefits would also arise:</w:t>
      </w:r>
    </w:p>
    <w:p w14:paraId="67BDF57A" w14:textId="77777777" w:rsidR="00485B59" w:rsidRDefault="00485B59" w:rsidP="009F17C2">
      <w:pPr>
        <w:pStyle w:val="ListNo1alt"/>
        <w:numPr>
          <w:ilvl w:val="0"/>
          <w:numId w:val="38"/>
        </w:numPr>
        <w:rPr>
          <w:lang w:eastAsia="en-AU"/>
        </w:rPr>
      </w:pPr>
      <w:bookmarkStart w:id="37" w:name="PastedTemp87"/>
      <w:r w:rsidRPr="00485B59">
        <w:rPr>
          <w:lang w:eastAsia="en-AU"/>
        </w:rPr>
        <w:t>The continued or increased participation of major and smaller coal producers</w:t>
      </w:r>
      <w:r>
        <w:rPr>
          <w:lang w:eastAsia="en-AU"/>
        </w:rPr>
        <w:t xml:space="preserve"> </w:t>
      </w:r>
      <w:r w:rsidRPr="00485B59">
        <w:rPr>
          <w:lang w:eastAsia="en-AU"/>
        </w:rPr>
        <w:t>would result in an improvement in the opportunities and environment for</w:t>
      </w:r>
      <w:r>
        <w:rPr>
          <w:lang w:eastAsia="en-AU"/>
        </w:rPr>
        <w:t xml:space="preserve"> </w:t>
      </w:r>
      <w:r w:rsidRPr="00485B59">
        <w:rPr>
          <w:lang w:eastAsia="en-AU"/>
        </w:rPr>
        <w:t>competition in the provision of the infrastructure (including coal terminal</w:t>
      </w:r>
      <w:r w:rsidR="003A6F45">
        <w:rPr>
          <w:lang w:eastAsia="en-AU"/>
        </w:rPr>
        <w:t>s</w:t>
      </w:r>
      <w:r w:rsidRPr="00485B59">
        <w:rPr>
          <w:lang w:eastAsia="en-AU"/>
        </w:rPr>
        <w:t>)</w:t>
      </w:r>
      <w:r>
        <w:rPr>
          <w:lang w:eastAsia="en-AU"/>
        </w:rPr>
        <w:t xml:space="preserve"> required for the </w:t>
      </w:r>
      <w:r w:rsidRPr="00485B59">
        <w:rPr>
          <w:lang w:eastAsia="en-AU"/>
        </w:rPr>
        <w:t>development of coal projects, including in particular in relation</w:t>
      </w:r>
      <w:r>
        <w:rPr>
          <w:lang w:eastAsia="en-AU"/>
        </w:rPr>
        <w:t xml:space="preserve"> </w:t>
      </w:r>
      <w:bookmarkEnd w:id="37"/>
      <w:r w:rsidRPr="00485B59">
        <w:rPr>
          <w:lang w:eastAsia="en-AU"/>
        </w:rPr>
        <w:t>to the development and output from smaller more marginal projects</w:t>
      </w:r>
      <w:r w:rsidR="00E25825">
        <w:rPr>
          <w:lang w:eastAsia="en-AU"/>
        </w:rPr>
        <w:t>.</w:t>
      </w:r>
    </w:p>
    <w:p w14:paraId="7D7F3583" w14:textId="77777777" w:rsidR="00485B59" w:rsidRDefault="00485B59" w:rsidP="009F17C2">
      <w:pPr>
        <w:pStyle w:val="ListNo1alt"/>
        <w:numPr>
          <w:ilvl w:val="0"/>
          <w:numId w:val="38"/>
        </w:numPr>
        <w:rPr>
          <w:lang w:eastAsia="en-AU"/>
        </w:rPr>
      </w:pPr>
      <w:bookmarkStart w:id="38" w:name="PastedTemp5"/>
      <w:r>
        <w:rPr>
          <w:lang w:eastAsia="en-AU"/>
        </w:rPr>
        <w:t>The continued or increased participation of major and smaller coal producers would also result in further demand in the markets for specialist services in the Hunter Valley region.</w:t>
      </w:r>
    </w:p>
    <w:p w14:paraId="1434EDE2" w14:textId="77777777" w:rsidR="00485B59" w:rsidRPr="00856126" w:rsidRDefault="00485B59" w:rsidP="009F17C2">
      <w:pPr>
        <w:pStyle w:val="ListNo1alt"/>
        <w:numPr>
          <w:ilvl w:val="0"/>
          <w:numId w:val="38"/>
        </w:numPr>
        <w:rPr>
          <w:lang w:eastAsia="en-AU"/>
        </w:rPr>
      </w:pPr>
      <w:r w:rsidRPr="00856126">
        <w:rPr>
          <w:lang w:eastAsia="en-AU"/>
        </w:rPr>
        <w:t>Declaration would address the prospect of discrimination by a vertically integrated shareholder in PNO (C</w:t>
      </w:r>
      <w:r w:rsidR="003C4E35" w:rsidRPr="00856126">
        <w:rPr>
          <w:lang w:eastAsia="en-AU"/>
        </w:rPr>
        <w:t xml:space="preserve">hina </w:t>
      </w:r>
      <w:r w:rsidRPr="00856126">
        <w:rPr>
          <w:lang w:eastAsia="en-AU"/>
        </w:rPr>
        <w:t>M</w:t>
      </w:r>
      <w:r w:rsidR="003C4E35" w:rsidRPr="00856126">
        <w:rPr>
          <w:lang w:eastAsia="en-AU"/>
        </w:rPr>
        <w:t>erchants Group</w:t>
      </w:r>
      <w:r w:rsidRPr="00856126">
        <w:rPr>
          <w:lang w:eastAsia="en-AU"/>
        </w:rPr>
        <w:t>) which has coal vessels and a possible ability to influence the nature and type of vessels and cost of those vessels accessing the Port.</w:t>
      </w:r>
    </w:p>
    <w:p w14:paraId="4D96C45A" w14:textId="77777777" w:rsidR="00485B59" w:rsidRDefault="00485B59" w:rsidP="009F17C2">
      <w:pPr>
        <w:pStyle w:val="ListNo1alt"/>
        <w:numPr>
          <w:ilvl w:val="0"/>
          <w:numId w:val="38"/>
        </w:numPr>
        <w:rPr>
          <w:lang w:eastAsia="en-AU"/>
        </w:rPr>
      </w:pPr>
      <w:r>
        <w:rPr>
          <w:lang w:eastAsia="en-AU"/>
        </w:rPr>
        <w:t>If the Service were declared, PNO would not be able to refuse to meet coal industry representatives in collective bargaining without the threat of arbitration. Such collective bargaining would give rise to public benefits, and accordingly is in the public interest.</w:t>
      </w:r>
      <w:bookmarkEnd w:id="38"/>
    </w:p>
    <w:p w14:paraId="2BF794F3" w14:textId="77777777" w:rsidR="00485B59" w:rsidRDefault="00ED3FD8" w:rsidP="00485B59">
      <w:pPr>
        <w:pStyle w:val="ParaNumbering"/>
        <w:rPr>
          <w:lang w:eastAsia="en-AU"/>
        </w:rPr>
      </w:pPr>
      <w:r>
        <w:rPr>
          <w:lang w:eastAsia="en-AU"/>
        </w:rPr>
        <w:t>NSWMC advance</w:t>
      </w:r>
      <w:r w:rsidR="004948CC">
        <w:rPr>
          <w:lang w:eastAsia="en-AU"/>
        </w:rPr>
        <w:t>d</w:t>
      </w:r>
      <w:r>
        <w:rPr>
          <w:lang w:eastAsia="en-AU"/>
        </w:rPr>
        <w:t xml:space="preserve"> the following submissions in relation to the NCC’s analysis of the effect of declaration on competition in the tenements market (which analysis was adopted by the Treasurer).</w:t>
      </w:r>
    </w:p>
    <w:p w14:paraId="541A0977" w14:textId="77777777" w:rsidR="00A06220" w:rsidRDefault="00A06220" w:rsidP="00A06220">
      <w:pPr>
        <w:pStyle w:val="Heading2"/>
        <w:rPr>
          <w:lang w:eastAsia="en-AU"/>
        </w:rPr>
      </w:pPr>
      <w:bookmarkStart w:id="39" w:name="_Ref78900492"/>
      <w:r>
        <w:rPr>
          <w:lang w:eastAsia="en-AU"/>
        </w:rPr>
        <w:t>The test to be applied</w:t>
      </w:r>
      <w:bookmarkEnd w:id="39"/>
    </w:p>
    <w:p w14:paraId="05E9F63F" w14:textId="77777777" w:rsidR="00A06220" w:rsidRPr="00A06220" w:rsidRDefault="00A06220" w:rsidP="00035064">
      <w:pPr>
        <w:pStyle w:val="ParaNumbering"/>
        <w:rPr>
          <w:lang w:eastAsia="en-AU"/>
        </w:rPr>
      </w:pPr>
      <w:r>
        <w:rPr>
          <w:lang w:eastAsia="en-AU"/>
        </w:rPr>
        <w:t>NSWMC submitted that, in its Recommendation, the NCC applied an incorrect test</w:t>
      </w:r>
      <w:r w:rsidR="00035064">
        <w:rPr>
          <w:lang w:eastAsia="en-AU"/>
        </w:rPr>
        <w:t xml:space="preserve"> in respect of criterion (a) by enquiring whether declaration would have the effect of increasing competition rather than the effect of improving the conditions for competition. NSWMC submitted that on numerous occasions the NCC framed the enquiry by reference to the effect on competition; for example, at [1.22], the NCC stated: “</w:t>
      </w:r>
      <w:r w:rsidR="00035064" w:rsidRPr="00035064">
        <w:rPr>
          <w:lang w:eastAsia="en-AU"/>
        </w:rPr>
        <w:t>Criterion (a) requires consideration of the effects on competition in dependent markets (i.e., markets other than the market for the Service), of access or increased access on reasonable terms and conditions as a result of declaration</w:t>
      </w:r>
      <w:r w:rsidR="00035064">
        <w:rPr>
          <w:lang w:eastAsia="en-AU"/>
        </w:rPr>
        <w:t xml:space="preserve">”. NSWMC referred the Tribunal to similar statements </w:t>
      </w:r>
      <w:r w:rsidR="00035064" w:rsidRPr="0015335F">
        <w:rPr>
          <w:lang w:eastAsia="en-AU"/>
        </w:rPr>
        <w:t xml:space="preserve">at </w:t>
      </w:r>
      <w:r w:rsidR="00D52F5F" w:rsidRPr="002A078C">
        <w:rPr>
          <w:lang w:eastAsia="en-AU"/>
        </w:rPr>
        <w:t>[1.2.6], [7.155]</w:t>
      </w:r>
      <w:r w:rsidR="0015335F" w:rsidRPr="002B1C14">
        <w:rPr>
          <w:lang w:eastAsia="en-AU"/>
        </w:rPr>
        <w:t xml:space="preserve"> and</w:t>
      </w:r>
      <w:r w:rsidR="00D52F5F" w:rsidRPr="002A078C">
        <w:rPr>
          <w:lang w:eastAsia="en-AU"/>
        </w:rPr>
        <w:t xml:space="preserve"> [7.157]</w:t>
      </w:r>
      <w:r w:rsidR="0015335F" w:rsidRPr="0015335F">
        <w:rPr>
          <w:lang w:eastAsia="en-AU"/>
        </w:rPr>
        <w:t>.</w:t>
      </w:r>
      <w:r w:rsidR="0015335F">
        <w:rPr>
          <w:lang w:eastAsia="en-AU"/>
        </w:rPr>
        <w:t xml:space="preserve"> </w:t>
      </w:r>
    </w:p>
    <w:p w14:paraId="7B988475" w14:textId="77777777" w:rsidR="00ED3FD8" w:rsidRDefault="00ED3FD8" w:rsidP="00ED3FD8">
      <w:pPr>
        <w:pStyle w:val="Heading2"/>
        <w:rPr>
          <w:lang w:eastAsia="en-AU"/>
        </w:rPr>
      </w:pPr>
      <w:bookmarkStart w:id="40" w:name="_Ref78900493"/>
      <w:r>
        <w:rPr>
          <w:lang w:eastAsia="en-AU"/>
        </w:rPr>
        <w:lastRenderedPageBreak/>
        <w:t>“Hold</w:t>
      </w:r>
      <w:r w:rsidR="00520B0E">
        <w:rPr>
          <w:lang w:eastAsia="en-AU"/>
        </w:rPr>
        <w:t>-</w:t>
      </w:r>
      <w:r>
        <w:rPr>
          <w:lang w:eastAsia="en-AU"/>
        </w:rPr>
        <w:t>up” risk</w:t>
      </w:r>
      <w:r w:rsidR="003F053E">
        <w:rPr>
          <w:lang w:eastAsia="en-AU"/>
        </w:rPr>
        <w:t xml:space="preserve"> of investment</w:t>
      </w:r>
      <w:bookmarkEnd w:id="40"/>
    </w:p>
    <w:p w14:paraId="251E77D6" w14:textId="77777777" w:rsidR="00ED3FD8" w:rsidRDefault="00ED3FD8" w:rsidP="00ED3FD8">
      <w:pPr>
        <w:pStyle w:val="ParaNumbering"/>
        <w:rPr>
          <w:lang w:eastAsia="en-AU"/>
        </w:rPr>
      </w:pPr>
      <w:r>
        <w:rPr>
          <w:lang w:eastAsia="en-AU"/>
        </w:rPr>
        <w:t xml:space="preserve">NSWMC submitted that, </w:t>
      </w:r>
      <w:bookmarkStart w:id="41" w:name="PastedTemp94"/>
      <w:r w:rsidRPr="00ED3FD8">
        <w:rPr>
          <w:lang w:eastAsia="en-AU"/>
        </w:rPr>
        <w:t>in the future without declaration</w:t>
      </w:r>
      <w:r>
        <w:rPr>
          <w:lang w:eastAsia="en-AU"/>
        </w:rPr>
        <w:t>,</w:t>
      </w:r>
      <w:r w:rsidRPr="00ED3FD8">
        <w:rPr>
          <w:lang w:eastAsia="en-AU"/>
        </w:rPr>
        <w:t xml:space="preserve"> market participants in the tenements market</w:t>
      </w:r>
      <w:r>
        <w:rPr>
          <w:lang w:eastAsia="en-AU"/>
        </w:rPr>
        <w:t xml:space="preserve"> </w:t>
      </w:r>
      <w:r w:rsidRPr="00ED3FD8">
        <w:rPr>
          <w:lang w:eastAsia="en-AU"/>
        </w:rPr>
        <w:t>will face higher levels of uncertainty with respect to the PNO’s charges (such as the</w:t>
      </w:r>
      <w:r>
        <w:rPr>
          <w:lang w:eastAsia="en-AU"/>
        </w:rPr>
        <w:t xml:space="preserve"> </w:t>
      </w:r>
      <w:r w:rsidR="00E24A0D">
        <w:rPr>
          <w:lang w:eastAsia="en-AU"/>
        </w:rPr>
        <w:t>navigation service charge</w:t>
      </w:r>
      <w:r w:rsidRPr="00ED3FD8">
        <w:rPr>
          <w:lang w:eastAsia="en-AU"/>
        </w:rPr>
        <w:t>), which increases the risk associated with making investments in tenements, as</w:t>
      </w:r>
      <w:r>
        <w:rPr>
          <w:lang w:eastAsia="en-AU"/>
        </w:rPr>
        <w:t xml:space="preserve"> </w:t>
      </w:r>
      <w:r w:rsidRPr="00ED3FD8">
        <w:rPr>
          <w:lang w:eastAsia="en-AU"/>
        </w:rPr>
        <w:t>compared to the future with access (or increased access), on reasonable terms and</w:t>
      </w:r>
      <w:r>
        <w:rPr>
          <w:lang w:eastAsia="en-AU"/>
        </w:rPr>
        <w:t xml:space="preserve"> </w:t>
      </w:r>
      <w:r w:rsidRPr="00ED3FD8">
        <w:rPr>
          <w:lang w:eastAsia="en-AU"/>
        </w:rPr>
        <w:t>conditions, as a result of declaration</w:t>
      </w:r>
      <w:bookmarkEnd w:id="41"/>
      <w:r>
        <w:rPr>
          <w:lang w:eastAsia="en-AU"/>
        </w:rPr>
        <w:t>.</w:t>
      </w:r>
      <w:bookmarkStart w:id="42" w:name="PastedTemp36"/>
      <w:r w:rsidRPr="00ED3FD8">
        <w:t xml:space="preserve"> </w:t>
      </w:r>
      <w:r>
        <w:rPr>
          <w:lang w:eastAsia="en-AU"/>
        </w:rPr>
        <w:t>Further, the increased risk associated with investing in new tenements increases the</w:t>
      </w:r>
      <w:r w:rsidR="003F053E">
        <w:rPr>
          <w:lang w:eastAsia="en-AU"/>
        </w:rPr>
        <w:t xml:space="preserve"> </w:t>
      </w:r>
      <w:r>
        <w:rPr>
          <w:lang w:eastAsia="en-AU"/>
        </w:rPr>
        <w:t>borrowing costs to finance the investment, which increases the return required on</w:t>
      </w:r>
      <w:r w:rsidR="003F053E">
        <w:rPr>
          <w:lang w:eastAsia="en-AU"/>
        </w:rPr>
        <w:t xml:space="preserve"> </w:t>
      </w:r>
      <w:r>
        <w:rPr>
          <w:lang w:eastAsia="en-AU"/>
        </w:rPr>
        <w:t>investments. This elevated risk also increases the likelihood that investors will delay their</w:t>
      </w:r>
      <w:r w:rsidR="003F053E">
        <w:rPr>
          <w:lang w:eastAsia="en-AU"/>
        </w:rPr>
        <w:t xml:space="preserve"> </w:t>
      </w:r>
      <w:r>
        <w:rPr>
          <w:lang w:eastAsia="en-AU"/>
        </w:rPr>
        <w:t>investments until the uncertainty is resolved. This reduces allocative efficiency and the</w:t>
      </w:r>
      <w:r w:rsidR="003F053E">
        <w:rPr>
          <w:lang w:eastAsia="en-AU"/>
        </w:rPr>
        <w:t xml:space="preserve"> </w:t>
      </w:r>
      <w:r>
        <w:rPr>
          <w:lang w:eastAsia="en-AU"/>
        </w:rPr>
        <w:t>productivity of the Australian economy.</w:t>
      </w:r>
    </w:p>
    <w:p w14:paraId="1CE825FC" w14:textId="77777777" w:rsidR="00ED3FD8" w:rsidRDefault="003F053E" w:rsidP="003F053E">
      <w:pPr>
        <w:pStyle w:val="ParaNumbering"/>
        <w:rPr>
          <w:lang w:eastAsia="en-AU"/>
        </w:rPr>
      </w:pPr>
      <w:r>
        <w:rPr>
          <w:lang w:eastAsia="en-AU"/>
        </w:rPr>
        <w:t>NSWMC submitted that the foregoing risks are commonly</w:t>
      </w:r>
      <w:r w:rsidR="00ED3FD8">
        <w:rPr>
          <w:lang w:eastAsia="en-AU"/>
        </w:rPr>
        <w:t xml:space="preserve"> referred</w:t>
      </w:r>
      <w:r>
        <w:rPr>
          <w:lang w:eastAsia="en-AU"/>
        </w:rPr>
        <w:t xml:space="preserve"> </w:t>
      </w:r>
      <w:r w:rsidR="00ED3FD8">
        <w:rPr>
          <w:lang w:eastAsia="en-AU"/>
        </w:rPr>
        <w:t>to as the “hold-up” risk of investment. Th</w:t>
      </w:r>
      <w:r>
        <w:rPr>
          <w:lang w:eastAsia="en-AU"/>
        </w:rPr>
        <w:t>e</w:t>
      </w:r>
      <w:r w:rsidR="00ED3FD8">
        <w:rPr>
          <w:lang w:eastAsia="en-AU"/>
        </w:rPr>
        <w:t xml:space="preserve"> risk arises when one party makes long-lived</w:t>
      </w:r>
      <w:r>
        <w:rPr>
          <w:lang w:eastAsia="en-AU"/>
        </w:rPr>
        <w:t xml:space="preserve"> </w:t>
      </w:r>
      <w:r w:rsidR="00ED3FD8">
        <w:rPr>
          <w:lang w:eastAsia="en-AU"/>
        </w:rPr>
        <w:t>investments that are both “sunk” and are specific to transactions with another party. In</w:t>
      </w:r>
      <w:r>
        <w:rPr>
          <w:lang w:eastAsia="en-AU"/>
        </w:rPr>
        <w:t xml:space="preserve"> </w:t>
      </w:r>
      <w:r w:rsidR="00ED3FD8">
        <w:rPr>
          <w:lang w:eastAsia="en-AU"/>
        </w:rPr>
        <w:t>these instances, the investing party is locked into a relationship with the second party,</w:t>
      </w:r>
      <w:r>
        <w:rPr>
          <w:lang w:eastAsia="en-AU"/>
        </w:rPr>
        <w:t xml:space="preserve"> </w:t>
      </w:r>
      <w:r w:rsidR="00ED3FD8">
        <w:rPr>
          <w:lang w:eastAsia="en-AU"/>
        </w:rPr>
        <w:t>and the risk arises that the second party will behave opportunistically to expropriate the</w:t>
      </w:r>
      <w:r>
        <w:rPr>
          <w:lang w:eastAsia="en-AU"/>
        </w:rPr>
        <w:t xml:space="preserve"> </w:t>
      </w:r>
      <w:r w:rsidR="00ED3FD8">
        <w:rPr>
          <w:lang w:eastAsia="en-AU"/>
        </w:rPr>
        <w:t>value of the first party’s sunk investment. Given that investors in tenements make</w:t>
      </w:r>
      <w:r>
        <w:rPr>
          <w:lang w:eastAsia="en-AU"/>
        </w:rPr>
        <w:t xml:space="preserve"> </w:t>
      </w:r>
      <w:r w:rsidR="00ED3FD8">
        <w:rPr>
          <w:lang w:eastAsia="en-AU"/>
        </w:rPr>
        <w:t>significant long-term, location-specific investments that ultimately depend for viability</w:t>
      </w:r>
      <w:r>
        <w:rPr>
          <w:lang w:eastAsia="en-AU"/>
        </w:rPr>
        <w:t xml:space="preserve"> </w:t>
      </w:r>
      <w:r w:rsidR="00ED3FD8">
        <w:rPr>
          <w:lang w:eastAsia="en-AU"/>
        </w:rPr>
        <w:t xml:space="preserve">on access to the </w:t>
      </w:r>
      <w:r>
        <w:rPr>
          <w:lang w:eastAsia="en-AU"/>
        </w:rPr>
        <w:t>shipping channel s</w:t>
      </w:r>
      <w:r w:rsidR="00ED3FD8">
        <w:rPr>
          <w:lang w:eastAsia="en-AU"/>
        </w:rPr>
        <w:t xml:space="preserve">ervice, the tenements market is </w:t>
      </w:r>
      <w:r>
        <w:rPr>
          <w:lang w:eastAsia="en-AU"/>
        </w:rPr>
        <w:t xml:space="preserve">apt to produce “hold-up” risk. </w:t>
      </w:r>
      <w:r w:rsidR="00ED3FD8">
        <w:rPr>
          <w:lang w:eastAsia="en-AU"/>
        </w:rPr>
        <w:t xml:space="preserve">In contrast, access to the </w:t>
      </w:r>
      <w:r>
        <w:rPr>
          <w:lang w:eastAsia="en-AU"/>
        </w:rPr>
        <w:t>shipping channel s</w:t>
      </w:r>
      <w:r w:rsidR="00ED3FD8">
        <w:rPr>
          <w:lang w:eastAsia="en-AU"/>
        </w:rPr>
        <w:t>ervice on reasonable terms and conditions as</w:t>
      </w:r>
      <w:r>
        <w:rPr>
          <w:lang w:eastAsia="en-AU"/>
        </w:rPr>
        <w:t xml:space="preserve"> </w:t>
      </w:r>
      <w:r w:rsidR="00ED3FD8">
        <w:rPr>
          <w:lang w:eastAsia="en-AU"/>
        </w:rPr>
        <w:t>a result of declaration would materially reduce the level of risk associated with</w:t>
      </w:r>
      <w:r>
        <w:rPr>
          <w:lang w:eastAsia="en-AU"/>
        </w:rPr>
        <w:t xml:space="preserve"> </w:t>
      </w:r>
      <w:r w:rsidR="00ED3FD8">
        <w:rPr>
          <w:lang w:eastAsia="en-AU"/>
        </w:rPr>
        <w:t>investments in the tenements market. Ensuring that PNO’s access terms and conditions</w:t>
      </w:r>
      <w:r>
        <w:rPr>
          <w:lang w:eastAsia="en-AU"/>
        </w:rPr>
        <w:t xml:space="preserve"> </w:t>
      </w:r>
      <w:r w:rsidR="00ED3FD8">
        <w:rPr>
          <w:lang w:eastAsia="en-AU"/>
        </w:rPr>
        <w:t xml:space="preserve">are reasonable would likely promote efficient entry (and efficient participation) such that </w:t>
      </w:r>
      <w:bookmarkStart w:id="43" w:name="PastedTemp52"/>
      <w:bookmarkEnd w:id="42"/>
      <w:r w:rsidRPr="003F053E">
        <w:rPr>
          <w:lang w:eastAsia="en-AU"/>
        </w:rPr>
        <w:t>there would be a non-trivial, material improvement in the environment for competition in the tenements market</w:t>
      </w:r>
      <w:r>
        <w:rPr>
          <w:lang w:eastAsia="en-AU"/>
        </w:rPr>
        <w:t>.</w:t>
      </w:r>
      <w:bookmarkEnd w:id="43"/>
    </w:p>
    <w:p w14:paraId="1105F4D7" w14:textId="77777777" w:rsidR="00E5075D" w:rsidRDefault="00E5075D" w:rsidP="00B33B2B">
      <w:pPr>
        <w:pStyle w:val="ParaNumbering"/>
        <w:rPr>
          <w:lang w:eastAsia="en-AU"/>
        </w:rPr>
      </w:pPr>
      <w:r>
        <w:rPr>
          <w:lang w:eastAsia="en-AU"/>
        </w:rPr>
        <w:t>NSWMC argued that the likelihood of hold</w:t>
      </w:r>
      <w:r w:rsidR="00520B0E">
        <w:rPr>
          <w:lang w:eastAsia="en-AU"/>
        </w:rPr>
        <w:t>-</w:t>
      </w:r>
      <w:r>
        <w:rPr>
          <w:lang w:eastAsia="en-AU"/>
        </w:rPr>
        <w:t xml:space="preserve">up risk is supported by evidence given to the NCC by coal mining companies, specifically by </w:t>
      </w:r>
      <w:proofErr w:type="spellStart"/>
      <w:r>
        <w:rPr>
          <w:lang w:eastAsia="en-AU"/>
        </w:rPr>
        <w:t>Yancoal</w:t>
      </w:r>
      <w:proofErr w:type="spellEnd"/>
      <w:r>
        <w:rPr>
          <w:lang w:eastAsia="en-AU"/>
        </w:rPr>
        <w:t xml:space="preserve">, </w:t>
      </w:r>
      <w:r w:rsidR="00F85F51" w:rsidRPr="00F85F51">
        <w:rPr>
          <w:lang w:eastAsia="en-AU"/>
        </w:rPr>
        <w:t>Malabar Resour</w:t>
      </w:r>
      <w:r w:rsidR="00F85F51">
        <w:rPr>
          <w:lang w:eastAsia="en-AU"/>
        </w:rPr>
        <w:t>ces</w:t>
      </w:r>
      <w:r w:rsidR="00115420">
        <w:rPr>
          <w:lang w:eastAsia="en-AU"/>
        </w:rPr>
        <w:t>,</w:t>
      </w:r>
      <w:r w:rsidR="00F85F51">
        <w:rPr>
          <w:lang w:eastAsia="en-AU"/>
        </w:rPr>
        <w:t xml:space="preserve"> Bloomfield Group, Glencore and Port Waratah Coal Services</w:t>
      </w:r>
      <w:r w:rsidR="00AE180C">
        <w:rPr>
          <w:lang w:eastAsia="en-AU"/>
        </w:rPr>
        <w:t>. The evidence given by those companies is considered below.</w:t>
      </w:r>
    </w:p>
    <w:p w14:paraId="2C8E89BD" w14:textId="77777777" w:rsidR="003F053E" w:rsidRDefault="003F053E" w:rsidP="003F053E">
      <w:pPr>
        <w:pStyle w:val="Heading2"/>
        <w:rPr>
          <w:lang w:eastAsia="en-AU"/>
        </w:rPr>
      </w:pPr>
      <w:bookmarkStart w:id="44" w:name="_Ref78900494"/>
      <w:r>
        <w:rPr>
          <w:lang w:eastAsia="en-AU"/>
        </w:rPr>
        <w:t>Competitiveness of the tenements market</w:t>
      </w:r>
      <w:bookmarkEnd w:id="44"/>
    </w:p>
    <w:p w14:paraId="7346E2E3" w14:textId="77777777" w:rsidR="003F053E" w:rsidRDefault="003F053E" w:rsidP="00561121">
      <w:pPr>
        <w:pStyle w:val="ParaNumbering"/>
        <w:rPr>
          <w:lang w:eastAsia="en-AU"/>
        </w:rPr>
      </w:pPr>
      <w:r>
        <w:rPr>
          <w:lang w:eastAsia="en-AU"/>
        </w:rPr>
        <w:t xml:space="preserve">NSWMC submitted that the NCC’s analysis of the tenements market did not support a conclusion that the market is effectively competitive at present. </w:t>
      </w:r>
      <w:bookmarkStart w:id="45" w:name="PastedTemp76"/>
      <w:r w:rsidRPr="003F053E">
        <w:rPr>
          <w:lang w:eastAsia="en-AU"/>
        </w:rPr>
        <w:t xml:space="preserve">The </w:t>
      </w:r>
      <w:r>
        <w:rPr>
          <w:lang w:eastAsia="en-AU"/>
        </w:rPr>
        <w:t>NCC</w:t>
      </w:r>
      <w:r w:rsidRPr="003F053E">
        <w:rPr>
          <w:lang w:eastAsia="en-AU"/>
        </w:rPr>
        <w:t xml:space="preserve"> </w:t>
      </w:r>
      <w:r>
        <w:rPr>
          <w:lang w:eastAsia="en-AU"/>
        </w:rPr>
        <w:t>based its conclusion on t</w:t>
      </w:r>
      <w:r w:rsidRPr="003F053E">
        <w:rPr>
          <w:lang w:eastAsia="en-AU"/>
        </w:rPr>
        <w:t>wo</w:t>
      </w:r>
      <w:r>
        <w:rPr>
          <w:lang w:eastAsia="en-AU"/>
        </w:rPr>
        <w:t xml:space="preserve"> </w:t>
      </w:r>
      <w:r w:rsidRPr="003F053E">
        <w:rPr>
          <w:lang w:eastAsia="en-AU"/>
        </w:rPr>
        <w:t xml:space="preserve">matters: </w:t>
      </w:r>
      <w:r w:rsidR="00561121">
        <w:rPr>
          <w:lang w:eastAsia="en-AU"/>
        </w:rPr>
        <w:t xml:space="preserve">that </w:t>
      </w:r>
      <w:r w:rsidRPr="003F053E">
        <w:rPr>
          <w:lang w:eastAsia="en-AU"/>
        </w:rPr>
        <w:t>there are a large</w:t>
      </w:r>
      <w:r>
        <w:rPr>
          <w:lang w:eastAsia="en-AU"/>
        </w:rPr>
        <w:t xml:space="preserve"> number of licence holders; and</w:t>
      </w:r>
      <w:r w:rsidRPr="003F053E">
        <w:rPr>
          <w:lang w:eastAsia="en-AU"/>
        </w:rPr>
        <w:t xml:space="preserve"> </w:t>
      </w:r>
      <w:r w:rsidR="00561121">
        <w:rPr>
          <w:lang w:eastAsia="en-AU"/>
        </w:rPr>
        <w:t xml:space="preserve">that </w:t>
      </w:r>
      <w:r w:rsidRPr="003F053E">
        <w:rPr>
          <w:lang w:eastAsia="en-AU"/>
        </w:rPr>
        <w:t>the</w:t>
      </w:r>
      <w:r>
        <w:rPr>
          <w:lang w:eastAsia="en-AU"/>
        </w:rPr>
        <w:t xml:space="preserve"> </w:t>
      </w:r>
      <w:r w:rsidRPr="003F053E">
        <w:rPr>
          <w:lang w:eastAsia="en-AU"/>
        </w:rPr>
        <w:t>State</w:t>
      </w:r>
      <w:r w:rsidR="00561121">
        <w:rPr>
          <w:lang w:eastAsia="en-AU"/>
        </w:rPr>
        <w:t>’s</w:t>
      </w:r>
      <w:r w:rsidRPr="003F053E">
        <w:rPr>
          <w:lang w:eastAsia="en-AU"/>
        </w:rPr>
        <w:t xml:space="preserve"> reforms </w:t>
      </w:r>
      <w:r w:rsidR="00561121">
        <w:rPr>
          <w:lang w:eastAsia="en-AU"/>
        </w:rPr>
        <w:t xml:space="preserve">to how coal tenements can be acquired from the State can be expected </w:t>
      </w:r>
      <w:r w:rsidRPr="003F053E">
        <w:rPr>
          <w:lang w:eastAsia="en-AU"/>
        </w:rPr>
        <w:t xml:space="preserve">to improve </w:t>
      </w:r>
      <w:r w:rsidR="00561121">
        <w:rPr>
          <w:lang w:eastAsia="en-AU"/>
        </w:rPr>
        <w:t xml:space="preserve">the </w:t>
      </w:r>
      <w:r w:rsidRPr="003F053E">
        <w:rPr>
          <w:lang w:eastAsia="en-AU"/>
        </w:rPr>
        <w:t xml:space="preserve">transparency </w:t>
      </w:r>
      <w:r w:rsidR="00561121">
        <w:rPr>
          <w:lang w:eastAsia="en-AU"/>
        </w:rPr>
        <w:lastRenderedPageBreak/>
        <w:t xml:space="preserve">of tenement acquisition </w:t>
      </w:r>
      <w:r w:rsidRPr="003F053E">
        <w:rPr>
          <w:lang w:eastAsia="en-AU"/>
        </w:rPr>
        <w:t>and enable greater competition</w:t>
      </w:r>
      <w:r w:rsidR="00561121">
        <w:rPr>
          <w:lang w:eastAsia="en-AU"/>
        </w:rPr>
        <w:t xml:space="preserve"> amongst investors seeking to acquire tenements</w:t>
      </w:r>
      <w:r w:rsidRPr="003F053E">
        <w:rPr>
          <w:lang w:eastAsia="en-AU"/>
        </w:rPr>
        <w:t>.</w:t>
      </w:r>
      <w:r w:rsidR="00561121">
        <w:rPr>
          <w:lang w:eastAsia="en-AU"/>
        </w:rPr>
        <w:t xml:space="preserve"> NSWMC submitted that</w:t>
      </w:r>
      <w:r w:rsidRPr="003F053E">
        <w:rPr>
          <w:lang w:eastAsia="en-AU"/>
        </w:rPr>
        <w:t xml:space="preserve"> those </w:t>
      </w:r>
      <w:r w:rsidR="00561121">
        <w:rPr>
          <w:lang w:eastAsia="en-AU"/>
        </w:rPr>
        <w:t xml:space="preserve">two </w:t>
      </w:r>
      <w:r w:rsidRPr="003F053E">
        <w:rPr>
          <w:lang w:eastAsia="en-AU"/>
        </w:rPr>
        <w:t xml:space="preserve">matters do not </w:t>
      </w:r>
      <w:r w:rsidR="00561121">
        <w:rPr>
          <w:lang w:eastAsia="en-AU"/>
        </w:rPr>
        <w:t xml:space="preserve">establish that the tenements market is effectively competitive. NSWMC asserted </w:t>
      </w:r>
      <w:r w:rsidR="000B61A7">
        <w:rPr>
          <w:lang w:eastAsia="en-AU"/>
        </w:rPr>
        <w:t>(without evidence or development of the contention)</w:t>
      </w:r>
      <w:r w:rsidR="007E2399">
        <w:rPr>
          <w:lang w:eastAsia="en-AU"/>
        </w:rPr>
        <w:t xml:space="preserve"> that</w:t>
      </w:r>
      <w:r w:rsidR="000B61A7">
        <w:rPr>
          <w:lang w:eastAsia="en-AU"/>
        </w:rPr>
        <w:t xml:space="preserve"> </w:t>
      </w:r>
      <w:r w:rsidR="00561121" w:rsidRPr="00561121">
        <w:rPr>
          <w:lang w:eastAsia="en-AU"/>
        </w:rPr>
        <w:t>there are</w:t>
      </w:r>
      <w:r w:rsidR="000B61A7">
        <w:rPr>
          <w:lang w:eastAsia="en-AU"/>
        </w:rPr>
        <w:t xml:space="preserve"> </w:t>
      </w:r>
      <w:r w:rsidR="00561121" w:rsidRPr="00561121">
        <w:rPr>
          <w:lang w:eastAsia="en-AU"/>
        </w:rPr>
        <w:t>concerns about the extent of competition in the tenements market</w:t>
      </w:r>
      <w:r w:rsidRPr="003F053E">
        <w:rPr>
          <w:lang w:eastAsia="en-AU"/>
        </w:rPr>
        <w:t>.</w:t>
      </w:r>
      <w:bookmarkEnd w:id="45"/>
    </w:p>
    <w:p w14:paraId="017B0665" w14:textId="77777777" w:rsidR="000B61A7" w:rsidRDefault="000B61A7" w:rsidP="000B61A7">
      <w:pPr>
        <w:pStyle w:val="Heading2"/>
        <w:rPr>
          <w:lang w:eastAsia="en-AU"/>
        </w:rPr>
      </w:pPr>
      <w:bookmarkStart w:id="46" w:name="_Ref78900495"/>
      <w:r>
        <w:rPr>
          <w:lang w:eastAsia="en-AU"/>
        </w:rPr>
        <w:t>Port charges relative to coal mining costs</w:t>
      </w:r>
      <w:bookmarkEnd w:id="46"/>
    </w:p>
    <w:p w14:paraId="67B101C4" w14:textId="77777777" w:rsidR="000B61A7" w:rsidRDefault="000D3A1E" w:rsidP="00325E4D">
      <w:pPr>
        <w:pStyle w:val="ParaNumbering"/>
        <w:rPr>
          <w:lang w:eastAsia="en-AU"/>
        </w:rPr>
      </w:pPr>
      <w:r>
        <w:rPr>
          <w:lang w:eastAsia="en-AU"/>
        </w:rPr>
        <w:t xml:space="preserve">NSWMC did not dispute that the </w:t>
      </w:r>
      <w:r w:rsidR="00E24A0D">
        <w:rPr>
          <w:lang w:eastAsia="en-AU"/>
        </w:rPr>
        <w:t>navigation service charge</w:t>
      </w:r>
      <w:r>
        <w:rPr>
          <w:lang w:eastAsia="en-AU"/>
        </w:rPr>
        <w:t xml:space="preserve"> and </w:t>
      </w:r>
      <w:r w:rsidR="00E24A0D">
        <w:rPr>
          <w:lang w:eastAsia="en-AU"/>
        </w:rPr>
        <w:t>wharfage charge</w:t>
      </w:r>
      <w:r>
        <w:rPr>
          <w:lang w:eastAsia="en-AU"/>
        </w:rPr>
        <w:t xml:space="preserve"> </w:t>
      </w:r>
      <w:r w:rsidR="00E24A0D">
        <w:rPr>
          <w:lang w:eastAsia="en-AU"/>
        </w:rPr>
        <w:t>levied</w:t>
      </w:r>
      <w:r>
        <w:rPr>
          <w:lang w:eastAsia="en-AU"/>
        </w:rPr>
        <w:t xml:space="preserve"> by PNO at the Port are small relative to coal mining costs and that </w:t>
      </w:r>
      <w:r w:rsidRPr="000D3A1E">
        <w:rPr>
          <w:lang w:eastAsia="en-AU"/>
        </w:rPr>
        <w:t>there are a range of commercial and regulatory</w:t>
      </w:r>
      <w:r w:rsidR="00325E4D">
        <w:rPr>
          <w:lang w:eastAsia="en-AU"/>
        </w:rPr>
        <w:t xml:space="preserve"> </w:t>
      </w:r>
      <w:r w:rsidRPr="000D3A1E">
        <w:rPr>
          <w:lang w:eastAsia="en-AU"/>
        </w:rPr>
        <w:t xml:space="preserve">uncertainties </w:t>
      </w:r>
      <w:r w:rsidR="00325E4D">
        <w:rPr>
          <w:lang w:eastAsia="en-AU"/>
        </w:rPr>
        <w:t xml:space="preserve">and risks </w:t>
      </w:r>
      <w:r w:rsidRPr="000D3A1E">
        <w:rPr>
          <w:lang w:eastAsia="en-AU"/>
        </w:rPr>
        <w:t>that will impact on decisions of investors or potential investors in the</w:t>
      </w:r>
      <w:r w:rsidR="00325E4D">
        <w:rPr>
          <w:lang w:eastAsia="en-AU"/>
        </w:rPr>
        <w:t xml:space="preserve"> </w:t>
      </w:r>
      <w:r w:rsidRPr="000D3A1E">
        <w:rPr>
          <w:lang w:eastAsia="en-AU"/>
        </w:rPr>
        <w:t>tenements market</w:t>
      </w:r>
      <w:r w:rsidR="00325E4D">
        <w:rPr>
          <w:lang w:eastAsia="en-AU"/>
        </w:rPr>
        <w:t xml:space="preserve">. NSWMC submitted, however, </w:t>
      </w:r>
      <w:r w:rsidR="007E2399">
        <w:rPr>
          <w:lang w:eastAsia="en-AU"/>
        </w:rPr>
        <w:t xml:space="preserve">that </w:t>
      </w:r>
      <w:r w:rsidR="00325E4D" w:rsidRPr="00325E4D">
        <w:rPr>
          <w:lang w:eastAsia="en-AU"/>
        </w:rPr>
        <w:t>it does</w:t>
      </w:r>
      <w:r w:rsidR="00325E4D">
        <w:rPr>
          <w:lang w:eastAsia="en-AU"/>
        </w:rPr>
        <w:t xml:space="preserve"> </w:t>
      </w:r>
      <w:r w:rsidR="00325E4D" w:rsidRPr="00325E4D">
        <w:rPr>
          <w:lang w:eastAsia="en-AU"/>
        </w:rPr>
        <w:t>not follow that reduced uncertainty in PNO’s future Port charges with declaration would not promote a material increase in competition in the tenements</w:t>
      </w:r>
      <w:r w:rsidR="00325E4D">
        <w:rPr>
          <w:lang w:eastAsia="en-AU"/>
        </w:rPr>
        <w:t xml:space="preserve"> </w:t>
      </w:r>
      <w:r w:rsidR="00325E4D" w:rsidRPr="00325E4D">
        <w:rPr>
          <w:lang w:eastAsia="en-AU"/>
        </w:rPr>
        <w:t>market</w:t>
      </w:r>
      <w:r w:rsidR="00325E4D">
        <w:rPr>
          <w:lang w:eastAsia="en-AU"/>
        </w:rPr>
        <w:t xml:space="preserve">. NSWMC argued that the </w:t>
      </w:r>
      <w:r w:rsidR="00325E4D" w:rsidRPr="00325E4D">
        <w:rPr>
          <w:lang w:eastAsia="en-AU"/>
        </w:rPr>
        <w:t>commercial and regulatory uncertainties and risks</w:t>
      </w:r>
      <w:r w:rsidR="00325E4D">
        <w:rPr>
          <w:lang w:eastAsia="en-AU"/>
        </w:rPr>
        <w:t xml:space="preserve"> faced by coal miners will be faced regardless of the location of the mine. </w:t>
      </w:r>
      <w:r w:rsidR="00325E4D" w:rsidRPr="00325E4D">
        <w:rPr>
          <w:lang w:eastAsia="en-AU"/>
        </w:rPr>
        <w:t>The risk caused by PNO’s ability to increase prices absent the declaration will be specific</w:t>
      </w:r>
      <w:r w:rsidR="00325E4D">
        <w:rPr>
          <w:lang w:eastAsia="en-AU"/>
        </w:rPr>
        <w:t xml:space="preserve"> </w:t>
      </w:r>
      <w:r w:rsidR="00325E4D" w:rsidRPr="00325E4D">
        <w:rPr>
          <w:lang w:eastAsia="en-AU"/>
        </w:rPr>
        <w:t xml:space="preserve">to coal exporters </w:t>
      </w:r>
      <w:r w:rsidR="00325E4D">
        <w:rPr>
          <w:lang w:eastAsia="en-AU"/>
        </w:rPr>
        <w:t xml:space="preserve">in the Newcastle catchment area. This </w:t>
      </w:r>
      <w:r w:rsidR="00325E4D" w:rsidRPr="00325E4D">
        <w:rPr>
          <w:lang w:eastAsia="en-AU"/>
        </w:rPr>
        <w:t>will detract from</w:t>
      </w:r>
      <w:r w:rsidR="00325E4D">
        <w:rPr>
          <w:lang w:eastAsia="en-AU"/>
        </w:rPr>
        <w:t xml:space="preserve"> </w:t>
      </w:r>
      <w:r w:rsidR="00325E4D" w:rsidRPr="00325E4D">
        <w:rPr>
          <w:lang w:eastAsia="en-AU"/>
        </w:rPr>
        <w:t>the attractiveness of investing in that area, in comparison to other projects</w:t>
      </w:r>
      <w:r w:rsidR="00325E4D">
        <w:rPr>
          <w:lang w:eastAsia="en-AU"/>
        </w:rPr>
        <w:t>.</w:t>
      </w:r>
    </w:p>
    <w:p w14:paraId="0C9DBB70" w14:textId="77777777" w:rsidR="00325E4D" w:rsidRDefault="00325E4D" w:rsidP="00325E4D">
      <w:pPr>
        <w:pStyle w:val="Heading2"/>
        <w:rPr>
          <w:lang w:eastAsia="en-AU"/>
        </w:rPr>
      </w:pPr>
      <w:bookmarkStart w:id="47" w:name="_Ref78900496"/>
      <w:r>
        <w:rPr>
          <w:lang w:eastAsia="en-AU"/>
        </w:rPr>
        <w:t>PNO’s ability and incentive to exercise market power</w:t>
      </w:r>
      <w:bookmarkEnd w:id="47"/>
    </w:p>
    <w:p w14:paraId="1A2C609A" w14:textId="77777777" w:rsidR="00325E4D" w:rsidRDefault="00306334" w:rsidP="00306334">
      <w:pPr>
        <w:pStyle w:val="ParaNumbering"/>
        <w:rPr>
          <w:lang w:eastAsia="en-AU"/>
        </w:rPr>
      </w:pPr>
      <w:r>
        <w:rPr>
          <w:lang w:eastAsia="en-AU"/>
        </w:rPr>
        <w:t xml:space="preserve">NSWMC submitted that criterion (a) does not require </w:t>
      </w:r>
      <w:r w:rsidRPr="00306334">
        <w:rPr>
          <w:lang w:eastAsia="en-AU"/>
        </w:rPr>
        <w:t>demonstration that the service provider has the incentive to deny</w:t>
      </w:r>
      <w:r>
        <w:rPr>
          <w:lang w:eastAsia="en-AU"/>
        </w:rPr>
        <w:t xml:space="preserve"> </w:t>
      </w:r>
      <w:r w:rsidRPr="00306334">
        <w:rPr>
          <w:lang w:eastAsia="en-AU"/>
        </w:rPr>
        <w:t xml:space="preserve">access to the </w:t>
      </w:r>
      <w:r>
        <w:rPr>
          <w:lang w:eastAsia="en-AU"/>
        </w:rPr>
        <w:t>s</w:t>
      </w:r>
      <w:r w:rsidRPr="00306334">
        <w:rPr>
          <w:lang w:eastAsia="en-AU"/>
        </w:rPr>
        <w:t>ervice or to otherwise exercise market power</w:t>
      </w:r>
      <w:r>
        <w:rPr>
          <w:lang w:eastAsia="en-AU"/>
        </w:rPr>
        <w:t xml:space="preserve">. While the incentive to exercise market power may be relevant, </w:t>
      </w:r>
      <w:r w:rsidRPr="00306334">
        <w:rPr>
          <w:lang w:eastAsia="en-AU"/>
        </w:rPr>
        <w:t>it is not a controlling nor determinative</w:t>
      </w:r>
      <w:r>
        <w:rPr>
          <w:lang w:eastAsia="en-AU"/>
        </w:rPr>
        <w:t xml:space="preserve"> </w:t>
      </w:r>
      <w:r w:rsidRPr="00306334">
        <w:rPr>
          <w:lang w:eastAsia="en-AU"/>
        </w:rPr>
        <w:t>evaluation</w:t>
      </w:r>
      <w:r w:rsidR="008E432E">
        <w:rPr>
          <w:lang w:eastAsia="en-AU"/>
        </w:rPr>
        <w:t xml:space="preserve"> (referring to </w:t>
      </w:r>
      <w:r w:rsidR="008E432E">
        <w:rPr>
          <w:i/>
          <w:lang w:eastAsia="en-AU"/>
        </w:rPr>
        <w:t>Re Virgin Blue</w:t>
      </w:r>
      <w:r w:rsidR="008E432E">
        <w:rPr>
          <w:lang w:eastAsia="en-AU"/>
        </w:rPr>
        <w:t xml:space="preserve"> at [296])</w:t>
      </w:r>
      <w:r>
        <w:rPr>
          <w:lang w:eastAsia="en-AU"/>
        </w:rPr>
        <w:t>. NSWMC contended that the NCC’s analysis, which was adopted by the Minister, was confined to a consideration of PNO’s incentives to exercise market power.</w:t>
      </w:r>
    </w:p>
    <w:p w14:paraId="3382AE2A" w14:textId="77777777" w:rsidR="00306334" w:rsidRDefault="00306334" w:rsidP="00143684">
      <w:pPr>
        <w:pStyle w:val="ParaNumbering"/>
        <w:rPr>
          <w:lang w:eastAsia="en-AU"/>
        </w:rPr>
      </w:pPr>
      <w:r>
        <w:rPr>
          <w:lang w:eastAsia="en-AU"/>
        </w:rPr>
        <w:t xml:space="preserve">NSWMC further submitted that the NCC’s analysis involved an </w:t>
      </w:r>
      <w:r w:rsidRPr="00306334">
        <w:rPr>
          <w:lang w:eastAsia="en-AU"/>
        </w:rPr>
        <w:t>erroneous assessment of PNO’s</w:t>
      </w:r>
      <w:r>
        <w:rPr>
          <w:lang w:eastAsia="en-AU"/>
        </w:rPr>
        <w:t xml:space="preserve"> </w:t>
      </w:r>
      <w:r w:rsidRPr="00306334">
        <w:rPr>
          <w:lang w:eastAsia="en-AU"/>
        </w:rPr>
        <w:t>ability and incentive to exercise market power</w:t>
      </w:r>
      <w:r>
        <w:rPr>
          <w:lang w:eastAsia="en-AU"/>
        </w:rPr>
        <w:t xml:space="preserve">. </w:t>
      </w:r>
      <w:r w:rsidR="00143684">
        <w:rPr>
          <w:lang w:eastAsia="en-AU"/>
        </w:rPr>
        <w:t>It argued that t</w:t>
      </w:r>
      <w:r w:rsidRPr="00306334">
        <w:rPr>
          <w:lang w:eastAsia="en-AU"/>
        </w:rPr>
        <w:t>he starting point for any assessment of PNO’s market power must be that PNO is a</w:t>
      </w:r>
      <w:r w:rsidR="00143684">
        <w:rPr>
          <w:lang w:eastAsia="en-AU"/>
        </w:rPr>
        <w:t xml:space="preserve"> </w:t>
      </w:r>
      <w:r w:rsidRPr="00306334">
        <w:rPr>
          <w:lang w:eastAsia="en-AU"/>
        </w:rPr>
        <w:t>monopolist. The Port is a bottleneck facility</w:t>
      </w:r>
      <w:r w:rsidR="00143684">
        <w:rPr>
          <w:lang w:eastAsia="en-AU"/>
        </w:rPr>
        <w:t xml:space="preserve"> and </w:t>
      </w:r>
      <w:r w:rsidRPr="00306334">
        <w:rPr>
          <w:lang w:eastAsia="en-AU"/>
        </w:rPr>
        <w:t>Hunter Valley coal producers have no</w:t>
      </w:r>
      <w:r w:rsidR="00143684">
        <w:rPr>
          <w:lang w:eastAsia="en-AU"/>
        </w:rPr>
        <w:t xml:space="preserve"> </w:t>
      </w:r>
      <w:r w:rsidRPr="00306334">
        <w:rPr>
          <w:lang w:eastAsia="en-AU"/>
        </w:rPr>
        <w:t>practical alternative to the Port for the export of their coal</w:t>
      </w:r>
      <w:r w:rsidR="00143684">
        <w:rPr>
          <w:lang w:eastAsia="en-AU"/>
        </w:rPr>
        <w:t xml:space="preserve">. </w:t>
      </w:r>
      <w:r w:rsidR="00143684" w:rsidRPr="00143684">
        <w:rPr>
          <w:lang w:eastAsia="en-AU"/>
        </w:rPr>
        <w:t xml:space="preserve">As such, PNO is able to set terms and conditions of access to the </w:t>
      </w:r>
      <w:r w:rsidR="00143684">
        <w:rPr>
          <w:lang w:eastAsia="en-AU"/>
        </w:rPr>
        <w:t>shipping channel s</w:t>
      </w:r>
      <w:r w:rsidR="00143684" w:rsidRPr="00143684">
        <w:rPr>
          <w:lang w:eastAsia="en-AU"/>
        </w:rPr>
        <w:t>ervice free of any</w:t>
      </w:r>
      <w:r w:rsidR="00143684">
        <w:rPr>
          <w:lang w:eastAsia="en-AU"/>
        </w:rPr>
        <w:t xml:space="preserve"> competitive constraint; it </w:t>
      </w:r>
      <w:r w:rsidR="00143684" w:rsidRPr="00143684">
        <w:rPr>
          <w:lang w:eastAsia="en-AU"/>
        </w:rPr>
        <w:t>is not constrained from</w:t>
      </w:r>
      <w:r w:rsidR="00143684">
        <w:rPr>
          <w:lang w:eastAsia="en-AU"/>
        </w:rPr>
        <w:t xml:space="preserve"> </w:t>
      </w:r>
      <w:r w:rsidR="00143684" w:rsidRPr="00143684">
        <w:rPr>
          <w:lang w:eastAsia="en-AU"/>
        </w:rPr>
        <w:t>exercising its market power by the availability of substitute facilities, by the</w:t>
      </w:r>
      <w:r w:rsidR="00143684">
        <w:rPr>
          <w:lang w:eastAsia="en-AU"/>
        </w:rPr>
        <w:t xml:space="preserve"> countervailing power of users</w:t>
      </w:r>
      <w:r w:rsidR="00143684" w:rsidRPr="00143684">
        <w:rPr>
          <w:lang w:eastAsia="en-AU"/>
        </w:rPr>
        <w:t xml:space="preserve"> or by the threat of a new facility</w:t>
      </w:r>
      <w:r w:rsidR="00143684">
        <w:rPr>
          <w:lang w:eastAsia="en-AU"/>
        </w:rPr>
        <w:t>. It follows that</w:t>
      </w:r>
      <w:r w:rsidR="00143684" w:rsidRPr="00143684">
        <w:rPr>
          <w:lang w:eastAsia="en-AU"/>
        </w:rPr>
        <w:t xml:space="preserve"> PNO has</w:t>
      </w:r>
      <w:r w:rsidR="00143684">
        <w:rPr>
          <w:lang w:eastAsia="en-AU"/>
        </w:rPr>
        <w:t xml:space="preserve"> </w:t>
      </w:r>
      <w:r w:rsidR="00143684" w:rsidRPr="00143684">
        <w:rPr>
          <w:lang w:eastAsia="en-AU"/>
        </w:rPr>
        <w:t xml:space="preserve">the ability to exercise market power in the provision of the </w:t>
      </w:r>
      <w:r w:rsidR="00143684">
        <w:rPr>
          <w:lang w:eastAsia="en-AU"/>
        </w:rPr>
        <w:t>shipping channel s</w:t>
      </w:r>
      <w:r w:rsidR="00143684" w:rsidRPr="00143684">
        <w:rPr>
          <w:lang w:eastAsia="en-AU"/>
        </w:rPr>
        <w:t>ervice</w:t>
      </w:r>
      <w:r w:rsidR="00143684">
        <w:rPr>
          <w:lang w:eastAsia="en-AU"/>
        </w:rPr>
        <w:t>.</w:t>
      </w:r>
      <w:r w:rsidR="001660DE">
        <w:rPr>
          <w:lang w:eastAsia="en-AU"/>
        </w:rPr>
        <w:t xml:space="preserve"> Further, PNO’s conduct since the privatisation of the Port, </w:t>
      </w:r>
      <w:r w:rsidR="001660DE">
        <w:rPr>
          <w:lang w:eastAsia="en-AU"/>
        </w:rPr>
        <w:lastRenderedPageBreak/>
        <w:t>implementing very substantial increases in charges</w:t>
      </w:r>
      <w:r w:rsidR="00D93FDC">
        <w:rPr>
          <w:lang w:eastAsia="en-AU"/>
        </w:rPr>
        <w:t>, demonstrates its unconstrained market power.</w:t>
      </w:r>
      <w:r w:rsidR="001660DE">
        <w:rPr>
          <w:lang w:eastAsia="en-AU"/>
        </w:rPr>
        <w:t xml:space="preserve"> </w:t>
      </w:r>
    </w:p>
    <w:p w14:paraId="37606045" w14:textId="77777777" w:rsidR="00143684" w:rsidRDefault="00143684" w:rsidP="001660DE">
      <w:pPr>
        <w:pStyle w:val="ParaNumbering"/>
        <w:rPr>
          <w:lang w:eastAsia="en-AU"/>
        </w:rPr>
      </w:pPr>
      <w:r>
        <w:rPr>
          <w:lang w:eastAsia="en-AU"/>
        </w:rPr>
        <w:t>NSWMC argued that the NCC downplayed the extent of PNO’s market power</w:t>
      </w:r>
      <w:r w:rsidR="001660DE">
        <w:rPr>
          <w:lang w:eastAsia="en-AU"/>
        </w:rPr>
        <w:t xml:space="preserve">, by </w:t>
      </w:r>
      <w:r>
        <w:rPr>
          <w:lang w:eastAsia="en-AU"/>
        </w:rPr>
        <w:t>focussing on whether PNO has an incentive to</w:t>
      </w:r>
      <w:r w:rsidR="001660DE">
        <w:rPr>
          <w:lang w:eastAsia="en-AU"/>
        </w:rPr>
        <w:t xml:space="preserve"> </w:t>
      </w:r>
      <w:r>
        <w:rPr>
          <w:lang w:eastAsia="en-AU"/>
        </w:rPr>
        <w:t xml:space="preserve">“deny access” to any users of the Port. </w:t>
      </w:r>
      <w:r w:rsidR="001660DE">
        <w:rPr>
          <w:lang w:eastAsia="en-AU"/>
        </w:rPr>
        <w:t>It submitted that the NCC was wrong to conclude</w:t>
      </w:r>
      <w:r>
        <w:rPr>
          <w:lang w:eastAsia="en-AU"/>
        </w:rPr>
        <w:t xml:space="preserve"> that there were other factors that would</w:t>
      </w:r>
      <w:r w:rsidR="001660DE">
        <w:rPr>
          <w:lang w:eastAsia="en-AU"/>
        </w:rPr>
        <w:t xml:space="preserve"> </w:t>
      </w:r>
      <w:r>
        <w:rPr>
          <w:lang w:eastAsia="en-AU"/>
        </w:rPr>
        <w:t>likely act as a constraint on PNO in setting the terms and conditions of access in a future</w:t>
      </w:r>
      <w:r w:rsidR="001660DE">
        <w:rPr>
          <w:lang w:eastAsia="en-AU"/>
        </w:rPr>
        <w:t xml:space="preserve"> </w:t>
      </w:r>
      <w:r>
        <w:rPr>
          <w:lang w:eastAsia="en-AU"/>
        </w:rPr>
        <w:t>without declaration being: (</w:t>
      </w:r>
      <w:proofErr w:type="spellStart"/>
      <w:r>
        <w:rPr>
          <w:lang w:eastAsia="en-AU"/>
        </w:rPr>
        <w:t>i</w:t>
      </w:r>
      <w:proofErr w:type="spellEnd"/>
      <w:r>
        <w:rPr>
          <w:lang w:eastAsia="en-AU"/>
        </w:rPr>
        <w:t>) that PNO is likely to be mindful of harm to</w:t>
      </w:r>
      <w:r w:rsidR="001660DE">
        <w:rPr>
          <w:lang w:eastAsia="en-AU"/>
        </w:rPr>
        <w:t xml:space="preserve"> </w:t>
      </w:r>
      <w:r>
        <w:rPr>
          <w:lang w:eastAsia="en-AU"/>
        </w:rPr>
        <w:t>its reputation; (ii) the potential for regulatory intervention by the State of NSW; (iii) that</w:t>
      </w:r>
      <w:r w:rsidR="001660DE">
        <w:rPr>
          <w:lang w:eastAsia="en-AU"/>
        </w:rPr>
        <w:t xml:space="preserve"> </w:t>
      </w:r>
      <w:r>
        <w:rPr>
          <w:lang w:eastAsia="en-AU"/>
        </w:rPr>
        <w:t>PNO is not vertically integrated; (iv) that PNO has offered terms to Port users through</w:t>
      </w:r>
      <w:r w:rsidR="001660DE">
        <w:rPr>
          <w:lang w:eastAsia="en-AU"/>
        </w:rPr>
        <w:t xml:space="preserve"> </w:t>
      </w:r>
      <w:r>
        <w:rPr>
          <w:lang w:eastAsia="en-AU"/>
        </w:rPr>
        <w:t xml:space="preserve">the Producer and </w:t>
      </w:r>
      <w:r w:rsidR="003B067A">
        <w:rPr>
          <w:lang w:eastAsia="en-AU"/>
        </w:rPr>
        <w:t>Vessel Agent Pricing Deed</w:t>
      </w:r>
      <w:r>
        <w:rPr>
          <w:lang w:eastAsia="en-AU"/>
        </w:rPr>
        <w:t>s; and (v) the Port is not capacity constrained.</w:t>
      </w:r>
    </w:p>
    <w:p w14:paraId="0759F6D6" w14:textId="77777777" w:rsidR="0057515F" w:rsidRDefault="00D93FDC" w:rsidP="00D93FDC">
      <w:pPr>
        <w:pStyle w:val="ParaNumbering"/>
        <w:rPr>
          <w:lang w:eastAsia="en-AU"/>
        </w:rPr>
      </w:pPr>
      <w:r>
        <w:rPr>
          <w:lang w:eastAsia="en-AU"/>
        </w:rPr>
        <w:t xml:space="preserve">In relation to reputational constraints, NSWMC submitted </w:t>
      </w:r>
      <w:r w:rsidR="0057515F">
        <w:rPr>
          <w:lang w:eastAsia="en-AU"/>
        </w:rPr>
        <w:t xml:space="preserve">that </w:t>
      </w:r>
      <w:r w:rsidRPr="00D93FDC">
        <w:rPr>
          <w:lang w:eastAsia="en-AU"/>
        </w:rPr>
        <w:t>PNO’s dealings with coal producers</w:t>
      </w:r>
      <w:r w:rsidR="0057515F">
        <w:rPr>
          <w:lang w:eastAsia="en-AU"/>
        </w:rPr>
        <w:t xml:space="preserve">, specifically </w:t>
      </w:r>
      <w:r w:rsidR="0057515F" w:rsidRPr="00D93FDC">
        <w:rPr>
          <w:lang w:eastAsia="en-AU"/>
        </w:rPr>
        <w:t xml:space="preserve">PNO’s </w:t>
      </w:r>
      <w:r w:rsidR="0057515F">
        <w:rPr>
          <w:lang w:eastAsia="en-AU"/>
        </w:rPr>
        <w:t>refusal</w:t>
      </w:r>
      <w:r w:rsidR="0057515F" w:rsidRPr="00D93FDC">
        <w:rPr>
          <w:lang w:eastAsia="en-AU"/>
        </w:rPr>
        <w:t xml:space="preserve"> to participate in collective</w:t>
      </w:r>
      <w:r w:rsidR="0057515F">
        <w:rPr>
          <w:lang w:eastAsia="en-AU"/>
        </w:rPr>
        <w:t xml:space="preserve"> </w:t>
      </w:r>
      <w:r w:rsidR="0057515F" w:rsidRPr="00D93FDC">
        <w:rPr>
          <w:lang w:eastAsia="en-AU"/>
        </w:rPr>
        <w:t>bargaining</w:t>
      </w:r>
      <w:r w:rsidRPr="00D93FDC">
        <w:rPr>
          <w:lang w:eastAsia="en-AU"/>
        </w:rPr>
        <w:t xml:space="preserve"> </w:t>
      </w:r>
      <w:r w:rsidR="0057515F">
        <w:rPr>
          <w:lang w:eastAsia="en-AU"/>
        </w:rPr>
        <w:t xml:space="preserve">with coal producers, </w:t>
      </w:r>
      <w:r w:rsidR="003A6F45">
        <w:rPr>
          <w:lang w:eastAsia="en-AU"/>
        </w:rPr>
        <w:t>is inconsistent with</w:t>
      </w:r>
      <w:r w:rsidRPr="00D93FDC">
        <w:rPr>
          <w:lang w:eastAsia="en-AU"/>
        </w:rPr>
        <w:t xml:space="preserve"> the c</w:t>
      </w:r>
      <w:r w:rsidR="0057515F">
        <w:rPr>
          <w:lang w:eastAsia="en-AU"/>
        </w:rPr>
        <w:t>onclusion reached by the NCC.</w:t>
      </w:r>
    </w:p>
    <w:p w14:paraId="215F12F6" w14:textId="77777777" w:rsidR="00D93FDC" w:rsidRDefault="0057515F" w:rsidP="0057515F">
      <w:pPr>
        <w:pStyle w:val="ParaNumbering"/>
        <w:rPr>
          <w:lang w:eastAsia="en-AU"/>
        </w:rPr>
      </w:pPr>
      <w:r>
        <w:rPr>
          <w:lang w:eastAsia="en-AU"/>
        </w:rPr>
        <w:t xml:space="preserve">In relation to the likelihood of regulatory intervention by the State of NSW, NSWMC submitted that the State </w:t>
      </w:r>
      <w:r w:rsidRPr="0057515F">
        <w:rPr>
          <w:lang w:eastAsia="en-AU"/>
        </w:rPr>
        <w:t>has not intervened in relation to PNO’s setting of new terms and conditions in</w:t>
      </w:r>
      <w:r>
        <w:rPr>
          <w:lang w:eastAsia="en-AU"/>
        </w:rPr>
        <w:t xml:space="preserve"> </w:t>
      </w:r>
      <w:r w:rsidRPr="0057515F">
        <w:rPr>
          <w:lang w:eastAsia="en-AU"/>
        </w:rPr>
        <w:t xml:space="preserve">relation to the </w:t>
      </w:r>
      <w:r>
        <w:rPr>
          <w:lang w:eastAsia="en-AU"/>
        </w:rPr>
        <w:t>shipping channel s</w:t>
      </w:r>
      <w:r w:rsidRPr="0057515F">
        <w:rPr>
          <w:lang w:eastAsia="en-AU"/>
        </w:rPr>
        <w:t>ervice to date despite the coal industry’s concerns</w:t>
      </w:r>
      <w:r>
        <w:rPr>
          <w:lang w:eastAsia="en-AU"/>
        </w:rPr>
        <w:t xml:space="preserve"> and t</w:t>
      </w:r>
      <w:r w:rsidRPr="0057515F">
        <w:rPr>
          <w:lang w:eastAsia="en-AU"/>
        </w:rPr>
        <w:t>here is nothing to</w:t>
      </w:r>
      <w:r>
        <w:rPr>
          <w:lang w:eastAsia="en-AU"/>
        </w:rPr>
        <w:t xml:space="preserve"> </w:t>
      </w:r>
      <w:r w:rsidRPr="0057515F">
        <w:rPr>
          <w:lang w:eastAsia="en-AU"/>
        </w:rPr>
        <w:t>suggest this would likely change in the future</w:t>
      </w:r>
      <w:r>
        <w:rPr>
          <w:lang w:eastAsia="en-AU"/>
        </w:rPr>
        <w:t xml:space="preserve">. </w:t>
      </w:r>
      <w:r w:rsidRPr="0057515F">
        <w:rPr>
          <w:lang w:eastAsia="en-AU"/>
        </w:rPr>
        <w:t>PNO is not constrained by regulation as the P</w:t>
      </w:r>
      <w:r w:rsidR="002C460A">
        <w:rPr>
          <w:lang w:eastAsia="en-AU"/>
        </w:rPr>
        <w:t>A</w:t>
      </w:r>
      <w:r w:rsidRPr="0057515F">
        <w:rPr>
          <w:lang w:eastAsia="en-AU"/>
        </w:rPr>
        <w:t>MA</w:t>
      </w:r>
      <w:r>
        <w:rPr>
          <w:lang w:eastAsia="en-AU"/>
        </w:rPr>
        <w:t xml:space="preserve"> </w:t>
      </w:r>
      <w:r w:rsidRPr="0057515F">
        <w:rPr>
          <w:lang w:eastAsia="en-AU"/>
        </w:rPr>
        <w:t>A</w:t>
      </w:r>
      <w:r>
        <w:rPr>
          <w:lang w:eastAsia="en-AU"/>
        </w:rPr>
        <w:t>ct</w:t>
      </w:r>
      <w:r w:rsidRPr="0057515F">
        <w:rPr>
          <w:lang w:eastAsia="en-AU"/>
        </w:rPr>
        <w:t xml:space="preserve"> and </w:t>
      </w:r>
      <w:r w:rsidR="00F70B8E">
        <w:rPr>
          <w:lang w:eastAsia="en-AU"/>
        </w:rPr>
        <w:t>PAMA Regulations</w:t>
      </w:r>
      <w:r w:rsidRPr="0057515F">
        <w:rPr>
          <w:lang w:eastAsia="en-AU"/>
        </w:rPr>
        <w:t xml:space="preserve"> do not allow the State to intervene and set prices</w:t>
      </w:r>
      <w:r>
        <w:rPr>
          <w:lang w:eastAsia="en-AU"/>
        </w:rPr>
        <w:t xml:space="preserve"> </w:t>
      </w:r>
      <w:r w:rsidRPr="0057515F">
        <w:rPr>
          <w:lang w:eastAsia="en-AU"/>
        </w:rPr>
        <w:t>at the Port. While the prices levied by PNO are subject to price reporting to the relevant</w:t>
      </w:r>
      <w:r>
        <w:rPr>
          <w:lang w:eastAsia="en-AU"/>
        </w:rPr>
        <w:t xml:space="preserve"> </w:t>
      </w:r>
      <w:r w:rsidRPr="0057515F">
        <w:rPr>
          <w:lang w:eastAsia="en-AU"/>
        </w:rPr>
        <w:t>Minister of the State under Part 6 of the P</w:t>
      </w:r>
      <w:r w:rsidR="002C460A">
        <w:rPr>
          <w:lang w:eastAsia="en-AU"/>
        </w:rPr>
        <w:t>A</w:t>
      </w:r>
      <w:r w:rsidRPr="0057515F">
        <w:rPr>
          <w:lang w:eastAsia="en-AU"/>
        </w:rPr>
        <w:t>MA</w:t>
      </w:r>
      <w:r>
        <w:rPr>
          <w:lang w:eastAsia="en-AU"/>
        </w:rPr>
        <w:t xml:space="preserve"> </w:t>
      </w:r>
      <w:r w:rsidRPr="0057515F">
        <w:rPr>
          <w:lang w:eastAsia="en-AU"/>
        </w:rPr>
        <w:t>A</w:t>
      </w:r>
      <w:r>
        <w:rPr>
          <w:lang w:eastAsia="en-AU"/>
        </w:rPr>
        <w:t>ct</w:t>
      </w:r>
      <w:r w:rsidRPr="0057515F">
        <w:rPr>
          <w:lang w:eastAsia="en-AU"/>
        </w:rPr>
        <w:t>, and the Minister may refer the pricing for</w:t>
      </w:r>
      <w:r>
        <w:rPr>
          <w:lang w:eastAsia="en-AU"/>
        </w:rPr>
        <w:t xml:space="preserve"> </w:t>
      </w:r>
      <w:r w:rsidRPr="0057515F">
        <w:rPr>
          <w:lang w:eastAsia="en-AU"/>
        </w:rPr>
        <w:t xml:space="preserve">investigation to </w:t>
      </w:r>
      <w:r w:rsidR="00C6132B">
        <w:rPr>
          <w:lang w:eastAsia="en-AU"/>
        </w:rPr>
        <w:t>NSW’</w:t>
      </w:r>
      <w:r w:rsidR="00A52EF1">
        <w:rPr>
          <w:lang w:eastAsia="en-AU"/>
        </w:rPr>
        <w:t>s Independent Pricing</w:t>
      </w:r>
      <w:r w:rsidR="00C6132B">
        <w:rPr>
          <w:lang w:eastAsia="en-AU"/>
        </w:rPr>
        <w:t xml:space="preserve"> and Regulatory Tribunal</w:t>
      </w:r>
      <w:r w:rsidR="00AD2E2E">
        <w:rPr>
          <w:lang w:eastAsia="en-AU"/>
        </w:rPr>
        <w:t xml:space="preserve"> (</w:t>
      </w:r>
      <w:r w:rsidR="00AD2E2E" w:rsidRPr="00AD2E2E">
        <w:rPr>
          <w:b/>
          <w:lang w:eastAsia="en-AU"/>
        </w:rPr>
        <w:t>IPART</w:t>
      </w:r>
      <w:r w:rsidR="00AD2E2E">
        <w:rPr>
          <w:lang w:eastAsia="en-AU"/>
        </w:rPr>
        <w:t>)</w:t>
      </w:r>
      <w:r w:rsidRPr="0057515F">
        <w:rPr>
          <w:lang w:eastAsia="en-AU"/>
        </w:rPr>
        <w:t xml:space="preserve">, this does not allow </w:t>
      </w:r>
      <w:r w:rsidR="00AD2E2E">
        <w:rPr>
          <w:lang w:eastAsia="en-AU"/>
        </w:rPr>
        <w:t>IPART</w:t>
      </w:r>
      <w:r w:rsidR="00CE454B">
        <w:rPr>
          <w:lang w:eastAsia="en-AU"/>
        </w:rPr>
        <w:t xml:space="preserve"> </w:t>
      </w:r>
      <w:r w:rsidRPr="0057515F">
        <w:rPr>
          <w:lang w:eastAsia="en-AU"/>
        </w:rPr>
        <w:t>to set maximum prices or determine prices</w:t>
      </w:r>
      <w:r w:rsidR="00C6132B">
        <w:rPr>
          <w:lang w:eastAsia="en-AU"/>
        </w:rPr>
        <w:t xml:space="preserve"> </w:t>
      </w:r>
      <w:r w:rsidRPr="0057515F">
        <w:rPr>
          <w:lang w:eastAsia="en-AU"/>
        </w:rPr>
        <w:t xml:space="preserve">relevant to the </w:t>
      </w:r>
      <w:r w:rsidR="00A52EF1">
        <w:rPr>
          <w:lang w:eastAsia="en-AU"/>
        </w:rPr>
        <w:t>shipping channel s</w:t>
      </w:r>
      <w:r w:rsidRPr="0057515F">
        <w:rPr>
          <w:lang w:eastAsia="en-AU"/>
        </w:rPr>
        <w:t>ervice</w:t>
      </w:r>
      <w:r w:rsidR="00C6132B">
        <w:rPr>
          <w:lang w:eastAsia="en-AU"/>
        </w:rPr>
        <w:t>.</w:t>
      </w:r>
    </w:p>
    <w:p w14:paraId="57672914" w14:textId="77777777" w:rsidR="00A52EF1" w:rsidRDefault="00A52EF1" w:rsidP="001657E3">
      <w:pPr>
        <w:pStyle w:val="ParaNumbering"/>
        <w:rPr>
          <w:lang w:eastAsia="en-AU"/>
        </w:rPr>
      </w:pPr>
      <w:r>
        <w:rPr>
          <w:lang w:eastAsia="en-AU"/>
        </w:rPr>
        <w:t>In relation to vertical integration</w:t>
      </w:r>
      <w:r w:rsidR="0005106F">
        <w:rPr>
          <w:lang w:eastAsia="en-AU"/>
        </w:rPr>
        <w:t xml:space="preserve">, NSWMC submitted that </w:t>
      </w:r>
      <w:r w:rsidR="0005106F" w:rsidRPr="0005106F">
        <w:rPr>
          <w:lang w:eastAsia="en-AU"/>
        </w:rPr>
        <w:t xml:space="preserve">PNO’s 50% shareholder, </w:t>
      </w:r>
      <w:r w:rsidR="00177558">
        <w:rPr>
          <w:lang w:eastAsia="en-AU"/>
        </w:rPr>
        <w:t>China Merchants Group</w:t>
      </w:r>
      <w:r w:rsidR="0005106F" w:rsidRPr="0005106F">
        <w:rPr>
          <w:lang w:eastAsia="en-AU"/>
        </w:rPr>
        <w:t xml:space="preserve">, </w:t>
      </w:r>
      <w:r w:rsidR="0005106F">
        <w:rPr>
          <w:lang w:eastAsia="en-AU"/>
        </w:rPr>
        <w:t>has interests in container terminal operations.</w:t>
      </w:r>
      <w:r w:rsidR="00716F9E">
        <w:rPr>
          <w:lang w:eastAsia="en-AU"/>
        </w:rPr>
        <w:t xml:space="preserve"> </w:t>
      </w:r>
      <w:r w:rsidR="0005106F" w:rsidRPr="0005106F">
        <w:rPr>
          <w:lang w:eastAsia="en-AU"/>
        </w:rPr>
        <w:t>If PNO develops a container terminal</w:t>
      </w:r>
      <w:r w:rsidR="0005106F">
        <w:rPr>
          <w:lang w:eastAsia="en-AU"/>
        </w:rPr>
        <w:t xml:space="preserve"> at the Port</w:t>
      </w:r>
      <w:r w:rsidR="0005106F" w:rsidRPr="0005106F">
        <w:rPr>
          <w:lang w:eastAsia="en-AU"/>
        </w:rPr>
        <w:t>, as is its stated</w:t>
      </w:r>
      <w:r w:rsidR="0005106F">
        <w:rPr>
          <w:lang w:eastAsia="en-AU"/>
        </w:rPr>
        <w:t xml:space="preserve"> </w:t>
      </w:r>
      <w:r w:rsidR="0005106F" w:rsidRPr="0005106F">
        <w:rPr>
          <w:lang w:eastAsia="en-AU"/>
        </w:rPr>
        <w:t xml:space="preserve">intention, </w:t>
      </w:r>
      <w:r w:rsidR="0005106F">
        <w:rPr>
          <w:lang w:eastAsia="en-AU"/>
        </w:rPr>
        <w:t>PNO may set its charges for the shipping channel service in a manner that sees the coal industry cross-subsidise container freight</w:t>
      </w:r>
      <w:r w:rsidR="001657E3">
        <w:rPr>
          <w:lang w:eastAsia="en-AU"/>
        </w:rPr>
        <w:t xml:space="preserve"> (by setting</w:t>
      </w:r>
      <w:r w:rsidR="001657E3" w:rsidRPr="001657E3">
        <w:rPr>
          <w:lang w:eastAsia="en-AU"/>
        </w:rPr>
        <w:t xml:space="preserve"> port access charges to coal vessels </w:t>
      </w:r>
      <w:r w:rsidR="001657E3">
        <w:rPr>
          <w:lang w:eastAsia="en-AU"/>
        </w:rPr>
        <w:t xml:space="preserve">so as </w:t>
      </w:r>
      <w:r w:rsidR="001657E3" w:rsidRPr="001657E3">
        <w:rPr>
          <w:lang w:eastAsia="en-AU"/>
        </w:rPr>
        <w:t xml:space="preserve">to recover part of the capital costs of the </w:t>
      </w:r>
      <w:r w:rsidR="001657E3">
        <w:rPr>
          <w:lang w:eastAsia="en-AU"/>
        </w:rPr>
        <w:t xml:space="preserve">development of the </w:t>
      </w:r>
      <w:r w:rsidR="001657E3" w:rsidRPr="001657E3">
        <w:rPr>
          <w:lang w:eastAsia="en-AU"/>
        </w:rPr>
        <w:t>container terminal</w:t>
      </w:r>
      <w:r w:rsidR="001657E3">
        <w:rPr>
          <w:lang w:eastAsia="en-AU"/>
        </w:rPr>
        <w:t>)</w:t>
      </w:r>
      <w:r w:rsidR="0005106F">
        <w:rPr>
          <w:lang w:eastAsia="en-AU"/>
        </w:rPr>
        <w:t>.</w:t>
      </w:r>
    </w:p>
    <w:p w14:paraId="2B9FC992" w14:textId="015743D5" w:rsidR="0005106F" w:rsidRDefault="0005106F" w:rsidP="00EC0F17">
      <w:pPr>
        <w:pStyle w:val="ParaNumbering"/>
        <w:rPr>
          <w:lang w:eastAsia="en-AU"/>
        </w:rPr>
      </w:pPr>
      <w:r>
        <w:rPr>
          <w:lang w:eastAsia="en-AU"/>
        </w:rPr>
        <w:t xml:space="preserve">In relation to the terms of the </w:t>
      </w:r>
      <w:r w:rsidR="003B067A">
        <w:rPr>
          <w:lang w:eastAsia="en-AU"/>
        </w:rPr>
        <w:t>Producer and Vessel Agent Pricing Deeds</w:t>
      </w:r>
      <w:r w:rsidR="000726AD">
        <w:rPr>
          <w:lang w:eastAsia="en-AU"/>
        </w:rPr>
        <w:t xml:space="preserve">, NSWMC submitted that they will not constrain PNO because it </w:t>
      </w:r>
      <w:r w:rsidR="000726AD" w:rsidRPr="000726AD">
        <w:rPr>
          <w:lang w:eastAsia="en-AU"/>
        </w:rPr>
        <w:t xml:space="preserve">is not required to offer the Deeds and is entirely </w:t>
      </w:r>
      <w:r w:rsidR="000726AD" w:rsidRPr="000726AD">
        <w:rPr>
          <w:lang w:eastAsia="en-AU"/>
        </w:rPr>
        <w:lastRenderedPageBreak/>
        <w:t>free to</w:t>
      </w:r>
      <w:r>
        <w:rPr>
          <w:lang w:eastAsia="en-AU"/>
        </w:rPr>
        <w:t xml:space="preserve"> </w:t>
      </w:r>
      <w:r w:rsidR="000726AD" w:rsidRPr="000726AD">
        <w:rPr>
          <w:lang w:eastAsia="en-AU"/>
        </w:rPr>
        <w:t>withdraw or change the terms of those arrangements at any time</w:t>
      </w:r>
      <w:r w:rsidR="000726AD">
        <w:rPr>
          <w:lang w:eastAsia="en-AU"/>
        </w:rPr>
        <w:t>.</w:t>
      </w:r>
      <w:r w:rsidR="00EC0F17">
        <w:rPr>
          <w:lang w:eastAsia="en-AU"/>
        </w:rPr>
        <w:t xml:space="preserve"> </w:t>
      </w:r>
      <w:r w:rsidR="00A86833">
        <w:rPr>
          <w:lang w:eastAsia="en-AU"/>
        </w:rPr>
        <w:t>NSWMC observed that PNO has not given an irrevocable undertaking, or a promise by deed poll</w:t>
      </w:r>
      <w:r w:rsidR="00BB1944">
        <w:rPr>
          <w:lang w:eastAsia="en-AU"/>
        </w:rPr>
        <w:t xml:space="preserve"> (a deed binding a single person)</w:t>
      </w:r>
      <w:r w:rsidR="00A86833">
        <w:rPr>
          <w:lang w:eastAsia="en-AU"/>
        </w:rPr>
        <w:t xml:space="preserve">, not to withdraw its present offer to enter into the </w:t>
      </w:r>
      <w:r w:rsidR="003B067A">
        <w:rPr>
          <w:lang w:eastAsia="en-AU"/>
        </w:rPr>
        <w:t>Producer and Vessel Agent Pricing Deeds</w:t>
      </w:r>
      <w:r w:rsidR="00A86833">
        <w:rPr>
          <w:lang w:eastAsia="en-AU"/>
        </w:rPr>
        <w:t xml:space="preserve"> with any coal producer and vessel agent respectively. Further, in contrast to the likely duration of a declaration, the Deeds only have a term of 10 years. NSWMC </w:t>
      </w:r>
      <w:r w:rsidR="00EC7F1B">
        <w:rPr>
          <w:lang w:eastAsia="en-AU"/>
        </w:rPr>
        <w:t xml:space="preserve">also </w:t>
      </w:r>
      <w:r w:rsidR="00A86833">
        <w:rPr>
          <w:lang w:eastAsia="en-AU"/>
        </w:rPr>
        <w:t>submitted that</w:t>
      </w:r>
      <w:r w:rsidR="00EC7F1B">
        <w:rPr>
          <w:lang w:eastAsia="en-AU"/>
        </w:rPr>
        <w:t>, in any event,</w:t>
      </w:r>
      <w:r w:rsidR="00F87ED7">
        <w:rPr>
          <w:lang w:eastAsia="en-AU"/>
        </w:rPr>
        <w:t xml:space="preserve"> </w:t>
      </w:r>
      <w:r w:rsidR="00EC0F17" w:rsidRPr="00EC0F17">
        <w:rPr>
          <w:lang w:eastAsia="en-AU"/>
        </w:rPr>
        <w:t xml:space="preserve">the terms of the </w:t>
      </w:r>
      <w:r w:rsidR="003B067A">
        <w:rPr>
          <w:lang w:eastAsia="en-AU"/>
        </w:rPr>
        <w:t>Producer and Vessel Agent Pricing Deeds</w:t>
      </w:r>
      <w:r w:rsidR="00EC0F17">
        <w:rPr>
          <w:lang w:eastAsia="en-AU"/>
        </w:rPr>
        <w:t xml:space="preserve"> are unreasonable (and can be contrasted with reasonable terms and conditions of access as a result of declaration) in the following respects:</w:t>
      </w:r>
    </w:p>
    <w:p w14:paraId="2C04AFB2" w14:textId="77777777" w:rsidR="00EC0F17" w:rsidRDefault="00EC0F17" w:rsidP="00EC0F17">
      <w:pPr>
        <w:pStyle w:val="ListNo1alt"/>
        <w:numPr>
          <w:ilvl w:val="0"/>
          <w:numId w:val="39"/>
        </w:numPr>
        <w:rPr>
          <w:lang w:eastAsia="en-AU"/>
        </w:rPr>
      </w:pPr>
      <w:r>
        <w:rPr>
          <w:lang w:eastAsia="en-AU"/>
        </w:rPr>
        <w:t>T</w:t>
      </w:r>
      <w:r w:rsidRPr="00EC0F17">
        <w:rPr>
          <w:lang w:eastAsia="en-AU"/>
        </w:rPr>
        <w:t xml:space="preserve">he </w:t>
      </w:r>
      <w:r w:rsidR="00E24A0D">
        <w:rPr>
          <w:lang w:eastAsia="en-AU"/>
        </w:rPr>
        <w:t>navigation service charge</w:t>
      </w:r>
      <w:r w:rsidRPr="00EC0F17">
        <w:rPr>
          <w:lang w:eastAsia="en-AU"/>
        </w:rPr>
        <w:t xml:space="preserve"> </w:t>
      </w:r>
      <w:r>
        <w:rPr>
          <w:lang w:eastAsia="en-AU"/>
        </w:rPr>
        <w:t>rate</w:t>
      </w:r>
      <w:r w:rsidRPr="00EC0F17">
        <w:rPr>
          <w:lang w:eastAsia="en-AU"/>
        </w:rPr>
        <w:t xml:space="preserve"> under the Deeds includes a return on user</w:t>
      </w:r>
      <w:r>
        <w:rPr>
          <w:lang w:eastAsia="en-AU"/>
        </w:rPr>
        <w:t xml:space="preserve"> </w:t>
      </w:r>
      <w:r w:rsidRPr="00EC0F17">
        <w:rPr>
          <w:lang w:eastAsia="en-AU"/>
        </w:rPr>
        <w:t>funded assets</w:t>
      </w:r>
      <w:r>
        <w:rPr>
          <w:lang w:eastAsia="en-AU"/>
        </w:rPr>
        <w:t xml:space="preserve"> which was rejected by the ACCC</w:t>
      </w:r>
      <w:r w:rsidR="007A2146">
        <w:rPr>
          <w:lang w:eastAsia="en-AU"/>
        </w:rPr>
        <w:t>. W</w:t>
      </w:r>
      <w:r>
        <w:rPr>
          <w:lang w:eastAsia="en-AU"/>
        </w:rPr>
        <w:t xml:space="preserve">hile </w:t>
      </w:r>
      <w:r w:rsidR="007A2146">
        <w:rPr>
          <w:lang w:eastAsia="en-AU"/>
        </w:rPr>
        <w:t xml:space="preserve">the inclusion of such a return was </w:t>
      </w:r>
      <w:r>
        <w:rPr>
          <w:lang w:eastAsia="en-AU"/>
        </w:rPr>
        <w:t>accepted by a previous decision of the Tribunal, the Full Federal Court concluded that that decisio</w:t>
      </w:r>
      <w:r w:rsidR="007A2146">
        <w:rPr>
          <w:lang w:eastAsia="en-AU"/>
        </w:rPr>
        <w:t>n was affected by errors of law</w:t>
      </w:r>
      <w:r>
        <w:rPr>
          <w:lang w:eastAsia="en-AU"/>
        </w:rPr>
        <w:t>.</w:t>
      </w:r>
    </w:p>
    <w:p w14:paraId="4AD50858" w14:textId="77777777" w:rsidR="0016226A" w:rsidRDefault="0016226A" w:rsidP="00141948">
      <w:pPr>
        <w:pStyle w:val="ListNo1alt"/>
        <w:numPr>
          <w:ilvl w:val="0"/>
          <w:numId w:val="39"/>
        </w:numPr>
        <w:rPr>
          <w:lang w:eastAsia="en-AU"/>
        </w:rPr>
      </w:pPr>
      <w:r>
        <w:rPr>
          <w:lang w:eastAsia="en-AU"/>
        </w:rPr>
        <w:t xml:space="preserve">The </w:t>
      </w:r>
      <w:r w:rsidR="00E24A0D">
        <w:rPr>
          <w:lang w:eastAsia="en-AU"/>
        </w:rPr>
        <w:t>navigation service charge</w:t>
      </w:r>
      <w:r>
        <w:rPr>
          <w:lang w:eastAsia="en-AU"/>
        </w:rPr>
        <w:t xml:space="preserve"> rate under the Deeds may be increased unilaterally by PNO on an annual basis (in addition to the annual CPI/4% increase) (Item 7</w:t>
      </w:r>
      <w:r w:rsidR="007A2146">
        <w:rPr>
          <w:lang w:eastAsia="en-AU"/>
        </w:rPr>
        <w:t>(b)</w:t>
      </w:r>
      <w:r>
        <w:rPr>
          <w:lang w:eastAsia="en-AU"/>
        </w:rPr>
        <w:t xml:space="preserve"> of the Deeds).</w:t>
      </w:r>
      <w:r w:rsidR="007A2146">
        <w:rPr>
          <w:lang w:eastAsia="en-AU"/>
        </w:rPr>
        <w:t xml:space="preserve"> While any such increase must be in accordance with the Pricing Principles (as defined in </w:t>
      </w:r>
      <w:r w:rsidR="00C079C3">
        <w:rPr>
          <w:lang w:eastAsia="en-AU"/>
        </w:rPr>
        <w:t xml:space="preserve">cl 4.2 of </w:t>
      </w:r>
      <w:proofErr w:type="spellStart"/>
      <w:r w:rsidR="00C079C3">
        <w:rPr>
          <w:lang w:eastAsia="en-AU"/>
        </w:rPr>
        <w:t>Sch</w:t>
      </w:r>
      <w:proofErr w:type="spellEnd"/>
      <w:r w:rsidR="00C079C3">
        <w:rPr>
          <w:lang w:eastAsia="en-AU"/>
        </w:rPr>
        <w:t xml:space="preserve"> 3 to </w:t>
      </w:r>
      <w:r w:rsidR="007A2146">
        <w:rPr>
          <w:lang w:eastAsia="en-AU"/>
        </w:rPr>
        <w:t>the Deeds), the Pricing Principles are not identical to the principles that would apply to the arbitration of a dispute under Division 3 of Part IIIA of the Act</w:t>
      </w:r>
      <w:r w:rsidR="00C079C3">
        <w:rPr>
          <w:lang w:eastAsia="en-AU"/>
        </w:rPr>
        <w:t xml:space="preserve"> (by s</w:t>
      </w:r>
      <w:r w:rsidR="003A666B">
        <w:rPr>
          <w:lang w:eastAsia="en-AU"/>
        </w:rPr>
        <w:t> </w:t>
      </w:r>
      <w:r w:rsidR="00C079C3">
        <w:rPr>
          <w:lang w:eastAsia="en-AU"/>
        </w:rPr>
        <w:t>44X(1))</w:t>
      </w:r>
      <w:r w:rsidR="007A2146">
        <w:rPr>
          <w:lang w:eastAsia="en-AU"/>
        </w:rPr>
        <w:t>.</w:t>
      </w:r>
      <w:r w:rsidR="00C079C3">
        <w:rPr>
          <w:lang w:eastAsia="en-AU"/>
        </w:rPr>
        <w:t xml:space="preserve"> In particular, cl 4.2 </w:t>
      </w:r>
      <w:r w:rsidR="00B31491">
        <w:rPr>
          <w:lang w:eastAsia="en-AU"/>
        </w:rPr>
        <w:t xml:space="preserve">of </w:t>
      </w:r>
      <w:proofErr w:type="spellStart"/>
      <w:r w:rsidR="00B31491">
        <w:rPr>
          <w:lang w:eastAsia="en-AU"/>
        </w:rPr>
        <w:t>Sch</w:t>
      </w:r>
      <w:proofErr w:type="spellEnd"/>
      <w:r w:rsidR="00B31491">
        <w:rPr>
          <w:lang w:eastAsia="en-AU"/>
        </w:rPr>
        <w:t xml:space="preserve"> 3 </w:t>
      </w:r>
      <w:r w:rsidR="00C079C3">
        <w:rPr>
          <w:lang w:eastAsia="en-AU"/>
        </w:rPr>
        <w:t>does not contain an equivalent principle to that stated in s 44X(1)(e) (the value</w:t>
      </w:r>
      <w:r w:rsidR="003A6F45">
        <w:rPr>
          <w:lang w:eastAsia="en-AU"/>
        </w:rPr>
        <w:t xml:space="preserve"> to the provider of extensions, </w:t>
      </w:r>
      <w:r w:rsidR="00C079C3">
        <w:rPr>
          <w:lang w:eastAsia="en-AU"/>
        </w:rPr>
        <w:t>including expansions of capacity and e</w:t>
      </w:r>
      <w:r w:rsidR="003A6F45">
        <w:rPr>
          <w:lang w:eastAsia="en-AU"/>
        </w:rPr>
        <w:t>xpansions of geographical reach,</w:t>
      </w:r>
      <w:r w:rsidR="00C079C3">
        <w:rPr>
          <w:lang w:eastAsia="en-AU"/>
        </w:rPr>
        <w:t xml:space="preserve"> whose cost is borne by someone else), which was the subject of the dispute concerning user funded </w:t>
      </w:r>
      <w:r w:rsidR="006E7C51">
        <w:rPr>
          <w:lang w:eastAsia="en-AU"/>
        </w:rPr>
        <w:t>contributions</w:t>
      </w:r>
      <w:r w:rsidR="00C079C3">
        <w:rPr>
          <w:lang w:eastAsia="en-AU"/>
        </w:rPr>
        <w:t xml:space="preserve"> in the Tribunal’s decision in </w:t>
      </w:r>
      <w:r w:rsidR="006E7C51" w:rsidRPr="006E7C51">
        <w:rPr>
          <w:i/>
          <w:lang w:eastAsia="en-AU"/>
        </w:rPr>
        <w:t>Re Port of Newcastle Operations</w:t>
      </w:r>
      <w:r w:rsidR="006E7C51">
        <w:rPr>
          <w:lang w:eastAsia="en-AU"/>
        </w:rPr>
        <w:t xml:space="preserve"> and the Full Court’s decision in </w:t>
      </w:r>
      <w:r w:rsidR="006E7C51" w:rsidRPr="006E7C51">
        <w:rPr>
          <w:i/>
          <w:lang w:eastAsia="en-AU"/>
        </w:rPr>
        <w:t>Glencore Coal</w:t>
      </w:r>
      <w:r w:rsidR="006E7C51">
        <w:rPr>
          <w:lang w:eastAsia="en-AU"/>
        </w:rPr>
        <w:t>.</w:t>
      </w:r>
    </w:p>
    <w:p w14:paraId="69ADF926" w14:textId="77777777" w:rsidR="0016226A" w:rsidRDefault="0016226A" w:rsidP="0016226A">
      <w:pPr>
        <w:pStyle w:val="ListNo1alt"/>
        <w:numPr>
          <w:ilvl w:val="0"/>
          <w:numId w:val="39"/>
        </w:numPr>
        <w:rPr>
          <w:lang w:eastAsia="en-AU"/>
        </w:rPr>
      </w:pPr>
      <w:r>
        <w:rPr>
          <w:lang w:eastAsia="en-AU"/>
        </w:rPr>
        <w:t xml:space="preserve">The </w:t>
      </w:r>
      <w:r w:rsidRPr="0016226A">
        <w:rPr>
          <w:lang w:eastAsia="en-AU"/>
        </w:rPr>
        <w:t>dispute mechanisms in the Deeds are not reasonable terms and conditions</w:t>
      </w:r>
      <w:r>
        <w:rPr>
          <w:lang w:eastAsia="en-AU"/>
        </w:rPr>
        <w:t xml:space="preserve"> </w:t>
      </w:r>
      <w:r w:rsidRPr="0016226A">
        <w:rPr>
          <w:lang w:eastAsia="en-AU"/>
        </w:rPr>
        <w:t xml:space="preserve">of access </w:t>
      </w:r>
      <w:r>
        <w:rPr>
          <w:lang w:eastAsia="en-AU"/>
        </w:rPr>
        <w:t xml:space="preserve">and are no substitute for arbitration under Part IIIA of the Act </w:t>
      </w:r>
      <w:r w:rsidRPr="0016226A">
        <w:rPr>
          <w:lang w:eastAsia="en-AU"/>
        </w:rPr>
        <w:t>(Items 8 and 9</w:t>
      </w:r>
      <w:r>
        <w:rPr>
          <w:lang w:eastAsia="en-AU"/>
        </w:rPr>
        <w:t xml:space="preserve"> of the Deeds</w:t>
      </w:r>
      <w:r w:rsidRPr="0016226A">
        <w:rPr>
          <w:lang w:eastAsia="en-AU"/>
        </w:rPr>
        <w:t>)</w:t>
      </w:r>
      <w:r>
        <w:rPr>
          <w:lang w:eastAsia="en-AU"/>
        </w:rPr>
        <w:t>.</w:t>
      </w:r>
      <w:r w:rsidR="00184027">
        <w:rPr>
          <w:lang w:eastAsia="en-AU"/>
        </w:rPr>
        <w:t xml:space="preserve"> In particular, the previous arbitration conducted by the ACCC on the application of Glencore resulted in the adoption of a regulated asset base and building block methodology to determine allowed revenues and prices, with disclosure of relevant financial inputs to the model. In contrast, arbitration in accordance with the ACICA Arbitration Rules (as stipulated by cl 3.3 of </w:t>
      </w:r>
      <w:proofErr w:type="spellStart"/>
      <w:r w:rsidR="00184027">
        <w:rPr>
          <w:lang w:eastAsia="en-AU"/>
        </w:rPr>
        <w:t>Sch</w:t>
      </w:r>
      <w:proofErr w:type="spellEnd"/>
      <w:r w:rsidR="00184027">
        <w:rPr>
          <w:lang w:eastAsia="en-AU"/>
        </w:rPr>
        <w:t xml:space="preserve"> 3 to the Deeds) does not necessitate any particular methodology to determining prices or disclosure of financial information.</w:t>
      </w:r>
    </w:p>
    <w:p w14:paraId="523C1732" w14:textId="77777777" w:rsidR="0016226A" w:rsidRDefault="0016226A" w:rsidP="0016226A">
      <w:pPr>
        <w:pStyle w:val="ListNo1alt"/>
        <w:numPr>
          <w:ilvl w:val="0"/>
          <w:numId w:val="39"/>
        </w:numPr>
        <w:rPr>
          <w:lang w:eastAsia="en-AU"/>
        </w:rPr>
      </w:pPr>
      <w:r>
        <w:rPr>
          <w:lang w:eastAsia="en-AU"/>
        </w:rPr>
        <w:lastRenderedPageBreak/>
        <w:t xml:space="preserve">While </w:t>
      </w:r>
      <w:r w:rsidRPr="0016226A">
        <w:rPr>
          <w:lang w:eastAsia="en-AU"/>
        </w:rPr>
        <w:t xml:space="preserve">the </w:t>
      </w:r>
      <w:r w:rsidR="003B067A">
        <w:rPr>
          <w:lang w:eastAsia="en-AU"/>
        </w:rPr>
        <w:t>Producer Pricing Deed</w:t>
      </w:r>
      <w:r w:rsidRPr="0016226A">
        <w:rPr>
          <w:lang w:eastAsia="en-AU"/>
        </w:rPr>
        <w:t xml:space="preserve"> requires PNO to provide capital expenditure forecasts to coal</w:t>
      </w:r>
      <w:r>
        <w:rPr>
          <w:lang w:eastAsia="en-AU"/>
        </w:rPr>
        <w:t xml:space="preserve"> </w:t>
      </w:r>
      <w:r w:rsidRPr="0016226A">
        <w:rPr>
          <w:lang w:eastAsia="en-AU"/>
        </w:rPr>
        <w:t>producers on a rolling five-year basis</w:t>
      </w:r>
      <w:r w:rsidR="004948CC">
        <w:rPr>
          <w:lang w:eastAsia="en-AU"/>
        </w:rPr>
        <w:t xml:space="preserve"> and c</w:t>
      </w:r>
      <w:r w:rsidRPr="0016226A">
        <w:rPr>
          <w:lang w:eastAsia="en-AU"/>
        </w:rPr>
        <w:t>oal producers have an opportunity to comment</w:t>
      </w:r>
      <w:r w:rsidR="004948CC">
        <w:rPr>
          <w:lang w:eastAsia="en-AU"/>
        </w:rPr>
        <w:t xml:space="preserve">, </w:t>
      </w:r>
      <w:r w:rsidRPr="0016226A">
        <w:rPr>
          <w:lang w:eastAsia="en-AU"/>
        </w:rPr>
        <w:t>PNO is not obliged to implement</w:t>
      </w:r>
      <w:r w:rsidR="004948CC">
        <w:rPr>
          <w:lang w:eastAsia="en-AU"/>
        </w:rPr>
        <w:t xml:space="preserve"> </w:t>
      </w:r>
      <w:r w:rsidRPr="0016226A">
        <w:rPr>
          <w:lang w:eastAsia="en-AU"/>
        </w:rPr>
        <w:t>any comments (Item 7</w:t>
      </w:r>
      <w:r w:rsidR="00A86833">
        <w:rPr>
          <w:lang w:eastAsia="en-AU"/>
        </w:rPr>
        <w:t xml:space="preserve"> of the </w:t>
      </w:r>
      <w:r w:rsidR="003B067A">
        <w:rPr>
          <w:lang w:eastAsia="en-AU"/>
        </w:rPr>
        <w:t>Producer Pricing Deed</w:t>
      </w:r>
      <w:r w:rsidRPr="0016226A">
        <w:rPr>
          <w:lang w:eastAsia="en-AU"/>
        </w:rPr>
        <w:t>).</w:t>
      </w:r>
    </w:p>
    <w:p w14:paraId="6652C4AF" w14:textId="77777777" w:rsidR="004948CC" w:rsidRDefault="000726AD" w:rsidP="00B97579">
      <w:pPr>
        <w:pStyle w:val="ParaNumbering"/>
        <w:rPr>
          <w:lang w:eastAsia="en-AU"/>
        </w:rPr>
      </w:pPr>
      <w:r>
        <w:rPr>
          <w:lang w:eastAsia="en-AU"/>
        </w:rPr>
        <w:t xml:space="preserve">In relation to Port capacity, NSWMC did not dispute that the shipping </w:t>
      </w:r>
      <w:r w:rsidR="00B97579">
        <w:rPr>
          <w:lang w:eastAsia="en-AU"/>
        </w:rPr>
        <w:t>channel</w:t>
      </w:r>
      <w:r>
        <w:rPr>
          <w:lang w:eastAsia="en-AU"/>
        </w:rPr>
        <w:t xml:space="preserve"> service is not</w:t>
      </w:r>
      <w:r w:rsidR="00B97579">
        <w:rPr>
          <w:lang w:eastAsia="en-AU"/>
        </w:rPr>
        <w:t xml:space="preserve"> presently</w:t>
      </w:r>
      <w:r w:rsidR="00AD2E2E">
        <w:rPr>
          <w:lang w:eastAsia="en-AU"/>
        </w:rPr>
        <w:t xml:space="preserve"> capacity constrained</w:t>
      </w:r>
      <w:r w:rsidR="00B97579">
        <w:rPr>
          <w:lang w:eastAsia="en-AU"/>
        </w:rPr>
        <w:t xml:space="preserve">, </w:t>
      </w:r>
      <w:r w:rsidR="00AD2E2E">
        <w:rPr>
          <w:lang w:eastAsia="en-AU"/>
        </w:rPr>
        <w:t>nor</w:t>
      </w:r>
      <w:r w:rsidR="00B97579">
        <w:rPr>
          <w:lang w:eastAsia="en-AU"/>
        </w:rPr>
        <w:t xml:space="preserve"> is </w:t>
      </w:r>
      <w:r w:rsidR="00AD2E2E">
        <w:rPr>
          <w:lang w:eastAsia="en-AU"/>
        </w:rPr>
        <w:t>it</w:t>
      </w:r>
      <w:r w:rsidR="00B97579">
        <w:rPr>
          <w:lang w:eastAsia="en-AU"/>
        </w:rPr>
        <w:t xml:space="preserve"> likely </w:t>
      </w:r>
      <w:r w:rsidR="00AD2E2E">
        <w:rPr>
          <w:lang w:eastAsia="en-AU"/>
        </w:rPr>
        <w:t>to be in the foreseeable future</w:t>
      </w:r>
      <w:r w:rsidR="00B97579">
        <w:rPr>
          <w:lang w:eastAsia="en-AU"/>
        </w:rPr>
        <w:t xml:space="preserve">. NSWMC submitted that it does not follow that PNO’s </w:t>
      </w:r>
      <w:r w:rsidR="00B97579" w:rsidRPr="00B97579">
        <w:rPr>
          <w:lang w:eastAsia="en-AU"/>
        </w:rPr>
        <w:t>ability to set the terms and conditions of access, including</w:t>
      </w:r>
      <w:r w:rsidR="00B97579">
        <w:rPr>
          <w:lang w:eastAsia="en-AU"/>
        </w:rPr>
        <w:t xml:space="preserve"> </w:t>
      </w:r>
      <w:r w:rsidR="00B97579" w:rsidRPr="00B97579">
        <w:rPr>
          <w:lang w:eastAsia="en-AU"/>
        </w:rPr>
        <w:t>by way of discriminating on access terms and conditions (including price) between users</w:t>
      </w:r>
      <w:r w:rsidR="00B97579">
        <w:rPr>
          <w:lang w:eastAsia="en-AU"/>
        </w:rPr>
        <w:t xml:space="preserve"> </w:t>
      </w:r>
      <w:r w:rsidR="00B97579" w:rsidRPr="00B97579">
        <w:rPr>
          <w:lang w:eastAsia="en-AU"/>
        </w:rPr>
        <w:t>through bilateral negotiations</w:t>
      </w:r>
      <w:r w:rsidR="00B97579">
        <w:rPr>
          <w:lang w:eastAsia="en-AU"/>
        </w:rPr>
        <w:t xml:space="preserve">, is constrained. </w:t>
      </w:r>
      <w:r w:rsidR="00B97579" w:rsidRPr="00B97579">
        <w:rPr>
          <w:lang w:eastAsia="en-AU"/>
        </w:rPr>
        <w:t>PNO could charge each mine a different price</w:t>
      </w:r>
      <w:r w:rsidR="00B97579">
        <w:rPr>
          <w:lang w:eastAsia="en-AU"/>
        </w:rPr>
        <w:t xml:space="preserve"> </w:t>
      </w:r>
      <w:r w:rsidR="00B97579" w:rsidRPr="00B97579">
        <w:rPr>
          <w:lang w:eastAsia="en-AU"/>
        </w:rPr>
        <w:t>for the use of Port services</w:t>
      </w:r>
      <w:r w:rsidR="00B97579">
        <w:rPr>
          <w:lang w:eastAsia="en-AU"/>
        </w:rPr>
        <w:t xml:space="preserve"> and, if</w:t>
      </w:r>
      <w:r w:rsidR="00B97579" w:rsidRPr="00B97579">
        <w:rPr>
          <w:lang w:eastAsia="en-AU"/>
        </w:rPr>
        <w:t xml:space="preserve"> it is able to do this effectively, PNO could achieve an</w:t>
      </w:r>
      <w:r w:rsidR="00B97579">
        <w:rPr>
          <w:lang w:eastAsia="en-AU"/>
        </w:rPr>
        <w:t xml:space="preserve"> </w:t>
      </w:r>
      <w:r w:rsidR="00B97579" w:rsidRPr="00B97579">
        <w:rPr>
          <w:lang w:eastAsia="en-AU"/>
        </w:rPr>
        <w:t>outcome in which there is no reduction in throughput</w:t>
      </w:r>
      <w:r w:rsidR="00B97579">
        <w:rPr>
          <w:lang w:eastAsia="en-AU"/>
        </w:rPr>
        <w:t>.</w:t>
      </w:r>
    </w:p>
    <w:p w14:paraId="10506084" w14:textId="77777777" w:rsidR="000726AD" w:rsidRDefault="001657E3" w:rsidP="001657E3">
      <w:pPr>
        <w:pStyle w:val="Heading2"/>
        <w:rPr>
          <w:lang w:eastAsia="en-AU"/>
        </w:rPr>
      </w:pPr>
      <w:bookmarkStart w:id="48" w:name="_Ref78900497"/>
      <w:r>
        <w:rPr>
          <w:lang w:eastAsia="en-AU"/>
        </w:rPr>
        <w:t>Period of declaration</w:t>
      </w:r>
      <w:bookmarkEnd w:id="48"/>
    </w:p>
    <w:p w14:paraId="769373DA" w14:textId="77777777" w:rsidR="008E432E" w:rsidRDefault="001657E3" w:rsidP="008E432E">
      <w:pPr>
        <w:pStyle w:val="ParaNumbering"/>
        <w:rPr>
          <w:lang w:eastAsia="en-AU"/>
        </w:rPr>
      </w:pPr>
      <w:r>
        <w:rPr>
          <w:lang w:eastAsia="en-AU"/>
        </w:rPr>
        <w:t xml:space="preserve">NSWMC requested the Tribunal to declare the shipping channel service for a period of 20 years. It argued that a 20 year declaration would provide </w:t>
      </w:r>
      <w:r w:rsidR="00CC0998">
        <w:rPr>
          <w:lang w:eastAsia="en-AU"/>
        </w:rPr>
        <w:t>certainty to participants in the tenements market enabling them to invest in the exploration and development of coal resources in the Hunter Valley knowing that they will be able to access shipping channel services on reasonable terms and conditi</w:t>
      </w:r>
      <w:r w:rsidR="008E432E">
        <w:rPr>
          <w:lang w:eastAsia="en-AU"/>
        </w:rPr>
        <w:t>ons under Part IIIA of the Act.</w:t>
      </w:r>
    </w:p>
    <w:p w14:paraId="11D0727A" w14:textId="77777777" w:rsidR="00EA6B60" w:rsidRDefault="00EA6B60" w:rsidP="00EA6B60">
      <w:pPr>
        <w:pStyle w:val="Heading2"/>
        <w:rPr>
          <w:lang w:eastAsia="en-AU"/>
        </w:rPr>
      </w:pPr>
      <w:bookmarkStart w:id="49" w:name="_Ref78900498"/>
      <w:r>
        <w:rPr>
          <w:lang w:eastAsia="en-AU"/>
        </w:rPr>
        <w:t>Decisions of the Queensland Competition Authority</w:t>
      </w:r>
      <w:bookmarkEnd w:id="49"/>
    </w:p>
    <w:p w14:paraId="04C4649A" w14:textId="77777777" w:rsidR="00EA6B60" w:rsidRDefault="00EA6B60" w:rsidP="00F32723">
      <w:pPr>
        <w:pStyle w:val="ParaNumbering"/>
        <w:rPr>
          <w:lang w:eastAsia="en-AU"/>
        </w:rPr>
      </w:pPr>
      <w:r>
        <w:rPr>
          <w:lang w:eastAsia="en-AU"/>
        </w:rPr>
        <w:t xml:space="preserve">In the course of oral submissions, the NSWMC made extensive reference to recent </w:t>
      </w:r>
      <w:r w:rsidR="006B01C7">
        <w:rPr>
          <w:lang w:eastAsia="en-AU"/>
        </w:rPr>
        <w:t xml:space="preserve">decisions of the </w:t>
      </w:r>
      <w:r>
        <w:rPr>
          <w:lang w:eastAsia="en-AU"/>
        </w:rPr>
        <w:t>Queensland Competition Authority (</w:t>
      </w:r>
      <w:r w:rsidRPr="00F32723">
        <w:rPr>
          <w:b/>
          <w:lang w:eastAsia="en-AU"/>
        </w:rPr>
        <w:t>QCA</w:t>
      </w:r>
      <w:r>
        <w:rPr>
          <w:lang w:eastAsia="en-AU"/>
        </w:rPr>
        <w:t xml:space="preserve">) </w:t>
      </w:r>
      <w:r w:rsidR="00164419">
        <w:rPr>
          <w:lang w:eastAsia="en-AU"/>
        </w:rPr>
        <w:t xml:space="preserve">regarding </w:t>
      </w:r>
      <w:r w:rsidR="002B1C14">
        <w:rPr>
          <w:lang w:eastAsia="en-AU"/>
        </w:rPr>
        <w:t>applications for</w:t>
      </w:r>
      <w:r w:rsidR="006B01C7">
        <w:rPr>
          <w:lang w:eastAsia="en-AU"/>
        </w:rPr>
        <w:t xml:space="preserve"> declaration of services provided by</w:t>
      </w:r>
      <w:r>
        <w:rPr>
          <w:lang w:eastAsia="en-AU"/>
        </w:rPr>
        <w:t xml:space="preserve"> Aurizon Network</w:t>
      </w:r>
      <w:r w:rsidR="006B01C7">
        <w:rPr>
          <w:lang w:eastAsia="en-AU"/>
        </w:rPr>
        <w:t xml:space="preserve"> Pty Ltd (</w:t>
      </w:r>
      <w:r w:rsidR="006B01C7" w:rsidRPr="006B01C7">
        <w:rPr>
          <w:lang w:eastAsia="en-AU"/>
        </w:rPr>
        <w:t>the use of a coal system for providing transportation by rail</w:t>
      </w:r>
      <w:r w:rsidR="006B01C7">
        <w:rPr>
          <w:lang w:eastAsia="en-AU"/>
        </w:rPr>
        <w:t>)</w:t>
      </w:r>
      <w:r>
        <w:rPr>
          <w:lang w:eastAsia="en-AU"/>
        </w:rPr>
        <w:t xml:space="preserve">, Queensland Rail </w:t>
      </w:r>
      <w:r w:rsidR="006B01C7">
        <w:rPr>
          <w:lang w:eastAsia="en-AU"/>
        </w:rPr>
        <w:t xml:space="preserve">Limited </w:t>
      </w:r>
      <w:r w:rsidR="00F32723">
        <w:rPr>
          <w:lang w:eastAsia="en-AU"/>
        </w:rPr>
        <w:t xml:space="preserve">(the below rail service on certain routes) </w:t>
      </w:r>
      <w:r>
        <w:rPr>
          <w:lang w:eastAsia="en-AU"/>
        </w:rPr>
        <w:t xml:space="preserve">and </w:t>
      </w:r>
      <w:r w:rsidR="00F32723">
        <w:rPr>
          <w:lang w:eastAsia="en-AU"/>
        </w:rPr>
        <w:t>DBCT Management Pty Ltd (</w:t>
      </w:r>
      <w:r w:rsidR="00F32723" w:rsidRPr="00F32723">
        <w:rPr>
          <w:lang w:eastAsia="en-AU"/>
        </w:rPr>
        <w:t>the handling of coal at</w:t>
      </w:r>
      <w:r w:rsidR="00F32723">
        <w:rPr>
          <w:lang w:eastAsia="en-AU"/>
        </w:rPr>
        <w:t xml:space="preserve"> </w:t>
      </w:r>
      <w:r>
        <w:rPr>
          <w:lang w:eastAsia="en-AU"/>
        </w:rPr>
        <w:t>the Dalrymple Bay Coal Terminal</w:t>
      </w:r>
      <w:r w:rsidR="00F32723">
        <w:rPr>
          <w:lang w:eastAsia="en-AU"/>
        </w:rPr>
        <w:t xml:space="preserve"> by the terminal operator) pursuant to s 87A of the </w:t>
      </w:r>
      <w:r w:rsidR="00F32723" w:rsidRPr="00F32723">
        <w:rPr>
          <w:i/>
          <w:lang w:eastAsia="en-AU"/>
        </w:rPr>
        <w:t>Queensland Competition Authority Act 1997</w:t>
      </w:r>
      <w:r w:rsidR="00F32723" w:rsidRPr="00F32723">
        <w:rPr>
          <w:lang w:eastAsia="en-AU"/>
        </w:rPr>
        <w:t xml:space="preserve"> (Qld)</w:t>
      </w:r>
      <w:r>
        <w:rPr>
          <w:lang w:eastAsia="en-AU"/>
        </w:rPr>
        <w:t>. NSWMC submitted that those decisions illustrated the proper approach to the issues that arise in this matter and that the approach of the QCA could be contrasted with the analysis undertaken by the NCC, and adopted by the Minister, in this matter.</w:t>
      </w:r>
    </w:p>
    <w:p w14:paraId="7D5416D9" w14:textId="77777777" w:rsidR="00EA6B60" w:rsidRDefault="00EA6B60" w:rsidP="007737EB">
      <w:pPr>
        <w:pStyle w:val="ParaNumbering"/>
        <w:rPr>
          <w:lang w:eastAsia="en-AU"/>
        </w:rPr>
      </w:pPr>
      <w:r>
        <w:rPr>
          <w:lang w:eastAsia="en-AU"/>
        </w:rPr>
        <w:t>The Tribunal does not find that those decisions of the QCA are of any as</w:t>
      </w:r>
      <w:r w:rsidR="006B01C7">
        <w:rPr>
          <w:lang w:eastAsia="en-AU"/>
        </w:rPr>
        <w:t xml:space="preserve">sistance to the present review. They are </w:t>
      </w:r>
      <w:r w:rsidR="004325DD">
        <w:rPr>
          <w:lang w:eastAsia="en-AU"/>
        </w:rPr>
        <w:t xml:space="preserve">administrative </w:t>
      </w:r>
      <w:r w:rsidR="006B01C7">
        <w:rPr>
          <w:lang w:eastAsia="en-AU"/>
        </w:rPr>
        <w:t>decisions made in respect of different</w:t>
      </w:r>
      <w:r w:rsidR="00D83661">
        <w:rPr>
          <w:lang w:eastAsia="en-AU"/>
        </w:rPr>
        <w:t xml:space="preserve"> types of</w:t>
      </w:r>
      <w:r w:rsidR="006B01C7">
        <w:rPr>
          <w:lang w:eastAsia="en-AU"/>
        </w:rPr>
        <w:t xml:space="preserve"> facilities in different market circumstances. </w:t>
      </w:r>
      <w:r w:rsidR="00F32723">
        <w:rPr>
          <w:lang w:eastAsia="en-AU"/>
        </w:rPr>
        <w:t xml:space="preserve">Indeed, in its decision concerning the below rail service provided by Queensland Rail, the QCA referred to the NCC Recommendation </w:t>
      </w:r>
      <w:r w:rsidR="00B649B0">
        <w:rPr>
          <w:lang w:eastAsia="en-AU"/>
        </w:rPr>
        <w:t xml:space="preserve">in this matter </w:t>
      </w:r>
      <w:r w:rsidR="00B649B0">
        <w:rPr>
          <w:lang w:eastAsia="en-AU"/>
        </w:rPr>
        <w:lastRenderedPageBreak/>
        <w:t xml:space="preserve">and noted that the service provided by Queensland Rail is materially different from the service provided by PNO (QCA, Part B: Queensland Rail declaration review, p 4). </w:t>
      </w:r>
      <w:r>
        <w:rPr>
          <w:lang w:eastAsia="en-AU"/>
        </w:rPr>
        <w:t xml:space="preserve">It is unnecessary to refer </w:t>
      </w:r>
      <w:r w:rsidR="00B649B0">
        <w:rPr>
          <w:lang w:eastAsia="en-AU"/>
        </w:rPr>
        <w:t xml:space="preserve">further </w:t>
      </w:r>
      <w:r>
        <w:rPr>
          <w:lang w:eastAsia="en-AU"/>
        </w:rPr>
        <w:t xml:space="preserve">to </w:t>
      </w:r>
      <w:r w:rsidR="006B01C7">
        <w:rPr>
          <w:lang w:eastAsia="en-AU"/>
        </w:rPr>
        <w:t xml:space="preserve">the </w:t>
      </w:r>
      <w:r w:rsidR="00B649B0">
        <w:rPr>
          <w:lang w:eastAsia="en-AU"/>
        </w:rPr>
        <w:t xml:space="preserve">QCA </w:t>
      </w:r>
      <w:r w:rsidR="006B01C7">
        <w:rPr>
          <w:lang w:eastAsia="en-AU"/>
        </w:rPr>
        <w:t>decisions.</w:t>
      </w:r>
      <w:r>
        <w:rPr>
          <w:lang w:eastAsia="en-AU"/>
        </w:rPr>
        <w:t xml:space="preserve"> </w:t>
      </w:r>
    </w:p>
    <w:p w14:paraId="1DFD77CC" w14:textId="77777777" w:rsidR="007668DD" w:rsidRDefault="007668DD" w:rsidP="009F17C2">
      <w:pPr>
        <w:pStyle w:val="Heading1"/>
        <w:numPr>
          <w:ilvl w:val="0"/>
          <w:numId w:val="29"/>
        </w:numPr>
        <w:ind w:hanging="720"/>
        <w:rPr>
          <w:lang w:eastAsia="en-AU"/>
        </w:rPr>
      </w:pPr>
      <w:bookmarkStart w:id="50" w:name="_Ref78900499"/>
      <w:r>
        <w:rPr>
          <w:lang w:eastAsia="en-AU"/>
        </w:rPr>
        <w:t>consideration</w:t>
      </w:r>
      <w:r w:rsidR="00544F1F">
        <w:rPr>
          <w:lang w:eastAsia="en-AU"/>
        </w:rPr>
        <w:t xml:space="preserve"> of criterion (A)</w:t>
      </w:r>
      <w:bookmarkEnd w:id="50"/>
    </w:p>
    <w:p w14:paraId="1FE9956B" w14:textId="77777777" w:rsidR="00BF5CB6" w:rsidRDefault="00BF5CB6" w:rsidP="00217E65">
      <w:pPr>
        <w:pStyle w:val="Heading2"/>
        <w:rPr>
          <w:lang w:eastAsia="en-AU"/>
        </w:rPr>
      </w:pPr>
      <w:bookmarkStart w:id="51" w:name="_Ref78900500"/>
      <w:r>
        <w:rPr>
          <w:lang w:eastAsia="en-AU"/>
        </w:rPr>
        <w:t>Meaning of criterion (a)</w:t>
      </w:r>
      <w:bookmarkEnd w:id="51"/>
    </w:p>
    <w:p w14:paraId="5F15E836" w14:textId="77777777" w:rsidR="00941702" w:rsidRDefault="00941702" w:rsidP="0046592C">
      <w:pPr>
        <w:pStyle w:val="ParaNumbering"/>
        <w:rPr>
          <w:lang w:eastAsia="en-AU"/>
        </w:rPr>
      </w:pPr>
      <w:r>
        <w:rPr>
          <w:lang w:eastAsia="en-AU"/>
        </w:rPr>
        <w:t>Criterion (a) is that access (or increased access) to the service, on reasonable terms and conditions, as a result of a declaration of the service would promote a material increase in competition in at least one market (whether or not in Australia), other than the market for the service</w:t>
      </w:r>
      <w:r w:rsidR="009E1CFC">
        <w:rPr>
          <w:lang w:eastAsia="en-AU"/>
        </w:rPr>
        <w:t xml:space="preserve">. </w:t>
      </w:r>
      <w:r>
        <w:rPr>
          <w:lang w:eastAsia="en-AU"/>
        </w:rPr>
        <w:t>As discussed earlier, criterion (a) requires a</w:t>
      </w:r>
      <w:r w:rsidR="0046592C">
        <w:rPr>
          <w:lang w:eastAsia="en-AU"/>
        </w:rPr>
        <w:t xml:space="preserve"> forward looking </w:t>
      </w:r>
      <w:r>
        <w:rPr>
          <w:lang w:eastAsia="en-AU"/>
        </w:rPr>
        <w:t>assessment of the effect of access (or increased access) to the service on reasonable terms and conditions as a result of declaration.</w:t>
      </w:r>
      <w:r w:rsidR="0046592C">
        <w:rPr>
          <w:lang w:eastAsia="en-AU"/>
        </w:rPr>
        <w:t xml:space="preserve"> </w:t>
      </w:r>
      <w:r>
        <w:rPr>
          <w:lang w:eastAsia="en-AU"/>
        </w:rPr>
        <w:t>An important consideration in applying the criterion is whether access will be, or is likely to be, available without declaration and the commercial features of such access including the nature and scope of access, the terms and conditions of access and any capacity limitations to access.</w:t>
      </w:r>
    </w:p>
    <w:p w14:paraId="667A3E40" w14:textId="77777777" w:rsidR="0046592C" w:rsidRDefault="00526942" w:rsidP="0046592C">
      <w:pPr>
        <w:pStyle w:val="ParaNumbering"/>
        <w:rPr>
          <w:lang w:eastAsia="en-AU"/>
        </w:rPr>
      </w:pPr>
      <w:r>
        <w:rPr>
          <w:lang w:eastAsia="en-AU"/>
        </w:rPr>
        <w:t xml:space="preserve">A number of </w:t>
      </w:r>
      <w:r w:rsidR="0046592C">
        <w:rPr>
          <w:lang w:eastAsia="en-AU"/>
        </w:rPr>
        <w:t xml:space="preserve">aspects of criterion (a) require further </w:t>
      </w:r>
      <w:r w:rsidR="000A427B">
        <w:rPr>
          <w:lang w:eastAsia="en-AU"/>
        </w:rPr>
        <w:t>elaboration</w:t>
      </w:r>
      <w:r w:rsidR="0046592C">
        <w:rPr>
          <w:lang w:eastAsia="en-AU"/>
        </w:rPr>
        <w:t xml:space="preserve"> </w:t>
      </w:r>
      <w:r w:rsidR="00450569">
        <w:rPr>
          <w:lang w:eastAsia="en-AU"/>
        </w:rPr>
        <w:t>in order to address</w:t>
      </w:r>
      <w:r w:rsidR="0046592C">
        <w:rPr>
          <w:lang w:eastAsia="en-AU"/>
        </w:rPr>
        <w:t xml:space="preserve"> arguments advanced by the parties</w:t>
      </w:r>
      <w:r w:rsidR="00450569">
        <w:rPr>
          <w:lang w:eastAsia="en-AU"/>
        </w:rPr>
        <w:t xml:space="preserve"> in the proceeding</w:t>
      </w:r>
      <w:r w:rsidR="0046592C">
        <w:rPr>
          <w:lang w:eastAsia="en-AU"/>
        </w:rPr>
        <w:t>.</w:t>
      </w:r>
    </w:p>
    <w:p w14:paraId="7AB306E5" w14:textId="77777777" w:rsidR="00526942" w:rsidRDefault="00526942" w:rsidP="007E4068">
      <w:pPr>
        <w:pStyle w:val="Heading3"/>
        <w:rPr>
          <w:lang w:eastAsia="en-AU"/>
        </w:rPr>
      </w:pPr>
      <w:bookmarkStart w:id="52" w:name="_Ref78900501"/>
      <w:r>
        <w:rPr>
          <w:lang w:eastAsia="en-AU"/>
        </w:rPr>
        <w:t>The meaning of “competition”</w:t>
      </w:r>
      <w:bookmarkEnd w:id="52"/>
    </w:p>
    <w:p w14:paraId="411C83BD" w14:textId="77777777" w:rsidR="00526942" w:rsidRDefault="00526942" w:rsidP="00526942">
      <w:pPr>
        <w:pStyle w:val="ParaNumbering"/>
        <w:rPr>
          <w:lang w:eastAsia="en-AU"/>
        </w:rPr>
      </w:pPr>
      <w:r>
        <w:rPr>
          <w:lang w:eastAsia="en-AU"/>
        </w:rPr>
        <w:t xml:space="preserve">The meaning of the word “competition” in the Act has been explained in many cases. By and large, the cases refer back to the explanation provided by the Tribunal in </w:t>
      </w:r>
      <w:r w:rsidRPr="00673308">
        <w:rPr>
          <w:i/>
          <w:lang w:eastAsia="en-AU"/>
        </w:rPr>
        <w:t>QCMA</w:t>
      </w:r>
      <w:r>
        <w:rPr>
          <w:lang w:eastAsia="en-AU"/>
        </w:rPr>
        <w:t xml:space="preserve"> </w:t>
      </w:r>
      <w:r w:rsidR="00673308">
        <w:rPr>
          <w:lang w:eastAsia="en-AU"/>
        </w:rPr>
        <w:t>at 511-512</w:t>
      </w:r>
      <w:r w:rsidR="003A6F45">
        <w:rPr>
          <w:lang w:eastAsia="en-AU"/>
        </w:rPr>
        <w:t>, which made the following points</w:t>
      </w:r>
      <w:r w:rsidR="00673308">
        <w:rPr>
          <w:lang w:eastAsia="en-AU"/>
        </w:rPr>
        <w:t>:</w:t>
      </w:r>
    </w:p>
    <w:p w14:paraId="7DF6CFEF" w14:textId="77777777" w:rsidR="00960E6E" w:rsidRDefault="00673308" w:rsidP="00171BD9">
      <w:pPr>
        <w:pStyle w:val="ListNo1alt"/>
        <w:numPr>
          <w:ilvl w:val="0"/>
          <w:numId w:val="53"/>
        </w:numPr>
        <w:rPr>
          <w:lang w:eastAsia="en-AU"/>
        </w:rPr>
      </w:pPr>
      <w:r>
        <w:rPr>
          <w:lang w:eastAsia="en-AU"/>
        </w:rPr>
        <w:t>At its most fundamental, competition is a mechanism for discovery of market information: the types and quantities of goods and services that are demanded and how they may be supplied at least cost. Prices and profits are the signals which register the play of these forces of demand and supply. Competition is also a mechanism for enforcement of business decisions in light of this information: firms disregard these signals at the threat of losing sales to alternative suppliers.</w:t>
      </w:r>
    </w:p>
    <w:p w14:paraId="009401B5" w14:textId="77777777" w:rsidR="00673308" w:rsidRDefault="00960E6E" w:rsidP="00960E6E">
      <w:pPr>
        <w:pStyle w:val="ListNo1alt"/>
        <w:numPr>
          <w:ilvl w:val="0"/>
          <w:numId w:val="53"/>
        </w:numPr>
        <w:rPr>
          <w:lang w:eastAsia="en-AU"/>
        </w:rPr>
      </w:pPr>
      <w:r>
        <w:rPr>
          <w:lang w:eastAsia="en-AU"/>
        </w:rPr>
        <w:t xml:space="preserve">Effective competition connotes that no one seller, and no group of sellers acting in concert, has the power to choose its level of profits by giving less and charging more, because they will be constrained by existing competitors or potential new entrants. </w:t>
      </w:r>
    </w:p>
    <w:p w14:paraId="49123639" w14:textId="77777777" w:rsidR="00673308" w:rsidRDefault="00960E6E" w:rsidP="00171BD9">
      <w:pPr>
        <w:pStyle w:val="ListNo1alt"/>
        <w:numPr>
          <w:ilvl w:val="0"/>
          <w:numId w:val="53"/>
        </w:numPr>
        <w:rPr>
          <w:lang w:eastAsia="en-AU"/>
        </w:rPr>
      </w:pPr>
      <w:r w:rsidRPr="00960E6E">
        <w:rPr>
          <w:lang w:eastAsia="en-AU"/>
        </w:rPr>
        <w:t xml:space="preserve">Competition expresses itself as </w:t>
      </w:r>
      <w:proofErr w:type="spellStart"/>
      <w:r w:rsidRPr="00960E6E">
        <w:rPr>
          <w:lang w:eastAsia="en-AU"/>
        </w:rPr>
        <w:t>rivalrous</w:t>
      </w:r>
      <w:proofErr w:type="spellEnd"/>
      <w:r w:rsidRPr="00960E6E">
        <w:rPr>
          <w:lang w:eastAsia="en-AU"/>
        </w:rPr>
        <w:t xml:space="preserve"> market behaviour</w:t>
      </w:r>
      <w:r>
        <w:rPr>
          <w:lang w:eastAsia="en-AU"/>
        </w:rPr>
        <w:t xml:space="preserve">. Effective competition requires both that prices should be flexible, reflecting the forces of demand and supply, </w:t>
      </w:r>
      <w:r>
        <w:rPr>
          <w:lang w:eastAsia="en-AU"/>
        </w:rPr>
        <w:lastRenderedPageBreak/>
        <w:t>and that there should be independent rivalry in all dimensions of the price-product-service packages offered to customers.</w:t>
      </w:r>
    </w:p>
    <w:p w14:paraId="5AB70EC2" w14:textId="77777777" w:rsidR="00960E6E" w:rsidRDefault="00960E6E" w:rsidP="00171BD9">
      <w:pPr>
        <w:pStyle w:val="ListNo1alt"/>
        <w:numPr>
          <w:ilvl w:val="0"/>
          <w:numId w:val="53"/>
        </w:numPr>
        <w:rPr>
          <w:lang w:eastAsia="en-AU"/>
        </w:rPr>
      </w:pPr>
      <w:r>
        <w:rPr>
          <w:lang w:eastAsia="en-AU"/>
        </w:rPr>
        <w:t xml:space="preserve">While competition is a process rather than a situation, the nature and extent of competition is affected by the </w:t>
      </w:r>
      <w:r w:rsidR="00450569">
        <w:rPr>
          <w:lang w:eastAsia="en-AU"/>
        </w:rPr>
        <w:t>conditions</w:t>
      </w:r>
      <w:r>
        <w:rPr>
          <w:lang w:eastAsia="en-AU"/>
        </w:rPr>
        <w:t xml:space="preserve"> of the relevant market, particularly market concentration, the height of barriers to entry, the extent of product differentiation, the character of vertical relationships between customers and suppliers and the extent of vertical integration and the </w:t>
      </w:r>
      <w:r w:rsidR="002529D6">
        <w:rPr>
          <w:lang w:eastAsia="en-AU"/>
        </w:rPr>
        <w:t>existence of horizontal relationships between suppliers or between customers.</w:t>
      </w:r>
    </w:p>
    <w:p w14:paraId="3BBE1CEA" w14:textId="77777777" w:rsidR="002529D6" w:rsidRDefault="002529D6" w:rsidP="00526942">
      <w:pPr>
        <w:pStyle w:val="ParaNumbering"/>
        <w:rPr>
          <w:lang w:eastAsia="en-AU"/>
        </w:rPr>
      </w:pPr>
      <w:r>
        <w:rPr>
          <w:lang w:eastAsia="en-AU"/>
        </w:rPr>
        <w:t xml:space="preserve">Similarly, in </w:t>
      </w:r>
      <w:r w:rsidRPr="002529D6">
        <w:rPr>
          <w:i/>
          <w:lang w:eastAsia="en-AU"/>
        </w:rPr>
        <w:t>Re Fortescue Metals</w:t>
      </w:r>
      <w:r>
        <w:rPr>
          <w:lang w:eastAsia="en-AU"/>
        </w:rPr>
        <w:t>, the Tribunal described both the process of competition and the extent of competition. In relation to the process of competition, the Tribunal said (at [1050]):</w:t>
      </w:r>
    </w:p>
    <w:p w14:paraId="07682131" w14:textId="77777777" w:rsidR="002529D6" w:rsidRDefault="002529D6" w:rsidP="002529D6">
      <w:pPr>
        <w:pStyle w:val="Quote1"/>
        <w:rPr>
          <w:lang w:eastAsia="en-AU"/>
        </w:rPr>
      </w:pPr>
      <w:r>
        <w:rPr>
          <w:lang w:eastAsia="en-AU"/>
        </w:rPr>
        <w:t>In economics, the word “competition” (as a process) has many meanings. Stigler’s well-known definition is “rivalry between individuals (or groups or nations) and it arises whenever two or more parties strive for something that all cannot gain”. Under this definition, competition refers to behaviour, and especially to patterns of business behaviour. Relevantly, it relates to behaviour that may affect the price or quality or conditions of sale of goods exchanged in the relevant market. Hence competition may be described as rivalry that amounts to a process that leads to an increase in economic efficiency.</w:t>
      </w:r>
    </w:p>
    <w:p w14:paraId="40CE02A8" w14:textId="77777777" w:rsidR="002529D6" w:rsidRDefault="002529D6" w:rsidP="002529D6">
      <w:pPr>
        <w:pStyle w:val="ParaNumbering"/>
        <w:rPr>
          <w:lang w:eastAsia="en-AU"/>
        </w:rPr>
      </w:pPr>
      <w:r>
        <w:rPr>
          <w:lang w:eastAsia="en-AU"/>
        </w:rPr>
        <w:t>In relation to the extent of competition, the Tribunal said (at [1051]):</w:t>
      </w:r>
    </w:p>
    <w:p w14:paraId="3A48C72A" w14:textId="77777777" w:rsidR="002529D6" w:rsidRDefault="002529D6" w:rsidP="002529D6">
      <w:pPr>
        <w:pStyle w:val="Quote1"/>
        <w:rPr>
          <w:lang w:eastAsia="en-AU"/>
        </w:rPr>
      </w:pPr>
      <w:r>
        <w:rPr>
          <w:lang w:eastAsia="en-AU"/>
        </w:rPr>
        <w:t xml:space="preserve">The extent of competition is another matter. Economists describe markets as perfectly competitive, effectively competitive or imperfectly competitive (such as monopolies or oligopolies). The state of competition in a market is the result of internal and external factors which bear upon the nature and extent of the rivalry. Hence, in </w:t>
      </w:r>
      <w:r w:rsidRPr="002529D6">
        <w:rPr>
          <w:i/>
          <w:lang w:eastAsia="en-AU"/>
        </w:rPr>
        <w:t>Application by Chime Communications Pty Ltd (No 2)</w:t>
      </w:r>
      <w:r>
        <w:rPr>
          <w:lang w:eastAsia="en-AU"/>
        </w:rPr>
        <w:t xml:space="preserve"> (2009) 257 ALR 765; [2009] </w:t>
      </w:r>
      <w:proofErr w:type="spellStart"/>
      <w:r>
        <w:rPr>
          <w:lang w:eastAsia="en-AU"/>
        </w:rPr>
        <w:t>ACompT</w:t>
      </w:r>
      <w:proofErr w:type="spellEnd"/>
      <w:r>
        <w:rPr>
          <w:lang w:eastAsia="en-AU"/>
        </w:rPr>
        <w:t xml:space="preserve"> 2, the tribunal said (at [48]):</w:t>
      </w:r>
    </w:p>
    <w:p w14:paraId="150D71D3" w14:textId="77777777" w:rsidR="002529D6" w:rsidRDefault="002529D6" w:rsidP="002529D6">
      <w:pPr>
        <w:pStyle w:val="Quote2"/>
        <w:rPr>
          <w:lang w:eastAsia="en-AU"/>
        </w:rPr>
      </w:pPr>
      <w:r>
        <w:rPr>
          <w:lang w:eastAsia="en-AU"/>
        </w:rPr>
        <w:t>[48] In the Tribunal’s view a market is sufficiently competitive if the market experiences at least a reasonable degree of rivalry between firms each of which suffers some constraint in their use of market power from competitors (actual and potential) and from customers. The criteria for such competition are structural (a sufficient number of sellers, few inhibitions on entry and expansion), conduct-based (for example no collusion between firms, no exclusionary or predatory tactics) and performance-based (for example firms should be efficient, prices should reflect costs and be responsive to changing market forces).</w:t>
      </w:r>
    </w:p>
    <w:p w14:paraId="3FD45DC8" w14:textId="77777777" w:rsidR="007E4068" w:rsidRDefault="007E4068" w:rsidP="007E4068">
      <w:pPr>
        <w:pStyle w:val="Heading3"/>
        <w:rPr>
          <w:lang w:eastAsia="en-AU"/>
        </w:rPr>
      </w:pPr>
      <w:bookmarkStart w:id="53" w:name="_Ref78900502"/>
      <w:r>
        <w:rPr>
          <w:lang w:eastAsia="en-AU"/>
        </w:rPr>
        <w:t>The meaning of “promote a material increase in competition”</w:t>
      </w:r>
      <w:bookmarkEnd w:id="53"/>
    </w:p>
    <w:p w14:paraId="511E88FD" w14:textId="77777777" w:rsidR="003937D8" w:rsidRDefault="00EB1130" w:rsidP="00CC0BA5">
      <w:pPr>
        <w:pStyle w:val="ParaNumbering"/>
        <w:rPr>
          <w:lang w:eastAsia="en-AU"/>
        </w:rPr>
      </w:pPr>
      <w:r>
        <w:rPr>
          <w:lang w:eastAsia="en-AU"/>
        </w:rPr>
        <w:t xml:space="preserve">As noted earlier, </w:t>
      </w:r>
      <w:r w:rsidR="009E694F">
        <w:rPr>
          <w:lang w:eastAsia="en-AU"/>
        </w:rPr>
        <w:t xml:space="preserve">the Tribunal in </w:t>
      </w:r>
      <w:r w:rsidR="009E694F" w:rsidRPr="003937D8">
        <w:rPr>
          <w:i/>
          <w:lang w:eastAsia="en-AU"/>
        </w:rPr>
        <w:t xml:space="preserve">Re Sydney </w:t>
      </w:r>
      <w:r w:rsidR="00574E95">
        <w:rPr>
          <w:i/>
          <w:lang w:eastAsia="en-AU"/>
        </w:rPr>
        <w:t xml:space="preserve">International </w:t>
      </w:r>
      <w:r w:rsidR="009E694F" w:rsidRPr="003937D8">
        <w:rPr>
          <w:i/>
          <w:lang w:eastAsia="en-AU"/>
        </w:rPr>
        <w:t>Airport</w:t>
      </w:r>
      <w:r w:rsidR="009E694F">
        <w:rPr>
          <w:lang w:eastAsia="en-AU"/>
        </w:rPr>
        <w:t xml:space="preserve"> concluded that </w:t>
      </w:r>
      <w:r w:rsidR="009E694F" w:rsidRPr="009E694F">
        <w:rPr>
          <w:lang w:eastAsia="en-AU"/>
        </w:rPr>
        <w:t xml:space="preserve">the notion of "promoting" competition in </w:t>
      </w:r>
      <w:r w:rsidR="009E694F">
        <w:rPr>
          <w:lang w:eastAsia="en-AU"/>
        </w:rPr>
        <w:t>criterion (a)</w:t>
      </w:r>
      <w:r w:rsidR="003937D8">
        <w:rPr>
          <w:lang w:eastAsia="en-AU"/>
        </w:rPr>
        <w:t xml:space="preserve"> </w:t>
      </w:r>
      <w:r w:rsidR="009E694F" w:rsidRPr="009E694F">
        <w:rPr>
          <w:lang w:eastAsia="en-AU"/>
        </w:rPr>
        <w:t>involves the idea of creating the conditions or environment for improving competition from what it would be otherwise</w:t>
      </w:r>
      <w:r w:rsidR="009E694F">
        <w:rPr>
          <w:lang w:eastAsia="en-AU"/>
        </w:rPr>
        <w:t xml:space="preserve">. That interpretation </w:t>
      </w:r>
      <w:r w:rsidR="009E694F">
        <w:rPr>
          <w:lang w:eastAsia="en-AU"/>
        </w:rPr>
        <w:lastRenderedPageBreak/>
        <w:t>of the phrase has been followed in subsequent Tribunal decisions</w:t>
      </w:r>
      <w:r w:rsidR="003506EF">
        <w:rPr>
          <w:lang w:eastAsia="en-AU"/>
        </w:rPr>
        <w:t>, was</w:t>
      </w:r>
      <w:r w:rsidR="009E694F">
        <w:rPr>
          <w:lang w:eastAsia="en-AU"/>
        </w:rPr>
        <w:t xml:space="preserve"> approved by the Full Court in an analogous context in </w:t>
      </w:r>
      <w:r w:rsidR="009E694F" w:rsidRPr="003937D8">
        <w:rPr>
          <w:i/>
          <w:lang w:eastAsia="en-AU"/>
        </w:rPr>
        <w:t>Telstra</w:t>
      </w:r>
      <w:r w:rsidR="003937D8" w:rsidRPr="003937D8">
        <w:rPr>
          <w:i/>
          <w:lang w:eastAsia="en-AU"/>
        </w:rPr>
        <w:t xml:space="preserve"> Corporation</w:t>
      </w:r>
      <w:r w:rsidR="003506EF">
        <w:rPr>
          <w:lang w:eastAsia="en-AU"/>
        </w:rPr>
        <w:t xml:space="preserve"> and was also adopted by the Full Court in </w:t>
      </w:r>
      <w:r w:rsidR="003506EF" w:rsidRPr="003506EF">
        <w:rPr>
          <w:i/>
          <w:lang w:eastAsia="en-AU"/>
        </w:rPr>
        <w:t>Port of Newcastle</w:t>
      </w:r>
      <w:r w:rsidR="009E694F">
        <w:rPr>
          <w:lang w:eastAsia="en-AU"/>
        </w:rPr>
        <w:t xml:space="preserve">. Despite that, PNO </w:t>
      </w:r>
      <w:r w:rsidR="003937D8">
        <w:rPr>
          <w:lang w:eastAsia="en-AU"/>
        </w:rPr>
        <w:t>contends</w:t>
      </w:r>
      <w:r w:rsidR="009E694F">
        <w:rPr>
          <w:lang w:eastAsia="en-AU"/>
        </w:rPr>
        <w:t xml:space="preserve"> that the amendments made to criterion (a) by the 2006 Amendment Act, which introduced the words “material increase in”, altered the meaning of the criterion. </w:t>
      </w:r>
      <w:r w:rsidR="0046592C">
        <w:rPr>
          <w:lang w:eastAsia="en-AU"/>
        </w:rPr>
        <w:t xml:space="preserve">PNO </w:t>
      </w:r>
      <w:r w:rsidR="009E694F">
        <w:rPr>
          <w:lang w:eastAsia="en-AU"/>
        </w:rPr>
        <w:t>argued</w:t>
      </w:r>
      <w:r w:rsidR="0046592C">
        <w:rPr>
          <w:lang w:eastAsia="en-AU"/>
        </w:rPr>
        <w:t xml:space="preserve"> that criterion (a) requires the decision maker to be satisfied that declaration would result in an increase in competition</w:t>
      </w:r>
      <w:r w:rsidR="003937D8">
        <w:rPr>
          <w:lang w:eastAsia="en-AU"/>
        </w:rPr>
        <w:t xml:space="preserve"> in a dependent market</w:t>
      </w:r>
      <w:r w:rsidR="0046592C">
        <w:rPr>
          <w:lang w:eastAsia="en-AU"/>
        </w:rPr>
        <w:t>.</w:t>
      </w:r>
      <w:r w:rsidR="009E694F">
        <w:rPr>
          <w:lang w:eastAsia="en-AU"/>
        </w:rPr>
        <w:t xml:space="preserve"> </w:t>
      </w:r>
    </w:p>
    <w:p w14:paraId="1B7A28C1" w14:textId="72EA552C" w:rsidR="0046592C" w:rsidRDefault="003937D8" w:rsidP="00552E8D">
      <w:pPr>
        <w:pStyle w:val="ParaNumbering"/>
        <w:rPr>
          <w:lang w:eastAsia="en-AU"/>
        </w:rPr>
      </w:pPr>
      <w:r>
        <w:rPr>
          <w:lang w:eastAsia="en-AU"/>
        </w:rPr>
        <w:t xml:space="preserve">The Tribunal </w:t>
      </w:r>
      <w:r w:rsidR="009A35A3">
        <w:rPr>
          <w:lang w:eastAsia="en-AU"/>
        </w:rPr>
        <w:t xml:space="preserve">considers that the Full Court decision in </w:t>
      </w:r>
      <w:r w:rsidR="009A35A3" w:rsidRPr="009A35A3">
        <w:rPr>
          <w:i/>
          <w:lang w:eastAsia="en-AU"/>
        </w:rPr>
        <w:t>Port of Newcastle</w:t>
      </w:r>
      <w:r w:rsidR="009A35A3">
        <w:rPr>
          <w:lang w:eastAsia="en-AU"/>
        </w:rPr>
        <w:t xml:space="preserve"> requires it to reject PNO’s contention. Even if that were not the case, the Tribunal would not </w:t>
      </w:r>
      <w:r>
        <w:rPr>
          <w:lang w:eastAsia="en-AU"/>
        </w:rPr>
        <w:t>accept PNO’s contention. The ordinary meaning of the word “promote” is to support, encourage, facilitate or further</w:t>
      </w:r>
      <w:r w:rsidR="0046592C">
        <w:rPr>
          <w:lang w:eastAsia="en-AU"/>
        </w:rPr>
        <w:t>.</w:t>
      </w:r>
      <w:r w:rsidR="00552E8D">
        <w:rPr>
          <w:lang w:eastAsia="en-AU"/>
        </w:rPr>
        <w:t xml:space="preserve"> </w:t>
      </w:r>
      <w:r w:rsidR="00FC18AB">
        <w:rPr>
          <w:lang w:eastAsia="en-AU"/>
        </w:rPr>
        <w:t xml:space="preserve">The ordinary meaning is consistent with the use of the word in its statutory context. </w:t>
      </w:r>
      <w:r w:rsidR="00FD5902">
        <w:rPr>
          <w:lang w:eastAsia="en-AU"/>
        </w:rPr>
        <w:t>The object of t</w:t>
      </w:r>
      <w:r w:rsidR="00552E8D">
        <w:rPr>
          <w:lang w:eastAsia="en-AU"/>
        </w:rPr>
        <w:t xml:space="preserve">he national access regime </w:t>
      </w:r>
      <w:r w:rsidR="00FC18AB">
        <w:rPr>
          <w:lang w:eastAsia="en-AU"/>
        </w:rPr>
        <w:t>i</w:t>
      </w:r>
      <w:r w:rsidR="00552E8D">
        <w:rPr>
          <w:lang w:eastAsia="en-AU"/>
        </w:rPr>
        <w:t xml:space="preserve">n Part IIIA </w:t>
      </w:r>
      <w:r w:rsidR="00FD5902">
        <w:rPr>
          <w:lang w:eastAsia="en-AU"/>
        </w:rPr>
        <w:t xml:space="preserve">is </w:t>
      </w:r>
      <w:r w:rsidR="00051F1E">
        <w:rPr>
          <w:lang w:eastAsia="en-AU"/>
        </w:rPr>
        <w:t xml:space="preserve">to </w:t>
      </w:r>
      <w:r w:rsidR="00FD5902">
        <w:rPr>
          <w:lang w:eastAsia="en-AU"/>
        </w:rPr>
        <w:t>promote the economically efficient operation of, use of and investment in the infrastructure by which services are provided, thereby promoting effective competition in upstream and downstream markets (</w:t>
      </w:r>
      <w:r w:rsidR="002F5E16">
        <w:rPr>
          <w:lang w:eastAsia="en-AU"/>
        </w:rPr>
        <w:t>s </w:t>
      </w:r>
      <w:r w:rsidR="00FD5902">
        <w:rPr>
          <w:lang w:eastAsia="en-AU"/>
        </w:rPr>
        <w:t xml:space="preserve">44AA(a)). The creation of such rights of access, on reasonable terms and conditions under Part IIIA, </w:t>
      </w:r>
      <w:r w:rsidR="00051F1E">
        <w:rPr>
          <w:lang w:eastAsia="en-AU"/>
        </w:rPr>
        <w:t>may remove or reduce</w:t>
      </w:r>
      <w:r w:rsidR="00552E8D" w:rsidRPr="00552E8D">
        <w:rPr>
          <w:lang w:eastAsia="en-AU"/>
        </w:rPr>
        <w:t xml:space="preserve"> </w:t>
      </w:r>
      <w:r w:rsidR="00552E8D">
        <w:rPr>
          <w:lang w:eastAsia="en-AU"/>
        </w:rPr>
        <w:t>a barrier</w:t>
      </w:r>
      <w:r w:rsidR="00552E8D" w:rsidRPr="00552E8D">
        <w:rPr>
          <w:lang w:eastAsia="en-AU"/>
        </w:rPr>
        <w:t xml:space="preserve"> </w:t>
      </w:r>
      <w:r w:rsidR="00051F1E">
        <w:rPr>
          <w:lang w:eastAsia="en-AU"/>
        </w:rPr>
        <w:t>or impediment to</w:t>
      </w:r>
      <w:r w:rsidR="00552E8D" w:rsidRPr="00552E8D">
        <w:rPr>
          <w:lang w:eastAsia="en-AU"/>
        </w:rPr>
        <w:t xml:space="preserve"> competition in </w:t>
      </w:r>
      <w:r w:rsidR="00051F1E">
        <w:rPr>
          <w:lang w:eastAsia="en-AU"/>
        </w:rPr>
        <w:t>a dependent</w:t>
      </w:r>
      <w:r w:rsidR="00552E8D" w:rsidRPr="00552E8D">
        <w:rPr>
          <w:lang w:eastAsia="en-AU"/>
        </w:rPr>
        <w:t xml:space="preserve"> market. </w:t>
      </w:r>
      <w:r w:rsidR="00051F1E">
        <w:rPr>
          <w:lang w:eastAsia="en-AU"/>
        </w:rPr>
        <w:t xml:space="preserve">As explained by the Tribunal in </w:t>
      </w:r>
      <w:r w:rsidR="00051F1E" w:rsidRPr="00051F1E">
        <w:rPr>
          <w:i/>
          <w:lang w:eastAsia="en-AU"/>
        </w:rPr>
        <w:t xml:space="preserve">Re Sydney </w:t>
      </w:r>
      <w:r w:rsidR="00574E95">
        <w:rPr>
          <w:i/>
          <w:lang w:eastAsia="en-AU"/>
        </w:rPr>
        <w:t xml:space="preserve">International </w:t>
      </w:r>
      <w:r w:rsidR="00051F1E" w:rsidRPr="00051F1E">
        <w:rPr>
          <w:i/>
          <w:lang w:eastAsia="en-AU"/>
        </w:rPr>
        <w:t>Airport</w:t>
      </w:r>
      <w:r w:rsidR="00051F1E">
        <w:rPr>
          <w:lang w:eastAsia="en-AU"/>
        </w:rPr>
        <w:t xml:space="preserve">, </w:t>
      </w:r>
      <w:r w:rsidR="00552E8D" w:rsidRPr="00552E8D">
        <w:rPr>
          <w:lang w:eastAsia="en-AU"/>
        </w:rPr>
        <w:t xml:space="preserve">the </w:t>
      </w:r>
      <w:r w:rsidR="00051F1E">
        <w:rPr>
          <w:lang w:eastAsia="en-AU"/>
        </w:rPr>
        <w:t>notion of promoting</w:t>
      </w:r>
      <w:r w:rsidR="00552E8D" w:rsidRPr="00552E8D">
        <w:rPr>
          <w:lang w:eastAsia="en-AU"/>
        </w:rPr>
        <w:t xml:space="preserve"> competition </w:t>
      </w:r>
      <w:r w:rsidR="00051F1E">
        <w:rPr>
          <w:lang w:eastAsia="en-AU"/>
        </w:rPr>
        <w:t xml:space="preserve">refers to enhancing </w:t>
      </w:r>
      <w:r w:rsidR="00552E8D" w:rsidRPr="00552E8D">
        <w:rPr>
          <w:lang w:eastAsia="en-AU"/>
        </w:rPr>
        <w:t xml:space="preserve">the conditions or environment for competition </w:t>
      </w:r>
      <w:r w:rsidR="00051F1E">
        <w:rPr>
          <w:lang w:eastAsia="en-AU"/>
        </w:rPr>
        <w:t>in a dependent market by creating rights of access on reasonable terms and conditions.</w:t>
      </w:r>
    </w:p>
    <w:p w14:paraId="387A3B98" w14:textId="77777777" w:rsidR="00353539" w:rsidRDefault="00E0503B" w:rsidP="00353539">
      <w:pPr>
        <w:pStyle w:val="ParaNumbering"/>
        <w:rPr>
          <w:lang w:eastAsia="en-AU"/>
        </w:rPr>
      </w:pPr>
      <w:r>
        <w:rPr>
          <w:lang w:eastAsia="en-AU"/>
        </w:rPr>
        <w:t xml:space="preserve">Contrary to PNO’s submission, the 2006 amendment to criterion (a) did not alter the meaning of the word “promote”. The relevant phrase changed from “promote competition” to “promote a material increase in competition”. Each phrase is introduced by the verb “promote”. In support of its contention, PNO relied on the statement </w:t>
      </w:r>
      <w:r w:rsidR="00353539">
        <w:rPr>
          <w:lang w:eastAsia="en-AU"/>
        </w:rPr>
        <w:t>in paragraph 1.9 of the</w:t>
      </w:r>
      <w:r>
        <w:rPr>
          <w:lang w:eastAsia="en-AU"/>
        </w:rPr>
        <w:t xml:space="preserve"> Explanatory Memorandum to the </w:t>
      </w:r>
      <w:r w:rsidRPr="002B1C14">
        <w:rPr>
          <w:lang w:eastAsia="en-AU"/>
        </w:rPr>
        <w:t>Trade Practices Amendment (National Access Regime) Bill 2005</w:t>
      </w:r>
      <w:r w:rsidRPr="00155F5D">
        <w:rPr>
          <w:lang w:eastAsia="en-AU"/>
        </w:rPr>
        <w:t xml:space="preserve"> </w:t>
      </w:r>
      <w:r w:rsidR="00102922" w:rsidRPr="00155F5D">
        <w:rPr>
          <w:lang w:eastAsia="en-AU"/>
        </w:rPr>
        <w:t>(</w:t>
      </w:r>
      <w:proofErr w:type="spellStart"/>
      <w:r w:rsidR="00102922" w:rsidRPr="00155F5D">
        <w:rPr>
          <w:lang w:eastAsia="en-AU"/>
        </w:rPr>
        <w:t>Cth</w:t>
      </w:r>
      <w:proofErr w:type="spellEnd"/>
      <w:r w:rsidR="00102922" w:rsidRPr="00155F5D">
        <w:rPr>
          <w:lang w:eastAsia="en-AU"/>
        </w:rPr>
        <w:t>)</w:t>
      </w:r>
      <w:r w:rsidR="00102922">
        <w:rPr>
          <w:lang w:eastAsia="en-AU"/>
        </w:rPr>
        <w:t xml:space="preserve"> </w:t>
      </w:r>
      <w:r w:rsidR="00353539">
        <w:rPr>
          <w:lang w:eastAsia="en-AU"/>
        </w:rPr>
        <w:t>to the effect that the amendment was made “</w:t>
      </w:r>
      <w:r>
        <w:rPr>
          <w:lang w:eastAsia="en-AU"/>
        </w:rPr>
        <w:t>to ensure that access declarations are only granted where the expected increase in competition in an upstream or downstream market is not trivial</w:t>
      </w:r>
      <w:r w:rsidR="00353539">
        <w:rPr>
          <w:lang w:eastAsia="en-AU"/>
        </w:rPr>
        <w:t>”</w:t>
      </w:r>
      <w:r>
        <w:rPr>
          <w:lang w:eastAsia="en-AU"/>
        </w:rPr>
        <w:t>.</w:t>
      </w:r>
      <w:r w:rsidR="00353539">
        <w:rPr>
          <w:lang w:eastAsia="en-AU"/>
        </w:rPr>
        <w:t xml:space="preserve"> That statement does not indicate a different meaning of the word “promote”. The notion of promoting an increase in competition by creating rights of access is entirely consistent with the n</w:t>
      </w:r>
      <w:r w:rsidR="00763C7A">
        <w:rPr>
          <w:lang w:eastAsia="en-AU"/>
        </w:rPr>
        <w:t>otion of expecting an increase</w:t>
      </w:r>
      <w:r w:rsidR="00353539">
        <w:rPr>
          <w:lang w:eastAsia="en-AU"/>
        </w:rPr>
        <w:t xml:space="preserve"> in competition as a result of access.</w:t>
      </w:r>
    </w:p>
    <w:p w14:paraId="444D1AFF" w14:textId="77777777" w:rsidR="00E0503B" w:rsidRDefault="009A35A3" w:rsidP="00353539">
      <w:pPr>
        <w:pStyle w:val="ParaNumbering"/>
        <w:rPr>
          <w:lang w:eastAsia="en-AU"/>
        </w:rPr>
      </w:pPr>
      <w:r>
        <w:rPr>
          <w:lang w:eastAsia="en-AU"/>
        </w:rPr>
        <w:t xml:space="preserve">Finally, it should be observed that the distinction sought to be drawn by PNO is more semantic than real. </w:t>
      </w:r>
      <w:r w:rsidR="00C8107A">
        <w:rPr>
          <w:lang w:eastAsia="en-AU"/>
        </w:rPr>
        <w:t xml:space="preserve">Any difference between enhancing the conditions or environment for competition and increasing competition is subtle. As the Tribunal explained in </w:t>
      </w:r>
      <w:r w:rsidR="008F7B74">
        <w:rPr>
          <w:i/>
          <w:lang w:eastAsia="en-AU"/>
        </w:rPr>
        <w:t>QCMA</w:t>
      </w:r>
      <w:r w:rsidR="00C8107A">
        <w:rPr>
          <w:lang w:eastAsia="en-AU"/>
        </w:rPr>
        <w:t xml:space="preserve"> (at </w:t>
      </w:r>
      <w:r w:rsidR="00025396">
        <w:rPr>
          <w:lang w:eastAsia="en-AU"/>
        </w:rPr>
        <w:t>51</w:t>
      </w:r>
      <w:r w:rsidR="00102922">
        <w:rPr>
          <w:lang w:eastAsia="en-AU"/>
        </w:rPr>
        <w:t>2</w:t>
      </w:r>
      <w:r w:rsidR="00C8107A">
        <w:rPr>
          <w:lang w:eastAsia="en-AU"/>
        </w:rPr>
        <w:t xml:space="preserve">), competition is a process, not a situation and expresses itself as </w:t>
      </w:r>
      <w:proofErr w:type="spellStart"/>
      <w:r w:rsidR="00C8107A">
        <w:rPr>
          <w:lang w:eastAsia="en-AU"/>
        </w:rPr>
        <w:t>rivalrous</w:t>
      </w:r>
      <w:proofErr w:type="spellEnd"/>
      <w:r w:rsidR="00C8107A">
        <w:rPr>
          <w:lang w:eastAsia="en-AU"/>
        </w:rPr>
        <w:t xml:space="preserve"> market behaviour</w:t>
      </w:r>
      <w:r w:rsidR="00C57C10">
        <w:rPr>
          <w:lang w:eastAsia="en-AU"/>
        </w:rPr>
        <w:t xml:space="preserve"> (</w:t>
      </w:r>
      <w:r w:rsidR="00102922">
        <w:rPr>
          <w:lang w:eastAsia="en-AU"/>
        </w:rPr>
        <w:t>quoted in</w:t>
      </w:r>
      <w:r w:rsidR="00C57C10">
        <w:rPr>
          <w:lang w:eastAsia="en-AU"/>
        </w:rPr>
        <w:t xml:space="preserve"> </w:t>
      </w:r>
      <w:r w:rsidR="00C57C10" w:rsidRPr="00C57C10">
        <w:rPr>
          <w:i/>
          <w:lang w:eastAsia="en-AU"/>
        </w:rPr>
        <w:t xml:space="preserve">Re </w:t>
      </w:r>
      <w:r w:rsidR="00C57C10" w:rsidRPr="00C57C10">
        <w:rPr>
          <w:i/>
          <w:lang w:eastAsia="en-AU"/>
        </w:rPr>
        <w:lastRenderedPageBreak/>
        <w:t>Virgin Blue</w:t>
      </w:r>
      <w:r w:rsidR="00C57C10">
        <w:rPr>
          <w:lang w:eastAsia="en-AU"/>
        </w:rPr>
        <w:t xml:space="preserve"> at [145])</w:t>
      </w:r>
      <w:r w:rsidR="00C8107A">
        <w:rPr>
          <w:lang w:eastAsia="en-AU"/>
        </w:rPr>
        <w:t xml:space="preserve">. </w:t>
      </w:r>
      <w:r w:rsidR="00C8178C">
        <w:rPr>
          <w:lang w:eastAsia="en-AU"/>
        </w:rPr>
        <w:t>I</w:t>
      </w:r>
      <w:r w:rsidR="00C8107A">
        <w:rPr>
          <w:lang w:eastAsia="en-AU"/>
        </w:rPr>
        <w:t>n the ordinary course, if the</w:t>
      </w:r>
      <w:r>
        <w:rPr>
          <w:lang w:eastAsia="en-AU"/>
        </w:rPr>
        <w:t xml:space="preserve"> </w:t>
      </w:r>
      <w:r w:rsidR="00C8107A">
        <w:rPr>
          <w:lang w:eastAsia="en-AU"/>
        </w:rPr>
        <w:t>conditions or environment for competition are enhanced it can be expected that competition will be increased.</w:t>
      </w:r>
      <w:r w:rsidR="00353539">
        <w:rPr>
          <w:lang w:eastAsia="en-AU"/>
        </w:rPr>
        <w:t xml:space="preserve"> </w:t>
      </w:r>
    </w:p>
    <w:p w14:paraId="5D118E3D" w14:textId="77777777" w:rsidR="007E4068" w:rsidRDefault="007E4068" w:rsidP="007E4068">
      <w:pPr>
        <w:pStyle w:val="Heading3"/>
        <w:rPr>
          <w:lang w:eastAsia="en-AU"/>
        </w:rPr>
      </w:pPr>
      <w:bookmarkStart w:id="54" w:name="_Ref78900503"/>
      <w:r>
        <w:rPr>
          <w:lang w:eastAsia="en-AU"/>
        </w:rPr>
        <w:t>The meaning of “would”</w:t>
      </w:r>
      <w:bookmarkEnd w:id="54"/>
    </w:p>
    <w:p w14:paraId="058A9FB1" w14:textId="77777777" w:rsidR="00C57C10" w:rsidRDefault="003E5F7E" w:rsidP="00CC0BA5">
      <w:pPr>
        <w:pStyle w:val="ParaNumbering"/>
        <w:rPr>
          <w:lang w:eastAsia="en-AU"/>
        </w:rPr>
      </w:pPr>
      <w:r>
        <w:rPr>
          <w:lang w:eastAsia="en-AU"/>
        </w:rPr>
        <w:t>C</w:t>
      </w:r>
      <w:r w:rsidR="00941702">
        <w:rPr>
          <w:lang w:eastAsia="en-AU"/>
        </w:rPr>
        <w:t>riterion</w:t>
      </w:r>
      <w:r>
        <w:rPr>
          <w:lang w:eastAsia="en-AU"/>
        </w:rPr>
        <w:t xml:space="preserve"> (a)</w:t>
      </w:r>
      <w:r w:rsidR="00941702">
        <w:rPr>
          <w:lang w:eastAsia="en-AU"/>
        </w:rPr>
        <w:t xml:space="preserve"> requires that access as a result of declaration </w:t>
      </w:r>
      <w:r w:rsidR="00941702" w:rsidRPr="00EB1130">
        <w:rPr>
          <w:i/>
          <w:lang w:eastAsia="en-AU"/>
        </w:rPr>
        <w:t>would</w:t>
      </w:r>
      <w:r w:rsidR="00941702">
        <w:rPr>
          <w:lang w:eastAsia="en-AU"/>
        </w:rPr>
        <w:t xml:space="preserve"> promote a material increase in competition. </w:t>
      </w:r>
      <w:r w:rsidR="00C57C10">
        <w:rPr>
          <w:lang w:eastAsia="en-AU"/>
        </w:rPr>
        <w:t>The meaning of the word “would” was considered by the Tribunal i</w:t>
      </w:r>
      <w:r w:rsidR="00941702">
        <w:rPr>
          <w:lang w:eastAsia="en-AU"/>
        </w:rPr>
        <w:t xml:space="preserve">n </w:t>
      </w:r>
      <w:r w:rsidR="00941702" w:rsidRPr="00EB1130">
        <w:rPr>
          <w:i/>
          <w:lang w:eastAsia="en-AU"/>
        </w:rPr>
        <w:t>Re Virgin Blue</w:t>
      </w:r>
      <w:r w:rsidR="00C57C10">
        <w:rPr>
          <w:i/>
          <w:lang w:eastAsia="en-AU"/>
        </w:rPr>
        <w:t xml:space="preserve">. </w:t>
      </w:r>
      <w:r w:rsidR="00941702">
        <w:rPr>
          <w:lang w:eastAsia="en-AU"/>
        </w:rPr>
        <w:t xml:space="preserve">The access seeker, Virgin Blue, submitted that the phrase “would promote competition” meant that “there is a significant finite probability, rather than that such a consequence be ‘more probable than not’” (at [160]), whereas the facility owner, Sydney Airports Corporation Ltd, submitted the opposite. The Tribunal accepted the submission of Virgin Blue and expressed the view that the phrase required the Tribunal to be satisfied that there would be a “significant, finite probability” of competition being promoted (at [162]). </w:t>
      </w:r>
    </w:p>
    <w:p w14:paraId="321D0180" w14:textId="77777777" w:rsidR="00941702" w:rsidRDefault="00C57C10" w:rsidP="00CC0BA5">
      <w:pPr>
        <w:pStyle w:val="ParaNumbering"/>
        <w:rPr>
          <w:lang w:eastAsia="en-AU"/>
        </w:rPr>
      </w:pPr>
      <w:r>
        <w:rPr>
          <w:lang w:eastAsia="en-AU"/>
        </w:rPr>
        <w:t>PNO contend</w:t>
      </w:r>
      <w:r w:rsidR="003E5F7E">
        <w:rPr>
          <w:lang w:eastAsia="en-AU"/>
        </w:rPr>
        <w:t>s</w:t>
      </w:r>
      <w:r>
        <w:rPr>
          <w:lang w:eastAsia="en-AU"/>
        </w:rPr>
        <w:t xml:space="preserve"> that the Tribunal’s interpretation of the word “would” in </w:t>
      </w:r>
      <w:r w:rsidRPr="00C57C10">
        <w:rPr>
          <w:i/>
          <w:lang w:eastAsia="en-AU"/>
        </w:rPr>
        <w:t>Re Virgin Blue</w:t>
      </w:r>
      <w:r>
        <w:rPr>
          <w:lang w:eastAsia="en-AU"/>
        </w:rPr>
        <w:t xml:space="preserve"> was incorrect. PNO argued that the word has its ordinary meaning, which is the conditional tense of the verb “will”. </w:t>
      </w:r>
      <w:r w:rsidR="004F0915">
        <w:rPr>
          <w:lang w:eastAsia="en-AU"/>
        </w:rPr>
        <w:t>The Tribunal accepts that contention and, r</w:t>
      </w:r>
      <w:r w:rsidR="00941702">
        <w:rPr>
          <w:lang w:eastAsia="en-AU"/>
        </w:rPr>
        <w:t>espectfully, does not agree with th</w:t>
      </w:r>
      <w:r w:rsidR="004F0915">
        <w:rPr>
          <w:lang w:eastAsia="en-AU"/>
        </w:rPr>
        <w:t>e</w:t>
      </w:r>
      <w:r w:rsidR="00941702">
        <w:rPr>
          <w:lang w:eastAsia="en-AU"/>
        </w:rPr>
        <w:t xml:space="preserve"> interpretation </w:t>
      </w:r>
      <w:r w:rsidR="004F0915">
        <w:rPr>
          <w:lang w:eastAsia="en-AU"/>
        </w:rPr>
        <w:t xml:space="preserve">adopted in </w:t>
      </w:r>
      <w:r w:rsidR="004F0915" w:rsidRPr="004F0915">
        <w:rPr>
          <w:i/>
          <w:lang w:eastAsia="en-AU"/>
        </w:rPr>
        <w:t>Re Virgin Blue</w:t>
      </w:r>
      <w:r w:rsidR="004F0915">
        <w:rPr>
          <w:lang w:eastAsia="en-AU"/>
        </w:rPr>
        <w:t>.</w:t>
      </w:r>
    </w:p>
    <w:p w14:paraId="1DCF47D2" w14:textId="77777777" w:rsidR="00941702" w:rsidRDefault="00941702" w:rsidP="00941702">
      <w:pPr>
        <w:pStyle w:val="ParaNumbering"/>
        <w:rPr>
          <w:lang w:eastAsia="en-AU"/>
        </w:rPr>
      </w:pPr>
      <w:r>
        <w:rPr>
          <w:lang w:eastAsia="en-AU"/>
        </w:rPr>
        <w:t xml:space="preserve">The meaning of the word “would” in criterion (a) was not addressed by the Full Court in </w:t>
      </w:r>
      <w:r w:rsidRPr="00E90392">
        <w:rPr>
          <w:i/>
          <w:lang w:eastAsia="en-AU"/>
        </w:rPr>
        <w:t>Sydney Airport</w:t>
      </w:r>
      <w:r>
        <w:rPr>
          <w:lang w:eastAsia="en-AU"/>
        </w:rPr>
        <w:t xml:space="preserve">. Subsequently, in </w:t>
      </w:r>
      <w:r w:rsidRPr="00E90392">
        <w:rPr>
          <w:i/>
          <w:lang w:eastAsia="en-AU"/>
        </w:rPr>
        <w:t>Port of Newcastle</w:t>
      </w:r>
      <w:r>
        <w:rPr>
          <w:lang w:eastAsia="en-AU"/>
        </w:rPr>
        <w:t>, the Full Court stated (at [86], in respect of criterion (a) prior to its amendment by the 2017 Amendment Act) that:</w:t>
      </w:r>
    </w:p>
    <w:p w14:paraId="3402FF3C" w14:textId="77777777" w:rsidR="00941702" w:rsidRDefault="00941702" w:rsidP="00941702">
      <w:pPr>
        <w:pStyle w:val="Quote1"/>
        <w:rPr>
          <w:lang w:eastAsia="en-AU"/>
        </w:rPr>
      </w:pPr>
      <w:r>
        <w:rPr>
          <w:lang w:eastAsia="en-AU"/>
        </w:rPr>
        <w:t xml:space="preserve">Criterion (a) requires the decision-maker to be satisfied that if an event or circumstance (access or increased access to the service) happens, then a state of affairs </w:t>
      </w:r>
      <w:r w:rsidRPr="002B1C14">
        <w:rPr>
          <w:i/>
          <w:lang w:eastAsia="en-AU"/>
        </w:rPr>
        <w:t>will follow</w:t>
      </w:r>
      <w:r>
        <w:rPr>
          <w:lang w:eastAsia="en-AU"/>
        </w:rPr>
        <w:t xml:space="preserve"> (the promotion of a material increase in competition in a dependent market). The decision-maker is required to make a prediction or forecast of the conditions or environment for improving competition in a dependent market with access or increased access on the one hand, and without access or increased access on the other. The latter circumstance is often referred to (perhaps not entirely accurately) as the counterfactual. (Emphasis added</w:t>
      </w:r>
      <w:r w:rsidR="00600920">
        <w:rPr>
          <w:lang w:eastAsia="en-AU"/>
        </w:rPr>
        <w:t>.</w:t>
      </w:r>
      <w:r>
        <w:rPr>
          <w:lang w:eastAsia="en-AU"/>
        </w:rPr>
        <w:t>)</w:t>
      </w:r>
    </w:p>
    <w:p w14:paraId="72066042" w14:textId="77777777" w:rsidR="00941702" w:rsidRDefault="00941702" w:rsidP="00941702">
      <w:pPr>
        <w:pStyle w:val="ParaNumbering"/>
        <w:rPr>
          <w:lang w:eastAsia="en-AU"/>
        </w:rPr>
      </w:pPr>
      <w:r>
        <w:rPr>
          <w:lang w:eastAsia="en-AU"/>
        </w:rPr>
        <w:t>In the above passage, the Full Court adopted the ordinary meaning of the word “would” (if access is given, a promotion of competition will follow).</w:t>
      </w:r>
    </w:p>
    <w:p w14:paraId="79A7BE68" w14:textId="77777777" w:rsidR="00941702" w:rsidRDefault="00941702" w:rsidP="00941702">
      <w:pPr>
        <w:pStyle w:val="ParaNumbering"/>
        <w:rPr>
          <w:lang w:eastAsia="en-AU"/>
        </w:rPr>
      </w:pPr>
      <w:r>
        <w:rPr>
          <w:lang w:eastAsia="en-AU"/>
        </w:rPr>
        <w:t xml:space="preserve">The word “would” is commonly used in the Act as many of the provisions of the Act address the future competitive consequences of particular conduct. Recently, in </w:t>
      </w:r>
      <w:r w:rsidRPr="00EC7767">
        <w:rPr>
          <w:i/>
          <w:lang w:eastAsia="en-AU"/>
        </w:rPr>
        <w:t>ACCC v Pacific National</w:t>
      </w:r>
      <w:r w:rsidRPr="00C31053">
        <w:rPr>
          <w:lang w:eastAsia="en-AU"/>
        </w:rPr>
        <w:t xml:space="preserve"> (2020) 277 FCR 49</w:t>
      </w:r>
      <w:r w:rsidR="004F0915" w:rsidRPr="00C31053">
        <w:rPr>
          <w:lang w:eastAsia="en-AU"/>
        </w:rPr>
        <w:t xml:space="preserve"> </w:t>
      </w:r>
      <w:r w:rsidR="004F0915" w:rsidRPr="00D5326B">
        <w:rPr>
          <w:lang w:eastAsia="en-AU"/>
        </w:rPr>
        <w:t>(</w:t>
      </w:r>
      <w:r w:rsidR="004F0915" w:rsidRPr="00D5326B">
        <w:rPr>
          <w:b/>
          <w:i/>
          <w:lang w:eastAsia="en-AU"/>
        </w:rPr>
        <w:t>Pacific National</w:t>
      </w:r>
      <w:r w:rsidR="004F0915" w:rsidRPr="00D5326B">
        <w:rPr>
          <w:lang w:eastAsia="en-AU"/>
        </w:rPr>
        <w:t>)</w:t>
      </w:r>
      <w:r w:rsidRPr="00D5326B">
        <w:rPr>
          <w:lang w:eastAsia="en-AU"/>
        </w:rPr>
        <w:t>, the Full</w:t>
      </w:r>
      <w:r>
        <w:rPr>
          <w:lang w:eastAsia="en-AU"/>
        </w:rPr>
        <w:t xml:space="preserve"> Court considered the meaning of the phrase “if the acquisition would have the effect, or would be likely to have the effect, of substantially lessening competition in any market” in s 50 of the Act. The plurality (Middleton and O’Bryan JJ) observed that the section contains two legal standards: the section is </w:t>
      </w:r>
      <w:r>
        <w:rPr>
          <w:lang w:eastAsia="en-AU"/>
        </w:rPr>
        <w:lastRenderedPageBreak/>
        <w:t xml:space="preserve">contravened if the acquisition </w:t>
      </w:r>
      <w:r w:rsidRPr="004F0915">
        <w:rPr>
          <w:i/>
          <w:lang w:eastAsia="en-AU"/>
        </w:rPr>
        <w:t>would</w:t>
      </w:r>
      <w:r>
        <w:rPr>
          <w:lang w:eastAsia="en-AU"/>
        </w:rPr>
        <w:t xml:space="preserve"> have the effect of substantially lessening competition and the section is also contravened if the acquisition </w:t>
      </w:r>
      <w:r w:rsidRPr="004F0915">
        <w:rPr>
          <w:i/>
          <w:lang w:eastAsia="en-AU"/>
        </w:rPr>
        <w:t>would be likely</w:t>
      </w:r>
      <w:r>
        <w:rPr>
          <w:lang w:eastAsia="en-AU"/>
        </w:rPr>
        <w:t xml:space="preserve"> to have the effect of substantially lessening competition (at [220]). In respect of the first legal standard, </w:t>
      </w:r>
      <w:r w:rsidR="00234E14">
        <w:rPr>
          <w:lang w:eastAsia="en-AU"/>
        </w:rPr>
        <w:t>“</w:t>
      </w:r>
      <w:r>
        <w:rPr>
          <w:lang w:eastAsia="en-AU"/>
        </w:rPr>
        <w:t>would have the effect of substantially lessening competition</w:t>
      </w:r>
      <w:r w:rsidR="00234E14">
        <w:rPr>
          <w:lang w:eastAsia="en-AU"/>
        </w:rPr>
        <w:t>”</w:t>
      </w:r>
      <w:r>
        <w:rPr>
          <w:lang w:eastAsia="en-AU"/>
        </w:rPr>
        <w:t>, the plurality considered that the standard conveyed certainty (i</w:t>
      </w:r>
      <w:r w:rsidR="00BE2BF8">
        <w:rPr>
          <w:lang w:eastAsia="en-AU"/>
        </w:rPr>
        <w:t>.</w:t>
      </w:r>
      <w:r>
        <w:rPr>
          <w:lang w:eastAsia="en-AU"/>
        </w:rPr>
        <w:t>e</w:t>
      </w:r>
      <w:r w:rsidR="00BE2BF8">
        <w:rPr>
          <w:lang w:eastAsia="en-AU"/>
        </w:rPr>
        <w:t>.</w:t>
      </w:r>
      <w:r>
        <w:rPr>
          <w:lang w:eastAsia="en-AU"/>
        </w:rPr>
        <w:t xml:space="preserve"> the consequence will follow), although the </w:t>
      </w:r>
      <w:r w:rsidR="004F0915">
        <w:rPr>
          <w:lang w:eastAsia="en-AU"/>
        </w:rPr>
        <w:t xml:space="preserve">legal </w:t>
      </w:r>
      <w:r>
        <w:rPr>
          <w:lang w:eastAsia="en-AU"/>
        </w:rPr>
        <w:t xml:space="preserve">standard must be proved to the civil standard </w:t>
      </w:r>
      <w:r w:rsidR="004F0915">
        <w:rPr>
          <w:lang w:eastAsia="en-AU"/>
        </w:rPr>
        <w:t xml:space="preserve">of proof, </w:t>
      </w:r>
      <w:r>
        <w:rPr>
          <w:lang w:eastAsia="en-AU"/>
        </w:rPr>
        <w:t xml:space="preserve">on the balance of the probabilities (at [223]). In respect of the second legal standard, </w:t>
      </w:r>
      <w:r w:rsidR="00234E14">
        <w:rPr>
          <w:lang w:eastAsia="en-AU"/>
        </w:rPr>
        <w:t>“</w:t>
      </w:r>
      <w:r>
        <w:rPr>
          <w:lang w:eastAsia="en-AU"/>
        </w:rPr>
        <w:t>would be likely to have the effect of substantially lessening competition</w:t>
      </w:r>
      <w:r w:rsidR="00234E14">
        <w:rPr>
          <w:lang w:eastAsia="en-AU"/>
        </w:rPr>
        <w:t>”</w:t>
      </w:r>
      <w:r>
        <w:rPr>
          <w:lang w:eastAsia="en-AU"/>
        </w:rPr>
        <w:t>, the plurality considered that the longstanding interpretation of the phrase as a likelihood that is less than probable should not be overturned (at [243]).</w:t>
      </w:r>
    </w:p>
    <w:p w14:paraId="3340947E" w14:textId="77777777" w:rsidR="00BF5CB6" w:rsidRDefault="00941702" w:rsidP="00941702">
      <w:pPr>
        <w:pStyle w:val="ParaNumbering"/>
        <w:rPr>
          <w:lang w:eastAsia="en-AU"/>
        </w:rPr>
      </w:pPr>
      <w:r>
        <w:rPr>
          <w:lang w:eastAsia="en-AU"/>
        </w:rPr>
        <w:t>Consistent</w:t>
      </w:r>
      <w:r w:rsidR="004F0915">
        <w:rPr>
          <w:lang w:eastAsia="en-AU"/>
        </w:rPr>
        <w:t xml:space="preserve">ly with the approach adopted in both </w:t>
      </w:r>
      <w:r w:rsidR="004F0915" w:rsidRPr="004F0915">
        <w:rPr>
          <w:i/>
          <w:lang w:eastAsia="en-AU"/>
        </w:rPr>
        <w:t>Port of Newcastle</w:t>
      </w:r>
      <w:r w:rsidR="004F0915">
        <w:rPr>
          <w:lang w:eastAsia="en-AU"/>
        </w:rPr>
        <w:t xml:space="preserve"> and </w:t>
      </w:r>
      <w:r w:rsidR="004F0915" w:rsidRPr="004F0915">
        <w:rPr>
          <w:i/>
          <w:lang w:eastAsia="en-AU"/>
        </w:rPr>
        <w:t>Pacific National</w:t>
      </w:r>
      <w:r w:rsidR="004F0915">
        <w:rPr>
          <w:lang w:eastAsia="en-AU"/>
        </w:rPr>
        <w:t xml:space="preserve">, </w:t>
      </w:r>
      <w:r>
        <w:rPr>
          <w:lang w:eastAsia="en-AU"/>
        </w:rPr>
        <w:t xml:space="preserve">the Tribunal considers that the </w:t>
      </w:r>
      <w:r w:rsidR="004F0915">
        <w:rPr>
          <w:lang w:eastAsia="en-AU"/>
        </w:rPr>
        <w:t xml:space="preserve">word </w:t>
      </w:r>
      <w:r>
        <w:rPr>
          <w:lang w:eastAsia="en-AU"/>
        </w:rPr>
        <w:t>“would” in criterion (a) should be construed in accordance with its ordinary meaning. In a civil administrative context, the word requires the decision maker to be satisfied that, if the service is declared and access given on reasonable terms and conditions, a material increase in competition will be promoted by that access.</w:t>
      </w:r>
    </w:p>
    <w:p w14:paraId="4F8D713A" w14:textId="77777777" w:rsidR="000A427B" w:rsidRDefault="000A427B" w:rsidP="00941702">
      <w:pPr>
        <w:pStyle w:val="ParaNumbering"/>
        <w:rPr>
          <w:lang w:eastAsia="en-AU"/>
        </w:rPr>
      </w:pPr>
      <w:r>
        <w:rPr>
          <w:lang w:eastAsia="en-AU"/>
        </w:rPr>
        <w:t xml:space="preserve">In the present matter, though, the Tribunal considers that the same </w:t>
      </w:r>
      <w:r w:rsidR="008511F8">
        <w:rPr>
          <w:lang w:eastAsia="en-AU"/>
        </w:rPr>
        <w:t xml:space="preserve">ultimate </w:t>
      </w:r>
      <w:r>
        <w:rPr>
          <w:lang w:eastAsia="en-AU"/>
        </w:rPr>
        <w:t xml:space="preserve">conclusion </w:t>
      </w:r>
      <w:r w:rsidR="008511F8">
        <w:rPr>
          <w:lang w:eastAsia="en-AU"/>
        </w:rPr>
        <w:t xml:space="preserve">on criterion (a) </w:t>
      </w:r>
      <w:r w:rsidR="003B580F">
        <w:rPr>
          <w:lang w:eastAsia="en-AU"/>
        </w:rPr>
        <w:t xml:space="preserve">must </w:t>
      </w:r>
      <w:r>
        <w:rPr>
          <w:lang w:eastAsia="en-AU"/>
        </w:rPr>
        <w:t xml:space="preserve">be reached whether the word “would” is interpreted as the conditional tense of the verb “will” </w:t>
      </w:r>
      <w:r w:rsidR="00AD2E2E">
        <w:rPr>
          <w:lang w:eastAsia="en-AU"/>
        </w:rPr>
        <w:t xml:space="preserve">(which, in a civil </w:t>
      </w:r>
      <w:r w:rsidR="008511F8">
        <w:rPr>
          <w:lang w:eastAsia="en-AU"/>
        </w:rPr>
        <w:t xml:space="preserve">administrative context, requires the Tribunal to be satisfied on the balance of probabilities) </w:t>
      </w:r>
      <w:r>
        <w:rPr>
          <w:lang w:eastAsia="en-AU"/>
        </w:rPr>
        <w:t xml:space="preserve">or is interpreted as including a </w:t>
      </w:r>
      <w:r w:rsidR="008511F8">
        <w:rPr>
          <w:lang w:eastAsia="en-AU"/>
        </w:rPr>
        <w:t xml:space="preserve">“significant finite </w:t>
      </w:r>
      <w:r>
        <w:rPr>
          <w:lang w:eastAsia="en-AU"/>
        </w:rPr>
        <w:t>probability</w:t>
      </w:r>
      <w:r w:rsidR="008511F8">
        <w:rPr>
          <w:lang w:eastAsia="en-AU"/>
        </w:rPr>
        <w:t>”</w:t>
      </w:r>
      <w:r>
        <w:rPr>
          <w:lang w:eastAsia="en-AU"/>
        </w:rPr>
        <w:t xml:space="preserve"> that is less than 50%.</w:t>
      </w:r>
      <w:r w:rsidR="008511F8">
        <w:rPr>
          <w:lang w:eastAsia="en-AU"/>
        </w:rPr>
        <w:t xml:space="preserve"> </w:t>
      </w:r>
    </w:p>
    <w:p w14:paraId="003D948B" w14:textId="7CFE15AC" w:rsidR="007E4068" w:rsidRDefault="007E4068" w:rsidP="007E4068">
      <w:pPr>
        <w:pStyle w:val="Heading3"/>
        <w:rPr>
          <w:lang w:eastAsia="en-AU"/>
        </w:rPr>
      </w:pPr>
      <w:bookmarkStart w:id="55" w:name="_Ref78900504"/>
      <w:r>
        <w:rPr>
          <w:lang w:eastAsia="en-AU"/>
        </w:rPr>
        <w:t xml:space="preserve">The meaning of </w:t>
      </w:r>
      <w:r w:rsidR="00C63E53">
        <w:rPr>
          <w:lang w:eastAsia="en-AU"/>
        </w:rPr>
        <w:t>“</w:t>
      </w:r>
      <w:r>
        <w:rPr>
          <w:lang w:eastAsia="en-AU"/>
        </w:rPr>
        <w:t xml:space="preserve">access </w:t>
      </w:r>
      <w:r w:rsidR="007F62F9">
        <w:rPr>
          <w:lang w:eastAsia="en-AU"/>
        </w:rPr>
        <w:t xml:space="preserve">… </w:t>
      </w:r>
      <w:r>
        <w:rPr>
          <w:lang w:eastAsia="en-AU"/>
        </w:rPr>
        <w:t>as a result of declaration</w:t>
      </w:r>
      <w:r w:rsidR="00C63E53">
        <w:rPr>
          <w:lang w:eastAsia="en-AU"/>
        </w:rPr>
        <w:t>”</w:t>
      </w:r>
      <w:bookmarkEnd w:id="55"/>
    </w:p>
    <w:p w14:paraId="55783D23" w14:textId="5911BA9A" w:rsidR="0033726C" w:rsidRDefault="007E4068" w:rsidP="00B53D64">
      <w:pPr>
        <w:pStyle w:val="ParaNumbering"/>
        <w:rPr>
          <w:lang w:eastAsia="en-AU"/>
        </w:rPr>
      </w:pPr>
      <w:r>
        <w:rPr>
          <w:lang w:eastAsia="en-AU"/>
        </w:rPr>
        <w:t>In assessing whether access (or increased access) to the service on reasonable terms and conditions as a result of declaration would promote a material increase in competition, it is necessary to assess whether access is likely to b</w:t>
      </w:r>
      <w:r w:rsidR="00FA4869">
        <w:rPr>
          <w:lang w:eastAsia="en-AU"/>
        </w:rPr>
        <w:t>e</w:t>
      </w:r>
      <w:r>
        <w:rPr>
          <w:lang w:eastAsia="en-AU"/>
        </w:rPr>
        <w:t xml:space="preserve"> available without declaration and the commercial </w:t>
      </w:r>
      <w:r w:rsidR="003E6DD3">
        <w:rPr>
          <w:lang w:eastAsia="en-AU"/>
        </w:rPr>
        <w:t>terms of such access.</w:t>
      </w:r>
      <w:r w:rsidR="00FA4869">
        <w:rPr>
          <w:lang w:eastAsia="en-AU"/>
        </w:rPr>
        <w:t xml:space="preserve"> In the present case, and as discussed below, an important part of the argument focussed upon the existing terms of access to the shipping channel service at the Port, particularly under the Producer and </w:t>
      </w:r>
      <w:r w:rsidR="003B067A">
        <w:rPr>
          <w:lang w:eastAsia="en-AU"/>
        </w:rPr>
        <w:t>Vessel Agent Pricing Deed</w:t>
      </w:r>
      <w:r w:rsidR="00FA4869">
        <w:rPr>
          <w:lang w:eastAsia="en-AU"/>
        </w:rPr>
        <w:t>s, and whether those terms of access w</w:t>
      </w:r>
      <w:r w:rsidR="003912E6">
        <w:rPr>
          <w:lang w:eastAsia="en-AU"/>
        </w:rPr>
        <w:t>ould remain available in the fut</w:t>
      </w:r>
      <w:r w:rsidR="00FA4869">
        <w:rPr>
          <w:lang w:eastAsia="en-AU"/>
        </w:rPr>
        <w:t xml:space="preserve">ure and, if they do, </w:t>
      </w:r>
      <w:r w:rsidR="003912E6">
        <w:rPr>
          <w:lang w:eastAsia="en-AU"/>
        </w:rPr>
        <w:t xml:space="preserve">the degree to which the terms will </w:t>
      </w:r>
      <w:r w:rsidR="006F7CD5">
        <w:rPr>
          <w:lang w:eastAsia="en-AU"/>
        </w:rPr>
        <w:t>constrain</w:t>
      </w:r>
      <w:r w:rsidR="003912E6">
        <w:rPr>
          <w:lang w:eastAsia="en-AU"/>
        </w:rPr>
        <w:t xml:space="preserve"> price increases in the future. </w:t>
      </w:r>
      <w:r w:rsidR="006F7CD5">
        <w:rPr>
          <w:lang w:eastAsia="en-AU"/>
        </w:rPr>
        <w:t>NSWMC submitted that there is no certainty that, in the future, PNO will continue to offer access under the terms of the Deeds and, even if it does, the terms of the Deeds a</w:t>
      </w:r>
      <w:r w:rsidR="002C460A">
        <w:rPr>
          <w:lang w:eastAsia="en-AU"/>
        </w:rPr>
        <w:t xml:space="preserve">fford no certainty as to the </w:t>
      </w:r>
      <w:r w:rsidR="00E24A0D">
        <w:rPr>
          <w:lang w:eastAsia="en-AU"/>
        </w:rPr>
        <w:t>navigation service charge</w:t>
      </w:r>
      <w:r w:rsidR="006F7CD5">
        <w:rPr>
          <w:lang w:eastAsia="en-AU"/>
        </w:rPr>
        <w:t xml:space="preserve"> and the </w:t>
      </w:r>
      <w:r w:rsidR="00E24A0D">
        <w:rPr>
          <w:lang w:eastAsia="en-AU"/>
        </w:rPr>
        <w:t>wharfage charge</w:t>
      </w:r>
      <w:r w:rsidR="006F7CD5">
        <w:rPr>
          <w:lang w:eastAsia="en-AU"/>
        </w:rPr>
        <w:t xml:space="preserve"> in the future because PNO has the ability to increase the charges. In response, </w:t>
      </w:r>
      <w:r w:rsidR="009C27D1">
        <w:rPr>
          <w:lang w:eastAsia="en-AU"/>
        </w:rPr>
        <w:t xml:space="preserve">PNO submitted </w:t>
      </w:r>
      <w:r w:rsidR="009C27D1" w:rsidRPr="009C27D1">
        <w:rPr>
          <w:lang w:eastAsia="en-AU"/>
        </w:rPr>
        <w:t xml:space="preserve">that </w:t>
      </w:r>
      <w:r w:rsidR="009C27D1">
        <w:rPr>
          <w:lang w:eastAsia="en-AU"/>
        </w:rPr>
        <w:t xml:space="preserve">the determination of access prices </w:t>
      </w:r>
      <w:r w:rsidR="00F83A3B">
        <w:rPr>
          <w:lang w:eastAsia="en-AU"/>
        </w:rPr>
        <w:t xml:space="preserve">at the Port </w:t>
      </w:r>
      <w:r w:rsidR="006F7CD5">
        <w:rPr>
          <w:lang w:eastAsia="en-AU"/>
        </w:rPr>
        <w:t xml:space="preserve">in an arbitration </w:t>
      </w:r>
      <w:r w:rsidR="009C27D1">
        <w:rPr>
          <w:lang w:eastAsia="en-AU"/>
        </w:rPr>
        <w:t xml:space="preserve">under </w:t>
      </w:r>
      <w:r w:rsidR="006F7CD5">
        <w:rPr>
          <w:lang w:eastAsia="en-AU"/>
        </w:rPr>
        <w:t xml:space="preserve">Part </w:t>
      </w:r>
      <w:r w:rsidR="006F7CD5">
        <w:rPr>
          <w:lang w:eastAsia="en-AU"/>
        </w:rPr>
        <w:lastRenderedPageBreak/>
        <w:t xml:space="preserve">IIIA as a result of </w:t>
      </w:r>
      <w:r w:rsidR="009C27D1">
        <w:rPr>
          <w:lang w:eastAsia="en-AU"/>
        </w:rPr>
        <w:t xml:space="preserve">declaration has been demonstrated to involve considerable </w:t>
      </w:r>
      <w:r w:rsidR="006F7CD5">
        <w:rPr>
          <w:lang w:eastAsia="en-AU"/>
        </w:rPr>
        <w:t xml:space="preserve">disputation and </w:t>
      </w:r>
      <w:r w:rsidR="009C27D1">
        <w:rPr>
          <w:lang w:eastAsia="en-AU"/>
        </w:rPr>
        <w:t>uncertainty</w:t>
      </w:r>
      <w:r w:rsidR="006F7CD5">
        <w:rPr>
          <w:lang w:eastAsia="en-AU"/>
        </w:rPr>
        <w:t>, with the Glencore initiated arbitration currently before the High Court</w:t>
      </w:r>
      <w:r w:rsidR="009C27D1">
        <w:rPr>
          <w:lang w:eastAsia="en-AU"/>
        </w:rPr>
        <w:t xml:space="preserve">. Indeed, PNO submitted that </w:t>
      </w:r>
      <w:r w:rsidR="009C27D1" w:rsidRPr="009C27D1">
        <w:rPr>
          <w:lang w:eastAsia="en-AU"/>
        </w:rPr>
        <w:t xml:space="preserve">the future without declaration </w:t>
      </w:r>
      <w:r w:rsidR="009C27D1">
        <w:rPr>
          <w:lang w:eastAsia="en-AU"/>
        </w:rPr>
        <w:t xml:space="preserve">(pricing determined by the Deeds) </w:t>
      </w:r>
      <w:r w:rsidR="009C27D1" w:rsidRPr="009C27D1">
        <w:rPr>
          <w:lang w:eastAsia="en-AU"/>
        </w:rPr>
        <w:t>is more certain than a future with declaration</w:t>
      </w:r>
      <w:r w:rsidR="006F7CD5">
        <w:rPr>
          <w:lang w:eastAsia="en-AU"/>
        </w:rPr>
        <w:t>.</w:t>
      </w:r>
    </w:p>
    <w:p w14:paraId="00CE3ABE" w14:textId="77777777" w:rsidR="008E6D75" w:rsidRDefault="008E6D75" w:rsidP="008E6D75">
      <w:pPr>
        <w:pStyle w:val="ParaNumbering"/>
        <w:rPr>
          <w:lang w:eastAsia="en-AU"/>
        </w:rPr>
      </w:pPr>
      <w:r>
        <w:rPr>
          <w:lang w:eastAsia="en-AU"/>
        </w:rPr>
        <w:t xml:space="preserve">In the </w:t>
      </w:r>
      <w:r w:rsidR="006C5CE9">
        <w:rPr>
          <w:lang w:eastAsia="en-AU"/>
        </w:rPr>
        <w:t xml:space="preserve">NCC </w:t>
      </w:r>
      <w:r>
        <w:rPr>
          <w:lang w:eastAsia="en-AU"/>
        </w:rPr>
        <w:t xml:space="preserve">Recommendation, the NCC observed that </w:t>
      </w:r>
      <w:r w:rsidRPr="008E6D75">
        <w:rPr>
          <w:lang w:eastAsia="en-AU"/>
        </w:rPr>
        <w:t xml:space="preserve">there is a degree of uncertainty regarding precisely what terms and conditions, including price, of access might be set for the </w:t>
      </w:r>
      <w:r>
        <w:rPr>
          <w:lang w:eastAsia="en-AU"/>
        </w:rPr>
        <w:t>shipping channel s</w:t>
      </w:r>
      <w:r w:rsidRPr="008E6D75">
        <w:rPr>
          <w:lang w:eastAsia="en-AU"/>
        </w:rPr>
        <w:t xml:space="preserve">ervice </w:t>
      </w:r>
      <w:r>
        <w:rPr>
          <w:lang w:eastAsia="en-AU"/>
        </w:rPr>
        <w:t>as a result of</w:t>
      </w:r>
      <w:r w:rsidRPr="008E6D75">
        <w:rPr>
          <w:lang w:eastAsia="en-AU"/>
        </w:rPr>
        <w:t xml:space="preserve"> declaration </w:t>
      </w:r>
      <w:r>
        <w:rPr>
          <w:lang w:eastAsia="en-AU"/>
        </w:rPr>
        <w:t>(at [7.78]). To some extent, the NCC appears to have taken that into account as a factor in applying criterion (a).</w:t>
      </w:r>
    </w:p>
    <w:p w14:paraId="02B0306B" w14:textId="77777777" w:rsidR="00DA66A9" w:rsidRDefault="00EF2690" w:rsidP="00DA66A9">
      <w:pPr>
        <w:pStyle w:val="ParaNumbering"/>
        <w:rPr>
          <w:lang w:eastAsia="en-AU"/>
        </w:rPr>
      </w:pPr>
      <w:r>
        <w:rPr>
          <w:lang w:eastAsia="en-AU"/>
        </w:rPr>
        <w:t>The Tribunal considers that criterion (a) does not permit the comparison advocated by PNO</w:t>
      </w:r>
      <w:r w:rsidR="00562AC6">
        <w:rPr>
          <w:lang w:eastAsia="en-AU"/>
        </w:rPr>
        <w:t xml:space="preserve"> and seemingly adopted by the NCC</w:t>
      </w:r>
      <w:r>
        <w:rPr>
          <w:lang w:eastAsia="en-AU"/>
        </w:rPr>
        <w:t xml:space="preserve">. </w:t>
      </w:r>
      <w:r w:rsidR="00A92A03">
        <w:rPr>
          <w:lang w:eastAsia="en-AU"/>
        </w:rPr>
        <w:t xml:space="preserve">The position would be different if the criterion referred to whether “declaration” or “access as a result of declaration” would promote a material increase in competition. Instead, the criterion refers to access on reasonable terms and conditions as a result of declaration. </w:t>
      </w:r>
      <w:r>
        <w:rPr>
          <w:lang w:eastAsia="en-AU"/>
        </w:rPr>
        <w:t xml:space="preserve">The assumption inherent in the language of criterion (a) is that declaration will result in access to the relevant service </w:t>
      </w:r>
      <w:r w:rsidR="00DA66A9">
        <w:rPr>
          <w:lang w:eastAsia="en-AU"/>
        </w:rPr>
        <w:t xml:space="preserve">on reasonable terms and conditions. The phrase “on reasonable terms and conditions” is not defined in the Act. The </w:t>
      </w:r>
      <w:r w:rsidR="006C5CE9" w:rsidRPr="002B1C14">
        <w:rPr>
          <w:lang w:eastAsia="en-AU"/>
        </w:rPr>
        <w:t>Competition Policy Review Explanatory Memorandum</w:t>
      </w:r>
      <w:r w:rsidR="006C5CE9" w:rsidRPr="00155F5D" w:rsidDel="006C5CE9">
        <w:rPr>
          <w:lang w:eastAsia="en-AU"/>
        </w:rPr>
        <w:t xml:space="preserve"> </w:t>
      </w:r>
      <w:r w:rsidR="00DA66A9" w:rsidRPr="006C5CE9">
        <w:rPr>
          <w:lang w:eastAsia="en-AU"/>
        </w:rPr>
        <w:t>stated (at [12.21]):</w:t>
      </w:r>
    </w:p>
    <w:p w14:paraId="3C3E1E7D" w14:textId="77777777" w:rsidR="00EF2690" w:rsidRDefault="00DA66A9" w:rsidP="00DA66A9">
      <w:pPr>
        <w:pStyle w:val="Quote1"/>
        <w:rPr>
          <w:lang w:eastAsia="en-AU"/>
        </w:rPr>
      </w:pPr>
      <w:r>
        <w:rPr>
          <w:lang w:eastAsia="en-AU"/>
        </w:rPr>
        <w:t>This is an objective test that may involve consideration of market conditions. It does not require that the Council or Minister come to a view on the outcomes of a Part IIIA negotiation or arbitration. The requirement that access is on reasonable terms and conditions is intended to minimise the detriment to competition in dependent markets that may otherwise be caused by the exploitation of monopoly power. Reasonable terms and conditions include those necessary to protect the legitimate interests of the owner of the facility.</w:t>
      </w:r>
    </w:p>
    <w:p w14:paraId="3624676E" w14:textId="77777777" w:rsidR="000C7E42" w:rsidRDefault="00DA66A9" w:rsidP="00DA66A9">
      <w:pPr>
        <w:pStyle w:val="ParaNumbering"/>
        <w:rPr>
          <w:lang w:eastAsia="en-AU"/>
        </w:rPr>
      </w:pPr>
      <w:r>
        <w:rPr>
          <w:lang w:eastAsia="en-AU"/>
        </w:rPr>
        <w:t xml:space="preserve">While experience </w:t>
      </w:r>
      <w:r w:rsidR="004F2B51">
        <w:rPr>
          <w:lang w:eastAsia="en-AU"/>
        </w:rPr>
        <w:t>shows</w:t>
      </w:r>
      <w:r>
        <w:rPr>
          <w:lang w:eastAsia="en-AU"/>
        </w:rPr>
        <w:t xml:space="preserve"> that access as a result of declaration </w:t>
      </w:r>
      <w:r w:rsidR="004F2B51">
        <w:rPr>
          <w:lang w:eastAsia="en-AU"/>
        </w:rPr>
        <w:t>may involve considerable disputation</w:t>
      </w:r>
      <w:r w:rsidR="000C7E42">
        <w:rPr>
          <w:lang w:eastAsia="en-AU"/>
        </w:rPr>
        <w:t xml:space="preserve"> with resulting delays and cost</w:t>
      </w:r>
      <w:r w:rsidR="004F2B51">
        <w:rPr>
          <w:lang w:eastAsia="en-AU"/>
        </w:rPr>
        <w:t xml:space="preserve">, criterion (a) requires the decision maker to assume that declaration will result in access on reasonable terms and conditions. </w:t>
      </w:r>
      <w:r w:rsidR="003E5F7E">
        <w:rPr>
          <w:lang w:eastAsia="en-AU"/>
        </w:rPr>
        <w:t xml:space="preserve">In relation to price terms, the appropriate assumption is that prices would be determined in accordance with the principles specified in Division 3 of Part IIIA (specifically, s 44X) and would provide the facility owner with a normal expected rate of return. </w:t>
      </w:r>
      <w:r w:rsidR="004F2B51">
        <w:rPr>
          <w:lang w:eastAsia="en-AU"/>
        </w:rPr>
        <w:t xml:space="preserve">The matter that must be assessed is whether that outcome, which is to be assumed, will promote a material increase in competition. The enquiry necessarily focusses on </w:t>
      </w:r>
      <w:r w:rsidR="000C7E42">
        <w:rPr>
          <w:lang w:eastAsia="en-AU"/>
        </w:rPr>
        <w:t xml:space="preserve">the future market </w:t>
      </w:r>
      <w:r w:rsidR="00023776">
        <w:rPr>
          <w:lang w:eastAsia="en-AU"/>
        </w:rPr>
        <w:t xml:space="preserve">and commercial </w:t>
      </w:r>
      <w:r w:rsidR="000C7E42">
        <w:rPr>
          <w:lang w:eastAsia="en-AU"/>
        </w:rPr>
        <w:t xml:space="preserve">circumstances without declaration (in particular, </w:t>
      </w:r>
      <w:r w:rsidR="004F2B51">
        <w:rPr>
          <w:lang w:eastAsia="en-AU"/>
        </w:rPr>
        <w:t xml:space="preserve">whether </w:t>
      </w:r>
      <w:r w:rsidR="000C7E42">
        <w:rPr>
          <w:lang w:eastAsia="en-AU"/>
        </w:rPr>
        <w:t>access is likely to be available and the likely terms of access) in order to assess whether access as a result of declaration would promote a ma</w:t>
      </w:r>
      <w:r w:rsidR="00692F11">
        <w:rPr>
          <w:lang w:eastAsia="en-AU"/>
        </w:rPr>
        <w:t>terial increase in competition.</w:t>
      </w:r>
    </w:p>
    <w:p w14:paraId="2DA0B32A" w14:textId="77777777" w:rsidR="000C7E42" w:rsidRDefault="000C7E42" w:rsidP="00651C23">
      <w:pPr>
        <w:pStyle w:val="ParaNumbering"/>
        <w:rPr>
          <w:lang w:eastAsia="en-AU"/>
        </w:rPr>
      </w:pPr>
      <w:r>
        <w:rPr>
          <w:lang w:eastAsia="en-AU"/>
        </w:rPr>
        <w:lastRenderedPageBreak/>
        <w:t>For those reasons, the Tribunal has had no regard to arguments concerning the uncertainty of future access terms and conditions as a result of declaration. The Tribunal makes the assumption that such access terms and conditions will be determined and will be reasonable.</w:t>
      </w:r>
      <w:r w:rsidR="00467F87">
        <w:rPr>
          <w:lang w:eastAsia="en-AU"/>
        </w:rPr>
        <w:t xml:space="preserve"> </w:t>
      </w:r>
      <w:r>
        <w:rPr>
          <w:lang w:eastAsia="en-AU"/>
        </w:rPr>
        <w:t xml:space="preserve">The Tribunal notes for completeness, though, that the </w:t>
      </w:r>
      <w:r w:rsidR="00467F87">
        <w:rPr>
          <w:lang w:eastAsia="en-AU"/>
        </w:rPr>
        <w:t xml:space="preserve">delay and costs associated with disputes over the terms and conditions of access under Part IIIA are not ignored in the declaration criteria. Section 44CA(3)(b) requires the decision maker, in the context of assessing criterion (d) (promotion of the public interest) to have regard to </w:t>
      </w:r>
      <w:r w:rsidR="00467F87" w:rsidRPr="00467F87">
        <w:rPr>
          <w:lang w:eastAsia="en-AU"/>
        </w:rPr>
        <w:t>the administrative and compliance costs that would be incurred by the provider of the service if the service is declared</w:t>
      </w:r>
      <w:r w:rsidR="00467F87">
        <w:rPr>
          <w:lang w:eastAsia="en-AU"/>
        </w:rPr>
        <w:t>.</w:t>
      </w:r>
    </w:p>
    <w:p w14:paraId="090621AF" w14:textId="77777777" w:rsidR="00DF029A" w:rsidRDefault="00DF029A" w:rsidP="00DF029A">
      <w:pPr>
        <w:pStyle w:val="Heading3"/>
        <w:rPr>
          <w:lang w:eastAsia="en-AU"/>
        </w:rPr>
      </w:pPr>
      <w:bookmarkStart w:id="56" w:name="_Ref78900505"/>
      <w:r>
        <w:rPr>
          <w:lang w:eastAsia="en-AU"/>
        </w:rPr>
        <w:t>The time horizon</w:t>
      </w:r>
      <w:bookmarkEnd w:id="56"/>
    </w:p>
    <w:p w14:paraId="4B46FEBB" w14:textId="77777777" w:rsidR="00DF029A" w:rsidRDefault="00692F11" w:rsidP="002E0009">
      <w:pPr>
        <w:pStyle w:val="ParaNumbering"/>
        <w:rPr>
          <w:lang w:eastAsia="en-AU"/>
        </w:rPr>
      </w:pPr>
      <w:r>
        <w:rPr>
          <w:lang w:eastAsia="en-AU"/>
        </w:rPr>
        <w:t xml:space="preserve">Any evaluation of markets, competition and the expected behaviour of economic actors depends upon the time horizon specified for the evaluation. </w:t>
      </w:r>
      <w:r w:rsidR="00DF029A">
        <w:rPr>
          <w:lang w:eastAsia="en-AU"/>
        </w:rPr>
        <w:t>The parties did not address the Tribunal as to the time horizon that is relevant to the assessment of criterion (a), but the Tribunal considers it important to be clear about the time horizon to be applied in its evaluation.</w:t>
      </w:r>
      <w:r w:rsidR="001138B3">
        <w:rPr>
          <w:lang w:eastAsia="en-AU"/>
        </w:rPr>
        <w:t xml:space="preserve"> The criterion requires that access as a result of declaration would promote a material increase in competition in a dependent market, which requires that the conditions, opportunities or environment for competition </w:t>
      </w:r>
      <w:r w:rsidR="007D4E85">
        <w:rPr>
          <w:lang w:eastAsia="en-AU"/>
        </w:rPr>
        <w:t xml:space="preserve">are </w:t>
      </w:r>
      <w:r w:rsidR="001138B3">
        <w:rPr>
          <w:lang w:eastAsia="en-AU"/>
        </w:rPr>
        <w:t>improved in more than a trivial way. The criterion is necessarily forward looking and invites the question: over what time horizon should the potential for improvement be assessed?</w:t>
      </w:r>
    </w:p>
    <w:p w14:paraId="7DA722B2" w14:textId="77777777" w:rsidR="004204CF" w:rsidRDefault="004204CF" w:rsidP="004204CF">
      <w:pPr>
        <w:pStyle w:val="ParaNumbering"/>
        <w:rPr>
          <w:lang w:eastAsia="en-AU"/>
        </w:rPr>
      </w:pPr>
      <w:r>
        <w:rPr>
          <w:lang w:eastAsia="en-AU"/>
        </w:rPr>
        <w:t>The NCC expressed the view (at [4.23]) that “</w:t>
      </w:r>
      <w:r w:rsidRPr="004204CF">
        <w:rPr>
          <w:lang w:eastAsia="en-AU"/>
        </w:rPr>
        <w:t>when making judgements about likely future conditions and the environment for competition, it is necessary to look beyond short-term static effects</w:t>
      </w:r>
      <w:r>
        <w:rPr>
          <w:lang w:eastAsia="en-AU"/>
        </w:rPr>
        <w:t>” and that “</w:t>
      </w:r>
      <w:r w:rsidRPr="004204CF">
        <w:rPr>
          <w:lang w:eastAsia="en-AU"/>
        </w:rPr>
        <w:t>it is appropriate to consider the effects of declaration on investment incentives in dependent markets and for the service provider, and the effects of foreseeable changes in technology and/or market conditions</w:t>
      </w:r>
      <w:r>
        <w:rPr>
          <w:lang w:eastAsia="en-AU"/>
        </w:rPr>
        <w:t>”. The Tribunal agrees with that view.</w:t>
      </w:r>
    </w:p>
    <w:p w14:paraId="0FEB13E8" w14:textId="77777777" w:rsidR="00E143A0" w:rsidRDefault="001138B3" w:rsidP="002E0009">
      <w:pPr>
        <w:pStyle w:val="ParaNumbering"/>
        <w:rPr>
          <w:lang w:eastAsia="en-AU"/>
        </w:rPr>
      </w:pPr>
      <w:r>
        <w:rPr>
          <w:lang w:eastAsia="en-AU"/>
        </w:rPr>
        <w:t>The economic issues with which Part IIIA is concerned indicates that the time horizon relevant to the assessment is across the medium term. By “across”, we mean that the effects of declaration should be assessed having regard to the present market conditions</w:t>
      </w:r>
      <w:r w:rsidR="00E143A0">
        <w:rPr>
          <w:lang w:eastAsia="en-AU"/>
        </w:rPr>
        <w:t>, opportunities</w:t>
      </w:r>
      <w:r w:rsidR="00673308">
        <w:rPr>
          <w:lang w:eastAsia="en-AU"/>
        </w:rPr>
        <w:t xml:space="preserve"> </w:t>
      </w:r>
      <w:r>
        <w:rPr>
          <w:lang w:eastAsia="en-AU"/>
        </w:rPr>
        <w:t>and environment and forecasting how those conditions</w:t>
      </w:r>
      <w:r w:rsidR="00E143A0">
        <w:rPr>
          <w:lang w:eastAsia="en-AU"/>
        </w:rPr>
        <w:t>, opportunities</w:t>
      </w:r>
      <w:r>
        <w:rPr>
          <w:lang w:eastAsia="en-AU"/>
        </w:rPr>
        <w:t xml:space="preserve"> and environment may evolve and change into the medium term</w:t>
      </w:r>
      <w:r w:rsidR="00E143A0">
        <w:rPr>
          <w:lang w:eastAsia="en-AU"/>
        </w:rPr>
        <w:t xml:space="preserve"> with and without declaration</w:t>
      </w:r>
      <w:r>
        <w:rPr>
          <w:lang w:eastAsia="en-AU"/>
        </w:rPr>
        <w:t>.</w:t>
      </w:r>
      <w:r w:rsidR="00E143A0">
        <w:rPr>
          <w:lang w:eastAsia="en-AU"/>
        </w:rPr>
        <w:t xml:space="preserve"> </w:t>
      </w:r>
      <w:r w:rsidR="00025396">
        <w:rPr>
          <w:lang w:eastAsia="en-AU"/>
        </w:rPr>
        <w:t xml:space="preserve">The object of Part IIIA is economic: to </w:t>
      </w:r>
      <w:r w:rsidR="00025396" w:rsidRPr="00025396">
        <w:rPr>
          <w:lang w:eastAsia="en-AU"/>
        </w:rPr>
        <w:t xml:space="preserve">promote the economically efficient operation of, use of and investment in the infrastructure by which services are provided, thereby promoting effective competition in </w:t>
      </w:r>
      <w:r w:rsidR="003E5F7E">
        <w:rPr>
          <w:lang w:eastAsia="en-AU"/>
        </w:rPr>
        <w:t>dependent</w:t>
      </w:r>
      <w:r w:rsidR="00025396" w:rsidRPr="00025396">
        <w:rPr>
          <w:lang w:eastAsia="en-AU"/>
        </w:rPr>
        <w:t xml:space="preserve"> markets</w:t>
      </w:r>
      <w:r w:rsidR="00025396">
        <w:rPr>
          <w:lang w:eastAsia="en-AU"/>
        </w:rPr>
        <w:t xml:space="preserve">. The infrastructure liable to declaration under Part IIIA is typically long-lived. </w:t>
      </w:r>
      <w:r w:rsidR="004077F8">
        <w:rPr>
          <w:lang w:eastAsia="en-AU"/>
        </w:rPr>
        <w:t>Most significantly, changes in t</w:t>
      </w:r>
      <w:r w:rsidR="00025396">
        <w:rPr>
          <w:lang w:eastAsia="en-AU"/>
        </w:rPr>
        <w:t xml:space="preserve">he terms of access to the infrastructure </w:t>
      </w:r>
      <w:r w:rsidR="004077F8">
        <w:rPr>
          <w:lang w:eastAsia="en-AU"/>
        </w:rPr>
        <w:t xml:space="preserve">may not have </w:t>
      </w:r>
      <w:r w:rsidR="004077F8">
        <w:rPr>
          <w:lang w:eastAsia="en-AU"/>
        </w:rPr>
        <w:lastRenderedPageBreak/>
        <w:t xml:space="preserve">immediate effects on competition in dependent markets and may only </w:t>
      </w:r>
      <w:r w:rsidR="00025396">
        <w:rPr>
          <w:lang w:eastAsia="en-AU"/>
        </w:rPr>
        <w:t xml:space="preserve">have </w:t>
      </w:r>
      <w:r w:rsidR="004077F8">
        <w:rPr>
          <w:lang w:eastAsia="en-AU"/>
        </w:rPr>
        <w:t>effects in the medium term.</w:t>
      </w:r>
      <w:r w:rsidR="00627626">
        <w:rPr>
          <w:lang w:eastAsia="en-AU"/>
        </w:rPr>
        <w:t xml:space="preserve"> </w:t>
      </w:r>
      <w:r w:rsidR="000E4871">
        <w:rPr>
          <w:lang w:eastAsia="en-AU"/>
        </w:rPr>
        <w:t>This is because firms in dependent markets may have sunk costs.</w:t>
      </w:r>
      <w:r w:rsidR="00CD1987">
        <w:rPr>
          <w:lang w:eastAsia="en-AU"/>
        </w:rPr>
        <w:t xml:space="preserve"> Provided the terms of access d</w:t>
      </w:r>
      <w:r w:rsidR="00430A4E">
        <w:rPr>
          <w:lang w:eastAsia="en-AU"/>
        </w:rPr>
        <w:t>o</w:t>
      </w:r>
      <w:r w:rsidR="000E4871">
        <w:rPr>
          <w:lang w:eastAsia="en-AU"/>
        </w:rPr>
        <w:t xml:space="preserve"> not result in </w:t>
      </w:r>
      <w:r w:rsidR="00B42592">
        <w:rPr>
          <w:lang w:eastAsia="en-AU"/>
        </w:rPr>
        <w:t>dependent market</w:t>
      </w:r>
      <w:r w:rsidR="000E4871">
        <w:rPr>
          <w:lang w:eastAsia="en-AU"/>
        </w:rPr>
        <w:t xml:space="preserve"> firms</w:t>
      </w:r>
      <w:r w:rsidR="00B42592">
        <w:rPr>
          <w:lang w:eastAsia="en-AU"/>
        </w:rPr>
        <w:t>’</w:t>
      </w:r>
      <w:r w:rsidR="000E4871">
        <w:rPr>
          <w:lang w:eastAsia="en-AU"/>
        </w:rPr>
        <w:t xml:space="preserve"> marginal costs exceeding </w:t>
      </w:r>
      <w:r w:rsidR="00B42592">
        <w:rPr>
          <w:lang w:eastAsia="en-AU"/>
        </w:rPr>
        <w:t>their</w:t>
      </w:r>
      <w:r w:rsidR="000E4871">
        <w:rPr>
          <w:lang w:eastAsia="en-AU"/>
        </w:rPr>
        <w:t xml:space="preserve"> marginal revenues, the terms may have no immediate effect on </w:t>
      </w:r>
      <w:r w:rsidR="00B42592">
        <w:rPr>
          <w:lang w:eastAsia="en-AU"/>
        </w:rPr>
        <w:t>existing</w:t>
      </w:r>
      <w:r w:rsidR="000E4871">
        <w:rPr>
          <w:lang w:eastAsia="en-AU"/>
        </w:rPr>
        <w:t xml:space="preserve"> firms</w:t>
      </w:r>
      <w:r w:rsidR="00B42592">
        <w:rPr>
          <w:lang w:eastAsia="en-AU"/>
        </w:rPr>
        <w:t>’</w:t>
      </w:r>
      <w:r w:rsidR="000E4871">
        <w:rPr>
          <w:lang w:eastAsia="en-AU"/>
        </w:rPr>
        <w:t xml:space="preserve"> consumption or production decisions. However, over the medium term, the terms of access may decrease </w:t>
      </w:r>
      <w:r w:rsidR="00B42592">
        <w:rPr>
          <w:lang w:eastAsia="en-AU"/>
        </w:rPr>
        <w:t xml:space="preserve">the existing firms’ </w:t>
      </w:r>
      <w:r w:rsidR="000E4871">
        <w:rPr>
          <w:lang w:eastAsia="en-AU"/>
        </w:rPr>
        <w:t xml:space="preserve">incentives to undertake further investment </w:t>
      </w:r>
      <w:r w:rsidR="00B42592">
        <w:rPr>
          <w:lang w:eastAsia="en-AU"/>
        </w:rPr>
        <w:t xml:space="preserve">or otherwise increase consumption and production </w:t>
      </w:r>
      <w:r w:rsidR="000E4871">
        <w:rPr>
          <w:lang w:eastAsia="en-AU"/>
        </w:rPr>
        <w:t>in the dependent market</w:t>
      </w:r>
      <w:r w:rsidR="00B42592">
        <w:rPr>
          <w:lang w:eastAsia="en-AU"/>
        </w:rPr>
        <w:t xml:space="preserve"> and may deter entry</w:t>
      </w:r>
      <w:r w:rsidR="00430A4E">
        <w:rPr>
          <w:lang w:eastAsia="en-AU"/>
        </w:rPr>
        <w:t xml:space="preserve"> by new firms</w:t>
      </w:r>
      <w:r w:rsidR="000E4871">
        <w:rPr>
          <w:lang w:eastAsia="en-AU"/>
        </w:rPr>
        <w:t>.</w:t>
      </w:r>
      <w:r w:rsidR="00673308">
        <w:rPr>
          <w:lang w:eastAsia="en-AU"/>
        </w:rPr>
        <w:t xml:space="preserve"> </w:t>
      </w:r>
    </w:p>
    <w:p w14:paraId="48676DE4" w14:textId="77777777" w:rsidR="001138B3" w:rsidRPr="00DF029A" w:rsidRDefault="00E143A0" w:rsidP="002E0009">
      <w:pPr>
        <w:pStyle w:val="ParaNumbering"/>
        <w:rPr>
          <w:lang w:eastAsia="en-AU"/>
        </w:rPr>
      </w:pPr>
      <w:r>
        <w:rPr>
          <w:lang w:eastAsia="en-AU"/>
        </w:rPr>
        <w:t>What constitutes the medium term in a given case may vary depending on the characteristics of the industries that are the subject of consideration. However, we consider that the assessment of the medium term should be guided by one practical consideration: over what time period is it feasible to make reasonable predictions about the conditions, opportunities or environment for competition in relevant</w:t>
      </w:r>
      <w:r w:rsidR="000E4871">
        <w:rPr>
          <w:lang w:eastAsia="en-AU"/>
        </w:rPr>
        <w:t xml:space="preserve"> dependent</w:t>
      </w:r>
      <w:r>
        <w:rPr>
          <w:lang w:eastAsia="en-AU"/>
        </w:rPr>
        <w:t xml:space="preserve"> markets</w:t>
      </w:r>
      <w:r w:rsidR="004A2E8A">
        <w:rPr>
          <w:lang w:eastAsia="en-AU"/>
        </w:rPr>
        <w:t xml:space="preserve"> with and without declaration</w:t>
      </w:r>
      <w:r w:rsidR="0092640F">
        <w:rPr>
          <w:lang w:eastAsia="en-AU"/>
        </w:rPr>
        <w:t>?</w:t>
      </w:r>
      <w:r w:rsidR="000E4871">
        <w:rPr>
          <w:lang w:eastAsia="en-AU"/>
        </w:rPr>
        <w:t xml:space="preserve"> In the present proceeding, the Tribunal defines the medium term as 10 to 15 years. In that regard, it should be noted that the refusal of declaration at a given point in time, based on the information available to the decision-maker at that point in time, does not preclude future applications for declaration. Indeed, there is no legislative restriction on the number of applications that can be made over time. </w:t>
      </w:r>
      <w:r w:rsidR="004A2E8A">
        <w:rPr>
          <w:lang w:eastAsia="en-AU"/>
        </w:rPr>
        <w:t xml:space="preserve">Accordingly, if the </w:t>
      </w:r>
      <w:r w:rsidR="00430A4E">
        <w:rPr>
          <w:lang w:eastAsia="en-AU"/>
        </w:rPr>
        <w:t>decision-maker</w:t>
      </w:r>
      <w:r w:rsidR="004A2E8A">
        <w:rPr>
          <w:lang w:eastAsia="en-AU"/>
        </w:rPr>
        <w:t xml:space="preserve">’s predictions about the conditions, opportunities or environment for competition in relevant dependent markets with and without declaration across the medium term prove to be inaccurate, an access seeker may apply again for declaration of the relevant service. Contrary to a submission advanced by NSWMC, an access seeker should feel no lack of confidence in making </w:t>
      </w:r>
      <w:r w:rsidR="00B42592">
        <w:rPr>
          <w:lang w:eastAsia="en-AU"/>
        </w:rPr>
        <w:t>a future</w:t>
      </w:r>
      <w:r w:rsidR="004A2E8A">
        <w:rPr>
          <w:lang w:eastAsia="en-AU"/>
        </w:rPr>
        <w:t xml:space="preserve"> application if it can be demonstrated that the behaviour of the facility owner, or some aspect of the conditions, opportunities or environment for competition in relevant dependent markets, are materially different from that </w:t>
      </w:r>
      <w:r w:rsidR="003E5F7E">
        <w:rPr>
          <w:lang w:eastAsia="en-AU"/>
        </w:rPr>
        <w:t xml:space="preserve">previously </w:t>
      </w:r>
      <w:r w:rsidR="004A2E8A">
        <w:rPr>
          <w:lang w:eastAsia="en-AU"/>
        </w:rPr>
        <w:t>predicted.</w:t>
      </w:r>
    </w:p>
    <w:p w14:paraId="42EFB006" w14:textId="77777777" w:rsidR="00450569" w:rsidRDefault="00450569" w:rsidP="00206A79">
      <w:pPr>
        <w:pStyle w:val="Heading2"/>
        <w:rPr>
          <w:lang w:eastAsia="en-AU"/>
        </w:rPr>
      </w:pPr>
      <w:bookmarkStart w:id="57" w:name="_Ref78900506"/>
      <w:r>
        <w:rPr>
          <w:lang w:eastAsia="en-AU"/>
        </w:rPr>
        <w:t>How access may affect the conditions and environment for competition</w:t>
      </w:r>
      <w:r w:rsidR="00A670F3">
        <w:rPr>
          <w:lang w:eastAsia="en-AU"/>
        </w:rPr>
        <w:t xml:space="preserve"> in dependent markets</w:t>
      </w:r>
      <w:bookmarkEnd w:id="57"/>
    </w:p>
    <w:p w14:paraId="0040BB1D" w14:textId="77777777" w:rsidR="00171BD9" w:rsidRDefault="00256444" w:rsidP="00A670F3">
      <w:pPr>
        <w:pStyle w:val="ParaNumbering"/>
        <w:rPr>
          <w:lang w:eastAsia="en-AU"/>
        </w:rPr>
      </w:pPr>
      <w:r>
        <w:rPr>
          <w:lang w:eastAsia="en-AU"/>
        </w:rPr>
        <w:t>Part IIIA of the Act was first enacted in response to recommendations made in Chapter 11 of the 1993 report of the Independent Committee of Inquiry into a National Competition Policy (the ‘</w:t>
      </w:r>
      <w:proofErr w:type="spellStart"/>
      <w:r>
        <w:rPr>
          <w:lang w:eastAsia="en-AU"/>
        </w:rPr>
        <w:t>Hilmer</w:t>
      </w:r>
      <w:proofErr w:type="spellEnd"/>
      <w:r>
        <w:rPr>
          <w:lang w:eastAsia="en-AU"/>
        </w:rPr>
        <w:t xml:space="preserve"> Report’). That chapter explained</w:t>
      </w:r>
      <w:r w:rsidR="00195D19">
        <w:rPr>
          <w:lang w:eastAsia="en-AU"/>
        </w:rPr>
        <w:t xml:space="preserve"> (at p 239)</w:t>
      </w:r>
      <w:r>
        <w:rPr>
          <w:lang w:eastAsia="en-AU"/>
        </w:rPr>
        <w:t xml:space="preserve"> that some economic activities exhibit natural monopoly characteristics, in</w:t>
      </w:r>
      <w:r w:rsidR="00A670F3">
        <w:rPr>
          <w:lang w:eastAsia="en-AU"/>
        </w:rPr>
        <w:t xml:space="preserve"> </w:t>
      </w:r>
      <w:r>
        <w:rPr>
          <w:lang w:eastAsia="en-AU"/>
        </w:rPr>
        <w:t>the sense that they cannot be duplicated economically</w:t>
      </w:r>
      <w:r w:rsidR="00A670F3">
        <w:rPr>
          <w:lang w:eastAsia="en-AU"/>
        </w:rPr>
        <w:t xml:space="preserve">, and occupy strategic positions in an industry such that access to the facility is required if a business is to be able to compete effectively in upstream or downstream markets. The </w:t>
      </w:r>
      <w:proofErr w:type="spellStart"/>
      <w:r w:rsidR="00A670F3">
        <w:rPr>
          <w:lang w:eastAsia="en-AU"/>
        </w:rPr>
        <w:t>Hilmer</w:t>
      </w:r>
      <w:proofErr w:type="spellEnd"/>
      <w:r w:rsidR="00A670F3">
        <w:rPr>
          <w:lang w:eastAsia="en-AU"/>
        </w:rPr>
        <w:t xml:space="preserve"> Report </w:t>
      </w:r>
      <w:r w:rsidR="00A670F3">
        <w:rPr>
          <w:lang w:eastAsia="en-AU"/>
        </w:rPr>
        <w:lastRenderedPageBreak/>
        <w:t xml:space="preserve">referred to facilities displaying those characteristics as </w:t>
      </w:r>
      <w:r w:rsidR="00A670F3" w:rsidRPr="00A670F3">
        <w:rPr>
          <w:lang w:eastAsia="en-AU"/>
        </w:rPr>
        <w:t>"essential facilities"</w:t>
      </w:r>
      <w:r w:rsidR="00A670F3">
        <w:rPr>
          <w:lang w:eastAsia="en-AU"/>
        </w:rPr>
        <w:t>. It is also common to use the description “bottleneck facility”, an expression we prefer to use in this matter.</w:t>
      </w:r>
    </w:p>
    <w:p w14:paraId="4E56EE59" w14:textId="6E1C300A" w:rsidR="00195D19" w:rsidRDefault="00A670F3" w:rsidP="003A6F45">
      <w:pPr>
        <w:pStyle w:val="ParaNumbering"/>
        <w:rPr>
          <w:lang w:eastAsia="en-AU"/>
        </w:rPr>
      </w:pPr>
      <w:r>
        <w:rPr>
          <w:lang w:eastAsia="en-AU"/>
        </w:rPr>
        <w:t xml:space="preserve">The </w:t>
      </w:r>
      <w:proofErr w:type="spellStart"/>
      <w:r>
        <w:rPr>
          <w:lang w:eastAsia="en-AU"/>
        </w:rPr>
        <w:t>Hilmer</w:t>
      </w:r>
      <w:proofErr w:type="spellEnd"/>
      <w:r>
        <w:rPr>
          <w:lang w:eastAsia="en-AU"/>
        </w:rPr>
        <w:t xml:space="preserve"> Report described two broad categories of economic problems that may arise with bottleneck facilities</w:t>
      </w:r>
      <w:r w:rsidR="00195D19">
        <w:rPr>
          <w:lang w:eastAsia="en-AU"/>
        </w:rPr>
        <w:t xml:space="preserve"> (at pp 240-241)</w:t>
      </w:r>
      <w:r>
        <w:rPr>
          <w:lang w:eastAsia="en-AU"/>
        </w:rPr>
        <w:t xml:space="preserve">. The first is where the owner of the facility is not competing in upstream or downstream markets. The </w:t>
      </w:r>
      <w:proofErr w:type="spellStart"/>
      <w:r>
        <w:rPr>
          <w:lang w:eastAsia="en-AU"/>
        </w:rPr>
        <w:t>Hilmer</w:t>
      </w:r>
      <w:proofErr w:type="spellEnd"/>
      <w:r>
        <w:rPr>
          <w:lang w:eastAsia="en-AU"/>
        </w:rPr>
        <w:t xml:space="preserve"> Report expressed the view that, in those circumstances, the owner of the facility will usually have little incentive to deny access. </w:t>
      </w:r>
      <w:r w:rsidR="00195D19">
        <w:rPr>
          <w:lang w:eastAsia="en-AU"/>
        </w:rPr>
        <w:t xml:space="preserve">However, the owner of the facility may be able to use its monopoly position to charge higher prices and derive monopoly profits at the expense of consumers and economic efficiency. The </w:t>
      </w:r>
      <w:proofErr w:type="spellStart"/>
      <w:r w:rsidR="00195D19">
        <w:rPr>
          <w:lang w:eastAsia="en-AU"/>
        </w:rPr>
        <w:t>Hilmer</w:t>
      </w:r>
      <w:proofErr w:type="spellEnd"/>
      <w:r w:rsidR="00195D19">
        <w:rPr>
          <w:lang w:eastAsia="en-AU"/>
        </w:rPr>
        <w:t xml:space="preserve"> Report indicated that monopoly pricing issues could be addressed, where appropriate, through price monitoring or surveillance, implying that monopoly pricing is not an issue to be addressed by the recommended access regime. We will return to that point. The second category of economic problem described in the </w:t>
      </w:r>
      <w:proofErr w:type="spellStart"/>
      <w:r w:rsidR="00195D19">
        <w:rPr>
          <w:lang w:eastAsia="en-AU"/>
        </w:rPr>
        <w:t>Hilmer</w:t>
      </w:r>
      <w:proofErr w:type="spellEnd"/>
      <w:r w:rsidR="00195D19">
        <w:rPr>
          <w:lang w:eastAsia="en-AU"/>
        </w:rPr>
        <w:t xml:space="preserve"> Report is where the owner of the facility is vertically</w:t>
      </w:r>
      <w:r w:rsidR="008762F2">
        <w:rPr>
          <w:lang w:eastAsia="en-AU"/>
        </w:rPr>
        <w:t xml:space="preserve"> </w:t>
      </w:r>
      <w:r w:rsidR="00195D19">
        <w:rPr>
          <w:lang w:eastAsia="en-AU"/>
        </w:rPr>
        <w:t xml:space="preserve">integrated with potentially competitive activities in upstream or downstream markets. The </w:t>
      </w:r>
      <w:proofErr w:type="spellStart"/>
      <w:r w:rsidR="00195D19">
        <w:rPr>
          <w:lang w:eastAsia="en-AU"/>
        </w:rPr>
        <w:t>Hilmer</w:t>
      </w:r>
      <w:proofErr w:type="spellEnd"/>
      <w:r w:rsidR="00195D19">
        <w:rPr>
          <w:lang w:eastAsia="en-AU"/>
        </w:rPr>
        <w:t xml:space="preserve"> Report expressed the view that, in those circumstances, the potential to charge monopoly prices may be combined with an incentive to inhibit competitors' access to the facility.</w:t>
      </w:r>
    </w:p>
    <w:p w14:paraId="7802A99E" w14:textId="77777777" w:rsidR="004F147E" w:rsidRDefault="004F147E" w:rsidP="004F147E">
      <w:pPr>
        <w:pStyle w:val="ParaNumbering"/>
        <w:rPr>
          <w:lang w:eastAsia="en-AU"/>
        </w:rPr>
      </w:pPr>
      <w:r>
        <w:rPr>
          <w:lang w:eastAsia="en-AU"/>
        </w:rPr>
        <w:t>T</w:t>
      </w:r>
      <w:r w:rsidRPr="00F13DA8">
        <w:rPr>
          <w:lang w:eastAsia="en-AU"/>
        </w:rPr>
        <w:t>he Productivity Commission</w:t>
      </w:r>
      <w:r>
        <w:rPr>
          <w:lang w:eastAsia="en-AU"/>
        </w:rPr>
        <w:t>, in the</w:t>
      </w:r>
      <w:r w:rsidRPr="00F13DA8">
        <w:rPr>
          <w:lang w:eastAsia="en-AU"/>
        </w:rPr>
        <w:t xml:space="preserve"> </w:t>
      </w:r>
      <w:r w:rsidRPr="002B1C14">
        <w:rPr>
          <w:lang w:eastAsia="en-AU"/>
        </w:rPr>
        <w:t>2013 Productivity Commission Report</w:t>
      </w:r>
      <w:r w:rsidRPr="00F13DA8">
        <w:rPr>
          <w:lang w:eastAsia="en-AU"/>
        </w:rPr>
        <w:t xml:space="preserve">, </w:t>
      </w:r>
      <w:r>
        <w:rPr>
          <w:lang w:eastAsia="en-AU"/>
        </w:rPr>
        <w:t>described the economic problems that may arise with bottleneck facilities in similar terms (at pp 6 – 7 ), stating:</w:t>
      </w:r>
    </w:p>
    <w:p w14:paraId="19320019" w14:textId="77777777" w:rsidR="004F147E" w:rsidRDefault="004F147E" w:rsidP="004F147E">
      <w:pPr>
        <w:pStyle w:val="Quote1"/>
        <w:rPr>
          <w:lang w:eastAsia="en-AU"/>
        </w:rPr>
      </w:pPr>
      <w:bookmarkStart w:id="58" w:name="PastedTemp70"/>
      <w:r>
        <w:rPr>
          <w:lang w:eastAsia="en-AU"/>
        </w:rPr>
        <w:t>Where there is an enduring lack of effective competition in markets for infrastructure services, a provider might deny access to, or restrict output and charge monopoly prices for, its infrastructure service. This can reduce economic efficiency where access to the service is required for third parties to compete effectively in dependent (upstream and downstream) markets. As a consequence, transactions that would enhance community wellbeing may not proceed.</w:t>
      </w:r>
    </w:p>
    <w:p w14:paraId="2E3A6F90" w14:textId="77777777" w:rsidR="004F147E" w:rsidRDefault="004F147E" w:rsidP="004F147E">
      <w:pPr>
        <w:pStyle w:val="Quote1"/>
        <w:rPr>
          <w:lang w:eastAsia="en-AU"/>
        </w:rPr>
      </w:pPr>
      <w:r>
        <w:rPr>
          <w:lang w:eastAsia="en-AU"/>
        </w:rPr>
        <w:t>Both vertically integrated and vertically separated infrastructure service providers can have an ability and incentive to engage in monopoly pricing of access.</w:t>
      </w:r>
      <w:r w:rsidR="00715826">
        <w:rPr>
          <w:lang w:eastAsia="en-AU"/>
        </w:rPr>
        <w:t xml:space="preserve"> </w:t>
      </w:r>
      <w:r>
        <w:rPr>
          <w:lang w:eastAsia="en-AU"/>
        </w:rPr>
        <w:t>Incentives to deny access to some or all access seekers will be heightened where service providers are vertically integrated — that is, where service providers also operate in markets upstream or downstream of the facility. A vertically integrated monopolist may deny access to its infrastructure services to an upstream or downstream competitor if that increases total profits across its operations.</w:t>
      </w:r>
      <w:bookmarkEnd w:id="58"/>
    </w:p>
    <w:p w14:paraId="12D6AECC" w14:textId="77777777" w:rsidR="00715826" w:rsidRDefault="00715826" w:rsidP="00715826">
      <w:pPr>
        <w:pStyle w:val="Quote1"/>
        <w:rPr>
          <w:lang w:eastAsia="en-AU"/>
        </w:rPr>
      </w:pPr>
      <w:bookmarkStart w:id="59" w:name="PastedTemp53"/>
      <w:r>
        <w:rPr>
          <w:lang w:eastAsia="en-AU"/>
        </w:rPr>
        <w:t xml:space="preserve">The only economic problem that access regulation should address is an enduring lack of effective competition, due to natural monopoly, in markets for infrastructure services where access is required for third parties to compete effectively in dependent markets. Access regulation should not be used to avoid the duplication of infrastructure per se, or to address wider social and economic issues such as income distribution or environmental concerns. </w:t>
      </w:r>
      <w:bookmarkEnd w:id="59"/>
    </w:p>
    <w:p w14:paraId="50FC8686" w14:textId="270F285C" w:rsidR="00195D19" w:rsidRDefault="00195D19" w:rsidP="00450569">
      <w:pPr>
        <w:pStyle w:val="ParaNumbering"/>
        <w:rPr>
          <w:lang w:eastAsia="en-AU"/>
        </w:rPr>
      </w:pPr>
      <w:r>
        <w:rPr>
          <w:lang w:eastAsia="en-AU"/>
        </w:rPr>
        <w:lastRenderedPageBreak/>
        <w:t>The Tribunal agrees that where the owner of a bottleneck facility is vertically</w:t>
      </w:r>
      <w:r w:rsidR="008762F2">
        <w:rPr>
          <w:lang w:eastAsia="en-AU"/>
        </w:rPr>
        <w:t xml:space="preserve"> </w:t>
      </w:r>
      <w:r>
        <w:rPr>
          <w:lang w:eastAsia="en-AU"/>
        </w:rPr>
        <w:t xml:space="preserve">integrated with potentially competitive activities in upstream or downstream markets, there may be commercial incentives to deny or restrict access to the bottleneck facility by third parties for the purpose of protecting profits in the relevant dependent market. </w:t>
      </w:r>
      <w:r w:rsidR="004F147E">
        <w:rPr>
          <w:lang w:eastAsia="en-AU"/>
        </w:rPr>
        <w:t xml:space="preserve">The denial or restriction of access may take </w:t>
      </w:r>
      <w:r w:rsidR="00715826">
        <w:rPr>
          <w:lang w:eastAsia="en-AU"/>
        </w:rPr>
        <w:t>many</w:t>
      </w:r>
      <w:r w:rsidR="004F147E">
        <w:rPr>
          <w:lang w:eastAsia="en-AU"/>
        </w:rPr>
        <w:t xml:space="preserve"> forms including: a refusal to supply access to the facility; a constructive refusal to supply access by offering a price that renders access uneconomic; imposing restrictions on access as to quantity or other terms that either render access uneconomic or that inhibit the manner and extent of access.</w:t>
      </w:r>
      <w:r w:rsidR="00715826">
        <w:rPr>
          <w:lang w:eastAsia="en-AU"/>
        </w:rPr>
        <w:t xml:space="preserve"> The denial or restriction of access may harm the conditions or environment for competition in dependent markets by preventing or limiting entry to such markets or expansion or other competitive behaviour in such markets.</w:t>
      </w:r>
    </w:p>
    <w:p w14:paraId="02C1A849" w14:textId="090B0B63" w:rsidR="00715826" w:rsidRDefault="00715826" w:rsidP="003A6F45">
      <w:pPr>
        <w:pStyle w:val="ParaNumbering"/>
        <w:rPr>
          <w:lang w:eastAsia="en-AU"/>
        </w:rPr>
      </w:pPr>
      <w:r>
        <w:rPr>
          <w:lang w:eastAsia="en-AU"/>
        </w:rPr>
        <w:t>However, and as recognised by the Productivity Commission, where the owner of a bottleneck facility is not vertically</w:t>
      </w:r>
      <w:r w:rsidR="008762F2">
        <w:rPr>
          <w:lang w:eastAsia="en-AU"/>
        </w:rPr>
        <w:t xml:space="preserve"> </w:t>
      </w:r>
      <w:r>
        <w:rPr>
          <w:lang w:eastAsia="en-AU"/>
        </w:rPr>
        <w:t xml:space="preserve">integrated, there remains the potential for the facility owner to set terms of access that harm the conditions or environment for competition in dependent markets. For example, </w:t>
      </w:r>
      <w:r w:rsidR="00C5027E">
        <w:rPr>
          <w:lang w:eastAsia="en-AU"/>
        </w:rPr>
        <w:t xml:space="preserve">in </w:t>
      </w:r>
      <w:r w:rsidR="00C5027E" w:rsidRPr="00772D22">
        <w:rPr>
          <w:i/>
          <w:lang w:eastAsia="en-AU"/>
        </w:rPr>
        <w:t>Re Sydney International Airport</w:t>
      </w:r>
      <w:r w:rsidR="00C5027E">
        <w:rPr>
          <w:lang w:eastAsia="en-AU"/>
        </w:rPr>
        <w:t xml:space="preserve">, the Tribunal considered whether a tender process by which Sydney International Airport made available access to the airport for the provision of ramp handling services (the loading and unloading of freight and passenger baggage at the aircraft on the apron) was harmful to competition in the market for such services. The Tribunal reached the conclusion that </w:t>
      </w:r>
      <w:bookmarkStart w:id="60" w:name="PastedTemp57"/>
      <w:r w:rsidR="00C5027E">
        <w:rPr>
          <w:lang w:eastAsia="en-AU"/>
        </w:rPr>
        <w:t xml:space="preserve">the treatment of </w:t>
      </w:r>
      <w:r w:rsidR="00843022">
        <w:rPr>
          <w:lang w:eastAsia="en-AU"/>
        </w:rPr>
        <w:t>incumbent suppliers in the tender process</w:t>
      </w:r>
      <w:r w:rsidR="00C5027E">
        <w:rPr>
          <w:lang w:eastAsia="en-AU"/>
        </w:rPr>
        <w:t xml:space="preserve"> biase</w:t>
      </w:r>
      <w:r w:rsidR="00843022">
        <w:rPr>
          <w:lang w:eastAsia="en-AU"/>
        </w:rPr>
        <w:t>d</w:t>
      </w:r>
      <w:r w:rsidR="00C5027E">
        <w:rPr>
          <w:lang w:eastAsia="en-AU"/>
        </w:rPr>
        <w:t xml:space="preserve"> the selection criteria towards entities with similar operating characteristics and economics as the main incumbents</w:t>
      </w:r>
      <w:r w:rsidR="00843022">
        <w:rPr>
          <w:lang w:eastAsia="en-AU"/>
        </w:rPr>
        <w:t>, which in turn</w:t>
      </w:r>
      <w:r w:rsidR="00C5027E">
        <w:rPr>
          <w:lang w:eastAsia="en-AU"/>
        </w:rPr>
        <w:t xml:space="preserve"> effectively preclude</w:t>
      </w:r>
      <w:r w:rsidR="00843022">
        <w:rPr>
          <w:lang w:eastAsia="en-AU"/>
        </w:rPr>
        <w:t>d</w:t>
      </w:r>
      <w:r w:rsidR="00C5027E">
        <w:rPr>
          <w:lang w:eastAsia="en-AU"/>
        </w:rPr>
        <w:t xml:space="preserve"> competitive entry by lower cost operators offering a novel or different mix of service and price</w:t>
      </w:r>
      <w:r w:rsidR="00843022">
        <w:rPr>
          <w:lang w:eastAsia="en-AU"/>
        </w:rPr>
        <w:t xml:space="preserve"> (at [124], [145]).</w:t>
      </w:r>
      <w:bookmarkEnd w:id="60"/>
      <w:r w:rsidR="00843022">
        <w:rPr>
          <w:lang w:eastAsia="en-AU"/>
        </w:rPr>
        <w:t xml:space="preserve"> The Tribunal ultimately concluded (at [149]) that </w:t>
      </w:r>
      <w:bookmarkStart w:id="61" w:name="PastedTemp28"/>
      <w:r w:rsidR="00843022">
        <w:rPr>
          <w:lang w:eastAsia="en-AU"/>
        </w:rPr>
        <w:t>a future with declaration offered the opportunity for a range of competitive behaviour and outcomes (in the market for ramp handling services) that were superior in depth and variety than available without declaration.</w:t>
      </w:r>
      <w:bookmarkEnd w:id="61"/>
      <w:r w:rsidR="00772D22">
        <w:rPr>
          <w:lang w:eastAsia="en-AU"/>
        </w:rPr>
        <w:t xml:space="preserve"> In </w:t>
      </w:r>
      <w:r w:rsidR="00772D22" w:rsidRPr="00772D22">
        <w:rPr>
          <w:i/>
          <w:lang w:eastAsia="en-AU"/>
        </w:rPr>
        <w:t>Re Virgin Blue</w:t>
      </w:r>
      <w:r w:rsidR="00772D22">
        <w:rPr>
          <w:lang w:eastAsia="en-AU"/>
        </w:rPr>
        <w:t xml:space="preserve">, the Tribunal considered whether Sydney Airport’s method of charging fees to airlines for airside services had discriminatory effects on the airlines (according to their different business models) and thereby harmed the conditions or environment for competition. The Tribunal reached the conclusion (at [222]) </w:t>
      </w:r>
      <w:bookmarkStart w:id="62" w:name="PastedTemp30"/>
      <w:r w:rsidR="00772D22">
        <w:rPr>
          <w:lang w:eastAsia="en-AU"/>
        </w:rPr>
        <w:t>that Sydney Airport changed the basis of its airside charges to a methodology which it had been told by Virgin Blue was inefficient and anti-competitive when it also knew that Qantas believed it would give it a competitive advantage over Virgin Blue and wanted it changed for that reason.</w:t>
      </w:r>
      <w:bookmarkEnd w:id="62"/>
      <w:r w:rsidR="00772D22">
        <w:rPr>
          <w:lang w:eastAsia="en-AU"/>
        </w:rPr>
        <w:t xml:space="preserve"> As each of </w:t>
      </w:r>
      <w:r w:rsidR="00772D22" w:rsidRPr="00772D22">
        <w:rPr>
          <w:i/>
          <w:lang w:eastAsia="en-AU"/>
        </w:rPr>
        <w:t>Re Sydney International Airport</w:t>
      </w:r>
      <w:r w:rsidR="00772D22">
        <w:rPr>
          <w:lang w:eastAsia="en-AU"/>
        </w:rPr>
        <w:t xml:space="preserve"> and </w:t>
      </w:r>
      <w:r w:rsidR="00772D22" w:rsidRPr="00772D22">
        <w:rPr>
          <w:i/>
          <w:lang w:eastAsia="en-AU"/>
        </w:rPr>
        <w:t>Re Virgin Blue</w:t>
      </w:r>
      <w:r w:rsidR="00772D22">
        <w:rPr>
          <w:lang w:eastAsia="en-AU"/>
        </w:rPr>
        <w:t xml:space="preserve"> make clear, criterion (a) does not require proof that the facility owner intended to </w:t>
      </w:r>
      <w:r w:rsidR="001E09E1">
        <w:rPr>
          <w:lang w:eastAsia="en-AU"/>
        </w:rPr>
        <w:t>harm</w:t>
      </w:r>
      <w:r w:rsidR="00772D22">
        <w:rPr>
          <w:lang w:eastAsia="en-AU"/>
        </w:rPr>
        <w:t xml:space="preserve"> the conditions or environment for competition</w:t>
      </w:r>
      <w:r w:rsidR="001E09E1">
        <w:rPr>
          <w:lang w:eastAsia="en-AU"/>
        </w:rPr>
        <w:t xml:space="preserve"> in the dependent market. The Tribunal </w:t>
      </w:r>
      <w:r w:rsidR="001E09E1">
        <w:rPr>
          <w:lang w:eastAsia="en-AU"/>
        </w:rPr>
        <w:lastRenderedPageBreak/>
        <w:t>discusses the separate question of the facility owner’s incentives to offer particular terms of access below.</w:t>
      </w:r>
    </w:p>
    <w:p w14:paraId="5A61B7AF" w14:textId="77777777" w:rsidR="001E09E1" w:rsidRDefault="001E09E1" w:rsidP="003A6F45">
      <w:pPr>
        <w:pStyle w:val="ParaNumbering"/>
        <w:rPr>
          <w:lang w:eastAsia="en-AU"/>
        </w:rPr>
      </w:pPr>
      <w:r>
        <w:rPr>
          <w:lang w:eastAsia="en-AU"/>
        </w:rPr>
        <w:t xml:space="preserve">An important question that arises in this proceeding is whether, and in what circumstances, “mere” monopoly pricing by a non-vertically integrated facility owner may harm the conditions or environment for competition in a dependent market. By “monopoly pricing”, we mean simply that the facility owner </w:t>
      </w:r>
      <w:r w:rsidRPr="001E09E1">
        <w:rPr>
          <w:lang w:eastAsia="en-AU"/>
        </w:rPr>
        <w:t xml:space="preserve">increases </w:t>
      </w:r>
      <w:r>
        <w:rPr>
          <w:lang w:eastAsia="en-AU"/>
        </w:rPr>
        <w:t xml:space="preserve">the </w:t>
      </w:r>
      <w:r w:rsidRPr="001E09E1">
        <w:rPr>
          <w:lang w:eastAsia="en-AU"/>
        </w:rPr>
        <w:t xml:space="preserve">price for access to the facility above </w:t>
      </w:r>
      <w:r>
        <w:rPr>
          <w:lang w:eastAsia="en-AU"/>
        </w:rPr>
        <w:t>that</w:t>
      </w:r>
      <w:r w:rsidRPr="001E09E1">
        <w:rPr>
          <w:lang w:eastAsia="en-AU"/>
        </w:rPr>
        <w:t xml:space="preserve"> consistent with a normal expected rate of return</w:t>
      </w:r>
      <w:r>
        <w:rPr>
          <w:lang w:eastAsia="en-AU"/>
        </w:rPr>
        <w:t>.</w:t>
      </w:r>
      <w:r w:rsidR="00CB7625">
        <w:rPr>
          <w:lang w:eastAsia="en-AU"/>
        </w:rPr>
        <w:t xml:space="preserve"> </w:t>
      </w:r>
      <w:r>
        <w:rPr>
          <w:lang w:eastAsia="en-AU"/>
        </w:rPr>
        <w:t xml:space="preserve">As noted above, the </w:t>
      </w:r>
      <w:proofErr w:type="spellStart"/>
      <w:r>
        <w:rPr>
          <w:lang w:eastAsia="en-AU"/>
        </w:rPr>
        <w:t>Hilmer</w:t>
      </w:r>
      <w:proofErr w:type="spellEnd"/>
      <w:r>
        <w:rPr>
          <w:lang w:eastAsia="en-AU"/>
        </w:rPr>
        <w:t xml:space="preserve"> Report </w:t>
      </w:r>
      <w:r w:rsidRPr="001E09E1">
        <w:rPr>
          <w:lang w:eastAsia="en-AU"/>
        </w:rPr>
        <w:t>impl</w:t>
      </w:r>
      <w:r>
        <w:rPr>
          <w:lang w:eastAsia="en-AU"/>
        </w:rPr>
        <w:t>ied</w:t>
      </w:r>
      <w:r w:rsidRPr="001E09E1">
        <w:rPr>
          <w:lang w:eastAsia="en-AU"/>
        </w:rPr>
        <w:t xml:space="preserve"> that monopoly pricing </w:t>
      </w:r>
      <w:r>
        <w:rPr>
          <w:lang w:eastAsia="en-AU"/>
        </w:rPr>
        <w:t>by a non-vertically integrated facility owner wa</w:t>
      </w:r>
      <w:r w:rsidRPr="001E09E1">
        <w:rPr>
          <w:lang w:eastAsia="en-AU"/>
        </w:rPr>
        <w:t>s not an issue to be addressed by the recommended access regime</w:t>
      </w:r>
      <w:r>
        <w:rPr>
          <w:lang w:eastAsia="en-AU"/>
        </w:rPr>
        <w:t xml:space="preserve">. However, the Productivity Commission acknowledged </w:t>
      </w:r>
      <w:r w:rsidR="00CB7625">
        <w:rPr>
          <w:lang w:eastAsia="en-AU"/>
        </w:rPr>
        <w:t>in the</w:t>
      </w:r>
      <w:r w:rsidR="00CB7625" w:rsidRPr="00F13DA8">
        <w:rPr>
          <w:lang w:eastAsia="en-AU"/>
        </w:rPr>
        <w:t xml:space="preserve"> </w:t>
      </w:r>
      <w:r w:rsidR="00CB7625" w:rsidRPr="002B1C14">
        <w:rPr>
          <w:lang w:eastAsia="en-AU"/>
        </w:rPr>
        <w:t>2013 Productivity Commission Report</w:t>
      </w:r>
      <w:r w:rsidR="00CB7625">
        <w:rPr>
          <w:lang w:eastAsia="en-AU"/>
        </w:rPr>
        <w:t xml:space="preserve"> </w:t>
      </w:r>
      <w:r>
        <w:rPr>
          <w:lang w:eastAsia="en-AU"/>
        </w:rPr>
        <w:t>that, in some circumstances, monopoly pricing may affect competition in dependent markets. Under the heading “What about monopoly pricing?”, the Productivity Commission commented (at p 173):</w:t>
      </w:r>
    </w:p>
    <w:p w14:paraId="71D09322" w14:textId="77777777" w:rsidR="001E09E1" w:rsidRDefault="001E09E1" w:rsidP="001E09E1">
      <w:pPr>
        <w:pStyle w:val="Quote1"/>
        <w:rPr>
          <w:lang w:eastAsia="en-AU"/>
        </w:rPr>
      </w:pPr>
      <w:r>
        <w:rPr>
          <w:lang w:eastAsia="en-AU"/>
        </w:rPr>
        <w:t>The Commission agrees that where the terms of access are so ‘inadequate or unreasonable’ they disrupt competition in dependent markets, the consequent efficiency losses represent a problem that access regulation should address. However, competition can be an imprecise proxy for efficiency in some circumstances, particularly with regard to monopoly pricing. This may be the case where monopoly pricing by an infrastructure service provider does not affect the level of competition in dependent markets. For example, in the Virgin Blue case, the NCC considered that even a large increase in airside service charges by Sydney Airport would not reduce demand sufficiently to cause an exit from the market or a contraction in the number of flights offered on Sydney routes such that competition would be adversely affected. It therefore recommended against declaration on the basis that it would not promote competition (NCC 2003).</w:t>
      </w:r>
    </w:p>
    <w:p w14:paraId="69A97908" w14:textId="77777777" w:rsidR="001E09E1" w:rsidRDefault="001E09E1" w:rsidP="00CB7625">
      <w:pPr>
        <w:pStyle w:val="Quote1"/>
        <w:rPr>
          <w:lang w:eastAsia="en-AU"/>
        </w:rPr>
      </w:pPr>
      <w:r>
        <w:rPr>
          <w:lang w:eastAsia="en-AU"/>
        </w:rPr>
        <w:t>The Commission considers that it is appropriate that criterion (a) — reframed to consider the effect of declaration rather than access — allows for declaration where the prevailing terms and conditions of access are so poor that they disrupt competition in another market.</w:t>
      </w:r>
    </w:p>
    <w:p w14:paraId="25952783" w14:textId="77777777" w:rsidR="00E77DC2" w:rsidRDefault="00CB7625" w:rsidP="003A6F45">
      <w:pPr>
        <w:pStyle w:val="ParaNumbering"/>
        <w:rPr>
          <w:lang w:eastAsia="en-AU"/>
        </w:rPr>
      </w:pPr>
      <w:r>
        <w:rPr>
          <w:lang w:eastAsia="en-AU"/>
        </w:rPr>
        <w:t>In this context, it is necessary to distinguish between the efficiency consequences of monopoly pricing by the facility owner and the consequences for competition in dependent markets. As the Productivity Commission observed in the passage cited earlier, an infrastructure service provider charging monopoly prices for access to their infrastructure can lead to allocative inefficiency where output in a dependent market is lessened as a result. However, the reduction in output and associated allocative inefficiency cannot be equated with a reduction in the conditions or environment for competition or competition itself.</w:t>
      </w:r>
      <w:r w:rsidR="004E6895">
        <w:rPr>
          <w:lang w:eastAsia="en-AU"/>
        </w:rPr>
        <w:t xml:space="preserve"> As observed by the Tribunal in </w:t>
      </w:r>
      <w:r w:rsidR="00E77DC2" w:rsidRPr="004E6895">
        <w:rPr>
          <w:i/>
          <w:lang w:eastAsia="en-AU"/>
        </w:rPr>
        <w:t>Re Glencore</w:t>
      </w:r>
      <w:r w:rsidR="00E77DC2">
        <w:rPr>
          <w:lang w:eastAsia="en-AU"/>
        </w:rPr>
        <w:t xml:space="preserve"> </w:t>
      </w:r>
      <w:r w:rsidR="004E6895">
        <w:rPr>
          <w:lang w:eastAsia="en-AU"/>
        </w:rPr>
        <w:t>(</w:t>
      </w:r>
      <w:r w:rsidR="00E77DC2">
        <w:rPr>
          <w:lang w:eastAsia="en-AU"/>
        </w:rPr>
        <w:t>at [133]</w:t>
      </w:r>
      <w:r w:rsidR="004E6895">
        <w:rPr>
          <w:lang w:eastAsia="en-AU"/>
        </w:rPr>
        <w:t xml:space="preserve">), </w:t>
      </w:r>
      <w:r w:rsidR="00E77DC2">
        <w:rPr>
          <w:lang w:eastAsia="en-AU"/>
        </w:rPr>
        <w:t>the effect of monopoly pricing is simply to raise the price of one of myriad input prices</w:t>
      </w:r>
      <w:r w:rsidR="004E6895">
        <w:rPr>
          <w:lang w:eastAsia="en-AU"/>
        </w:rPr>
        <w:t xml:space="preserve"> to a dependent market and, w</w:t>
      </w:r>
      <w:r w:rsidR="00E77DC2">
        <w:rPr>
          <w:lang w:eastAsia="en-AU"/>
        </w:rPr>
        <w:t>hen one of an industry’s costs goes up, there is no presumption of an adverse effect on competition.</w:t>
      </w:r>
      <w:r w:rsidR="00772D22">
        <w:rPr>
          <w:lang w:eastAsia="en-AU"/>
        </w:rPr>
        <w:t xml:space="preserve"> </w:t>
      </w:r>
      <w:r w:rsidR="004E6895">
        <w:rPr>
          <w:lang w:eastAsia="en-AU"/>
        </w:rPr>
        <w:t xml:space="preserve">Similarly, the Tribunal in </w:t>
      </w:r>
      <w:r w:rsidR="00772D22" w:rsidRPr="004E6895">
        <w:rPr>
          <w:i/>
          <w:lang w:eastAsia="en-AU"/>
        </w:rPr>
        <w:t xml:space="preserve">Re Virgin </w:t>
      </w:r>
      <w:r w:rsidR="00772D22" w:rsidRPr="004E6895">
        <w:rPr>
          <w:i/>
          <w:lang w:eastAsia="en-AU"/>
        </w:rPr>
        <w:lastRenderedPageBreak/>
        <w:t>Blue</w:t>
      </w:r>
      <w:r w:rsidR="00772D22">
        <w:rPr>
          <w:lang w:eastAsia="en-AU"/>
        </w:rPr>
        <w:t xml:space="preserve"> </w:t>
      </w:r>
      <w:r w:rsidR="004E6895">
        <w:rPr>
          <w:lang w:eastAsia="en-AU"/>
        </w:rPr>
        <w:t>accepted (at [208]) the contention of Sydney Airport that the impact that a change in tariff structure has on airlines’ costs must be distinguished from an impact on competition (while observing that</w:t>
      </w:r>
      <w:r w:rsidR="00772D22">
        <w:rPr>
          <w:lang w:eastAsia="en-AU"/>
        </w:rPr>
        <w:t xml:space="preserve"> the extent of competition in the dependent market can still be inhibited by the imposition of a discriminatory charge</w:t>
      </w:r>
      <w:r w:rsidR="004E6895">
        <w:rPr>
          <w:lang w:eastAsia="en-AU"/>
        </w:rPr>
        <w:t>)</w:t>
      </w:r>
      <w:r w:rsidR="00772D22">
        <w:rPr>
          <w:lang w:eastAsia="en-AU"/>
        </w:rPr>
        <w:t>.</w:t>
      </w:r>
      <w:r w:rsidR="003E1CFA">
        <w:rPr>
          <w:lang w:eastAsia="en-AU"/>
        </w:rPr>
        <w:t xml:space="preserve"> An increase in an industry’s cost structure has no necessary effect on the degree of rivalry or the competitive process in the dependent market, because the increase in the cost structure does not affect the </w:t>
      </w:r>
      <w:r w:rsidR="004204B0">
        <w:rPr>
          <w:lang w:eastAsia="en-AU"/>
        </w:rPr>
        <w:t xml:space="preserve">market structure and behavioural </w:t>
      </w:r>
      <w:r w:rsidR="003E1CFA">
        <w:rPr>
          <w:lang w:eastAsia="en-AU"/>
        </w:rPr>
        <w:t xml:space="preserve">factors that determine </w:t>
      </w:r>
      <w:r w:rsidR="004204B0">
        <w:rPr>
          <w:lang w:eastAsia="en-AU"/>
        </w:rPr>
        <w:t>the competitive process.</w:t>
      </w:r>
    </w:p>
    <w:p w14:paraId="66198CE0" w14:textId="77777777" w:rsidR="004E6895" w:rsidRDefault="004E6895" w:rsidP="004E6895">
      <w:pPr>
        <w:pStyle w:val="ParaNumbering"/>
        <w:rPr>
          <w:lang w:eastAsia="en-AU"/>
        </w:rPr>
      </w:pPr>
      <w:r>
        <w:rPr>
          <w:lang w:eastAsia="en-AU"/>
        </w:rPr>
        <w:t>The Tribunal therefore agrees with the following statement of principle of the NCC (at [7.12]):</w:t>
      </w:r>
    </w:p>
    <w:p w14:paraId="7D3E67BB" w14:textId="77777777" w:rsidR="004E6895" w:rsidRDefault="004E6895" w:rsidP="004E6895">
      <w:pPr>
        <w:pStyle w:val="Quote1"/>
        <w:rPr>
          <w:lang w:eastAsia="en-AU"/>
        </w:rPr>
      </w:pPr>
      <w:r w:rsidRPr="00AB559F">
        <w:rPr>
          <w:lang w:eastAsia="en-AU"/>
        </w:rPr>
        <w:t>Criterion (a) is not met merely by establishing that a service provider is a natural monopolist with respect to the provision of a service, possesses market power or is able to charge a price above what would be charged in a competitive market for the</w:t>
      </w:r>
      <w:r>
        <w:rPr>
          <w:lang w:eastAsia="en-AU"/>
        </w:rPr>
        <w:t xml:space="preserve"> </w:t>
      </w:r>
      <w:r w:rsidRPr="00AB559F">
        <w:rPr>
          <w:lang w:eastAsia="en-AU"/>
        </w:rPr>
        <w:t>service. For instance, even where lower prices for access to a service may arise in a future with declaration of a service, compared to a future without declaration, this does not necessarily mean that competition will be promoted in a dependent market. This might be the case if, for example, a lower price for access would lead to little or no change in consumption or production decisions with respect to the service the subject of a declaration application. In these circumstances, a lower price for access may merely have the effect of redistributing the economic surplus generated within a supply chain. Criterion (a) will not be satisfied by establishing that regulated access will result in a different distribution of rents between access seekers and a provider of a service.</w:t>
      </w:r>
    </w:p>
    <w:p w14:paraId="5E1E6286" w14:textId="77777777" w:rsidR="00BA3FA8" w:rsidRDefault="00BA3FA8" w:rsidP="004E6895">
      <w:pPr>
        <w:pStyle w:val="ParaNumbering"/>
        <w:rPr>
          <w:lang w:eastAsia="en-AU"/>
        </w:rPr>
      </w:pPr>
      <w:r>
        <w:rPr>
          <w:lang w:eastAsia="en-AU"/>
        </w:rPr>
        <w:t xml:space="preserve">Indeed, </w:t>
      </w:r>
      <w:r w:rsidR="004E6895">
        <w:rPr>
          <w:lang w:eastAsia="en-AU"/>
        </w:rPr>
        <w:t xml:space="preserve">a transfer of economic rents between parties in a supply chain, which does not affect the willingness of existing producers to consume or produce, </w:t>
      </w:r>
      <w:r>
        <w:rPr>
          <w:lang w:eastAsia="en-AU"/>
        </w:rPr>
        <w:t xml:space="preserve">will </w:t>
      </w:r>
      <w:r w:rsidR="004E6895">
        <w:rPr>
          <w:lang w:eastAsia="en-AU"/>
        </w:rPr>
        <w:t>not have an adverse effect on allocative efficiency</w:t>
      </w:r>
      <w:r>
        <w:rPr>
          <w:lang w:eastAsia="en-AU"/>
        </w:rPr>
        <w:t>, let alone an adverse effect on</w:t>
      </w:r>
      <w:r w:rsidR="004E6895">
        <w:rPr>
          <w:lang w:eastAsia="en-AU"/>
        </w:rPr>
        <w:t xml:space="preserve"> competition</w:t>
      </w:r>
      <w:r>
        <w:rPr>
          <w:lang w:eastAsia="en-AU"/>
        </w:rPr>
        <w:t>, in the dependent markets</w:t>
      </w:r>
      <w:r w:rsidR="004E6895">
        <w:rPr>
          <w:lang w:eastAsia="en-AU"/>
        </w:rPr>
        <w:t xml:space="preserve">. However, </w:t>
      </w:r>
      <w:r>
        <w:rPr>
          <w:lang w:eastAsia="en-AU"/>
        </w:rPr>
        <w:t xml:space="preserve">even if monopoly pricing were to cause a reduction in consumption or production, that will not </w:t>
      </w:r>
      <w:r w:rsidRPr="00BA3FA8">
        <w:rPr>
          <w:i/>
          <w:lang w:eastAsia="en-AU"/>
        </w:rPr>
        <w:t>necessarily</w:t>
      </w:r>
      <w:r>
        <w:rPr>
          <w:lang w:eastAsia="en-AU"/>
        </w:rPr>
        <w:t xml:space="preserve"> affect the conditions or environment for competition in the dependent market. </w:t>
      </w:r>
    </w:p>
    <w:p w14:paraId="4EB6969B" w14:textId="77777777" w:rsidR="00E5484A" w:rsidRDefault="00BA3FA8" w:rsidP="004E6895">
      <w:pPr>
        <w:pStyle w:val="ParaNumbering"/>
        <w:rPr>
          <w:lang w:eastAsia="en-AU"/>
        </w:rPr>
      </w:pPr>
      <w:r>
        <w:rPr>
          <w:lang w:eastAsia="en-AU"/>
        </w:rPr>
        <w:t>The Tribunal emphasis</w:t>
      </w:r>
      <w:r w:rsidR="003E5F7E">
        <w:rPr>
          <w:lang w:eastAsia="en-AU"/>
        </w:rPr>
        <w:t>es</w:t>
      </w:r>
      <w:r>
        <w:rPr>
          <w:lang w:eastAsia="en-AU"/>
        </w:rPr>
        <w:t xml:space="preserve"> though, that each case is fact specific and depends upon the </w:t>
      </w:r>
      <w:r w:rsidR="00E5484A">
        <w:rPr>
          <w:lang w:eastAsia="en-AU"/>
        </w:rPr>
        <w:t xml:space="preserve">nature of the facility, the nature and extent of competition in the dependent markets, and the potential significance of access prices (and increases in the access prices) to competition in the dependent markets. The Tribunal acknowledges the possibility that, in a given case, </w:t>
      </w:r>
      <w:r w:rsidR="003E5F7E">
        <w:rPr>
          <w:lang w:eastAsia="en-AU"/>
        </w:rPr>
        <w:t xml:space="preserve">the potential for </w:t>
      </w:r>
      <w:r w:rsidR="00E5484A">
        <w:rPr>
          <w:lang w:eastAsia="en-AU"/>
        </w:rPr>
        <w:t xml:space="preserve">“mere” monopoly pricing may cause firms to exit a market or prevent firms from entering a market </w:t>
      </w:r>
      <w:r w:rsidR="003E5F7E">
        <w:rPr>
          <w:lang w:eastAsia="en-AU"/>
        </w:rPr>
        <w:t>or otherwise create</w:t>
      </w:r>
      <w:r w:rsidR="00E5484A">
        <w:rPr>
          <w:lang w:eastAsia="en-AU"/>
        </w:rPr>
        <w:t xml:space="preserve"> circumstances where it is possible to conclude that there has been a material decrease in the conditions or environment for competition in the market.</w:t>
      </w:r>
    </w:p>
    <w:p w14:paraId="4DBC8FAD" w14:textId="77777777" w:rsidR="00217E65" w:rsidRDefault="00217E65" w:rsidP="00217E65">
      <w:pPr>
        <w:pStyle w:val="Heading2"/>
        <w:rPr>
          <w:lang w:eastAsia="en-AU"/>
        </w:rPr>
      </w:pPr>
      <w:bookmarkStart w:id="63" w:name="_Ref78900507"/>
      <w:r>
        <w:rPr>
          <w:lang w:eastAsia="en-AU"/>
        </w:rPr>
        <w:t xml:space="preserve">Framework for the </w:t>
      </w:r>
      <w:r w:rsidR="001F52E9">
        <w:rPr>
          <w:lang w:eastAsia="en-AU"/>
        </w:rPr>
        <w:t>evaluation</w:t>
      </w:r>
      <w:bookmarkEnd w:id="63"/>
    </w:p>
    <w:p w14:paraId="55E0B1BE" w14:textId="77777777" w:rsidR="00023776" w:rsidRDefault="00FE1F6C" w:rsidP="00023776">
      <w:pPr>
        <w:pStyle w:val="ParaNumbering"/>
        <w:rPr>
          <w:lang w:eastAsia="en-AU"/>
        </w:rPr>
      </w:pPr>
      <w:r>
        <w:rPr>
          <w:lang w:eastAsia="en-AU"/>
        </w:rPr>
        <w:t>The foregoing discussion of the meaning of criterion (a)</w:t>
      </w:r>
      <w:r w:rsidR="00E5484A">
        <w:rPr>
          <w:lang w:eastAsia="en-AU"/>
        </w:rPr>
        <w:t>, and the manner in which access may affect the conditions and environment for competition in dependent markets,</w:t>
      </w:r>
      <w:r>
        <w:rPr>
          <w:lang w:eastAsia="en-AU"/>
        </w:rPr>
        <w:t xml:space="preserve"> sets the </w:t>
      </w:r>
      <w:r>
        <w:rPr>
          <w:lang w:eastAsia="en-AU"/>
        </w:rPr>
        <w:lastRenderedPageBreak/>
        <w:t xml:space="preserve">framework for the </w:t>
      </w:r>
      <w:r w:rsidR="001F52E9">
        <w:rPr>
          <w:lang w:eastAsia="en-AU"/>
        </w:rPr>
        <w:t>evaluation</w:t>
      </w:r>
      <w:r w:rsidR="00E5484A">
        <w:rPr>
          <w:lang w:eastAsia="en-AU"/>
        </w:rPr>
        <w:t xml:space="preserve"> of criterion (a)</w:t>
      </w:r>
      <w:r>
        <w:rPr>
          <w:lang w:eastAsia="en-AU"/>
        </w:rPr>
        <w:t xml:space="preserve">. </w:t>
      </w:r>
      <w:r w:rsidR="00023776">
        <w:rPr>
          <w:lang w:eastAsia="en-AU"/>
        </w:rPr>
        <w:t>The criterion requires an assessment</w:t>
      </w:r>
      <w:r w:rsidR="00B42592">
        <w:rPr>
          <w:lang w:eastAsia="en-AU"/>
        </w:rPr>
        <w:t>, across the medium term, of the effect</w:t>
      </w:r>
      <w:r w:rsidR="00023776">
        <w:rPr>
          <w:lang w:eastAsia="en-AU"/>
        </w:rPr>
        <w:t xml:space="preserve"> </w:t>
      </w:r>
      <w:r w:rsidR="00B42592">
        <w:rPr>
          <w:lang w:eastAsia="en-AU"/>
        </w:rPr>
        <w:t>on the promotion of competition</w:t>
      </w:r>
      <w:r w:rsidR="00023776">
        <w:rPr>
          <w:lang w:eastAsia="en-AU"/>
        </w:rPr>
        <w:t xml:space="preserve"> of access (on reasonable terms and conditions) as a result of declaration, which </w:t>
      </w:r>
      <w:r w:rsidR="00CC0BA5">
        <w:rPr>
          <w:lang w:eastAsia="en-AU"/>
        </w:rPr>
        <w:t>necessitates</w:t>
      </w:r>
      <w:r w:rsidR="00023776">
        <w:rPr>
          <w:lang w:eastAsia="en-AU"/>
        </w:rPr>
        <w:t xml:space="preserve"> a comparison with the market and commercial circumstances without declaration. </w:t>
      </w:r>
    </w:p>
    <w:p w14:paraId="280FB452" w14:textId="77777777" w:rsidR="00023776" w:rsidRDefault="00FE40B9" w:rsidP="00023776">
      <w:pPr>
        <w:pStyle w:val="ParaNumbering"/>
        <w:rPr>
          <w:lang w:eastAsia="en-AU"/>
        </w:rPr>
      </w:pPr>
      <w:r>
        <w:rPr>
          <w:lang w:eastAsia="en-AU"/>
        </w:rPr>
        <w:t xml:space="preserve">Without being exhaustive, the necessary steps </w:t>
      </w:r>
      <w:r w:rsidR="00023776">
        <w:rPr>
          <w:lang w:eastAsia="en-AU"/>
        </w:rPr>
        <w:t xml:space="preserve">in the assessment </w:t>
      </w:r>
      <w:r>
        <w:rPr>
          <w:lang w:eastAsia="en-AU"/>
        </w:rPr>
        <w:t>are</w:t>
      </w:r>
      <w:r w:rsidR="00023776">
        <w:rPr>
          <w:lang w:eastAsia="en-AU"/>
        </w:rPr>
        <w:t>:</w:t>
      </w:r>
    </w:p>
    <w:p w14:paraId="7D856FA6" w14:textId="77777777" w:rsidR="00023776" w:rsidRDefault="00023776" w:rsidP="009F42D3">
      <w:pPr>
        <w:pStyle w:val="ListNo1alt"/>
        <w:numPr>
          <w:ilvl w:val="0"/>
          <w:numId w:val="41"/>
        </w:numPr>
        <w:rPr>
          <w:lang w:eastAsia="en-AU"/>
        </w:rPr>
      </w:pPr>
      <w:r>
        <w:rPr>
          <w:lang w:eastAsia="en-AU"/>
        </w:rPr>
        <w:t xml:space="preserve">first, </w:t>
      </w:r>
      <w:r w:rsidR="00FE40B9">
        <w:rPr>
          <w:lang w:eastAsia="en-AU"/>
        </w:rPr>
        <w:t xml:space="preserve">identify </w:t>
      </w:r>
      <w:r w:rsidR="0007458E">
        <w:rPr>
          <w:lang w:eastAsia="en-AU"/>
        </w:rPr>
        <w:t xml:space="preserve">the </w:t>
      </w:r>
      <w:r>
        <w:rPr>
          <w:lang w:eastAsia="en-AU"/>
        </w:rPr>
        <w:t xml:space="preserve">relevant service </w:t>
      </w:r>
      <w:r w:rsidR="005F4DC8">
        <w:rPr>
          <w:lang w:eastAsia="en-AU"/>
        </w:rPr>
        <w:t>to be declared</w:t>
      </w:r>
      <w:r w:rsidR="00FE40B9">
        <w:rPr>
          <w:lang w:eastAsia="en-AU"/>
        </w:rPr>
        <w:t xml:space="preserve"> and </w:t>
      </w:r>
      <w:r>
        <w:rPr>
          <w:lang w:eastAsia="en-AU"/>
        </w:rPr>
        <w:t xml:space="preserve">the relevant </w:t>
      </w:r>
      <w:r w:rsidR="00FE40B9">
        <w:rPr>
          <w:lang w:eastAsia="en-AU"/>
        </w:rPr>
        <w:t xml:space="preserve">dependent </w:t>
      </w:r>
      <w:r w:rsidR="0007458E">
        <w:rPr>
          <w:lang w:eastAsia="en-AU"/>
        </w:rPr>
        <w:t>markets</w:t>
      </w:r>
      <w:r>
        <w:rPr>
          <w:lang w:eastAsia="en-AU"/>
        </w:rPr>
        <w:t>;</w:t>
      </w:r>
    </w:p>
    <w:p w14:paraId="0319268C" w14:textId="77777777" w:rsidR="001069B7" w:rsidRDefault="00023776" w:rsidP="009F42D3">
      <w:pPr>
        <w:pStyle w:val="ListNo1alt"/>
        <w:numPr>
          <w:ilvl w:val="0"/>
          <w:numId w:val="41"/>
        </w:numPr>
        <w:rPr>
          <w:lang w:eastAsia="en-AU"/>
        </w:rPr>
      </w:pPr>
      <w:r>
        <w:rPr>
          <w:lang w:eastAsia="en-AU"/>
        </w:rPr>
        <w:t>second, examine</w:t>
      </w:r>
      <w:r w:rsidR="00FE40B9">
        <w:rPr>
          <w:lang w:eastAsia="en-AU"/>
        </w:rPr>
        <w:t xml:space="preserve"> the nature and extent of competition </w:t>
      </w:r>
      <w:r w:rsidR="001069B7">
        <w:rPr>
          <w:lang w:eastAsia="en-AU"/>
        </w:rPr>
        <w:t xml:space="preserve">in the market for the relevant service </w:t>
      </w:r>
      <w:r w:rsidR="003E6602">
        <w:rPr>
          <w:lang w:eastAsia="en-AU"/>
        </w:rPr>
        <w:t xml:space="preserve">(if any) </w:t>
      </w:r>
      <w:r w:rsidR="001069B7">
        <w:rPr>
          <w:lang w:eastAsia="en-AU"/>
        </w:rPr>
        <w:t xml:space="preserve">and </w:t>
      </w:r>
      <w:r w:rsidR="00FE40B9">
        <w:rPr>
          <w:lang w:eastAsia="en-AU"/>
        </w:rPr>
        <w:t xml:space="preserve">in </w:t>
      </w:r>
      <w:r w:rsidR="001069B7">
        <w:rPr>
          <w:lang w:eastAsia="en-AU"/>
        </w:rPr>
        <w:t>the relevant dependent</w:t>
      </w:r>
      <w:r w:rsidR="00FE40B9">
        <w:rPr>
          <w:lang w:eastAsia="en-AU"/>
        </w:rPr>
        <w:t xml:space="preserve"> markets</w:t>
      </w:r>
      <w:r w:rsidR="00CD3078">
        <w:rPr>
          <w:lang w:eastAsia="en-AU"/>
        </w:rPr>
        <w:t>;</w:t>
      </w:r>
    </w:p>
    <w:p w14:paraId="76E88A6B" w14:textId="77777777" w:rsidR="001069B7" w:rsidRDefault="001069B7" w:rsidP="009F42D3">
      <w:pPr>
        <w:pStyle w:val="ListNo1alt"/>
        <w:numPr>
          <w:ilvl w:val="0"/>
          <w:numId w:val="41"/>
        </w:numPr>
        <w:rPr>
          <w:lang w:eastAsia="en-AU"/>
        </w:rPr>
      </w:pPr>
      <w:r>
        <w:rPr>
          <w:lang w:eastAsia="en-AU"/>
        </w:rPr>
        <w:t xml:space="preserve">third, </w:t>
      </w:r>
      <w:r w:rsidR="00963533">
        <w:rPr>
          <w:lang w:eastAsia="en-AU"/>
        </w:rPr>
        <w:t>evaluate</w:t>
      </w:r>
      <w:r w:rsidR="00FE40B9">
        <w:rPr>
          <w:lang w:eastAsia="en-AU"/>
        </w:rPr>
        <w:t xml:space="preserve"> </w:t>
      </w:r>
      <w:r>
        <w:rPr>
          <w:lang w:eastAsia="en-AU"/>
        </w:rPr>
        <w:t>whether, to what extent and on what terms the relevant service provider is likely to provide access to the service in the future</w:t>
      </w:r>
      <w:r w:rsidR="00963533">
        <w:rPr>
          <w:lang w:eastAsia="en-AU"/>
        </w:rPr>
        <w:t xml:space="preserve"> without declaration</w:t>
      </w:r>
      <w:r w:rsidR="00043C0C">
        <w:rPr>
          <w:lang w:eastAsia="en-AU"/>
        </w:rPr>
        <w:t xml:space="preserve"> and how any such access </w:t>
      </w:r>
      <w:r w:rsidR="00430A4E">
        <w:rPr>
          <w:lang w:eastAsia="en-AU"/>
        </w:rPr>
        <w:t>may</w:t>
      </w:r>
      <w:r w:rsidR="00043C0C">
        <w:rPr>
          <w:lang w:eastAsia="en-AU"/>
        </w:rPr>
        <w:t xml:space="preserve"> impact on the conditions or environment for competition in the relevant dependent markets</w:t>
      </w:r>
      <w:r>
        <w:rPr>
          <w:lang w:eastAsia="en-AU"/>
        </w:rPr>
        <w:t>;</w:t>
      </w:r>
      <w:r w:rsidR="00043C0C">
        <w:rPr>
          <w:lang w:eastAsia="en-AU"/>
        </w:rPr>
        <w:t xml:space="preserve"> </w:t>
      </w:r>
      <w:r w:rsidR="00963533">
        <w:rPr>
          <w:lang w:eastAsia="en-AU"/>
        </w:rPr>
        <w:t>and</w:t>
      </w:r>
    </w:p>
    <w:p w14:paraId="5213289A" w14:textId="77777777" w:rsidR="00963533" w:rsidRDefault="00963533" w:rsidP="009F42D3">
      <w:pPr>
        <w:pStyle w:val="ListNo1alt"/>
        <w:numPr>
          <w:ilvl w:val="0"/>
          <w:numId w:val="41"/>
        </w:numPr>
        <w:rPr>
          <w:lang w:eastAsia="en-AU"/>
        </w:rPr>
      </w:pPr>
      <w:r>
        <w:rPr>
          <w:lang w:eastAsia="en-AU"/>
        </w:rPr>
        <w:t>finally, evaluate whether</w:t>
      </w:r>
      <w:r w:rsidR="005F4DC8">
        <w:rPr>
          <w:lang w:eastAsia="en-AU"/>
        </w:rPr>
        <w:t xml:space="preserve"> access as a result of declaration will promote a material increase in competition in a dependent market in comparison to access (if any) without declaration.</w:t>
      </w:r>
    </w:p>
    <w:p w14:paraId="440984EC" w14:textId="77777777" w:rsidR="00736334" w:rsidRDefault="005F4DC8" w:rsidP="005F4DC8">
      <w:pPr>
        <w:pStyle w:val="ParaNumbering"/>
        <w:rPr>
          <w:lang w:eastAsia="en-AU"/>
        </w:rPr>
      </w:pPr>
      <w:r>
        <w:rPr>
          <w:lang w:eastAsia="en-AU"/>
        </w:rPr>
        <w:t xml:space="preserve">In the present case, there is no dispute with respect to the first step of the analysis. The relevant service to be declared is the shipping channel service and, while numerous dependent markets were identified by the NCC, </w:t>
      </w:r>
      <w:r w:rsidR="00CC0BA5">
        <w:rPr>
          <w:lang w:eastAsia="en-AU"/>
        </w:rPr>
        <w:t>NSWMC’s application for review is focussed on</w:t>
      </w:r>
      <w:r w:rsidR="00CD3078">
        <w:rPr>
          <w:lang w:eastAsia="en-AU"/>
        </w:rPr>
        <w:t xml:space="preserve"> the promotion of competition in the coal tenements market. </w:t>
      </w:r>
      <w:r w:rsidR="00736334">
        <w:rPr>
          <w:lang w:eastAsia="en-AU"/>
        </w:rPr>
        <w:t xml:space="preserve">The consideration of the issues is therefore </w:t>
      </w:r>
      <w:r w:rsidR="00CC0BA5">
        <w:rPr>
          <w:lang w:eastAsia="en-AU"/>
        </w:rPr>
        <w:t>directed to</w:t>
      </w:r>
      <w:r w:rsidR="00736334">
        <w:rPr>
          <w:lang w:eastAsia="en-AU"/>
        </w:rPr>
        <w:t xml:space="preserve"> the coal tenements market, although it will be necessary to refer to the overall supply chain for the export of coal from Australia.</w:t>
      </w:r>
    </w:p>
    <w:p w14:paraId="3C3D1791" w14:textId="77777777" w:rsidR="00BA0BB7" w:rsidRDefault="00BA0BB7" w:rsidP="00BA0BB7">
      <w:pPr>
        <w:pStyle w:val="Heading2"/>
        <w:rPr>
          <w:lang w:eastAsia="en-AU"/>
        </w:rPr>
      </w:pPr>
      <w:bookmarkStart w:id="64" w:name="_Ref78900508"/>
      <w:r>
        <w:rPr>
          <w:lang w:eastAsia="en-AU"/>
        </w:rPr>
        <w:t>The shipping channel service</w:t>
      </w:r>
      <w:bookmarkEnd w:id="64"/>
    </w:p>
    <w:p w14:paraId="0EBDFA9C" w14:textId="77777777" w:rsidR="00510D9D" w:rsidRDefault="00BA0BB7" w:rsidP="002E0009">
      <w:pPr>
        <w:pStyle w:val="ParaNumbering"/>
        <w:rPr>
          <w:lang w:eastAsia="en-AU"/>
        </w:rPr>
      </w:pPr>
      <w:r>
        <w:rPr>
          <w:lang w:eastAsia="en-AU"/>
        </w:rPr>
        <w:t>A description of the Port of Newcastle and the shipping channel service has been provided earlier in these reasons. To recap, the Port is one of the larger coal export ports in the world, with coal extracted from the Hunter Valley being shipped through the Port. I</w:t>
      </w:r>
      <w:r w:rsidRPr="00716F9E">
        <w:rPr>
          <w:lang w:eastAsia="en-AU"/>
        </w:rPr>
        <w:t>n 2018</w:t>
      </w:r>
      <w:r>
        <w:rPr>
          <w:lang w:eastAsia="en-AU"/>
        </w:rPr>
        <w:t>,</w:t>
      </w:r>
      <w:r w:rsidRPr="00716F9E">
        <w:rPr>
          <w:lang w:eastAsia="en-AU"/>
        </w:rPr>
        <w:t xml:space="preserve"> the Port handled 158.6 million tonnes of coal with a value of approximately $23.6 billion.</w:t>
      </w:r>
      <w:r>
        <w:rPr>
          <w:lang w:eastAsia="en-AU"/>
        </w:rPr>
        <w:t xml:space="preserve"> The Hunter Valley coal industry and associated supply chain are the largest coal export operations in the world, producing over 170 million tonnes of saleable coal per year with more than 30 operating coal mines operated by 11 coal producers as well as other coal projects in various stages of exploration and development. There are three main rail haulage providers who transport coal from the mines to export terminals at the Port. Coal is then loaded onto vessels at one of the </w:t>
      </w:r>
      <w:r>
        <w:rPr>
          <w:lang w:eastAsia="en-AU"/>
        </w:rPr>
        <w:lastRenderedPageBreak/>
        <w:t>loading terminals.</w:t>
      </w:r>
      <w:r w:rsidR="00510D9D">
        <w:rPr>
          <w:lang w:eastAsia="en-AU"/>
        </w:rPr>
        <w:t xml:space="preserve"> The Port is operated by </w:t>
      </w:r>
      <w:r w:rsidR="00510D9D" w:rsidRPr="000D7FCF">
        <w:rPr>
          <w:lang w:eastAsia="en-AU"/>
        </w:rPr>
        <w:t>PNO under a 98-year sublease</w:t>
      </w:r>
      <w:r w:rsidR="00510D9D">
        <w:rPr>
          <w:lang w:eastAsia="en-AU"/>
        </w:rPr>
        <w:t xml:space="preserve">. As the operator of the Port, PNO controls the terms and conditions of access to the Port including, relevantly, the shipping channels </w:t>
      </w:r>
      <w:r w:rsidR="00510D9D" w:rsidRPr="00D063CB">
        <w:rPr>
          <w:lang w:eastAsia="en-AU"/>
        </w:rPr>
        <w:t>and berthing facilities required for the export of coal from the Port</w:t>
      </w:r>
      <w:r w:rsidR="00510D9D">
        <w:rPr>
          <w:lang w:eastAsia="en-AU"/>
        </w:rPr>
        <w:t>.</w:t>
      </w:r>
    </w:p>
    <w:p w14:paraId="2943D97D" w14:textId="77777777" w:rsidR="005F4DC8" w:rsidRDefault="00510D9D" w:rsidP="005F4DC8">
      <w:pPr>
        <w:pStyle w:val="ParaNumbering"/>
        <w:rPr>
          <w:lang w:eastAsia="en-AU"/>
        </w:rPr>
      </w:pPr>
      <w:r>
        <w:rPr>
          <w:lang w:eastAsia="en-AU"/>
        </w:rPr>
        <w:t>I</w:t>
      </w:r>
      <w:r w:rsidR="00736334">
        <w:rPr>
          <w:lang w:eastAsia="en-AU"/>
        </w:rPr>
        <w:t xml:space="preserve">t is uncontroversial that the Port is a bottleneck facility </w:t>
      </w:r>
      <w:r w:rsidR="0060573D">
        <w:rPr>
          <w:lang w:eastAsia="en-AU"/>
        </w:rPr>
        <w:t>for coal producers in the Hunter Valley. As stated by the NCC (at [7.33]</w:t>
      </w:r>
      <w:r w:rsidR="00683872">
        <w:rPr>
          <w:lang w:eastAsia="en-AU"/>
        </w:rPr>
        <w:noBreakHyphen/>
      </w:r>
      <w:r w:rsidR="0060573D">
        <w:rPr>
          <w:lang w:eastAsia="en-AU"/>
        </w:rPr>
        <w:t>[7.34]):</w:t>
      </w:r>
    </w:p>
    <w:p w14:paraId="2AFB4756" w14:textId="77777777" w:rsidR="0060573D" w:rsidRDefault="0060573D" w:rsidP="0060573D">
      <w:pPr>
        <w:pStyle w:val="Quote1"/>
        <w:tabs>
          <w:tab w:val="left" w:pos="1418"/>
        </w:tabs>
        <w:ind w:left="1418" w:hanging="681"/>
        <w:rPr>
          <w:lang w:eastAsia="en-AU"/>
        </w:rPr>
      </w:pPr>
      <w:r>
        <w:rPr>
          <w:lang w:eastAsia="en-AU"/>
        </w:rPr>
        <w:t xml:space="preserve">7.33 </w:t>
      </w:r>
      <w:r>
        <w:rPr>
          <w:lang w:eastAsia="en-AU"/>
        </w:rPr>
        <w:tab/>
        <w:t>The Port is a bottleneck: Hunter Valley coal producers have no practicable alternative to the Port for the export of their coal. While some coal is exported through Port Kembla, that port is not currently an effective c</w:t>
      </w:r>
      <w:r w:rsidR="00BA13EF">
        <w:rPr>
          <w:lang w:eastAsia="en-AU"/>
        </w:rPr>
        <w:t>ompetitive constraint on PNO.</w:t>
      </w:r>
    </w:p>
    <w:p w14:paraId="04EC6731" w14:textId="77777777" w:rsidR="0060573D" w:rsidRDefault="0060573D" w:rsidP="0060573D">
      <w:pPr>
        <w:pStyle w:val="Quote1"/>
        <w:tabs>
          <w:tab w:val="left" w:pos="1418"/>
        </w:tabs>
        <w:ind w:left="1418" w:hanging="681"/>
        <w:rPr>
          <w:lang w:eastAsia="en-AU"/>
        </w:rPr>
      </w:pPr>
      <w:r>
        <w:rPr>
          <w:lang w:eastAsia="en-AU"/>
        </w:rPr>
        <w:t xml:space="preserve">7.34 </w:t>
      </w:r>
      <w:r>
        <w:rPr>
          <w:lang w:eastAsia="en-AU"/>
        </w:rPr>
        <w:tab/>
        <w:t xml:space="preserve">As the Port is a bottleneck, PNO has considerable bargaining power over Hunter Valley coal producers who have already sunk costs in exploration and extraction in the Newcastle catchment, where these producers have no other economically viable means to load coal for export markets. This enables PNO to set terms and conditions of access to these coal producers free from any constraint from alternative nearby providers of coal export terminal services. </w:t>
      </w:r>
    </w:p>
    <w:p w14:paraId="7C3F7812" w14:textId="77777777" w:rsidR="0007458E" w:rsidRDefault="0060573D" w:rsidP="00BA13EF">
      <w:pPr>
        <w:pStyle w:val="ParaNumbering"/>
        <w:rPr>
          <w:lang w:eastAsia="en-AU"/>
        </w:rPr>
      </w:pPr>
      <w:r>
        <w:rPr>
          <w:lang w:eastAsia="en-AU"/>
        </w:rPr>
        <w:t xml:space="preserve">PNO did not contest that conclusion. However, it does not follow from that conclusion that PNO has unconstrained market power. </w:t>
      </w:r>
      <w:r w:rsidR="00BA13EF">
        <w:rPr>
          <w:lang w:eastAsia="en-AU"/>
        </w:rPr>
        <w:t xml:space="preserve">A key issue </w:t>
      </w:r>
      <w:r w:rsidR="00CC0BA5">
        <w:rPr>
          <w:lang w:eastAsia="en-AU"/>
        </w:rPr>
        <w:t>that arises on the review</w:t>
      </w:r>
      <w:r w:rsidR="00BA13EF">
        <w:rPr>
          <w:lang w:eastAsia="en-AU"/>
        </w:rPr>
        <w:t xml:space="preserve"> is the extent of PNO’s market power, specifically its</w:t>
      </w:r>
      <w:r w:rsidR="001069B7">
        <w:rPr>
          <w:lang w:eastAsia="en-AU"/>
        </w:rPr>
        <w:t xml:space="preserve"> </w:t>
      </w:r>
      <w:r w:rsidR="00FE40B9">
        <w:rPr>
          <w:lang w:eastAsia="en-AU"/>
        </w:rPr>
        <w:t xml:space="preserve">ability and incentive </w:t>
      </w:r>
      <w:r w:rsidR="00441EB3">
        <w:rPr>
          <w:lang w:eastAsia="en-AU"/>
        </w:rPr>
        <w:t xml:space="preserve">to set terms and conditions of access in a manner that would </w:t>
      </w:r>
      <w:r w:rsidR="00271788">
        <w:rPr>
          <w:lang w:eastAsia="en-AU"/>
        </w:rPr>
        <w:t>negatively impact</w:t>
      </w:r>
      <w:r w:rsidR="00441EB3">
        <w:rPr>
          <w:lang w:eastAsia="en-AU"/>
        </w:rPr>
        <w:t xml:space="preserve"> the competitive conditions in </w:t>
      </w:r>
      <w:r w:rsidR="00BA13EF">
        <w:rPr>
          <w:lang w:eastAsia="en-AU"/>
        </w:rPr>
        <w:t>the coal tenements market</w:t>
      </w:r>
      <w:r w:rsidR="00441EB3">
        <w:rPr>
          <w:lang w:eastAsia="en-AU"/>
        </w:rPr>
        <w:t xml:space="preserve">. </w:t>
      </w:r>
      <w:r w:rsidR="00BA13EF">
        <w:rPr>
          <w:lang w:eastAsia="en-AU"/>
        </w:rPr>
        <w:t>That issue</w:t>
      </w:r>
      <w:r w:rsidR="00441EB3">
        <w:rPr>
          <w:lang w:eastAsia="en-AU"/>
        </w:rPr>
        <w:t xml:space="preserve"> requires an examination of all commercial, regulatory and economic factors bearing upon </w:t>
      </w:r>
      <w:r w:rsidR="00BA13EF">
        <w:rPr>
          <w:lang w:eastAsia="en-AU"/>
        </w:rPr>
        <w:t>PNO as supplier o</w:t>
      </w:r>
      <w:r w:rsidR="00B707EE">
        <w:rPr>
          <w:lang w:eastAsia="en-AU"/>
        </w:rPr>
        <w:t>f the shipping channel service and the extent to which those factors constrain PNO’s commercial decisions.</w:t>
      </w:r>
    </w:p>
    <w:p w14:paraId="29EE505D" w14:textId="77777777" w:rsidR="004B2453" w:rsidRDefault="004B2453" w:rsidP="00141948">
      <w:pPr>
        <w:pStyle w:val="ParaNumbering"/>
        <w:rPr>
          <w:lang w:eastAsia="en-AU"/>
        </w:rPr>
      </w:pPr>
      <w:r w:rsidRPr="00CC0BA5">
        <w:rPr>
          <w:lang w:eastAsia="en-AU"/>
        </w:rPr>
        <w:t>NSWMC submitted that where,</w:t>
      </w:r>
      <w:r>
        <w:rPr>
          <w:lang w:eastAsia="en-AU"/>
        </w:rPr>
        <w:t xml:space="preserve"> as in the present case, the facility that provides the relevant </w:t>
      </w:r>
      <w:r w:rsidR="00217E65">
        <w:rPr>
          <w:lang w:eastAsia="en-AU"/>
        </w:rPr>
        <w:t xml:space="preserve">service </w:t>
      </w:r>
      <w:r>
        <w:rPr>
          <w:lang w:eastAsia="en-AU"/>
        </w:rPr>
        <w:t xml:space="preserve">is a bottleneck facility (it cannot be bypassed), the necessary starting point for the analysis is the unarguable ability for the facility owner to set terms and conditions of access that harm competitive conditions in dependent markets. NSWMC argued that, in a practical sense, the facility owner bears the burden of persuading the Tribunal that it is constrained to act in a manner that will not harm competitive conditions. The Tribunal accepts that submission to a point. However, the Tribunal considers that it is wrong to start with any </w:t>
      </w:r>
      <w:r w:rsidRPr="004B2453">
        <w:rPr>
          <w:i/>
          <w:lang w:eastAsia="en-AU"/>
        </w:rPr>
        <w:t>a priori</w:t>
      </w:r>
      <w:r>
        <w:rPr>
          <w:lang w:eastAsia="en-AU"/>
        </w:rPr>
        <w:t xml:space="preserve"> position. </w:t>
      </w:r>
      <w:r w:rsidR="00217E65">
        <w:rPr>
          <w:lang w:eastAsia="en-AU"/>
        </w:rPr>
        <w:t xml:space="preserve">All of the </w:t>
      </w:r>
      <w:r>
        <w:rPr>
          <w:lang w:eastAsia="en-AU"/>
        </w:rPr>
        <w:t xml:space="preserve">commercial, regulatory and economic factors </w:t>
      </w:r>
      <w:r w:rsidR="00217E65">
        <w:rPr>
          <w:lang w:eastAsia="en-AU"/>
        </w:rPr>
        <w:t>bearing upon the facility owner in respect of the supply of the relevant service</w:t>
      </w:r>
      <w:r w:rsidR="005F4506">
        <w:rPr>
          <w:lang w:eastAsia="en-AU"/>
        </w:rPr>
        <w:t>,</w:t>
      </w:r>
      <w:r w:rsidR="00217E65">
        <w:rPr>
          <w:lang w:eastAsia="en-AU"/>
        </w:rPr>
        <w:t xml:space="preserve"> </w:t>
      </w:r>
      <w:r w:rsidR="005F4506">
        <w:rPr>
          <w:lang w:eastAsia="en-AU"/>
        </w:rPr>
        <w:t xml:space="preserve">and upon suppliers in dependent markets, </w:t>
      </w:r>
      <w:r w:rsidR="00217E65">
        <w:rPr>
          <w:lang w:eastAsia="en-AU"/>
        </w:rPr>
        <w:t xml:space="preserve">must be assessed in order to arrive at a conclusion in respect of criterion (a). </w:t>
      </w:r>
      <w:r w:rsidR="005F4506">
        <w:rPr>
          <w:lang w:eastAsia="en-AU"/>
        </w:rPr>
        <w:t>I</w:t>
      </w:r>
      <w:r w:rsidR="00217E65">
        <w:rPr>
          <w:lang w:eastAsia="en-AU"/>
        </w:rPr>
        <w:t xml:space="preserve">t is </w:t>
      </w:r>
      <w:r w:rsidR="005F4506">
        <w:rPr>
          <w:lang w:eastAsia="en-AU"/>
        </w:rPr>
        <w:t>necessary</w:t>
      </w:r>
      <w:r w:rsidR="00217E65">
        <w:rPr>
          <w:lang w:eastAsia="en-AU"/>
        </w:rPr>
        <w:t xml:space="preserve"> to examine the </w:t>
      </w:r>
      <w:r w:rsidR="005F4506">
        <w:rPr>
          <w:lang w:eastAsia="en-AU"/>
        </w:rPr>
        <w:t xml:space="preserve">available information concerning the existing </w:t>
      </w:r>
      <w:r w:rsidR="00217E65">
        <w:rPr>
          <w:lang w:eastAsia="en-AU"/>
        </w:rPr>
        <w:t>industry structure</w:t>
      </w:r>
      <w:r w:rsidR="005F4506">
        <w:rPr>
          <w:lang w:eastAsia="en-AU"/>
        </w:rPr>
        <w:t>,</w:t>
      </w:r>
      <w:r w:rsidR="00217E65">
        <w:rPr>
          <w:lang w:eastAsia="en-AU"/>
        </w:rPr>
        <w:t xml:space="preserve"> behaviour </w:t>
      </w:r>
      <w:r w:rsidR="005F4506">
        <w:rPr>
          <w:lang w:eastAsia="en-AU"/>
        </w:rPr>
        <w:t>and performance, and contemplated and foreseeable changes to structure, in order to make reasonable predictions about future industry behaviour</w:t>
      </w:r>
      <w:r w:rsidR="00656185">
        <w:rPr>
          <w:lang w:eastAsia="en-AU"/>
        </w:rPr>
        <w:t>.</w:t>
      </w:r>
      <w:r w:rsidR="00DA66A9">
        <w:rPr>
          <w:lang w:eastAsia="en-AU"/>
        </w:rPr>
        <w:t xml:space="preserve"> </w:t>
      </w:r>
    </w:p>
    <w:p w14:paraId="368DC326" w14:textId="77777777" w:rsidR="001F52E9" w:rsidRDefault="001F52E9" w:rsidP="001F52E9">
      <w:pPr>
        <w:pStyle w:val="Heading2"/>
        <w:rPr>
          <w:lang w:eastAsia="en-AU"/>
        </w:rPr>
      </w:pPr>
      <w:bookmarkStart w:id="65" w:name="_Ref78900509"/>
      <w:r>
        <w:rPr>
          <w:lang w:eastAsia="en-AU"/>
        </w:rPr>
        <w:lastRenderedPageBreak/>
        <w:t>The coal tenements market</w:t>
      </w:r>
      <w:bookmarkEnd w:id="65"/>
    </w:p>
    <w:p w14:paraId="77844797" w14:textId="77777777" w:rsidR="00897E63" w:rsidRDefault="00897E63" w:rsidP="00897E63">
      <w:pPr>
        <w:pStyle w:val="ParaNumbering"/>
        <w:rPr>
          <w:lang w:eastAsia="en-AU"/>
        </w:rPr>
      </w:pPr>
      <w:r>
        <w:rPr>
          <w:lang w:eastAsia="en-AU"/>
        </w:rPr>
        <w:t xml:space="preserve">In its application to the NCC, NSWMC identified the coal tenements market as </w:t>
      </w:r>
      <w:r w:rsidRPr="00897E63">
        <w:rPr>
          <w:lang w:eastAsia="en-AU"/>
        </w:rPr>
        <w:t>markets for the acquisition and disposal of exploration and/or mining authorities</w:t>
      </w:r>
      <w:r>
        <w:rPr>
          <w:lang w:eastAsia="en-AU"/>
        </w:rPr>
        <w:t xml:space="preserve"> and submitted that the coal tenements market should be divided into:</w:t>
      </w:r>
    </w:p>
    <w:p w14:paraId="28BB744D" w14:textId="77777777" w:rsidR="00897E63" w:rsidRDefault="00897E63" w:rsidP="009F42D3">
      <w:pPr>
        <w:pStyle w:val="ListNo1alt"/>
        <w:numPr>
          <w:ilvl w:val="0"/>
          <w:numId w:val="42"/>
        </w:numPr>
        <w:rPr>
          <w:lang w:eastAsia="en-AU"/>
        </w:rPr>
      </w:pPr>
      <w:r>
        <w:rPr>
          <w:lang w:eastAsia="en-AU"/>
        </w:rPr>
        <w:t>early stage exploration licences - the market for trading exploration licences for coal in the Hunter Valley, Gunnedah Basin, Gloucester Basin, Newcastle Coalfield and parts of the Western Coalfield;</w:t>
      </w:r>
    </w:p>
    <w:p w14:paraId="3A697EF9" w14:textId="77777777" w:rsidR="00897E63" w:rsidRDefault="00897E63" w:rsidP="009F42D3">
      <w:pPr>
        <w:pStyle w:val="ListNo1alt"/>
        <w:numPr>
          <w:ilvl w:val="0"/>
          <w:numId w:val="42"/>
        </w:numPr>
        <w:rPr>
          <w:lang w:eastAsia="en-AU"/>
        </w:rPr>
      </w:pPr>
      <w:r>
        <w:rPr>
          <w:lang w:eastAsia="en-AU"/>
        </w:rPr>
        <w:t>advance stage exploration licences that are likely to be developed into operating coal mines - the market for the supply and acquisition of late stage exploration licences in the Hunter Valley, Gunnedah Basin, Gloucester Basin, Newcastle Coalfield, and parts of the Western Coalfield catchment; and</w:t>
      </w:r>
    </w:p>
    <w:p w14:paraId="7C38D77E" w14:textId="77777777" w:rsidR="001F52E9" w:rsidRDefault="00897E63" w:rsidP="009F42D3">
      <w:pPr>
        <w:pStyle w:val="ListNo1alt"/>
        <w:numPr>
          <w:ilvl w:val="0"/>
          <w:numId w:val="42"/>
        </w:numPr>
        <w:rPr>
          <w:lang w:eastAsia="en-AU"/>
        </w:rPr>
      </w:pPr>
      <w:r>
        <w:rPr>
          <w:lang w:eastAsia="en-AU"/>
        </w:rPr>
        <w:t>operating coal mines, typically mining licences - the market for the supply and acquisition of operating mines in the Hunter Valley, Gunnedah Basin, Gloucester Basin, Newcastle Coalfield and parts of the Western Coalfield.</w:t>
      </w:r>
    </w:p>
    <w:p w14:paraId="2BAFF017" w14:textId="77777777" w:rsidR="00E5484A" w:rsidRDefault="00E5484A" w:rsidP="00BA3C35">
      <w:pPr>
        <w:pStyle w:val="ParaNumbering"/>
        <w:rPr>
          <w:lang w:eastAsia="en-AU"/>
        </w:rPr>
      </w:pPr>
      <w:r>
        <w:rPr>
          <w:lang w:eastAsia="en-AU"/>
        </w:rPr>
        <w:t xml:space="preserve">It is relevant to note that the coal tenements market, as identified and defined by NSWMC, might be described as </w:t>
      </w:r>
      <w:r w:rsidR="00882D72">
        <w:rPr>
          <w:lang w:eastAsia="en-AU"/>
        </w:rPr>
        <w:t xml:space="preserve">an </w:t>
      </w:r>
      <w:r>
        <w:rPr>
          <w:lang w:eastAsia="en-AU"/>
        </w:rPr>
        <w:t xml:space="preserve">“asset market”. It is a market for the </w:t>
      </w:r>
      <w:r w:rsidRPr="00897E63">
        <w:rPr>
          <w:lang w:eastAsia="en-AU"/>
        </w:rPr>
        <w:t>acquisition and disposal of exploration and/or mining authorities</w:t>
      </w:r>
      <w:r w:rsidR="00882D72">
        <w:rPr>
          <w:lang w:eastAsia="en-AU"/>
        </w:rPr>
        <w:t xml:space="preserve">. That observation has some significance for considering the likely effect of an increase in charges for the shipping channel service at the Port. As discussed below, an increase in charges may affect the valuation of such </w:t>
      </w:r>
      <w:r w:rsidR="00882D72" w:rsidRPr="00897E63">
        <w:rPr>
          <w:lang w:eastAsia="en-AU"/>
        </w:rPr>
        <w:t>exploration and/or mining authorities</w:t>
      </w:r>
      <w:r w:rsidR="00882D72">
        <w:rPr>
          <w:lang w:eastAsia="en-AU"/>
        </w:rPr>
        <w:t xml:space="preserve"> without any necessary effect on the conditions or environment for competition in the market for the acquisition </w:t>
      </w:r>
      <w:r w:rsidR="003E5F7E">
        <w:rPr>
          <w:lang w:eastAsia="en-AU"/>
        </w:rPr>
        <w:t>and</w:t>
      </w:r>
      <w:r w:rsidR="00882D72">
        <w:rPr>
          <w:lang w:eastAsia="en-AU"/>
        </w:rPr>
        <w:t xml:space="preserve"> supply of such authorities. </w:t>
      </w:r>
    </w:p>
    <w:p w14:paraId="179A6AD0" w14:textId="77777777" w:rsidR="00897E63" w:rsidRDefault="00897E63" w:rsidP="00BA3C35">
      <w:pPr>
        <w:pStyle w:val="ParaNumbering"/>
        <w:rPr>
          <w:lang w:eastAsia="en-AU"/>
        </w:rPr>
      </w:pPr>
      <w:r>
        <w:rPr>
          <w:lang w:eastAsia="en-AU"/>
        </w:rPr>
        <w:t>The NCC explained (</w:t>
      </w:r>
      <w:r w:rsidR="003E6602">
        <w:rPr>
          <w:lang w:eastAsia="en-AU"/>
        </w:rPr>
        <w:t>at</w:t>
      </w:r>
      <w:r>
        <w:rPr>
          <w:lang w:eastAsia="en-AU"/>
        </w:rPr>
        <w:t xml:space="preserve"> [7.130]-[7.132]) that a ‘tenement’ or ‘exploration authority’ is the right under licence to carry out prospecting, exploration or mining activity in respect of a specific piece of land. Such licences are required because all mineral resources in Australia are owned by the Crown.</w:t>
      </w:r>
      <w:r w:rsidR="00026D04">
        <w:rPr>
          <w:lang w:eastAsia="en-AU"/>
        </w:rPr>
        <w:t xml:space="preserve"> </w:t>
      </w:r>
      <w:r>
        <w:rPr>
          <w:lang w:eastAsia="en-AU"/>
        </w:rPr>
        <w:t xml:space="preserve">In NSW, all exploration and mining activity must be conducted in accordance with an authority issued under the </w:t>
      </w:r>
      <w:r w:rsidRPr="00EC7767">
        <w:rPr>
          <w:i/>
          <w:lang w:eastAsia="en-AU"/>
        </w:rPr>
        <w:t>Mining Act 1992</w:t>
      </w:r>
      <w:r w:rsidR="00026D04" w:rsidRPr="00C31053">
        <w:rPr>
          <w:lang w:eastAsia="en-AU"/>
        </w:rPr>
        <w:t xml:space="preserve"> (NSW)</w:t>
      </w:r>
      <w:r w:rsidR="00026D04" w:rsidRPr="00D5326B">
        <w:rPr>
          <w:lang w:eastAsia="en-AU"/>
        </w:rPr>
        <w:t>.</w:t>
      </w:r>
      <w:r w:rsidR="00026D04">
        <w:rPr>
          <w:lang w:eastAsia="en-AU"/>
        </w:rPr>
        <w:t xml:space="preserve"> </w:t>
      </w:r>
      <w:r>
        <w:rPr>
          <w:lang w:eastAsia="en-AU"/>
        </w:rPr>
        <w:t>Acquiring rights to mineral deposits generally begins with acquiring an ‘exploration licence’, which grants an exclusive right to search for specific resources in a defined area. An exploration licence enables the licence holder to explore areas where mineral and petroleum resources may be present, to establish the quality and quantity of those resources, and to investigate the viability of ext</w:t>
      </w:r>
      <w:r w:rsidR="00026D04">
        <w:rPr>
          <w:lang w:eastAsia="en-AU"/>
        </w:rPr>
        <w:t>racting the resource.</w:t>
      </w:r>
      <w:r>
        <w:rPr>
          <w:lang w:eastAsia="en-AU"/>
        </w:rPr>
        <w:t xml:space="preserve"> If valuable minerals have been discovered, the owner of the exploration licence may then apply f</w:t>
      </w:r>
      <w:r w:rsidR="00026D04">
        <w:rPr>
          <w:lang w:eastAsia="en-AU"/>
        </w:rPr>
        <w:t>or a production/mining lease.</w:t>
      </w:r>
      <w:r>
        <w:rPr>
          <w:lang w:eastAsia="en-AU"/>
        </w:rPr>
        <w:t xml:space="preserve"> A mining lease permits the business to </w:t>
      </w:r>
      <w:r>
        <w:rPr>
          <w:lang w:eastAsia="en-AU"/>
        </w:rPr>
        <w:lastRenderedPageBreak/>
        <w:t xml:space="preserve">mine for minerals </w:t>
      </w:r>
      <w:r w:rsidR="00026D04">
        <w:rPr>
          <w:lang w:eastAsia="en-AU"/>
        </w:rPr>
        <w:t>over a specific area of land.</w:t>
      </w:r>
      <w:r>
        <w:rPr>
          <w:lang w:eastAsia="en-AU"/>
        </w:rPr>
        <w:t xml:space="preserve"> The grant of an exploration licence does not guarantee the grant of a mining lease. As part of the process of applying for a mining lease, the applicant (the exploration licence holder) must go through a separate assessment process (including an environmental impact assessment and extensive public consultation).</w:t>
      </w:r>
    </w:p>
    <w:p w14:paraId="1A0079D8" w14:textId="77777777" w:rsidR="00BA3C35" w:rsidRDefault="00026D04" w:rsidP="00026D04">
      <w:pPr>
        <w:pStyle w:val="ParaNumbering"/>
        <w:rPr>
          <w:lang w:eastAsia="en-AU"/>
        </w:rPr>
      </w:pPr>
      <w:r>
        <w:rPr>
          <w:lang w:eastAsia="en-AU"/>
        </w:rPr>
        <w:t>The NCC reached the conclusion (</w:t>
      </w:r>
      <w:r w:rsidR="003E6602">
        <w:rPr>
          <w:lang w:eastAsia="en-AU"/>
        </w:rPr>
        <w:t>at</w:t>
      </w:r>
      <w:r>
        <w:rPr>
          <w:lang w:eastAsia="en-AU"/>
        </w:rPr>
        <w:t xml:space="preserve"> [7.146(a)]) that, w</w:t>
      </w:r>
      <w:r w:rsidRPr="00026D04">
        <w:rPr>
          <w:lang w:eastAsia="en-AU"/>
        </w:rPr>
        <w:t xml:space="preserve">hile it is possible that the geographic scope of the </w:t>
      </w:r>
      <w:r>
        <w:rPr>
          <w:lang w:eastAsia="en-AU"/>
        </w:rPr>
        <w:t xml:space="preserve">coal </w:t>
      </w:r>
      <w:r w:rsidRPr="00026D04">
        <w:rPr>
          <w:lang w:eastAsia="en-AU"/>
        </w:rPr>
        <w:t>tenements market extends beyond the Newcastle catchment, it is not necessary to determine</w:t>
      </w:r>
      <w:r w:rsidR="00BA3C35">
        <w:rPr>
          <w:lang w:eastAsia="en-AU"/>
        </w:rPr>
        <w:t xml:space="preserve"> </w:t>
      </w:r>
      <w:r w:rsidR="00BA3C35" w:rsidRPr="00026D04">
        <w:rPr>
          <w:lang w:eastAsia="en-AU"/>
        </w:rPr>
        <w:t>precisely</w:t>
      </w:r>
      <w:r w:rsidRPr="00026D04">
        <w:rPr>
          <w:lang w:eastAsia="en-AU"/>
        </w:rPr>
        <w:t xml:space="preserve"> the</w:t>
      </w:r>
      <w:r>
        <w:rPr>
          <w:lang w:eastAsia="en-AU"/>
        </w:rPr>
        <w:t xml:space="preserve"> </w:t>
      </w:r>
      <w:r w:rsidRPr="00026D04">
        <w:rPr>
          <w:lang w:eastAsia="en-AU"/>
        </w:rPr>
        <w:t xml:space="preserve">geographic scope in order to assess whether declaration would be likely to promote a material increase in competition in this market. The </w:t>
      </w:r>
      <w:r>
        <w:rPr>
          <w:lang w:eastAsia="en-AU"/>
        </w:rPr>
        <w:t>NCC reasoned</w:t>
      </w:r>
      <w:r w:rsidRPr="00026D04">
        <w:rPr>
          <w:lang w:eastAsia="en-AU"/>
        </w:rPr>
        <w:t xml:space="preserve"> that</w:t>
      </w:r>
      <w:r>
        <w:rPr>
          <w:lang w:eastAsia="en-AU"/>
        </w:rPr>
        <w:t>,</w:t>
      </w:r>
      <w:r w:rsidRPr="00026D04">
        <w:rPr>
          <w:lang w:eastAsia="en-AU"/>
        </w:rPr>
        <w:t xml:space="preserve"> if declaration would not promote a material increase in competition where a narrow geographic view of the market is applied, it is even less likely that declaration would promote a material increase in competition in a more broadly defined geographic market. </w:t>
      </w:r>
      <w:r>
        <w:rPr>
          <w:lang w:eastAsia="en-AU"/>
        </w:rPr>
        <w:t xml:space="preserve">The NCC therefore </w:t>
      </w:r>
      <w:r w:rsidRPr="00026D04">
        <w:rPr>
          <w:lang w:eastAsia="en-AU"/>
        </w:rPr>
        <w:t>analyse</w:t>
      </w:r>
      <w:r>
        <w:rPr>
          <w:lang w:eastAsia="en-AU"/>
        </w:rPr>
        <w:t>d</w:t>
      </w:r>
      <w:r w:rsidRPr="00026D04">
        <w:rPr>
          <w:lang w:eastAsia="en-AU"/>
        </w:rPr>
        <w:t xml:space="preserve"> whether declaration would be likely to promote a material increase in competition in a market for </w:t>
      </w:r>
      <w:r>
        <w:rPr>
          <w:lang w:eastAsia="en-AU"/>
        </w:rPr>
        <w:t xml:space="preserve">coal </w:t>
      </w:r>
      <w:r w:rsidRPr="00026D04">
        <w:rPr>
          <w:lang w:eastAsia="en-AU"/>
        </w:rPr>
        <w:t>tenements in the Newcastle catchment.</w:t>
      </w:r>
      <w:r>
        <w:rPr>
          <w:lang w:eastAsia="en-AU"/>
        </w:rPr>
        <w:t xml:space="preserve"> No participant in the review sought to persuade the Tribunal that that approach was erroneous, and the Tribunal considers that the approach is appropriate.</w:t>
      </w:r>
    </w:p>
    <w:p w14:paraId="1F4F0380" w14:textId="77777777" w:rsidR="00026D04" w:rsidRDefault="00BA3C35" w:rsidP="00BA3C35">
      <w:pPr>
        <w:pStyle w:val="ParaNumbering"/>
        <w:rPr>
          <w:lang w:eastAsia="en-AU"/>
        </w:rPr>
      </w:pPr>
      <w:r>
        <w:rPr>
          <w:lang w:eastAsia="en-AU"/>
        </w:rPr>
        <w:t>The NCC concluded (at [7.147]) that the coal tenements market is effectively competitive. It observed that there are a large number of licence holders, which suggests that the holding of tenements in the Newcastle catchment is not significantly concentrated in the hands of only one or two market participants. The NCC also observed that there appears to also be a number of holders of existing licences that have significant market capitalisations, including multi</w:t>
      </w:r>
      <w:r w:rsidR="009F51ED">
        <w:rPr>
          <w:lang w:eastAsia="en-AU"/>
        </w:rPr>
        <w:noBreakHyphen/>
      </w:r>
      <w:r>
        <w:rPr>
          <w:lang w:eastAsia="en-AU"/>
        </w:rPr>
        <w:t>nationals with diversified operations. The NCC considered that reforms to how coal tenements can be acquired from the State of NSW can be expected to improve the transparency of tenement acquisition and enable greater competition amongst a large pool of potential investors seeking to acquire tenements in the Newcastle catchment (which will not necessarily be limited to existing investors in the Newcastle catchment).</w:t>
      </w:r>
      <w:r w:rsidR="00026D04">
        <w:rPr>
          <w:lang w:eastAsia="en-AU"/>
        </w:rPr>
        <w:t xml:space="preserve"> </w:t>
      </w:r>
    </w:p>
    <w:p w14:paraId="35460989" w14:textId="05964D2B" w:rsidR="00BA3C35" w:rsidRPr="001F52E9" w:rsidRDefault="00BA3C35" w:rsidP="00BA3C35">
      <w:pPr>
        <w:pStyle w:val="ParaNumbering"/>
        <w:rPr>
          <w:lang w:eastAsia="en-AU"/>
        </w:rPr>
      </w:pPr>
      <w:r>
        <w:rPr>
          <w:lang w:eastAsia="en-AU"/>
        </w:rPr>
        <w:t xml:space="preserve">NSWMC argued that the matters referred to in the preceding paragraph were an insufficient foundation </w:t>
      </w:r>
      <w:r w:rsidR="00906B9C">
        <w:rPr>
          <w:lang w:eastAsia="en-AU"/>
        </w:rPr>
        <w:t xml:space="preserve">for the NCC’s conclusion </w:t>
      </w:r>
      <w:r w:rsidR="003E5F7E">
        <w:rPr>
          <w:lang w:eastAsia="en-AU"/>
        </w:rPr>
        <w:t xml:space="preserve">that </w:t>
      </w:r>
      <w:r w:rsidR="00906B9C">
        <w:rPr>
          <w:lang w:eastAsia="en-AU"/>
        </w:rPr>
        <w:t>the coal tenements market is effectively competitive. The Tribunal agrees that other factors may have a bearing on an assessment of the competitiveness of the coal tenements market, including a more detailed examination of ma</w:t>
      </w:r>
      <w:r w:rsidR="000910A1">
        <w:rPr>
          <w:lang w:eastAsia="en-AU"/>
        </w:rPr>
        <w:t xml:space="preserve">rket concentration and barriers to entry in particular. However, NSWMC did not refer the Tribunal to any evidence adduced by it before the NCC that would contradict the NCC’s assessment. In </w:t>
      </w:r>
      <w:r w:rsidR="000910A1">
        <w:rPr>
          <w:lang w:eastAsia="en-AU"/>
        </w:rPr>
        <w:lastRenderedPageBreak/>
        <w:t>the absence of such evidence, the Tribunal is not persuaded that there is any reason to doubt the NCC’s conclusion.</w:t>
      </w:r>
    </w:p>
    <w:p w14:paraId="5AE8A3E9" w14:textId="3B98F064" w:rsidR="00893076" w:rsidRDefault="00E76DEA" w:rsidP="001B3851">
      <w:pPr>
        <w:pStyle w:val="ParaNumbering"/>
        <w:rPr>
          <w:lang w:eastAsia="en-AU"/>
        </w:rPr>
      </w:pPr>
      <w:r>
        <w:rPr>
          <w:lang w:eastAsia="en-AU"/>
        </w:rPr>
        <w:t xml:space="preserve">A significant majority of </w:t>
      </w:r>
      <w:r w:rsidR="009C78FB">
        <w:rPr>
          <w:lang w:eastAsia="en-AU"/>
        </w:rPr>
        <w:t xml:space="preserve">the </w:t>
      </w:r>
      <w:r>
        <w:rPr>
          <w:lang w:eastAsia="en-AU"/>
        </w:rPr>
        <w:t>c</w:t>
      </w:r>
      <w:r w:rsidR="001B3851">
        <w:rPr>
          <w:lang w:eastAsia="en-AU"/>
        </w:rPr>
        <w:t xml:space="preserve">oal produced from mines in the Hunter Valley is thermal coal sold in export markets. The NCC </w:t>
      </w:r>
      <w:r w:rsidR="0005547A">
        <w:rPr>
          <w:lang w:eastAsia="en-AU"/>
        </w:rPr>
        <w:t>referred (at [7.114]) to its</w:t>
      </w:r>
      <w:r w:rsidR="001B3851">
        <w:rPr>
          <w:lang w:eastAsia="en-AU"/>
        </w:rPr>
        <w:t xml:space="preserve"> revocation recommendation</w:t>
      </w:r>
      <w:r w:rsidR="0005547A">
        <w:rPr>
          <w:lang w:eastAsia="en-AU"/>
        </w:rPr>
        <w:t xml:space="preserve"> in which it </w:t>
      </w:r>
      <w:r w:rsidR="001B3851">
        <w:rPr>
          <w:lang w:eastAsia="en-AU"/>
        </w:rPr>
        <w:t>observed that c</w:t>
      </w:r>
      <w:r w:rsidR="001B3851" w:rsidRPr="001B3851">
        <w:rPr>
          <w:lang w:eastAsia="en-AU"/>
        </w:rPr>
        <w:t xml:space="preserve">oal </w:t>
      </w:r>
      <w:r w:rsidR="001B3851">
        <w:rPr>
          <w:lang w:eastAsia="en-AU"/>
        </w:rPr>
        <w:t>is</w:t>
      </w:r>
      <w:r w:rsidR="001B3851" w:rsidRPr="001B3851">
        <w:rPr>
          <w:lang w:eastAsia="en-AU"/>
        </w:rPr>
        <w:t xml:space="preserve"> traded and shipped internationally and Australian coal exporters participate in this international trade and compete against coal produced and sold through other ports in Australia and overseas. </w:t>
      </w:r>
      <w:r w:rsidR="001B3851">
        <w:rPr>
          <w:lang w:eastAsia="en-AU"/>
        </w:rPr>
        <w:t>E</w:t>
      </w:r>
      <w:r w:rsidR="001B3851" w:rsidRPr="001B3851">
        <w:rPr>
          <w:lang w:eastAsia="en-AU"/>
        </w:rPr>
        <w:t>xport coal miners from the Newcastle catchment are likely to be price takers</w:t>
      </w:r>
      <w:r w:rsidR="001B3851">
        <w:rPr>
          <w:lang w:eastAsia="en-AU"/>
        </w:rPr>
        <w:t xml:space="preserve">: </w:t>
      </w:r>
      <w:r w:rsidR="001B3851" w:rsidRPr="001B3851">
        <w:rPr>
          <w:lang w:eastAsia="en-AU"/>
        </w:rPr>
        <w:t>that is, decisions by individual coal miners regarding how much coal they will export in any given period are unlikely to materially affect prices for coal in overseas export markets</w:t>
      </w:r>
      <w:r w:rsidR="001B3851">
        <w:rPr>
          <w:lang w:eastAsia="en-AU"/>
        </w:rPr>
        <w:t>.</w:t>
      </w:r>
      <w:r>
        <w:rPr>
          <w:lang w:eastAsia="en-AU"/>
        </w:rPr>
        <w:t xml:space="preserve"> In the present application, the NCC did not receive any submissions suggesting that the coal export market is not effectively competitive</w:t>
      </w:r>
      <w:r w:rsidR="0005547A">
        <w:rPr>
          <w:lang w:eastAsia="en-AU"/>
        </w:rPr>
        <w:t xml:space="preserve"> (see [7.115])</w:t>
      </w:r>
      <w:r>
        <w:rPr>
          <w:lang w:eastAsia="en-AU"/>
        </w:rPr>
        <w:t>.</w:t>
      </w:r>
    </w:p>
    <w:p w14:paraId="29E50500" w14:textId="77777777" w:rsidR="00E76DEA" w:rsidRDefault="00437932" w:rsidP="00437932">
      <w:pPr>
        <w:pStyle w:val="Heading2"/>
        <w:rPr>
          <w:lang w:eastAsia="en-AU"/>
        </w:rPr>
      </w:pPr>
      <w:bookmarkStart w:id="66" w:name="_Ref78900510"/>
      <w:r>
        <w:rPr>
          <w:lang w:eastAsia="en-AU"/>
        </w:rPr>
        <w:t>Access without declaration</w:t>
      </w:r>
      <w:bookmarkEnd w:id="66"/>
    </w:p>
    <w:p w14:paraId="51FDA54B" w14:textId="77777777" w:rsidR="00BA0BB7" w:rsidRPr="00BE5F99" w:rsidRDefault="00BA0BB7" w:rsidP="00BE5F99">
      <w:pPr>
        <w:pStyle w:val="ParaNumbering"/>
        <w:shd w:val="clear" w:color="auto" w:fill="FFFFFF" w:themeFill="background1"/>
        <w:rPr>
          <w:lang w:eastAsia="en-AU"/>
        </w:rPr>
      </w:pPr>
      <w:r>
        <w:rPr>
          <w:lang w:eastAsia="en-AU"/>
        </w:rPr>
        <w:t xml:space="preserve">In this section, the Tribunal considers whether, to what extent and on what terms PNO is likely to provide access to the shipping channel service </w:t>
      </w:r>
      <w:r w:rsidR="00BE5F99">
        <w:rPr>
          <w:lang w:eastAsia="en-AU"/>
        </w:rPr>
        <w:t xml:space="preserve">to coal vessels </w:t>
      </w:r>
      <w:r>
        <w:rPr>
          <w:lang w:eastAsia="en-AU"/>
        </w:rPr>
        <w:t xml:space="preserve">in the future without </w:t>
      </w:r>
      <w:r w:rsidRPr="00BE5F99">
        <w:rPr>
          <w:lang w:eastAsia="en-AU"/>
        </w:rPr>
        <w:t xml:space="preserve">declaration and how any such access will impact on the conditions or environment for competition in the </w:t>
      </w:r>
      <w:r w:rsidR="00BE5F99" w:rsidRPr="00BE5F99">
        <w:rPr>
          <w:lang w:eastAsia="en-AU"/>
        </w:rPr>
        <w:t>coal tenements market</w:t>
      </w:r>
      <w:r w:rsidRPr="00BE5F99">
        <w:rPr>
          <w:lang w:eastAsia="en-AU"/>
        </w:rPr>
        <w:t>.</w:t>
      </w:r>
      <w:r w:rsidR="0094224E">
        <w:rPr>
          <w:lang w:eastAsia="en-AU"/>
        </w:rPr>
        <w:t xml:space="preserve"> The section commences by considering PNO’s ability and incentive to exercise market power in setting the terms of access to the shipping channel service, and particularly the commercial, regulatory and economic factors that may afford or constrain the exercise of market power. The section then considers PNO’s commercial behaviour to date</w:t>
      </w:r>
      <w:r w:rsidR="00430A4E">
        <w:rPr>
          <w:lang w:eastAsia="en-AU"/>
        </w:rPr>
        <w:t xml:space="preserve"> and </w:t>
      </w:r>
      <w:r w:rsidR="0094224E">
        <w:rPr>
          <w:lang w:eastAsia="en-AU"/>
        </w:rPr>
        <w:t>the extent to which it has constrained its future pricing discretion by the Producer and Vessel Agent Deeds.</w:t>
      </w:r>
    </w:p>
    <w:p w14:paraId="0ABB155A" w14:textId="77777777" w:rsidR="00AA5397" w:rsidRDefault="00AA5397" w:rsidP="00AA5397">
      <w:pPr>
        <w:pStyle w:val="Heading3"/>
        <w:rPr>
          <w:lang w:eastAsia="en-AU"/>
        </w:rPr>
      </w:pPr>
      <w:bookmarkStart w:id="67" w:name="_Ref78900511"/>
      <w:r>
        <w:rPr>
          <w:lang w:eastAsia="en-AU"/>
        </w:rPr>
        <w:t xml:space="preserve">Ability and incentives to </w:t>
      </w:r>
      <w:r w:rsidR="0094224E">
        <w:rPr>
          <w:lang w:eastAsia="en-AU"/>
        </w:rPr>
        <w:t>exercise market power</w:t>
      </w:r>
      <w:bookmarkEnd w:id="67"/>
    </w:p>
    <w:p w14:paraId="462ECEC6" w14:textId="77777777" w:rsidR="00271788" w:rsidRDefault="00271788" w:rsidP="00271788">
      <w:pPr>
        <w:pStyle w:val="ParaNumbering"/>
        <w:rPr>
          <w:lang w:eastAsia="en-AU"/>
        </w:rPr>
      </w:pPr>
      <w:r>
        <w:rPr>
          <w:lang w:eastAsia="en-AU"/>
        </w:rPr>
        <w:t>As stated earlier, it is uncontroversial that the Port is a bottleneck facility for Hunter Valley coal producers. There is no alternative means to export coal produced from the Hunter Valley.</w:t>
      </w:r>
    </w:p>
    <w:p w14:paraId="0CBF5ACC" w14:textId="77777777" w:rsidR="00271788" w:rsidRDefault="00882D72" w:rsidP="00856126">
      <w:pPr>
        <w:pStyle w:val="ParaNumbering"/>
        <w:rPr>
          <w:lang w:eastAsia="en-AU"/>
        </w:rPr>
      </w:pPr>
      <w:r>
        <w:rPr>
          <w:lang w:eastAsia="en-AU"/>
        </w:rPr>
        <w:t xml:space="preserve">As discussed above, </w:t>
      </w:r>
      <w:r w:rsidR="00271788">
        <w:rPr>
          <w:lang w:eastAsia="en-AU"/>
        </w:rPr>
        <w:t xml:space="preserve">the owner of a bottleneck facility </w:t>
      </w:r>
      <w:r>
        <w:rPr>
          <w:lang w:eastAsia="en-AU"/>
        </w:rPr>
        <w:t>has</w:t>
      </w:r>
      <w:r w:rsidR="00271788">
        <w:rPr>
          <w:lang w:eastAsia="en-AU"/>
        </w:rPr>
        <w:t xml:space="preserve"> the </w:t>
      </w:r>
      <w:r w:rsidR="005A19CA">
        <w:rPr>
          <w:lang w:eastAsia="en-AU"/>
        </w:rPr>
        <w:t xml:space="preserve">potential </w:t>
      </w:r>
      <w:r w:rsidR="00271788">
        <w:rPr>
          <w:lang w:eastAsia="en-AU"/>
        </w:rPr>
        <w:t xml:space="preserve">ability to harm competition in an upstream or downstream dependent market by denying access to services provided by the facility or </w:t>
      </w:r>
      <w:r w:rsidR="005A19CA">
        <w:rPr>
          <w:lang w:eastAsia="en-AU"/>
        </w:rPr>
        <w:t xml:space="preserve">by </w:t>
      </w:r>
      <w:r w:rsidR="00271788">
        <w:rPr>
          <w:lang w:eastAsia="en-AU"/>
        </w:rPr>
        <w:t xml:space="preserve">setting terms and conditions of access that </w:t>
      </w:r>
      <w:r w:rsidR="005A19CA">
        <w:rPr>
          <w:lang w:eastAsia="en-AU"/>
        </w:rPr>
        <w:t>adversely affect</w:t>
      </w:r>
      <w:r>
        <w:rPr>
          <w:lang w:eastAsia="en-AU"/>
        </w:rPr>
        <w:t>s</w:t>
      </w:r>
      <w:r w:rsidR="005A19CA">
        <w:rPr>
          <w:lang w:eastAsia="en-AU"/>
        </w:rPr>
        <w:t xml:space="preserve"> </w:t>
      </w:r>
      <w:r>
        <w:rPr>
          <w:lang w:eastAsia="en-AU"/>
        </w:rPr>
        <w:t>competition</w:t>
      </w:r>
      <w:r w:rsidR="00271788">
        <w:rPr>
          <w:lang w:eastAsia="en-AU"/>
        </w:rPr>
        <w:t xml:space="preserve"> in dependent markets. However, whether the owner of a bottleneck facility is likely to behave in that manner requires an assessment of the constraints and incentives that are likely to affect the facility owner’s behaviour. A consideration of the constraints and incentives facing the facility owner is not, as NSWMC submitted, an enquiry as to idiosyncratic and subjective </w:t>
      </w:r>
      <w:r w:rsidR="00271788">
        <w:rPr>
          <w:lang w:eastAsia="en-AU"/>
        </w:rPr>
        <w:lastRenderedPageBreak/>
        <w:t>attitudes of the facility owner; rather, it is an enquiry as to objective market conditions that are likely to influence and constrain the behaviour of a rational profit-maximising facility owner.</w:t>
      </w:r>
      <w:r w:rsidR="004E4056">
        <w:rPr>
          <w:lang w:eastAsia="en-AU"/>
        </w:rPr>
        <w:t xml:space="preserve"> As the Tribunal observed in </w:t>
      </w:r>
      <w:r w:rsidR="004E4056" w:rsidRPr="00F1397C">
        <w:rPr>
          <w:i/>
          <w:lang w:eastAsia="en-AU"/>
        </w:rPr>
        <w:t>Re Virgin Blue</w:t>
      </w:r>
      <w:r w:rsidR="004E4056">
        <w:rPr>
          <w:lang w:eastAsia="en-AU"/>
        </w:rPr>
        <w:t xml:space="preserve"> (at [296]), the facility owner’s past conduct provides a basis for judgment as to its future conduct.</w:t>
      </w:r>
      <w:r w:rsidR="00AB7840">
        <w:rPr>
          <w:lang w:eastAsia="en-AU"/>
        </w:rPr>
        <w:t xml:space="preserve"> </w:t>
      </w:r>
      <w:r w:rsidR="009B237F">
        <w:rPr>
          <w:lang w:eastAsia="en-AU"/>
        </w:rPr>
        <w:t xml:space="preserve">Respectfully, we would not endorse the Tribunal’s further statement that it is unnecessary to consider the facility owner’s incentives to act in a manner that harms competition. </w:t>
      </w:r>
      <w:r w:rsidR="00AB7840">
        <w:rPr>
          <w:lang w:eastAsia="en-AU"/>
        </w:rPr>
        <w:t xml:space="preserve">We </w:t>
      </w:r>
      <w:r w:rsidR="009B237F">
        <w:rPr>
          <w:lang w:eastAsia="en-AU"/>
        </w:rPr>
        <w:t xml:space="preserve">consider that a facility owner’s past conduct provides a basis for judgment as to its </w:t>
      </w:r>
      <w:r w:rsidR="00763C7A">
        <w:rPr>
          <w:lang w:eastAsia="en-AU"/>
        </w:rPr>
        <w:t xml:space="preserve">likely </w:t>
      </w:r>
      <w:r w:rsidR="009B237F">
        <w:rPr>
          <w:lang w:eastAsia="en-AU"/>
        </w:rPr>
        <w:t xml:space="preserve">future conduct </w:t>
      </w:r>
      <w:r w:rsidR="004E4056">
        <w:rPr>
          <w:lang w:eastAsia="en-AU"/>
        </w:rPr>
        <w:t xml:space="preserve">assuming </w:t>
      </w:r>
      <w:r w:rsidR="00AB7840">
        <w:rPr>
          <w:lang w:eastAsia="en-AU"/>
        </w:rPr>
        <w:t>there has been no</w:t>
      </w:r>
      <w:r w:rsidR="004E4056">
        <w:rPr>
          <w:lang w:eastAsia="en-AU"/>
        </w:rPr>
        <w:t xml:space="preserve"> change to </w:t>
      </w:r>
      <w:r w:rsidR="00AB7840">
        <w:rPr>
          <w:lang w:eastAsia="en-AU"/>
        </w:rPr>
        <w:t xml:space="preserve">the commercial, regulatory and economic factors bearing upon the facility owner. A prediction about the future conduct of a firm based upon past conduct is </w:t>
      </w:r>
      <w:r w:rsidR="009B237F">
        <w:rPr>
          <w:lang w:eastAsia="en-AU"/>
        </w:rPr>
        <w:t>soundly based if due regard is had to the factors that influenced the firm’s past conduct</w:t>
      </w:r>
      <w:r w:rsidR="00AB7840">
        <w:rPr>
          <w:lang w:eastAsia="en-AU"/>
        </w:rPr>
        <w:t xml:space="preserve"> </w:t>
      </w:r>
      <w:r w:rsidR="009B237F">
        <w:rPr>
          <w:lang w:eastAsia="en-AU"/>
        </w:rPr>
        <w:t>and are likely to influence its future conduct.</w:t>
      </w:r>
    </w:p>
    <w:p w14:paraId="240B07EC" w14:textId="3093EEF3" w:rsidR="00C07BE2" w:rsidRDefault="00882D72" w:rsidP="00F1397C">
      <w:pPr>
        <w:pStyle w:val="ParaNumbering"/>
        <w:rPr>
          <w:lang w:eastAsia="en-AU"/>
        </w:rPr>
      </w:pPr>
      <w:r>
        <w:rPr>
          <w:lang w:eastAsia="en-AU"/>
        </w:rPr>
        <w:t xml:space="preserve">Also as discussed above, there are two </w:t>
      </w:r>
      <w:r w:rsidR="004A7FF8">
        <w:rPr>
          <w:lang w:eastAsia="en-AU"/>
        </w:rPr>
        <w:t xml:space="preserve">different circumstances in which </w:t>
      </w:r>
      <w:r>
        <w:rPr>
          <w:lang w:eastAsia="en-AU"/>
        </w:rPr>
        <w:t xml:space="preserve">economic problems may arise with bottleneck facilities: </w:t>
      </w:r>
      <w:r w:rsidR="004A7FF8">
        <w:rPr>
          <w:lang w:eastAsia="en-AU"/>
        </w:rPr>
        <w:t>one is where the owner of the facility is vertically</w:t>
      </w:r>
      <w:r w:rsidR="008762F2">
        <w:rPr>
          <w:lang w:eastAsia="en-AU"/>
        </w:rPr>
        <w:t xml:space="preserve"> </w:t>
      </w:r>
      <w:r w:rsidR="004A7FF8">
        <w:rPr>
          <w:lang w:eastAsia="en-AU"/>
        </w:rPr>
        <w:t xml:space="preserve">integrated with potentially competitive activities in upstream or downstream markets and the other </w:t>
      </w:r>
      <w:r>
        <w:rPr>
          <w:lang w:eastAsia="en-AU"/>
        </w:rPr>
        <w:t xml:space="preserve">is where the owner of the facility is not competing in upstream or downstream markets. </w:t>
      </w:r>
      <w:r w:rsidR="001144DA">
        <w:rPr>
          <w:lang w:eastAsia="en-AU"/>
        </w:rPr>
        <w:t>NSWMC contends that both circumstances exist in the present matter. The first is said to arise because one of PNO’s joint venture owners, China Merchants Group, has interests in container terminals. The second circumstance is associated with NSWMC’s principal concern about the “hold-up” risk of investment: that uncertainty over PNO’s future pricing decisions, and the risk that investments will be subject to “hold-up” (the extraction of economic rents from the investment</w:t>
      </w:r>
      <w:r w:rsidR="009A3893">
        <w:rPr>
          <w:lang w:eastAsia="en-AU"/>
        </w:rPr>
        <w:t xml:space="preserve"> by PNO increasing prices</w:t>
      </w:r>
      <w:r w:rsidR="001144DA">
        <w:rPr>
          <w:lang w:eastAsia="en-AU"/>
        </w:rPr>
        <w:t>)</w:t>
      </w:r>
      <w:r w:rsidR="009A3893">
        <w:rPr>
          <w:lang w:eastAsia="en-AU"/>
        </w:rPr>
        <w:t>, will result in a deferral of investment</w:t>
      </w:r>
      <w:r w:rsidR="001144DA">
        <w:rPr>
          <w:lang w:eastAsia="en-AU"/>
        </w:rPr>
        <w:t xml:space="preserve">. </w:t>
      </w:r>
      <w:r w:rsidR="009A3893">
        <w:rPr>
          <w:lang w:eastAsia="en-AU"/>
        </w:rPr>
        <w:t>It is necessary to consider</w:t>
      </w:r>
      <w:r w:rsidR="001144DA">
        <w:rPr>
          <w:lang w:eastAsia="en-AU"/>
        </w:rPr>
        <w:t xml:space="preserve"> </w:t>
      </w:r>
      <w:r w:rsidR="009A3893">
        <w:rPr>
          <w:lang w:eastAsia="en-AU"/>
        </w:rPr>
        <w:t>whether such circumstances are likely to arise having regard to the commercial, regulatory and economic factors bearing upon PNO.</w:t>
      </w:r>
    </w:p>
    <w:p w14:paraId="563BAAF8" w14:textId="77777777" w:rsidR="004559FF" w:rsidRDefault="004559FF" w:rsidP="004559FF">
      <w:pPr>
        <w:pStyle w:val="ParaNumbering"/>
        <w:rPr>
          <w:lang w:eastAsia="en-AU"/>
        </w:rPr>
      </w:pPr>
      <w:r>
        <w:rPr>
          <w:lang w:eastAsia="en-AU"/>
        </w:rPr>
        <w:t xml:space="preserve">In what follows, we </w:t>
      </w:r>
      <w:r w:rsidR="00E079D1">
        <w:rPr>
          <w:lang w:eastAsia="en-AU"/>
        </w:rPr>
        <w:t>describe</w:t>
      </w:r>
      <w:r>
        <w:rPr>
          <w:lang w:eastAsia="en-AU"/>
        </w:rPr>
        <w:t xml:space="preserve"> the main commercial, regulatory and economic factors bearing upon PNO and which may afford or constrain its market power in the supply of the shipping channel service. Those factors are: vertical integration; asset life and dependence on upstream customers; capacity constraints; PNO’s position within the coal supply chain; and the threat of future regulation of the Port. Those factors were considered in the NCC Recommendation.</w:t>
      </w:r>
    </w:p>
    <w:p w14:paraId="4A1ADBD0" w14:textId="77777777" w:rsidR="00785EA3" w:rsidRDefault="00785EA3" w:rsidP="00785EA3">
      <w:pPr>
        <w:pStyle w:val="Heading4"/>
        <w:rPr>
          <w:lang w:eastAsia="en-AU"/>
        </w:rPr>
      </w:pPr>
      <w:bookmarkStart w:id="68" w:name="_Ref78900512"/>
      <w:r>
        <w:rPr>
          <w:lang w:eastAsia="en-AU"/>
        </w:rPr>
        <w:t>Vertical integration</w:t>
      </w:r>
      <w:bookmarkEnd w:id="68"/>
    </w:p>
    <w:p w14:paraId="036F8DBD" w14:textId="71A027AF" w:rsidR="00FF24B8" w:rsidRDefault="009E4B44" w:rsidP="00271788">
      <w:pPr>
        <w:pStyle w:val="ParaNumbering"/>
        <w:rPr>
          <w:lang w:eastAsia="en-AU"/>
        </w:rPr>
      </w:pPr>
      <w:r>
        <w:rPr>
          <w:lang w:eastAsia="en-AU"/>
        </w:rPr>
        <w:t xml:space="preserve">The Tribunal does not accept NSWMC’s submission that PNO is vertically integrated in any relevant sense. </w:t>
      </w:r>
      <w:r w:rsidR="00C749AC">
        <w:rPr>
          <w:lang w:eastAsia="en-AU"/>
        </w:rPr>
        <w:t xml:space="preserve">The submission is premised </w:t>
      </w:r>
      <w:r w:rsidR="00772075">
        <w:rPr>
          <w:lang w:eastAsia="en-AU"/>
        </w:rPr>
        <w:t xml:space="preserve">on the contention that PNO has an incentive to favour the interests of one of its joint venture owners, China Merchants Group, over the </w:t>
      </w:r>
      <w:r w:rsidR="00772075">
        <w:rPr>
          <w:lang w:eastAsia="en-AU"/>
        </w:rPr>
        <w:lastRenderedPageBreak/>
        <w:t xml:space="preserve">interests of coal producers using the Port. There are two difficulties with the premise. First, it ignores PNO’s other joint venture owner, The Infrastructure Group, whose interests can be expected to be the maximisation of </w:t>
      </w:r>
      <w:r w:rsidR="00945086">
        <w:rPr>
          <w:lang w:eastAsia="en-AU"/>
        </w:rPr>
        <w:t xml:space="preserve">long run </w:t>
      </w:r>
      <w:r w:rsidR="00772075">
        <w:rPr>
          <w:lang w:eastAsia="en-AU"/>
        </w:rPr>
        <w:t xml:space="preserve">profits at the Port. Second, it assumes that the China Merchants Group will derive a financial benefit from the development of container terminal capacity at the Port (other than as a joint venture owner of the Port). The mechanism by which that would occur and the </w:t>
      </w:r>
      <w:r w:rsidR="00767571">
        <w:rPr>
          <w:lang w:eastAsia="en-AU"/>
        </w:rPr>
        <w:t>likelihood</w:t>
      </w:r>
      <w:r w:rsidR="00772075">
        <w:rPr>
          <w:lang w:eastAsia="en-AU"/>
        </w:rPr>
        <w:t xml:space="preserve"> of it happening were not explained or </w:t>
      </w:r>
      <w:r w:rsidR="00767571">
        <w:rPr>
          <w:lang w:eastAsia="en-AU"/>
        </w:rPr>
        <w:t xml:space="preserve">supported by evidence. Further </w:t>
      </w:r>
      <w:r w:rsidR="00772075">
        <w:rPr>
          <w:lang w:eastAsia="en-AU"/>
        </w:rPr>
        <w:t xml:space="preserve">and in any event, </w:t>
      </w:r>
      <w:r w:rsidR="00767571">
        <w:rPr>
          <w:lang w:eastAsia="en-AU"/>
        </w:rPr>
        <w:t>and a</w:t>
      </w:r>
      <w:r w:rsidR="00C749AC">
        <w:rPr>
          <w:lang w:eastAsia="en-AU"/>
        </w:rPr>
        <w:t xml:space="preserve">s acknowledged by NSWMC in its submissions, the proposed development of additional container capacity at the Port is forecast </w:t>
      </w:r>
      <w:r w:rsidR="00092E68">
        <w:rPr>
          <w:lang w:eastAsia="en-AU"/>
        </w:rPr>
        <w:t xml:space="preserve">not </w:t>
      </w:r>
      <w:r w:rsidR="00C749AC">
        <w:rPr>
          <w:lang w:eastAsia="en-AU"/>
        </w:rPr>
        <w:t xml:space="preserve">to be completed </w:t>
      </w:r>
      <w:r w:rsidR="00092E68">
        <w:rPr>
          <w:lang w:eastAsia="en-AU"/>
        </w:rPr>
        <w:t xml:space="preserve">for </w:t>
      </w:r>
      <w:r w:rsidR="00C749AC">
        <w:rPr>
          <w:lang w:eastAsia="en-AU"/>
        </w:rPr>
        <w:t>15 years.</w:t>
      </w:r>
    </w:p>
    <w:p w14:paraId="699D3099" w14:textId="77777777" w:rsidR="00767571" w:rsidRDefault="00767571" w:rsidP="00271788">
      <w:pPr>
        <w:pStyle w:val="ParaNumbering"/>
        <w:rPr>
          <w:lang w:eastAsia="en-AU"/>
        </w:rPr>
      </w:pPr>
      <w:r>
        <w:rPr>
          <w:lang w:eastAsia="en-AU"/>
        </w:rPr>
        <w:t xml:space="preserve">In all the circumstances, the contention that PNO is likely to set charges for coal producers at the Port </w:t>
      </w:r>
      <w:r w:rsidR="00AC0B7B">
        <w:rPr>
          <w:lang w:eastAsia="en-AU"/>
        </w:rPr>
        <w:t>across the</w:t>
      </w:r>
      <w:r w:rsidR="00945086">
        <w:rPr>
          <w:lang w:eastAsia="en-AU"/>
        </w:rPr>
        <w:t xml:space="preserve"> medium term </w:t>
      </w:r>
      <w:r>
        <w:rPr>
          <w:lang w:eastAsia="en-AU"/>
        </w:rPr>
        <w:t>so as to cross-subsidise the development of container terminal capacity has no reasonable foundation. The Tribunal therefore has no reason to doubt the correctness of the NCC’s conclusion that PNO is not vertically integrated in any meaningful way (at [7.53]):</w:t>
      </w:r>
    </w:p>
    <w:p w14:paraId="4E5E4C7A" w14:textId="77777777" w:rsidR="00336AF1" w:rsidRDefault="00767571" w:rsidP="00767571">
      <w:pPr>
        <w:pStyle w:val="Quote1"/>
        <w:rPr>
          <w:lang w:eastAsia="en-AU"/>
        </w:rPr>
      </w:pPr>
      <w:r w:rsidRPr="00767571">
        <w:rPr>
          <w:lang w:eastAsia="en-AU"/>
        </w:rPr>
        <w:t xml:space="preserve">The Revocation Recommendation considered the commercial interests of certain of PNO’s owners in bulk carrier vessels and container liners and concluded that these interests are indirect and in the (then) circumstances would be unlikely to materially impact </w:t>
      </w:r>
      <w:r w:rsidR="00232E11">
        <w:rPr>
          <w:lang w:eastAsia="en-AU"/>
        </w:rPr>
        <w:t>PNO’s operations at the Port.</w:t>
      </w:r>
      <w:r w:rsidRPr="00767571">
        <w:rPr>
          <w:lang w:eastAsia="en-AU"/>
        </w:rPr>
        <w:t xml:space="preserve"> While noting the submissions of the NSWMC and stakeholders regarding PNO’s proposed expansion of container terminal services at the Port, the Council does not consider that PNO is vertically integrated into dependent markets in any meaningful way</w:t>
      </w:r>
      <w:r w:rsidR="00232E11">
        <w:rPr>
          <w:lang w:eastAsia="en-AU"/>
        </w:rPr>
        <w:t>.</w:t>
      </w:r>
      <w:r>
        <w:rPr>
          <w:lang w:eastAsia="en-AU"/>
        </w:rPr>
        <w:t xml:space="preserve"> </w:t>
      </w:r>
    </w:p>
    <w:p w14:paraId="12A8B792" w14:textId="77777777" w:rsidR="00847792" w:rsidRDefault="00847792" w:rsidP="00847792">
      <w:pPr>
        <w:pStyle w:val="Heading4"/>
        <w:rPr>
          <w:lang w:eastAsia="en-AU"/>
        </w:rPr>
      </w:pPr>
      <w:bookmarkStart w:id="69" w:name="_Ref78900513"/>
      <w:r>
        <w:rPr>
          <w:lang w:eastAsia="en-AU"/>
        </w:rPr>
        <w:t>Asset life and dependence on upstream customers</w:t>
      </w:r>
      <w:bookmarkEnd w:id="69"/>
    </w:p>
    <w:p w14:paraId="6D9707F2" w14:textId="77777777" w:rsidR="00847792" w:rsidRDefault="00847792" w:rsidP="00847792">
      <w:pPr>
        <w:pStyle w:val="ParaNumbering"/>
        <w:rPr>
          <w:lang w:eastAsia="en-AU"/>
        </w:rPr>
      </w:pPr>
      <w:r>
        <w:rPr>
          <w:lang w:eastAsia="en-AU"/>
        </w:rPr>
        <w:t xml:space="preserve">PNO (and its joint venture owners) purchased a </w:t>
      </w:r>
      <w:r w:rsidRPr="00F54EEA">
        <w:rPr>
          <w:lang w:eastAsia="en-AU"/>
        </w:rPr>
        <w:t xml:space="preserve">98-year lease over the Port </w:t>
      </w:r>
      <w:r>
        <w:rPr>
          <w:lang w:eastAsia="en-AU"/>
        </w:rPr>
        <w:t xml:space="preserve">that commenced in </w:t>
      </w:r>
      <w:r w:rsidRPr="00F54EEA">
        <w:rPr>
          <w:lang w:eastAsia="en-AU"/>
        </w:rPr>
        <w:t>2014</w:t>
      </w:r>
      <w:r>
        <w:rPr>
          <w:lang w:eastAsia="en-AU"/>
        </w:rPr>
        <w:t xml:space="preserve">. The Tribunal agrees with the conclusion of the NCC (at [7.43]) that PNO has an incentive </w:t>
      </w:r>
      <w:r w:rsidRPr="00F54EEA">
        <w:rPr>
          <w:lang w:eastAsia="en-AU"/>
        </w:rPr>
        <w:t>to contract with Port users in a way that has regard to its ability to maximise its expected profits over the term of the lease</w:t>
      </w:r>
      <w:r>
        <w:rPr>
          <w:lang w:eastAsia="en-AU"/>
        </w:rPr>
        <w:t xml:space="preserve"> (which we will refer to as </w:t>
      </w:r>
      <w:r w:rsidRPr="002B1C14">
        <w:rPr>
          <w:lang w:eastAsia="en-AU"/>
        </w:rPr>
        <w:t>long run profit maximisation</w:t>
      </w:r>
      <w:r>
        <w:rPr>
          <w:lang w:eastAsia="en-AU"/>
        </w:rPr>
        <w:t>). If</w:t>
      </w:r>
      <w:r w:rsidRPr="00F54EEA">
        <w:rPr>
          <w:lang w:eastAsia="en-AU"/>
        </w:rPr>
        <w:t xml:space="preserve"> PNO </w:t>
      </w:r>
      <w:r>
        <w:rPr>
          <w:lang w:eastAsia="en-AU"/>
        </w:rPr>
        <w:t>were to set prices in a way that reduced</w:t>
      </w:r>
      <w:r w:rsidRPr="00F54EEA">
        <w:rPr>
          <w:lang w:eastAsia="en-AU"/>
        </w:rPr>
        <w:t xml:space="preserve"> future investment in coal mining activity in the Newcastle catchment, this may reduce</w:t>
      </w:r>
      <w:r>
        <w:rPr>
          <w:lang w:eastAsia="en-AU"/>
        </w:rPr>
        <w:t xml:space="preserve"> the</w:t>
      </w:r>
      <w:r w:rsidRPr="00F54EEA">
        <w:rPr>
          <w:lang w:eastAsia="en-AU"/>
        </w:rPr>
        <w:t xml:space="preserve"> future profits it can earn from its operation of the Port</w:t>
      </w:r>
      <w:r>
        <w:rPr>
          <w:lang w:eastAsia="en-AU"/>
        </w:rPr>
        <w:t>.</w:t>
      </w:r>
    </w:p>
    <w:p w14:paraId="5618B9B0" w14:textId="77777777" w:rsidR="00847792" w:rsidRDefault="00847792" w:rsidP="00847792">
      <w:pPr>
        <w:pStyle w:val="ParaNumbering"/>
        <w:rPr>
          <w:lang w:eastAsia="en-AU"/>
        </w:rPr>
      </w:pPr>
      <w:r>
        <w:rPr>
          <w:lang w:eastAsia="en-AU"/>
        </w:rPr>
        <w:t>The NCC noted (at [7.55]</w:t>
      </w:r>
      <w:r w:rsidR="00F13DA8">
        <w:rPr>
          <w:lang w:eastAsia="en-AU"/>
        </w:rPr>
        <w:t>-[7.56]</w:t>
      </w:r>
      <w:r>
        <w:rPr>
          <w:lang w:eastAsia="en-AU"/>
        </w:rPr>
        <w:t>) that t</w:t>
      </w:r>
      <w:r w:rsidRPr="00F54EEA">
        <w:rPr>
          <w:lang w:eastAsia="en-AU"/>
        </w:rPr>
        <w:t xml:space="preserve">he </w:t>
      </w:r>
      <w:r>
        <w:rPr>
          <w:lang w:eastAsia="en-AU"/>
        </w:rPr>
        <w:t xml:space="preserve">major part of the Port’s current business is export coal and the </w:t>
      </w:r>
      <w:r w:rsidRPr="00F54EEA">
        <w:rPr>
          <w:lang w:eastAsia="en-AU"/>
        </w:rPr>
        <w:t xml:space="preserve">provision of services </w:t>
      </w:r>
      <w:r>
        <w:rPr>
          <w:lang w:eastAsia="en-AU"/>
        </w:rPr>
        <w:t>for containers</w:t>
      </w:r>
      <w:r w:rsidRPr="00F54EEA">
        <w:rPr>
          <w:lang w:eastAsia="en-AU"/>
        </w:rPr>
        <w:t xml:space="preserve"> remains a small proportion of the Port’s activities. In 2019, the Port received 2,296 ships, 1,813 of which were coal vessels</w:t>
      </w:r>
      <w:r>
        <w:rPr>
          <w:lang w:eastAsia="en-AU"/>
        </w:rPr>
        <w:t xml:space="preserve"> (approximately 80%)</w:t>
      </w:r>
      <w:r w:rsidRPr="00F54EEA">
        <w:rPr>
          <w:lang w:eastAsia="en-AU"/>
        </w:rPr>
        <w:t>; the remaining 483 ships providing shipment of other pr</w:t>
      </w:r>
      <w:r>
        <w:rPr>
          <w:lang w:eastAsia="en-AU"/>
        </w:rPr>
        <w:t xml:space="preserve">oducts (including containers). In response to a submission that the Port has an incentive to transition its business away from coal toward containers, the NCC acknowledged (at [7.47]) that </w:t>
      </w:r>
      <w:r w:rsidRPr="0007481F">
        <w:rPr>
          <w:lang w:eastAsia="en-AU"/>
        </w:rPr>
        <w:t xml:space="preserve">the global transition </w:t>
      </w:r>
      <w:r w:rsidRPr="0007481F">
        <w:rPr>
          <w:lang w:eastAsia="en-AU"/>
        </w:rPr>
        <w:lastRenderedPageBreak/>
        <w:t>to other forms of energy generation can be expected to affect future coal production and exploration in the Hunter Valley and the future utilisation of the Port</w:t>
      </w:r>
      <w:r>
        <w:rPr>
          <w:lang w:eastAsia="en-AU"/>
        </w:rPr>
        <w:t>. Nevertheless, having regard to documents such as</w:t>
      </w:r>
      <w:r w:rsidR="00F13DA8">
        <w:rPr>
          <w:lang w:eastAsia="en-AU"/>
        </w:rPr>
        <w:t xml:space="preserve"> the</w:t>
      </w:r>
      <w:r>
        <w:rPr>
          <w:lang w:eastAsia="en-AU"/>
        </w:rPr>
        <w:t xml:space="preserve"> </w:t>
      </w:r>
      <w:r w:rsidRPr="0007481F">
        <w:rPr>
          <w:lang w:eastAsia="en-AU"/>
        </w:rPr>
        <w:t xml:space="preserve">June 2020 </w:t>
      </w:r>
      <w:r w:rsidRPr="0007481F">
        <w:rPr>
          <w:i/>
          <w:lang w:eastAsia="en-AU"/>
        </w:rPr>
        <w:t>Strategic Statement on Coal Exploration and Mining in NSW</w:t>
      </w:r>
      <w:r>
        <w:rPr>
          <w:lang w:eastAsia="en-AU"/>
        </w:rPr>
        <w:t xml:space="preserve"> released by </w:t>
      </w:r>
      <w:r w:rsidRPr="0007481F">
        <w:rPr>
          <w:lang w:eastAsia="en-AU"/>
        </w:rPr>
        <w:t>the NSW Government</w:t>
      </w:r>
      <w:r>
        <w:rPr>
          <w:lang w:eastAsia="en-AU"/>
        </w:rPr>
        <w:t xml:space="preserve">, the NCC concluded (at [7.49]) </w:t>
      </w:r>
      <w:r w:rsidRPr="0007481F">
        <w:rPr>
          <w:lang w:eastAsia="en-AU"/>
        </w:rPr>
        <w:t>that</w:t>
      </w:r>
      <w:r>
        <w:rPr>
          <w:lang w:eastAsia="en-AU"/>
        </w:rPr>
        <w:t xml:space="preserve"> </w:t>
      </w:r>
      <w:r w:rsidRPr="0007481F">
        <w:rPr>
          <w:lang w:eastAsia="en-AU"/>
        </w:rPr>
        <w:t>coal export activities are the majo</w:t>
      </w:r>
      <w:r>
        <w:rPr>
          <w:lang w:eastAsia="en-AU"/>
        </w:rPr>
        <w:t>r source of revenue at the Port</w:t>
      </w:r>
      <w:r w:rsidRPr="0007481F">
        <w:rPr>
          <w:lang w:eastAsia="en-AU"/>
        </w:rPr>
        <w:t xml:space="preserve"> and are likely to remain so in the short-to-medium term. </w:t>
      </w:r>
      <w:r>
        <w:rPr>
          <w:lang w:eastAsia="en-AU"/>
        </w:rPr>
        <w:t>The NCC expressed the view that, w</w:t>
      </w:r>
      <w:r w:rsidRPr="0007481F">
        <w:rPr>
          <w:lang w:eastAsia="en-AU"/>
        </w:rPr>
        <w:t>hile PNO may wish to increase the level of container terminal services provided at the Port into the future, it will</w:t>
      </w:r>
      <w:r>
        <w:rPr>
          <w:rStyle w:val="CommentReference"/>
        </w:rPr>
        <w:t xml:space="preserve"> </w:t>
      </w:r>
      <w:r w:rsidRPr="0007481F">
        <w:rPr>
          <w:lang w:eastAsia="en-AU"/>
        </w:rPr>
        <w:t xml:space="preserve">not </w:t>
      </w:r>
      <w:r w:rsidR="00263829">
        <w:rPr>
          <w:lang w:eastAsia="en-AU"/>
        </w:rPr>
        <w:t>want</w:t>
      </w:r>
      <w:r w:rsidRPr="0007481F">
        <w:rPr>
          <w:lang w:eastAsia="en-AU"/>
        </w:rPr>
        <w:t xml:space="preserve"> demand for coal export terminal services to decline</w:t>
      </w:r>
      <w:r>
        <w:rPr>
          <w:lang w:eastAsia="en-AU"/>
        </w:rPr>
        <w:t>.</w:t>
      </w:r>
    </w:p>
    <w:p w14:paraId="0D9868A3" w14:textId="77777777" w:rsidR="00847792" w:rsidRDefault="00847792" w:rsidP="00847792">
      <w:pPr>
        <w:pStyle w:val="ParaNumbering"/>
        <w:rPr>
          <w:lang w:eastAsia="en-AU"/>
        </w:rPr>
      </w:pPr>
      <w:r>
        <w:rPr>
          <w:lang w:eastAsia="en-AU"/>
        </w:rPr>
        <w:t xml:space="preserve">While NSWMC maintained the submission before the Tribunal that PNO will seek to transition the Port’s business away from coal exports towards containers, NSWMC accepted that the </w:t>
      </w:r>
      <w:r w:rsidR="00312601">
        <w:rPr>
          <w:lang w:eastAsia="en-AU"/>
        </w:rPr>
        <w:t xml:space="preserve">current </w:t>
      </w:r>
      <w:r>
        <w:rPr>
          <w:lang w:eastAsia="en-AU"/>
        </w:rPr>
        <w:t xml:space="preserve">timeframe for any redevelopment of a container terminal is 15 years. On the evidence before it, the Tribunal has no reason to doubt the NCC’s conclusion that </w:t>
      </w:r>
      <w:r w:rsidRPr="0007481F">
        <w:rPr>
          <w:lang w:eastAsia="en-AU"/>
        </w:rPr>
        <w:t xml:space="preserve">coal export activities are </w:t>
      </w:r>
      <w:r>
        <w:rPr>
          <w:lang w:eastAsia="en-AU"/>
        </w:rPr>
        <w:t xml:space="preserve">currently </w:t>
      </w:r>
      <w:r w:rsidRPr="0007481F">
        <w:rPr>
          <w:lang w:eastAsia="en-AU"/>
        </w:rPr>
        <w:t>the majo</w:t>
      </w:r>
      <w:r>
        <w:rPr>
          <w:lang w:eastAsia="en-AU"/>
        </w:rPr>
        <w:t>r source of revenue at the Port</w:t>
      </w:r>
      <w:r w:rsidRPr="0007481F">
        <w:rPr>
          <w:lang w:eastAsia="en-AU"/>
        </w:rPr>
        <w:t xml:space="preserve"> and are likely to remain so </w:t>
      </w:r>
      <w:r w:rsidR="00263829">
        <w:rPr>
          <w:lang w:eastAsia="en-AU"/>
        </w:rPr>
        <w:t xml:space="preserve">across the </w:t>
      </w:r>
      <w:r w:rsidRPr="0007481F">
        <w:rPr>
          <w:lang w:eastAsia="en-AU"/>
        </w:rPr>
        <w:t>medium term</w:t>
      </w:r>
      <w:r>
        <w:rPr>
          <w:lang w:eastAsia="en-AU"/>
        </w:rPr>
        <w:t xml:space="preserve">. It follows that revenues at the Port </w:t>
      </w:r>
      <w:r w:rsidR="00655EE5">
        <w:rPr>
          <w:lang w:eastAsia="en-AU"/>
        </w:rPr>
        <w:t xml:space="preserve">in the medium term </w:t>
      </w:r>
      <w:r>
        <w:rPr>
          <w:lang w:eastAsia="en-AU"/>
        </w:rPr>
        <w:t>are highly dependent on coal mining activities, and PNO’s business has a high degree of dependence on the ongoing viability of coal mining in the Hunter Valley.</w:t>
      </w:r>
    </w:p>
    <w:p w14:paraId="2AF2E492" w14:textId="77777777" w:rsidR="00451A9C" w:rsidRDefault="00451A9C" w:rsidP="00451A9C">
      <w:pPr>
        <w:pStyle w:val="Heading4"/>
        <w:rPr>
          <w:lang w:eastAsia="en-AU"/>
        </w:rPr>
      </w:pPr>
      <w:bookmarkStart w:id="70" w:name="_Ref78900514"/>
      <w:r>
        <w:rPr>
          <w:lang w:eastAsia="en-AU"/>
        </w:rPr>
        <w:t>Capacity constraints</w:t>
      </w:r>
      <w:bookmarkEnd w:id="70"/>
    </w:p>
    <w:p w14:paraId="43378716" w14:textId="77777777" w:rsidR="00451A9C" w:rsidRDefault="00451A9C" w:rsidP="00451A9C">
      <w:pPr>
        <w:pStyle w:val="ParaNumbering"/>
        <w:rPr>
          <w:lang w:eastAsia="en-AU"/>
        </w:rPr>
      </w:pPr>
      <w:r>
        <w:rPr>
          <w:lang w:eastAsia="en-AU"/>
        </w:rPr>
        <w:t xml:space="preserve">The NCC observed (at [7.54]) that, </w:t>
      </w:r>
      <w:r w:rsidRPr="000D64FE">
        <w:rPr>
          <w:lang w:eastAsia="en-AU"/>
        </w:rPr>
        <w:t>if the Port is not capacity constrained, it will be likely to set terms and conditions of access for unrelated groups of users (e.g. coal exporters and container terminal service providers) independently of each other. If, however, the Port were to become capacity constrained, its profit maximising set of prices for different groups of users may change. For instance, if container terminal service users generated greater levels of marginal profit than coal exporters, the Port would likely have an</w:t>
      </w:r>
      <w:r>
        <w:rPr>
          <w:lang w:eastAsia="en-AU"/>
        </w:rPr>
        <w:t xml:space="preserve"> </w:t>
      </w:r>
      <w:r w:rsidRPr="008A02D9">
        <w:rPr>
          <w:lang w:eastAsia="en-AU"/>
        </w:rPr>
        <w:t>incentive to increase the level of container terminal services it provides at the expense of coal export terminal services</w:t>
      </w:r>
      <w:r>
        <w:rPr>
          <w:lang w:eastAsia="en-AU"/>
        </w:rPr>
        <w:t>. The Tribunal agrees with those observations.</w:t>
      </w:r>
    </w:p>
    <w:p w14:paraId="44462CDC" w14:textId="77777777" w:rsidR="00451A9C" w:rsidRDefault="00451A9C" w:rsidP="00451A9C">
      <w:pPr>
        <w:pStyle w:val="ParaNumbering"/>
        <w:rPr>
          <w:lang w:eastAsia="en-AU"/>
        </w:rPr>
      </w:pPr>
      <w:r w:rsidRPr="000D64FE">
        <w:rPr>
          <w:lang w:eastAsia="en-AU"/>
        </w:rPr>
        <w:t xml:space="preserve">The NCC referred </w:t>
      </w:r>
      <w:r w:rsidR="00FD33D0">
        <w:rPr>
          <w:lang w:eastAsia="en-AU"/>
        </w:rPr>
        <w:t xml:space="preserve">(at [7.55]) </w:t>
      </w:r>
      <w:r w:rsidRPr="000D64FE">
        <w:rPr>
          <w:lang w:eastAsia="en-AU"/>
        </w:rPr>
        <w:t>to data provided by PNO about present and forecast capacity at the Port which indicated that the shipping channel can accommodate the safe movement of over 10,000 vessels per annum, vessel movements in 2017 were less than 50% of its capacity and, by 2031, PNO forecast the Port may receive up to 3,666 vessels per annum. On that basis, the NCC concluded that the Port is not presently capacity constrained and is unlikely to become capacity constrained in the foreseeable future (at [7.59]).</w:t>
      </w:r>
      <w:r>
        <w:rPr>
          <w:lang w:eastAsia="en-AU"/>
        </w:rPr>
        <w:t xml:space="preserve"> That conclusion was not disputed.</w:t>
      </w:r>
    </w:p>
    <w:p w14:paraId="5333D3E7" w14:textId="77777777" w:rsidR="00785EA3" w:rsidRDefault="00785EA3" w:rsidP="00785EA3">
      <w:pPr>
        <w:pStyle w:val="Heading4"/>
        <w:rPr>
          <w:lang w:eastAsia="en-AU"/>
        </w:rPr>
      </w:pPr>
      <w:bookmarkStart w:id="71" w:name="_Ref78900515"/>
      <w:r>
        <w:rPr>
          <w:lang w:eastAsia="en-AU"/>
        </w:rPr>
        <w:lastRenderedPageBreak/>
        <w:t xml:space="preserve">Commodity </w:t>
      </w:r>
      <w:r w:rsidR="004559FF">
        <w:rPr>
          <w:lang w:eastAsia="en-AU"/>
        </w:rPr>
        <w:t>supply chain</w:t>
      </w:r>
      <w:bookmarkEnd w:id="71"/>
      <w:r w:rsidR="00F54EEA">
        <w:rPr>
          <w:lang w:eastAsia="en-AU"/>
        </w:rPr>
        <w:t xml:space="preserve"> </w:t>
      </w:r>
    </w:p>
    <w:p w14:paraId="065538E9" w14:textId="77777777" w:rsidR="00312601" w:rsidRDefault="008F66FC" w:rsidP="00F94BE0">
      <w:pPr>
        <w:pStyle w:val="ParaNumbering"/>
        <w:rPr>
          <w:lang w:eastAsia="en-AU"/>
        </w:rPr>
      </w:pPr>
      <w:r>
        <w:rPr>
          <w:lang w:eastAsia="en-AU"/>
        </w:rPr>
        <w:t>In its 2013 Report, the Productivity Commission discussed the incentives and expected behaviour of a facility owner within a commodity export supply chain. The Commission observed (at p</w:t>
      </w:r>
      <w:r w:rsidR="00CA7839">
        <w:rPr>
          <w:lang w:eastAsia="en-AU"/>
        </w:rPr>
        <w:t>p</w:t>
      </w:r>
      <w:r>
        <w:rPr>
          <w:lang w:eastAsia="en-AU"/>
        </w:rPr>
        <w:t xml:space="preserve"> 89</w:t>
      </w:r>
      <w:r w:rsidR="00BB4E80">
        <w:rPr>
          <w:lang w:eastAsia="en-AU"/>
        </w:rPr>
        <w:t>-92</w:t>
      </w:r>
      <w:r>
        <w:rPr>
          <w:lang w:eastAsia="en-AU"/>
        </w:rPr>
        <w:t>) that, where Australian exporters have no ability to affect world prices, private incentives to maximise profits will generally be aligned with the efficient use of export infrastructure. Operators of commodity export facilities have an incentive to operate efficiently because they do not have any capacity to affect downstream prices where Australian suppliers are price takers in</w:t>
      </w:r>
      <w:r w:rsidR="00312601">
        <w:rPr>
          <w:lang w:eastAsia="en-AU"/>
        </w:rPr>
        <w:t xml:space="preserve"> bulk commodity export markets.</w:t>
      </w:r>
    </w:p>
    <w:p w14:paraId="0E74FD04" w14:textId="77777777" w:rsidR="00263829" w:rsidRDefault="00263829" w:rsidP="00902F99">
      <w:pPr>
        <w:pStyle w:val="ParaNumbering"/>
        <w:rPr>
          <w:lang w:eastAsia="en-AU"/>
        </w:rPr>
      </w:pPr>
      <w:r>
        <w:rPr>
          <w:lang w:eastAsia="en-AU"/>
        </w:rPr>
        <w:t>In the present matter, the Treasurer’s Reasons expressed the view that, because the coal tenements market (amongst other markets) is a derivative market of the coal export market, if declaration is unlikely to promote a material increase in competition in the coal export market there would be unlikely to be a material increase in competition in the coal tenements market. The NCC Recommendation expressed a similar view (at [1.26] and [7.148]-[7.151]). While the Tribunal ultimately agrees with this conclusion, it is necessary to explain why this is likely to be the case.</w:t>
      </w:r>
    </w:p>
    <w:p w14:paraId="391B4909" w14:textId="21BF0717" w:rsidR="00902F99" w:rsidRDefault="002F6182" w:rsidP="00902F99">
      <w:pPr>
        <w:pStyle w:val="ParaNumbering"/>
        <w:rPr>
          <w:lang w:eastAsia="en-AU"/>
        </w:rPr>
      </w:pPr>
      <w:r>
        <w:rPr>
          <w:lang w:eastAsia="en-AU"/>
        </w:rPr>
        <w:t>There is no dispute in the present matter that the coal export market is effectively competitive</w:t>
      </w:r>
      <w:r w:rsidR="00A478E2">
        <w:rPr>
          <w:lang w:eastAsia="en-AU"/>
        </w:rPr>
        <w:t xml:space="preserve"> and that t</w:t>
      </w:r>
      <w:r>
        <w:rPr>
          <w:lang w:eastAsia="en-AU"/>
        </w:rPr>
        <w:t xml:space="preserve">he </w:t>
      </w:r>
      <w:r w:rsidRPr="002F6182">
        <w:rPr>
          <w:lang w:eastAsia="en-AU"/>
        </w:rPr>
        <w:t>prices for coal in overseas export markets</w:t>
      </w:r>
      <w:r>
        <w:rPr>
          <w:lang w:eastAsia="en-AU"/>
        </w:rPr>
        <w:t xml:space="preserve"> </w:t>
      </w:r>
      <w:r w:rsidR="006F5162">
        <w:rPr>
          <w:lang w:eastAsia="en-AU"/>
        </w:rPr>
        <w:t xml:space="preserve">are </w:t>
      </w:r>
      <w:r>
        <w:rPr>
          <w:lang w:eastAsia="en-AU"/>
        </w:rPr>
        <w:t xml:space="preserve">unlikely to be materially </w:t>
      </w:r>
      <w:r w:rsidR="00D77D8A">
        <w:rPr>
          <w:lang w:eastAsia="en-AU"/>
        </w:rPr>
        <w:t>affected</w:t>
      </w:r>
      <w:r>
        <w:rPr>
          <w:lang w:eastAsia="en-AU"/>
        </w:rPr>
        <w:t xml:space="preserve"> by the volume of coal supplied from the </w:t>
      </w:r>
      <w:r w:rsidR="00D77D8A">
        <w:rPr>
          <w:lang w:eastAsia="en-AU"/>
        </w:rPr>
        <w:t xml:space="preserve">Newcastle catchment. </w:t>
      </w:r>
      <w:r w:rsidR="00902F99">
        <w:rPr>
          <w:lang w:eastAsia="en-AU"/>
        </w:rPr>
        <w:t xml:space="preserve">In other words, the Hunter Valley coal supply chain is in competition with other coal supply chains within Australia and around the world and is a price taker in world markets. </w:t>
      </w:r>
      <w:r w:rsidR="00902F99" w:rsidRPr="00902F99">
        <w:rPr>
          <w:lang w:eastAsia="en-AU"/>
        </w:rPr>
        <w:t xml:space="preserve">In the long run, international competition between the Hunter Valley and other actual and potential coal supply chains </w:t>
      </w:r>
      <w:r w:rsidR="00902F99">
        <w:rPr>
          <w:lang w:eastAsia="en-AU"/>
        </w:rPr>
        <w:t xml:space="preserve">will </w:t>
      </w:r>
      <w:r w:rsidR="0072505B">
        <w:rPr>
          <w:lang w:eastAsia="en-AU"/>
        </w:rPr>
        <w:t xml:space="preserve">tend to </w:t>
      </w:r>
      <w:r w:rsidR="00902F99">
        <w:rPr>
          <w:lang w:eastAsia="en-AU"/>
        </w:rPr>
        <w:t>limit</w:t>
      </w:r>
      <w:r w:rsidR="00902F99" w:rsidRPr="00902F99">
        <w:rPr>
          <w:lang w:eastAsia="en-AU"/>
        </w:rPr>
        <w:t xml:space="preserve"> all participants</w:t>
      </w:r>
      <w:r w:rsidR="00902F99">
        <w:rPr>
          <w:lang w:eastAsia="en-AU"/>
        </w:rPr>
        <w:t xml:space="preserve"> in the supply chain</w:t>
      </w:r>
      <w:r w:rsidR="00902F99" w:rsidRPr="00902F99">
        <w:rPr>
          <w:lang w:eastAsia="en-AU"/>
        </w:rPr>
        <w:t xml:space="preserve"> (miners, port, rail</w:t>
      </w:r>
      <w:r w:rsidR="00902F99">
        <w:rPr>
          <w:lang w:eastAsia="en-AU"/>
        </w:rPr>
        <w:t xml:space="preserve"> and </w:t>
      </w:r>
      <w:r w:rsidR="00902F99" w:rsidRPr="00902F99">
        <w:rPr>
          <w:lang w:eastAsia="en-AU"/>
        </w:rPr>
        <w:t>shipping) to normal expected returns on investments (adjusted for any supernormal returns associated with</w:t>
      </w:r>
      <w:r w:rsidR="00457DF2">
        <w:rPr>
          <w:lang w:eastAsia="en-AU"/>
        </w:rPr>
        <w:t>, for instance,</w:t>
      </w:r>
      <w:r w:rsidR="00902F99" w:rsidRPr="00902F99">
        <w:rPr>
          <w:lang w:eastAsia="en-AU"/>
        </w:rPr>
        <w:t xml:space="preserve"> specialised capital or grades of coal resources)</w:t>
      </w:r>
      <w:r w:rsidR="00902F99">
        <w:rPr>
          <w:lang w:eastAsia="en-AU"/>
        </w:rPr>
        <w:t>.</w:t>
      </w:r>
    </w:p>
    <w:p w14:paraId="66CDBC27" w14:textId="77777777" w:rsidR="007B140B" w:rsidRDefault="00BC6E66" w:rsidP="00426F04">
      <w:pPr>
        <w:pStyle w:val="ParaNumbering"/>
        <w:rPr>
          <w:lang w:eastAsia="en-AU"/>
        </w:rPr>
      </w:pPr>
      <w:r>
        <w:rPr>
          <w:lang w:eastAsia="en-AU"/>
        </w:rPr>
        <w:t xml:space="preserve">It is certainly feasible that pricing decisions of PNO </w:t>
      </w:r>
      <w:r w:rsidR="00451A9C">
        <w:rPr>
          <w:lang w:eastAsia="en-AU"/>
        </w:rPr>
        <w:t>c</w:t>
      </w:r>
      <w:r>
        <w:rPr>
          <w:lang w:eastAsia="en-AU"/>
        </w:rPr>
        <w:t xml:space="preserve">ould adversely impact </w:t>
      </w:r>
      <w:r w:rsidR="004A7FF8">
        <w:rPr>
          <w:lang w:eastAsia="en-AU"/>
        </w:rPr>
        <w:t>the valuation of tenements</w:t>
      </w:r>
      <w:r>
        <w:rPr>
          <w:lang w:eastAsia="en-AU"/>
        </w:rPr>
        <w:t xml:space="preserve"> in the coal tenements market notwithstanding that the coal export market is effectively competitive and the coal tenements market is derivative of the coal export market. </w:t>
      </w:r>
      <w:r w:rsidR="001B32C0">
        <w:rPr>
          <w:lang w:eastAsia="en-AU"/>
        </w:rPr>
        <w:t xml:space="preserve">Given that the current </w:t>
      </w:r>
      <w:r w:rsidR="00E24A0D">
        <w:rPr>
          <w:lang w:eastAsia="en-AU"/>
        </w:rPr>
        <w:t>navigation service charge</w:t>
      </w:r>
      <w:r w:rsidR="001B32C0">
        <w:rPr>
          <w:lang w:eastAsia="en-AU"/>
        </w:rPr>
        <w:t xml:space="preserve"> is small relative to the other production costs of Hunter Valley coal producers (which are set out below), it is reasonable to</w:t>
      </w:r>
      <w:r w:rsidR="007B140B">
        <w:rPr>
          <w:lang w:eastAsia="en-AU"/>
        </w:rPr>
        <w:t xml:space="preserve"> assume that, in the short run, the demand from Hunter Valley coal producers for the shipping channel service is highly inelastic</w:t>
      </w:r>
      <w:r w:rsidR="001B32C0">
        <w:rPr>
          <w:lang w:eastAsia="en-AU"/>
        </w:rPr>
        <w:t xml:space="preserve"> over a significant range of the </w:t>
      </w:r>
      <w:r w:rsidR="00E24A0D">
        <w:rPr>
          <w:lang w:eastAsia="en-AU"/>
        </w:rPr>
        <w:t>navigation service charge</w:t>
      </w:r>
      <w:r w:rsidR="001B32C0">
        <w:rPr>
          <w:lang w:eastAsia="en-AU"/>
        </w:rPr>
        <w:t xml:space="preserve">. It is also reasonable to assume that the incremental cost of additional vessel movements is a very small proportion </w:t>
      </w:r>
      <w:r w:rsidR="001B32C0">
        <w:rPr>
          <w:lang w:eastAsia="en-AU"/>
        </w:rPr>
        <w:lastRenderedPageBreak/>
        <w:t>of PNO’s costs. Consequently, in principle,</w:t>
      </w:r>
      <w:r w:rsidR="007B140B">
        <w:rPr>
          <w:lang w:eastAsia="en-AU"/>
        </w:rPr>
        <w:t xml:space="preserve"> PNO</w:t>
      </w:r>
      <w:r w:rsidR="001B32C0">
        <w:rPr>
          <w:lang w:eastAsia="en-AU"/>
        </w:rPr>
        <w:t xml:space="preserve"> could increase its</w:t>
      </w:r>
      <w:r w:rsidR="007B140B">
        <w:rPr>
          <w:lang w:eastAsia="en-AU"/>
        </w:rPr>
        <w:t xml:space="preserve"> short run profits </w:t>
      </w:r>
      <w:r w:rsidR="001B32C0">
        <w:rPr>
          <w:lang w:eastAsia="en-AU"/>
        </w:rPr>
        <w:t xml:space="preserve">from coal vessels </w:t>
      </w:r>
      <w:r w:rsidR="007B140B">
        <w:rPr>
          <w:lang w:eastAsia="en-AU"/>
        </w:rPr>
        <w:t xml:space="preserve">by </w:t>
      </w:r>
      <w:r w:rsidR="001B32C0">
        <w:rPr>
          <w:lang w:eastAsia="en-AU"/>
        </w:rPr>
        <w:t>increasing the</w:t>
      </w:r>
      <w:r w:rsidR="007B140B">
        <w:rPr>
          <w:lang w:eastAsia="en-AU"/>
        </w:rPr>
        <w:t xml:space="preserve"> price for the </w:t>
      </w:r>
      <w:r w:rsidR="007B140B" w:rsidRPr="00145375">
        <w:rPr>
          <w:lang w:eastAsia="en-AU"/>
        </w:rPr>
        <w:t>shipping channel service</w:t>
      </w:r>
      <w:r w:rsidR="007B140B">
        <w:rPr>
          <w:lang w:eastAsia="en-AU"/>
        </w:rPr>
        <w:t xml:space="preserve"> </w:t>
      </w:r>
      <w:r w:rsidR="005A1FFD">
        <w:rPr>
          <w:lang w:eastAsia="en-AU"/>
        </w:rPr>
        <w:t>to the level at which</w:t>
      </w:r>
      <w:r w:rsidR="001B32C0">
        <w:rPr>
          <w:lang w:eastAsia="en-AU"/>
        </w:rPr>
        <w:t xml:space="preserve"> coal producers began to reduce their output and the consequent demand for Port services</w:t>
      </w:r>
      <w:r w:rsidR="007B140B">
        <w:rPr>
          <w:lang w:eastAsia="en-AU"/>
        </w:rPr>
        <w:t xml:space="preserve">. </w:t>
      </w:r>
      <w:r w:rsidR="003E5F7E">
        <w:rPr>
          <w:lang w:eastAsia="en-AU"/>
        </w:rPr>
        <w:t xml:space="preserve">Setting the </w:t>
      </w:r>
      <w:r w:rsidR="00E24A0D">
        <w:rPr>
          <w:lang w:eastAsia="en-AU"/>
        </w:rPr>
        <w:t>navigation service charge</w:t>
      </w:r>
      <w:r w:rsidR="00451A9C" w:rsidRPr="00451A9C">
        <w:rPr>
          <w:lang w:eastAsia="en-AU"/>
        </w:rPr>
        <w:t xml:space="preserve"> </w:t>
      </w:r>
      <w:r w:rsidR="007B140B">
        <w:rPr>
          <w:lang w:eastAsia="en-AU"/>
        </w:rPr>
        <w:t>at</w:t>
      </w:r>
      <w:r w:rsidR="00451A9C" w:rsidRPr="00451A9C">
        <w:rPr>
          <w:lang w:eastAsia="en-AU"/>
        </w:rPr>
        <w:t xml:space="preserve"> </w:t>
      </w:r>
      <w:r w:rsidR="001B32C0">
        <w:rPr>
          <w:lang w:eastAsia="en-AU"/>
        </w:rPr>
        <w:t xml:space="preserve">or above </w:t>
      </w:r>
      <w:r w:rsidR="007B140B">
        <w:rPr>
          <w:lang w:eastAsia="en-AU"/>
        </w:rPr>
        <w:t xml:space="preserve">that level </w:t>
      </w:r>
      <w:r w:rsidR="003E5F7E">
        <w:rPr>
          <w:lang w:eastAsia="en-AU"/>
        </w:rPr>
        <w:t>c</w:t>
      </w:r>
      <w:r w:rsidR="001B32C0">
        <w:rPr>
          <w:lang w:eastAsia="en-AU"/>
        </w:rPr>
        <w:t xml:space="preserve">ould </w:t>
      </w:r>
      <w:r w:rsidR="00451A9C" w:rsidRPr="00451A9C">
        <w:rPr>
          <w:lang w:eastAsia="en-AU"/>
        </w:rPr>
        <w:t>cause coal mining and export from the Hunter Valley to become uneconomic for some mines</w:t>
      </w:r>
      <w:r w:rsidR="007B140B">
        <w:rPr>
          <w:lang w:eastAsia="en-AU"/>
        </w:rPr>
        <w:t>, which would harm allocative efficiency</w:t>
      </w:r>
      <w:r w:rsidR="00451A9C">
        <w:rPr>
          <w:lang w:eastAsia="en-AU"/>
        </w:rPr>
        <w:t>.</w:t>
      </w:r>
      <w:r w:rsidR="00451A9C" w:rsidRPr="00451A9C">
        <w:rPr>
          <w:lang w:eastAsia="en-AU"/>
        </w:rPr>
        <w:t xml:space="preserve"> </w:t>
      </w:r>
    </w:p>
    <w:p w14:paraId="7DB814DB" w14:textId="77777777" w:rsidR="000D64FE" w:rsidRDefault="000D64FE" w:rsidP="00426F04">
      <w:pPr>
        <w:pStyle w:val="ParaNumbering"/>
        <w:rPr>
          <w:lang w:eastAsia="en-AU"/>
        </w:rPr>
      </w:pPr>
      <w:r>
        <w:rPr>
          <w:lang w:eastAsia="en-AU"/>
        </w:rPr>
        <w:t xml:space="preserve">However, </w:t>
      </w:r>
      <w:r w:rsidR="00451A9C">
        <w:rPr>
          <w:lang w:eastAsia="en-AU"/>
        </w:rPr>
        <w:t xml:space="preserve">PNO’s position </w:t>
      </w:r>
      <w:r w:rsidR="007B140B">
        <w:rPr>
          <w:lang w:eastAsia="en-AU"/>
        </w:rPr>
        <w:t xml:space="preserve">as </w:t>
      </w:r>
      <w:r w:rsidR="002302F0">
        <w:rPr>
          <w:lang w:eastAsia="en-AU"/>
        </w:rPr>
        <w:t>operator</w:t>
      </w:r>
      <w:r w:rsidR="007B140B">
        <w:rPr>
          <w:lang w:eastAsia="en-AU"/>
        </w:rPr>
        <w:t xml:space="preserve"> of the Port assets (under a 98 year lease) </w:t>
      </w:r>
      <w:r>
        <w:rPr>
          <w:lang w:eastAsia="en-AU"/>
        </w:rPr>
        <w:t xml:space="preserve">within the Hunter Valley coal supply chain, in which the coal export market is effectively competitive and coal producers are price takers, </w:t>
      </w:r>
      <w:r w:rsidR="00451A9C">
        <w:rPr>
          <w:lang w:eastAsia="en-AU"/>
        </w:rPr>
        <w:t xml:space="preserve">significantly constrains PNO’s pricing behaviour. </w:t>
      </w:r>
      <w:r w:rsidR="00B44A76">
        <w:rPr>
          <w:lang w:eastAsia="en-AU"/>
        </w:rPr>
        <w:t>As noted above, g</w:t>
      </w:r>
      <w:r w:rsidR="007B140B">
        <w:rPr>
          <w:lang w:eastAsia="en-AU"/>
        </w:rPr>
        <w:t xml:space="preserve">iven the asset life of the Port, PNO has an incentive </w:t>
      </w:r>
      <w:r w:rsidR="007B140B" w:rsidRPr="00F54EEA">
        <w:rPr>
          <w:lang w:eastAsia="en-AU"/>
        </w:rPr>
        <w:t xml:space="preserve">to </w:t>
      </w:r>
      <w:r w:rsidR="007B140B">
        <w:rPr>
          <w:lang w:eastAsia="en-AU"/>
        </w:rPr>
        <w:t>set prices</w:t>
      </w:r>
      <w:r w:rsidR="007B140B" w:rsidRPr="00F54EEA">
        <w:rPr>
          <w:lang w:eastAsia="en-AU"/>
        </w:rPr>
        <w:t xml:space="preserve"> in a way that has regard to its ability to maximise its expected profits over the term of the lease</w:t>
      </w:r>
      <w:r w:rsidR="00B44A76">
        <w:rPr>
          <w:lang w:eastAsia="en-AU"/>
        </w:rPr>
        <w:t>.</w:t>
      </w:r>
      <w:r w:rsidR="007B140B">
        <w:rPr>
          <w:lang w:eastAsia="en-AU"/>
        </w:rPr>
        <w:t xml:space="preserve"> </w:t>
      </w:r>
      <w:r w:rsidR="00451A9C">
        <w:rPr>
          <w:lang w:eastAsia="en-AU"/>
        </w:rPr>
        <w:t xml:space="preserve">If PNO were to increase prices in a manner that caused </w:t>
      </w:r>
      <w:r w:rsidR="00451A9C" w:rsidRPr="00451A9C">
        <w:rPr>
          <w:lang w:eastAsia="en-AU"/>
        </w:rPr>
        <w:t>coal mining and export</w:t>
      </w:r>
      <w:r w:rsidR="00451A9C">
        <w:rPr>
          <w:lang w:eastAsia="en-AU"/>
        </w:rPr>
        <w:t xml:space="preserve"> to decline, it is likely that its </w:t>
      </w:r>
      <w:r w:rsidR="007B140B">
        <w:rPr>
          <w:lang w:eastAsia="en-AU"/>
        </w:rPr>
        <w:t xml:space="preserve">long term </w:t>
      </w:r>
      <w:r w:rsidR="00451A9C">
        <w:t>revenue and profits would be adversely affected, leaving the Port with even greater spare capacity which is highly unlikely to be utilized in the near term by other potential users of its services</w:t>
      </w:r>
      <w:r>
        <w:rPr>
          <w:lang w:eastAsia="en-AU"/>
        </w:rPr>
        <w:t>.</w:t>
      </w:r>
      <w:r w:rsidR="00426F04">
        <w:rPr>
          <w:lang w:eastAsia="en-AU"/>
        </w:rPr>
        <w:t xml:space="preserve"> Similarly, if PNO</w:t>
      </w:r>
      <w:r w:rsidR="00426F04" w:rsidRPr="00426F04">
        <w:rPr>
          <w:lang w:eastAsia="en-AU"/>
        </w:rPr>
        <w:t xml:space="preserve"> </w:t>
      </w:r>
      <w:r w:rsidR="00426F04">
        <w:rPr>
          <w:lang w:eastAsia="en-AU"/>
        </w:rPr>
        <w:t>were to increase</w:t>
      </w:r>
      <w:r w:rsidR="00426F04" w:rsidRPr="00426F04">
        <w:rPr>
          <w:lang w:eastAsia="en-AU"/>
        </w:rPr>
        <w:t xml:space="preserve"> price</w:t>
      </w:r>
      <w:r w:rsidR="00426F04">
        <w:rPr>
          <w:lang w:eastAsia="en-AU"/>
        </w:rPr>
        <w:t>s</w:t>
      </w:r>
      <w:r w:rsidR="00426F04" w:rsidRPr="00426F04">
        <w:rPr>
          <w:lang w:eastAsia="en-AU"/>
        </w:rPr>
        <w:t xml:space="preserve"> to user</w:t>
      </w:r>
      <w:r w:rsidR="00426F04">
        <w:rPr>
          <w:lang w:eastAsia="en-AU"/>
        </w:rPr>
        <w:t>s</w:t>
      </w:r>
      <w:r w:rsidR="00426F04" w:rsidRPr="00426F04">
        <w:rPr>
          <w:lang w:eastAsia="en-AU"/>
        </w:rPr>
        <w:t xml:space="preserve"> </w:t>
      </w:r>
      <w:r w:rsidR="00426F04">
        <w:rPr>
          <w:lang w:eastAsia="en-AU"/>
        </w:rPr>
        <w:t>such that</w:t>
      </w:r>
      <w:r w:rsidR="00426F04" w:rsidRPr="00426F04">
        <w:rPr>
          <w:lang w:eastAsia="en-AU"/>
        </w:rPr>
        <w:t xml:space="preserve"> </w:t>
      </w:r>
      <w:r w:rsidR="002302F0">
        <w:rPr>
          <w:lang w:eastAsia="en-AU"/>
        </w:rPr>
        <w:t xml:space="preserve">their </w:t>
      </w:r>
      <w:r w:rsidR="00426F04" w:rsidRPr="00426F04">
        <w:rPr>
          <w:lang w:eastAsia="en-AU"/>
        </w:rPr>
        <w:t xml:space="preserve">marginal costs </w:t>
      </w:r>
      <w:r w:rsidR="00426F04">
        <w:rPr>
          <w:lang w:eastAsia="en-AU"/>
        </w:rPr>
        <w:t>were</w:t>
      </w:r>
      <w:r w:rsidR="00426F04" w:rsidRPr="00426F04">
        <w:rPr>
          <w:lang w:eastAsia="en-AU"/>
        </w:rPr>
        <w:t xml:space="preserve"> just covered by marginal revenue (the price receive</w:t>
      </w:r>
      <w:r w:rsidR="00426F04">
        <w:rPr>
          <w:lang w:eastAsia="en-AU"/>
        </w:rPr>
        <w:t xml:space="preserve">d in the coal export market), </w:t>
      </w:r>
      <w:r w:rsidR="00426F04" w:rsidRPr="00426F04">
        <w:rPr>
          <w:lang w:eastAsia="en-AU"/>
        </w:rPr>
        <w:t xml:space="preserve">production and coal export </w:t>
      </w:r>
      <w:r w:rsidR="00426F04">
        <w:rPr>
          <w:lang w:eastAsia="en-AU"/>
        </w:rPr>
        <w:t>may</w:t>
      </w:r>
      <w:r w:rsidR="00426F04" w:rsidRPr="00426F04">
        <w:rPr>
          <w:lang w:eastAsia="en-AU"/>
        </w:rPr>
        <w:t xml:space="preserve"> continue</w:t>
      </w:r>
      <w:r w:rsidR="00426F04">
        <w:rPr>
          <w:lang w:eastAsia="en-AU"/>
        </w:rPr>
        <w:t xml:space="preserve"> </w:t>
      </w:r>
      <w:r w:rsidR="00426F04" w:rsidRPr="00426F04">
        <w:rPr>
          <w:lang w:eastAsia="en-AU"/>
        </w:rPr>
        <w:t>at existing levels, but existing c</w:t>
      </w:r>
      <w:r w:rsidR="00426F04">
        <w:rPr>
          <w:lang w:eastAsia="en-AU"/>
        </w:rPr>
        <w:t xml:space="preserve">oal miners would not receive an </w:t>
      </w:r>
      <w:r w:rsidR="00426F04" w:rsidRPr="00426F04">
        <w:rPr>
          <w:lang w:eastAsia="en-AU"/>
        </w:rPr>
        <w:t>adequate return on their past investment</w:t>
      </w:r>
      <w:r w:rsidR="00426F04">
        <w:rPr>
          <w:lang w:eastAsia="en-AU"/>
        </w:rPr>
        <w:t>. In turn, this would cause</w:t>
      </w:r>
      <w:r w:rsidR="00426F04" w:rsidRPr="00426F04">
        <w:rPr>
          <w:lang w:eastAsia="en-AU"/>
        </w:rPr>
        <w:t xml:space="preserve"> price</w:t>
      </w:r>
      <w:r w:rsidR="00426F04">
        <w:rPr>
          <w:lang w:eastAsia="en-AU"/>
        </w:rPr>
        <w:t>s</w:t>
      </w:r>
      <w:r w:rsidR="00426F04" w:rsidRPr="00426F04">
        <w:rPr>
          <w:lang w:eastAsia="en-AU"/>
        </w:rPr>
        <w:t xml:space="preserve"> in the secondary markets for coal tenements </w:t>
      </w:r>
      <w:r w:rsidR="00426F04">
        <w:rPr>
          <w:lang w:eastAsia="en-AU"/>
        </w:rPr>
        <w:t>to</w:t>
      </w:r>
      <w:r w:rsidR="00426F04" w:rsidRPr="00426F04">
        <w:rPr>
          <w:lang w:eastAsia="en-AU"/>
        </w:rPr>
        <w:t xml:space="preserve"> fall </w:t>
      </w:r>
      <w:r w:rsidR="00426F04">
        <w:rPr>
          <w:lang w:eastAsia="en-AU"/>
        </w:rPr>
        <w:t xml:space="preserve">and </w:t>
      </w:r>
      <w:r w:rsidR="00426F04" w:rsidRPr="00426F04">
        <w:rPr>
          <w:lang w:eastAsia="en-AU"/>
        </w:rPr>
        <w:t xml:space="preserve">there would be no activity in the primary market for exploration and development of new coal tenements, since </w:t>
      </w:r>
      <w:r w:rsidR="00426F04">
        <w:rPr>
          <w:lang w:eastAsia="en-AU"/>
        </w:rPr>
        <w:t xml:space="preserve">it would not be possible to recover </w:t>
      </w:r>
      <w:r w:rsidR="00426F04" w:rsidRPr="00426F04">
        <w:rPr>
          <w:lang w:eastAsia="en-AU"/>
        </w:rPr>
        <w:t>sunk and fixed costs</w:t>
      </w:r>
      <w:r w:rsidR="00426F04">
        <w:rPr>
          <w:lang w:eastAsia="en-AU"/>
        </w:rPr>
        <w:t>.</w:t>
      </w:r>
      <w:r w:rsidR="00B44A76">
        <w:rPr>
          <w:lang w:eastAsia="en-AU"/>
        </w:rPr>
        <w:t xml:space="preserve"> Again, such outcomes are likely to impact negatively on PNO’s long term profits.</w:t>
      </w:r>
    </w:p>
    <w:p w14:paraId="1A051CF5" w14:textId="77777777" w:rsidR="00B44A76" w:rsidRDefault="00B44A76" w:rsidP="00426F04">
      <w:pPr>
        <w:pStyle w:val="ParaNumbering"/>
        <w:rPr>
          <w:lang w:eastAsia="en-AU"/>
        </w:rPr>
      </w:pPr>
      <w:r>
        <w:rPr>
          <w:lang w:eastAsia="en-AU"/>
        </w:rPr>
        <w:t>For those reasons, the Tribunal agrees with the conclusions of the NCC (at [7.43]) that:</w:t>
      </w:r>
    </w:p>
    <w:p w14:paraId="51349F2C" w14:textId="77777777" w:rsidR="0044410B" w:rsidRDefault="0044410B" w:rsidP="00B44A76">
      <w:pPr>
        <w:pStyle w:val="Quote1"/>
        <w:rPr>
          <w:lang w:eastAsia="en-AU"/>
        </w:rPr>
      </w:pPr>
      <w:r>
        <w:rPr>
          <w:lang w:eastAsia="en-AU"/>
        </w:rPr>
        <w:t>…</w:t>
      </w:r>
      <w:r w:rsidR="00B44A76" w:rsidRPr="00B44A76">
        <w:t xml:space="preserve"> </w:t>
      </w:r>
      <w:r w:rsidR="00B44A76" w:rsidRPr="00B44A76">
        <w:rPr>
          <w:lang w:eastAsia="en-AU"/>
        </w:rPr>
        <w:t>where PNO prices in a way that reduces future investment in coal mining activity in the Newcastle catchment, this may reduce future profits it can earn from its operation of the Port. This is likely to be an important consideration over the long-term duration of PNO’s lease, as future investors who have not made sunk investments yet will have the option to invest in other opportunities, including in developing coal mines in other areas not served by the Port. In this context, harm to PNO’s reputation as the operator of the Port can be expected to impact on its commercial returns</w:t>
      </w:r>
      <w:r w:rsidR="00B44A76">
        <w:rPr>
          <w:lang w:eastAsia="en-AU"/>
        </w:rPr>
        <w:t>.</w:t>
      </w:r>
    </w:p>
    <w:p w14:paraId="6ACB2F5A" w14:textId="77777777" w:rsidR="00B44A76" w:rsidRDefault="00B44A76" w:rsidP="00B44A76">
      <w:pPr>
        <w:pStyle w:val="Quote1"/>
        <w:ind w:left="0"/>
        <w:rPr>
          <w:lang w:eastAsia="en-AU"/>
        </w:rPr>
      </w:pPr>
      <w:r>
        <w:rPr>
          <w:lang w:eastAsia="en-AU"/>
        </w:rPr>
        <w:t>and (at [7.44]) that:</w:t>
      </w:r>
    </w:p>
    <w:p w14:paraId="0FE47DC5" w14:textId="77777777" w:rsidR="00B44A76" w:rsidRDefault="00B44A76" w:rsidP="00B44A76">
      <w:pPr>
        <w:pStyle w:val="Quote1"/>
        <w:rPr>
          <w:lang w:eastAsia="en-AU"/>
        </w:rPr>
      </w:pPr>
      <w:r>
        <w:rPr>
          <w:lang w:eastAsia="en-AU"/>
        </w:rPr>
        <w:t>…</w:t>
      </w:r>
      <w:r w:rsidRPr="00B44A76">
        <w:rPr>
          <w:lang w:eastAsia="en-AU"/>
        </w:rPr>
        <w:t xml:space="preserve">pricing today by PNO to maximise its short-term profits (by, for instance, expropriating or ‘holding-up’ those miners that have already sunk costs in coal exploration/mining) would risk sending a signal to potential future investors that it might act in the same way after they make sunk investments in the future. Where investors fear PNO might act in this way in the future, they may be less likely to invest </w:t>
      </w:r>
      <w:r w:rsidRPr="00B44A76">
        <w:rPr>
          <w:lang w:eastAsia="en-AU"/>
        </w:rPr>
        <w:lastRenderedPageBreak/>
        <w:t>in coal exploration/mining activity in the Newcastle catchment in a way that would reduce PNO’s profits over the longer term</w:t>
      </w:r>
      <w:r>
        <w:rPr>
          <w:lang w:eastAsia="en-AU"/>
        </w:rPr>
        <w:t>.</w:t>
      </w:r>
    </w:p>
    <w:p w14:paraId="4BB99B99" w14:textId="77777777" w:rsidR="007B140B" w:rsidRDefault="00851A18" w:rsidP="002E0009">
      <w:pPr>
        <w:pStyle w:val="ParaNumbering"/>
        <w:rPr>
          <w:lang w:eastAsia="en-AU"/>
        </w:rPr>
      </w:pPr>
      <w:r>
        <w:rPr>
          <w:lang w:eastAsia="en-AU"/>
        </w:rPr>
        <w:t xml:space="preserve">As noted above, the NCC concluded that, while </w:t>
      </w:r>
      <w:r w:rsidRPr="0007481F">
        <w:rPr>
          <w:lang w:eastAsia="en-AU"/>
        </w:rPr>
        <w:t>the global transition to other forms of energy generation can be expected to affect future coal production and exploration in the Hunter Valley</w:t>
      </w:r>
      <w:r>
        <w:rPr>
          <w:lang w:eastAsia="en-AU"/>
        </w:rPr>
        <w:t xml:space="preserve">, </w:t>
      </w:r>
      <w:r w:rsidRPr="0007481F">
        <w:rPr>
          <w:lang w:eastAsia="en-AU"/>
        </w:rPr>
        <w:t>coal export activities are</w:t>
      </w:r>
      <w:r>
        <w:rPr>
          <w:lang w:eastAsia="en-AU"/>
        </w:rPr>
        <w:t xml:space="preserve"> likely to remain</w:t>
      </w:r>
      <w:r w:rsidRPr="0007481F">
        <w:rPr>
          <w:lang w:eastAsia="en-AU"/>
        </w:rPr>
        <w:t xml:space="preserve"> the majo</w:t>
      </w:r>
      <w:r>
        <w:rPr>
          <w:lang w:eastAsia="en-AU"/>
        </w:rPr>
        <w:t>r source of revenue at the Port</w:t>
      </w:r>
      <w:r w:rsidRPr="0007481F">
        <w:rPr>
          <w:lang w:eastAsia="en-AU"/>
        </w:rPr>
        <w:t xml:space="preserve"> in the short-to-medium term.</w:t>
      </w:r>
      <w:r>
        <w:rPr>
          <w:lang w:eastAsia="en-AU"/>
        </w:rPr>
        <w:t xml:space="preserve"> </w:t>
      </w:r>
      <w:r w:rsidR="003204DE">
        <w:rPr>
          <w:lang w:eastAsia="en-AU"/>
        </w:rPr>
        <w:t xml:space="preserve">Accordingly, </w:t>
      </w:r>
      <w:r w:rsidR="003E5F7E">
        <w:rPr>
          <w:lang w:eastAsia="en-AU"/>
        </w:rPr>
        <w:t>across</w:t>
      </w:r>
      <w:r w:rsidR="003204DE">
        <w:rPr>
          <w:lang w:eastAsia="en-AU"/>
        </w:rPr>
        <w:t xml:space="preserve"> the medium term, PNO’s pricing behaviour would be expected to be constrained by its position within the Hunter Valley supply chain which is exposed to international competition in the coal export market. </w:t>
      </w:r>
      <w:r w:rsidR="007B140B">
        <w:rPr>
          <w:lang w:eastAsia="en-AU"/>
        </w:rPr>
        <w:t xml:space="preserve">In so far as PNO sets prices </w:t>
      </w:r>
      <w:r w:rsidR="008771C6">
        <w:rPr>
          <w:lang w:eastAsia="en-AU"/>
        </w:rPr>
        <w:t xml:space="preserve">higher than is necessary to recover its </w:t>
      </w:r>
      <w:r w:rsidR="007B140B">
        <w:rPr>
          <w:lang w:eastAsia="en-AU"/>
        </w:rPr>
        <w:t xml:space="preserve">long run costs, it </w:t>
      </w:r>
      <w:r w:rsidR="003204DE">
        <w:rPr>
          <w:lang w:eastAsia="en-AU"/>
        </w:rPr>
        <w:t>would be likely to</w:t>
      </w:r>
      <w:r w:rsidR="007B140B">
        <w:rPr>
          <w:lang w:eastAsia="en-AU"/>
        </w:rPr>
        <w:t xml:space="preserve"> harm the competitive position of Hunter Valley coal producers and the associated supply chain</w:t>
      </w:r>
      <w:r w:rsidR="003204DE">
        <w:rPr>
          <w:lang w:eastAsia="en-AU"/>
        </w:rPr>
        <w:t>,</w:t>
      </w:r>
      <w:r w:rsidR="007B140B">
        <w:rPr>
          <w:lang w:eastAsia="en-AU"/>
        </w:rPr>
        <w:t xml:space="preserve"> thereby deter</w:t>
      </w:r>
      <w:r w:rsidR="003204DE">
        <w:rPr>
          <w:lang w:eastAsia="en-AU"/>
        </w:rPr>
        <w:t>ring</w:t>
      </w:r>
      <w:r w:rsidR="007B140B">
        <w:rPr>
          <w:lang w:eastAsia="en-AU"/>
        </w:rPr>
        <w:t xml:space="preserve"> future investment in the coal tenements market and</w:t>
      </w:r>
      <w:r w:rsidR="003204DE">
        <w:rPr>
          <w:lang w:eastAsia="en-AU"/>
        </w:rPr>
        <w:t>, as a consequence,</w:t>
      </w:r>
      <w:r w:rsidR="007B140B">
        <w:rPr>
          <w:lang w:eastAsia="en-AU"/>
        </w:rPr>
        <w:t xml:space="preserve"> reduc</w:t>
      </w:r>
      <w:r w:rsidR="003204DE">
        <w:rPr>
          <w:lang w:eastAsia="en-AU"/>
        </w:rPr>
        <w:t>ing</w:t>
      </w:r>
      <w:r w:rsidR="007B140B">
        <w:rPr>
          <w:lang w:eastAsia="en-AU"/>
        </w:rPr>
        <w:t xml:space="preserve"> demand for its shipping channel service.</w:t>
      </w:r>
    </w:p>
    <w:p w14:paraId="2A931CCB" w14:textId="77777777" w:rsidR="00F80A4B" w:rsidRDefault="00F80A4B" w:rsidP="00F80A4B">
      <w:pPr>
        <w:pStyle w:val="Heading4"/>
        <w:rPr>
          <w:lang w:eastAsia="en-AU"/>
        </w:rPr>
      </w:pPr>
      <w:bookmarkStart w:id="72" w:name="_Ref78900516"/>
      <w:r>
        <w:rPr>
          <w:lang w:eastAsia="en-AU"/>
        </w:rPr>
        <w:t>The threat of regulation</w:t>
      </w:r>
      <w:bookmarkEnd w:id="72"/>
    </w:p>
    <w:p w14:paraId="68C453E9" w14:textId="77777777" w:rsidR="00F80A4B" w:rsidRDefault="00F80A4B" w:rsidP="00F80A4B">
      <w:pPr>
        <w:pStyle w:val="ParaNumbering"/>
        <w:rPr>
          <w:lang w:eastAsia="en-AU"/>
        </w:rPr>
      </w:pPr>
      <w:r>
        <w:rPr>
          <w:lang w:eastAsia="en-AU"/>
        </w:rPr>
        <w:t xml:space="preserve">In its Recommendation, the NCC considered </w:t>
      </w:r>
      <w:r w:rsidRPr="00DE11AF">
        <w:rPr>
          <w:lang w:eastAsia="en-AU"/>
        </w:rPr>
        <w:t xml:space="preserve">the level of constraint </w:t>
      </w:r>
      <w:r>
        <w:rPr>
          <w:lang w:eastAsia="en-AU"/>
        </w:rPr>
        <w:t xml:space="preserve">on PNO’s commercial behaviour </w:t>
      </w:r>
      <w:r w:rsidRPr="00DE11AF">
        <w:rPr>
          <w:lang w:eastAsia="en-AU"/>
        </w:rPr>
        <w:t>that may be provided by other regulatory</w:t>
      </w:r>
      <w:r>
        <w:rPr>
          <w:lang w:eastAsia="en-AU"/>
        </w:rPr>
        <w:t xml:space="preserve"> or </w:t>
      </w:r>
      <w:r w:rsidRPr="00DE11AF">
        <w:rPr>
          <w:lang w:eastAsia="en-AU"/>
        </w:rPr>
        <w:t>government policy action</w:t>
      </w:r>
      <w:r>
        <w:rPr>
          <w:lang w:eastAsia="en-AU"/>
        </w:rPr>
        <w:t xml:space="preserve">s in the absence of declaration. In that respect, the NCC noted that the NSW Government has a clear interest in the continued development and operation of coal mining in the Newcastle catchment, given its significant economic contribution to the State, and that the PAMA Act and </w:t>
      </w:r>
      <w:r w:rsidR="00EC310C">
        <w:rPr>
          <w:lang w:eastAsia="en-AU"/>
        </w:rPr>
        <w:t xml:space="preserve">PAMA </w:t>
      </w:r>
      <w:r>
        <w:rPr>
          <w:lang w:eastAsia="en-AU"/>
        </w:rPr>
        <w:t xml:space="preserve">Regulations provide a degree of transparency over the charges levied by PNO and a price monitoring framework (at [7.36]). The NCC noted, though, that </w:t>
      </w:r>
      <w:r w:rsidRPr="00DE11AF">
        <w:rPr>
          <w:lang w:eastAsia="en-AU"/>
        </w:rPr>
        <w:t xml:space="preserve">the PAMA Act and </w:t>
      </w:r>
      <w:r w:rsidR="00EC310C">
        <w:rPr>
          <w:lang w:eastAsia="en-AU"/>
        </w:rPr>
        <w:t xml:space="preserve">PAMA </w:t>
      </w:r>
      <w:r w:rsidRPr="00DE11AF">
        <w:rPr>
          <w:lang w:eastAsia="en-AU"/>
        </w:rPr>
        <w:t>Regulations do not directly limit or regulate the level at which prices may be set by PNO for service</w:t>
      </w:r>
      <w:r>
        <w:rPr>
          <w:lang w:eastAsia="en-AU"/>
        </w:rPr>
        <w:t>s provided to users of the Port</w:t>
      </w:r>
      <w:r w:rsidRPr="00DE11AF">
        <w:rPr>
          <w:lang w:eastAsia="en-AU"/>
        </w:rPr>
        <w:t xml:space="preserve"> and </w:t>
      </w:r>
      <w:r>
        <w:rPr>
          <w:lang w:eastAsia="en-AU"/>
        </w:rPr>
        <w:t>those laws</w:t>
      </w:r>
      <w:r w:rsidRPr="00DE11AF">
        <w:rPr>
          <w:lang w:eastAsia="en-AU"/>
        </w:rPr>
        <w:t xml:space="preserve"> are not certified as effective access regimes under Part IIIA of the </w:t>
      </w:r>
      <w:r>
        <w:rPr>
          <w:lang w:eastAsia="en-AU"/>
        </w:rPr>
        <w:t xml:space="preserve">Act (at [7.37]). The NCC also noted that, </w:t>
      </w:r>
      <w:r w:rsidRPr="00DE11AF">
        <w:rPr>
          <w:lang w:eastAsia="en-AU"/>
        </w:rPr>
        <w:t>while the lease arrangements between the State of NSW and PNO include provisions designed to ‘constrain’ the behaviour of PNO, these arrangements are</w:t>
      </w:r>
      <w:r>
        <w:rPr>
          <w:lang w:eastAsia="en-AU"/>
        </w:rPr>
        <w:t xml:space="preserve"> </w:t>
      </w:r>
      <w:r w:rsidRPr="00DE11AF">
        <w:rPr>
          <w:lang w:eastAsia="en-AU"/>
        </w:rPr>
        <w:t>private contractual arrangements between the two parties</w:t>
      </w:r>
      <w:r>
        <w:rPr>
          <w:lang w:eastAsia="en-AU"/>
        </w:rPr>
        <w:t xml:space="preserve"> and a</w:t>
      </w:r>
      <w:r w:rsidRPr="00DE11AF">
        <w:rPr>
          <w:lang w:eastAsia="en-AU"/>
        </w:rPr>
        <w:t>ny third party with concerns about PNO’s behaviour would have to rely on the State of NSW taking action in order to obtain redress</w:t>
      </w:r>
      <w:r>
        <w:rPr>
          <w:lang w:eastAsia="en-AU"/>
        </w:rPr>
        <w:t xml:space="preserve"> (at [7.38]). The NCC concluded as follows (at [7.39]):</w:t>
      </w:r>
    </w:p>
    <w:p w14:paraId="4ED40C60" w14:textId="77777777" w:rsidR="00F80A4B" w:rsidRDefault="00F80A4B" w:rsidP="00F80A4B">
      <w:pPr>
        <w:pStyle w:val="Quote1"/>
        <w:rPr>
          <w:lang w:eastAsia="en-AU"/>
        </w:rPr>
      </w:pPr>
      <w:r w:rsidRPr="00DE11AF">
        <w:rPr>
          <w:lang w:eastAsia="en-AU"/>
        </w:rPr>
        <w:t xml:space="preserve">On balance, the Council expects the NSW Government would be likely to intervene if PNO imposed excessive price increases or other access limitations that had the potential to have a material adverse impact on competition in dependent markets; or otherwise harm the public interest. Such an intervention might be via the terms of PNO’s lease, under the terms of the PAMA Act by referral to IPART; or by introducing new statutory restrictions. The Council considers that the threat of such action by the NSW Government would be likely to provide a low level of constraint on PNO when it sets its terms and conditions of access in a future without declaration of the Service. The Council further considers the effect of this constraint falls well short of that which </w:t>
      </w:r>
      <w:r w:rsidRPr="00DE11AF">
        <w:rPr>
          <w:lang w:eastAsia="en-AU"/>
        </w:rPr>
        <w:lastRenderedPageBreak/>
        <w:t>would result from an access regime capable of certification. The Council considers that these constraints are not a substitute for the type of access regulation contemplated by the National Access Regime.</w:t>
      </w:r>
    </w:p>
    <w:p w14:paraId="37EBACF2" w14:textId="77777777" w:rsidR="00F80A4B" w:rsidRDefault="00F80A4B" w:rsidP="00F80A4B">
      <w:pPr>
        <w:pStyle w:val="ParaNumbering"/>
        <w:rPr>
          <w:lang w:eastAsia="en-AU"/>
        </w:rPr>
      </w:pPr>
      <w:r>
        <w:rPr>
          <w:lang w:eastAsia="en-AU"/>
        </w:rPr>
        <w:t>The Tribunal has no reason to doubt the NCC’s conclusion that possible regulatory intervention by the NSW Government is no</w:t>
      </w:r>
      <w:r w:rsidRPr="00DE11AF">
        <w:rPr>
          <w:lang w:eastAsia="en-AU"/>
        </w:rPr>
        <w:t xml:space="preserve"> substitute for the type of access regulation contemplated by the </w:t>
      </w:r>
      <w:r>
        <w:rPr>
          <w:lang w:eastAsia="en-AU"/>
        </w:rPr>
        <w:t>n</w:t>
      </w:r>
      <w:r w:rsidRPr="00DE11AF">
        <w:rPr>
          <w:lang w:eastAsia="en-AU"/>
        </w:rPr>
        <w:t xml:space="preserve">ational </w:t>
      </w:r>
      <w:r>
        <w:rPr>
          <w:lang w:eastAsia="en-AU"/>
        </w:rPr>
        <w:t>a</w:t>
      </w:r>
      <w:r w:rsidRPr="00DE11AF">
        <w:rPr>
          <w:lang w:eastAsia="en-AU"/>
        </w:rPr>
        <w:t xml:space="preserve">ccess </w:t>
      </w:r>
      <w:r>
        <w:rPr>
          <w:lang w:eastAsia="en-AU"/>
        </w:rPr>
        <w:t>r</w:t>
      </w:r>
      <w:r w:rsidRPr="00DE11AF">
        <w:rPr>
          <w:lang w:eastAsia="en-AU"/>
        </w:rPr>
        <w:t>egime</w:t>
      </w:r>
      <w:r>
        <w:rPr>
          <w:lang w:eastAsia="en-AU"/>
        </w:rPr>
        <w:t xml:space="preserve"> in Part IIIA of the Act.</w:t>
      </w:r>
    </w:p>
    <w:p w14:paraId="6756933B" w14:textId="77777777" w:rsidR="00355D06" w:rsidRDefault="00F80A4B" w:rsidP="003204DE">
      <w:pPr>
        <w:pStyle w:val="ParaNumbering"/>
        <w:rPr>
          <w:lang w:eastAsia="en-AU"/>
        </w:rPr>
      </w:pPr>
      <w:r>
        <w:rPr>
          <w:lang w:eastAsia="en-AU"/>
        </w:rPr>
        <w:t xml:space="preserve">An issue not expressly addressed by the NCC is whether the threat of declaration under Part IIIA is presently acting, and will in the future act, as a constraint on PNO’s commercial behaviour. The Tribunal considers that, although it has decided to affirm the Treasurer’s decision </w:t>
      </w:r>
      <w:r w:rsidR="003204DE">
        <w:rPr>
          <w:lang w:eastAsia="en-AU"/>
        </w:rPr>
        <w:t xml:space="preserve">not to declare the shipping channel service </w:t>
      </w:r>
      <w:r>
        <w:rPr>
          <w:lang w:eastAsia="en-AU"/>
        </w:rPr>
        <w:t xml:space="preserve">in the present review, the ongoing threat of declaration is a relevant constraint on PNO’s commercial behaviour and ought not </w:t>
      </w:r>
      <w:r w:rsidR="004F0758">
        <w:rPr>
          <w:lang w:eastAsia="en-AU"/>
        </w:rPr>
        <w:t xml:space="preserve">to </w:t>
      </w:r>
      <w:r>
        <w:rPr>
          <w:lang w:eastAsia="en-AU"/>
        </w:rPr>
        <w:t xml:space="preserve">be lessened by the Tribunal’s decision. As the Tribunal has sought to emphasise, the application of criterion (a) in the context of a service provided by means of a bottleneck facility requires a close examination of the commercial, regulatory and economic factors bearing upon the facility owner. Those factors can change over time. In the present case, the evidence shows that </w:t>
      </w:r>
      <w:r w:rsidR="004204B0">
        <w:rPr>
          <w:lang w:eastAsia="en-AU"/>
        </w:rPr>
        <w:t>in</w:t>
      </w:r>
      <w:r>
        <w:rPr>
          <w:lang w:eastAsia="en-AU"/>
        </w:rPr>
        <w:t xml:space="preserve"> the medium </w:t>
      </w:r>
      <w:r w:rsidR="004204B0">
        <w:rPr>
          <w:lang w:eastAsia="en-AU"/>
        </w:rPr>
        <w:t xml:space="preserve">to long </w:t>
      </w:r>
      <w:r>
        <w:rPr>
          <w:lang w:eastAsia="en-AU"/>
        </w:rPr>
        <w:t>term the Port’s business may transition, to some extent, away from thermal coal toward container cargo. Such a change in the market environment may in the future affect the commercial constraints on PNO’s behaviour</w:t>
      </w:r>
      <w:r w:rsidR="003204DE">
        <w:rPr>
          <w:lang w:eastAsia="en-AU"/>
        </w:rPr>
        <w:t xml:space="preserve"> in respect of coal vessels</w:t>
      </w:r>
      <w:r>
        <w:rPr>
          <w:lang w:eastAsia="en-AU"/>
        </w:rPr>
        <w:t>. The refusal of an application for declaration today does not prevent another application being made at a later point in time. If at that time the market environment and PNO’s behaviour has altered, a different conclusion on declaration may be reached.</w:t>
      </w:r>
    </w:p>
    <w:p w14:paraId="7F5B3E08" w14:textId="77777777" w:rsidR="00355D06" w:rsidRDefault="00355D06" w:rsidP="00355D06">
      <w:pPr>
        <w:pStyle w:val="Heading4"/>
        <w:rPr>
          <w:lang w:eastAsia="en-AU"/>
        </w:rPr>
      </w:pPr>
      <w:bookmarkStart w:id="73" w:name="_Ref78900517"/>
      <w:r>
        <w:rPr>
          <w:lang w:eastAsia="en-AU"/>
        </w:rPr>
        <w:t>Summary of relevant factors</w:t>
      </w:r>
      <w:bookmarkEnd w:id="73"/>
    </w:p>
    <w:p w14:paraId="6A67C5EB" w14:textId="77777777" w:rsidR="00AC0B7B" w:rsidRDefault="00655EE5" w:rsidP="003204DE">
      <w:pPr>
        <w:pStyle w:val="ParaNumbering"/>
        <w:rPr>
          <w:lang w:eastAsia="en-AU"/>
        </w:rPr>
      </w:pPr>
      <w:r>
        <w:rPr>
          <w:lang w:eastAsia="en-AU"/>
        </w:rPr>
        <w:t xml:space="preserve">In similar manner to the NCC (at [7.72]-[7.73]), the Tribunal considers that there are a range of factors that are likely to constrain PNO’s market power </w:t>
      </w:r>
      <w:r w:rsidR="002302F0">
        <w:rPr>
          <w:lang w:eastAsia="en-AU"/>
        </w:rPr>
        <w:t xml:space="preserve">across the medium term </w:t>
      </w:r>
      <w:r>
        <w:rPr>
          <w:lang w:eastAsia="en-AU"/>
        </w:rPr>
        <w:t xml:space="preserve">in setting prices for the shipping channel service. </w:t>
      </w:r>
      <w:r w:rsidR="00C3006A">
        <w:rPr>
          <w:lang w:eastAsia="en-AU"/>
        </w:rPr>
        <w:t xml:space="preserve">PNO’s primary incentive is to maximise long term profits. In doing so, it can be expected to take account of the facts that: it holds a lease of the Port for 98 years; its dominant source of revenue over the medium term will be from coal exports; it has substantial unused capacity at the Port; coal export markets are competitive and the coal supply chain, of which the Port forms a part, is a price taker in coal export markets; </w:t>
      </w:r>
      <w:r w:rsidR="002302F0">
        <w:rPr>
          <w:lang w:eastAsia="en-AU"/>
        </w:rPr>
        <w:t xml:space="preserve">and </w:t>
      </w:r>
      <w:r w:rsidR="00C3006A">
        <w:rPr>
          <w:lang w:eastAsia="en-AU"/>
        </w:rPr>
        <w:t xml:space="preserve">the shipping channel service will remain susceptible to declaration in the future should PNO’s pricing behaviour cause competitive harm in dependent markets. In the circumstances, </w:t>
      </w:r>
      <w:r w:rsidR="00015938">
        <w:rPr>
          <w:lang w:eastAsia="en-AU"/>
        </w:rPr>
        <w:t xml:space="preserve">PNO would be expected to set prices so as to recover long run costs, but not </w:t>
      </w:r>
      <w:r w:rsidR="00457DF2">
        <w:rPr>
          <w:lang w:eastAsia="en-AU"/>
        </w:rPr>
        <w:t xml:space="preserve">to </w:t>
      </w:r>
      <w:r w:rsidR="00015938">
        <w:rPr>
          <w:lang w:eastAsia="en-AU"/>
        </w:rPr>
        <w:t xml:space="preserve">further increase </w:t>
      </w:r>
      <w:r w:rsidR="00015938">
        <w:rPr>
          <w:lang w:eastAsia="en-AU"/>
        </w:rPr>
        <w:lastRenderedPageBreak/>
        <w:t>prices in a manner that would lessen future investment in the coal tenements market or</w:t>
      </w:r>
      <w:r w:rsidR="002302F0">
        <w:rPr>
          <w:lang w:eastAsia="en-AU"/>
        </w:rPr>
        <w:t xml:space="preserve"> coal production more generally.</w:t>
      </w:r>
    </w:p>
    <w:p w14:paraId="2A20C2E1" w14:textId="77777777" w:rsidR="00AA5397" w:rsidRDefault="00AA5397" w:rsidP="00AA5397">
      <w:pPr>
        <w:pStyle w:val="Heading3"/>
        <w:rPr>
          <w:lang w:eastAsia="en-AU"/>
        </w:rPr>
      </w:pPr>
      <w:bookmarkStart w:id="74" w:name="_Ref78900518"/>
      <w:r>
        <w:rPr>
          <w:lang w:eastAsia="en-AU"/>
        </w:rPr>
        <w:t>Evidence of PNO’s commercial conduct</w:t>
      </w:r>
      <w:r w:rsidR="00817708">
        <w:rPr>
          <w:lang w:eastAsia="en-AU"/>
        </w:rPr>
        <w:t xml:space="preserve"> to date</w:t>
      </w:r>
      <w:bookmarkEnd w:id="74"/>
    </w:p>
    <w:p w14:paraId="45E10AE7" w14:textId="77777777" w:rsidR="00B76B7A" w:rsidRDefault="00015938" w:rsidP="00015938">
      <w:pPr>
        <w:pStyle w:val="ParaNumbering"/>
        <w:rPr>
          <w:lang w:eastAsia="en-AU"/>
        </w:rPr>
      </w:pPr>
      <w:r>
        <w:rPr>
          <w:lang w:eastAsia="en-AU"/>
        </w:rPr>
        <w:t xml:space="preserve">The following section considers PNO’s commercial behaviour to date. </w:t>
      </w:r>
      <w:r w:rsidR="00F80A4B">
        <w:rPr>
          <w:lang w:eastAsia="en-AU"/>
        </w:rPr>
        <w:t xml:space="preserve">The Tribunal’s overall assessment is that PNO’s commercial conduct </w:t>
      </w:r>
      <w:r w:rsidR="008264BB">
        <w:rPr>
          <w:lang w:eastAsia="en-AU"/>
        </w:rPr>
        <w:t>appears to be consistent with the expected behaviour of a rational facility owner</w:t>
      </w:r>
      <w:r w:rsidR="00D77D8A">
        <w:rPr>
          <w:lang w:eastAsia="en-AU"/>
        </w:rPr>
        <w:t>,</w:t>
      </w:r>
      <w:r w:rsidR="008264BB">
        <w:rPr>
          <w:lang w:eastAsia="en-AU"/>
        </w:rPr>
        <w:t xml:space="preserve"> within a commodity export supply chain</w:t>
      </w:r>
      <w:r w:rsidR="00B319B6">
        <w:rPr>
          <w:lang w:eastAsia="en-AU"/>
        </w:rPr>
        <w:t xml:space="preserve"> for which the final commodity market is competitive and in which the supply chain (as a whole) is a price taker</w:t>
      </w:r>
      <w:r w:rsidR="00D77D8A">
        <w:rPr>
          <w:lang w:eastAsia="en-AU"/>
        </w:rPr>
        <w:t xml:space="preserve">, </w:t>
      </w:r>
      <w:r w:rsidR="00ED3EA7">
        <w:rPr>
          <w:lang w:eastAsia="en-AU"/>
        </w:rPr>
        <w:t xml:space="preserve">and </w:t>
      </w:r>
      <w:r w:rsidR="0006310B">
        <w:rPr>
          <w:lang w:eastAsia="en-AU"/>
        </w:rPr>
        <w:t>which seeks to maximise long run profits</w:t>
      </w:r>
      <w:r w:rsidR="008264BB">
        <w:rPr>
          <w:lang w:eastAsia="en-AU"/>
        </w:rPr>
        <w:t>.</w:t>
      </w:r>
      <w:r w:rsidR="001E03AA">
        <w:rPr>
          <w:lang w:eastAsia="en-AU"/>
        </w:rPr>
        <w:t xml:space="preserve"> </w:t>
      </w:r>
      <w:r w:rsidR="00F80A4B">
        <w:rPr>
          <w:lang w:eastAsia="en-AU"/>
        </w:rPr>
        <w:t>Further, as discussed bel</w:t>
      </w:r>
      <w:r w:rsidR="00B76B7A">
        <w:rPr>
          <w:lang w:eastAsia="en-AU"/>
        </w:rPr>
        <w:t>ow, PNO has offered to commit itself</w:t>
      </w:r>
      <w:r w:rsidR="00355D06">
        <w:rPr>
          <w:lang w:eastAsia="en-AU"/>
        </w:rPr>
        <w:t>, and has committed itself,</w:t>
      </w:r>
      <w:r w:rsidR="00B319B6">
        <w:rPr>
          <w:lang w:eastAsia="en-AU"/>
        </w:rPr>
        <w:t xml:space="preserve"> over the medium term</w:t>
      </w:r>
      <w:r w:rsidR="003204DE">
        <w:rPr>
          <w:lang w:eastAsia="en-AU"/>
        </w:rPr>
        <w:t>,</w:t>
      </w:r>
      <w:r w:rsidR="00B76B7A">
        <w:rPr>
          <w:lang w:eastAsia="en-AU"/>
        </w:rPr>
        <w:t xml:space="preserve"> through the Pro Forma Pricing Deeds</w:t>
      </w:r>
      <w:r w:rsidR="003204DE">
        <w:rPr>
          <w:lang w:eastAsia="en-AU"/>
        </w:rPr>
        <w:t>,</w:t>
      </w:r>
      <w:r w:rsidR="00B76B7A">
        <w:rPr>
          <w:lang w:eastAsia="en-AU"/>
        </w:rPr>
        <w:t xml:space="preserve"> </w:t>
      </w:r>
      <w:r w:rsidR="00B319B6">
        <w:rPr>
          <w:lang w:eastAsia="en-AU"/>
        </w:rPr>
        <w:t xml:space="preserve">to rates of </w:t>
      </w:r>
      <w:r w:rsidR="003204DE">
        <w:rPr>
          <w:lang w:eastAsia="en-AU"/>
        </w:rPr>
        <w:t xml:space="preserve">the </w:t>
      </w:r>
      <w:r w:rsidR="00E24A0D">
        <w:rPr>
          <w:lang w:eastAsia="en-AU"/>
        </w:rPr>
        <w:t>navigation service charge</w:t>
      </w:r>
      <w:r w:rsidR="00B319B6">
        <w:rPr>
          <w:lang w:eastAsia="en-AU"/>
        </w:rPr>
        <w:t xml:space="preserve"> and </w:t>
      </w:r>
      <w:r w:rsidR="00E24A0D">
        <w:rPr>
          <w:lang w:eastAsia="en-AU"/>
        </w:rPr>
        <w:t>wharfage charge</w:t>
      </w:r>
      <w:r w:rsidR="00B319B6">
        <w:rPr>
          <w:lang w:eastAsia="en-AU"/>
        </w:rPr>
        <w:t xml:space="preserve"> </w:t>
      </w:r>
      <w:r w:rsidR="00B76B7A">
        <w:rPr>
          <w:lang w:eastAsia="en-AU"/>
        </w:rPr>
        <w:t xml:space="preserve">that provide a </w:t>
      </w:r>
      <w:r w:rsidR="00B319B6">
        <w:rPr>
          <w:lang w:eastAsia="en-AU"/>
        </w:rPr>
        <w:t>reasonable</w:t>
      </w:r>
      <w:r w:rsidR="00B76B7A">
        <w:rPr>
          <w:lang w:eastAsia="en-AU"/>
        </w:rPr>
        <w:t xml:space="preserve"> degree of pricing certainty to coal pro</w:t>
      </w:r>
      <w:r w:rsidR="003204DE">
        <w:rPr>
          <w:lang w:eastAsia="en-AU"/>
        </w:rPr>
        <w:t>ducers.</w:t>
      </w:r>
    </w:p>
    <w:p w14:paraId="656C1F99" w14:textId="77777777" w:rsidR="00271788" w:rsidRDefault="001E03AA" w:rsidP="00F94BE0">
      <w:pPr>
        <w:pStyle w:val="ParaNumbering"/>
        <w:rPr>
          <w:lang w:eastAsia="en-AU"/>
        </w:rPr>
      </w:pPr>
      <w:r>
        <w:rPr>
          <w:lang w:eastAsia="en-AU"/>
        </w:rPr>
        <w:t>The Tribunal has drawn the following conclusions from the evidence.</w:t>
      </w:r>
    </w:p>
    <w:p w14:paraId="00052F11" w14:textId="77777777" w:rsidR="004F49F9" w:rsidRDefault="004F49F9" w:rsidP="004F49F9">
      <w:pPr>
        <w:pStyle w:val="Heading4"/>
        <w:rPr>
          <w:lang w:eastAsia="en-AU"/>
        </w:rPr>
      </w:pPr>
      <w:bookmarkStart w:id="75" w:name="_Ref78900519"/>
      <w:r>
        <w:rPr>
          <w:lang w:eastAsia="en-AU"/>
        </w:rPr>
        <w:t>No denial of access</w:t>
      </w:r>
      <w:bookmarkEnd w:id="75"/>
    </w:p>
    <w:p w14:paraId="61EB43AA" w14:textId="77777777" w:rsidR="002F6182" w:rsidRDefault="002F6182" w:rsidP="000432BD">
      <w:pPr>
        <w:pStyle w:val="ParaNumbering"/>
        <w:rPr>
          <w:lang w:eastAsia="en-AU"/>
        </w:rPr>
      </w:pPr>
      <w:r>
        <w:rPr>
          <w:lang w:eastAsia="en-AU"/>
        </w:rPr>
        <w:t xml:space="preserve">First, </w:t>
      </w:r>
      <w:r w:rsidR="00ED3EA7">
        <w:rPr>
          <w:lang w:eastAsia="en-AU"/>
        </w:rPr>
        <w:t xml:space="preserve">there is no evidence that PNO has denied access to </w:t>
      </w:r>
      <w:r w:rsidR="00D877E4">
        <w:rPr>
          <w:lang w:eastAsia="en-AU"/>
        </w:rPr>
        <w:t xml:space="preserve">the shipping channel </w:t>
      </w:r>
      <w:r w:rsidR="00874EB2">
        <w:rPr>
          <w:lang w:eastAsia="en-AU"/>
        </w:rPr>
        <w:t xml:space="preserve">service </w:t>
      </w:r>
      <w:r w:rsidR="00D877E4">
        <w:rPr>
          <w:lang w:eastAsia="en-AU"/>
        </w:rPr>
        <w:t xml:space="preserve">to </w:t>
      </w:r>
      <w:r w:rsidR="00ED3EA7">
        <w:rPr>
          <w:lang w:eastAsia="en-AU"/>
        </w:rPr>
        <w:t>any coal producer.</w:t>
      </w:r>
    </w:p>
    <w:p w14:paraId="198FBC36" w14:textId="77777777" w:rsidR="00BE5F99" w:rsidRDefault="00BE5F99" w:rsidP="00BE5F99">
      <w:pPr>
        <w:pStyle w:val="Heading4"/>
      </w:pPr>
      <w:bookmarkStart w:id="76" w:name="_Ref78900520"/>
      <w:r>
        <w:t>PNO’s refusal to participate in collective bargaining</w:t>
      </w:r>
      <w:bookmarkEnd w:id="76"/>
    </w:p>
    <w:p w14:paraId="3A3410BA" w14:textId="77777777" w:rsidR="00BE5F99" w:rsidRDefault="00BE5F99" w:rsidP="00BE5F99">
      <w:pPr>
        <w:pStyle w:val="ParaNumbering"/>
      </w:pPr>
      <w:r>
        <w:t xml:space="preserve">Second, NSWMC placed some emphasis on PNO’s refusal to participate in collective bargaining with coal producers, submitting that the refusal was evidence of market power. The NCC accepted that </w:t>
      </w:r>
      <w:r w:rsidRPr="00AE180C">
        <w:t>PNO has considerable bargaining power over Hunter Valley coal producers</w:t>
      </w:r>
      <w:r>
        <w:t xml:space="preserve">, but concluded that PNO’s refusal </w:t>
      </w:r>
      <w:r w:rsidRPr="00AE180C">
        <w:t xml:space="preserve">to participate in collective bargaining </w:t>
      </w:r>
      <w:r>
        <w:t>is not</w:t>
      </w:r>
      <w:r w:rsidRPr="00AE180C">
        <w:t xml:space="preserve"> indicative of market power</w:t>
      </w:r>
      <w:r>
        <w:t xml:space="preserve"> (at [7.42])</w:t>
      </w:r>
      <w:r w:rsidRPr="00AE180C">
        <w:t>.</w:t>
      </w:r>
    </w:p>
    <w:p w14:paraId="7A727061" w14:textId="77777777" w:rsidR="00BE5F99" w:rsidRDefault="00BE5F99" w:rsidP="00BE5F99">
      <w:pPr>
        <w:pStyle w:val="ParaNumbering"/>
      </w:pPr>
      <w:r>
        <w:t xml:space="preserve">Collective bargaining is not a feature of competitive markets and the refusal to bargain collectively is not, of itself, indicative of market power. Rather, collective bargaining is typically a response to an actual or perceived imbalance in bargaining power. If a group of firms perceive that a common supplier has substantial bargaining power, the firms may seek to bargain collectively with the supplier to redress the imbalance. Under certain market conditions, collective bargaining may result in terms and conditions of supply that better reflect efficient market outcomes. However, collective bargaining may also have detrimental effects on efficiency, particularly in so far as it introduces inefficient price uniformity or rigidity. </w:t>
      </w:r>
    </w:p>
    <w:p w14:paraId="134E3E04" w14:textId="77777777" w:rsidR="00BE5F99" w:rsidRDefault="00BE5F99" w:rsidP="00BE5F99">
      <w:pPr>
        <w:pStyle w:val="ParaNumbering"/>
      </w:pPr>
      <w:r>
        <w:lastRenderedPageBreak/>
        <w:t>As a</w:t>
      </w:r>
      <w:r>
        <w:rPr>
          <w:lang w:eastAsia="en-AU"/>
        </w:rPr>
        <w:t xml:space="preserve"> bottleneck facility for Hunter Valley coal producers, the Port (through its operator, PNO)</w:t>
      </w:r>
      <w:r>
        <w:t xml:space="preserve"> has a degree of market power. It is understandable that coal producers perceive that they will have more equal bargaining power with PNO if they are able to bargain collectively. However, collective bargaining does not guarantee terms and conditions of supply that better reflect efficient market outcomes. Further, it cannot be concluded that the terms and conditions of access offered by PNO to coal producers are (or will be in the future) unreasonable or inefficient merely because PNO has refused to participate in collective bargaining with coal producers. </w:t>
      </w:r>
    </w:p>
    <w:p w14:paraId="3BADCDD6" w14:textId="2949768E" w:rsidR="00BE5F99" w:rsidRDefault="00BE5F99" w:rsidP="00BE5F99">
      <w:pPr>
        <w:pStyle w:val="ParaNumbering"/>
      </w:pPr>
      <w:r>
        <w:t>One concern expressed by coal producers is that PNO’s refusal to participate in collective bargaining means that PNO is free to engage in price discrimination in the supply of the shipping channel service. Whether or not price discrimination in the supply of the shipping channel service would result in inefficient pricing, the concern expressed by coal producers is not evident in PNO’s pricing practices to date. PNO has announced uniform “open access” rate</w:t>
      </w:r>
      <w:r w:rsidR="00877078">
        <w:t>s</w:t>
      </w:r>
      <w:r>
        <w:t xml:space="preserve"> for the </w:t>
      </w:r>
      <w:r w:rsidR="00E24A0D">
        <w:t xml:space="preserve">navigation service </w:t>
      </w:r>
      <w:r>
        <w:t xml:space="preserve">and </w:t>
      </w:r>
      <w:r w:rsidR="00E24A0D">
        <w:t>wharfage charge</w:t>
      </w:r>
      <w:r w:rsidR="00877078">
        <w:t>s</w:t>
      </w:r>
      <w:r>
        <w:t xml:space="preserve">, and has offered Producer and Vessel Agent Pricing Deeds </w:t>
      </w:r>
      <w:r w:rsidR="005E6DDA">
        <w:t xml:space="preserve">with uniform pricing and </w:t>
      </w:r>
      <w:r>
        <w:t>non-discrimination provisions.</w:t>
      </w:r>
    </w:p>
    <w:p w14:paraId="15BE4EEE" w14:textId="77777777" w:rsidR="00BE5F99" w:rsidRDefault="00BE5F99" w:rsidP="00426F04">
      <w:pPr>
        <w:pStyle w:val="ParaNumbering"/>
        <w:rPr>
          <w:lang w:eastAsia="en-AU"/>
        </w:rPr>
      </w:pPr>
      <w:r>
        <w:t>For those reasons, the Tribunal does not consider that PNO’s refusal to participate in collective bargaining with coal producers is a material factor in applying criterion (a). It can be assumed that, without declaration, PNO will continue to refuse to bargain collectively with coal producers. However, that behaviour does not have a material bearing on the question whether declaration would promote a material increase in competition.</w:t>
      </w:r>
    </w:p>
    <w:p w14:paraId="40E6BF2D" w14:textId="77777777" w:rsidR="004F49F9" w:rsidRDefault="004F49F9" w:rsidP="004F49F9">
      <w:pPr>
        <w:pStyle w:val="Heading4"/>
        <w:rPr>
          <w:lang w:eastAsia="en-AU"/>
        </w:rPr>
      </w:pPr>
      <w:bookmarkStart w:id="77" w:name="_Ref78900521"/>
      <w:r>
        <w:rPr>
          <w:lang w:eastAsia="en-AU"/>
        </w:rPr>
        <w:t>PNO’s pricing behaviour</w:t>
      </w:r>
      <w:r w:rsidR="005E6DDA">
        <w:rPr>
          <w:lang w:eastAsia="en-AU"/>
        </w:rPr>
        <w:t xml:space="preserve"> to date</w:t>
      </w:r>
      <w:bookmarkEnd w:id="77"/>
    </w:p>
    <w:p w14:paraId="6F40FC75" w14:textId="77777777" w:rsidR="00F37A9E" w:rsidRDefault="001E03AA" w:rsidP="000432BD">
      <w:pPr>
        <w:pStyle w:val="ParaNumbering"/>
        <w:rPr>
          <w:lang w:eastAsia="en-AU"/>
        </w:rPr>
      </w:pPr>
      <w:r>
        <w:rPr>
          <w:lang w:eastAsia="en-AU"/>
        </w:rPr>
        <w:t xml:space="preserve">The third conclusion drawn by the Tribunal is that </w:t>
      </w:r>
      <w:r w:rsidR="00C715C4">
        <w:rPr>
          <w:lang w:eastAsia="en-AU"/>
        </w:rPr>
        <w:t xml:space="preserve">the evidence concerning PNO’s pricing behaviour </w:t>
      </w:r>
      <w:r w:rsidR="005E6DDA">
        <w:rPr>
          <w:lang w:eastAsia="en-AU"/>
        </w:rPr>
        <w:t xml:space="preserve">to date </w:t>
      </w:r>
      <w:r w:rsidR="00C715C4">
        <w:rPr>
          <w:lang w:eastAsia="en-AU"/>
        </w:rPr>
        <w:t>does not demonstrate unconstrai</w:t>
      </w:r>
      <w:r w:rsidR="005E6DDA">
        <w:rPr>
          <w:lang w:eastAsia="en-AU"/>
        </w:rPr>
        <w:t>ned market power.</w:t>
      </w:r>
    </w:p>
    <w:p w14:paraId="2B220FEA" w14:textId="2DC9FC26" w:rsidR="00C715C4" w:rsidRDefault="001610DD" w:rsidP="000432BD">
      <w:pPr>
        <w:pStyle w:val="ParaNumbering"/>
        <w:rPr>
          <w:lang w:eastAsia="en-AU"/>
        </w:rPr>
      </w:pPr>
      <w:r>
        <w:rPr>
          <w:lang w:eastAsia="en-AU"/>
        </w:rPr>
        <w:t>NSWMC place</w:t>
      </w:r>
      <w:r w:rsidR="00F94BE0">
        <w:rPr>
          <w:lang w:eastAsia="en-AU"/>
        </w:rPr>
        <w:t>d</w:t>
      </w:r>
      <w:r>
        <w:rPr>
          <w:lang w:eastAsia="en-AU"/>
        </w:rPr>
        <w:t xml:space="preserve"> considerable emphasis on increases in the rate</w:t>
      </w:r>
      <w:r w:rsidR="00B53D64">
        <w:rPr>
          <w:lang w:eastAsia="en-AU"/>
        </w:rPr>
        <w:t>s</w:t>
      </w:r>
      <w:r>
        <w:rPr>
          <w:lang w:eastAsia="en-AU"/>
        </w:rPr>
        <w:t xml:space="preserve"> of the </w:t>
      </w:r>
      <w:r w:rsidR="00E24A0D">
        <w:rPr>
          <w:lang w:eastAsia="en-AU"/>
        </w:rPr>
        <w:t xml:space="preserve">navigation service </w:t>
      </w:r>
      <w:r>
        <w:rPr>
          <w:lang w:eastAsia="en-AU"/>
        </w:rPr>
        <w:t xml:space="preserve">and </w:t>
      </w:r>
      <w:r w:rsidR="00E24A0D">
        <w:rPr>
          <w:lang w:eastAsia="en-AU"/>
        </w:rPr>
        <w:t>wharfage charge</w:t>
      </w:r>
      <w:r w:rsidR="00B53D64">
        <w:rPr>
          <w:lang w:eastAsia="en-AU"/>
        </w:rPr>
        <w:t>s</w:t>
      </w:r>
      <w:r>
        <w:rPr>
          <w:lang w:eastAsia="en-AU"/>
        </w:rPr>
        <w:t xml:space="preserve"> since the Port was privatised in 2014. It submitted that the increases demonstrated that PNO had unconstrained market power to increase prices</w:t>
      </w:r>
      <w:r w:rsidR="00C715C4">
        <w:rPr>
          <w:lang w:eastAsia="en-AU"/>
        </w:rPr>
        <w:t xml:space="preserve"> and, left unregulated, PNO would continue to exercise that market power and increase prices into the future</w:t>
      </w:r>
      <w:r>
        <w:rPr>
          <w:lang w:eastAsia="en-AU"/>
        </w:rPr>
        <w:t xml:space="preserve">. </w:t>
      </w:r>
      <w:r w:rsidR="00F37A9E">
        <w:rPr>
          <w:lang w:eastAsia="en-AU"/>
        </w:rPr>
        <w:t>NSWMC also submitted that the prices and terms of access offered under the Pro Forma Pricing Deeds are not comparable to reasonable terms of access that would be afforded as a result of declaration.</w:t>
      </w:r>
    </w:p>
    <w:p w14:paraId="54C93DC7" w14:textId="782915CB" w:rsidR="00C05FAD" w:rsidRDefault="00F37A9E" w:rsidP="000432BD">
      <w:pPr>
        <w:pStyle w:val="ParaNumbering"/>
        <w:rPr>
          <w:lang w:eastAsia="en-AU"/>
        </w:rPr>
      </w:pPr>
      <w:r>
        <w:rPr>
          <w:lang w:eastAsia="en-AU"/>
        </w:rPr>
        <w:lastRenderedPageBreak/>
        <w:t>T</w:t>
      </w:r>
      <w:r w:rsidR="001610DD">
        <w:rPr>
          <w:lang w:eastAsia="en-AU"/>
        </w:rPr>
        <w:t xml:space="preserve">he Tribunal does not accept that the increases </w:t>
      </w:r>
      <w:r>
        <w:rPr>
          <w:lang w:eastAsia="en-AU"/>
        </w:rPr>
        <w:t xml:space="preserve">in the </w:t>
      </w:r>
      <w:r w:rsidR="00E24A0D">
        <w:rPr>
          <w:lang w:eastAsia="en-AU"/>
        </w:rPr>
        <w:t>navigation service charge</w:t>
      </w:r>
      <w:r>
        <w:rPr>
          <w:lang w:eastAsia="en-AU"/>
        </w:rPr>
        <w:t xml:space="preserve"> and </w:t>
      </w:r>
      <w:r w:rsidR="00E24A0D">
        <w:rPr>
          <w:lang w:eastAsia="en-AU"/>
        </w:rPr>
        <w:t>wharfage charge</w:t>
      </w:r>
      <w:r>
        <w:rPr>
          <w:lang w:eastAsia="en-AU"/>
        </w:rPr>
        <w:t xml:space="preserve"> </w:t>
      </w:r>
      <w:r w:rsidR="001610DD">
        <w:rPr>
          <w:lang w:eastAsia="en-AU"/>
        </w:rPr>
        <w:t xml:space="preserve">since privatisation demonstrate unconstrained market power. It cannot be assumed that </w:t>
      </w:r>
      <w:r w:rsidR="00F1301C">
        <w:rPr>
          <w:lang w:eastAsia="en-AU"/>
        </w:rPr>
        <w:t xml:space="preserve">the rates of </w:t>
      </w:r>
      <w:r w:rsidR="001610DD">
        <w:rPr>
          <w:lang w:eastAsia="en-AU"/>
        </w:rPr>
        <w:t xml:space="preserve">the </w:t>
      </w:r>
      <w:r w:rsidR="00B53D64">
        <w:rPr>
          <w:lang w:eastAsia="en-AU"/>
        </w:rPr>
        <w:t>two</w:t>
      </w:r>
      <w:r w:rsidR="00E24A0D">
        <w:rPr>
          <w:lang w:eastAsia="en-AU"/>
        </w:rPr>
        <w:t xml:space="preserve"> charge</w:t>
      </w:r>
      <w:r w:rsidR="00B53D64">
        <w:rPr>
          <w:lang w:eastAsia="en-AU"/>
        </w:rPr>
        <w:t>s</w:t>
      </w:r>
      <w:r w:rsidR="001610DD">
        <w:rPr>
          <w:lang w:eastAsia="en-AU"/>
        </w:rPr>
        <w:t xml:space="preserve"> prior to privatisation, when the Port was </w:t>
      </w:r>
      <w:r w:rsidR="00813944">
        <w:rPr>
          <w:lang w:eastAsia="en-AU"/>
        </w:rPr>
        <w:t xml:space="preserve">state-owned, were set at </w:t>
      </w:r>
      <w:r w:rsidR="00F94BE0">
        <w:rPr>
          <w:lang w:eastAsia="en-AU"/>
        </w:rPr>
        <w:t>economically efficient</w:t>
      </w:r>
      <w:r w:rsidR="00813944">
        <w:rPr>
          <w:lang w:eastAsia="en-AU"/>
        </w:rPr>
        <w:t xml:space="preserve"> level</w:t>
      </w:r>
      <w:r w:rsidR="00B53D64">
        <w:rPr>
          <w:lang w:eastAsia="en-AU"/>
        </w:rPr>
        <w:t>s</w:t>
      </w:r>
      <w:r w:rsidR="00813944">
        <w:rPr>
          <w:lang w:eastAsia="en-AU"/>
        </w:rPr>
        <w:t>. Indeed, the subsequent arbitration of those charges by the ACCC indicates that they were not (with the rate of charges determined by the ACCC being above the pre-privatisation level).</w:t>
      </w:r>
      <w:r w:rsidR="001610DD">
        <w:rPr>
          <w:lang w:eastAsia="en-AU"/>
        </w:rPr>
        <w:t xml:space="preserve"> </w:t>
      </w:r>
      <w:r w:rsidR="00437076">
        <w:rPr>
          <w:lang w:eastAsia="en-AU"/>
        </w:rPr>
        <w:t xml:space="preserve">It is only necessary to consider the </w:t>
      </w:r>
      <w:r w:rsidR="00E24A0D">
        <w:rPr>
          <w:lang w:eastAsia="en-AU"/>
        </w:rPr>
        <w:t>navigation service charge</w:t>
      </w:r>
      <w:r w:rsidR="00437076">
        <w:rPr>
          <w:lang w:eastAsia="en-AU"/>
        </w:rPr>
        <w:t xml:space="preserve"> because the rate of the </w:t>
      </w:r>
      <w:r w:rsidR="00E24A0D">
        <w:rPr>
          <w:lang w:eastAsia="en-AU"/>
        </w:rPr>
        <w:t>wharfage charge</w:t>
      </w:r>
      <w:r w:rsidR="00437076">
        <w:rPr>
          <w:lang w:eastAsia="en-AU"/>
        </w:rPr>
        <w:t xml:space="preserve"> was ultimately agreed between PNO and Glencore in the arbitration (and was the rate adopted by PNO in its 2018 pricing schedule). In relation to the </w:t>
      </w:r>
      <w:r w:rsidR="00E24A0D">
        <w:rPr>
          <w:lang w:eastAsia="en-AU"/>
        </w:rPr>
        <w:t>navigation service charge</w:t>
      </w:r>
      <w:r w:rsidR="00437076">
        <w:rPr>
          <w:lang w:eastAsia="en-AU"/>
        </w:rPr>
        <w:t xml:space="preserve">, the ACCC’s determined rate of </w:t>
      </w:r>
      <w:r w:rsidR="005D2B8D">
        <w:rPr>
          <w:lang w:eastAsia="en-AU"/>
        </w:rPr>
        <w:t>$</w:t>
      </w:r>
      <w:r w:rsidR="00437076">
        <w:rPr>
          <w:lang w:eastAsia="en-AU"/>
        </w:rPr>
        <w:t xml:space="preserve">0.6075 per gross tonne was less than the rate adopted by PNO in its 2018 pricing schedule of </w:t>
      </w:r>
      <w:r w:rsidR="005D2B8D">
        <w:rPr>
          <w:lang w:eastAsia="en-AU"/>
        </w:rPr>
        <w:t>$</w:t>
      </w:r>
      <w:r w:rsidR="00437076">
        <w:rPr>
          <w:lang w:eastAsia="en-AU"/>
        </w:rPr>
        <w:t xml:space="preserve">0.7553 per gross tonne. </w:t>
      </w:r>
      <w:r w:rsidR="00A860D4">
        <w:rPr>
          <w:lang w:eastAsia="en-AU"/>
        </w:rPr>
        <w:t xml:space="preserve">The Tribunal, on review of the ACCC determination, considered that the ACCC should not have adjusted the </w:t>
      </w:r>
      <w:r w:rsidR="003E6DD3">
        <w:rPr>
          <w:lang w:eastAsia="en-AU"/>
        </w:rPr>
        <w:t xml:space="preserve">DORC </w:t>
      </w:r>
      <w:r w:rsidR="00A860D4">
        <w:rPr>
          <w:lang w:eastAsia="en-AU"/>
        </w:rPr>
        <w:t xml:space="preserve">valuation of the Port’s regulatory asset base by the value of user funded contributions and determined a rate of </w:t>
      </w:r>
      <w:r w:rsidR="005D2B8D" w:rsidRPr="00C22E0D">
        <w:rPr>
          <w:lang w:eastAsia="en-AU"/>
        </w:rPr>
        <w:t xml:space="preserve">$1.0058 per </w:t>
      </w:r>
      <w:r w:rsidR="005D2B8D">
        <w:rPr>
          <w:lang w:eastAsia="en-AU"/>
        </w:rPr>
        <w:t>gross tonne. The Tribunal’s decision was subsequently set aside by the Full Federal Court which considered that the decision was affected by error</w:t>
      </w:r>
      <w:r w:rsidR="003E5F7E">
        <w:rPr>
          <w:lang w:eastAsia="en-AU"/>
        </w:rPr>
        <w:t>s</w:t>
      </w:r>
      <w:r w:rsidR="005D2B8D">
        <w:rPr>
          <w:lang w:eastAsia="en-AU"/>
        </w:rPr>
        <w:t xml:space="preserve"> of law</w:t>
      </w:r>
      <w:r w:rsidR="00F94BE0">
        <w:rPr>
          <w:lang w:eastAsia="en-AU"/>
        </w:rPr>
        <w:t xml:space="preserve"> in respect of the treatment of use</w:t>
      </w:r>
      <w:r>
        <w:rPr>
          <w:lang w:eastAsia="en-AU"/>
        </w:rPr>
        <w:t>r</w:t>
      </w:r>
      <w:r w:rsidR="00F94BE0">
        <w:rPr>
          <w:lang w:eastAsia="en-AU"/>
        </w:rPr>
        <w:t xml:space="preserve"> funded contributions</w:t>
      </w:r>
      <w:r w:rsidR="005D2B8D">
        <w:rPr>
          <w:lang w:eastAsia="en-AU"/>
        </w:rPr>
        <w:t xml:space="preserve">. PNO has appealed the Full Court’s decision to the High Court. While the outcome of the legal challenges and any necessary re-determination of the </w:t>
      </w:r>
      <w:r w:rsidR="00E24A0D">
        <w:rPr>
          <w:lang w:eastAsia="en-AU"/>
        </w:rPr>
        <w:t>navigation service charge</w:t>
      </w:r>
      <w:r w:rsidR="005D2B8D">
        <w:rPr>
          <w:lang w:eastAsia="en-AU"/>
        </w:rPr>
        <w:t xml:space="preserve"> by way of arbitration is not presently known, </w:t>
      </w:r>
      <w:r w:rsidR="00DD590D">
        <w:rPr>
          <w:lang w:eastAsia="en-AU"/>
        </w:rPr>
        <w:t xml:space="preserve">it is significant that </w:t>
      </w:r>
      <w:r w:rsidR="00437076">
        <w:rPr>
          <w:lang w:eastAsia="en-AU"/>
        </w:rPr>
        <w:t>the</w:t>
      </w:r>
      <w:r w:rsidR="00DD590D">
        <w:rPr>
          <w:lang w:eastAsia="en-AU"/>
        </w:rPr>
        <w:t xml:space="preserve"> rate of </w:t>
      </w:r>
      <w:r w:rsidR="00B53D64">
        <w:rPr>
          <w:lang w:eastAsia="en-AU"/>
        </w:rPr>
        <w:t>that</w:t>
      </w:r>
      <w:r w:rsidR="00E24A0D">
        <w:rPr>
          <w:lang w:eastAsia="en-AU"/>
        </w:rPr>
        <w:t xml:space="preserve"> charge</w:t>
      </w:r>
      <w:r w:rsidR="00DD590D">
        <w:rPr>
          <w:lang w:eastAsia="en-AU"/>
        </w:rPr>
        <w:t xml:space="preserve"> </w:t>
      </w:r>
      <w:r w:rsidR="00E24A0D">
        <w:rPr>
          <w:lang w:eastAsia="en-AU"/>
        </w:rPr>
        <w:t>levied</w:t>
      </w:r>
      <w:r w:rsidR="00DD590D">
        <w:rPr>
          <w:lang w:eastAsia="en-AU"/>
        </w:rPr>
        <w:t xml:space="preserve"> by PNO since privatisation lies within the bounds </w:t>
      </w:r>
      <w:r w:rsidR="00D877E4">
        <w:rPr>
          <w:lang w:eastAsia="en-AU"/>
        </w:rPr>
        <w:t>determined</w:t>
      </w:r>
      <w:r w:rsidR="005D2B8D">
        <w:rPr>
          <w:lang w:eastAsia="en-AU"/>
        </w:rPr>
        <w:t xml:space="preserve"> by the ACCC and the Tribunal by way of arbitration under </w:t>
      </w:r>
      <w:r w:rsidR="005E6DDA">
        <w:rPr>
          <w:lang w:eastAsia="en-AU"/>
        </w:rPr>
        <w:t xml:space="preserve">Division 3 of </w:t>
      </w:r>
      <w:r w:rsidR="005D2B8D">
        <w:rPr>
          <w:lang w:eastAsia="en-AU"/>
        </w:rPr>
        <w:t>Part IIIA</w:t>
      </w:r>
      <w:r w:rsidR="00DD590D">
        <w:rPr>
          <w:lang w:eastAsia="en-AU"/>
        </w:rPr>
        <w:t xml:space="preserve">. That is </w:t>
      </w:r>
      <w:r w:rsidR="005D2B8D">
        <w:rPr>
          <w:lang w:eastAsia="en-AU"/>
        </w:rPr>
        <w:t xml:space="preserve">inconsistent with a conclusion that the rate of the </w:t>
      </w:r>
      <w:r w:rsidR="00E24A0D">
        <w:rPr>
          <w:lang w:eastAsia="en-AU"/>
        </w:rPr>
        <w:t>navigation service charge</w:t>
      </w:r>
      <w:r w:rsidR="005D2B8D">
        <w:rPr>
          <w:lang w:eastAsia="en-AU"/>
        </w:rPr>
        <w:t xml:space="preserve"> </w:t>
      </w:r>
      <w:r w:rsidR="00E24A0D">
        <w:rPr>
          <w:lang w:eastAsia="en-AU"/>
        </w:rPr>
        <w:t>levied</w:t>
      </w:r>
      <w:r w:rsidR="00D877E4">
        <w:rPr>
          <w:lang w:eastAsia="en-AU"/>
        </w:rPr>
        <w:t xml:space="preserve"> by PNO since privatisation </w:t>
      </w:r>
      <w:r w:rsidR="00437076">
        <w:rPr>
          <w:lang w:eastAsia="en-AU"/>
        </w:rPr>
        <w:t>demonstrate</w:t>
      </w:r>
      <w:r w:rsidR="00D877E4">
        <w:rPr>
          <w:lang w:eastAsia="en-AU"/>
        </w:rPr>
        <w:t>s</w:t>
      </w:r>
      <w:r w:rsidR="00437076">
        <w:rPr>
          <w:lang w:eastAsia="en-AU"/>
        </w:rPr>
        <w:t xml:space="preserve"> unconstrained market power.</w:t>
      </w:r>
      <w:r w:rsidR="00DE01F5">
        <w:rPr>
          <w:lang w:eastAsia="en-AU"/>
        </w:rPr>
        <w:t xml:space="preserve"> </w:t>
      </w:r>
    </w:p>
    <w:p w14:paraId="4753D6DB" w14:textId="77777777" w:rsidR="00015938" w:rsidRDefault="00C36C42" w:rsidP="00015938">
      <w:pPr>
        <w:pStyle w:val="ParaNumbering"/>
        <w:rPr>
          <w:lang w:eastAsia="en-AU"/>
        </w:rPr>
      </w:pPr>
      <w:r>
        <w:rPr>
          <w:lang w:eastAsia="en-AU"/>
        </w:rPr>
        <w:t xml:space="preserve">As noted earlier, in December 2019, PNO published on its website </w:t>
      </w:r>
      <w:r w:rsidR="00341169">
        <w:rPr>
          <w:lang w:eastAsia="en-AU"/>
        </w:rPr>
        <w:t xml:space="preserve">a </w:t>
      </w:r>
      <w:r>
        <w:rPr>
          <w:lang w:eastAsia="en-AU"/>
        </w:rPr>
        <w:t xml:space="preserve">new “open access” </w:t>
      </w:r>
      <w:r w:rsidR="00341169">
        <w:rPr>
          <w:lang w:eastAsia="en-AU"/>
        </w:rPr>
        <w:t>rate</w:t>
      </w:r>
      <w:r>
        <w:rPr>
          <w:lang w:eastAsia="en-AU"/>
        </w:rPr>
        <w:t xml:space="preserve"> for the </w:t>
      </w:r>
      <w:r w:rsidR="00E24A0D">
        <w:rPr>
          <w:lang w:eastAsia="en-AU"/>
        </w:rPr>
        <w:t>navigation service charge</w:t>
      </w:r>
      <w:r>
        <w:rPr>
          <w:lang w:eastAsia="en-AU"/>
        </w:rPr>
        <w:t xml:space="preserve"> </w:t>
      </w:r>
      <w:r w:rsidR="00341169">
        <w:rPr>
          <w:lang w:eastAsia="en-AU"/>
        </w:rPr>
        <w:t xml:space="preserve">of $1.0424 per gross tonne </w:t>
      </w:r>
      <w:r>
        <w:rPr>
          <w:lang w:eastAsia="en-AU"/>
        </w:rPr>
        <w:t>for vessels using the shipping channel service taking effect from 1 January 2020</w:t>
      </w:r>
      <w:r w:rsidR="00341169">
        <w:rPr>
          <w:lang w:eastAsia="en-AU"/>
        </w:rPr>
        <w:t xml:space="preserve">. The NCC confirmed that that rate </w:t>
      </w:r>
      <w:r w:rsidR="00341169" w:rsidRPr="00341169">
        <w:rPr>
          <w:lang w:eastAsia="en-AU"/>
        </w:rPr>
        <w:t xml:space="preserve">is almost identical to that determined by the Tribunal in </w:t>
      </w:r>
      <w:r w:rsidR="00341169">
        <w:rPr>
          <w:lang w:eastAsia="en-AU"/>
        </w:rPr>
        <w:t>its</w:t>
      </w:r>
      <w:r w:rsidR="00341169" w:rsidRPr="00341169">
        <w:rPr>
          <w:lang w:eastAsia="en-AU"/>
        </w:rPr>
        <w:t xml:space="preserve"> 2019 </w:t>
      </w:r>
      <w:r w:rsidR="00341169">
        <w:rPr>
          <w:lang w:eastAsia="en-AU"/>
        </w:rPr>
        <w:t>a</w:t>
      </w:r>
      <w:r w:rsidR="00341169" w:rsidRPr="00341169">
        <w:rPr>
          <w:lang w:eastAsia="en-AU"/>
        </w:rPr>
        <w:t xml:space="preserve">rbitration </w:t>
      </w:r>
      <w:r w:rsidR="00341169">
        <w:rPr>
          <w:lang w:eastAsia="en-AU"/>
        </w:rPr>
        <w:t>d</w:t>
      </w:r>
      <w:r w:rsidR="00341169" w:rsidRPr="00341169">
        <w:rPr>
          <w:lang w:eastAsia="en-AU"/>
        </w:rPr>
        <w:t>etermination</w:t>
      </w:r>
      <w:r w:rsidR="00341169">
        <w:rPr>
          <w:lang w:eastAsia="en-AU"/>
        </w:rPr>
        <w:t xml:space="preserve"> (at [6.36]).</w:t>
      </w:r>
      <w:r w:rsidR="00DE01F5">
        <w:rPr>
          <w:lang w:eastAsia="en-AU"/>
        </w:rPr>
        <w:t xml:space="preserve"> </w:t>
      </w:r>
      <w:r>
        <w:rPr>
          <w:lang w:eastAsia="en-AU"/>
        </w:rPr>
        <w:t xml:space="preserve">PNO also published, and offered on a standing basis, </w:t>
      </w:r>
      <w:r w:rsidR="005E6DDA">
        <w:rPr>
          <w:lang w:eastAsia="en-AU"/>
        </w:rPr>
        <w:t>the P</w:t>
      </w:r>
      <w:r>
        <w:rPr>
          <w:lang w:eastAsia="en-AU"/>
        </w:rPr>
        <w:t xml:space="preserve">ro </w:t>
      </w:r>
      <w:r w:rsidR="005E6DDA">
        <w:rPr>
          <w:lang w:eastAsia="en-AU"/>
        </w:rPr>
        <w:t>F</w:t>
      </w:r>
      <w:r>
        <w:rPr>
          <w:lang w:eastAsia="en-AU"/>
        </w:rPr>
        <w:t xml:space="preserve">orma </w:t>
      </w:r>
      <w:r w:rsidR="005E6DDA">
        <w:rPr>
          <w:lang w:eastAsia="en-AU"/>
        </w:rPr>
        <w:t>Pricing Deeds</w:t>
      </w:r>
      <w:r w:rsidR="00352383">
        <w:rPr>
          <w:lang w:eastAsia="en-AU"/>
        </w:rPr>
        <w:t xml:space="preserve"> </w:t>
      </w:r>
      <w:r>
        <w:rPr>
          <w:lang w:eastAsia="en-AU"/>
        </w:rPr>
        <w:t xml:space="preserve">constituting an agreement in respect of the </w:t>
      </w:r>
      <w:r w:rsidR="00E24A0D">
        <w:rPr>
          <w:lang w:eastAsia="en-AU"/>
        </w:rPr>
        <w:t>navigation service charge</w:t>
      </w:r>
      <w:r>
        <w:rPr>
          <w:lang w:eastAsia="en-AU"/>
        </w:rPr>
        <w:t xml:space="preserve"> pursuant to s</w:t>
      </w:r>
      <w:r w:rsidR="00586AC5">
        <w:rPr>
          <w:lang w:eastAsia="en-AU"/>
        </w:rPr>
        <w:t> </w:t>
      </w:r>
      <w:r>
        <w:rPr>
          <w:lang w:eastAsia="en-AU"/>
        </w:rPr>
        <w:t xml:space="preserve">67 of the PAMA Act. </w:t>
      </w:r>
      <w:r w:rsidR="005E6DDA">
        <w:rPr>
          <w:lang w:eastAsia="en-AU"/>
        </w:rPr>
        <w:t xml:space="preserve">As noted earlier, the Port User Pricing Deed, which was published first, has been replaced by the Producer and Vessel Agent Pricing </w:t>
      </w:r>
      <w:r w:rsidR="00352383">
        <w:rPr>
          <w:lang w:eastAsia="en-AU"/>
        </w:rPr>
        <w:t>D</w:t>
      </w:r>
      <w:r>
        <w:rPr>
          <w:lang w:eastAsia="en-AU"/>
        </w:rPr>
        <w:t>eed</w:t>
      </w:r>
      <w:r w:rsidR="00341169">
        <w:rPr>
          <w:lang w:eastAsia="en-AU"/>
        </w:rPr>
        <w:t>s</w:t>
      </w:r>
      <w:r w:rsidR="005E6DDA">
        <w:rPr>
          <w:lang w:eastAsia="en-AU"/>
        </w:rPr>
        <w:t>. The Deeds</w:t>
      </w:r>
      <w:r>
        <w:rPr>
          <w:lang w:eastAsia="en-AU"/>
        </w:rPr>
        <w:t xml:space="preserve"> ha</w:t>
      </w:r>
      <w:r w:rsidR="00341169">
        <w:rPr>
          <w:lang w:eastAsia="en-AU"/>
        </w:rPr>
        <w:t>ve</w:t>
      </w:r>
      <w:r>
        <w:rPr>
          <w:lang w:eastAsia="en-AU"/>
        </w:rPr>
        <w:t xml:space="preserve"> a 10 year term. Under the </w:t>
      </w:r>
      <w:r w:rsidR="00352383">
        <w:rPr>
          <w:lang w:eastAsia="en-AU"/>
        </w:rPr>
        <w:t>D</w:t>
      </w:r>
      <w:r>
        <w:rPr>
          <w:lang w:eastAsia="en-AU"/>
        </w:rPr>
        <w:t xml:space="preserve">eeds, PNO offered an </w:t>
      </w:r>
      <w:r w:rsidR="00BD7C65">
        <w:rPr>
          <w:lang w:eastAsia="en-AU"/>
        </w:rPr>
        <w:t xml:space="preserve">initial </w:t>
      </w:r>
      <w:r w:rsidR="00E24A0D">
        <w:rPr>
          <w:lang w:eastAsia="en-AU"/>
        </w:rPr>
        <w:t>navigation service charge</w:t>
      </w:r>
      <w:r>
        <w:rPr>
          <w:lang w:eastAsia="en-AU"/>
        </w:rPr>
        <w:t xml:space="preserve"> of $0.8121 per gross tonne </w:t>
      </w:r>
      <w:r w:rsidR="00BD7C65">
        <w:rPr>
          <w:lang w:eastAsia="en-AU"/>
        </w:rPr>
        <w:t>(in 2020 dollar terms)</w:t>
      </w:r>
      <w:r>
        <w:rPr>
          <w:lang w:eastAsia="en-AU"/>
        </w:rPr>
        <w:t xml:space="preserve">, subject to an annual price adjustment </w:t>
      </w:r>
      <w:r w:rsidR="00BD7C65">
        <w:rPr>
          <w:lang w:eastAsia="en-AU"/>
        </w:rPr>
        <w:t xml:space="preserve">of </w:t>
      </w:r>
      <w:r>
        <w:rPr>
          <w:lang w:eastAsia="en-AU"/>
        </w:rPr>
        <w:t xml:space="preserve">the greater of CPI increases and </w:t>
      </w:r>
      <w:r w:rsidR="00BD7C65">
        <w:rPr>
          <w:lang w:eastAsia="en-AU"/>
        </w:rPr>
        <w:t>4%</w:t>
      </w:r>
      <w:r>
        <w:rPr>
          <w:lang w:eastAsia="en-AU"/>
        </w:rPr>
        <w:t>.</w:t>
      </w:r>
      <w:r w:rsidR="00D877E4">
        <w:rPr>
          <w:lang w:eastAsia="en-AU"/>
        </w:rPr>
        <w:t xml:space="preserve"> </w:t>
      </w:r>
      <w:r w:rsidR="00015938">
        <w:rPr>
          <w:lang w:eastAsia="en-AU"/>
        </w:rPr>
        <w:lastRenderedPageBreak/>
        <w:t xml:space="preserve">Assuming a 4% annual increase, the </w:t>
      </w:r>
      <w:r w:rsidR="00E24A0D">
        <w:rPr>
          <w:lang w:eastAsia="en-AU"/>
        </w:rPr>
        <w:t>navigation service charge</w:t>
      </w:r>
      <w:r w:rsidR="00015938">
        <w:rPr>
          <w:lang w:eastAsia="en-AU"/>
        </w:rPr>
        <w:t xml:space="preserve"> </w:t>
      </w:r>
      <w:r w:rsidR="00015938" w:rsidRPr="00015938">
        <w:rPr>
          <w:lang w:eastAsia="en-AU"/>
        </w:rPr>
        <w:t xml:space="preserve">will be $1.1559 per </w:t>
      </w:r>
      <w:r w:rsidR="00C1653D">
        <w:rPr>
          <w:lang w:eastAsia="en-AU"/>
        </w:rPr>
        <w:t>gross tonne</w:t>
      </w:r>
      <w:r w:rsidR="00015938" w:rsidRPr="00015938">
        <w:rPr>
          <w:lang w:eastAsia="en-AU"/>
        </w:rPr>
        <w:t xml:space="preserve"> in 2029</w:t>
      </w:r>
      <w:r w:rsidR="00C1653D">
        <w:rPr>
          <w:lang w:eastAsia="en-AU"/>
        </w:rPr>
        <w:t xml:space="preserve"> (at [7.89]).</w:t>
      </w:r>
    </w:p>
    <w:p w14:paraId="7666680C" w14:textId="77777777" w:rsidR="00352383" w:rsidRDefault="00C13795" w:rsidP="00222483">
      <w:pPr>
        <w:pStyle w:val="ParaNumbering"/>
        <w:rPr>
          <w:lang w:eastAsia="en-AU"/>
        </w:rPr>
      </w:pPr>
      <w:r>
        <w:rPr>
          <w:lang w:eastAsia="en-AU"/>
        </w:rPr>
        <w:t xml:space="preserve">The evidence shows that </w:t>
      </w:r>
      <w:r w:rsidR="00352383" w:rsidRPr="00352383">
        <w:rPr>
          <w:lang w:eastAsia="en-AU"/>
        </w:rPr>
        <w:t>PNO has entered into</w:t>
      </w:r>
      <w:r w:rsidR="00352383">
        <w:rPr>
          <w:lang w:eastAsia="en-AU"/>
        </w:rPr>
        <w:t xml:space="preserve"> </w:t>
      </w:r>
      <w:r w:rsidR="003B067A">
        <w:rPr>
          <w:lang w:eastAsia="en-AU"/>
        </w:rPr>
        <w:t>Vessel Agent Pricing Deed</w:t>
      </w:r>
      <w:r w:rsidR="00352383" w:rsidRPr="00352383">
        <w:rPr>
          <w:lang w:eastAsia="en-AU"/>
        </w:rPr>
        <w:t xml:space="preserve">s </w:t>
      </w:r>
      <w:r w:rsidR="00352383">
        <w:rPr>
          <w:lang w:eastAsia="en-AU"/>
        </w:rPr>
        <w:t>in respect of</w:t>
      </w:r>
      <w:r w:rsidR="00352383" w:rsidRPr="00352383">
        <w:rPr>
          <w:lang w:eastAsia="en-AU"/>
        </w:rPr>
        <w:t xml:space="preserve"> all of the coal vessels calling at the Port. As a result, PNO has been charging all </w:t>
      </w:r>
      <w:r w:rsidR="00352383">
        <w:rPr>
          <w:lang w:eastAsia="en-AU"/>
        </w:rPr>
        <w:t xml:space="preserve">coal </w:t>
      </w:r>
      <w:r w:rsidR="00352383" w:rsidRPr="00352383">
        <w:rPr>
          <w:lang w:eastAsia="en-AU"/>
        </w:rPr>
        <w:t xml:space="preserve">vessels calling at the Port </w:t>
      </w:r>
      <w:r w:rsidR="007638FF">
        <w:rPr>
          <w:lang w:eastAsia="en-AU"/>
        </w:rPr>
        <w:t xml:space="preserve">the </w:t>
      </w:r>
      <w:r w:rsidR="00E24A0D">
        <w:rPr>
          <w:lang w:eastAsia="en-AU"/>
        </w:rPr>
        <w:t>navigation service charge</w:t>
      </w:r>
      <w:r w:rsidR="007638FF">
        <w:rPr>
          <w:lang w:eastAsia="en-AU"/>
        </w:rPr>
        <w:t xml:space="preserve"> calculated in accordance with those Deeds</w:t>
      </w:r>
      <w:r w:rsidR="00352383" w:rsidRPr="00352383">
        <w:rPr>
          <w:lang w:eastAsia="en-AU"/>
        </w:rPr>
        <w:t xml:space="preserve">. </w:t>
      </w:r>
    </w:p>
    <w:p w14:paraId="51B2820E" w14:textId="77777777" w:rsidR="00E950E9" w:rsidRDefault="00BD7C65" w:rsidP="000432BD">
      <w:pPr>
        <w:pStyle w:val="ParaNumbering"/>
        <w:rPr>
          <w:lang w:eastAsia="en-AU"/>
        </w:rPr>
      </w:pPr>
      <w:r>
        <w:rPr>
          <w:lang w:eastAsia="en-AU"/>
        </w:rPr>
        <w:t xml:space="preserve">Thus, as at the beginning of 2020, the </w:t>
      </w:r>
      <w:r w:rsidR="004C4FEC">
        <w:rPr>
          <w:lang w:eastAsia="en-AU"/>
        </w:rPr>
        <w:t>relevant facts relating to PNO’s pricing behaviour can be summarised as follows:</w:t>
      </w:r>
    </w:p>
    <w:p w14:paraId="483429ED" w14:textId="77777777" w:rsidR="004C4FEC" w:rsidRDefault="004C4FEC" w:rsidP="009F42D3">
      <w:pPr>
        <w:pStyle w:val="ListNo1alt"/>
        <w:numPr>
          <w:ilvl w:val="0"/>
          <w:numId w:val="44"/>
        </w:numPr>
        <w:rPr>
          <w:lang w:eastAsia="en-AU"/>
        </w:rPr>
      </w:pPr>
      <w:r>
        <w:rPr>
          <w:lang w:eastAsia="en-AU"/>
        </w:rPr>
        <w:t>The declaration of the shipping channel service under Part IIIA had been revoked.</w:t>
      </w:r>
    </w:p>
    <w:p w14:paraId="143956F2" w14:textId="77777777" w:rsidR="008B7B98" w:rsidRDefault="004C4FEC" w:rsidP="009F42D3">
      <w:pPr>
        <w:pStyle w:val="ListNo1alt"/>
        <w:numPr>
          <w:ilvl w:val="0"/>
          <w:numId w:val="44"/>
        </w:numPr>
        <w:rPr>
          <w:lang w:eastAsia="en-AU"/>
        </w:rPr>
      </w:pPr>
      <w:r>
        <w:rPr>
          <w:lang w:eastAsia="en-AU"/>
        </w:rPr>
        <w:t xml:space="preserve">In an </w:t>
      </w:r>
      <w:r w:rsidR="008B7B98">
        <w:rPr>
          <w:lang w:eastAsia="en-AU"/>
        </w:rPr>
        <w:t xml:space="preserve">earlier </w:t>
      </w:r>
      <w:r>
        <w:rPr>
          <w:lang w:eastAsia="en-AU"/>
        </w:rPr>
        <w:t xml:space="preserve">arbitration conducted under Division 3 of Part IIIA, the ACCC had determined </w:t>
      </w:r>
      <w:r w:rsidR="008B7B98">
        <w:rPr>
          <w:lang w:eastAsia="en-AU"/>
        </w:rPr>
        <w:t xml:space="preserve">a rate for the </w:t>
      </w:r>
      <w:r w:rsidR="00E24A0D">
        <w:rPr>
          <w:lang w:eastAsia="en-AU"/>
        </w:rPr>
        <w:t>navigation service charge</w:t>
      </w:r>
      <w:r w:rsidR="008B7B98">
        <w:rPr>
          <w:lang w:eastAsia="en-AU"/>
        </w:rPr>
        <w:t xml:space="preserve"> of $0.</w:t>
      </w:r>
      <w:r>
        <w:rPr>
          <w:lang w:eastAsia="en-AU"/>
        </w:rPr>
        <w:t xml:space="preserve">6075 per gross tonne (in 2018 dollars), equivalent to </w:t>
      </w:r>
      <w:r w:rsidR="008B7B98" w:rsidRPr="008B7B98">
        <w:rPr>
          <w:lang w:eastAsia="en-AU"/>
        </w:rPr>
        <w:t xml:space="preserve">$0.63 per </w:t>
      </w:r>
      <w:r w:rsidR="008B7B98">
        <w:rPr>
          <w:lang w:eastAsia="en-AU"/>
        </w:rPr>
        <w:t>gross tonne</w:t>
      </w:r>
      <w:r w:rsidR="008B7B98" w:rsidRPr="008B7B98">
        <w:rPr>
          <w:lang w:eastAsia="en-AU"/>
        </w:rPr>
        <w:t xml:space="preserve"> in 2020 dollar</w:t>
      </w:r>
      <w:r w:rsidR="008B7B98">
        <w:rPr>
          <w:lang w:eastAsia="en-AU"/>
        </w:rPr>
        <w:t>s. On review, the Tribunal de</w:t>
      </w:r>
      <w:r w:rsidR="005E6DDA">
        <w:rPr>
          <w:lang w:eastAsia="en-AU"/>
        </w:rPr>
        <w:t xml:space="preserve">termined a rate for the </w:t>
      </w:r>
      <w:r w:rsidR="00E24A0D">
        <w:rPr>
          <w:lang w:eastAsia="en-AU"/>
        </w:rPr>
        <w:t>navigation service charge</w:t>
      </w:r>
      <w:r w:rsidR="005E6DDA">
        <w:rPr>
          <w:lang w:eastAsia="en-AU"/>
        </w:rPr>
        <w:t xml:space="preserve"> of </w:t>
      </w:r>
      <w:r w:rsidR="008B7B98" w:rsidRPr="008B7B98">
        <w:rPr>
          <w:lang w:eastAsia="en-AU"/>
        </w:rPr>
        <w:t>$1.0058</w:t>
      </w:r>
      <w:r w:rsidR="008B7B98">
        <w:rPr>
          <w:lang w:eastAsia="en-AU"/>
        </w:rPr>
        <w:t xml:space="preserve"> per gross tonne (in 2018 dollars), equivalent to </w:t>
      </w:r>
      <w:r w:rsidR="008B7B98" w:rsidRPr="008B7B98">
        <w:rPr>
          <w:lang w:eastAsia="en-AU"/>
        </w:rPr>
        <w:t>$</w:t>
      </w:r>
      <w:r w:rsidR="008B7B98">
        <w:rPr>
          <w:lang w:eastAsia="en-AU"/>
        </w:rPr>
        <w:t>1.04</w:t>
      </w:r>
      <w:r w:rsidR="008B7B98" w:rsidRPr="008B7B98">
        <w:rPr>
          <w:lang w:eastAsia="en-AU"/>
        </w:rPr>
        <w:t xml:space="preserve"> per </w:t>
      </w:r>
      <w:r w:rsidR="008B7B98">
        <w:rPr>
          <w:lang w:eastAsia="en-AU"/>
        </w:rPr>
        <w:t>gross tonne</w:t>
      </w:r>
      <w:r w:rsidR="008B7B98" w:rsidRPr="008B7B98">
        <w:rPr>
          <w:lang w:eastAsia="en-AU"/>
        </w:rPr>
        <w:t xml:space="preserve"> in 2020 dollar</w:t>
      </w:r>
      <w:r w:rsidR="008B7B98">
        <w:rPr>
          <w:lang w:eastAsia="en-AU"/>
        </w:rPr>
        <w:t>s.</w:t>
      </w:r>
    </w:p>
    <w:p w14:paraId="76C94054" w14:textId="77777777" w:rsidR="008B7B98" w:rsidRDefault="008B7B98" w:rsidP="009F42D3">
      <w:pPr>
        <w:pStyle w:val="ListNo1alt"/>
        <w:numPr>
          <w:ilvl w:val="0"/>
          <w:numId w:val="44"/>
        </w:numPr>
        <w:rPr>
          <w:lang w:eastAsia="en-AU"/>
        </w:rPr>
      </w:pPr>
      <w:r>
        <w:rPr>
          <w:lang w:eastAsia="en-AU"/>
        </w:rPr>
        <w:t xml:space="preserve">PNO published its standing rate for the </w:t>
      </w:r>
      <w:r w:rsidR="00E24A0D">
        <w:rPr>
          <w:lang w:eastAsia="en-AU"/>
        </w:rPr>
        <w:t>navigation service charge</w:t>
      </w:r>
      <w:r>
        <w:rPr>
          <w:lang w:eastAsia="en-AU"/>
        </w:rPr>
        <w:t xml:space="preserve"> </w:t>
      </w:r>
      <w:r w:rsidR="00062535">
        <w:rPr>
          <w:lang w:eastAsia="en-AU"/>
        </w:rPr>
        <w:t>of $1.0424 per gross tonne, being</w:t>
      </w:r>
      <w:r>
        <w:rPr>
          <w:lang w:eastAsia="en-AU"/>
        </w:rPr>
        <w:t xml:space="preserve"> a rate equivalent to the Tribunal determination. It also published a lower rate of $0.8121 per gross tonne (in 2020 dollar terms)</w:t>
      </w:r>
      <w:r w:rsidR="00742BA2">
        <w:rPr>
          <w:lang w:eastAsia="en-AU"/>
        </w:rPr>
        <w:t xml:space="preserve"> </w:t>
      </w:r>
      <w:r>
        <w:rPr>
          <w:lang w:eastAsia="en-AU"/>
        </w:rPr>
        <w:t xml:space="preserve">offered on the terms of </w:t>
      </w:r>
      <w:r w:rsidR="005E6DDA">
        <w:rPr>
          <w:lang w:eastAsia="en-AU"/>
        </w:rPr>
        <w:t xml:space="preserve">the </w:t>
      </w:r>
      <w:r w:rsidR="00742BA2">
        <w:rPr>
          <w:lang w:eastAsia="en-AU"/>
        </w:rPr>
        <w:t xml:space="preserve">Producer and </w:t>
      </w:r>
      <w:r w:rsidR="003B067A">
        <w:rPr>
          <w:lang w:eastAsia="en-AU"/>
        </w:rPr>
        <w:t>Vessel Agent Pricing Deed</w:t>
      </w:r>
      <w:r w:rsidR="00742BA2">
        <w:rPr>
          <w:lang w:eastAsia="en-AU"/>
        </w:rPr>
        <w:t>s</w:t>
      </w:r>
      <w:r>
        <w:rPr>
          <w:lang w:eastAsia="en-AU"/>
        </w:rPr>
        <w:t xml:space="preserve"> that included price escalations. It is apparent that the lower rate is approximately the mid-point of the ACCC and Tribunal arbitrated prices.</w:t>
      </w:r>
    </w:p>
    <w:p w14:paraId="21B5BC1F" w14:textId="77777777" w:rsidR="00352383" w:rsidRDefault="00352383" w:rsidP="009F42D3">
      <w:pPr>
        <w:pStyle w:val="ListNo1alt"/>
        <w:numPr>
          <w:ilvl w:val="0"/>
          <w:numId w:val="44"/>
        </w:numPr>
        <w:rPr>
          <w:lang w:eastAsia="en-AU"/>
        </w:rPr>
      </w:pPr>
      <w:r w:rsidRPr="00352383">
        <w:rPr>
          <w:lang w:eastAsia="en-AU"/>
        </w:rPr>
        <w:t>PNO has entered into</w:t>
      </w:r>
      <w:r>
        <w:rPr>
          <w:lang w:eastAsia="en-AU"/>
        </w:rPr>
        <w:t xml:space="preserve"> </w:t>
      </w:r>
      <w:r w:rsidR="003B067A">
        <w:rPr>
          <w:lang w:eastAsia="en-AU"/>
        </w:rPr>
        <w:t>Vessel Agent Pricing Deed</w:t>
      </w:r>
      <w:r w:rsidRPr="00352383">
        <w:rPr>
          <w:lang w:eastAsia="en-AU"/>
        </w:rPr>
        <w:t xml:space="preserve">s </w:t>
      </w:r>
      <w:r>
        <w:rPr>
          <w:lang w:eastAsia="en-AU"/>
        </w:rPr>
        <w:t>in respect of</w:t>
      </w:r>
      <w:r w:rsidRPr="00352383">
        <w:rPr>
          <w:lang w:eastAsia="en-AU"/>
        </w:rPr>
        <w:t xml:space="preserve"> all of the coal vessels calling at the Port</w:t>
      </w:r>
      <w:r>
        <w:rPr>
          <w:lang w:eastAsia="en-AU"/>
        </w:rPr>
        <w:t xml:space="preserve"> and </w:t>
      </w:r>
      <w:r w:rsidRPr="00352383">
        <w:rPr>
          <w:lang w:eastAsia="en-AU"/>
        </w:rPr>
        <w:t xml:space="preserve">has been charging all </w:t>
      </w:r>
      <w:r>
        <w:rPr>
          <w:lang w:eastAsia="en-AU"/>
        </w:rPr>
        <w:t xml:space="preserve">coal </w:t>
      </w:r>
      <w:r w:rsidRPr="00352383">
        <w:rPr>
          <w:lang w:eastAsia="en-AU"/>
        </w:rPr>
        <w:t>vessels calling at the Port</w:t>
      </w:r>
      <w:r w:rsidR="007638FF">
        <w:rPr>
          <w:lang w:eastAsia="en-AU"/>
        </w:rPr>
        <w:t xml:space="preserve"> the </w:t>
      </w:r>
      <w:r w:rsidR="00E24A0D">
        <w:rPr>
          <w:lang w:eastAsia="en-AU"/>
        </w:rPr>
        <w:t>navigation service charge</w:t>
      </w:r>
      <w:r w:rsidR="007638FF">
        <w:rPr>
          <w:lang w:eastAsia="en-AU"/>
        </w:rPr>
        <w:t xml:space="preserve"> calculated in accordance with those Deeds</w:t>
      </w:r>
      <w:r>
        <w:rPr>
          <w:lang w:eastAsia="en-AU"/>
        </w:rPr>
        <w:t>.</w:t>
      </w:r>
    </w:p>
    <w:p w14:paraId="53FEB06D" w14:textId="77777777" w:rsidR="00062535" w:rsidRDefault="00B05C39" w:rsidP="00B05C39">
      <w:pPr>
        <w:pStyle w:val="ParaNumbering"/>
        <w:rPr>
          <w:lang w:eastAsia="en-AU"/>
        </w:rPr>
      </w:pPr>
      <w:r>
        <w:rPr>
          <w:lang w:eastAsia="en-AU"/>
        </w:rPr>
        <w:t>NSWMC</w:t>
      </w:r>
      <w:r w:rsidR="00062535">
        <w:rPr>
          <w:lang w:eastAsia="en-AU"/>
        </w:rPr>
        <w:t xml:space="preserve"> advanced a number of criticisms of the pricing terms and conditions offered publicly by PNO from December 2019.</w:t>
      </w:r>
    </w:p>
    <w:p w14:paraId="6CC32428" w14:textId="77777777" w:rsidR="00B05C39" w:rsidRDefault="00B41849" w:rsidP="002302F0">
      <w:pPr>
        <w:pStyle w:val="ParaNumbering"/>
        <w:rPr>
          <w:lang w:eastAsia="en-AU"/>
        </w:rPr>
      </w:pPr>
      <w:r>
        <w:rPr>
          <w:lang w:eastAsia="en-AU"/>
        </w:rPr>
        <w:t xml:space="preserve">First, </w:t>
      </w:r>
      <w:r w:rsidR="00062535">
        <w:rPr>
          <w:lang w:eastAsia="en-AU"/>
        </w:rPr>
        <w:t xml:space="preserve">NSWMC submitted </w:t>
      </w:r>
      <w:r w:rsidR="00B05C39">
        <w:rPr>
          <w:lang w:eastAsia="en-AU"/>
        </w:rPr>
        <w:t>that t</w:t>
      </w:r>
      <w:r w:rsidR="00B05C39" w:rsidRPr="00EC0F17">
        <w:rPr>
          <w:lang w:eastAsia="en-AU"/>
        </w:rPr>
        <w:t xml:space="preserve">he </w:t>
      </w:r>
      <w:r w:rsidR="00062535">
        <w:rPr>
          <w:lang w:eastAsia="en-AU"/>
        </w:rPr>
        <w:t xml:space="preserve">“open access” </w:t>
      </w:r>
      <w:r w:rsidR="00E24A0D">
        <w:rPr>
          <w:lang w:eastAsia="en-AU"/>
        </w:rPr>
        <w:t>navigation service charge</w:t>
      </w:r>
      <w:r w:rsidR="00B05C39" w:rsidRPr="00EC0F17">
        <w:rPr>
          <w:lang w:eastAsia="en-AU"/>
        </w:rPr>
        <w:t xml:space="preserve"> </w:t>
      </w:r>
      <w:r w:rsidR="00B05C39">
        <w:rPr>
          <w:lang w:eastAsia="en-AU"/>
        </w:rPr>
        <w:t>rate</w:t>
      </w:r>
      <w:r w:rsidR="00B05C39" w:rsidRPr="00EC0F17">
        <w:rPr>
          <w:lang w:eastAsia="en-AU"/>
        </w:rPr>
        <w:t xml:space="preserve"> </w:t>
      </w:r>
      <w:r w:rsidR="00062535">
        <w:rPr>
          <w:lang w:eastAsia="en-AU"/>
        </w:rPr>
        <w:t xml:space="preserve">of $1.0424 per gross tonne and the lower rate of </w:t>
      </w:r>
      <w:r w:rsidR="00062535" w:rsidRPr="00352383">
        <w:rPr>
          <w:lang w:eastAsia="en-AU"/>
        </w:rPr>
        <w:t>$0.81</w:t>
      </w:r>
      <w:r w:rsidR="007638FF">
        <w:rPr>
          <w:lang w:eastAsia="en-AU"/>
        </w:rPr>
        <w:t>21</w:t>
      </w:r>
      <w:r w:rsidR="00062535" w:rsidRPr="00352383">
        <w:rPr>
          <w:lang w:eastAsia="en-AU"/>
        </w:rPr>
        <w:t xml:space="preserve"> per gross tonne </w:t>
      </w:r>
      <w:r w:rsidR="00B05C39" w:rsidRPr="00EC0F17">
        <w:rPr>
          <w:lang w:eastAsia="en-AU"/>
        </w:rPr>
        <w:t>under the Deeds includes a return on user</w:t>
      </w:r>
      <w:r w:rsidR="00B05C39">
        <w:rPr>
          <w:lang w:eastAsia="en-AU"/>
        </w:rPr>
        <w:t xml:space="preserve"> </w:t>
      </w:r>
      <w:r w:rsidR="00B05C39" w:rsidRPr="00EC0F17">
        <w:rPr>
          <w:lang w:eastAsia="en-AU"/>
        </w:rPr>
        <w:t xml:space="preserve">funded </w:t>
      </w:r>
      <w:r w:rsidR="00B05C39">
        <w:rPr>
          <w:lang w:eastAsia="en-AU"/>
        </w:rPr>
        <w:t xml:space="preserve">contributions which was rejected by the ACCC. </w:t>
      </w:r>
      <w:r w:rsidR="002302F0">
        <w:rPr>
          <w:lang w:eastAsia="en-AU"/>
        </w:rPr>
        <w:t>T</w:t>
      </w:r>
      <w:r w:rsidR="00B05C39">
        <w:rPr>
          <w:lang w:eastAsia="en-AU"/>
        </w:rPr>
        <w:t xml:space="preserve">he fact </w:t>
      </w:r>
      <w:r w:rsidR="00B05C39" w:rsidRPr="00247259">
        <w:rPr>
          <w:lang w:eastAsia="en-AU"/>
        </w:rPr>
        <w:t>that prices charged by PNO include a return on user funded contributions</w:t>
      </w:r>
      <w:r w:rsidR="00B05C39">
        <w:rPr>
          <w:lang w:eastAsia="en-AU"/>
        </w:rPr>
        <w:t xml:space="preserve"> does not demonstrate that such prices are likely to have a negative impact on the conditions or environment for competition in the coal tenements market on a forward looking basis. </w:t>
      </w:r>
      <w:r w:rsidR="002302F0" w:rsidRPr="002302F0">
        <w:rPr>
          <w:lang w:eastAsia="en-AU"/>
        </w:rPr>
        <w:t xml:space="preserve">While NSWMC is critical of the fact that PNO’s current rate of </w:t>
      </w:r>
      <w:r w:rsidR="00E24A0D">
        <w:rPr>
          <w:lang w:eastAsia="en-AU"/>
        </w:rPr>
        <w:t>navigation service charge</w:t>
      </w:r>
      <w:r w:rsidR="002302F0" w:rsidRPr="002302F0">
        <w:rPr>
          <w:lang w:eastAsia="en-AU"/>
        </w:rPr>
        <w:t xml:space="preserve"> includes a return </w:t>
      </w:r>
      <w:r w:rsidR="002302F0">
        <w:rPr>
          <w:lang w:eastAsia="en-AU"/>
        </w:rPr>
        <w:t xml:space="preserve">(in whole or in part) </w:t>
      </w:r>
      <w:r w:rsidR="002302F0" w:rsidRPr="002302F0">
        <w:rPr>
          <w:lang w:eastAsia="en-AU"/>
        </w:rPr>
        <w:t xml:space="preserve">on the value of </w:t>
      </w:r>
      <w:r w:rsidR="002302F0" w:rsidRPr="002302F0">
        <w:rPr>
          <w:lang w:eastAsia="en-AU"/>
        </w:rPr>
        <w:lastRenderedPageBreak/>
        <w:t xml:space="preserve">historic user funded contributions, it did not submit that the current rate was such as to impact </w:t>
      </w:r>
      <w:r w:rsidR="003E5F7E" w:rsidRPr="002302F0">
        <w:rPr>
          <w:lang w:eastAsia="en-AU"/>
        </w:rPr>
        <w:t xml:space="preserve">negatively </w:t>
      </w:r>
      <w:r w:rsidR="002302F0" w:rsidRPr="002302F0">
        <w:rPr>
          <w:lang w:eastAsia="en-AU"/>
        </w:rPr>
        <w:t>the conditions or environment for competition in the coal tenements market. Further, there is no evidence to suggest that the current rate is having any such effect.</w:t>
      </w:r>
      <w:r w:rsidR="002302F0">
        <w:rPr>
          <w:lang w:eastAsia="en-AU"/>
        </w:rPr>
        <w:t xml:space="preserve"> </w:t>
      </w:r>
      <w:r w:rsidR="00B05C39">
        <w:rPr>
          <w:lang w:eastAsia="en-AU"/>
        </w:rPr>
        <w:t xml:space="preserve">The Tribunal also notes that the </w:t>
      </w:r>
      <w:r w:rsidR="00E24A0D">
        <w:rPr>
          <w:lang w:eastAsia="en-AU"/>
        </w:rPr>
        <w:t>navigation service charge</w:t>
      </w:r>
      <w:r w:rsidR="00B05C39">
        <w:rPr>
          <w:lang w:eastAsia="en-AU"/>
        </w:rPr>
        <w:t xml:space="preserve"> </w:t>
      </w:r>
      <w:r w:rsidR="00E24A0D">
        <w:rPr>
          <w:lang w:eastAsia="en-AU"/>
        </w:rPr>
        <w:t>levie</w:t>
      </w:r>
      <w:r w:rsidR="00B05C39">
        <w:rPr>
          <w:lang w:eastAsia="en-AU"/>
        </w:rPr>
        <w:t>d by PNO under the Deeds does not include a full return on</w:t>
      </w:r>
      <w:r w:rsidR="008511F8">
        <w:rPr>
          <w:lang w:eastAsia="en-AU"/>
        </w:rPr>
        <w:t xml:space="preserve"> the</w:t>
      </w:r>
      <w:r w:rsidR="00B05C39">
        <w:rPr>
          <w:lang w:eastAsia="en-AU"/>
        </w:rPr>
        <w:t xml:space="preserve"> user funded contributions</w:t>
      </w:r>
      <w:r w:rsidR="008511F8">
        <w:rPr>
          <w:lang w:eastAsia="en-AU"/>
        </w:rPr>
        <w:t xml:space="preserve"> identified by the ACCC</w:t>
      </w:r>
      <w:r w:rsidR="00B05C39">
        <w:rPr>
          <w:lang w:eastAsia="en-AU"/>
        </w:rPr>
        <w:t>. The rate is set approximately mid-way between the rate determined by the ACCC (which excluded a return on user funded contributions) and the rate determined by the Tribunal (which included such a return).</w:t>
      </w:r>
    </w:p>
    <w:p w14:paraId="154EF537" w14:textId="1830CD04" w:rsidR="00B41849" w:rsidRDefault="00B41849" w:rsidP="00B05C39">
      <w:pPr>
        <w:pStyle w:val="ParaNumbering"/>
        <w:rPr>
          <w:lang w:eastAsia="en-AU"/>
        </w:rPr>
      </w:pPr>
      <w:r>
        <w:rPr>
          <w:lang w:eastAsia="en-AU"/>
        </w:rPr>
        <w:t xml:space="preserve">Second, NSWMC submitted that there is no guarantee that PNO will continue to offer the Producer and </w:t>
      </w:r>
      <w:r w:rsidR="003B067A">
        <w:rPr>
          <w:lang w:eastAsia="en-AU"/>
        </w:rPr>
        <w:t>Vessel Agent Pricing Deed</w:t>
      </w:r>
      <w:r>
        <w:rPr>
          <w:lang w:eastAsia="en-AU"/>
        </w:rPr>
        <w:t xml:space="preserve">s in the future. It noted that PNO had not given any undertaking to do so, whether by way of </w:t>
      </w:r>
      <w:r w:rsidR="005E6DDA">
        <w:rPr>
          <w:lang w:eastAsia="en-AU"/>
        </w:rPr>
        <w:t>d</w:t>
      </w:r>
      <w:r>
        <w:rPr>
          <w:lang w:eastAsia="en-AU"/>
        </w:rPr>
        <w:t xml:space="preserve">eed </w:t>
      </w:r>
      <w:r w:rsidR="005E6DDA">
        <w:rPr>
          <w:lang w:eastAsia="en-AU"/>
        </w:rPr>
        <w:t>p</w:t>
      </w:r>
      <w:r>
        <w:rPr>
          <w:lang w:eastAsia="en-AU"/>
        </w:rPr>
        <w:t xml:space="preserve">oll or otherwise. The Tribunal accepts that submission as far as it goes, but the Tribunal does not consider that it goes very far. The Producer and </w:t>
      </w:r>
      <w:r w:rsidR="003B067A">
        <w:rPr>
          <w:lang w:eastAsia="en-AU"/>
        </w:rPr>
        <w:t>Vessel Agent Pricing Deed</w:t>
      </w:r>
      <w:r>
        <w:rPr>
          <w:lang w:eastAsia="en-AU"/>
        </w:rPr>
        <w:t xml:space="preserve">s are published on PNO’s website as a standing offer. The </w:t>
      </w:r>
      <w:r w:rsidR="003B067A">
        <w:rPr>
          <w:lang w:eastAsia="en-AU"/>
        </w:rPr>
        <w:t>Vessel Agent Pricing Deed</w:t>
      </w:r>
      <w:r>
        <w:rPr>
          <w:lang w:eastAsia="en-AU"/>
        </w:rPr>
        <w:t xml:space="preserve"> has been entered into by vessel agents for all coal vessels currently shipping coal from the Port. Thus, those Deeds will be in effect for the next 10 years and PNO will be obligated to </w:t>
      </w:r>
      <w:r w:rsidR="00A44696">
        <w:rPr>
          <w:lang w:eastAsia="en-AU"/>
        </w:rPr>
        <w:t xml:space="preserve">set </w:t>
      </w:r>
      <w:r>
        <w:rPr>
          <w:lang w:eastAsia="en-AU"/>
        </w:rPr>
        <w:t xml:space="preserve">the </w:t>
      </w:r>
      <w:r w:rsidR="00E24A0D">
        <w:rPr>
          <w:lang w:eastAsia="en-AU"/>
        </w:rPr>
        <w:t>navigation service charge</w:t>
      </w:r>
      <w:r>
        <w:rPr>
          <w:lang w:eastAsia="en-AU"/>
        </w:rPr>
        <w:t xml:space="preserve"> at rate</w:t>
      </w:r>
      <w:r w:rsidR="00A44696">
        <w:rPr>
          <w:lang w:eastAsia="en-AU"/>
        </w:rPr>
        <w:t>s</w:t>
      </w:r>
      <w:r>
        <w:rPr>
          <w:lang w:eastAsia="en-AU"/>
        </w:rPr>
        <w:t xml:space="preserve"> determined in accordance with those Deeds over that period. It is possible that at some point in the coming years PNO will cease offering the Deeds. However, that would not affect the ongoing operation of the existing Deeds. As discussed further below, the Tribunal does not consider that it is necessary to speculate about prices that may be charged at the expiry of the current Deeds (i</w:t>
      </w:r>
      <w:r w:rsidR="00586AC5">
        <w:rPr>
          <w:lang w:eastAsia="en-AU"/>
        </w:rPr>
        <w:t>.</w:t>
      </w:r>
      <w:r>
        <w:rPr>
          <w:lang w:eastAsia="en-AU"/>
        </w:rPr>
        <w:t>e</w:t>
      </w:r>
      <w:r w:rsidR="00586AC5">
        <w:rPr>
          <w:lang w:eastAsia="en-AU"/>
        </w:rPr>
        <w:t>.</w:t>
      </w:r>
      <w:r>
        <w:rPr>
          <w:lang w:eastAsia="en-AU"/>
        </w:rPr>
        <w:t>, in about 2030). The Tribunal considers that the prospect of declaration of the shipping channel service will remain open if the terms and conditions of access offered by PNO can be shown to be harmful to competition in any dependent market at that time.</w:t>
      </w:r>
    </w:p>
    <w:p w14:paraId="1121FB00" w14:textId="3D5DA6EA" w:rsidR="00B05C39" w:rsidRDefault="00B41849" w:rsidP="00B05C39">
      <w:pPr>
        <w:pStyle w:val="ParaNumbering"/>
        <w:rPr>
          <w:lang w:eastAsia="en-AU"/>
        </w:rPr>
      </w:pPr>
      <w:r>
        <w:rPr>
          <w:lang w:eastAsia="en-AU"/>
        </w:rPr>
        <w:t xml:space="preserve">Third, </w:t>
      </w:r>
      <w:r w:rsidR="00B05C39">
        <w:rPr>
          <w:lang w:eastAsia="en-AU"/>
        </w:rPr>
        <w:t>NSWMC</w:t>
      </w:r>
      <w:r>
        <w:rPr>
          <w:lang w:eastAsia="en-AU"/>
        </w:rPr>
        <w:t xml:space="preserve"> submitted </w:t>
      </w:r>
      <w:r w:rsidR="00B05C39">
        <w:rPr>
          <w:lang w:eastAsia="en-AU"/>
        </w:rPr>
        <w:t xml:space="preserve">that the </w:t>
      </w:r>
      <w:r w:rsidR="00E24A0D">
        <w:rPr>
          <w:lang w:eastAsia="en-AU"/>
        </w:rPr>
        <w:t>navigation service charge</w:t>
      </w:r>
      <w:r w:rsidR="00B05C39">
        <w:rPr>
          <w:lang w:eastAsia="en-AU"/>
        </w:rPr>
        <w:t xml:space="preserve"> under the Deeds may be increased unilaterally by PNO on an annual basis. NSWMC accepted that </w:t>
      </w:r>
      <w:r>
        <w:rPr>
          <w:lang w:eastAsia="en-AU"/>
        </w:rPr>
        <w:t>any coal producer or vessel agent who is a party to the Deeds may object to a price increase and that the dispute is subject to arbitration based upon</w:t>
      </w:r>
      <w:r w:rsidR="00B05C39">
        <w:rPr>
          <w:lang w:eastAsia="en-AU"/>
        </w:rPr>
        <w:t xml:space="preserve"> the </w:t>
      </w:r>
      <w:r>
        <w:rPr>
          <w:lang w:eastAsia="en-AU"/>
        </w:rPr>
        <w:t>p</w:t>
      </w:r>
      <w:r w:rsidR="00B05C39">
        <w:rPr>
          <w:lang w:eastAsia="en-AU"/>
        </w:rPr>
        <w:t xml:space="preserve">ricing </w:t>
      </w:r>
      <w:r>
        <w:rPr>
          <w:lang w:eastAsia="en-AU"/>
        </w:rPr>
        <w:t>p</w:t>
      </w:r>
      <w:r w:rsidR="00B05C39">
        <w:rPr>
          <w:lang w:eastAsia="en-AU"/>
        </w:rPr>
        <w:t xml:space="preserve">rinciples </w:t>
      </w:r>
      <w:r>
        <w:rPr>
          <w:lang w:eastAsia="en-AU"/>
        </w:rPr>
        <w:t xml:space="preserve">set out in the Deeds. </w:t>
      </w:r>
      <w:r w:rsidR="00576B3E">
        <w:rPr>
          <w:lang w:eastAsia="en-AU"/>
        </w:rPr>
        <w:t xml:space="preserve">However, </w:t>
      </w:r>
      <w:r>
        <w:rPr>
          <w:lang w:eastAsia="en-AU"/>
        </w:rPr>
        <w:t xml:space="preserve">NSWMC </w:t>
      </w:r>
      <w:r w:rsidR="00B05C39">
        <w:rPr>
          <w:lang w:eastAsia="en-AU"/>
        </w:rPr>
        <w:t xml:space="preserve">argued that the </w:t>
      </w:r>
      <w:r>
        <w:rPr>
          <w:lang w:eastAsia="en-AU"/>
        </w:rPr>
        <w:t>p</w:t>
      </w:r>
      <w:r w:rsidR="00B05C39">
        <w:rPr>
          <w:lang w:eastAsia="en-AU"/>
        </w:rPr>
        <w:t xml:space="preserve">ricing </w:t>
      </w:r>
      <w:r>
        <w:rPr>
          <w:lang w:eastAsia="en-AU"/>
        </w:rPr>
        <w:t>p</w:t>
      </w:r>
      <w:r w:rsidR="00B05C39">
        <w:rPr>
          <w:lang w:eastAsia="en-AU"/>
        </w:rPr>
        <w:t>rinciples are not identical to the principles that would apply to the arbitration of a dispute under Division 3 of Part IIIA of the Act (by s 44X(1)).</w:t>
      </w:r>
      <w:r>
        <w:rPr>
          <w:lang w:eastAsia="en-AU"/>
        </w:rPr>
        <w:t xml:space="preserve"> It is necessary to consider NSWMC’s criticisms of the pricing principles in more detail by reference to the terms and conditions of the Deeds</w:t>
      </w:r>
      <w:r w:rsidR="001E03AA">
        <w:rPr>
          <w:lang w:eastAsia="en-AU"/>
        </w:rPr>
        <w:t>.</w:t>
      </w:r>
    </w:p>
    <w:p w14:paraId="5FA6F56E" w14:textId="77777777" w:rsidR="001612DA" w:rsidRDefault="002302F0" w:rsidP="00BF7FD8">
      <w:pPr>
        <w:pStyle w:val="Heading4"/>
        <w:rPr>
          <w:lang w:eastAsia="en-AU"/>
        </w:rPr>
      </w:pPr>
      <w:bookmarkStart w:id="78" w:name="_Ref78900522"/>
      <w:r>
        <w:rPr>
          <w:lang w:eastAsia="en-AU"/>
        </w:rPr>
        <w:lastRenderedPageBreak/>
        <w:t>The terms and conditions of the</w:t>
      </w:r>
      <w:r w:rsidR="001612DA">
        <w:rPr>
          <w:lang w:eastAsia="en-AU"/>
        </w:rPr>
        <w:t xml:space="preserve"> Producer and </w:t>
      </w:r>
      <w:r w:rsidR="003B067A">
        <w:rPr>
          <w:lang w:eastAsia="en-AU"/>
        </w:rPr>
        <w:t>Vessel Agent Pricing Deed</w:t>
      </w:r>
      <w:r w:rsidR="001612DA">
        <w:rPr>
          <w:lang w:eastAsia="en-AU"/>
        </w:rPr>
        <w:t>s</w:t>
      </w:r>
      <w:bookmarkEnd w:id="78"/>
    </w:p>
    <w:p w14:paraId="23227346" w14:textId="572AA516" w:rsidR="00576B3E" w:rsidRDefault="008240D1" w:rsidP="000432BD">
      <w:pPr>
        <w:pStyle w:val="ParaNumbering"/>
        <w:rPr>
          <w:lang w:eastAsia="en-AU"/>
        </w:rPr>
      </w:pPr>
      <w:r>
        <w:rPr>
          <w:lang w:eastAsia="en-AU"/>
        </w:rPr>
        <w:t xml:space="preserve">The </w:t>
      </w:r>
      <w:r w:rsidR="003B067A">
        <w:rPr>
          <w:lang w:eastAsia="en-AU"/>
        </w:rPr>
        <w:t>Producer Pricing Deed</w:t>
      </w:r>
      <w:r>
        <w:rPr>
          <w:lang w:eastAsia="en-AU"/>
        </w:rPr>
        <w:t xml:space="preserve"> enable</w:t>
      </w:r>
      <w:r w:rsidR="001612DA">
        <w:rPr>
          <w:lang w:eastAsia="en-AU"/>
        </w:rPr>
        <w:t>s</w:t>
      </w:r>
      <w:r>
        <w:rPr>
          <w:lang w:eastAsia="en-AU"/>
        </w:rPr>
        <w:t xml:space="preserve"> coal producers to agree the rates of </w:t>
      </w:r>
      <w:r w:rsidR="00A44696">
        <w:rPr>
          <w:lang w:eastAsia="en-AU"/>
        </w:rPr>
        <w:t xml:space="preserve">both </w:t>
      </w:r>
      <w:r w:rsidR="00E24A0D">
        <w:rPr>
          <w:lang w:eastAsia="en-AU"/>
        </w:rPr>
        <w:t xml:space="preserve">navigation service </w:t>
      </w:r>
      <w:r>
        <w:rPr>
          <w:lang w:eastAsia="en-AU"/>
        </w:rPr>
        <w:t xml:space="preserve">and </w:t>
      </w:r>
      <w:r w:rsidR="00E24A0D">
        <w:rPr>
          <w:lang w:eastAsia="en-AU"/>
        </w:rPr>
        <w:t>wharfage charge</w:t>
      </w:r>
      <w:r w:rsidR="00A44696">
        <w:rPr>
          <w:lang w:eastAsia="en-AU"/>
        </w:rPr>
        <w:t>s</w:t>
      </w:r>
      <w:r>
        <w:rPr>
          <w:lang w:eastAsia="en-AU"/>
        </w:rPr>
        <w:t xml:space="preserve"> with PNO in respect of vessels carrying the producer’s coal, </w:t>
      </w:r>
      <w:r w:rsidR="001612DA">
        <w:rPr>
          <w:lang w:eastAsia="en-AU"/>
        </w:rPr>
        <w:t xml:space="preserve">while the </w:t>
      </w:r>
      <w:r w:rsidR="003B067A">
        <w:rPr>
          <w:lang w:eastAsia="en-AU"/>
        </w:rPr>
        <w:t>Vessel Agent Pricing Deed</w:t>
      </w:r>
      <w:r w:rsidR="001612DA">
        <w:rPr>
          <w:lang w:eastAsia="en-AU"/>
        </w:rPr>
        <w:t xml:space="preserve"> </w:t>
      </w:r>
      <w:r>
        <w:rPr>
          <w:lang w:eastAsia="en-AU"/>
        </w:rPr>
        <w:t xml:space="preserve">enables vessel agents to agree the rate of the </w:t>
      </w:r>
      <w:r w:rsidR="00E24A0D">
        <w:rPr>
          <w:lang w:eastAsia="en-AU"/>
        </w:rPr>
        <w:t>navigation service charge</w:t>
      </w:r>
      <w:r>
        <w:rPr>
          <w:lang w:eastAsia="en-AU"/>
        </w:rPr>
        <w:t xml:space="preserve"> with PNO in respect of coal vessels for which the agent is the vessel’s inward agent. </w:t>
      </w:r>
      <w:r w:rsidR="00957FFB">
        <w:rPr>
          <w:lang w:eastAsia="en-AU"/>
        </w:rPr>
        <w:t xml:space="preserve">In response to a question, PNO submitted that if a producer and a vessel agent had entered into Deeds that, on their terms, were applicable to a shipment of coal and the Deeds contained different rates for the </w:t>
      </w:r>
      <w:r w:rsidR="00E24A0D">
        <w:rPr>
          <w:lang w:eastAsia="en-AU"/>
        </w:rPr>
        <w:t>navigation service charge</w:t>
      </w:r>
      <w:r w:rsidR="00957FFB">
        <w:rPr>
          <w:lang w:eastAsia="en-AU"/>
        </w:rPr>
        <w:t xml:space="preserve">, the </w:t>
      </w:r>
      <w:r w:rsidR="00A44696">
        <w:rPr>
          <w:lang w:eastAsia="en-AU"/>
        </w:rPr>
        <w:t>rate</w:t>
      </w:r>
      <w:r w:rsidR="00957FFB">
        <w:rPr>
          <w:lang w:eastAsia="en-AU"/>
        </w:rPr>
        <w:t xml:space="preserve"> that would ultimately be charged by PNO would be the lower rate. The Tribunal accepts that that is the practical effect </w:t>
      </w:r>
      <w:r w:rsidR="002302F0">
        <w:rPr>
          <w:lang w:eastAsia="en-AU"/>
        </w:rPr>
        <w:t>of the Deeds.</w:t>
      </w:r>
    </w:p>
    <w:p w14:paraId="7BAD16FF" w14:textId="77777777" w:rsidR="008C4CEE" w:rsidRDefault="001612DA" w:rsidP="000432BD">
      <w:pPr>
        <w:pStyle w:val="ParaNumbering"/>
        <w:rPr>
          <w:lang w:eastAsia="en-AU"/>
        </w:rPr>
      </w:pPr>
      <w:r>
        <w:rPr>
          <w:lang w:eastAsia="en-AU"/>
        </w:rPr>
        <w:t xml:space="preserve">The terms and conditions of the Producer and </w:t>
      </w:r>
      <w:r w:rsidR="003B067A">
        <w:rPr>
          <w:lang w:eastAsia="en-AU"/>
        </w:rPr>
        <w:t>Vessel Agent Pricing Deed</w:t>
      </w:r>
      <w:r>
        <w:rPr>
          <w:lang w:eastAsia="en-AU"/>
        </w:rPr>
        <w:t xml:space="preserve">s are materially the same. </w:t>
      </w:r>
      <w:r w:rsidR="00957FFB">
        <w:rPr>
          <w:lang w:eastAsia="en-AU"/>
        </w:rPr>
        <w:t>The following</w:t>
      </w:r>
      <w:r w:rsidR="008C4CEE">
        <w:rPr>
          <w:lang w:eastAsia="en-AU"/>
        </w:rPr>
        <w:t xml:space="preserve"> terms and conditions of the </w:t>
      </w:r>
      <w:r w:rsidR="00957FFB">
        <w:rPr>
          <w:lang w:eastAsia="en-AU"/>
        </w:rPr>
        <w:t>Deeds are significant:</w:t>
      </w:r>
    </w:p>
    <w:p w14:paraId="3A583B49" w14:textId="77777777" w:rsidR="00957FFB" w:rsidRDefault="00AD1AAA" w:rsidP="009F42D3">
      <w:pPr>
        <w:pStyle w:val="ListNo1alt"/>
        <w:numPr>
          <w:ilvl w:val="0"/>
          <w:numId w:val="45"/>
        </w:numPr>
        <w:rPr>
          <w:lang w:eastAsia="en-AU"/>
        </w:rPr>
      </w:pPr>
      <w:r>
        <w:rPr>
          <w:lang w:eastAsia="en-AU"/>
        </w:rPr>
        <w:t xml:space="preserve">The Deeds have an initial term of 10 years. Not later than 36 months prior to the expiry of the initial term, either party may issue a written notice to the other requesting that the parties enter into discussions with respect to agreeing pricing arrangements to apply following the expiry of the initial term. The parties must then commence discussions regarding such pricing arrangements and must continue such discussions in good faith for a period of up to 6 months (or such other period as they agree in writing). Thus, the Deeds contemplate a process by which the parties will commence negotiations of the charges to apply after the expiry of the initial term 36 months before that date. The Tribunal observes that, if the parties are unable to reach agreement in the allotted 6 month period, the producer or vessel agent has the benefit of the Deed for a further 30 months, which provides ample opportunity to renew an application for declaration of the service if considered appropriate at that time. </w:t>
      </w:r>
    </w:p>
    <w:p w14:paraId="65E722BA" w14:textId="5283B62B" w:rsidR="00AD1AAA" w:rsidRDefault="00DE01F5" w:rsidP="009F42D3">
      <w:pPr>
        <w:pStyle w:val="ListNo1alt"/>
        <w:numPr>
          <w:ilvl w:val="0"/>
          <w:numId w:val="45"/>
        </w:numPr>
        <w:rPr>
          <w:lang w:eastAsia="en-AU"/>
        </w:rPr>
      </w:pPr>
      <w:r>
        <w:rPr>
          <w:lang w:eastAsia="en-AU"/>
        </w:rPr>
        <w:t xml:space="preserve">Under the Deeds, PNO represents that the rate of the </w:t>
      </w:r>
      <w:r w:rsidR="00E24A0D">
        <w:rPr>
          <w:lang w:eastAsia="en-AU"/>
        </w:rPr>
        <w:t>navigation service charge</w:t>
      </w:r>
      <w:r>
        <w:rPr>
          <w:lang w:eastAsia="en-AU"/>
        </w:rPr>
        <w:t xml:space="preserve"> </w:t>
      </w:r>
      <w:r w:rsidR="00E24A0D">
        <w:rPr>
          <w:lang w:eastAsia="en-AU"/>
        </w:rPr>
        <w:t>levie</w:t>
      </w:r>
      <w:r>
        <w:rPr>
          <w:lang w:eastAsia="en-AU"/>
        </w:rPr>
        <w:t xml:space="preserve">d under the Deed, including variations, will not adversely discriminate against the producer or vessel agent by comparison with the </w:t>
      </w:r>
      <w:r w:rsidR="00E24A0D">
        <w:rPr>
          <w:lang w:eastAsia="en-AU"/>
        </w:rPr>
        <w:t>navigation service charge</w:t>
      </w:r>
      <w:r>
        <w:rPr>
          <w:lang w:eastAsia="en-AU"/>
        </w:rPr>
        <w:t xml:space="preserve"> applicable to like circumstances to other producers or vessel agents (as the case may be) who have entered into materially similar deeds. PNO also covenants that it will not enter into an agreement with any other producer or vessel agent (as the case may be) concerning the </w:t>
      </w:r>
      <w:r w:rsidR="00E24A0D">
        <w:rPr>
          <w:lang w:eastAsia="en-AU"/>
        </w:rPr>
        <w:t>navigation service charge</w:t>
      </w:r>
      <w:r>
        <w:rPr>
          <w:lang w:eastAsia="en-AU"/>
        </w:rPr>
        <w:t xml:space="preserve"> to apply over the initial term, or give effect to any variations made to </w:t>
      </w:r>
      <w:r w:rsidR="009455B6">
        <w:rPr>
          <w:lang w:eastAsia="en-AU"/>
        </w:rPr>
        <w:t>that</w:t>
      </w:r>
      <w:r w:rsidR="00E24A0D">
        <w:rPr>
          <w:lang w:eastAsia="en-AU"/>
        </w:rPr>
        <w:t xml:space="preserve"> charge</w:t>
      </w:r>
      <w:r>
        <w:rPr>
          <w:lang w:eastAsia="en-AU"/>
        </w:rPr>
        <w:t xml:space="preserve">, which are materially dissimilar to the </w:t>
      </w:r>
      <w:r w:rsidR="003B2E3A">
        <w:rPr>
          <w:lang w:eastAsia="en-AU"/>
        </w:rPr>
        <w:t xml:space="preserve">relevant provisions of </w:t>
      </w:r>
      <w:r>
        <w:rPr>
          <w:lang w:eastAsia="en-AU"/>
        </w:rPr>
        <w:t>the Deed.</w:t>
      </w:r>
    </w:p>
    <w:p w14:paraId="6F2C3726" w14:textId="641565FF" w:rsidR="00485758" w:rsidRDefault="00485758" w:rsidP="009F42D3">
      <w:pPr>
        <w:pStyle w:val="ListNo1alt"/>
        <w:numPr>
          <w:ilvl w:val="0"/>
          <w:numId w:val="45"/>
        </w:numPr>
        <w:rPr>
          <w:lang w:eastAsia="en-AU"/>
        </w:rPr>
      </w:pPr>
      <w:r>
        <w:rPr>
          <w:lang w:eastAsia="en-AU"/>
        </w:rPr>
        <w:lastRenderedPageBreak/>
        <w:t xml:space="preserve">The rate of the </w:t>
      </w:r>
      <w:r w:rsidR="00E24A0D">
        <w:rPr>
          <w:lang w:eastAsia="en-AU"/>
        </w:rPr>
        <w:t>navigation service charge</w:t>
      </w:r>
      <w:r>
        <w:rPr>
          <w:lang w:eastAsia="en-AU"/>
        </w:rPr>
        <w:t xml:space="preserve"> during the initial term may be adjusted in two ways. First, the rate is adjusted annually by the greater of the applicable annual CPI increase (if any) and 4%. Second, PNO may increase the </w:t>
      </w:r>
      <w:r w:rsidR="00E24A0D">
        <w:rPr>
          <w:lang w:eastAsia="en-AU"/>
        </w:rPr>
        <w:t>navigation service charge</w:t>
      </w:r>
      <w:r>
        <w:rPr>
          <w:lang w:eastAsia="en-AU"/>
        </w:rPr>
        <w:t xml:space="preserve"> </w:t>
      </w:r>
      <w:r w:rsidR="003A1A4A">
        <w:rPr>
          <w:lang w:eastAsia="en-AU"/>
        </w:rPr>
        <w:t xml:space="preserve">for other reasons </w:t>
      </w:r>
      <w:r>
        <w:rPr>
          <w:lang w:eastAsia="en-AU"/>
        </w:rPr>
        <w:t xml:space="preserve">if the </w:t>
      </w:r>
      <w:r w:rsidR="003A1A4A">
        <w:rPr>
          <w:lang w:eastAsia="en-AU"/>
        </w:rPr>
        <w:t xml:space="preserve">resulting </w:t>
      </w:r>
      <w:r>
        <w:rPr>
          <w:lang w:eastAsia="en-AU"/>
        </w:rPr>
        <w:t xml:space="preserve">increase is material </w:t>
      </w:r>
      <w:r w:rsidR="00EF6441">
        <w:rPr>
          <w:lang w:eastAsia="en-AU"/>
        </w:rPr>
        <w:t xml:space="preserve">(greater than 5%) and the increase is consistent with the </w:t>
      </w:r>
      <w:r w:rsidR="003B2E3A">
        <w:rPr>
          <w:lang w:eastAsia="en-AU"/>
        </w:rPr>
        <w:t>p</w:t>
      </w:r>
      <w:r w:rsidR="00EF6441">
        <w:rPr>
          <w:lang w:eastAsia="en-AU"/>
        </w:rPr>
        <w:t xml:space="preserve">ricing </w:t>
      </w:r>
      <w:r w:rsidR="003B2E3A">
        <w:rPr>
          <w:lang w:eastAsia="en-AU"/>
        </w:rPr>
        <w:t>p</w:t>
      </w:r>
      <w:r w:rsidR="00EF6441">
        <w:rPr>
          <w:lang w:eastAsia="en-AU"/>
        </w:rPr>
        <w:t>rinciples defined</w:t>
      </w:r>
      <w:r w:rsidR="003B2E3A">
        <w:rPr>
          <w:lang w:eastAsia="en-AU"/>
        </w:rPr>
        <w:t xml:space="preserve"> in cl 4.2 of </w:t>
      </w:r>
      <w:proofErr w:type="spellStart"/>
      <w:r w:rsidR="003B2E3A">
        <w:rPr>
          <w:lang w:eastAsia="en-AU"/>
        </w:rPr>
        <w:t>Sch</w:t>
      </w:r>
      <w:proofErr w:type="spellEnd"/>
      <w:r w:rsidR="003B2E3A">
        <w:rPr>
          <w:lang w:eastAsia="en-AU"/>
        </w:rPr>
        <w:t xml:space="preserve"> 3 of the Deed</w:t>
      </w:r>
      <w:r w:rsidR="00BB1944">
        <w:rPr>
          <w:lang w:eastAsia="en-AU"/>
        </w:rPr>
        <w:t>s</w:t>
      </w:r>
      <w:r w:rsidR="00EF6441">
        <w:rPr>
          <w:lang w:eastAsia="en-AU"/>
        </w:rPr>
        <w:t>. PN</w:t>
      </w:r>
      <w:r w:rsidR="00817708">
        <w:rPr>
          <w:lang w:eastAsia="en-AU"/>
        </w:rPr>
        <w:t>O</w:t>
      </w:r>
      <w:r w:rsidR="00EF6441">
        <w:rPr>
          <w:lang w:eastAsia="en-AU"/>
        </w:rPr>
        <w:t xml:space="preserve"> must provide written notice of any proposed variations to the </w:t>
      </w:r>
      <w:r w:rsidR="00E24A0D">
        <w:rPr>
          <w:lang w:eastAsia="en-AU"/>
        </w:rPr>
        <w:t>navigation service charge</w:t>
      </w:r>
      <w:r w:rsidR="00EF6441">
        <w:rPr>
          <w:lang w:eastAsia="en-AU"/>
        </w:rPr>
        <w:t xml:space="preserve"> not later than 45 days before the proposed date for commencement of the proposed variation. If the proposed </w:t>
      </w:r>
      <w:r w:rsidR="00544320">
        <w:rPr>
          <w:lang w:eastAsia="en-AU"/>
        </w:rPr>
        <w:t>variation</w:t>
      </w:r>
      <w:r w:rsidR="00EF6441">
        <w:rPr>
          <w:lang w:eastAsia="en-AU"/>
        </w:rPr>
        <w:t xml:space="preserve"> is made on the second basis, PNO must also issue a copy of a report prepared by an independent appropriately qualified professional which sets out the opinion of that person, and the material facts (including all relevant cost, capital expenditure and revenue data) on which that opinion was based, as to whether the proposed </w:t>
      </w:r>
      <w:r w:rsidR="00544320">
        <w:rPr>
          <w:lang w:eastAsia="en-AU"/>
        </w:rPr>
        <w:t>variation</w:t>
      </w:r>
      <w:r w:rsidR="00EF6441">
        <w:rPr>
          <w:lang w:eastAsia="en-AU"/>
        </w:rPr>
        <w:t xml:space="preserve"> is consistent with the pricing principles. The counterparty may issue a price objection notice to PNO within 14 days and the dispute must be resolved in accordance with the dispute resolution process set out in the Deed</w:t>
      </w:r>
      <w:r w:rsidR="007F02EC">
        <w:rPr>
          <w:lang w:eastAsia="en-AU"/>
        </w:rPr>
        <w:t>s</w:t>
      </w:r>
      <w:r w:rsidR="00EF6441">
        <w:rPr>
          <w:lang w:eastAsia="en-AU"/>
        </w:rPr>
        <w:t>.</w:t>
      </w:r>
      <w:r w:rsidR="0073510E">
        <w:rPr>
          <w:lang w:eastAsia="en-AU"/>
        </w:rPr>
        <w:t xml:space="preserve"> </w:t>
      </w:r>
      <w:r w:rsidR="002F0577">
        <w:rPr>
          <w:lang w:eastAsia="en-AU"/>
        </w:rPr>
        <w:t>The dispute resolution process contemplates discussions between senior representatives of the parties, followed by mediation if necessary. If the dispute cannot be resolved by agreement between the parties, either party can refer it to arbitration to be conducted in accordance with the ACICA Arbitration Rules. The arbitrator is required to apply the pricing principles set out in the Deed</w:t>
      </w:r>
      <w:r w:rsidR="007F02EC">
        <w:rPr>
          <w:lang w:eastAsia="en-AU"/>
        </w:rPr>
        <w:t>s</w:t>
      </w:r>
      <w:r w:rsidR="002F0577">
        <w:rPr>
          <w:lang w:eastAsia="en-AU"/>
        </w:rPr>
        <w:t>.</w:t>
      </w:r>
    </w:p>
    <w:p w14:paraId="0E4C9722" w14:textId="71A537D0" w:rsidR="00544320" w:rsidRDefault="00544320" w:rsidP="00DE5C4A">
      <w:pPr>
        <w:pStyle w:val="ParaNumbering"/>
        <w:rPr>
          <w:lang w:eastAsia="en-AU"/>
        </w:rPr>
      </w:pPr>
      <w:r>
        <w:rPr>
          <w:lang w:eastAsia="en-AU"/>
        </w:rPr>
        <w:t xml:space="preserve">Under the Deeds, </w:t>
      </w:r>
      <w:r w:rsidR="00E975CD">
        <w:rPr>
          <w:lang w:eastAsia="en-AU"/>
        </w:rPr>
        <w:t>PNO undertakes to</w:t>
      </w:r>
      <w:r>
        <w:rPr>
          <w:lang w:eastAsia="en-AU"/>
        </w:rPr>
        <w:t xml:space="preserve"> prepare and provide to the </w:t>
      </w:r>
      <w:r w:rsidR="00E975CD">
        <w:rPr>
          <w:lang w:eastAsia="en-AU"/>
        </w:rPr>
        <w:t>coal producer or v</w:t>
      </w:r>
      <w:r>
        <w:rPr>
          <w:lang w:eastAsia="en-AU"/>
        </w:rPr>
        <w:t xml:space="preserve">essel </w:t>
      </w:r>
      <w:r w:rsidR="00E975CD">
        <w:rPr>
          <w:lang w:eastAsia="en-AU"/>
        </w:rPr>
        <w:t>a</w:t>
      </w:r>
      <w:r>
        <w:rPr>
          <w:lang w:eastAsia="en-AU"/>
        </w:rPr>
        <w:t xml:space="preserve">gent </w:t>
      </w:r>
      <w:r w:rsidR="00E975CD">
        <w:rPr>
          <w:lang w:eastAsia="en-AU"/>
        </w:rPr>
        <w:t xml:space="preserve">(as applicable) on an annual basis </w:t>
      </w:r>
      <w:r>
        <w:rPr>
          <w:lang w:eastAsia="en-AU"/>
        </w:rPr>
        <w:t xml:space="preserve">a forward looking 5 year forecast of its projected capital expenditure that may impact the </w:t>
      </w:r>
      <w:r w:rsidR="007F02EC">
        <w:rPr>
          <w:lang w:eastAsia="en-AU"/>
        </w:rPr>
        <w:t>applicable</w:t>
      </w:r>
      <w:r w:rsidR="00E24A0D">
        <w:rPr>
          <w:lang w:eastAsia="en-AU"/>
        </w:rPr>
        <w:t xml:space="preserve"> charge</w:t>
      </w:r>
      <w:r w:rsidR="007F02EC">
        <w:rPr>
          <w:lang w:eastAsia="en-AU"/>
        </w:rPr>
        <w:t>s</w:t>
      </w:r>
      <w:r>
        <w:rPr>
          <w:lang w:eastAsia="en-AU"/>
        </w:rPr>
        <w:t xml:space="preserve"> and meet with the</w:t>
      </w:r>
      <w:r w:rsidR="00E975CD">
        <w:rPr>
          <w:lang w:eastAsia="en-AU"/>
        </w:rPr>
        <w:t xml:space="preserve"> coal producer or vessel agent </w:t>
      </w:r>
      <w:r>
        <w:rPr>
          <w:lang w:eastAsia="en-AU"/>
        </w:rPr>
        <w:t xml:space="preserve">to discuss those forecasts and any potential associated variations to </w:t>
      </w:r>
      <w:r w:rsidR="007F02EC">
        <w:rPr>
          <w:lang w:eastAsia="en-AU"/>
        </w:rPr>
        <w:t>the applicable</w:t>
      </w:r>
      <w:r w:rsidR="00E24A0D">
        <w:rPr>
          <w:lang w:eastAsia="en-AU"/>
        </w:rPr>
        <w:t xml:space="preserve"> charge</w:t>
      </w:r>
      <w:r w:rsidR="007F02EC">
        <w:rPr>
          <w:lang w:eastAsia="en-AU"/>
        </w:rPr>
        <w:t>s</w:t>
      </w:r>
      <w:r>
        <w:rPr>
          <w:lang w:eastAsia="en-AU"/>
        </w:rPr>
        <w:t>.</w:t>
      </w:r>
      <w:r w:rsidR="00E975CD">
        <w:rPr>
          <w:lang w:eastAsia="en-AU"/>
        </w:rPr>
        <w:t xml:space="preserve"> The</w:t>
      </w:r>
      <w:r w:rsidR="00E975CD" w:rsidRPr="0016226A">
        <w:rPr>
          <w:lang w:eastAsia="en-AU"/>
        </w:rPr>
        <w:t xml:space="preserve"> Deed</w:t>
      </w:r>
      <w:r w:rsidR="007F02EC">
        <w:rPr>
          <w:lang w:eastAsia="en-AU"/>
        </w:rPr>
        <w:t>s</w:t>
      </w:r>
      <w:r w:rsidR="00E975CD" w:rsidRPr="0016226A">
        <w:rPr>
          <w:lang w:eastAsia="en-AU"/>
        </w:rPr>
        <w:t xml:space="preserve"> </w:t>
      </w:r>
      <w:r w:rsidR="00E975CD">
        <w:rPr>
          <w:lang w:eastAsia="en-AU"/>
        </w:rPr>
        <w:t xml:space="preserve">states expressly that </w:t>
      </w:r>
      <w:r w:rsidR="00E975CD" w:rsidRPr="0016226A">
        <w:rPr>
          <w:lang w:eastAsia="en-AU"/>
        </w:rPr>
        <w:t>PNO is not obliged to implement</w:t>
      </w:r>
      <w:r w:rsidR="00E975CD">
        <w:rPr>
          <w:lang w:eastAsia="en-AU"/>
        </w:rPr>
        <w:t xml:space="preserve"> </w:t>
      </w:r>
      <w:r w:rsidR="00E975CD" w:rsidRPr="0016226A">
        <w:rPr>
          <w:lang w:eastAsia="en-AU"/>
        </w:rPr>
        <w:t xml:space="preserve">any comments </w:t>
      </w:r>
      <w:r w:rsidR="00E975CD">
        <w:rPr>
          <w:lang w:eastAsia="en-AU"/>
        </w:rPr>
        <w:t>made by the coal producer or vessel agent</w:t>
      </w:r>
      <w:r w:rsidR="00E975CD" w:rsidRPr="0016226A">
        <w:rPr>
          <w:lang w:eastAsia="en-AU"/>
        </w:rPr>
        <w:t>.</w:t>
      </w:r>
      <w:r w:rsidR="00E975CD">
        <w:rPr>
          <w:lang w:eastAsia="en-AU"/>
        </w:rPr>
        <w:t xml:space="preserve"> NSWMC criticised that provision, but the Tribunal does not consider that there is anything untoward or exceptional about the provision. The Deed</w:t>
      </w:r>
      <w:r w:rsidR="007F02EC">
        <w:rPr>
          <w:lang w:eastAsia="en-AU"/>
        </w:rPr>
        <w:t>s require</w:t>
      </w:r>
      <w:r w:rsidR="00E975CD">
        <w:rPr>
          <w:lang w:eastAsia="en-AU"/>
        </w:rPr>
        <w:t xml:space="preserve"> PNO to keep the </w:t>
      </w:r>
      <w:r w:rsidR="00EA17DC">
        <w:rPr>
          <w:lang w:eastAsia="en-AU"/>
        </w:rPr>
        <w:t xml:space="preserve">coal producer or vessel agent informed of capital expenditure projections and consult in relation to those projections. If PNO proposes a variation to the </w:t>
      </w:r>
      <w:r w:rsidR="00E24A0D">
        <w:rPr>
          <w:lang w:eastAsia="en-AU"/>
        </w:rPr>
        <w:t>navigation service charge</w:t>
      </w:r>
      <w:r w:rsidR="00EA17DC">
        <w:rPr>
          <w:lang w:eastAsia="en-AU"/>
        </w:rPr>
        <w:t xml:space="preserve">, the coal producer or vessel agent is entitled to object and have the variation reviewed by an independent arbitrator applying the pricing principles defined in cl 4.2 of </w:t>
      </w:r>
      <w:proofErr w:type="spellStart"/>
      <w:r w:rsidR="00EA17DC">
        <w:rPr>
          <w:lang w:eastAsia="en-AU"/>
        </w:rPr>
        <w:t>Sch</w:t>
      </w:r>
      <w:proofErr w:type="spellEnd"/>
      <w:r w:rsidR="00EA17DC">
        <w:rPr>
          <w:lang w:eastAsia="en-AU"/>
        </w:rPr>
        <w:t xml:space="preserve"> 3 of the Deed</w:t>
      </w:r>
      <w:r w:rsidR="00BB1944">
        <w:rPr>
          <w:lang w:eastAsia="en-AU"/>
        </w:rPr>
        <w:t>s</w:t>
      </w:r>
      <w:r w:rsidR="00EA17DC">
        <w:rPr>
          <w:lang w:eastAsia="en-AU"/>
        </w:rPr>
        <w:t>.</w:t>
      </w:r>
    </w:p>
    <w:p w14:paraId="2B4E9D3D" w14:textId="77777777" w:rsidR="00CB47B2" w:rsidRDefault="00817708" w:rsidP="000432BD">
      <w:pPr>
        <w:pStyle w:val="ParaNumbering"/>
        <w:rPr>
          <w:lang w:eastAsia="en-AU"/>
        </w:rPr>
      </w:pPr>
      <w:r>
        <w:rPr>
          <w:lang w:eastAsia="en-AU"/>
        </w:rPr>
        <w:t xml:space="preserve">The pricing principles </w:t>
      </w:r>
      <w:r w:rsidR="00576B3E">
        <w:rPr>
          <w:lang w:eastAsia="en-AU"/>
        </w:rPr>
        <w:t>defined in the Deed</w:t>
      </w:r>
      <w:r w:rsidR="00BB1944">
        <w:rPr>
          <w:lang w:eastAsia="en-AU"/>
        </w:rPr>
        <w:t>s</w:t>
      </w:r>
      <w:r w:rsidR="00576B3E">
        <w:rPr>
          <w:lang w:eastAsia="en-AU"/>
        </w:rPr>
        <w:t xml:space="preserve"> </w:t>
      </w:r>
      <w:r>
        <w:rPr>
          <w:lang w:eastAsia="en-AU"/>
        </w:rPr>
        <w:t>closely follow the mandatory considerations that the ACCC must take into account under s 44X</w:t>
      </w:r>
      <w:r w:rsidR="00CB47B2">
        <w:rPr>
          <w:lang w:eastAsia="en-AU"/>
        </w:rPr>
        <w:t>(1)</w:t>
      </w:r>
      <w:r>
        <w:rPr>
          <w:lang w:eastAsia="en-AU"/>
        </w:rPr>
        <w:t xml:space="preserve"> of the Act when conducting an arbitration </w:t>
      </w:r>
      <w:r w:rsidR="00E975CD">
        <w:rPr>
          <w:lang w:eastAsia="en-AU"/>
        </w:rPr>
        <w:t xml:space="preserve">or </w:t>
      </w:r>
      <w:r w:rsidR="00E975CD">
        <w:rPr>
          <w:lang w:eastAsia="en-AU"/>
        </w:rPr>
        <w:lastRenderedPageBreak/>
        <w:t xml:space="preserve">terms and conditions of access </w:t>
      </w:r>
      <w:r>
        <w:rPr>
          <w:lang w:eastAsia="en-AU"/>
        </w:rPr>
        <w:t xml:space="preserve">under Division 3 of Part IIIA, but they are not identical. </w:t>
      </w:r>
      <w:r w:rsidR="001612DA">
        <w:rPr>
          <w:lang w:eastAsia="en-AU"/>
        </w:rPr>
        <w:t>It is necessary to consider the differences</w:t>
      </w:r>
      <w:r w:rsidR="00CB47B2">
        <w:rPr>
          <w:lang w:eastAsia="en-AU"/>
        </w:rPr>
        <w:t>.</w:t>
      </w:r>
    </w:p>
    <w:p w14:paraId="01F2F53F" w14:textId="77777777" w:rsidR="00817708" w:rsidRDefault="00CB47B2" w:rsidP="000432BD">
      <w:pPr>
        <w:pStyle w:val="ParaNumbering"/>
        <w:rPr>
          <w:lang w:eastAsia="en-AU"/>
        </w:rPr>
      </w:pPr>
      <w:r>
        <w:rPr>
          <w:lang w:eastAsia="en-AU"/>
        </w:rPr>
        <w:t>Section</w:t>
      </w:r>
      <w:r w:rsidR="00222483">
        <w:rPr>
          <w:lang w:eastAsia="en-AU"/>
        </w:rPr>
        <w:t xml:space="preserve"> 44X(1) provides as follows:</w:t>
      </w:r>
    </w:p>
    <w:p w14:paraId="60B71B52" w14:textId="77777777" w:rsidR="00222483" w:rsidRDefault="00222483" w:rsidP="00CB47B2">
      <w:pPr>
        <w:pStyle w:val="Quote1"/>
        <w:tabs>
          <w:tab w:val="left" w:pos="1418"/>
        </w:tabs>
        <w:rPr>
          <w:lang w:eastAsia="en-AU"/>
        </w:rPr>
      </w:pPr>
      <w:r>
        <w:rPr>
          <w:lang w:eastAsia="en-AU"/>
        </w:rPr>
        <w:t>The Commission must take the following matters into account in making a final determination:</w:t>
      </w:r>
    </w:p>
    <w:p w14:paraId="6BA003C9" w14:textId="77777777" w:rsidR="00222483" w:rsidRDefault="00222483" w:rsidP="00CB47B2">
      <w:pPr>
        <w:pStyle w:val="Quote1"/>
        <w:tabs>
          <w:tab w:val="left" w:pos="1418"/>
        </w:tabs>
        <w:ind w:left="1418" w:hanging="681"/>
        <w:rPr>
          <w:lang w:eastAsia="en-AU"/>
        </w:rPr>
      </w:pPr>
      <w:r>
        <w:rPr>
          <w:lang w:eastAsia="en-AU"/>
        </w:rPr>
        <w:t xml:space="preserve">(aa) </w:t>
      </w:r>
      <w:r w:rsidR="00CB47B2">
        <w:rPr>
          <w:lang w:eastAsia="en-AU"/>
        </w:rPr>
        <w:tab/>
      </w:r>
      <w:r>
        <w:rPr>
          <w:lang w:eastAsia="en-AU"/>
        </w:rPr>
        <w:t>the objects of this Part;</w:t>
      </w:r>
    </w:p>
    <w:p w14:paraId="74BE358B" w14:textId="77777777" w:rsidR="00222483" w:rsidRDefault="00222483" w:rsidP="00CB47B2">
      <w:pPr>
        <w:pStyle w:val="Quote1"/>
        <w:tabs>
          <w:tab w:val="left" w:pos="1418"/>
        </w:tabs>
        <w:ind w:left="1418" w:hanging="681"/>
        <w:rPr>
          <w:lang w:eastAsia="en-AU"/>
        </w:rPr>
      </w:pPr>
      <w:r>
        <w:rPr>
          <w:lang w:eastAsia="en-AU"/>
        </w:rPr>
        <w:t xml:space="preserve">(a) </w:t>
      </w:r>
      <w:r w:rsidR="00CB47B2">
        <w:rPr>
          <w:lang w:eastAsia="en-AU"/>
        </w:rPr>
        <w:tab/>
      </w:r>
      <w:r>
        <w:rPr>
          <w:lang w:eastAsia="en-AU"/>
        </w:rPr>
        <w:t>the legitimate business interests of the provider, and the provider’s investment in the facility;</w:t>
      </w:r>
    </w:p>
    <w:p w14:paraId="40191BB1" w14:textId="77777777" w:rsidR="00222483" w:rsidRDefault="00222483" w:rsidP="00CB47B2">
      <w:pPr>
        <w:pStyle w:val="Quote1"/>
        <w:tabs>
          <w:tab w:val="left" w:pos="1418"/>
        </w:tabs>
        <w:ind w:left="1418" w:hanging="681"/>
        <w:rPr>
          <w:lang w:eastAsia="en-AU"/>
        </w:rPr>
      </w:pPr>
      <w:r>
        <w:rPr>
          <w:lang w:eastAsia="en-AU"/>
        </w:rPr>
        <w:t xml:space="preserve">(b) </w:t>
      </w:r>
      <w:r w:rsidR="00CB47B2">
        <w:rPr>
          <w:lang w:eastAsia="en-AU"/>
        </w:rPr>
        <w:tab/>
      </w:r>
      <w:r>
        <w:rPr>
          <w:lang w:eastAsia="en-AU"/>
        </w:rPr>
        <w:t>the public interest, including the public interest in having competition in markets (whether or not in Australia);</w:t>
      </w:r>
    </w:p>
    <w:p w14:paraId="1E483B6E" w14:textId="77777777" w:rsidR="00222483" w:rsidRDefault="00222483" w:rsidP="00CB47B2">
      <w:pPr>
        <w:pStyle w:val="Quote1"/>
        <w:tabs>
          <w:tab w:val="left" w:pos="1418"/>
        </w:tabs>
        <w:ind w:left="1418" w:hanging="681"/>
        <w:rPr>
          <w:lang w:eastAsia="en-AU"/>
        </w:rPr>
      </w:pPr>
      <w:r>
        <w:rPr>
          <w:lang w:eastAsia="en-AU"/>
        </w:rPr>
        <w:t xml:space="preserve">(c) </w:t>
      </w:r>
      <w:r w:rsidR="00CB47B2">
        <w:rPr>
          <w:lang w:eastAsia="en-AU"/>
        </w:rPr>
        <w:tab/>
      </w:r>
      <w:r>
        <w:rPr>
          <w:lang w:eastAsia="en-AU"/>
        </w:rPr>
        <w:t>the interests of all persons who have rights to use the service;</w:t>
      </w:r>
    </w:p>
    <w:p w14:paraId="541CB48A" w14:textId="77777777" w:rsidR="00222483" w:rsidRDefault="00222483" w:rsidP="00CB47B2">
      <w:pPr>
        <w:pStyle w:val="Quote1"/>
        <w:tabs>
          <w:tab w:val="left" w:pos="1418"/>
        </w:tabs>
        <w:ind w:left="1418" w:hanging="681"/>
        <w:rPr>
          <w:lang w:eastAsia="en-AU"/>
        </w:rPr>
      </w:pPr>
      <w:r>
        <w:rPr>
          <w:lang w:eastAsia="en-AU"/>
        </w:rPr>
        <w:t xml:space="preserve">(d) </w:t>
      </w:r>
      <w:r w:rsidR="00CB47B2">
        <w:rPr>
          <w:lang w:eastAsia="en-AU"/>
        </w:rPr>
        <w:tab/>
      </w:r>
      <w:r>
        <w:rPr>
          <w:lang w:eastAsia="en-AU"/>
        </w:rPr>
        <w:t>the direct costs of providing access to the service;</w:t>
      </w:r>
    </w:p>
    <w:p w14:paraId="6C46FA35" w14:textId="77777777" w:rsidR="00222483" w:rsidRDefault="00222483" w:rsidP="00CB47B2">
      <w:pPr>
        <w:pStyle w:val="Quote1"/>
        <w:tabs>
          <w:tab w:val="left" w:pos="1418"/>
        </w:tabs>
        <w:ind w:left="1418" w:hanging="681"/>
        <w:rPr>
          <w:lang w:eastAsia="en-AU"/>
        </w:rPr>
      </w:pPr>
      <w:r>
        <w:rPr>
          <w:lang w:eastAsia="en-AU"/>
        </w:rPr>
        <w:t xml:space="preserve">(e) </w:t>
      </w:r>
      <w:r w:rsidR="00CB47B2">
        <w:rPr>
          <w:lang w:eastAsia="en-AU"/>
        </w:rPr>
        <w:tab/>
      </w:r>
      <w:r>
        <w:rPr>
          <w:lang w:eastAsia="en-AU"/>
        </w:rPr>
        <w:t>the value to the provider of extensions (including expansions of capacity and expansions of geographical reach) whose cost is borne by someone else;</w:t>
      </w:r>
    </w:p>
    <w:p w14:paraId="79F9A88E" w14:textId="77777777" w:rsidR="00222483" w:rsidRDefault="00222483" w:rsidP="00CB47B2">
      <w:pPr>
        <w:pStyle w:val="Quote1"/>
        <w:tabs>
          <w:tab w:val="left" w:pos="1418"/>
        </w:tabs>
        <w:ind w:left="1418" w:hanging="681"/>
        <w:rPr>
          <w:lang w:eastAsia="en-AU"/>
        </w:rPr>
      </w:pPr>
      <w:r>
        <w:rPr>
          <w:lang w:eastAsia="en-AU"/>
        </w:rPr>
        <w:t>(</w:t>
      </w:r>
      <w:proofErr w:type="spellStart"/>
      <w:r>
        <w:rPr>
          <w:lang w:eastAsia="en-AU"/>
        </w:rPr>
        <w:t>ea</w:t>
      </w:r>
      <w:proofErr w:type="spellEnd"/>
      <w:r>
        <w:rPr>
          <w:lang w:eastAsia="en-AU"/>
        </w:rPr>
        <w:t xml:space="preserve">) </w:t>
      </w:r>
      <w:r w:rsidR="00CB47B2">
        <w:rPr>
          <w:lang w:eastAsia="en-AU"/>
        </w:rPr>
        <w:tab/>
      </w:r>
      <w:r>
        <w:rPr>
          <w:lang w:eastAsia="en-AU"/>
        </w:rPr>
        <w:t>the value to the provider of interconnections to the facility whose cost is borne by someone else;</w:t>
      </w:r>
    </w:p>
    <w:p w14:paraId="79C43F9A" w14:textId="77777777" w:rsidR="00222483" w:rsidRDefault="00222483" w:rsidP="00CB47B2">
      <w:pPr>
        <w:pStyle w:val="Quote1"/>
        <w:tabs>
          <w:tab w:val="left" w:pos="1418"/>
        </w:tabs>
        <w:ind w:left="1418" w:hanging="681"/>
        <w:rPr>
          <w:lang w:eastAsia="en-AU"/>
        </w:rPr>
      </w:pPr>
      <w:r>
        <w:rPr>
          <w:lang w:eastAsia="en-AU"/>
        </w:rPr>
        <w:t xml:space="preserve">(f) </w:t>
      </w:r>
      <w:r w:rsidR="00CB47B2">
        <w:rPr>
          <w:lang w:eastAsia="en-AU"/>
        </w:rPr>
        <w:tab/>
      </w:r>
      <w:r>
        <w:rPr>
          <w:lang w:eastAsia="en-AU"/>
        </w:rPr>
        <w:t>the operational and technical requirements necessary for the safe and reliable operation of the facility;</w:t>
      </w:r>
    </w:p>
    <w:p w14:paraId="78C8E610" w14:textId="77777777" w:rsidR="00222483" w:rsidRDefault="00222483" w:rsidP="00CB47B2">
      <w:pPr>
        <w:pStyle w:val="Quote1"/>
        <w:tabs>
          <w:tab w:val="left" w:pos="1418"/>
        </w:tabs>
        <w:ind w:left="1418" w:hanging="681"/>
        <w:rPr>
          <w:lang w:eastAsia="en-AU"/>
        </w:rPr>
      </w:pPr>
      <w:r>
        <w:rPr>
          <w:lang w:eastAsia="en-AU"/>
        </w:rPr>
        <w:t>(g)</w:t>
      </w:r>
      <w:r w:rsidR="00CB47B2">
        <w:rPr>
          <w:lang w:eastAsia="en-AU"/>
        </w:rPr>
        <w:tab/>
      </w:r>
      <w:r>
        <w:rPr>
          <w:lang w:eastAsia="en-AU"/>
        </w:rPr>
        <w:t>the economically efficient operation of the facility;</w:t>
      </w:r>
    </w:p>
    <w:p w14:paraId="4E2EDC0A" w14:textId="77777777" w:rsidR="00222483" w:rsidRDefault="00222483" w:rsidP="00CB47B2">
      <w:pPr>
        <w:pStyle w:val="Quote1"/>
        <w:tabs>
          <w:tab w:val="left" w:pos="1418"/>
        </w:tabs>
        <w:ind w:left="1418" w:hanging="681"/>
        <w:rPr>
          <w:lang w:eastAsia="en-AU"/>
        </w:rPr>
      </w:pPr>
      <w:r>
        <w:rPr>
          <w:lang w:eastAsia="en-AU"/>
        </w:rPr>
        <w:t xml:space="preserve">(h) </w:t>
      </w:r>
      <w:r w:rsidR="00CB47B2">
        <w:rPr>
          <w:lang w:eastAsia="en-AU"/>
        </w:rPr>
        <w:tab/>
      </w:r>
      <w:r>
        <w:rPr>
          <w:lang w:eastAsia="en-AU"/>
        </w:rPr>
        <w:t>the pricing principles specified in section 44ZZCA.</w:t>
      </w:r>
    </w:p>
    <w:p w14:paraId="76BC3895" w14:textId="77777777" w:rsidR="00222483" w:rsidRDefault="001C3448" w:rsidP="00222483">
      <w:pPr>
        <w:pStyle w:val="ParaNumbering"/>
        <w:rPr>
          <w:lang w:eastAsia="en-AU"/>
        </w:rPr>
      </w:pPr>
      <w:r>
        <w:rPr>
          <w:lang w:eastAsia="en-AU"/>
        </w:rPr>
        <w:t xml:space="preserve">The objects of Part IIIA are set out in s 44AA and have been reproduced earlier. </w:t>
      </w:r>
      <w:r w:rsidR="00222483">
        <w:rPr>
          <w:lang w:eastAsia="en-AU"/>
        </w:rPr>
        <w:t>The pricing principles in s 44ZZCA are as follows:</w:t>
      </w:r>
    </w:p>
    <w:p w14:paraId="2DD39AE0" w14:textId="77777777" w:rsidR="00222483" w:rsidRDefault="00222483" w:rsidP="00222483">
      <w:pPr>
        <w:pStyle w:val="Quote1"/>
        <w:rPr>
          <w:lang w:eastAsia="en-AU"/>
        </w:rPr>
      </w:pPr>
      <w:r>
        <w:rPr>
          <w:lang w:eastAsia="en-AU"/>
        </w:rPr>
        <w:t>The pricing principles relating to the price of access to a service are:</w:t>
      </w:r>
    </w:p>
    <w:p w14:paraId="29E948D6" w14:textId="77777777" w:rsidR="00222483" w:rsidRDefault="00222483" w:rsidP="00CB47B2">
      <w:pPr>
        <w:pStyle w:val="Quote1"/>
        <w:tabs>
          <w:tab w:val="left" w:pos="1418"/>
        </w:tabs>
        <w:ind w:left="1418" w:hanging="681"/>
        <w:rPr>
          <w:lang w:eastAsia="en-AU"/>
        </w:rPr>
      </w:pPr>
      <w:r>
        <w:rPr>
          <w:lang w:eastAsia="en-AU"/>
        </w:rPr>
        <w:t xml:space="preserve">(a) </w:t>
      </w:r>
      <w:r w:rsidR="00CB47B2">
        <w:rPr>
          <w:lang w:eastAsia="en-AU"/>
        </w:rPr>
        <w:tab/>
      </w:r>
      <w:r>
        <w:rPr>
          <w:lang w:eastAsia="en-AU"/>
        </w:rPr>
        <w:t>that regulated access prices should:</w:t>
      </w:r>
    </w:p>
    <w:p w14:paraId="759BFBD3" w14:textId="77777777" w:rsidR="00CB47B2" w:rsidRDefault="00222483" w:rsidP="00E33FEA">
      <w:pPr>
        <w:pStyle w:val="Quote2"/>
        <w:ind w:left="2160" w:hanging="720"/>
        <w:rPr>
          <w:lang w:eastAsia="en-AU"/>
        </w:rPr>
      </w:pPr>
      <w:r>
        <w:rPr>
          <w:lang w:eastAsia="en-AU"/>
        </w:rPr>
        <w:t>(</w:t>
      </w:r>
      <w:proofErr w:type="spellStart"/>
      <w:r>
        <w:rPr>
          <w:lang w:eastAsia="en-AU"/>
        </w:rPr>
        <w:t>i</w:t>
      </w:r>
      <w:proofErr w:type="spellEnd"/>
      <w:r>
        <w:rPr>
          <w:lang w:eastAsia="en-AU"/>
        </w:rPr>
        <w:t xml:space="preserve">) </w:t>
      </w:r>
      <w:r w:rsidR="00CB47B2">
        <w:rPr>
          <w:lang w:eastAsia="en-AU"/>
        </w:rPr>
        <w:tab/>
      </w:r>
      <w:r>
        <w:rPr>
          <w:lang w:eastAsia="en-AU"/>
        </w:rPr>
        <w:t>be set so as to generate expected revenue for a regulated service or services that is at least sufficient to meet the efficient costs of providing access to the regulated service or services; and</w:t>
      </w:r>
    </w:p>
    <w:p w14:paraId="7C18D5CB" w14:textId="77777777" w:rsidR="00CB47B2" w:rsidRDefault="00222483" w:rsidP="00E33FEA">
      <w:pPr>
        <w:pStyle w:val="Quote2"/>
        <w:ind w:left="2160" w:hanging="720"/>
        <w:rPr>
          <w:lang w:eastAsia="en-AU"/>
        </w:rPr>
      </w:pPr>
      <w:r>
        <w:rPr>
          <w:lang w:eastAsia="en-AU"/>
        </w:rPr>
        <w:t xml:space="preserve">(ii) </w:t>
      </w:r>
      <w:r w:rsidR="00CB47B2">
        <w:rPr>
          <w:lang w:eastAsia="en-AU"/>
        </w:rPr>
        <w:tab/>
      </w:r>
      <w:r>
        <w:rPr>
          <w:lang w:eastAsia="en-AU"/>
        </w:rPr>
        <w:t>include a return on investment commensurate with the regulatory and commercial risks involved; and</w:t>
      </w:r>
    </w:p>
    <w:p w14:paraId="5FCECE98" w14:textId="77777777" w:rsidR="00222483" w:rsidRDefault="00222483" w:rsidP="00CB47B2">
      <w:pPr>
        <w:pStyle w:val="Quote1"/>
        <w:tabs>
          <w:tab w:val="left" w:pos="1418"/>
        </w:tabs>
        <w:ind w:left="1418" w:hanging="681"/>
        <w:rPr>
          <w:lang w:eastAsia="en-AU"/>
        </w:rPr>
      </w:pPr>
      <w:r>
        <w:rPr>
          <w:lang w:eastAsia="en-AU"/>
        </w:rPr>
        <w:t xml:space="preserve">(b) </w:t>
      </w:r>
      <w:r w:rsidR="00CB47B2">
        <w:rPr>
          <w:lang w:eastAsia="en-AU"/>
        </w:rPr>
        <w:tab/>
      </w:r>
      <w:r>
        <w:rPr>
          <w:lang w:eastAsia="en-AU"/>
        </w:rPr>
        <w:t>that the access price structures should:</w:t>
      </w:r>
    </w:p>
    <w:p w14:paraId="1BD8952E" w14:textId="77777777" w:rsidR="00CB47B2" w:rsidRDefault="00222483" w:rsidP="00E33FEA">
      <w:pPr>
        <w:pStyle w:val="Quote2"/>
        <w:ind w:left="2160" w:hanging="720"/>
        <w:rPr>
          <w:lang w:eastAsia="en-AU"/>
        </w:rPr>
      </w:pPr>
      <w:r>
        <w:rPr>
          <w:lang w:eastAsia="en-AU"/>
        </w:rPr>
        <w:t>(</w:t>
      </w:r>
      <w:proofErr w:type="spellStart"/>
      <w:r>
        <w:rPr>
          <w:lang w:eastAsia="en-AU"/>
        </w:rPr>
        <w:t>i</w:t>
      </w:r>
      <w:proofErr w:type="spellEnd"/>
      <w:r>
        <w:rPr>
          <w:lang w:eastAsia="en-AU"/>
        </w:rPr>
        <w:t xml:space="preserve">) </w:t>
      </w:r>
      <w:r w:rsidR="00CB47B2">
        <w:rPr>
          <w:lang w:eastAsia="en-AU"/>
        </w:rPr>
        <w:tab/>
      </w:r>
      <w:r>
        <w:rPr>
          <w:lang w:eastAsia="en-AU"/>
        </w:rPr>
        <w:t xml:space="preserve">allow multi-part pricing and price discrimination when it aids efficiency; and </w:t>
      </w:r>
    </w:p>
    <w:p w14:paraId="5EDFD821" w14:textId="77777777" w:rsidR="00CB47B2" w:rsidRDefault="00222483" w:rsidP="00E33FEA">
      <w:pPr>
        <w:pStyle w:val="Quote2"/>
        <w:ind w:left="2160" w:hanging="720"/>
        <w:rPr>
          <w:lang w:eastAsia="en-AU"/>
        </w:rPr>
      </w:pPr>
      <w:r>
        <w:rPr>
          <w:lang w:eastAsia="en-AU"/>
        </w:rPr>
        <w:t xml:space="preserve">(ii) </w:t>
      </w:r>
      <w:r w:rsidR="00CB47B2">
        <w:rPr>
          <w:lang w:eastAsia="en-AU"/>
        </w:rPr>
        <w:tab/>
      </w:r>
      <w:r>
        <w:rPr>
          <w:lang w:eastAsia="en-AU"/>
        </w:rPr>
        <w:t>not allow a vertically integrated access provider to set terms and conditions that discriminate in favour of its downstream operations, except to the extent that the cost of providing access to other operators is higher; and</w:t>
      </w:r>
    </w:p>
    <w:p w14:paraId="4C7362B3" w14:textId="77777777" w:rsidR="00222483" w:rsidRDefault="00222483" w:rsidP="00CB47B2">
      <w:pPr>
        <w:pStyle w:val="Quote1"/>
        <w:tabs>
          <w:tab w:val="left" w:pos="1418"/>
        </w:tabs>
        <w:ind w:left="1418" w:hanging="681"/>
        <w:rPr>
          <w:lang w:eastAsia="en-AU"/>
        </w:rPr>
      </w:pPr>
      <w:r>
        <w:rPr>
          <w:lang w:eastAsia="en-AU"/>
        </w:rPr>
        <w:lastRenderedPageBreak/>
        <w:t xml:space="preserve">(c) </w:t>
      </w:r>
      <w:r w:rsidR="00CB47B2">
        <w:rPr>
          <w:lang w:eastAsia="en-AU"/>
        </w:rPr>
        <w:tab/>
      </w:r>
      <w:r>
        <w:rPr>
          <w:lang w:eastAsia="en-AU"/>
        </w:rPr>
        <w:t xml:space="preserve">that access pricing regimes should provide incentives to reduce costs or otherwise improve productivity. </w:t>
      </w:r>
    </w:p>
    <w:p w14:paraId="019E3869" w14:textId="77777777" w:rsidR="001612DA" w:rsidRDefault="001C3448" w:rsidP="001612DA">
      <w:pPr>
        <w:pStyle w:val="ParaNumbering"/>
        <w:rPr>
          <w:lang w:eastAsia="en-AU"/>
        </w:rPr>
      </w:pPr>
      <w:r>
        <w:rPr>
          <w:lang w:eastAsia="en-AU"/>
        </w:rPr>
        <w:t xml:space="preserve">The pricing principles in cl 4.2 of </w:t>
      </w:r>
      <w:proofErr w:type="spellStart"/>
      <w:r>
        <w:rPr>
          <w:lang w:eastAsia="en-AU"/>
        </w:rPr>
        <w:t>Sch</w:t>
      </w:r>
      <w:proofErr w:type="spellEnd"/>
      <w:r>
        <w:rPr>
          <w:lang w:eastAsia="en-AU"/>
        </w:rPr>
        <w:t xml:space="preserve"> 3 of the Deeds are as follows</w:t>
      </w:r>
      <w:r w:rsidR="00DE5C4A">
        <w:rPr>
          <w:lang w:eastAsia="en-AU"/>
        </w:rPr>
        <w:t xml:space="preserve"> (noting that PNO is designated as PON in the Deeds)</w:t>
      </w:r>
      <w:r>
        <w:rPr>
          <w:lang w:eastAsia="en-AU"/>
        </w:rPr>
        <w:t>:</w:t>
      </w:r>
    </w:p>
    <w:p w14:paraId="2DE6BD48" w14:textId="77777777" w:rsidR="001C3448" w:rsidRDefault="001C3448" w:rsidP="001C3448">
      <w:pPr>
        <w:pStyle w:val="Quote1"/>
        <w:rPr>
          <w:lang w:eastAsia="en-AU"/>
        </w:rPr>
      </w:pPr>
      <w:r>
        <w:rPr>
          <w:lang w:eastAsia="en-AU"/>
        </w:rPr>
        <w:t>The matters that must be taken into account by a mediator and applied by the arbitrator in resolving a Permitted Price Dispute are:</w:t>
      </w:r>
    </w:p>
    <w:p w14:paraId="07F84249" w14:textId="77777777" w:rsidR="001C3448" w:rsidRDefault="001C3448" w:rsidP="001C3448">
      <w:pPr>
        <w:pStyle w:val="Quote1"/>
        <w:tabs>
          <w:tab w:val="left" w:pos="1418"/>
        </w:tabs>
        <w:ind w:left="1418" w:hanging="681"/>
        <w:rPr>
          <w:lang w:eastAsia="en-AU"/>
        </w:rPr>
      </w:pPr>
      <w:r>
        <w:rPr>
          <w:lang w:eastAsia="en-AU"/>
        </w:rPr>
        <w:t xml:space="preserve">(a) </w:t>
      </w:r>
      <w:r>
        <w:rPr>
          <w:lang w:eastAsia="en-AU"/>
        </w:rPr>
        <w:tab/>
        <w:t>the provisions in Item 7 of this deed (but only in relation to whether the requirements of Item 7(a) or 7(b)(</w:t>
      </w:r>
      <w:proofErr w:type="spellStart"/>
      <w:r>
        <w:rPr>
          <w:lang w:eastAsia="en-AU"/>
        </w:rPr>
        <w:t>i</w:t>
      </w:r>
      <w:proofErr w:type="spellEnd"/>
      <w:r>
        <w:rPr>
          <w:lang w:eastAsia="en-AU"/>
        </w:rPr>
        <w:t>) are met (not in relation to the requirement in Item 7(b)(ii) that any proposed increase in the Covered Vessel NSC is consistent with the Pricing Principles, which will be measured solely by reference to the remaining principles below);</w:t>
      </w:r>
    </w:p>
    <w:p w14:paraId="5A13A24D" w14:textId="77777777" w:rsidR="001C3448" w:rsidRDefault="001C3448" w:rsidP="001C3448">
      <w:pPr>
        <w:pStyle w:val="Quote1"/>
        <w:tabs>
          <w:tab w:val="left" w:pos="1418"/>
        </w:tabs>
        <w:ind w:left="1418" w:hanging="681"/>
        <w:rPr>
          <w:lang w:eastAsia="en-AU"/>
        </w:rPr>
      </w:pPr>
      <w:r>
        <w:rPr>
          <w:lang w:eastAsia="en-AU"/>
        </w:rPr>
        <w:t xml:space="preserve">(b) </w:t>
      </w:r>
      <w:r>
        <w:rPr>
          <w:lang w:eastAsia="en-AU"/>
        </w:rPr>
        <w:tab/>
        <w:t>PON's legitimate business interests and investment in the Port or Port facilities, including a reasonable opportunity to recover over the Leasehold Period the efficient cost of the service provided at the Port, which recovery shall include:</w:t>
      </w:r>
    </w:p>
    <w:p w14:paraId="3E4659DF" w14:textId="77777777" w:rsidR="001C3448" w:rsidRDefault="001C3448" w:rsidP="00E33FEA">
      <w:pPr>
        <w:pStyle w:val="Quote2"/>
        <w:ind w:left="2160" w:hanging="720"/>
        <w:rPr>
          <w:lang w:eastAsia="en-AU"/>
        </w:rPr>
      </w:pPr>
      <w:r>
        <w:rPr>
          <w:lang w:eastAsia="en-AU"/>
        </w:rPr>
        <w:t>(</w:t>
      </w:r>
      <w:proofErr w:type="spellStart"/>
      <w:r>
        <w:rPr>
          <w:lang w:eastAsia="en-AU"/>
        </w:rPr>
        <w:t>i</w:t>
      </w:r>
      <w:proofErr w:type="spellEnd"/>
      <w:r>
        <w:rPr>
          <w:lang w:eastAsia="en-AU"/>
        </w:rPr>
        <w:t xml:space="preserve">) </w:t>
      </w:r>
      <w:r>
        <w:rPr>
          <w:lang w:eastAsia="en-AU"/>
        </w:rPr>
        <w:tab/>
        <w:t>the value of its Initial Capital Base and any updates thereof, including efficient additional capital investments;</w:t>
      </w:r>
    </w:p>
    <w:p w14:paraId="2BF2A5C4" w14:textId="77777777" w:rsidR="001C3448" w:rsidRDefault="001C3448" w:rsidP="00E33FEA">
      <w:pPr>
        <w:pStyle w:val="Quote2"/>
        <w:ind w:left="2160" w:hanging="720"/>
        <w:rPr>
          <w:lang w:eastAsia="en-AU"/>
        </w:rPr>
      </w:pPr>
      <w:r>
        <w:rPr>
          <w:lang w:eastAsia="en-AU"/>
        </w:rPr>
        <w:t xml:space="preserve">(ii) </w:t>
      </w:r>
      <w:r>
        <w:rPr>
          <w:lang w:eastAsia="en-AU"/>
        </w:rPr>
        <w:tab/>
        <w:t>a reasonable rate of return, commensurate with the commercial risks involved on the value of all assets comprising its Initial Capital Base and any updates thereof, including efficient additional capital investments; and</w:t>
      </w:r>
    </w:p>
    <w:p w14:paraId="16CE1D4F" w14:textId="77777777" w:rsidR="001C3448" w:rsidRDefault="001C3448" w:rsidP="00E33FEA">
      <w:pPr>
        <w:pStyle w:val="Quote2"/>
        <w:ind w:left="2160" w:hanging="720"/>
        <w:rPr>
          <w:lang w:eastAsia="en-AU"/>
        </w:rPr>
      </w:pPr>
      <w:r>
        <w:rPr>
          <w:lang w:eastAsia="en-AU"/>
        </w:rPr>
        <w:t xml:space="preserve">(iii) </w:t>
      </w:r>
      <w:r>
        <w:rPr>
          <w:lang w:eastAsia="en-AU"/>
        </w:rPr>
        <w:tab/>
        <w:t>the return over the Leasehold Period of the total value of the assets comprising its Initial Capital Base and any updates thereof, including efficient additional capital investments;</w:t>
      </w:r>
    </w:p>
    <w:p w14:paraId="7C470FA6" w14:textId="77777777" w:rsidR="001C3448" w:rsidRDefault="001C3448" w:rsidP="001C3448">
      <w:pPr>
        <w:pStyle w:val="Quote1"/>
        <w:tabs>
          <w:tab w:val="left" w:pos="1418"/>
        </w:tabs>
        <w:ind w:left="1418" w:hanging="681"/>
        <w:rPr>
          <w:lang w:eastAsia="en-AU"/>
        </w:rPr>
      </w:pPr>
      <w:r>
        <w:rPr>
          <w:lang w:eastAsia="en-AU"/>
        </w:rPr>
        <w:t xml:space="preserve">(c) </w:t>
      </w:r>
      <w:r>
        <w:rPr>
          <w:lang w:eastAsia="en-AU"/>
        </w:rPr>
        <w:tab/>
        <w:t>the revenue expected to be derived from all users of the service;</w:t>
      </w:r>
    </w:p>
    <w:p w14:paraId="4D305D19" w14:textId="77777777" w:rsidR="001C3448" w:rsidRDefault="001C3448" w:rsidP="001C3448">
      <w:pPr>
        <w:pStyle w:val="Quote1"/>
        <w:tabs>
          <w:tab w:val="left" w:pos="1418"/>
        </w:tabs>
        <w:ind w:left="1418" w:hanging="681"/>
        <w:rPr>
          <w:lang w:eastAsia="en-AU"/>
        </w:rPr>
      </w:pPr>
      <w:r>
        <w:rPr>
          <w:lang w:eastAsia="en-AU"/>
        </w:rPr>
        <w:t xml:space="preserve">(d) </w:t>
      </w:r>
      <w:r>
        <w:rPr>
          <w:lang w:eastAsia="en-AU"/>
        </w:rPr>
        <w:tab/>
        <w:t>the costs to PON of providing the service (including the costs of any necessary modification to, or extension of, a Port facility) but not costs associated with losses arising from increased competition in upstream or downstream markets;</w:t>
      </w:r>
    </w:p>
    <w:p w14:paraId="5370636B" w14:textId="77777777" w:rsidR="001C3448" w:rsidRDefault="001C3448" w:rsidP="001C3448">
      <w:pPr>
        <w:pStyle w:val="Quote1"/>
        <w:tabs>
          <w:tab w:val="left" w:pos="1418"/>
        </w:tabs>
        <w:ind w:left="1418" w:hanging="681"/>
        <w:rPr>
          <w:lang w:eastAsia="en-AU"/>
        </w:rPr>
      </w:pPr>
      <w:r>
        <w:rPr>
          <w:lang w:eastAsia="en-AU"/>
        </w:rPr>
        <w:t xml:space="preserve">(e) </w:t>
      </w:r>
      <w:r>
        <w:rPr>
          <w:lang w:eastAsia="en-AU"/>
        </w:rPr>
        <w:tab/>
        <w:t>the economic value to PON of any additional investment that the Vessel Agent (or any other user of the service) or PON has agreed to undertake;</w:t>
      </w:r>
    </w:p>
    <w:p w14:paraId="19A2E9D3" w14:textId="77777777" w:rsidR="001C3448" w:rsidRDefault="001C3448" w:rsidP="001C3448">
      <w:pPr>
        <w:pStyle w:val="Quote1"/>
        <w:tabs>
          <w:tab w:val="left" w:pos="1418"/>
        </w:tabs>
        <w:ind w:left="1418" w:hanging="681"/>
        <w:rPr>
          <w:lang w:eastAsia="en-AU"/>
        </w:rPr>
      </w:pPr>
      <w:r>
        <w:rPr>
          <w:lang w:eastAsia="en-AU"/>
        </w:rPr>
        <w:t xml:space="preserve">(f) </w:t>
      </w:r>
      <w:r>
        <w:rPr>
          <w:lang w:eastAsia="en-AU"/>
        </w:rPr>
        <w:tab/>
        <w:t>the interests of all persons holding contracts for use of any relevant Port facility or otherwise having rights to use the service;</w:t>
      </w:r>
    </w:p>
    <w:p w14:paraId="19F0F0FD" w14:textId="77777777" w:rsidR="001C3448" w:rsidRDefault="001C3448" w:rsidP="001C3448">
      <w:pPr>
        <w:pStyle w:val="Quote1"/>
        <w:tabs>
          <w:tab w:val="left" w:pos="1418"/>
        </w:tabs>
        <w:ind w:left="1418" w:hanging="681"/>
        <w:rPr>
          <w:lang w:eastAsia="en-AU"/>
        </w:rPr>
      </w:pPr>
      <w:r>
        <w:rPr>
          <w:lang w:eastAsia="en-AU"/>
        </w:rPr>
        <w:t xml:space="preserve">(g) </w:t>
      </w:r>
      <w:r>
        <w:rPr>
          <w:lang w:eastAsia="en-AU"/>
        </w:rPr>
        <w:tab/>
        <w:t>firm and binding contractual obligations of PON or other persons (or both) already using any relevant Port facility;</w:t>
      </w:r>
    </w:p>
    <w:p w14:paraId="4B59C944" w14:textId="77777777" w:rsidR="001C3448" w:rsidRDefault="001C3448" w:rsidP="001C3448">
      <w:pPr>
        <w:pStyle w:val="Quote1"/>
        <w:tabs>
          <w:tab w:val="left" w:pos="1418"/>
        </w:tabs>
        <w:ind w:left="1418" w:hanging="681"/>
        <w:rPr>
          <w:lang w:eastAsia="en-AU"/>
        </w:rPr>
      </w:pPr>
      <w:r>
        <w:rPr>
          <w:lang w:eastAsia="en-AU"/>
        </w:rPr>
        <w:t xml:space="preserve">(h) </w:t>
      </w:r>
      <w:r>
        <w:rPr>
          <w:lang w:eastAsia="en-AU"/>
        </w:rPr>
        <w:tab/>
        <w:t>the operational and technical requirements necessary for the safe and reliable provision of the service;</w:t>
      </w:r>
    </w:p>
    <w:p w14:paraId="4E8B07C0" w14:textId="77777777" w:rsidR="001C3448" w:rsidRDefault="001C3448" w:rsidP="001C3448">
      <w:pPr>
        <w:pStyle w:val="Quote1"/>
        <w:tabs>
          <w:tab w:val="left" w:pos="1418"/>
        </w:tabs>
        <w:ind w:left="1418" w:hanging="681"/>
        <w:rPr>
          <w:lang w:eastAsia="en-AU"/>
        </w:rPr>
      </w:pPr>
      <w:r>
        <w:rPr>
          <w:lang w:eastAsia="en-AU"/>
        </w:rPr>
        <w:t>(</w:t>
      </w:r>
      <w:proofErr w:type="spellStart"/>
      <w:r>
        <w:rPr>
          <w:lang w:eastAsia="en-AU"/>
        </w:rPr>
        <w:t>i</w:t>
      </w:r>
      <w:proofErr w:type="spellEnd"/>
      <w:r>
        <w:rPr>
          <w:lang w:eastAsia="en-AU"/>
        </w:rPr>
        <w:t xml:space="preserve">) </w:t>
      </w:r>
      <w:r>
        <w:rPr>
          <w:lang w:eastAsia="en-AU"/>
        </w:rPr>
        <w:tab/>
        <w:t>the economically efficient operation of any relevant Port facility;</w:t>
      </w:r>
    </w:p>
    <w:p w14:paraId="46B5269E" w14:textId="77777777" w:rsidR="001C3448" w:rsidRDefault="001C3448" w:rsidP="001C3448">
      <w:pPr>
        <w:pStyle w:val="Quote1"/>
        <w:tabs>
          <w:tab w:val="left" w:pos="1418"/>
        </w:tabs>
        <w:ind w:left="1418" w:hanging="681"/>
        <w:rPr>
          <w:lang w:eastAsia="en-AU"/>
        </w:rPr>
      </w:pPr>
      <w:r>
        <w:rPr>
          <w:lang w:eastAsia="en-AU"/>
        </w:rPr>
        <w:t xml:space="preserve">(j) </w:t>
      </w:r>
      <w:r>
        <w:rPr>
          <w:lang w:eastAsia="en-AU"/>
        </w:rPr>
        <w:tab/>
        <w:t>the benefit to the public from having competitive markets;</w:t>
      </w:r>
    </w:p>
    <w:p w14:paraId="2E975B62" w14:textId="77777777" w:rsidR="001C3448" w:rsidRDefault="001C3448" w:rsidP="001C3448">
      <w:pPr>
        <w:pStyle w:val="Quote1"/>
        <w:tabs>
          <w:tab w:val="left" w:pos="1418"/>
        </w:tabs>
        <w:ind w:left="1418" w:hanging="681"/>
        <w:rPr>
          <w:lang w:eastAsia="en-AU"/>
        </w:rPr>
      </w:pPr>
      <w:r>
        <w:rPr>
          <w:lang w:eastAsia="en-AU"/>
        </w:rPr>
        <w:t xml:space="preserve">(k) </w:t>
      </w:r>
      <w:r>
        <w:rPr>
          <w:lang w:eastAsia="en-AU"/>
        </w:rPr>
        <w:tab/>
        <w:t>that prices should allow multi-part pricing and price discrimination when it aids efficiency;</w:t>
      </w:r>
    </w:p>
    <w:p w14:paraId="7F998C39" w14:textId="77777777" w:rsidR="00650FF3" w:rsidRDefault="001C3448" w:rsidP="001C3448">
      <w:pPr>
        <w:pStyle w:val="Quote1"/>
        <w:tabs>
          <w:tab w:val="left" w:pos="1418"/>
        </w:tabs>
        <w:ind w:left="1418" w:hanging="681"/>
        <w:rPr>
          <w:lang w:eastAsia="en-AU"/>
        </w:rPr>
      </w:pPr>
      <w:r>
        <w:rPr>
          <w:lang w:eastAsia="en-AU"/>
        </w:rPr>
        <w:t xml:space="preserve">(l) </w:t>
      </w:r>
      <w:r>
        <w:rPr>
          <w:lang w:eastAsia="en-AU"/>
        </w:rPr>
        <w:tab/>
        <w:t xml:space="preserve">that prices should not allow a vertically integrated service provider to set terms and conditions that would discriminate in favour of either its upstream or </w:t>
      </w:r>
      <w:r>
        <w:rPr>
          <w:lang w:eastAsia="en-AU"/>
        </w:rPr>
        <w:lastRenderedPageBreak/>
        <w:t>downstream operations, except to the extent that the cost of providing services to others would be higher; and</w:t>
      </w:r>
    </w:p>
    <w:p w14:paraId="40A56DCE" w14:textId="77777777" w:rsidR="001C3448" w:rsidRPr="001612DA" w:rsidRDefault="001C3448" w:rsidP="001C3448">
      <w:pPr>
        <w:pStyle w:val="Quote1"/>
        <w:tabs>
          <w:tab w:val="left" w:pos="1418"/>
        </w:tabs>
        <w:ind w:left="1418" w:hanging="681"/>
        <w:rPr>
          <w:lang w:eastAsia="en-AU"/>
        </w:rPr>
      </w:pPr>
      <w:r>
        <w:rPr>
          <w:lang w:eastAsia="en-AU"/>
        </w:rPr>
        <w:t xml:space="preserve">(m) </w:t>
      </w:r>
      <w:r w:rsidR="00650FF3">
        <w:rPr>
          <w:lang w:eastAsia="en-AU"/>
        </w:rPr>
        <w:tab/>
      </w:r>
      <w:r>
        <w:rPr>
          <w:lang w:eastAsia="en-AU"/>
        </w:rPr>
        <w:t>that prices should provide incentives to reduce costs or otherwise improve productivity.</w:t>
      </w:r>
    </w:p>
    <w:p w14:paraId="25723E7F" w14:textId="77777777" w:rsidR="00EA17DC" w:rsidRDefault="00EA17DC" w:rsidP="00DE5C4A">
      <w:pPr>
        <w:pStyle w:val="ParaNumbering"/>
        <w:rPr>
          <w:lang w:eastAsia="en-AU"/>
        </w:rPr>
      </w:pPr>
      <w:r>
        <w:rPr>
          <w:lang w:eastAsia="en-AU"/>
        </w:rPr>
        <w:t xml:space="preserve">The “Initial Capital Base” referred to in cl 4.2(b) is defined to mean the value established by reference to the </w:t>
      </w:r>
      <w:r w:rsidR="00890DFA">
        <w:rPr>
          <w:lang w:eastAsia="en-AU"/>
        </w:rPr>
        <w:t>DORC</w:t>
      </w:r>
      <w:r w:rsidR="00F64F00">
        <w:rPr>
          <w:lang w:eastAsia="en-AU"/>
        </w:rPr>
        <w:t>,</w:t>
      </w:r>
      <w:r w:rsidR="00890DFA">
        <w:rPr>
          <w:lang w:eastAsia="en-AU"/>
        </w:rPr>
        <w:t xml:space="preserve"> </w:t>
      </w:r>
      <w:r>
        <w:rPr>
          <w:lang w:eastAsia="en-AU"/>
        </w:rPr>
        <w:t>as at 31 December 2014</w:t>
      </w:r>
      <w:r w:rsidR="00F64F00">
        <w:rPr>
          <w:lang w:eastAsia="en-AU"/>
        </w:rPr>
        <w:t>,</w:t>
      </w:r>
      <w:r>
        <w:rPr>
          <w:lang w:eastAsia="en-AU"/>
        </w:rPr>
        <w:t xml:space="preserve"> of the assets used in the provision of all of the services at the Port and, unless otherwise agreed by PNO, without deduction for user contributions.</w:t>
      </w:r>
      <w:r w:rsidR="00F64F00">
        <w:rPr>
          <w:lang w:eastAsia="en-AU"/>
        </w:rPr>
        <w:t xml:space="preserve"> </w:t>
      </w:r>
      <w:r w:rsidR="00DD6607">
        <w:rPr>
          <w:lang w:eastAsia="en-AU"/>
        </w:rPr>
        <w:t xml:space="preserve">In context, the reference to “user contributions” must refer to historic user funded contributions </w:t>
      </w:r>
      <w:r w:rsidR="00C160EF">
        <w:rPr>
          <w:lang w:eastAsia="en-AU"/>
        </w:rPr>
        <w:t xml:space="preserve">(i.e. contributions which pre-date the DORC valuation date of 31 December 2014) </w:t>
      </w:r>
      <w:r w:rsidR="00DD6607">
        <w:rPr>
          <w:lang w:eastAsia="en-AU"/>
        </w:rPr>
        <w:t xml:space="preserve">and alludes to the dispute in respect of user funded contributions in the Glencore arbitration. In its 2018 arbitral determination, the ACCC adopted the same </w:t>
      </w:r>
      <w:r w:rsidR="00F64F00">
        <w:rPr>
          <w:lang w:eastAsia="en-AU"/>
        </w:rPr>
        <w:t>capital base</w:t>
      </w:r>
      <w:r w:rsidR="00DD6607">
        <w:rPr>
          <w:lang w:eastAsia="en-AU"/>
        </w:rPr>
        <w:t xml:space="preserve"> (</w:t>
      </w:r>
      <w:proofErr w:type="spellStart"/>
      <w:r w:rsidR="00DD6607">
        <w:rPr>
          <w:lang w:eastAsia="en-AU"/>
        </w:rPr>
        <w:t>ie</w:t>
      </w:r>
      <w:proofErr w:type="spellEnd"/>
      <w:r w:rsidR="00DD6607">
        <w:rPr>
          <w:lang w:eastAsia="en-AU"/>
        </w:rPr>
        <w:t xml:space="preserve"> the DORC valuation </w:t>
      </w:r>
      <w:r w:rsidR="007638FF">
        <w:rPr>
          <w:lang w:eastAsia="en-AU"/>
        </w:rPr>
        <w:t>as at 31 December 2014, indexed to 2018</w:t>
      </w:r>
      <w:r w:rsidR="00DD6607">
        <w:rPr>
          <w:lang w:eastAsia="en-AU"/>
        </w:rPr>
        <w:t>) save that</w:t>
      </w:r>
      <w:r w:rsidR="00F64F00">
        <w:rPr>
          <w:lang w:eastAsia="en-AU"/>
        </w:rPr>
        <w:t xml:space="preserve"> </w:t>
      </w:r>
      <w:r w:rsidR="00D22005">
        <w:rPr>
          <w:lang w:eastAsia="en-AU"/>
        </w:rPr>
        <w:t>the ACCC</w:t>
      </w:r>
      <w:r w:rsidR="00F64F00">
        <w:rPr>
          <w:lang w:eastAsia="en-AU"/>
        </w:rPr>
        <w:t xml:space="preserve"> deducted its assessment of </w:t>
      </w:r>
      <w:r w:rsidR="00F15F7B">
        <w:rPr>
          <w:lang w:eastAsia="en-AU"/>
        </w:rPr>
        <w:t xml:space="preserve">historic </w:t>
      </w:r>
      <w:r w:rsidR="00F64F00">
        <w:rPr>
          <w:lang w:eastAsia="en-AU"/>
        </w:rPr>
        <w:t>user funded contributions.</w:t>
      </w:r>
    </w:p>
    <w:p w14:paraId="2AD44CA1" w14:textId="77777777" w:rsidR="001C3448" w:rsidRDefault="00785975" w:rsidP="000432BD">
      <w:pPr>
        <w:pStyle w:val="ParaNumbering"/>
        <w:rPr>
          <w:lang w:eastAsia="en-AU"/>
        </w:rPr>
      </w:pPr>
      <w:r>
        <w:rPr>
          <w:lang w:eastAsia="en-AU"/>
        </w:rPr>
        <w:t xml:space="preserve">It can be seen that the pricing principles in cl 4.2 of </w:t>
      </w:r>
      <w:proofErr w:type="spellStart"/>
      <w:r>
        <w:rPr>
          <w:lang w:eastAsia="en-AU"/>
        </w:rPr>
        <w:t>Sch</w:t>
      </w:r>
      <w:proofErr w:type="spellEnd"/>
      <w:r>
        <w:rPr>
          <w:lang w:eastAsia="en-AU"/>
        </w:rPr>
        <w:t xml:space="preserve"> 3 of the Deeds address most of the considerations stated in s 44X(1), with some of the considerations being reproduced in identical language, some reproduced with minor variations and some addressed with more material variations. Paragraphs (aa) and (</w:t>
      </w:r>
      <w:proofErr w:type="spellStart"/>
      <w:r>
        <w:rPr>
          <w:lang w:eastAsia="en-AU"/>
        </w:rPr>
        <w:t>ea</w:t>
      </w:r>
      <w:proofErr w:type="spellEnd"/>
      <w:r>
        <w:rPr>
          <w:lang w:eastAsia="en-AU"/>
        </w:rPr>
        <w:t xml:space="preserve">) of s 44X(1) are not addressed in cl 4.2 of </w:t>
      </w:r>
      <w:proofErr w:type="spellStart"/>
      <w:r>
        <w:rPr>
          <w:lang w:eastAsia="en-AU"/>
        </w:rPr>
        <w:t>Sch</w:t>
      </w:r>
      <w:proofErr w:type="spellEnd"/>
      <w:r>
        <w:rPr>
          <w:lang w:eastAsia="en-AU"/>
        </w:rPr>
        <w:t xml:space="preserve"> 3 of the Deeds, but NSWMC did not contend that the omission of those considerations was significant.</w:t>
      </w:r>
    </w:p>
    <w:p w14:paraId="2D8C82B3" w14:textId="77777777" w:rsidR="00EA17DC" w:rsidRDefault="002F776E" w:rsidP="00247259">
      <w:pPr>
        <w:pStyle w:val="ParaNumbering"/>
        <w:rPr>
          <w:lang w:eastAsia="en-AU"/>
        </w:rPr>
      </w:pPr>
      <w:r>
        <w:rPr>
          <w:lang w:eastAsia="en-AU"/>
        </w:rPr>
        <w:t xml:space="preserve">NSWMC </w:t>
      </w:r>
      <w:r w:rsidR="00EA17DC">
        <w:rPr>
          <w:lang w:eastAsia="en-AU"/>
        </w:rPr>
        <w:t xml:space="preserve">criticised </w:t>
      </w:r>
      <w:r w:rsidR="00DE5C4A">
        <w:rPr>
          <w:lang w:eastAsia="en-AU"/>
        </w:rPr>
        <w:t xml:space="preserve">the pricing principles in </w:t>
      </w:r>
      <w:r w:rsidR="00EA17DC">
        <w:rPr>
          <w:lang w:eastAsia="en-AU"/>
        </w:rPr>
        <w:t xml:space="preserve">paragraph (b) and (e) of cl 4.2. </w:t>
      </w:r>
      <w:r w:rsidR="00E96202">
        <w:rPr>
          <w:lang w:eastAsia="en-AU"/>
        </w:rPr>
        <w:t xml:space="preserve">NSWMC’s concerns with respect to each principle are related. </w:t>
      </w:r>
    </w:p>
    <w:p w14:paraId="027EC813" w14:textId="771DF3B4" w:rsidR="00F15F7B" w:rsidRDefault="00DE5C4A" w:rsidP="00874EB2">
      <w:pPr>
        <w:pStyle w:val="ParaNumbering"/>
        <w:rPr>
          <w:lang w:eastAsia="en-AU"/>
        </w:rPr>
      </w:pPr>
      <w:r>
        <w:rPr>
          <w:lang w:eastAsia="en-AU"/>
        </w:rPr>
        <w:t>The pricing principle in paragraph (b) of cl 4.2 is an amalgam of the mandatory consideration in s</w:t>
      </w:r>
      <w:r w:rsidR="004D4181">
        <w:rPr>
          <w:lang w:eastAsia="en-AU"/>
        </w:rPr>
        <w:t> </w:t>
      </w:r>
      <w:r>
        <w:rPr>
          <w:lang w:eastAsia="en-AU"/>
        </w:rPr>
        <w:t xml:space="preserve">44X(1)(a) and the statutory pricing principle in s 44ZZCA(a). The opening phrase, PNO's legitimate business interests and investment in the Port or Port facilities, is materially the same as the consideration in s 44X(1)(a). Those interests are then stated to include the “recovery of efficient cost” principle, which is based upon the pricing principle in </w:t>
      </w:r>
      <w:r w:rsidR="00B2017B">
        <w:rPr>
          <w:lang w:eastAsia="en-AU"/>
        </w:rPr>
        <w:t>s </w:t>
      </w:r>
      <w:r>
        <w:rPr>
          <w:lang w:eastAsia="en-AU"/>
        </w:rPr>
        <w:t xml:space="preserve">44ZZCA(a). The </w:t>
      </w:r>
      <w:r w:rsidR="00207059">
        <w:rPr>
          <w:lang w:eastAsia="en-AU"/>
        </w:rPr>
        <w:t>two matters</w:t>
      </w:r>
      <w:r>
        <w:rPr>
          <w:lang w:eastAsia="en-AU"/>
        </w:rPr>
        <w:t xml:space="preserve"> are closely connected and</w:t>
      </w:r>
      <w:r w:rsidR="00207059">
        <w:rPr>
          <w:lang w:eastAsia="en-AU"/>
        </w:rPr>
        <w:t>, in itself, there can be no concern about locating the “recovery of efficient cost” principle as a subset of the “legitimate business interests” consideration.</w:t>
      </w:r>
      <w:r w:rsidR="00E96202">
        <w:rPr>
          <w:lang w:eastAsia="en-AU"/>
        </w:rPr>
        <w:t xml:space="preserve"> </w:t>
      </w:r>
      <w:r w:rsidR="006921B8">
        <w:rPr>
          <w:lang w:eastAsia="en-AU"/>
        </w:rPr>
        <w:t>The core of NSWMC’s criticism is that the pricing principle in paragraph (b) of cl 4.2</w:t>
      </w:r>
      <w:r>
        <w:rPr>
          <w:lang w:eastAsia="en-AU"/>
        </w:rPr>
        <w:t xml:space="preserve"> </w:t>
      </w:r>
      <w:r w:rsidR="006921B8">
        <w:rPr>
          <w:lang w:eastAsia="en-AU"/>
        </w:rPr>
        <w:t xml:space="preserve">requires the arbitrator to adopt the Initial Capital Base, as defined, as the capital base upon which the capital components of the allowed return are to be determined (the return on capital and the return of capital). As noted above, the Initial Capital Base is defined by reference to the DORC valuation of the assets used in the provision of all of the services at the Port as at </w:t>
      </w:r>
      <w:r w:rsidR="007638FF">
        <w:rPr>
          <w:lang w:eastAsia="en-AU"/>
        </w:rPr>
        <w:t>31 December 2014</w:t>
      </w:r>
      <w:r w:rsidR="006921B8">
        <w:rPr>
          <w:lang w:eastAsia="en-AU"/>
        </w:rPr>
        <w:t xml:space="preserve"> and, unless otherwise agreed by PNO, without deduction for user </w:t>
      </w:r>
      <w:r w:rsidR="00F64F00">
        <w:rPr>
          <w:lang w:eastAsia="en-AU"/>
        </w:rPr>
        <w:t xml:space="preserve">funded </w:t>
      </w:r>
      <w:r w:rsidR="006921B8">
        <w:rPr>
          <w:lang w:eastAsia="en-AU"/>
        </w:rPr>
        <w:lastRenderedPageBreak/>
        <w:t xml:space="preserve">contributions. </w:t>
      </w:r>
      <w:r w:rsidR="00F15F7B">
        <w:rPr>
          <w:lang w:eastAsia="en-AU"/>
        </w:rPr>
        <w:t xml:space="preserve">While the principle allows the Initial Capital Base to be updated (for example, </w:t>
      </w:r>
      <w:r w:rsidR="00DD6607">
        <w:rPr>
          <w:lang w:eastAsia="en-AU"/>
        </w:rPr>
        <w:t>by reference to depreciation or efficient additional capital investments)</w:t>
      </w:r>
      <w:r w:rsidR="00F15F7B">
        <w:rPr>
          <w:lang w:eastAsia="en-AU"/>
        </w:rPr>
        <w:t xml:space="preserve">, the principle prevents the arbitrator from adjusting the DORC valuation </w:t>
      </w:r>
      <w:r w:rsidR="007638FF">
        <w:rPr>
          <w:lang w:eastAsia="en-AU"/>
        </w:rPr>
        <w:t>as at 31 December 2014</w:t>
      </w:r>
      <w:r w:rsidR="00C160EF">
        <w:rPr>
          <w:lang w:eastAsia="en-AU"/>
        </w:rPr>
        <w:t xml:space="preserve"> </w:t>
      </w:r>
      <w:r w:rsidR="00F15F7B">
        <w:rPr>
          <w:lang w:eastAsia="en-AU"/>
        </w:rPr>
        <w:t xml:space="preserve">by the value of </w:t>
      </w:r>
      <w:r w:rsidR="00DD6607">
        <w:rPr>
          <w:lang w:eastAsia="en-AU"/>
        </w:rPr>
        <w:t xml:space="preserve">historic </w:t>
      </w:r>
      <w:r w:rsidR="00F15F7B">
        <w:rPr>
          <w:lang w:eastAsia="en-AU"/>
        </w:rPr>
        <w:t>user funded contributions unless PNO agrees.</w:t>
      </w:r>
    </w:p>
    <w:p w14:paraId="54CE3979" w14:textId="77777777" w:rsidR="00E96202" w:rsidRDefault="00E96202" w:rsidP="00247259">
      <w:pPr>
        <w:pStyle w:val="ParaNumbering"/>
        <w:rPr>
          <w:lang w:eastAsia="en-AU"/>
        </w:rPr>
      </w:pPr>
      <w:r>
        <w:rPr>
          <w:lang w:eastAsia="en-AU"/>
        </w:rPr>
        <w:t>The pricing principle in paragraph (e) of cl 4.2 is based upon the mandatory consideration in s</w:t>
      </w:r>
      <w:r w:rsidR="004D4181">
        <w:rPr>
          <w:lang w:eastAsia="en-AU"/>
        </w:rPr>
        <w:t> </w:t>
      </w:r>
      <w:r>
        <w:rPr>
          <w:lang w:eastAsia="en-AU"/>
        </w:rPr>
        <w:t xml:space="preserve">44X(1)(e). NSWMC’s criticism is that the pricing principle in paragraph (e) of cl 4.2 is expressed as forward looking (referring to the value of investments that a person has agreed to undertake), whereas the consideration in s 44X(1)(e) arguably applies to historic </w:t>
      </w:r>
      <w:r w:rsidR="000B1219">
        <w:rPr>
          <w:lang w:eastAsia="en-AU"/>
        </w:rPr>
        <w:t>investments. On that basis, NSWMC again submitted that the arbitrator is precluded by paragraph (e) of cl 4.2 from taking into account the capital value of historic user funded contributions.</w:t>
      </w:r>
    </w:p>
    <w:p w14:paraId="067FB61F" w14:textId="77777777" w:rsidR="00182282" w:rsidRDefault="000B1219" w:rsidP="00874EB2">
      <w:pPr>
        <w:pStyle w:val="ParaNumbering"/>
        <w:rPr>
          <w:lang w:eastAsia="en-AU"/>
        </w:rPr>
      </w:pPr>
      <w:r>
        <w:rPr>
          <w:lang w:eastAsia="en-AU"/>
        </w:rPr>
        <w:t>PNO did not contend that NSWMC’s interpretation of paragraphs (b) and (e) of cl 4.2 was erroneous in any way. For the purposes of this application, the Tribunal assumes the correctness of NSWMC’s interpretation, while recognising the potential for debate in any future pricing arbitration under the Deeds.</w:t>
      </w:r>
      <w:r w:rsidR="0092743A">
        <w:rPr>
          <w:lang w:eastAsia="en-AU"/>
        </w:rPr>
        <w:t xml:space="preserve"> </w:t>
      </w:r>
      <w:r>
        <w:rPr>
          <w:lang w:eastAsia="en-AU"/>
        </w:rPr>
        <w:t xml:space="preserve">It follows that the Tribunal accepts that a pricing arbitration conducted under the Deeds may produce a different outcome to a pricing arbitration conducted under Division 3 of Part IIIA of the Act, by reason of the inclusion or exclusion of historic user funded contributions in the valuation of the capital base of the Port used to determine allowed revenue. However, </w:t>
      </w:r>
      <w:r w:rsidR="0092743A">
        <w:rPr>
          <w:lang w:eastAsia="en-AU"/>
        </w:rPr>
        <w:t>three</w:t>
      </w:r>
      <w:r>
        <w:rPr>
          <w:lang w:eastAsia="en-AU"/>
        </w:rPr>
        <w:t xml:space="preserve"> matters must be noted. </w:t>
      </w:r>
    </w:p>
    <w:p w14:paraId="6C7A819A" w14:textId="77777777" w:rsidR="00182282" w:rsidRDefault="000B1219" w:rsidP="00247259">
      <w:pPr>
        <w:pStyle w:val="ParaNumbering"/>
        <w:rPr>
          <w:lang w:eastAsia="en-AU"/>
        </w:rPr>
      </w:pPr>
      <w:r>
        <w:rPr>
          <w:lang w:eastAsia="en-AU"/>
        </w:rPr>
        <w:t>First, at this time it is not certain that a pricing arbitration conducted under Division 3 of Part IIIA of the Act</w:t>
      </w:r>
      <w:r w:rsidR="00182282">
        <w:rPr>
          <w:lang w:eastAsia="en-AU"/>
        </w:rPr>
        <w:t xml:space="preserve"> would </w:t>
      </w:r>
      <w:r>
        <w:rPr>
          <w:lang w:eastAsia="en-AU"/>
        </w:rPr>
        <w:t>exclu</w:t>
      </w:r>
      <w:r w:rsidR="00182282">
        <w:rPr>
          <w:lang w:eastAsia="en-AU"/>
        </w:rPr>
        <w:t>de</w:t>
      </w:r>
      <w:r>
        <w:rPr>
          <w:lang w:eastAsia="en-AU"/>
        </w:rPr>
        <w:t xml:space="preserve"> historic user funded contributions in the valuation of the capital base of the Port</w:t>
      </w:r>
      <w:r w:rsidR="00182282">
        <w:rPr>
          <w:lang w:eastAsia="en-AU"/>
        </w:rPr>
        <w:t>. As discussed earlier, the ACCC determined that such costs should be excluded, but another Tribunal determined that the costs should not be excluded. The Tribunal’s determination was set aside by the Full Court on the basis of error</w:t>
      </w:r>
      <w:r w:rsidR="00FE79CA">
        <w:rPr>
          <w:lang w:eastAsia="en-AU"/>
        </w:rPr>
        <w:t>s</w:t>
      </w:r>
      <w:r w:rsidR="00182282">
        <w:rPr>
          <w:lang w:eastAsia="en-AU"/>
        </w:rPr>
        <w:t xml:space="preserve"> of law, and the determination was remitted to the Tribunal for reconsideration. The Full Court’s decision is currently on appeal by PNO to the High Court. Even if the appeal is dismissed, the Full Court’s decision does not pre-determine the Tribunal’s reconsideration of the treatment of historic user funded contributions</w:t>
      </w:r>
      <w:r w:rsidR="00C160EF">
        <w:rPr>
          <w:lang w:eastAsia="en-AU"/>
        </w:rPr>
        <w:t xml:space="preserve"> or its assessment of the value of such contributions.</w:t>
      </w:r>
    </w:p>
    <w:p w14:paraId="32CACF95" w14:textId="77777777" w:rsidR="0092743A" w:rsidRDefault="00182282" w:rsidP="00247259">
      <w:pPr>
        <w:pStyle w:val="ParaNumbering"/>
        <w:rPr>
          <w:lang w:eastAsia="en-AU"/>
        </w:rPr>
      </w:pPr>
      <w:r>
        <w:rPr>
          <w:lang w:eastAsia="en-AU"/>
        </w:rPr>
        <w:t xml:space="preserve">Second, even if it be the case that a pricing arbitration conducted under Division 3 of Part IIIA of the Act would exclude historic user funded contributions in the valuation of the capital base of the Port whereas a pricing arbitration under the Deeds would not, that does not demonstrate that prices set under the Deeds are likely to have a negative impact on the conditions or environment for competition in the coal tenements market on a forward looking basis. </w:t>
      </w:r>
      <w:r>
        <w:rPr>
          <w:lang w:eastAsia="en-AU"/>
        </w:rPr>
        <w:lastRenderedPageBreak/>
        <w:t xml:space="preserve">Critically, and as NSWMC submitted, historic user funded contributions have been built into PNO’s current rate of the </w:t>
      </w:r>
      <w:r w:rsidR="00E24A0D">
        <w:rPr>
          <w:lang w:eastAsia="en-AU"/>
        </w:rPr>
        <w:t>navigation service charge</w:t>
      </w:r>
      <w:r>
        <w:rPr>
          <w:lang w:eastAsia="en-AU"/>
        </w:rPr>
        <w:t xml:space="preserve">. The available evidence does not </w:t>
      </w:r>
      <w:r w:rsidR="00C160EF">
        <w:rPr>
          <w:lang w:eastAsia="en-AU"/>
        </w:rPr>
        <w:t>demonstrate</w:t>
      </w:r>
      <w:r>
        <w:rPr>
          <w:lang w:eastAsia="en-AU"/>
        </w:rPr>
        <w:t xml:space="preserve"> that th</w:t>
      </w:r>
      <w:r w:rsidR="0092743A">
        <w:rPr>
          <w:lang w:eastAsia="en-AU"/>
        </w:rPr>
        <w:t xml:space="preserve">e current rate of the </w:t>
      </w:r>
      <w:r w:rsidR="00E24A0D">
        <w:rPr>
          <w:lang w:eastAsia="en-AU"/>
        </w:rPr>
        <w:t>navigation service charge</w:t>
      </w:r>
      <w:r w:rsidR="0092743A">
        <w:rPr>
          <w:lang w:eastAsia="en-AU"/>
        </w:rPr>
        <w:t xml:space="preserve"> is having</w:t>
      </w:r>
      <w:r>
        <w:rPr>
          <w:lang w:eastAsia="en-AU"/>
        </w:rPr>
        <w:t xml:space="preserve"> a negative impact on the competitive environment in the coal tenements market. </w:t>
      </w:r>
    </w:p>
    <w:p w14:paraId="298A4A7E" w14:textId="77777777" w:rsidR="000B1219" w:rsidRDefault="0092743A" w:rsidP="00247259">
      <w:pPr>
        <w:pStyle w:val="ParaNumbering"/>
        <w:rPr>
          <w:lang w:eastAsia="en-AU"/>
        </w:rPr>
      </w:pPr>
      <w:r>
        <w:rPr>
          <w:lang w:eastAsia="en-AU"/>
        </w:rPr>
        <w:t>Third, l</w:t>
      </w:r>
      <w:r w:rsidR="00182282">
        <w:rPr>
          <w:lang w:eastAsia="en-AU"/>
        </w:rPr>
        <w:t xml:space="preserve">ooking forward, </w:t>
      </w:r>
      <w:r w:rsidR="005D717A">
        <w:rPr>
          <w:lang w:eastAsia="en-AU"/>
        </w:rPr>
        <w:t>the pricing principle in paragraph (e) of cl 4.2 requires an arbitrator to take account of the economic value to PNO of investments that a person has agreed to undertake.</w:t>
      </w:r>
      <w:r w:rsidR="000B1219">
        <w:rPr>
          <w:lang w:eastAsia="en-AU"/>
        </w:rPr>
        <w:t xml:space="preserve"> </w:t>
      </w:r>
      <w:r w:rsidR="005D717A">
        <w:rPr>
          <w:lang w:eastAsia="en-AU"/>
        </w:rPr>
        <w:t>The Tribunal expects that a Port user would not in the future agree to fund capital investments at the Port without first reaching an agreement with the Port about the financial return on the investment</w:t>
      </w:r>
      <w:r>
        <w:rPr>
          <w:lang w:eastAsia="en-AU"/>
        </w:rPr>
        <w:t>, whether by way of an adjustment to the Port charges or otherwise. Further, any future user funded capital investments at the Port would be required to be taken into account by the arbitrator in any dispute with respect to future price variations. In that respect, future user funded contributions can be expected to be treated in the same manner in an arbitration conducted under the Deeds and in an arbitration conducted under Division 3 of Part IIIA of the Act.</w:t>
      </w:r>
      <w:r w:rsidR="00DE11AF">
        <w:rPr>
          <w:lang w:eastAsia="en-AU"/>
        </w:rPr>
        <w:t xml:space="preserve"> </w:t>
      </w:r>
    </w:p>
    <w:p w14:paraId="39588290" w14:textId="77777777" w:rsidR="002F776E" w:rsidRDefault="0092743A" w:rsidP="00247259">
      <w:pPr>
        <w:pStyle w:val="ParaNumbering"/>
        <w:rPr>
          <w:lang w:eastAsia="en-AU"/>
        </w:rPr>
      </w:pPr>
      <w:r>
        <w:rPr>
          <w:lang w:eastAsia="en-AU"/>
        </w:rPr>
        <w:t xml:space="preserve">It follows, in the Tribunal’s view, </w:t>
      </w:r>
      <w:r w:rsidR="00B0182C">
        <w:rPr>
          <w:lang w:eastAsia="en-AU"/>
        </w:rPr>
        <w:t xml:space="preserve">that </w:t>
      </w:r>
      <w:r w:rsidR="00580727">
        <w:rPr>
          <w:lang w:eastAsia="en-AU"/>
        </w:rPr>
        <w:t xml:space="preserve">the </w:t>
      </w:r>
      <w:r w:rsidR="00C160EF">
        <w:rPr>
          <w:lang w:eastAsia="en-AU"/>
        </w:rPr>
        <w:t>difference</w:t>
      </w:r>
      <w:r w:rsidR="00AF7A1F">
        <w:rPr>
          <w:lang w:eastAsia="en-AU"/>
        </w:rPr>
        <w:t>s</w:t>
      </w:r>
      <w:r w:rsidR="00C160EF">
        <w:rPr>
          <w:lang w:eastAsia="en-AU"/>
        </w:rPr>
        <w:t xml:space="preserve"> identified by NSWMC between the </w:t>
      </w:r>
      <w:r w:rsidR="00B0182C">
        <w:rPr>
          <w:lang w:eastAsia="en-AU"/>
        </w:rPr>
        <w:t>p</w:t>
      </w:r>
      <w:r w:rsidR="00580727">
        <w:rPr>
          <w:lang w:eastAsia="en-AU"/>
        </w:rPr>
        <w:t xml:space="preserve">ricing </w:t>
      </w:r>
      <w:r w:rsidR="00B0182C">
        <w:rPr>
          <w:lang w:eastAsia="en-AU"/>
        </w:rPr>
        <w:t>p</w:t>
      </w:r>
      <w:r w:rsidR="00580727">
        <w:rPr>
          <w:lang w:eastAsia="en-AU"/>
        </w:rPr>
        <w:t xml:space="preserve">rinciples defined in cl 4.2 of </w:t>
      </w:r>
      <w:proofErr w:type="spellStart"/>
      <w:r w:rsidR="00580727">
        <w:rPr>
          <w:lang w:eastAsia="en-AU"/>
        </w:rPr>
        <w:t>Sch</w:t>
      </w:r>
      <w:proofErr w:type="spellEnd"/>
      <w:r w:rsidR="00580727">
        <w:rPr>
          <w:lang w:eastAsia="en-AU"/>
        </w:rPr>
        <w:t xml:space="preserve"> 3 to the Deeds</w:t>
      </w:r>
      <w:r w:rsidR="00DE01F5">
        <w:rPr>
          <w:lang w:eastAsia="en-AU"/>
        </w:rPr>
        <w:t xml:space="preserve"> </w:t>
      </w:r>
      <w:r w:rsidR="00C160EF">
        <w:rPr>
          <w:lang w:eastAsia="en-AU"/>
        </w:rPr>
        <w:t xml:space="preserve">and the equivalent principles that must be applied in an arbitration under Division 3 of Part IIIA </w:t>
      </w:r>
      <w:r w:rsidR="009C55D5">
        <w:rPr>
          <w:lang w:eastAsia="en-AU"/>
        </w:rPr>
        <w:t>will not have a</w:t>
      </w:r>
      <w:r w:rsidR="00B0182C">
        <w:rPr>
          <w:lang w:eastAsia="en-AU"/>
        </w:rPr>
        <w:t xml:space="preserve"> negative impact on competition </w:t>
      </w:r>
      <w:r w:rsidR="009C55D5">
        <w:rPr>
          <w:lang w:eastAsia="en-AU"/>
        </w:rPr>
        <w:t xml:space="preserve">in the coal tenements market. </w:t>
      </w:r>
      <w:r w:rsidR="00B0182C">
        <w:rPr>
          <w:lang w:eastAsia="en-AU"/>
        </w:rPr>
        <w:t xml:space="preserve">While </w:t>
      </w:r>
      <w:r w:rsidR="009C55D5">
        <w:rPr>
          <w:lang w:eastAsia="en-AU"/>
        </w:rPr>
        <w:t>the inclusion or exclusion of historic user funder contributions in the capital base of the Port</w:t>
      </w:r>
      <w:r w:rsidR="00B0182C">
        <w:rPr>
          <w:lang w:eastAsia="en-AU"/>
        </w:rPr>
        <w:t xml:space="preserve"> is the subject of </w:t>
      </w:r>
      <w:r w:rsidR="009C55D5">
        <w:rPr>
          <w:lang w:eastAsia="en-AU"/>
        </w:rPr>
        <w:t xml:space="preserve">significant </w:t>
      </w:r>
      <w:r w:rsidR="00B0182C">
        <w:rPr>
          <w:lang w:eastAsia="en-AU"/>
        </w:rPr>
        <w:t>dispute between PNO and coal producers who use the Port, it has not been demonstrated that the financial magnitude of the difference is likely to impact</w:t>
      </w:r>
      <w:r w:rsidR="00FE79CA">
        <w:rPr>
          <w:lang w:eastAsia="en-AU"/>
        </w:rPr>
        <w:t xml:space="preserve"> negatively</w:t>
      </w:r>
      <w:r w:rsidR="00B0182C">
        <w:rPr>
          <w:lang w:eastAsia="en-AU"/>
        </w:rPr>
        <w:t xml:space="preserve"> on competition in the coal tenements market</w:t>
      </w:r>
      <w:r w:rsidR="00580727">
        <w:rPr>
          <w:lang w:eastAsia="en-AU"/>
        </w:rPr>
        <w:t xml:space="preserve">. </w:t>
      </w:r>
    </w:p>
    <w:p w14:paraId="1395B066" w14:textId="77777777" w:rsidR="00F15F7B" w:rsidRDefault="009C55D5" w:rsidP="00F15F7B">
      <w:pPr>
        <w:pStyle w:val="ParaNumbering"/>
        <w:rPr>
          <w:lang w:eastAsia="en-AU"/>
        </w:rPr>
      </w:pPr>
      <w:r>
        <w:rPr>
          <w:lang w:eastAsia="en-AU"/>
        </w:rPr>
        <w:t xml:space="preserve">For completeness, the Tribunal notes another potential difference between the pricing principles defined in </w:t>
      </w:r>
      <w:r w:rsidR="00AF7A1F">
        <w:rPr>
          <w:lang w:eastAsia="en-AU"/>
        </w:rPr>
        <w:t xml:space="preserve">paragraph (b) of </w:t>
      </w:r>
      <w:r>
        <w:rPr>
          <w:lang w:eastAsia="en-AU"/>
        </w:rPr>
        <w:t xml:space="preserve">cl 4.2 of </w:t>
      </w:r>
      <w:proofErr w:type="spellStart"/>
      <w:r>
        <w:rPr>
          <w:lang w:eastAsia="en-AU"/>
        </w:rPr>
        <w:t>Sch</w:t>
      </w:r>
      <w:proofErr w:type="spellEnd"/>
      <w:r>
        <w:rPr>
          <w:lang w:eastAsia="en-AU"/>
        </w:rPr>
        <w:t xml:space="preserve"> 3 to the Deeds and the equivalent principles that must be applied in an arbitration under Division 3 of Part IIIA. The difference concerns the ability of the arbitrator to </w:t>
      </w:r>
      <w:r w:rsidR="009B4E5D">
        <w:rPr>
          <w:lang w:eastAsia="en-AU"/>
        </w:rPr>
        <w:t>re-open</w:t>
      </w:r>
      <w:r w:rsidR="00F15F7B">
        <w:rPr>
          <w:lang w:eastAsia="en-AU"/>
        </w:rPr>
        <w:t xml:space="preserve"> the DORC valuation of the Port assets</w:t>
      </w:r>
      <w:r>
        <w:rPr>
          <w:lang w:eastAsia="en-AU"/>
        </w:rPr>
        <w:t xml:space="preserve"> by, for example, re-assessing the optimised replacement cost of the Port assets at some future point in time</w:t>
      </w:r>
      <w:r w:rsidR="00F15F7B">
        <w:rPr>
          <w:lang w:eastAsia="en-AU"/>
        </w:rPr>
        <w:t xml:space="preserve">. </w:t>
      </w:r>
      <w:r>
        <w:rPr>
          <w:lang w:eastAsia="en-AU"/>
        </w:rPr>
        <w:t>Under paragraph (b) of cl 4.2</w:t>
      </w:r>
      <w:r w:rsidR="009B4E5D">
        <w:rPr>
          <w:lang w:eastAsia="en-AU"/>
        </w:rPr>
        <w:t xml:space="preserve"> of the Deeds</w:t>
      </w:r>
      <w:r>
        <w:rPr>
          <w:lang w:eastAsia="en-AU"/>
        </w:rPr>
        <w:t xml:space="preserve">, the capital base upon which PNO’s capital return is to be determined is described as </w:t>
      </w:r>
      <w:r w:rsidR="00F15F7B">
        <w:rPr>
          <w:lang w:eastAsia="en-AU"/>
        </w:rPr>
        <w:t>“the value of all assets comprising its Initial Capital Base and any updates thereof, including efficient additional capital investments”</w:t>
      </w:r>
      <w:r>
        <w:rPr>
          <w:lang w:eastAsia="en-AU"/>
        </w:rPr>
        <w:t xml:space="preserve">. The meaning of that phrase </w:t>
      </w:r>
      <w:r w:rsidR="00F15F7B">
        <w:rPr>
          <w:lang w:eastAsia="en-AU"/>
        </w:rPr>
        <w:t xml:space="preserve">may be open to debate. The Tribunal understands the phrase to indicate that the arbitrator may update the DORC valuation </w:t>
      </w:r>
      <w:r>
        <w:rPr>
          <w:lang w:eastAsia="en-AU"/>
        </w:rPr>
        <w:t xml:space="preserve">over time </w:t>
      </w:r>
      <w:r w:rsidR="00F15F7B">
        <w:rPr>
          <w:lang w:eastAsia="en-AU"/>
        </w:rPr>
        <w:t>by reference to depreciation</w:t>
      </w:r>
      <w:r w:rsidR="00774E5D">
        <w:rPr>
          <w:lang w:eastAsia="en-AU"/>
        </w:rPr>
        <w:t>,</w:t>
      </w:r>
      <w:r w:rsidR="00F15F7B">
        <w:rPr>
          <w:lang w:eastAsia="en-AU"/>
        </w:rPr>
        <w:t xml:space="preserve"> efficient </w:t>
      </w:r>
      <w:r w:rsidR="00F15F7B">
        <w:rPr>
          <w:lang w:eastAsia="en-AU"/>
        </w:rPr>
        <w:lastRenderedPageBreak/>
        <w:t>additional capital investments</w:t>
      </w:r>
      <w:r w:rsidR="00774E5D">
        <w:rPr>
          <w:lang w:eastAsia="en-AU"/>
        </w:rPr>
        <w:t xml:space="preserve"> and asset disposals</w:t>
      </w:r>
      <w:r w:rsidR="00F15F7B">
        <w:rPr>
          <w:lang w:eastAsia="en-AU"/>
        </w:rPr>
        <w:t>. It is less clear whether the word “update” allows the arbitrator to re-assess the optimised replacement cost of the Port assets</w:t>
      </w:r>
      <w:r w:rsidR="00774E5D">
        <w:rPr>
          <w:lang w:eastAsia="en-AU"/>
        </w:rPr>
        <w:t>, including by deducting the value of redundant assets</w:t>
      </w:r>
      <w:r w:rsidR="00F15F7B">
        <w:rPr>
          <w:lang w:eastAsia="en-AU"/>
        </w:rPr>
        <w:t>.</w:t>
      </w:r>
      <w:r w:rsidR="006C48A1">
        <w:rPr>
          <w:lang w:eastAsia="en-AU"/>
        </w:rPr>
        <w:t xml:space="preserve"> In contrast, the equivalent principles that must be applied in an arbitration under Division 3 of Part IIIA do not expressly restrict the ability of the ACCC to re-assess the value of the capital base upon </w:t>
      </w:r>
      <w:r w:rsidR="00AF7A1F">
        <w:rPr>
          <w:lang w:eastAsia="en-AU"/>
        </w:rPr>
        <w:t xml:space="preserve">which </w:t>
      </w:r>
      <w:r w:rsidR="006C48A1">
        <w:rPr>
          <w:lang w:eastAsia="en-AU"/>
        </w:rPr>
        <w:t xml:space="preserve">the capital return is to be determined. While the Tribunal has identified this point of possible difference between a price arbitration under the Deeds and a price arbitration under Division 3 of Part IIIA, the Tribunal places no weight upon that consideration in making its decision. That is for two reasons, which may be related. First, NSWMC made no submissions in respect of that point of possible difference. Second, the question whether and in what circumstances it </w:t>
      </w:r>
      <w:r w:rsidR="00AF7A1F">
        <w:rPr>
          <w:lang w:eastAsia="en-AU"/>
        </w:rPr>
        <w:t>would become</w:t>
      </w:r>
      <w:r w:rsidR="006C48A1">
        <w:rPr>
          <w:lang w:eastAsia="en-AU"/>
        </w:rPr>
        <w:t xml:space="preserve"> appropriate</w:t>
      </w:r>
      <w:r w:rsidR="00AF7A1F">
        <w:rPr>
          <w:lang w:eastAsia="en-AU"/>
        </w:rPr>
        <w:t>, in the context of a price arbitration under Division 3 of Part IIIA,</w:t>
      </w:r>
      <w:r w:rsidR="006C48A1">
        <w:rPr>
          <w:lang w:eastAsia="en-AU"/>
        </w:rPr>
        <w:t xml:space="preserve"> </w:t>
      </w:r>
      <w:r w:rsidR="00AF7A1F">
        <w:rPr>
          <w:lang w:eastAsia="en-AU"/>
        </w:rPr>
        <w:t>to re-open the DORC valuation of the Port assets by, for example, re-assessing the optimised replacement cost of the Port assets at some future point in time is a complex question. It raises a number of competing considerations having regard to the principles that must be applied under Division 3 of Part IIIA. To contemplate such a re-assessment occurring in the medium term would involve considerable speculation. In the Tribunal’s view, such speculation does not materially bear upon the Tribunal’s present assessment of criterion (a).</w:t>
      </w:r>
    </w:p>
    <w:p w14:paraId="709CE39C" w14:textId="77777777" w:rsidR="00F0136E" w:rsidRDefault="00C40915" w:rsidP="00785975">
      <w:pPr>
        <w:pStyle w:val="ParaNumbering"/>
        <w:rPr>
          <w:lang w:eastAsia="en-AU"/>
        </w:rPr>
      </w:pPr>
      <w:r>
        <w:rPr>
          <w:lang w:eastAsia="en-AU"/>
        </w:rPr>
        <w:t>NSWMC also criticised t</w:t>
      </w:r>
      <w:r w:rsidR="00F0136E">
        <w:rPr>
          <w:lang w:eastAsia="en-AU"/>
        </w:rPr>
        <w:t xml:space="preserve">he </w:t>
      </w:r>
      <w:r w:rsidR="00F0136E" w:rsidRPr="0016226A">
        <w:rPr>
          <w:lang w:eastAsia="en-AU"/>
        </w:rPr>
        <w:t>dispute mechanisms in the Deed</w:t>
      </w:r>
      <w:r w:rsidR="00BB1944">
        <w:rPr>
          <w:lang w:eastAsia="en-AU"/>
        </w:rPr>
        <w:t>s</w:t>
      </w:r>
      <w:r>
        <w:rPr>
          <w:lang w:eastAsia="en-AU"/>
        </w:rPr>
        <w:t xml:space="preserve">, submitting that they </w:t>
      </w:r>
      <w:r w:rsidR="00F0136E" w:rsidRPr="0016226A">
        <w:rPr>
          <w:lang w:eastAsia="en-AU"/>
        </w:rPr>
        <w:t>are not reasonable terms and conditions</w:t>
      </w:r>
      <w:r w:rsidR="00F0136E">
        <w:rPr>
          <w:lang w:eastAsia="en-AU"/>
        </w:rPr>
        <w:t xml:space="preserve"> </w:t>
      </w:r>
      <w:r w:rsidR="00F0136E" w:rsidRPr="0016226A">
        <w:rPr>
          <w:lang w:eastAsia="en-AU"/>
        </w:rPr>
        <w:t xml:space="preserve">of access </w:t>
      </w:r>
      <w:r w:rsidR="00F0136E">
        <w:rPr>
          <w:lang w:eastAsia="en-AU"/>
        </w:rPr>
        <w:t xml:space="preserve">and are no substitute for arbitration under Part IIIA of the Act. </w:t>
      </w:r>
      <w:r>
        <w:rPr>
          <w:lang w:eastAsia="en-AU"/>
        </w:rPr>
        <w:t xml:space="preserve">In that respect, NSWMC observed that </w:t>
      </w:r>
      <w:r w:rsidR="00F0136E">
        <w:rPr>
          <w:lang w:eastAsia="en-AU"/>
        </w:rPr>
        <w:t xml:space="preserve">the previous arbitration conducted by the ACCC on the application of Glencore resulted in the adoption of a regulated asset base and building block methodology to determine allowed revenues and prices, with disclosure of relevant financial inputs to the model. </w:t>
      </w:r>
      <w:r>
        <w:rPr>
          <w:lang w:eastAsia="en-AU"/>
        </w:rPr>
        <w:t xml:space="preserve">NSWMC submitted that </w:t>
      </w:r>
      <w:r w:rsidR="00F0136E">
        <w:rPr>
          <w:lang w:eastAsia="en-AU"/>
        </w:rPr>
        <w:t xml:space="preserve">arbitration in accordance with the ACICA Arbitration Rules (as stipulated by cl 3.3 of </w:t>
      </w:r>
      <w:proofErr w:type="spellStart"/>
      <w:r w:rsidR="00F0136E">
        <w:rPr>
          <w:lang w:eastAsia="en-AU"/>
        </w:rPr>
        <w:t>Sch</w:t>
      </w:r>
      <w:proofErr w:type="spellEnd"/>
      <w:r w:rsidR="00F0136E">
        <w:rPr>
          <w:lang w:eastAsia="en-AU"/>
        </w:rPr>
        <w:t xml:space="preserve"> 3 to the Deeds) does not necessitate any particular methodology to determining prices or disclosure of financial information.</w:t>
      </w:r>
    </w:p>
    <w:p w14:paraId="4DD4DE78" w14:textId="77777777" w:rsidR="003E6602" w:rsidRDefault="00C40915" w:rsidP="00F0136E">
      <w:pPr>
        <w:pStyle w:val="ParaNumbering"/>
        <w:rPr>
          <w:lang w:eastAsia="en-AU"/>
        </w:rPr>
      </w:pPr>
      <w:r>
        <w:rPr>
          <w:lang w:eastAsia="en-AU"/>
        </w:rPr>
        <w:t xml:space="preserve">The Tribunal agrees that the dispute resolution provisions of the Deeds do not mandate the use of a building block methodology to determine allowed revenues and prices. However, nor does arbitration under Division 3 of Part IIIA. While a building block methodology is commonly used by regulatory authorities when seeking to determine efficient costs and prices, and was used by the ACCC in the Glencore initiated arbitration, such an approach is not the only methodology that can be applied. For the reasons explained above, the pricing principles required to be applied to resolve a pricing dispute under the Deeds follow closely the principles to be applied in an arbitration under Division 3 of Part IIIA. Further, the pricing principle in </w:t>
      </w:r>
      <w:r>
        <w:rPr>
          <w:lang w:eastAsia="en-AU"/>
        </w:rPr>
        <w:lastRenderedPageBreak/>
        <w:t>cl</w:t>
      </w:r>
      <w:r w:rsidR="00A47275">
        <w:rPr>
          <w:lang w:eastAsia="en-AU"/>
        </w:rPr>
        <w:t> </w:t>
      </w:r>
      <w:r>
        <w:rPr>
          <w:lang w:eastAsia="en-AU"/>
        </w:rPr>
        <w:t xml:space="preserve">4.2(b), which directs attention to Port’s capital base, a reasonable rate of return on capital and a return of capital over the term of the Port lease, lend themselves to a building block methodology for determining allowed revenue and prices. </w:t>
      </w:r>
    </w:p>
    <w:p w14:paraId="7A6772BD" w14:textId="1EDE986B" w:rsidR="00C13795" w:rsidRDefault="00C40915" w:rsidP="00F0136E">
      <w:pPr>
        <w:pStyle w:val="ParaNumbering"/>
        <w:rPr>
          <w:lang w:eastAsia="en-AU"/>
        </w:rPr>
      </w:pPr>
      <w:r>
        <w:rPr>
          <w:lang w:eastAsia="en-AU"/>
        </w:rPr>
        <w:t xml:space="preserve">As to the disclosure of information for the purposes of any arbitration, two matters can be noted. First, </w:t>
      </w:r>
      <w:r w:rsidR="00263A67">
        <w:rPr>
          <w:lang w:eastAsia="en-AU"/>
        </w:rPr>
        <w:t xml:space="preserve">and </w:t>
      </w:r>
      <w:r>
        <w:rPr>
          <w:lang w:eastAsia="en-AU"/>
        </w:rPr>
        <w:t xml:space="preserve">as referred to earlier, under the Deeds PNO has undertaken to provide to the coal producer or vessel agent (as applicable) on an annual basis a forward looking 5 year forecast of its projected capital expenditure that may impact the </w:t>
      </w:r>
      <w:r w:rsidR="00E24A0D">
        <w:rPr>
          <w:lang w:eastAsia="en-AU"/>
        </w:rPr>
        <w:t>navigation service charge</w:t>
      </w:r>
      <w:r>
        <w:rPr>
          <w:lang w:eastAsia="en-AU"/>
        </w:rPr>
        <w:t xml:space="preserve"> and meet with the coal producer or vessel agent to discuss those forecasts and any potential associated variations to </w:t>
      </w:r>
      <w:r w:rsidR="00146DEA">
        <w:rPr>
          <w:lang w:eastAsia="en-AU"/>
        </w:rPr>
        <w:t>that</w:t>
      </w:r>
      <w:r w:rsidR="00E24A0D">
        <w:rPr>
          <w:lang w:eastAsia="en-AU"/>
        </w:rPr>
        <w:t xml:space="preserve"> charge</w:t>
      </w:r>
      <w:r>
        <w:rPr>
          <w:lang w:eastAsia="en-AU"/>
        </w:rPr>
        <w:t>.</w:t>
      </w:r>
      <w:r w:rsidR="00263A67">
        <w:rPr>
          <w:lang w:eastAsia="en-AU"/>
        </w:rPr>
        <w:t xml:space="preserve"> Further, when proposing any variation to the </w:t>
      </w:r>
      <w:r w:rsidR="00E24A0D">
        <w:rPr>
          <w:lang w:eastAsia="en-AU"/>
        </w:rPr>
        <w:t>navigation service charge</w:t>
      </w:r>
      <w:r w:rsidR="00263A67">
        <w:rPr>
          <w:lang w:eastAsia="en-AU"/>
        </w:rPr>
        <w:t>, PNO has undertaken to provide a report prepared by an independent appropriately qualified professional which sets out the opinion of that person, and the material facts (including all relevant cost, capital expenditure and revenue data) on which that opinion was based, as to whether the proposed variation is consistent with the pricing principles. Second, the ACICA Arbitration Rules afford an arbitrator broad powers in relation to the procedure to be applied in an arbitration, including the power to require the production of relevant documents and information.</w:t>
      </w:r>
      <w:r w:rsidR="00DE11AF">
        <w:rPr>
          <w:lang w:eastAsia="en-AU"/>
        </w:rPr>
        <w:t xml:space="preserve"> </w:t>
      </w:r>
    </w:p>
    <w:p w14:paraId="6DA9B1FF" w14:textId="29688D25" w:rsidR="009B4E5D" w:rsidRDefault="003E6602" w:rsidP="00937D07">
      <w:pPr>
        <w:pStyle w:val="ParaNumbering"/>
        <w:rPr>
          <w:lang w:eastAsia="en-AU"/>
        </w:rPr>
      </w:pPr>
      <w:r>
        <w:rPr>
          <w:lang w:eastAsia="en-AU"/>
        </w:rPr>
        <w:t xml:space="preserve">For those reasons, the Tribunal considers that the </w:t>
      </w:r>
      <w:r w:rsidRPr="0016226A">
        <w:rPr>
          <w:lang w:eastAsia="en-AU"/>
        </w:rPr>
        <w:t>dispute mechanisms in the Deed</w:t>
      </w:r>
      <w:r>
        <w:rPr>
          <w:lang w:eastAsia="en-AU"/>
        </w:rPr>
        <w:t xml:space="preserve">s </w:t>
      </w:r>
      <w:r w:rsidR="00B2017B">
        <w:rPr>
          <w:lang w:eastAsia="en-AU"/>
        </w:rPr>
        <w:t>are consistent with</w:t>
      </w:r>
      <w:r w:rsidR="00B2017B" w:rsidRPr="0016226A">
        <w:rPr>
          <w:lang w:eastAsia="en-AU"/>
        </w:rPr>
        <w:t xml:space="preserve"> </w:t>
      </w:r>
      <w:r w:rsidRPr="0016226A">
        <w:rPr>
          <w:lang w:eastAsia="en-AU"/>
        </w:rPr>
        <w:t>reasonable terms and conditions</w:t>
      </w:r>
      <w:r>
        <w:rPr>
          <w:lang w:eastAsia="en-AU"/>
        </w:rPr>
        <w:t xml:space="preserve"> </w:t>
      </w:r>
      <w:r w:rsidRPr="0016226A">
        <w:rPr>
          <w:lang w:eastAsia="en-AU"/>
        </w:rPr>
        <w:t xml:space="preserve">of access </w:t>
      </w:r>
      <w:r>
        <w:rPr>
          <w:lang w:eastAsia="en-AU"/>
        </w:rPr>
        <w:t>and are reasonable substitutes for arbitration under Part IIIA of the Act.</w:t>
      </w:r>
    </w:p>
    <w:p w14:paraId="221E6EDC" w14:textId="77777777" w:rsidR="00C1653D" w:rsidRDefault="00BF7FD8" w:rsidP="00BF7FD8">
      <w:pPr>
        <w:pStyle w:val="Heading4"/>
        <w:rPr>
          <w:lang w:eastAsia="en-AU"/>
        </w:rPr>
      </w:pPr>
      <w:bookmarkStart w:id="79" w:name="_Ref78900523"/>
      <w:r>
        <w:rPr>
          <w:lang w:eastAsia="en-AU"/>
        </w:rPr>
        <w:t>Overall conclusions about PNO’s pricing behaviour</w:t>
      </w:r>
      <w:bookmarkEnd w:id="79"/>
    </w:p>
    <w:p w14:paraId="048FC511" w14:textId="77777777" w:rsidR="00BF7FD8" w:rsidRPr="00BF7FD8" w:rsidRDefault="00BF7FD8" w:rsidP="00BF7FD8">
      <w:pPr>
        <w:pStyle w:val="ParaNumbering"/>
        <w:rPr>
          <w:lang w:eastAsia="en-AU"/>
        </w:rPr>
      </w:pPr>
      <w:r>
        <w:rPr>
          <w:lang w:eastAsia="en-AU"/>
        </w:rPr>
        <w:t xml:space="preserve">The Tribunal draws the following </w:t>
      </w:r>
      <w:r w:rsidR="005329CD">
        <w:rPr>
          <w:lang w:eastAsia="en-AU"/>
        </w:rPr>
        <w:t xml:space="preserve">three </w:t>
      </w:r>
      <w:r>
        <w:rPr>
          <w:lang w:eastAsia="en-AU"/>
        </w:rPr>
        <w:t xml:space="preserve">conclusions from the above discussion of the evidence of PNO’s pricing behaviour to date. First, it can be inferred that PNO considers that its long run profits will be maximised by setting the rate of the </w:t>
      </w:r>
      <w:r w:rsidR="00E24A0D">
        <w:rPr>
          <w:lang w:eastAsia="en-AU"/>
        </w:rPr>
        <w:t>navigation service charge</w:t>
      </w:r>
      <w:r>
        <w:rPr>
          <w:lang w:eastAsia="en-AU"/>
        </w:rPr>
        <w:t xml:space="preserve"> in accordance with the Pro Forma Pricing Deeds (and the “open access” arrangements if a Port user is unwilling to agree to the terms of the Pro Forma Pricing Deeds). It can be assumed that the prices so charged cover PNO’s assessment of its long run costs. Second, the Pro Forma Pricing Deeds provide a reasonable degree of pricing certainty to coal producers.</w:t>
      </w:r>
      <w:r w:rsidR="005329CD">
        <w:rPr>
          <w:lang w:eastAsia="en-AU"/>
        </w:rPr>
        <w:t xml:space="preserve"> While the Deeds allow PNO to propose adjustments to the rate of the </w:t>
      </w:r>
      <w:r w:rsidR="00E24A0D">
        <w:rPr>
          <w:lang w:eastAsia="en-AU"/>
        </w:rPr>
        <w:t>navigation service charge</w:t>
      </w:r>
      <w:r w:rsidR="005329CD">
        <w:rPr>
          <w:lang w:eastAsia="en-AU"/>
        </w:rPr>
        <w:t xml:space="preserve">, any such adjustment is subject to arbitration applying pricing principles which are similar to those governing arbitrations under Division 3 of Part IIIA. Third, there was no substantive evidence before the NCC that the prices currently being charged by PNO under its open access </w:t>
      </w:r>
      <w:r w:rsidR="005329CD">
        <w:rPr>
          <w:lang w:eastAsia="en-AU"/>
        </w:rPr>
        <w:lastRenderedPageBreak/>
        <w:t xml:space="preserve">arrangements or the Pro Forma Pricing Deeds are having any detrimental impact on </w:t>
      </w:r>
      <w:r w:rsidR="002302F0">
        <w:rPr>
          <w:lang w:eastAsia="en-AU"/>
        </w:rPr>
        <w:t xml:space="preserve">investment and competition in </w:t>
      </w:r>
      <w:r w:rsidR="005329CD">
        <w:rPr>
          <w:lang w:eastAsia="en-AU"/>
        </w:rPr>
        <w:t>the coal tenements market.</w:t>
      </w:r>
    </w:p>
    <w:p w14:paraId="1A87DA2C" w14:textId="77777777" w:rsidR="00785975" w:rsidRDefault="001E03AA" w:rsidP="001E03AA">
      <w:pPr>
        <w:pStyle w:val="Heading2"/>
        <w:rPr>
          <w:lang w:eastAsia="en-AU"/>
        </w:rPr>
      </w:pPr>
      <w:bookmarkStart w:id="80" w:name="_Ref78900524"/>
      <w:r>
        <w:rPr>
          <w:lang w:eastAsia="en-AU"/>
        </w:rPr>
        <w:t>Comparing the effect of access with declaration to access without declaration</w:t>
      </w:r>
      <w:bookmarkEnd w:id="80"/>
    </w:p>
    <w:p w14:paraId="68C977EA" w14:textId="77777777" w:rsidR="001E03AA" w:rsidRDefault="006679D9" w:rsidP="000432BD">
      <w:pPr>
        <w:pStyle w:val="ParaNumbering"/>
        <w:rPr>
          <w:lang w:eastAsia="en-AU"/>
        </w:rPr>
      </w:pPr>
      <w:r>
        <w:rPr>
          <w:lang w:eastAsia="en-AU"/>
        </w:rPr>
        <w:t>As explained above, criterion (a) requires the Tribunal to assume that declaration of the shipping channel service will result in access on reasonable terms and conditions. The matter that must be assessed is whether that outcome will promote a material increase in competition</w:t>
      </w:r>
      <w:r w:rsidR="007638FF">
        <w:rPr>
          <w:lang w:eastAsia="en-AU"/>
        </w:rPr>
        <w:t xml:space="preserve"> in a dependent market (here, the coal tenements market)</w:t>
      </w:r>
      <w:r>
        <w:rPr>
          <w:lang w:eastAsia="en-AU"/>
        </w:rPr>
        <w:t xml:space="preserve">. The enquiry necessarily focusses on the future market and commercial circumstances without declaration in order to assess whether </w:t>
      </w:r>
      <w:r w:rsidR="0020298E">
        <w:rPr>
          <w:lang w:eastAsia="en-AU"/>
        </w:rPr>
        <w:t>the effect of</w:t>
      </w:r>
      <w:r>
        <w:rPr>
          <w:lang w:eastAsia="en-AU"/>
        </w:rPr>
        <w:t xml:space="preserve"> declaration would promote a material increase in competition.</w:t>
      </w:r>
    </w:p>
    <w:p w14:paraId="140A331D" w14:textId="77777777" w:rsidR="00C1653D" w:rsidRDefault="0014411E" w:rsidP="009671F0">
      <w:pPr>
        <w:pStyle w:val="ParaNumbering"/>
        <w:rPr>
          <w:lang w:eastAsia="en-AU"/>
        </w:rPr>
      </w:pPr>
      <w:r>
        <w:rPr>
          <w:lang w:eastAsia="en-AU"/>
        </w:rPr>
        <w:t xml:space="preserve">The Tribunal accepts that the rate of the </w:t>
      </w:r>
      <w:r w:rsidR="00E24A0D">
        <w:rPr>
          <w:lang w:eastAsia="en-AU"/>
        </w:rPr>
        <w:t>navigation service charge</w:t>
      </w:r>
      <w:r>
        <w:rPr>
          <w:lang w:eastAsia="en-AU"/>
        </w:rPr>
        <w:t xml:space="preserve"> </w:t>
      </w:r>
      <w:r w:rsidR="00F75023">
        <w:rPr>
          <w:lang w:eastAsia="en-AU"/>
        </w:rPr>
        <w:t>across the medium term</w:t>
      </w:r>
      <w:r>
        <w:rPr>
          <w:lang w:eastAsia="en-AU"/>
        </w:rPr>
        <w:t xml:space="preserve"> may differ depending on whether the shipping channel service is declared or not declared. </w:t>
      </w:r>
      <w:r w:rsidR="00C1653D">
        <w:rPr>
          <w:lang w:eastAsia="en-AU"/>
        </w:rPr>
        <w:t>However, as noted by the NCC (at [7.93], [7.122]), it is not certain whether the rate will be higher or lower without declaration or with declaration.</w:t>
      </w:r>
    </w:p>
    <w:p w14:paraId="6657909C" w14:textId="77777777" w:rsidR="00C1653D" w:rsidRDefault="00F75023" w:rsidP="009671F0">
      <w:pPr>
        <w:pStyle w:val="ParaNumbering"/>
        <w:rPr>
          <w:lang w:eastAsia="en-AU"/>
        </w:rPr>
      </w:pPr>
      <w:r>
        <w:rPr>
          <w:lang w:eastAsia="en-AU"/>
        </w:rPr>
        <w:t xml:space="preserve">Without declaration, for at least the current term of the Vessel Agent </w:t>
      </w:r>
      <w:r w:rsidR="00E12C1E">
        <w:rPr>
          <w:lang w:eastAsia="en-AU"/>
        </w:rPr>
        <w:t>Pricing</w:t>
      </w:r>
      <w:r>
        <w:rPr>
          <w:lang w:eastAsia="en-AU"/>
        </w:rPr>
        <w:t xml:space="preserve"> Deeds, the </w:t>
      </w:r>
      <w:r w:rsidR="00E24A0D">
        <w:rPr>
          <w:lang w:eastAsia="en-AU"/>
        </w:rPr>
        <w:t>navigation service charge</w:t>
      </w:r>
      <w:r>
        <w:rPr>
          <w:lang w:eastAsia="en-AU"/>
        </w:rPr>
        <w:t xml:space="preserve"> will </w:t>
      </w:r>
      <w:r w:rsidR="00C1653D">
        <w:rPr>
          <w:lang w:eastAsia="en-AU"/>
        </w:rPr>
        <w:t xml:space="preserve">largely </w:t>
      </w:r>
      <w:r>
        <w:rPr>
          <w:lang w:eastAsia="en-AU"/>
        </w:rPr>
        <w:t>be determined in accordance with those Deeds</w:t>
      </w:r>
      <w:r w:rsidR="00C1653D">
        <w:rPr>
          <w:lang w:eastAsia="en-AU"/>
        </w:rPr>
        <w:t xml:space="preserve"> (as all coal vessels presently using the Port are covered by </w:t>
      </w:r>
      <w:r w:rsidR="002302F0">
        <w:rPr>
          <w:lang w:eastAsia="en-AU"/>
        </w:rPr>
        <w:t xml:space="preserve">those </w:t>
      </w:r>
      <w:r w:rsidR="00C1653D">
        <w:rPr>
          <w:lang w:eastAsia="en-AU"/>
        </w:rPr>
        <w:t>Deeds).</w:t>
      </w:r>
      <w:r>
        <w:rPr>
          <w:lang w:eastAsia="en-AU"/>
        </w:rPr>
        <w:t xml:space="preserve"> Under those arrangements, the </w:t>
      </w:r>
      <w:r w:rsidR="00C1653D">
        <w:rPr>
          <w:lang w:eastAsia="en-AU"/>
        </w:rPr>
        <w:t xml:space="preserve">starting rate of the </w:t>
      </w:r>
      <w:r w:rsidR="00E24A0D">
        <w:rPr>
          <w:lang w:eastAsia="en-AU"/>
        </w:rPr>
        <w:t>navigation service charge</w:t>
      </w:r>
      <w:r>
        <w:rPr>
          <w:lang w:eastAsia="en-AU"/>
        </w:rPr>
        <w:t xml:space="preserve"> </w:t>
      </w:r>
      <w:r w:rsidR="00C1653D">
        <w:rPr>
          <w:lang w:eastAsia="en-AU"/>
        </w:rPr>
        <w:t xml:space="preserve">is the mid-point of the ACCC and Tribunal arbitrated rates. That rate implicitly </w:t>
      </w:r>
      <w:r>
        <w:rPr>
          <w:lang w:eastAsia="en-AU"/>
        </w:rPr>
        <w:t>include</w:t>
      </w:r>
      <w:r w:rsidR="00C1653D">
        <w:rPr>
          <w:lang w:eastAsia="en-AU"/>
        </w:rPr>
        <w:t>s</w:t>
      </w:r>
      <w:r>
        <w:rPr>
          <w:lang w:eastAsia="en-AU"/>
        </w:rPr>
        <w:t xml:space="preserve"> a </w:t>
      </w:r>
      <w:r w:rsidR="00C1653D">
        <w:rPr>
          <w:lang w:eastAsia="en-AU"/>
        </w:rPr>
        <w:t xml:space="preserve">partial </w:t>
      </w:r>
      <w:r>
        <w:rPr>
          <w:lang w:eastAsia="en-AU"/>
        </w:rPr>
        <w:t xml:space="preserve">return on historic user funded contributions. </w:t>
      </w:r>
      <w:r w:rsidR="00E12C1E">
        <w:rPr>
          <w:lang w:eastAsia="en-AU"/>
        </w:rPr>
        <w:t xml:space="preserve">The rate of the </w:t>
      </w:r>
      <w:r w:rsidR="00E24A0D">
        <w:rPr>
          <w:lang w:eastAsia="en-AU"/>
        </w:rPr>
        <w:t>navigation service charge</w:t>
      </w:r>
      <w:r w:rsidR="00E12C1E">
        <w:rPr>
          <w:lang w:eastAsia="en-AU"/>
        </w:rPr>
        <w:t xml:space="preserve"> </w:t>
      </w:r>
      <w:r w:rsidR="00C1653D">
        <w:rPr>
          <w:lang w:eastAsia="en-AU"/>
        </w:rPr>
        <w:t xml:space="preserve">is subject to an annual increase of the greater of CPI and 4%. There is the possibility of other adjustments, but those adjustments are subject to arbitration. The rate to be charged after </w:t>
      </w:r>
      <w:r w:rsidR="00E12C1E">
        <w:rPr>
          <w:lang w:eastAsia="en-AU"/>
        </w:rPr>
        <w:t>the expiry of the Deeds is not known, but the Deeds enable a period of negotiation over price during the third last year of the term, affording access seekers an opportunity to apply for declaration at that time if they consider that the price p</w:t>
      </w:r>
      <w:r w:rsidR="002302F0">
        <w:rPr>
          <w:lang w:eastAsia="en-AU"/>
        </w:rPr>
        <w:t>roposed by PNO is unreasonable.</w:t>
      </w:r>
    </w:p>
    <w:p w14:paraId="4853AFE6" w14:textId="77777777" w:rsidR="009671F0" w:rsidRDefault="00E12C1E" w:rsidP="009671F0">
      <w:pPr>
        <w:pStyle w:val="ParaNumbering"/>
        <w:rPr>
          <w:lang w:eastAsia="en-AU"/>
        </w:rPr>
      </w:pPr>
      <w:r>
        <w:rPr>
          <w:lang w:eastAsia="en-AU"/>
        </w:rPr>
        <w:t>With declaration, t</w:t>
      </w:r>
      <w:r w:rsidR="00F75023">
        <w:rPr>
          <w:lang w:eastAsia="en-AU"/>
        </w:rPr>
        <w:t xml:space="preserve">he precise level of the </w:t>
      </w:r>
      <w:r w:rsidR="00E24A0D">
        <w:rPr>
          <w:lang w:eastAsia="en-AU"/>
        </w:rPr>
        <w:t>navigation service charge</w:t>
      </w:r>
      <w:r w:rsidR="00F75023">
        <w:rPr>
          <w:lang w:eastAsia="en-AU"/>
        </w:rPr>
        <w:t xml:space="preserve"> is uncertain. Criterion (a) requires the Tribunal to assume that </w:t>
      </w:r>
      <w:r>
        <w:rPr>
          <w:lang w:eastAsia="en-AU"/>
        </w:rPr>
        <w:t>the rate</w:t>
      </w:r>
      <w:r w:rsidR="00F75023">
        <w:rPr>
          <w:lang w:eastAsia="en-AU"/>
        </w:rPr>
        <w:t xml:space="preserve"> will be reasonable. The ACCC has previously determined that a reasonable rate of </w:t>
      </w:r>
      <w:r w:rsidR="00E24A0D">
        <w:rPr>
          <w:lang w:eastAsia="en-AU"/>
        </w:rPr>
        <w:t>navigation service charge</w:t>
      </w:r>
      <w:r w:rsidR="00F75023">
        <w:rPr>
          <w:lang w:eastAsia="en-AU"/>
        </w:rPr>
        <w:t xml:space="preserve"> </w:t>
      </w:r>
      <w:r w:rsidR="00FE79CA">
        <w:rPr>
          <w:lang w:eastAsia="en-AU"/>
        </w:rPr>
        <w:t xml:space="preserve">should be based on the DORC value of the Port assets excluding </w:t>
      </w:r>
      <w:r w:rsidR="00F75023">
        <w:rPr>
          <w:lang w:eastAsia="en-AU"/>
        </w:rPr>
        <w:t xml:space="preserve">the value of historic user funded contributions (as assessed by the ACCC), while the Tribunal has previously determined that a reasonable rate of </w:t>
      </w:r>
      <w:r w:rsidR="00E24A0D">
        <w:rPr>
          <w:lang w:eastAsia="en-AU"/>
        </w:rPr>
        <w:t>navigation service charge</w:t>
      </w:r>
      <w:r w:rsidR="00F75023">
        <w:rPr>
          <w:lang w:eastAsia="en-AU"/>
        </w:rPr>
        <w:t xml:space="preserve"> </w:t>
      </w:r>
      <w:r w:rsidR="00FE79CA">
        <w:rPr>
          <w:lang w:eastAsia="en-AU"/>
        </w:rPr>
        <w:t xml:space="preserve">should be based on </w:t>
      </w:r>
      <w:r w:rsidR="00F75023">
        <w:rPr>
          <w:lang w:eastAsia="en-AU"/>
        </w:rPr>
        <w:t>the DORC value of the Port assets without</w:t>
      </w:r>
      <w:r w:rsidR="00FE79CA">
        <w:rPr>
          <w:lang w:eastAsia="en-AU"/>
        </w:rPr>
        <w:t xml:space="preserve"> that</w:t>
      </w:r>
      <w:r w:rsidR="00F75023">
        <w:rPr>
          <w:lang w:eastAsia="en-AU"/>
        </w:rPr>
        <w:t xml:space="preserve"> deduction. The Tribunal considers that a reasonable rate of </w:t>
      </w:r>
      <w:r w:rsidR="00E24A0D">
        <w:rPr>
          <w:lang w:eastAsia="en-AU"/>
        </w:rPr>
        <w:t>navigation service charge</w:t>
      </w:r>
      <w:r>
        <w:rPr>
          <w:lang w:eastAsia="en-AU"/>
        </w:rPr>
        <w:t xml:space="preserve"> as a result </w:t>
      </w:r>
      <w:r>
        <w:rPr>
          <w:lang w:eastAsia="en-AU"/>
        </w:rPr>
        <w:lastRenderedPageBreak/>
        <w:t xml:space="preserve">of declaration </w:t>
      </w:r>
      <w:r w:rsidR="00F75023">
        <w:rPr>
          <w:lang w:eastAsia="en-AU"/>
        </w:rPr>
        <w:t xml:space="preserve">lies within those bounds, but it is unnecessary to </w:t>
      </w:r>
      <w:r>
        <w:rPr>
          <w:lang w:eastAsia="en-AU"/>
        </w:rPr>
        <w:t>be more precise.</w:t>
      </w:r>
      <w:r w:rsidR="00673308">
        <w:rPr>
          <w:lang w:eastAsia="en-AU"/>
        </w:rPr>
        <w:t xml:space="preserve"> </w:t>
      </w:r>
      <w:r w:rsidR="009671F0">
        <w:rPr>
          <w:lang w:eastAsia="en-AU"/>
        </w:rPr>
        <w:t>The NCC formed the same concl</w:t>
      </w:r>
      <w:r w:rsidR="00C1653D">
        <w:rPr>
          <w:lang w:eastAsia="en-AU"/>
        </w:rPr>
        <w:t>usion (at [6.35]).</w:t>
      </w:r>
    </w:p>
    <w:p w14:paraId="4D8FF4BA" w14:textId="77777777" w:rsidR="00864B94" w:rsidRDefault="00E12C1E" w:rsidP="009671F0">
      <w:pPr>
        <w:pStyle w:val="ParaNumbering"/>
        <w:rPr>
          <w:lang w:eastAsia="en-AU"/>
        </w:rPr>
      </w:pPr>
      <w:r>
        <w:rPr>
          <w:lang w:eastAsia="en-AU"/>
        </w:rPr>
        <w:t xml:space="preserve">For the purposes of its evaluation, </w:t>
      </w:r>
      <w:r w:rsidR="0014411E">
        <w:rPr>
          <w:lang w:eastAsia="en-AU"/>
        </w:rPr>
        <w:t xml:space="preserve">the Tribunal accepts that the rate of the </w:t>
      </w:r>
      <w:r w:rsidR="00E24A0D">
        <w:rPr>
          <w:lang w:eastAsia="en-AU"/>
        </w:rPr>
        <w:t>navigation service charge</w:t>
      </w:r>
      <w:r w:rsidR="0014411E">
        <w:rPr>
          <w:lang w:eastAsia="en-AU"/>
        </w:rPr>
        <w:t xml:space="preserve"> in the future may be higher if the shipping channel service is not declared </w:t>
      </w:r>
      <w:r>
        <w:rPr>
          <w:lang w:eastAsia="en-AU"/>
        </w:rPr>
        <w:t>by reason of the inclusion of a return on historic user funded contributions.</w:t>
      </w:r>
      <w:r w:rsidR="009671F0">
        <w:rPr>
          <w:lang w:eastAsia="en-AU"/>
        </w:rPr>
        <w:t xml:space="preserve"> </w:t>
      </w:r>
      <w:r w:rsidR="00864B94">
        <w:rPr>
          <w:lang w:eastAsia="en-AU"/>
        </w:rPr>
        <w:t xml:space="preserve">However, the inclusion or exclusion of a return on the value of historic user funded contributions is largely irrelevant to the assessment of criterion (a). </w:t>
      </w:r>
      <w:r w:rsidR="00D07844">
        <w:rPr>
          <w:lang w:eastAsia="en-AU"/>
        </w:rPr>
        <w:t>It is not sufficient for NSWMC to demonstrate that reasonable terms and conditions of access to the shipping channel service as a result of declaration would be at a price lower than access without declaration. It is necessary to demonstrate that, in comparison to reasonable terms and conditions of access to the shipping channel service as a result of declaration, the terms of access without declaration would negatively impact the conditions or environment for competition on a forward looking basis. NSWMC did not submit that the current rate was such as to negatively impact the conditions or environment for competition in the coal tenements market</w:t>
      </w:r>
      <w:r w:rsidR="002302F0">
        <w:rPr>
          <w:lang w:eastAsia="en-AU"/>
        </w:rPr>
        <w:t xml:space="preserve">, and there </w:t>
      </w:r>
      <w:r w:rsidR="00D07844">
        <w:rPr>
          <w:lang w:eastAsia="en-AU"/>
        </w:rPr>
        <w:t>is no evidence to suggest that the current rate is having any such effect.</w:t>
      </w:r>
      <w:r>
        <w:rPr>
          <w:lang w:eastAsia="en-AU"/>
        </w:rPr>
        <w:t xml:space="preserve"> </w:t>
      </w:r>
    </w:p>
    <w:p w14:paraId="26AC6C2C" w14:textId="77BE2761" w:rsidR="006679D9" w:rsidRDefault="006679D9" w:rsidP="006679D9">
      <w:pPr>
        <w:pStyle w:val="ParaNumbering"/>
        <w:rPr>
          <w:lang w:eastAsia="en-AU"/>
        </w:rPr>
      </w:pPr>
      <w:r>
        <w:rPr>
          <w:lang w:eastAsia="en-AU"/>
        </w:rPr>
        <w:t xml:space="preserve">The principal argument advanced by NSWMC on this application is that declaration would remove, or materially reduce, the “hold-up” risk of investment </w:t>
      </w:r>
      <w:r w:rsidR="00A92A03">
        <w:rPr>
          <w:lang w:eastAsia="en-AU"/>
        </w:rPr>
        <w:t xml:space="preserve">in the coal tenements market in the Hunter Valley </w:t>
      </w:r>
      <w:r>
        <w:rPr>
          <w:lang w:eastAsia="en-AU"/>
        </w:rPr>
        <w:t xml:space="preserve">and thereby promote a material increase in competition in </w:t>
      </w:r>
      <w:r w:rsidR="00A92A03">
        <w:rPr>
          <w:lang w:eastAsia="en-AU"/>
        </w:rPr>
        <w:t>that</w:t>
      </w:r>
      <w:r>
        <w:rPr>
          <w:lang w:eastAsia="en-AU"/>
        </w:rPr>
        <w:t xml:space="preserve"> market. NSWMC argued that, </w:t>
      </w:r>
      <w:r w:rsidRPr="00ED3FD8">
        <w:rPr>
          <w:lang w:eastAsia="en-AU"/>
        </w:rPr>
        <w:t>in the future without declaration</w:t>
      </w:r>
      <w:r>
        <w:rPr>
          <w:lang w:eastAsia="en-AU"/>
        </w:rPr>
        <w:t>,</w:t>
      </w:r>
      <w:r w:rsidRPr="00ED3FD8">
        <w:rPr>
          <w:lang w:eastAsia="en-AU"/>
        </w:rPr>
        <w:t xml:space="preserve"> participants in the </w:t>
      </w:r>
      <w:r>
        <w:rPr>
          <w:lang w:eastAsia="en-AU"/>
        </w:rPr>
        <w:t xml:space="preserve">coal </w:t>
      </w:r>
      <w:r w:rsidRPr="00ED3FD8">
        <w:rPr>
          <w:lang w:eastAsia="en-AU"/>
        </w:rPr>
        <w:t>tenements market</w:t>
      </w:r>
      <w:r>
        <w:rPr>
          <w:lang w:eastAsia="en-AU"/>
        </w:rPr>
        <w:t xml:space="preserve"> </w:t>
      </w:r>
      <w:r w:rsidRPr="00ED3FD8">
        <w:rPr>
          <w:lang w:eastAsia="en-AU"/>
        </w:rPr>
        <w:t xml:space="preserve">will face higher levels of uncertainty with respect to the </w:t>
      </w:r>
      <w:r w:rsidR="00E24A0D">
        <w:rPr>
          <w:lang w:eastAsia="en-AU"/>
        </w:rPr>
        <w:t>navigation service charge</w:t>
      </w:r>
      <w:r w:rsidRPr="00ED3FD8">
        <w:rPr>
          <w:lang w:eastAsia="en-AU"/>
        </w:rPr>
        <w:t xml:space="preserve"> which </w:t>
      </w:r>
      <w:r>
        <w:rPr>
          <w:lang w:eastAsia="en-AU"/>
        </w:rPr>
        <w:t>will increase</w:t>
      </w:r>
      <w:r w:rsidRPr="00ED3FD8">
        <w:rPr>
          <w:lang w:eastAsia="en-AU"/>
        </w:rPr>
        <w:t xml:space="preserve"> the risk associated with making investments, as</w:t>
      </w:r>
      <w:r>
        <w:rPr>
          <w:lang w:eastAsia="en-AU"/>
        </w:rPr>
        <w:t xml:space="preserve"> </w:t>
      </w:r>
      <w:r w:rsidRPr="00ED3FD8">
        <w:rPr>
          <w:lang w:eastAsia="en-AU"/>
        </w:rPr>
        <w:t>compared to the future with declaration</w:t>
      </w:r>
      <w:r>
        <w:rPr>
          <w:lang w:eastAsia="en-AU"/>
        </w:rPr>
        <w:t>.</w:t>
      </w:r>
      <w:r w:rsidRPr="00ED3FD8">
        <w:t xml:space="preserve"> </w:t>
      </w:r>
      <w:r>
        <w:rPr>
          <w:lang w:eastAsia="en-AU"/>
        </w:rPr>
        <w:t xml:space="preserve">NSWMC argued that the elevated risk increases the likelihood that investors will delay their investments until the uncertainty is resolved </w:t>
      </w:r>
      <w:r w:rsidR="00276FC1">
        <w:rPr>
          <w:lang w:eastAsia="en-AU"/>
        </w:rPr>
        <w:t xml:space="preserve">and that delay </w:t>
      </w:r>
      <w:r>
        <w:rPr>
          <w:lang w:eastAsia="en-AU"/>
        </w:rPr>
        <w:t>reduces allocative efficiency and the productivity of the Australian economy.</w:t>
      </w:r>
    </w:p>
    <w:p w14:paraId="3FBE9D57" w14:textId="77777777" w:rsidR="00864B94" w:rsidRDefault="008E7DF8" w:rsidP="006679D9">
      <w:pPr>
        <w:pStyle w:val="ParaNumbering"/>
        <w:rPr>
          <w:lang w:eastAsia="en-AU"/>
        </w:rPr>
      </w:pPr>
      <w:r>
        <w:rPr>
          <w:lang w:eastAsia="en-AU"/>
        </w:rPr>
        <w:t xml:space="preserve">The Tribunal </w:t>
      </w:r>
      <w:r w:rsidR="00A92A03">
        <w:rPr>
          <w:lang w:eastAsia="en-AU"/>
        </w:rPr>
        <w:t>accepts that the asserted “hold</w:t>
      </w:r>
      <w:r w:rsidR="007E4A8D">
        <w:rPr>
          <w:lang w:eastAsia="en-AU"/>
        </w:rPr>
        <w:t>-</w:t>
      </w:r>
      <w:r w:rsidR="00A92A03">
        <w:rPr>
          <w:lang w:eastAsia="en-AU"/>
        </w:rPr>
        <w:t xml:space="preserve">up” risk of investment will not be present in circumstances where access to the shipping channel service is given on reasonable terms and conditions as a result of declaration. </w:t>
      </w:r>
      <w:r w:rsidR="00DE2F0C">
        <w:rPr>
          <w:lang w:eastAsia="en-AU"/>
        </w:rPr>
        <w:t>Having considered</w:t>
      </w:r>
      <w:r w:rsidR="00A92A03">
        <w:rPr>
          <w:lang w:eastAsia="en-AU"/>
        </w:rPr>
        <w:t xml:space="preserve"> the available evidence concerning the Port, the coal export market and the coal tenements market as set out </w:t>
      </w:r>
      <w:r w:rsidR="00DE2F0C">
        <w:rPr>
          <w:lang w:eastAsia="en-AU"/>
        </w:rPr>
        <w:t>above</w:t>
      </w:r>
      <w:r w:rsidR="00A92A03">
        <w:rPr>
          <w:lang w:eastAsia="en-AU"/>
        </w:rPr>
        <w:t xml:space="preserve">, </w:t>
      </w:r>
      <w:r w:rsidR="00DE2F0C">
        <w:rPr>
          <w:lang w:eastAsia="en-AU"/>
        </w:rPr>
        <w:t>however, t</w:t>
      </w:r>
      <w:r w:rsidR="00A92A03">
        <w:rPr>
          <w:lang w:eastAsia="en-AU"/>
        </w:rPr>
        <w:t>he Tribunal is not persuaded that the “hold</w:t>
      </w:r>
      <w:r w:rsidR="007E4A8D">
        <w:rPr>
          <w:lang w:eastAsia="en-AU"/>
        </w:rPr>
        <w:t>-</w:t>
      </w:r>
      <w:r w:rsidR="00A92A03">
        <w:rPr>
          <w:lang w:eastAsia="en-AU"/>
        </w:rPr>
        <w:t xml:space="preserve">up” risk of investment will </w:t>
      </w:r>
      <w:r w:rsidR="00DE2F0C">
        <w:rPr>
          <w:lang w:eastAsia="en-AU"/>
        </w:rPr>
        <w:t>arise in the absence of declaration.</w:t>
      </w:r>
      <w:r w:rsidR="00864B94">
        <w:rPr>
          <w:lang w:eastAsia="en-AU"/>
        </w:rPr>
        <w:t xml:space="preserve"> That is for </w:t>
      </w:r>
      <w:r w:rsidR="00474843">
        <w:rPr>
          <w:lang w:eastAsia="en-AU"/>
        </w:rPr>
        <w:t>five</w:t>
      </w:r>
      <w:r w:rsidR="00864B94">
        <w:rPr>
          <w:lang w:eastAsia="en-AU"/>
        </w:rPr>
        <w:t xml:space="preserve"> reasons.</w:t>
      </w:r>
    </w:p>
    <w:p w14:paraId="0EA6E5C7" w14:textId="77777777" w:rsidR="00385440" w:rsidRDefault="00385440" w:rsidP="005329CD">
      <w:pPr>
        <w:pStyle w:val="Heading4"/>
        <w:rPr>
          <w:lang w:eastAsia="en-AU"/>
        </w:rPr>
      </w:pPr>
      <w:bookmarkStart w:id="81" w:name="_Ref78900525"/>
      <w:r>
        <w:rPr>
          <w:lang w:eastAsia="en-AU"/>
        </w:rPr>
        <w:lastRenderedPageBreak/>
        <w:t>Absence of financial analysis</w:t>
      </w:r>
      <w:bookmarkEnd w:id="81"/>
    </w:p>
    <w:p w14:paraId="33C9CE99" w14:textId="77777777" w:rsidR="00385440" w:rsidRDefault="00385440" w:rsidP="00864B94">
      <w:pPr>
        <w:pStyle w:val="ParaNumbering"/>
        <w:rPr>
          <w:lang w:eastAsia="en-AU"/>
        </w:rPr>
      </w:pPr>
      <w:r>
        <w:rPr>
          <w:lang w:eastAsia="en-AU"/>
        </w:rPr>
        <w:t xml:space="preserve">First, NSWMC’s </w:t>
      </w:r>
      <w:r w:rsidR="00474843">
        <w:rPr>
          <w:lang w:eastAsia="en-AU"/>
        </w:rPr>
        <w:t xml:space="preserve">hold-up risk contention </w:t>
      </w:r>
      <w:r>
        <w:rPr>
          <w:lang w:eastAsia="en-AU"/>
        </w:rPr>
        <w:t xml:space="preserve">was not supported by any empirical evidence concerning the coal tenements market. NSWMC failed to present to the NCC any financial or quantitative </w:t>
      </w:r>
      <w:r w:rsidRPr="00895918">
        <w:rPr>
          <w:lang w:eastAsia="en-AU"/>
        </w:rPr>
        <w:t xml:space="preserve">evidence </w:t>
      </w:r>
      <w:r>
        <w:rPr>
          <w:lang w:eastAsia="en-AU"/>
        </w:rPr>
        <w:t>concerning</w:t>
      </w:r>
      <w:r w:rsidRPr="00895918">
        <w:rPr>
          <w:lang w:eastAsia="en-AU"/>
        </w:rPr>
        <w:t xml:space="preserve"> the </w:t>
      </w:r>
      <w:r>
        <w:rPr>
          <w:lang w:eastAsia="en-AU"/>
        </w:rPr>
        <w:t xml:space="preserve">coal tenements </w:t>
      </w:r>
      <w:r w:rsidRPr="00895918">
        <w:rPr>
          <w:lang w:eastAsia="en-AU"/>
        </w:rPr>
        <w:t>market conditions, structure</w:t>
      </w:r>
      <w:r>
        <w:rPr>
          <w:lang w:eastAsia="en-AU"/>
        </w:rPr>
        <w:t>,</w:t>
      </w:r>
      <w:r w:rsidRPr="00895918">
        <w:rPr>
          <w:lang w:eastAsia="en-AU"/>
        </w:rPr>
        <w:t xml:space="preserve"> </w:t>
      </w:r>
      <w:r>
        <w:rPr>
          <w:lang w:eastAsia="en-AU"/>
        </w:rPr>
        <w:t xml:space="preserve">prices or </w:t>
      </w:r>
      <w:r w:rsidRPr="00895918">
        <w:rPr>
          <w:lang w:eastAsia="en-AU"/>
        </w:rPr>
        <w:t>expec</w:t>
      </w:r>
      <w:r>
        <w:rPr>
          <w:lang w:eastAsia="en-AU"/>
        </w:rPr>
        <w:t>ted returns. No financial evidence was presented as to</w:t>
      </w:r>
      <w:r w:rsidRPr="00895918">
        <w:rPr>
          <w:lang w:eastAsia="en-AU"/>
        </w:rPr>
        <w:t xml:space="preserve"> how investment decisions are made</w:t>
      </w:r>
      <w:r>
        <w:rPr>
          <w:lang w:eastAsia="en-AU"/>
        </w:rPr>
        <w:t xml:space="preserve"> in the coal tenements market </w:t>
      </w:r>
      <w:r w:rsidRPr="00895918">
        <w:rPr>
          <w:lang w:eastAsia="en-AU"/>
        </w:rPr>
        <w:t xml:space="preserve">and how </w:t>
      </w:r>
      <w:r>
        <w:rPr>
          <w:lang w:eastAsia="en-AU"/>
        </w:rPr>
        <w:t>P</w:t>
      </w:r>
      <w:r w:rsidRPr="00895918">
        <w:rPr>
          <w:lang w:eastAsia="en-AU"/>
        </w:rPr>
        <w:t>ort charges figure in investment decisions.</w:t>
      </w:r>
      <w:r>
        <w:rPr>
          <w:lang w:eastAsia="en-AU"/>
        </w:rPr>
        <w:t xml:space="preserve"> </w:t>
      </w:r>
    </w:p>
    <w:p w14:paraId="60078C1C" w14:textId="77777777" w:rsidR="00864B94" w:rsidRDefault="00864B94" w:rsidP="00864B94">
      <w:pPr>
        <w:pStyle w:val="ParaNumbering"/>
        <w:rPr>
          <w:lang w:eastAsia="en-AU"/>
        </w:rPr>
      </w:pPr>
      <w:r>
        <w:rPr>
          <w:lang w:eastAsia="en-AU"/>
        </w:rPr>
        <w:t xml:space="preserve">The only evidence relied on by NSWMC in support of its hold-up risk contention consists of generalised assertions by various coal producers which were summarised </w:t>
      </w:r>
      <w:r w:rsidR="002E445E">
        <w:rPr>
          <w:lang w:eastAsia="en-AU"/>
        </w:rPr>
        <w:t>in the</w:t>
      </w:r>
      <w:r>
        <w:rPr>
          <w:lang w:eastAsia="en-AU"/>
        </w:rPr>
        <w:t xml:space="preserve"> NCC</w:t>
      </w:r>
      <w:r w:rsidR="002E445E">
        <w:rPr>
          <w:lang w:eastAsia="en-AU"/>
        </w:rPr>
        <w:t xml:space="preserve"> Recommendation</w:t>
      </w:r>
      <w:r>
        <w:rPr>
          <w:lang w:eastAsia="en-AU"/>
        </w:rPr>
        <w:t xml:space="preserve"> as follows:</w:t>
      </w:r>
    </w:p>
    <w:p w14:paraId="1C9707C8" w14:textId="77777777" w:rsidR="00864B94" w:rsidRDefault="00864B94" w:rsidP="00864B94">
      <w:pPr>
        <w:pStyle w:val="ListNo1alt"/>
        <w:numPr>
          <w:ilvl w:val="0"/>
          <w:numId w:val="43"/>
        </w:numPr>
        <w:rPr>
          <w:lang w:eastAsia="en-AU"/>
        </w:rPr>
      </w:pPr>
      <w:proofErr w:type="spellStart"/>
      <w:r>
        <w:rPr>
          <w:lang w:eastAsia="en-AU"/>
        </w:rPr>
        <w:t>Yancoal</w:t>
      </w:r>
      <w:proofErr w:type="spellEnd"/>
      <w:r>
        <w:rPr>
          <w:lang w:eastAsia="en-AU"/>
        </w:rPr>
        <w:t xml:space="preserve"> submitted that PNO’s prices were “inefficiently high” </w:t>
      </w:r>
      <w:r w:rsidRPr="00602436">
        <w:rPr>
          <w:lang w:eastAsia="en-AU"/>
        </w:rPr>
        <w:t>because they include a return on user funded contributions</w:t>
      </w:r>
      <w:r>
        <w:rPr>
          <w:lang w:eastAsia="en-AU"/>
        </w:rPr>
        <w:t xml:space="preserve"> (at [6.17](a)). </w:t>
      </w:r>
      <w:proofErr w:type="spellStart"/>
      <w:r>
        <w:rPr>
          <w:lang w:eastAsia="en-AU"/>
        </w:rPr>
        <w:t>Yancoal</w:t>
      </w:r>
      <w:proofErr w:type="spellEnd"/>
      <w:r>
        <w:rPr>
          <w:lang w:eastAsia="en-AU"/>
        </w:rPr>
        <w:t xml:space="preserve"> acknowledged that PNO’s prices will not cause coal volumes to decrease (at [6.18]), but submitted that the ability to increase prices in the future gives rise to a significant hold-up problem for investment in the coal tenements market (at [6.20]).</w:t>
      </w:r>
    </w:p>
    <w:p w14:paraId="691255ED" w14:textId="77777777" w:rsidR="00864B94" w:rsidRDefault="00864B94" w:rsidP="00864B94">
      <w:pPr>
        <w:pStyle w:val="ListNo1alt"/>
        <w:numPr>
          <w:ilvl w:val="0"/>
          <w:numId w:val="43"/>
        </w:numPr>
        <w:rPr>
          <w:lang w:eastAsia="en-AU"/>
        </w:rPr>
      </w:pPr>
      <w:r w:rsidRPr="00F85F51">
        <w:rPr>
          <w:lang w:eastAsia="en-AU"/>
        </w:rPr>
        <w:t>Malabar Resour</w:t>
      </w:r>
      <w:r>
        <w:rPr>
          <w:lang w:eastAsia="en-AU"/>
        </w:rPr>
        <w:t xml:space="preserve">ces and Bloomfield Group both submitted that PNO should not be entitled to charge a price that includes a return on user funded contribution (at [6.21] and [6.22]. They also submitted that </w:t>
      </w:r>
      <w:r w:rsidR="002E445E">
        <w:rPr>
          <w:lang w:eastAsia="en-AU"/>
        </w:rPr>
        <w:t xml:space="preserve">the </w:t>
      </w:r>
      <w:r w:rsidRPr="007D01A2">
        <w:rPr>
          <w:lang w:eastAsia="en-AU"/>
        </w:rPr>
        <w:t xml:space="preserve">risk of PNO levying higher </w:t>
      </w:r>
      <w:r w:rsidR="00E24A0D">
        <w:rPr>
          <w:lang w:eastAsia="en-AU"/>
        </w:rPr>
        <w:t xml:space="preserve">navigation service </w:t>
      </w:r>
      <w:r w:rsidRPr="007D01A2">
        <w:rPr>
          <w:lang w:eastAsia="en-AU"/>
        </w:rPr>
        <w:t>charges makes the Hunter Valley an increasingly unattractive market for coal mining investment</w:t>
      </w:r>
      <w:r>
        <w:rPr>
          <w:lang w:eastAsia="en-AU"/>
        </w:rPr>
        <w:t xml:space="preserve"> (at [7.106]) and [7.142]).</w:t>
      </w:r>
    </w:p>
    <w:p w14:paraId="7F774FDE" w14:textId="77777777" w:rsidR="00864B94" w:rsidRDefault="00864B94" w:rsidP="00864B94">
      <w:pPr>
        <w:pStyle w:val="ListNo1alt"/>
        <w:numPr>
          <w:ilvl w:val="0"/>
          <w:numId w:val="43"/>
        </w:numPr>
        <w:rPr>
          <w:lang w:eastAsia="en-AU"/>
        </w:rPr>
      </w:pPr>
      <w:r>
        <w:rPr>
          <w:lang w:eastAsia="en-AU"/>
        </w:rPr>
        <w:t xml:space="preserve">Glencore submitted that the </w:t>
      </w:r>
      <w:r w:rsidRPr="007D01A2">
        <w:rPr>
          <w:lang w:eastAsia="en-AU"/>
        </w:rPr>
        <w:t xml:space="preserve">differential between the </w:t>
      </w:r>
      <w:r w:rsidR="00E24A0D">
        <w:rPr>
          <w:lang w:eastAsia="en-AU"/>
        </w:rPr>
        <w:t>navigation service charge</w:t>
      </w:r>
      <w:r w:rsidRPr="007D01A2">
        <w:rPr>
          <w:lang w:eastAsia="en-AU"/>
        </w:rPr>
        <w:t xml:space="preserve"> determined by the ACCC (being $0.61 per </w:t>
      </w:r>
      <w:r>
        <w:rPr>
          <w:lang w:eastAsia="en-AU"/>
        </w:rPr>
        <w:t>gross tonne</w:t>
      </w:r>
      <w:r w:rsidRPr="007D01A2">
        <w:rPr>
          <w:lang w:eastAsia="en-AU"/>
        </w:rPr>
        <w:t>) compared to the curre</w:t>
      </w:r>
      <w:r>
        <w:rPr>
          <w:lang w:eastAsia="en-AU"/>
        </w:rPr>
        <w:t xml:space="preserve">nt </w:t>
      </w:r>
      <w:r w:rsidR="00E24A0D">
        <w:rPr>
          <w:lang w:eastAsia="en-AU"/>
        </w:rPr>
        <w:t>navigation service charge</w:t>
      </w:r>
      <w:r>
        <w:rPr>
          <w:lang w:eastAsia="en-AU"/>
        </w:rPr>
        <w:t xml:space="preserve"> being offered by PNO</w:t>
      </w:r>
      <w:r w:rsidRPr="007D01A2">
        <w:rPr>
          <w:lang w:eastAsia="en-AU"/>
        </w:rPr>
        <w:t xml:space="preserve"> is likely to give rise to a risk of hold-up of investment in development stage coal tenements in the Hunter Valley region </w:t>
      </w:r>
      <w:r>
        <w:rPr>
          <w:lang w:eastAsia="en-AU"/>
        </w:rPr>
        <w:t>(at [7.141]).</w:t>
      </w:r>
    </w:p>
    <w:p w14:paraId="1F3FF1A2" w14:textId="77777777" w:rsidR="00864B94" w:rsidRDefault="00864B94" w:rsidP="00864B94">
      <w:pPr>
        <w:pStyle w:val="ListNo1alt"/>
        <w:numPr>
          <w:ilvl w:val="0"/>
          <w:numId w:val="43"/>
        </w:numPr>
        <w:rPr>
          <w:lang w:eastAsia="en-AU"/>
        </w:rPr>
      </w:pPr>
      <w:r>
        <w:rPr>
          <w:lang w:eastAsia="en-AU"/>
        </w:rPr>
        <w:t>Port Waratah Coal Services submitted</w:t>
      </w:r>
      <w:r w:rsidRPr="00BB0F6E">
        <w:rPr>
          <w:lang w:eastAsia="en-AU"/>
        </w:rPr>
        <w:t xml:space="preserve"> that the inability to forecast </w:t>
      </w:r>
      <w:r>
        <w:rPr>
          <w:lang w:eastAsia="en-AU"/>
        </w:rPr>
        <w:t xml:space="preserve">shipping </w:t>
      </w:r>
      <w:r w:rsidRPr="00BB0F6E">
        <w:rPr>
          <w:lang w:eastAsia="en-AU"/>
        </w:rPr>
        <w:t xml:space="preserve">channel access charges and future returns with any degree of certainty increases the potential for hold-up of new investments or cancellation of proposed investments </w:t>
      </w:r>
      <w:r>
        <w:rPr>
          <w:lang w:eastAsia="en-AU"/>
        </w:rPr>
        <w:t>(at [7.143]).</w:t>
      </w:r>
    </w:p>
    <w:p w14:paraId="7325A299" w14:textId="77777777" w:rsidR="00864B94" w:rsidRDefault="00864B94" w:rsidP="0072732D">
      <w:pPr>
        <w:pStyle w:val="ParaNumbering"/>
        <w:rPr>
          <w:lang w:eastAsia="en-AU"/>
        </w:rPr>
      </w:pPr>
      <w:r>
        <w:rPr>
          <w:lang w:eastAsia="en-AU"/>
        </w:rPr>
        <w:t xml:space="preserve">A central aspect of the complaints made by the coal producers </w:t>
      </w:r>
      <w:r w:rsidR="00385440">
        <w:rPr>
          <w:lang w:eastAsia="en-AU"/>
        </w:rPr>
        <w:t>wa</w:t>
      </w:r>
      <w:r>
        <w:rPr>
          <w:lang w:eastAsia="en-AU"/>
        </w:rPr>
        <w:t xml:space="preserve">s that PNO’s current prices (particularly the </w:t>
      </w:r>
      <w:r w:rsidR="00E24A0D">
        <w:rPr>
          <w:lang w:eastAsia="en-AU"/>
        </w:rPr>
        <w:t>navigation service charge</w:t>
      </w:r>
      <w:r>
        <w:rPr>
          <w:lang w:eastAsia="en-AU"/>
        </w:rPr>
        <w:t>)</w:t>
      </w:r>
      <w:r w:rsidRPr="00602436">
        <w:rPr>
          <w:lang w:eastAsia="en-AU"/>
        </w:rPr>
        <w:t xml:space="preserve"> include a return on </w:t>
      </w:r>
      <w:r>
        <w:rPr>
          <w:lang w:eastAsia="en-AU"/>
        </w:rPr>
        <w:t xml:space="preserve">historic </w:t>
      </w:r>
      <w:r w:rsidRPr="00602436">
        <w:rPr>
          <w:lang w:eastAsia="en-AU"/>
        </w:rPr>
        <w:t>user funded contributions</w:t>
      </w:r>
      <w:r w:rsidR="0072732D">
        <w:rPr>
          <w:lang w:eastAsia="en-AU"/>
        </w:rPr>
        <w:t>, which coal producers consider is unjustified and involves a transfer of economic surplus in favour of PNO</w:t>
      </w:r>
      <w:r>
        <w:rPr>
          <w:lang w:eastAsia="en-AU"/>
        </w:rPr>
        <w:t xml:space="preserve">. </w:t>
      </w:r>
      <w:r w:rsidR="0072732D">
        <w:rPr>
          <w:lang w:eastAsia="en-AU"/>
        </w:rPr>
        <w:t>The Tribunal infers that</w:t>
      </w:r>
      <w:r>
        <w:rPr>
          <w:lang w:eastAsia="en-AU"/>
        </w:rPr>
        <w:t xml:space="preserve"> coal producers wish to prevent such</w:t>
      </w:r>
      <w:r w:rsidR="0072732D">
        <w:rPr>
          <w:lang w:eastAsia="en-AU"/>
        </w:rPr>
        <w:t xml:space="preserve"> a</w:t>
      </w:r>
      <w:r>
        <w:rPr>
          <w:lang w:eastAsia="en-AU"/>
        </w:rPr>
        <w:t xml:space="preserve"> transfer </w:t>
      </w:r>
      <w:r w:rsidR="0072732D">
        <w:rPr>
          <w:lang w:eastAsia="en-AU"/>
        </w:rPr>
        <w:t xml:space="preserve">and perceive that </w:t>
      </w:r>
      <w:r>
        <w:rPr>
          <w:lang w:eastAsia="en-AU"/>
        </w:rPr>
        <w:t xml:space="preserve">declaration </w:t>
      </w:r>
      <w:r w:rsidR="0072732D">
        <w:rPr>
          <w:lang w:eastAsia="en-AU"/>
        </w:rPr>
        <w:t xml:space="preserve">of the shipping channel service </w:t>
      </w:r>
      <w:r>
        <w:rPr>
          <w:lang w:eastAsia="en-AU"/>
        </w:rPr>
        <w:t>under Part IIIA</w:t>
      </w:r>
      <w:r w:rsidR="0072732D">
        <w:rPr>
          <w:lang w:eastAsia="en-AU"/>
        </w:rPr>
        <w:t xml:space="preserve"> is a means </w:t>
      </w:r>
      <w:r w:rsidR="0072732D">
        <w:rPr>
          <w:lang w:eastAsia="en-AU"/>
        </w:rPr>
        <w:lastRenderedPageBreak/>
        <w:t>to that end</w:t>
      </w:r>
      <w:r>
        <w:rPr>
          <w:lang w:eastAsia="en-AU"/>
        </w:rPr>
        <w:t>. However, a transfer of economic rents between participants in a supply chain does not necessarily involve any allocative efficiency effects in dependent markets, and does not necessarily involve negative impacts on co</w:t>
      </w:r>
      <w:r w:rsidR="002847C7">
        <w:rPr>
          <w:lang w:eastAsia="en-AU"/>
        </w:rPr>
        <w:t>mpetition in dependent markets.</w:t>
      </w:r>
      <w:r w:rsidR="0072732D">
        <w:rPr>
          <w:lang w:eastAsia="en-AU"/>
        </w:rPr>
        <w:t xml:space="preserve"> For the reasons discussed above, </w:t>
      </w:r>
      <w:r w:rsidR="0072732D" w:rsidRPr="0072732D">
        <w:rPr>
          <w:lang w:eastAsia="en-AU"/>
        </w:rPr>
        <w:t>the inclusion or exclusion of a return on the value of historic user funded contributions is largely irrelevant to the assessment of criterion (a).</w:t>
      </w:r>
    </w:p>
    <w:p w14:paraId="05DBC41E" w14:textId="4ED06273" w:rsidR="00864B94" w:rsidRDefault="00864B94" w:rsidP="00864B94">
      <w:pPr>
        <w:pStyle w:val="ParaNumbering"/>
        <w:rPr>
          <w:lang w:eastAsia="en-AU"/>
        </w:rPr>
      </w:pPr>
      <w:r>
        <w:rPr>
          <w:lang w:eastAsia="en-AU"/>
        </w:rPr>
        <w:t>Absent from the evidence presented to the NCC by NSWMC and the coal companies referred to above is any financial analysis of the impact of the rate</w:t>
      </w:r>
      <w:r w:rsidR="00146DEA">
        <w:rPr>
          <w:lang w:eastAsia="en-AU"/>
        </w:rPr>
        <w:t>s</w:t>
      </w:r>
      <w:r>
        <w:rPr>
          <w:lang w:eastAsia="en-AU"/>
        </w:rPr>
        <w:t xml:space="preserve"> of the </w:t>
      </w:r>
      <w:r w:rsidR="00E24A0D">
        <w:rPr>
          <w:lang w:eastAsia="en-AU"/>
        </w:rPr>
        <w:t xml:space="preserve">navigation service </w:t>
      </w:r>
      <w:r>
        <w:rPr>
          <w:lang w:eastAsia="en-AU"/>
        </w:rPr>
        <w:t xml:space="preserve">and </w:t>
      </w:r>
      <w:r w:rsidR="00E24A0D">
        <w:rPr>
          <w:lang w:eastAsia="en-AU"/>
        </w:rPr>
        <w:t>wharfage charge</w:t>
      </w:r>
      <w:r w:rsidR="00146DEA">
        <w:rPr>
          <w:lang w:eastAsia="en-AU"/>
        </w:rPr>
        <w:t>s</w:t>
      </w:r>
      <w:r>
        <w:rPr>
          <w:lang w:eastAsia="en-AU"/>
        </w:rPr>
        <w:t xml:space="preserve"> on returns in the coal mining sector in the Hunter Valley. The Tribunal expects that coal exploration and mining companies regularly undertake detailed financial analysis and forecasting in respect of all significant investments, whether in respect of minerals exploration, mine development or production. The Tribunal also expects that, as the peak industry body for the NSW mineral’s industry, NSWMC would regularly collate financial and economic analysis of that kind to assist in policy development and industry advocacy. Despite that, no such evidence was presented to the NCC. The Tribunal considers that generalised assertions are no substitute for proper financial and economic analysis. For that reason, the Tribunal places little weight on the assertions made.</w:t>
      </w:r>
    </w:p>
    <w:p w14:paraId="5AFF622D" w14:textId="77777777" w:rsidR="002847C7" w:rsidRDefault="002847C7" w:rsidP="005329CD">
      <w:pPr>
        <w:pStyle w:val="Heading4"/>
        <w:rPr>
          <w:lang w:eastAsia="en-AU"/>
        </w:rPr>
      </w:pPr>
      <w:bookmarkStart w:id="82" w:name="_Ref78900526"/>
      <w:r>
        <w:rPr>
          <w:lang w:eastAsia="en-AU"/>
        </w:rPr>
        <w:t>PNO’s incentives</w:t>
      </w:r>
      <w:bookmarkEnd w:id="82"/>
    </w:p>
    <w:p w14:paraId="126649CB" w14:textId="77777777" w:rsidR="00474843" w:rsidRDefault="002847C7" w:rsidP="00403EC6">
      <w:pPr>
        <w:pStyle w:val="ParaNumbering"/>
        <w:rPr>
          <w:lang w:eastAsia="en-AU"/>
        </w:rPr>
      </w:pPr>
      <w:r>
        <w:rPr>
          <w:lang w:eastAsia="en-AU"/>
        </w:rPr>
        <w:t xml:space="preserve">Second, </w:t>
      </w:r>
      <w:r w:rsidR="00403EC6">
        <w:rPr>
          <w:lang w:eastAsia="en-AU"/>
        </w:rPr>
        <w:t>i</w:t>
      </w:r>
      <w:r w:rsidRPr="008177CA">
        <w:rPr>
          <w:lang w:eastAsia="en-AU"/>
        </w:rPr>
        <w:t>t is not in PNO’s long-term interests for Port users to experience such uncertainty around access charges at the Port if this risks significantly less investment in coal mining activity in the Newcastle catchment</w:t>
      </w:r>
      <w:r>
        <w:rPr>
          <w:lang w:eastAsia="en-AU"/>
        </w:rPr>
        <w:t>.</w:t>
      </w:r>
      <w:r w:rsidR="00403EC6">
        <w:rPr>
          <w:lang w:eastAsia="en-AU"/>
        </w:rPr>
        <w:t xml:space="preserve"> As discussed earlier,</w:t>
      </w:r>
      <w:r w:rsidR="00403EC6" w:rsidRPr="00403EC6">
        <w:rPr>
          <w:lang w:eastAsia="en-AU"/>
        </w:rPr>
        <w:t xml:space="preserve"> PNO’s position within the Hunter Valley coal supply chain, in which the coal export market is effectively competitive and coal producers are price takers, significantly constrains PNO’s pricing behaviour. PNO has an incentive to set prices in a way that has regard to its ability to maximise its expected profits over the term of the lease</w:t>
      </w:r>
      <w:r w:rsidR="00474843">
        <w:rPr>
          <w:lang w:eastAsia="en-AU"/>
        </w:rPr>
        <w:t>, which would require it to take account of the negative effect on future investment of any attempt to extract economic rents through price increases in the short term</w:t>
      </w:r>
      <w:r w:rsidR="00403EC6">
        <w:rPr>
          <w:lang w:eastAsia="en-AU"/>
        </w:rPr>
        <w:t xml:space="preserve">. </w:t>
      </w:r>
    </w:p>
    <w:p w14:paraId="7929A45E" w14:textId="77777777" w:rsidR="002847C7" w:rsidRDefault="00474843" w:rsidP="005329CD">
      <w:pPr>
        <w:pStyle w:val="Heading4"/>
        <w:rPr>
          <w:lang w:eastAsia="en-AU"/>
        </w:rPr>
      </w:pPr>
      <w:bookmarkStart w:id="83" w:name="_Ref78900527"/>
      <w:r>
        <w:rPr>
          <w:lang w:eastAsia="en-AU"/>
        </w:rPr>
        <w:t>PNO’s pricing behaviour and t</w:t>
      </w:r>
      <w:r w:rsidR="002847C7">
        <w:rPr>
          <w:lang w:eastAsia="en-AU"/>
        </w:rPr>
        <w:t>he effect of the Deeds</w:t>
      </w:r>
      <w:bookmarkEnd w:id="83"/>
    </w:p>
    <w:p w14:paraId="4D93B01F" w14:textId="77777777" w:rsidR="00AD12FE" w:rsidRDefault="00474843" w:rsidP="00474843">
      <w:pPr>
        <w:pStyle w:val="ParaNumbering"/>
        <w:rPr>
          <w:lang w:eastAsia="en-AU"/>
        </w:rPr>
      </w:pPr>
      <w:r>
        <w:rPr>
          <w:lang w:eastAsia="en-AU"/>
        </w:rPr>
        <w:t xml:space="preserve">Third, PNO’s pricing behaviour since the revocation of the previous declaration is inconsistent with NSWMC’s principal concern. </w:t>
      </w:r>
    </w:p>
    <w:p w14:paraId="35D86669" w14:textId="77777777" w:rsidR="00AD12FE" w:rsidRDefault="00474843" w:rsidP="00474843">
      <w:pPr>
        <w:pStyle w:val="ParaNumbering"/>
        <w:rPr>
          <w:lang w:eastAsia="en-AU"/>
        </w:rPr>
      </w:pPr>
      <w:r>
        <w:rPr>
          <w:lang w:eastAsia="en-AU"/>
        </w:rPr>
        <w:lastRenderedPageBreak/>
        <w:t>The “</w:t>
      </w:r>
      <w:r w:rsidR="002847C7" w:rsidRPr="008177CA">
        <w:rPr>
          <w:lang w:eastAsia="en-AU"/>
        </w:rPr>
        <w:t>open access</w:t>
      </w:r>
      <w:r>
        <w:rPr>
          <w:lang w:eastAsia="en-AU"/>
        </w:rPr>
        <w:t xml:space="preserve">” rate of the </w:t>
      </w:r>
      <w:r w:rsidR="00E24A0D">
        <w:rPr>
          <w:lang w:eastAsia="en-AU"/>
        </w:rPr>
        <w:t>navigation service charge</w:t>
      </w:r>
      <w:r>
        <w:rPr>
          <w:lang w:eastAsia="en-AU"/>
        </w:rPr>
        <w:t xml:space="preserve"> published by PNO in December 2019 was set at a rate equivalent to that determined as reasonable by the Tribunal (albeit under a decision that was set aside by the Full Federal Court). </w:t>
      </w:r>
    </w:p>
    <w:p w14:paraId="49DD991E" w14:textId="77777777" w:rsidR="00474843" w:rsidRDefault="00474843" w:rsidP="00474843">
      <w:pPr>
        <w:pStyle w:val="ParaNumbering"/>
        <w:rPr>
          <w:lang w:eastAsia="en-AU"/>
        </w:rPr>
      </w:pPr>
      <w:r>
        <w:rPr>
          <w:lang w:eastAsia="en-AU"/>
        </w:rPr>
        <w:t xml:space="preserve">More significantly, PNO also offered access terms under the Pro Forma Pricing Deeds. </w:t>
      </w:r>
      <w:r w:rsidR="00AD12FE">
        <w:rPr>
          <w:lang w:eastAsia="en-AU"/>
        </w:rPr>
        <w:t xml:space="preserve">By those Deeds, </w:t>
      </w:r>
      <w:r w:rsidRPr="00474843">
        <w:rPr>
          <w:lang w:eastAsia="en-AU"/>
        </w:rPr>
        <w:t xml:space="preserve">PNO </w:t>
      </w:r>
      <w:r w:rsidR="00AD12FE">
        <w:rPr>
          <w:lang w:eastAsia="en-AU"/>
        </w:rPr>
        <w:t>agrees to bind</w:t>
      </w:r>
      <w:r w:rsidRPr="00474843">
        <w:rPr>
          <w:lang w:eastAsia="en-AU"/>
        </w:rPr>
        <w:t xml:space="preserve"> itself</w:t>
      </w:r>
      <w:r w:rsidR="0020298E">
        <w:rPr>
          <w:lang w:eastAsia="en-AU"/>
        </w:rPr>
        <w:t>, and has bound itself,</w:t>
      </w:r>
      <w:r w:rsidRPr="00474843">
        <w:rPr>
          <w:lang w:eastAsia="en-AU"/>
        </w:rPr>
        <w:t xml:space="preserve"> for a period of 10 years to a starting rate of </w:t>
      </w:r>
      <w:r w:rsidR="00E24A0D">
        <w:rPr>
          <w:lang w:eastAsia="en-AU"/>
        </w:rPr>
        <w:t>navigation service charge</w:t>
      </w:r>
      <w:r w:rsidRPr="00474843">
        <w:rPr>
          <w:lang w:eastAsia="en-AU"/>
        </w:rPr>
        <w:t xml:space="preserve"> which is the mid-point of the rates determined by the ACCC and the Tribunal</w:t>
      </w:r>
      <w:r w:rsidR="0020298E">
        <w:rPr>
          <w:lang w:eastAsia="en-AU"/>
        </w:rPr>
        <w:t>. The Deeds provide for an</w:t>
      </w:r>
      <w:r w:rsidRPr="00474843">
        <w:rPr>
          <w:lang w:eastAsia="en-AU"/>
        </w:rPr>
        <w:t xml:space="preserve"> annual increase</w:t>
      </w:r>
      <w:r w:rsidR="0020298E">
        <w:rPr>
          <w:lang w:eastAsia="en-AU"/>
        </w:rPr>
        <w:t xml:space="preserve"> in the </w:t>
      </w:r>
      <w:r w:rsidR="00E24A0D">
        <w:rPr>
          <w:lang w:eastAsia="en-AU"/>
        </w:rPr>
        <w:t>navigation service charge</w:t>
      </w:r>
      <w:r w:rsidRPr="00474843">
        <w:rPr>
          <w:lang w:eastAsia="en-AU"/>
        </w:rPr>
        <w:t xml:space="preserve"> and other adjustments to be made pursuant to arbitration to be conducted pursuant to pricing principles which are similar to those that would be applied in an arbitration under Division 3 of Part IIIA</w:t>
      </w:r>
      <w:r w:rsidR="00AD12FE">
        <w:rPr>
          <w:lang w:eastAsia="en-AU"/>
        </w:rPr>
        <w:t xml:space="preserve">. </w:t>
      </w:r>
      <w:r w:rsidR="00AD12FE" w:rsidRPr="00352383">
        <w:rPr>
          <w:lang w:eastAsia="en-AU"/>
        </w:rPr>
        <w:t>PNO has entered into</w:t>
      </w:r>
      <w:r w:rsidR="00AD12FE">
        <w:rPr>
          <w:lang w:eastAsia="en-AU"/>
        </w:rPr>
        <w:t xml:space="preserve"> Vessel Agent Pricing Deed</w:t>
      </w:r>
      <w:r w:rsidR="00AD12FE" w:rsidRPr="00352383">
        <w:rPr>
          <w:lang w:eastAsia="en-AU"/>
        </w:rPr>
        <w:t xml:space="preserve">s </w:t>
      </w:r>
      <w:r w:rsidR="00AD12FE">
        <w:rPr>
          <w:lang w:eastAsia="en-AU"/>
        </w:rPr>
        <w:t>in respect of</w:t>
      </w:r>
      <w:r w:rsidR="00AD12FE" w:rsidRPr="00352383">
        <w:rPr>
          <w:lang w:eastAsia="en-AU"/>
        </w:rPr>
        <w:t xml:space="preserve"> all of the coal vessels calling at the Port</w:t>
      </w:r>
      <w:r w:rsidR="0020298E">
        <w:rPr>
          <w:lang w:eastAsia="en-AU"/>
        </w:rPr>
        <w:t>.</w:t>
      </w:r>
    </w:p>
    <w:p w14:paraId="5547FEF8" w14:textId="77777777" w:rsidR="002847C7" w:rsidRDefault="002847C7" w:rsidP="00AD12FE">
      <w:pPr>
        <w:pStyle w:val="ParaNumbering"/>
        <w:rPr>
          <w:lang w:eastAsia="en-AU"/>
        </w:rPr>
      </w:pPr>
      <w:r w:rsidRPr="008177CA">
        <w:rPr>
          <w:lang w:eastAsia="en-AU"/>
        </w:rPr>
        <w:t xml:space="preserve">Both the open access arrangements </w:t>
      </w:r>
      <w:r>
        <w:rPr>
          <w:lang w:eastAsia="en-AU"/>
        </w:rPr>
        <w:t xml:space="preserve">and the </w:t>
      </w:r>
      <w:r w:rsidR="00AD12FE">
        <w:rPr>
          <w:lang w:eastAsia="en-AU"/>
        </w:rPr>
        <w:t>Pro Forma Pricing D</w:t>
      </w:r>
      <w:r>
        <w:rPr>
          <w:lang w:eastAsia="en-AU"/>
        </w:rPr>
        <w:t>eed</w:t>
      </w:r>
      <w:r w:rsidR="00AD12FE">
        <w:rPr>
          <w:lang w:eastAsia="en-AU"/>
        </w:rPr>
        <w:t>s</w:t>
      </w:r>
      <w:r>
        <w:rPr>
          <w:lang w:eastAsia="en-AU"/>
        </w:rPr>
        <w:t xml:space="preserve"> </w:t>
      </w:r>
      <w:r w:rsidRPr="008177CA">
        <w:rPr>
          <w:lang w:eastAsia="en-AU"/>
        </w:rPr>
        <w:t xml:space="preserve">make provision for dispute resolution. </w:t>
      </w:r>
      <w:r w:rsidR="00AD12FE">
        <w:rPr>
          <w:lang w:eastAsia="en-AU"/>
        </w:rPr>
        <w:t>Tho</w:t>
      </w:r>
      <w:r>
        <w:rPr>
          <w:lang w:eastAsia="en-AU"/>
        </w:rPr>
        <w:t>se arrangements</w:t>
      </w:r>
      <w:r w:rsidRPr="008177CA">
        <w:rPr>
          <w:lang w:eastAsia="en-AU"/>
        </w:rPr>
        <w:t xml:space="preserve"> assist coal producers in mitigating the risks that may otherwise arise from pricing and other uncertainties at the Port</w:t>
      </w:r>
      <w:r>
        <w:rPr>
          <w:lang w:eastAsia="en-AU"/>
        </w:rPr>
        <w:t>.</w:t>
      </w:r>
    </w:p>
    <w:p w14:paraId="460D5F96" w14:textId="77777777" w:rsidR="002847C7" w:rsidRDefault="002847C7" w:rsidP="005329CD">
      <w:pPr>
        <w:pStyle w:val="Heading4"/>
        <w:rPr>
          <w:lang w:eastAsia="en-AU"/>
        </w:rPr>
      </w:pPr>
      <w:bookmarkStart w:id="84" w:name="_Ref78900528"/>
      <w:r>
        <w:rPr>
          <w:lang w:eastAsia="en-AU"/>
        </w:rPr>
        <w:t>Investment risks in the coal tenements market</w:t>
      </w:r>
      <w:bookmarkEnd w:id="84"/>
    </w:p>
    <w:p w14:paraId="0A18E220" w14:textId="77777777" w:rsidR="002847C7" w:rsidRPr="002847C7" w:rsidRDefault="00AD12FE" w:rsidP="002847C7">
      <w:pPr>
        <w:pStyle w:val="ParaNumbering"/>
        <w:rPr>
          <w:lang w:eastAsia="en-AU"/>
        </w:rPr>
      </w:pPr>
      <w:r>
        <w:rPr>
          <w:lang w:eastAsia="en-AU"/>
        </w:rPr>
        <w:t xml:space="preserve">Fourth, the </w:t>
      </w:r>
      <w:r w:rsidR="00E24A0D">
        <w:rPr>
          <w:lang w:eastAsia="en-AU"/>
        </w:rPr>
        <w:t>navigation service charge</w:t>
      </w:r>
      <w:r>
        <w:rPr>
          <w:lang w:eastAsia="en-AU"/>
        </w:rPr>
        <w:t xml:space="preserve"> </w:t>
      </w:r>
      <w:r w:rsidRPr="006F75D3">
        <w:rPr>
          <w:lang w:eastAsia="en-AU"/>
        </w:rPr>
        <w:t xml:space="preserve">represents only a </w:t>
      </w:r>
      <w:r w:rsidR="0020298E">
        <w:rPr>
          <w:lang w:eastAsia="en-AU"/>
        </w:rPr>
        <w:t>small</w:t>
      </w:r>
      <w:r>
        <w:rPr>
          <w:lang w:eastAsia="en-AU"/>
        </w:rPr>
        <w:t xml:space="preserve"> proportion</w:t>
      </w:r>
      <w:r w:rsidRPr="006F75D3">
        <w:rPr>
          <w:lang w:eastAsia="en-AU"/>
        </w:rPr>
        <w:t xml:space="preserve"> of the overall cost of the production and sale of coal for export from the Hunter Valley</w:t>
      </w:r>
      <w:r w:rsidR="00FE79CA">
        <w:rPr>
          <w:lang w:eastAsia="en-AU"/>
        </w:rPr>
        <w:t>. T</w:t>
      </w:r>
      <w:r w:rsidR="002847C7" w:rsidRPr="008177CA">
        <w:rPr>
          <w:lang w:eastAsia="en-AU"/>
        </w:rPr>
        <w:t xml:space="preserve">he risks associated with uncertainty over access charges for the </w:t>
      </w:r>
      <w:r w:rsidR="002847C7">
        <w:rPr>
          <w:lang w:eastAsia="en-AU"/>
        </w:rPr>
        <w:t>shipping channel s</w:t>
      </w:r>
      <w:r w:rsidR="002847C7" w:rsidRPr="008177CA">
        <w:rPr>
          <w:lang w:eastAsia="en-AU"/>
        </w:rPr>
        <w:t>ervice would not contribute significantly to an investor’s expected valuation of future mining projects in the Newcastle catchment</w:t>
      </w:r>
      <w:r w:rsidR="002847C7">
        <w:rPr>
          <w:lang w:eastAsia="en-AU"/>
        </w:rPr>
        <w:t>.</w:t>
      </w:r>
    </w:p>
    <w:p w14:paraId="77A796ED" w14:textId="77777777" w:rsidR="00864B94" w:rsidRDefault="00864B94" w:rsidP="00864B94">
      <w:pPr>
        <w:pStyle w:val="ParaNumbering"/>
        <w:rPr>
          <w:lang w:eastAsia="en-AU"/>
        </w:rPr>
      </w:pPr>
      <w:r>
        <w:rPr>
          <w:lang w:eastAsia="en-AU"/>
        </w:rPr>
        <w:t xml:space="preserve">The NCC Recommendation included </w:t>
      </w:r>
      <w:r w:rsidRPr="006F75D3">
        <w:rPr>
          <w:lang w:eastAsia="en-AU"/>
        </w:rPr>
        <w:t xml:space="preserve">publicly available information about the </w:t>
      </w:r>
      <w:r>
        <w:rPr>
          <w:lang w:eastAsia="en-AU"/>
        </w:rPr>
        <w:t xml:space="preserve">average </w:t>
      </w:r>
      <w:r w:rsidRPr="006F75D3">
        <w:rPr>
          <w:lang w:eastAsia="en-AU"/>
        </w:rPr>
        <w:t>production cost</w:t>
      </w:r>
      <w:r>
        <w:rPr>
          <w:lang w:eastAsia="en-AU"/>
        </w:rPr>
        <w:t>s</w:t>
      </w:r>
      <w:r w:rsidRPr="006F75D3">
        <w:rPr>
          <w:lang w:eastAsia="en-AU"/>
        </w:rPr>
        <w:t xml:space="preserve"> </w:t>
      </w:r>
      <w:r>
        <w:rPr>
          <w:lang w:eastAsia="en-AU"/>
        </w:rPr>
        <w:t xml:space="preserve">per tonne </w:t>
      </w:r>
      <w:r w:rsidRPr="006F75D3">
        <w:rPr>
          <w:lang w:eastAsia="en-AU"/>
        </w:rPr>
        <w:t>disclosed by Hunter Valley coal producers</w:t>
      </w:r>
      <w:r>
        <w:rPr>
          <w:lang w:eastAsia="en-AU"/>
        </w:rPr>
        <w:t xml:space="preserve"> in the 2019 reporting period, which were as follows ([7.120]):</w:t>
      </w:r>
    </w:p>
    <w:tbl>
      <w:tblPr>
        <w:tblStyle w:val="TableGrid"/>
        <w:tblW w:w="0" w:type="auto"/>
        <w:tblLook w:val="04A0" w:firstRow="1" w:lastRow="0" w:firstColumn="1" w:lastColumn="0" w:noHBand="0" w:noVBand="1"/>
      </w:tblPr>
      <w:tblGrid>
        <w:gridCol w:w="1803"/>
        <w:gridCol w:w="1803"/>
        <w:gridCol w:w="1803"/>
        <w:gridCol w:w="1804"/>
        <w:gridCol w:w="1804"/>
      </w:tblGrid>
      <w:tr w:rsidR="00864B94" w14:paraId="62AB7EE0" w14:textId="77777777" w:rsidTr="002E0009">
        <w:tc>
          <w:tcPr>
            <w:tcW w:w="1803" w:type="dxa"/>
            <w:vAlign w:val="center"/>
          </w:tcPr>
          <w:p w14:paraId="7355EFDD" w14:textId="77777777" w:rsidR="00864B94" w:rsidRDefault="00864B94" w:rsidP="00E33FEA">
            <w:pPr>
              <w:pStyle w:val="BodyText"/>
              <w:rPr>
                <w:lang w:eastAsia="en-AU"/>
              </w:rPr>
            </w:pPr>
            <w:r>
              <w:rPr>
                <w:lang w:eastAsia="en-AU"/>
              </w:rPr>
              <w:t>Glencore</w:t>
            </w:r>
          </w:p>
        </w:tc>
        <w:tc>
          <w:tcPr>
            <w:tcW w:w="1803" w:type="dxa"/>
            <w:vAlign w:val="center"/>
          </w:tcPr>
          <w:p w14:paraId="42DFF589" w14:textId="77777777" w:rsidR="00864B94" w:rsidRDefault="00864B94" w:rsidP="00E33FEA">
            <w:pPr>
              <w:pStyle w:val="BodyText"/>
              <w:rPr>
                <w:lang w:eastAsia="en-AU"/>
              </w:rPr>
            </w:pPr>
            <w:r>
              <w:rPr>
                <w:lang w:eastAsia="en-AU"/>
              </w:rPr>
              <w:t>BHP</w:t>
            </w:r>
          </w:p>
        </w:tc>
        <w:tc>
          <w:tcPr>
            <w:tcW w:w="1803" w:type="dxa"/>
            <w:vAlign w:val="center"/>
          </w:tcPr>
          <w:p w14:paraId="24DB532D" w14:textId="77777777" w:rsidR="00864B94" w:rsidRDefault="00864B94" w:rsidP="00E33FEA">
            <w:pPr>
              <w:pStyle w:val="BodyText"/>
              <w:rPr>
                <w:lang w:eastAsia="en-AU"/>
              </w:rPr>
            </w:pPr>
            <w:r>
              <w:rPr>
                <w:lang w:eastAsia="en-AU"/>
              </w:rPr>
              <w:t>Peabody Energy</w:t>
            </w:r>
          </w:p>
        </w:tc>
        <w:tc>
          <w:tcPr>
            <w:tcW w:w="1804" w:type="dxa"/>
            <w:vAlign w:val="center"/>
          </w:tcPr>
          <w:p w14:paraId="0D12A6FD" w14:textId="77777777" w:rsidR="00864B94" w:rsidRDefault="00864B94" w:rsidP="00E33FEA">
            <w:pPr>
              <w:pStyle w:val="BodyText"/>
              <w:rPr>
                <w:lang w:eastAsia="en-AU"/>
              </w:rPr>
            </w:pPr>
            <w:r>
              <w:rPr>
                <w:lang w:eastAsia="en-AU"/>
              </w:rPr>
              <w:t>Whitehaven Coal</w:t>
            </w:r>
          </w:p>
        </w:tc>
        <w:tc>
          <w:tcPr>
            <w:tcW w:w="1804" w:type="dxa"/>
            <w:vAlign w:val="center"/>
          </w:tcPr>
          <w:p w14:paraId="1F9CEFE2" w14:textId="77777777" w:rsidR="00864B94" w:rsidRDefault="00864B94" w:rsidP="00E33FEA">
            <w:pPr>
              <w:pStyle w:val="BodyText"/>
              <w:rPr>
                <w:lang w:eastAsia="en-AU"/>
              </w:rPr>
            </w:pPr>
            <w:proofErr w:type="spellStart"/>
            <w:r>
              <w:rPr>
                <w:lang w:eastAsia="en-AU"/>
              </w:rPr>
              <w:t>Yancoal</w:t>
            </w:r>
            <w:proofErr w:type="spellEnd"/>
          </w:p>
        </w:tc>
      </w:tr>
      <w:tr w:rsidR="00864B94" w14:paraId="70E5FAF3" w14:textId="77777777" w:rsidTr="002E0009">
        <w:tc>
          <w:tcPr>
            <w:tcW w:w="1803" w:type="dxa"/>
            <w:vAlign w:val="center"/>
          </w:tcPr>
          <w:p w14:paraId="682F460B" w14:textId="77777777" w:rsidR="00864B94" w:rsidRDefault="00864B94" w:rsidP="00E33FEA">
            <w:pPr>
              <w:pStyle w:val="BodyText"/>
              <w:rPr>
                <w:lang w:eastAsia="en-AU"/>
              </w:rPr>
            </w:pPr>
            <w:r>
              <w:rPr>
                <w:lang w:eastAsia="en-AU"/>
              </w:rPr>
              <w:t>$47.00</w:t>
            </w:r>
          </w:p>
        </w:tc>
        <w:tc>
          <w:tcPr>
            <w:tcW w:w="1803" w:type="dxa"/>
            <w:vAlign w:val="center"/>
          </w:tcPr>
          <w:p w14:paraId="789EF8B2" w14:textId="77777777" w:rsidR="00864B94" w:rsidRDefault="00864B94" w:rsidP="00E33FEA">
            <w:pPr>
              <w:pStyle w:val="BodyText"/>
              <w:rPr>
                <w:lang w:eastAsia="en-AU"/>
              </w:rPr>
            </w:pPr>
            <w:r>
              <w:rPr>
                <w:lang w:eastAsia="en-AU"/>
              </w:rPr>
              <w:t>$69.94</w:t>
            </w:r>
          </w:p>
        </w:tc>
        <w:tc>
          <w:tcPr>
            <w:tcW w:w="1803" w:type="dxa"/>
            <w:vAlign w:val="center"/>
          </w:tcPr>
          <w:p w14:paraId="05B7C9AA" w14:textId="77777777" w:rsidR="00864B94" w:rsidRDefault="00864B94" w:rsidP="00E33FEA">
            <w:pPr>
              <w:pStyle w:val="BodyText"/>
              <w:rPr>
                <w:lang w:eastAsia="en-AU"/>
              </w:rPr>
            </w:pPr>
            <w:r>
              <w:rPr>
                <w:lang w:eastAsia="en-AU"/>
              </w:rPr>
              <w:t>$47.17</w:t>
            </w:r>
          </w:p>
        </w:tc>
        <w:tc>
          <w:tcPr>
            <w:tcW w:w="1804" w:type="dxa"/>
            <w:vAlign w:val="center"/>
          </w:tcPr>
          <w:p w14:paraId="76C0421E" w14:textId="77777777" w:rsidR="00864B94" w:rsidRDefault="00864B94" w:rsidP="00E33FEA">
            <w:pPr>
              <w:pStyle w:val="BodyText"/>
              <w:rPr>
                <w:lang w:eastAsia="en-AU"/>
              </w:rPr>
            </w:pPr>
            <w:r>
              <w:rPr>
                <w:lang w:eastAsia="en-AU"/>
              </w:rPr>
              <w:t>$67.00</w:t>
            </w:r>
          </w:p>
        </w:tc>
        <w:tc>
          <w:tcPr>
            <w:tcW w:w="1804" w:type="dxa"/>
            <w:vAlign w:val="center"/>
          </w:tcPr>
          <w:p w14:paraId="48B55E0D" w14:textId="77777777" w:rsidR="00864B94" w:rsidRDefault="00864B94" w:rsidP="00E33FEA">
            <w:pPr>
              <w:pStyle w:val="BodyText"/>
              <w:rPr>
                <w:lang w:eastAsia="en-AU"/>
              </w:rPr>
            </w:pPr>
            <w:r>
              <w:rPr>
                <w:lang w:eastAsia="en-AU"/>
              </w:rPr>
              <w:t>$61.00</w:t>
            </w:r>
          </w:p>
        </w:tc>
      </w:tr>
    </w:tbl>
    <w:p w14:paraId="41D94180" w14:textId="61CE1A94" w:rsidR="00864B94" w:rsidRDefault="00864B94" w:rsidP="00864B94">
      <w:pPr>
        <w:pStyle w:val="ParaNumbering"/>
        <w:spacing w:before="360"/>
        <w:rPr>
          <w:lang w:eastAsia="en-AU"/>
        </w:rPr>
      </w:pPr>
      <w:r>
        <w:rPr>
          <w:lang w:eastAsia="en-AU"/>
        </w:rPr>
        <w:t xml:space="preserve">As observed by the NCC, the </w:t>
      </w:r>
      <w:r w:rsidR="00E24A0D">
        <w:rPr>
          <w:lang w:eastAsia="en-AU"/>
        </w:rPr>
        <w:t>navigation service charge</w:t>
      </w:r>
      <w:r>
        <w:rPr>
          <w:lang w:eastAsia="en-AU"/>
        </w:rPr>
        <w:t xml:space="preserve"> </w:t>
      </w:r>
      <w:r w:rsidRPr="006F75D3">
        <w:rPr>
          <w:lang w:eastAsia="en-AU"/>
        </w:rPr>
        <w:t>represents only a small component of the overall cost of the production and sale of coal for export from the Hunter Valley</w:t>
      </w:r>
      <w:r>
        <w:rPr>
          <w:lang w:eastAsia="en-AU"/>
        </w:rPr>
        <w:t xml:space="preserve"> (at [7.118]). The NCC also observed (at [7.126]) that coal producers face commercial uncertainty from a range of factors including coal (export) prices, labour costs and taxes. The NCC concluded that </w:t>
      </w:r>
      <w:r>
        <w:rPr>
          <w:lang w:eastAsia="en-AU"/>
        </w:rPr>
        <w:lastRenderedPageBreak/>
        <w:t xml:space="preserve">the investment uncertainty that arises from those factors is far more significant to investment decisions than any uncertainty over charges for the shipping channel service (given its relative proportion of production costs </w:t>
      </w:r>
      <w:r w:rsidR="00C47166">
        <w:rPr>
          <w:lang w:eastAsia="en-AU"/>
        </w:rPr>
        <w:t xml:space="preserve">or </w:t>
      </w:r>
      <w:r>
        <w:rPr>
          <w:lang w:eastAsia="en-AU"/>
        </w:rPr>
        <w:t xml:space="preserve">sale prices), and that uncertainty associated with the charges for the shipping channel service </w:t>
      </w:r>
      <w:r w:rsidRPr="00A6646C">
        <w:rPr>
          <w:lang w:eastAsia="en-AU"/>
        </w:rPr>
        <w:t>would not contribute significantly to an investor’s expected valuation of future mining projects in the Newcastle catchment.</w:t>
      </w:r>
    </w:p>
    <w:p w14:paraId="46B2A3D7" w14:textId="77777777" w:rsidR="00864B94" w:rsidRDefault="00864B94" w:rsidP="00864B94">
      <w:pPr>
        <w:pStyle w:val="ParaNumbering"/>
        <w:rPr>
          <w:lang w:eastAsia="en-AU"/>
        </w:rPr>
      </w:pPr>
      <w:r>
        <w:rPr>
          <w:lang w:eastAsia="en-AU"/>
        </w:rPr>
        <w:t xml:space="preserve">It would have been helpful if the NCC Recommendation had contained further information and data concerning fluctuations in relevant costs, prices and taxes over time, correlated with investments in the coal tenements market in the Hunter Valley. However, the NSWMC did not provide financial data to the NCC to support its assertions with respect to investment uncertainty and the Tribunal has no reason to doubt the NCC’s conclusions with respect to the relative insignificance of the </w:t>
      </w:r>
      <w:r w:rsidR="00E24A0D">
        <w:rPr>
          <w:lang w:eastAsia="en-AU"/>
        </w:rPr>
        <w:t>navigation service charge</w:t>
      </w:r>
      <w:r>
        <w:rPr>
          <w:lang w:eastAsia="en-AU"/>
        </w:rPr>
        <w:t xml:space="preserve"> on investment decisions in the coal tenements market. </w:t>
      </w:r>
    </w:p>
    <w:p w14:paraId="4E444EDD" w14:textId="352D9023" w:rsidR="00864B94" w:rsidRDefault="00864B94" w:rsidP="009671F0">
      <w:pPr>
        <w:pStyle w:val="ParaNumbering"/>
        <w:rPr>
          <w:lang w:eastAsia="en-AU"/>
        </w:rPr>
      </w:pPr>
      <w:r>
        <w:rPr>
          <w:lang w:eastAsia="en-AU"/>
        </w:rPr>
        <w:t xml:space="preserve">The Tribunal does not accept, in absolute terms, PNO’s submission that the fact that the </w:t>
      </w:r>
      <w:r w:rsidR="00E24A0D">
        <w:rPr>
          <w:lang w:eastAsia="en-AU"/>
        </w:rPr>
        <w:t>navigation service charge</w:t>
      </w:r>
      <w:r>
        <w:rPr>
          <w:lang w:eastAsia="en-AU"/>
        </w:rPr>
        <w:t xml:space="preserve"> is only a small proportion of the overall cost of production and sale of coal means that the </w:t>
      </w:r>
      <w:r w:rsidR="00E24A0D">
        <w:rPr>
          <w:lang w:eastAsia="en-AU"/>
        </w:rPr>
        <w:t>charge</w:t>
      </w:r>
      <w:r>
        <w:rPr>
          <w:lang w:eastAsia="en-AU"/>
        </w:rPr>
        <w:t xml:space="preserve"> could never impact negatively on investment decisions in the coal tenements market. The Tribunal agrees with the view expressed by the NCC (at [7.121]) that </w:t>
      </w:r>
      <w:r w:rsidRPr="00A11D11">
        <w:rPr>
          <w:lang w:eastAsia="en-AU"/>
        </w:rPr>
        <w:t>a range of financial data will inform a decision to invest</w:t>
      </w:r>
      <w:r>
        <w:rPr>
          <w:lang w:eastAsia="en-AU"/>
        </w:rPr>
        <w:t xml:space="preserve"> in the coal tenements market and </w:t>
      </w:r>
      <w:r w:rsidRPr="00A11D11">
        <w:rPr>
          <w:lang w:eastAsia="en-AU"/>
        </w:rPr>
        <w:t>that expectations of cost are a material consideration that inform expectations of profitability</w:t>
      </w:r>
      <w:r>
        <w:rPr>
          <w:lang w:eastAsia="en-AU"/>
        </w:rPr>
        <w:t xml:space="preserve">. </w:t>
      </w:r>
      <w:r w:rsidR="002E0009">
        <w:rPr>
          <w:lang w:eastAsia="en-AU"/>
        </w:rPr>
        <w:t xml:space="preserve">Nevertheless, </w:t>
      </w:r>
      <w:r w:rsidR="00AD12FE">
        <w:rPr>
          <w:lang w:eastAsia="en-AU"/>
        </w:rPr>
        <w:t xml:space="preserve">the relative </w:t>
      </w:r>
      <w:r w:rsidR="002E0009">
        <w:rPr>
          <w:lang w:eastAsia="en-AU"/>
        </w:rPr>
        <w:t xml:space="preserve">size of the </w:t>
      </w:r>
      <w:r w:rsidR="00E24A0D">
        <w:rPr>
          <w:lang w:eastAsia="en-AU"/>
        </w:rPr>
        <w:t>navigation service charge</w:t>
      </w:r>
      <w:r w:rsidR="002E0009">
        <w:rPr>
          <w:lang w:eastAsia="en-AU"/>
        </w:rPr>
        <w:t xml:space="preserve"> compared to the overall cost of production and sale of coal is relevant to an assessment of the materiality of the “hold-up” risk, particularly in light of PNO’s pricing behaviour and the effect of the </w:t>
      </w:r>
      <w:r w:rsidR="0020298E">
        <w:rPr>
          <w:lang w:eastAsia="en-AU"/>
        </w:rPr>
        <w:t>Pro</w:t>
      </w:r>
      <w:r w:rsidR="002E0009">
        <w:rPr>
          <w:lang w:eastAsia="en-AU"/>
        </w:rPr>
        <w:t xml:space="preserve"> Forma Pricing Deeds that have been entered</w:t>
      </w:r>
      <w:r w:rsidR="0020298E">
        <w:rPr>
          <w:lang w:eastAsia="en-AU"/>
        </w:rPr>
        <w:t xml:space="preserve"> into</w:t>
      </w:r>
      <w:r w:rsidR="002E0009">
        <w:rPr>
          <w:lang w:eastAsia="en-AU"/>
        </w:rPr>
        <w:t xml:space="preserve">. Taken together, the Tribunal considers that the prospect of PNO increasing the rate of the </w:t>
      </w:r>
      <w:r w:rsidR="00E24A0D">
        <w:rPr>
          <w:lang w:eastAsia="en-AU"/>
        </w:rPr>
        <w:t>navigation service charge</w:t>
      </w:r>
      <w:r w:rsidR="002E0009">
        <w:rPr>
          <w:lang w:eastAsia="en-AU"/>
        </w:rPr>
        <w:t xml:space="preserve"> to an extent that would give rise to a material effect on future investment decisions is remote. </w:t>
      </w:r>
    </w:p>
    <w:p w14:paraId="2D92535F" w14:textId="77777777" w:rsidR="00864B94" w:rsidRPr="00AE180C" w:rsidRDefault="002E0009" w:rsidP="005329CD">
      <w:pPr>
        <w:pStyle w:val="Heading4"/>
      </w:pPr>
      <w:bookmarkStart w:id="85" w:name="_Ref78900529"/>
      <w:r>
        <w:t>The threat of future declaration</w:t>
      </w:r>
      <w:bookmarkEnd w:id="85"/>
    </w:p>
    <w:p w14:paraId="61952A3E" w14:textId="77777777" w:rsidR="002E0009" w:rsidRDefault="002E0009" w:rsidP="002E0009">
      <w:pPr>
        <w:pStyle w:val="ParaNumbering"/>
        <w:rPr>
          <w:lang w:eastAsia="en-AU"/>
        </w:rPr>
      </w:pPr>
      <w:r>
        <w:rPr>
          <w:lang w:eastAsia="en-AU"/>
        </w:rPr>
        <w:t xml:space="preserve">Fifth, notwithstanding the Tribunal’s decision in the present proceeding to affirm the Treasurer’s decision not to declare the shipping channel service, PNO will continue to face an ongoing threat of declaration which will be a continuing constraint on PNO’s commercial behaviour. That threat will be most relevant in the third last year of the current Vessel Agent Pricing Deeds, at which time the parties have an opportunity to negotiate an extension of the term of the Deeds. PNO’s proposed terms of access at that time will be able to be assessed by </w:t>
      </w:r>
      <w:r>
        <w:rPr>
          <w:lang w:eastAsia="en-AU"/>
        </w:rPr>
        <w:lastRenderedPageBreak/>
        <w:t>relevant Port users, and the negotiations will occur under the threat of a renewed application for declaration.</w:t>
      </w:r>
    </w:p>
    <w:p w14:paraId="32827859" w14:textId="77777777" w:rsidR="002E0009" w:rsidRDefault="002E0009" w:rsidP="005329CD">
      <w:pPr>
        <w:pStyle w:val="Heading2"/>
        <w:rPr>
          <w:lang w:eastAsia="en-AU"/>
        </w:rPr>
      </w:pPr>
      <w:bookmarkStart w:id="86" w:name="_Ref78900530"/>
      <w:r>
        <w:rPr>
          <w:lang w:eastAsia="en-AU"/>
        </w:rPr>
        <w:t>Conclusion</w:t>
      </w:r>
      <w:r w:rsidR="005329CD">
        <w:rPr>
          <w:lang w:eastAsia="en-AU"/>
        </w:rPr>
        <w:t xml:space="preserve"> on criterion (a)</w:t>
      </w:r>
      <w:bookmarkEnd w:id="86"/>
    </w:p>
    <w:p w14:paraId="524FB06B" w14:textId="107ACB21" w:rsidR="002E12E7" w:rsidRDefault="00022118" w:rsidP="00F86428">
      <w:pPr>
        <w:pStyle w:val="ParaNumbering"/>
        <w:rPr>
          <w:lang w:eastAsia="en-AU"/>
        </w:rPr>
      </w:pPr>
      <w:r>
        <w:rPr>
          <w:lang w:eastAsia="en-AU"/>
        </w:rPr>
        <w:t xml:space="preserve">Having regard to all of those matters, </w:t>
      </w:r>
      <w:r w:rsidR="002E12E7">
        <w:rPr>
          <w:lang w:eastAsia="en-AU"/>
        </w:rPr>
        <w:t xml:space="preserve">the Tribunal is not persuaded that, </w:t>
      </w:r>
      <w:r w:rsidR="00122EBB">
        <w:rPr>
          <w:lang w:eastAsia="en-AU"/>
        </w:rPr>
        <w:t xml:space="preserve">across the medium term, any difference between the rate of the </w:t>
      </w:r>
      <w:r w:rsidR="00E24A0D">
        <w:rPr>
          <w:lang w:eastAsia="en-AU"/>
        </w:rPr>
        <w:t>navigation service charge</w:t>
      </w:r>
      <w:r w:rsidR="00122EBB">
        <w:rPr>
          <w:lang w:eastAsia="en-AU"/>
        </w:rPr>
        <w:t xml:space="preserve"> with and without declaration would have any material impact on </w:t>
      </w:r>
      <w:r w:rsidR="002A520A">
        <w:rPr>
          <w:lang w:eastAsia="en-AU"/>
        </w:rPr>
        <w:t xml:space="preserve">the </w:t>
      </w:r>
      <w:r w:rsidR="00BB0F7C">
        <w:rPr>
          <w:lang w:eastAsia="en-AU"/>
        </w:rPr>
        <w:t xml:space="preserve">conditions </w:t>
      </w:r>
      <w:r w:rsidR="00DE05B7">
        <w:rPr>
          <w:lang w:eastAsia="en-AU"/>
        </w:rPr>
        <w:t xml:space="preserve">or environment </w:t>
      </w:r>
      <w:r w:rsidR="00BB0F7C">
        <w:rPr>
          <w:lang w:eastAsia="en-AU"/>
        </w:rPr>
        <w:t>for competition</w:t>
      </w:r>
      <w:r w:rsidR="00122EBB">
        <w:rPr>
          <w:lang w:eastAsia="en-AU"/>
        </w:rPr>
        <w:t xml:space="preserve"> in the coal tenements market. In particular, the Tribunal is not persuaded that, </w:t>
      </w:r>
      <w:r w:rsidR="002E12E7">
        <w:rPr>
          <w:lang w:eastAsia="en-AU"/>
        </w:rPr>
        <w:t xml:space="preserve">without declaration, participants in the coal tenements market face a material “hold-up” risk of investment across the medium term by reason of PNO increasing the </w:t>
      </w:r>
      <w:r w:rsidR="00122EBB">
        <w:rPr>
          <w:lang w:eastAsia="en-AU"/>
        </w:rPr>
        <w:t xml:space="preserve">rate of the </w:t>
      </w:r>
      <w:r w:rsidR="00E24A0D">
        <w:rPr>
          <w:lang w:eastAsia="en-AU"/>
        </w:rPr>
        <w:t>navigation service charge</w:t>
      </w:r>
      <w:r w:rsidR="002E12E7">
        <w:rPr>
          <w:lang w:eastAsia="en-AU"/>
        </w:rPr>
        <w:t>. It follows that declaration would not affect any such risk.</w:t>
      </w:r>
    </w:p>
    <w:p w14:paraId="562FDAA7" w14:textId="77777777" w:rsidR="00241BAB" w:rsidRPr="004752C1" w:rsidRDefault="002E12E7" w:rsidP="00F86428">
      <w:pPr>
        <w:pStyle w:val="ParaNumbering"/>
        <w:rPr>
          <w:lang w:eastAsia="en-AU"/>
        </w:rPr>
      </w:pPr>
      <w:r>
        <w:rPr>
          <w:lang w:eastAsia="en-AU"/>
        </w:rPr>
        <w:t>In all the circumstances, t</w:t>
      </w:r>
      <w:r w:rsidR="00022118">
        <w:rPr>
          <w:lang w:eastAsia="en-AU"/>
        </w:rPr>
        <w:t xml:space="preserve">he Tribunal is not satisfied that access (or increased access) to the </w:t>
      </w:r>
      <w:r>
        <w:rPr>
          <w:lang w:eastAsia="en-AU"/>
        </w:rPr>
        <w:t xml:space="preserve">shipping channel </w:t>
      </w:r>
      <w:r w:rsidR="00022118">
        <w:rPr>
          <w:lang w:eastAsia="en-AU"/>
        </w:rPr>
        <w:t>service, on reasonable terms and conditions, as a result of a declaration of the service would promote a material increase in competition in the coal tenements market or any other dependent market. In those circumstances, the Treasurer’s decision not to declare the shipping channel service must be affirmed.</w:t>
      </w:r>
    </w:p>
    <w:p w14:paraId="04E41416" w14:textId="77777777" w:rsidR="00437932" w:rsidRDefault="00AC0AC7" w:rsidP="004948CC">
      <w:pPr>
        <w:pStyle w:val="Heading1"/>
        <w:numPr>
          <w:ilvl w:val="0"/>
          <w:numId w:val="29"/>
        </w:numPr>
        <w:ind w:hanging="720"/>
        <w:rPr>
          <w:lang w:eastAsia="en-AU"/>
        </w:rPr>
      </w:pPr>
      <w:bookmarkStart w:id="87" w:name="_Ref78900531"/>
      <w:r>
        <w:rPr>
          <w:lang w:eastAsia="en-AU"/>
        </w:rPr>
        <w:t>consider</w:t>
      </w:r>
      <w:r w:rsidR="00437932">
        <w:rPr>
          <w:lang w:eastAsia="en-AU"/>
        </w:rPr>
        <w:t>ation of criterion (d)</w:t>
      </w:r>
      <w:bookmarkEnd w:id="87"/>
    </w:p>
    <w:p w14:paraId="3CE3342F" w14:textId="77777777" w:rsidR="00AC0AC7" w:rsidRDefault="00AC0AC7" w:rsidP="00437932">
      <w:pPr>
        <w:pStyle w:val="ParaNumbering"/>
        <w:rPr>
          <w:lang w:eastAsia="en-AU"/>
        </w:rPr>
      </w:pPr>
      <w:r>
        <w:rPr>
          <w:lang w:eastAsia="en-AU"/>
        </w:rPr>
        <w:t>NSWMC’s submissions with respect to criterion (d) were dependent on the Tribunal being satisfied in relation to criterion (a). In circumstances where the Tribunal is not satisfied in relation to criterion (a), there is no need to consider criterion (d) further.</w:t>
      </w:r>
    </w:p>
    <w:p w14:paraId="7355BEA5" w14:textId="77777777" w:rsidR="00066D27" w:rsidRDefault="00AC0AC7" w:rsidP="00437932">
      <w:pPr>
        <w:pStyle w:val="ParaNumbering"/>
        <w:rPr>
          <w:lang w:eastAsia="en-AU"/>
        </w:rPr>
      </w:pPr>
      <w:r>
        <w:rPr>
          <w:lang w:eastAsia="en-AU"/>
        </w:rPr>
        <w:t xml:space="preserve">Nevertheless, the Tribunal records its general agreement with the </w:t>
      </w:r>
      <w:r w:rsidR="00066D27">
        <w:rPr>
          <w:lang w:eastAsia="en-AU"/>
        </w:rPr>
        <w:t>following findings of the NCC</w:t>
      </w:r>
      <w:r>
        <w:rPr>
          <w:lang w:eastAsia="en-AU"/>
        </w:rPr>
        <w:t xml:space="preserve"> with respect </w:t>
      </w:r>
      <w:r w:rsidR="00066D27">
        <w:rPr>
          <w:lang w:eastAsia="en-AU"/>
        </w:rPr>
        <w:t>to the mandatory considerations in s 44CA(3):</w:t>
      </w:r>
    </w:p>
    <w:p w14:paraId="3B7FBC66" w14:textId="77777777" w:rsidR="00066D27" w:rsidRDefault="001F0029" w:rsidP="00066D27">
      <w:pPr>
        <w:pStyle w:val="ListNo1alt"/>
        <w:numPr>
          <w:ilvl w:val="0"/>
          <w:numId w:val="47"/>
        </w:numPr>
        <w:rPr>
          <w:lang w:eastAsia="en-AU"/>
        </w:rPr>
      </w:pPr>
      <w:r>
        <w:rPr>
          <w:lang w:eastAsia="en-AU"/>
        </w:rPr>
        <w:t>In relation to investment in Port infrastructure (used to provide the shipping channel service), t</w:t>
      </w:r>
      <w:r w:rsidR="00066D27">
        <w:rPr>
          <w:lang w:eastAsia="en-AU"/>
        </w:rPr>
        <w:t>he risk of error</w:t>
      </w:r>
      <w:r w:rsidR="00066D27" w:rsidRPr="00066D27">
        <w:rPr>
          <w:lang w:eastAsia="en-AU"/>
        </w:rPr>
        <w:t xml:space="preserve"> </w:t>
      </w:r>
      <w:r w:rsidR="00066D27">
        <w:rPr>
          <w:lang w:eastAsia="en-AU"/>
        </w:rPr>
        <w:t xml:space="preserve">(thereby deterring future investment) </w:t>
      </w:r>
      <w:r w:rsidR="00066D27" w:rsidRPr="00066D27">
        <w:rPr>
          <w:lang w:eastAsia="en-AU"/>
        </w:rPr>
        <w:t>may arise in both regulatory arbitration and in commercial arbitration</w:t>
      </w:r>
      <w:r w:rsidR="00066D27">
        <w:rPr>
          <w:lang w:eastAsia="en-AU"/>
        </w:rPr>
        <w:t xml:space="preserve"> and, w</w:t>
      </w:r>
      <w:r w:rsidR="00066D27" w:rsidRPr="00066D27">
        <w:rPr>
          <w:lang w:eastAsia="en-AU"/>
        </w:rPr>
        <w:t xml:space="preserve">hile it is possible that declaration of the </w:t>
      </w:r>
      <w:r w:rsidR="00066D27">
        <w:rPr>
          <w:lang w:eastAsia="en-AU"/>
        </w:rPr>
        <w:t>shipping channel s</w:t>
      </w:r>
      <w:r w:rsidR="00066D27" w:rsidRPr="00066D27">
        <w:rPr>
          <w:lang w:eastAsia="en-AU"/>
        </w:rPr>
        <w:t xml:space="preserve">ervice could have an adverse effect on efficient investment in </w:t>
      </w:r>
      <w:r w:rsidR="00066D27">
        <w:rPr>
          <w:lang w:eastAsia="en-AU"/>
        </w:rPr>
        <w:t>Port</w:t>
      </w:r>
      <w:r w:rsidR="00066D27" w:rsidRPr="00066D27">
        <w:rPr>
          <w:lang w:eastAsia="en-AU"/>
        </w:rPr>
        <w:t xml:space="preserve"> infrastructure, it is possible that this risk is also present absent declaration</w:t>
      </w:r>
      <w:r w:rsidR="00066D27">
        <w:rPr>
          <w:lang w:eastAsia="en-AU"/>
        </w:rPr>
        <w:t xml:space="preserve"> (at [10.29]). On balance, it is not clear that the risk of deterring future investment in the Port is substantial (at [10.30]).</w:t>
      </w:r>
    </w:p>
    <w:p w14:paraId="2E6B63A8" w14:textId="77777777" w:rsidR="00437932" w:rsidRDefault="001F0029" w:rsidP="001F0029">
      <w:pPr>
        <w:pStyle w:val="ListNo1alt"/>
        <w:numPr>
          <w:ilvl w:val="0"/>
          <w:numId w:val="47"/>
        </w:numPr>
        <w:rPr>
          <w:lang w:eastAsia="en-AU"/>
        </w:rPr>
      </w:pPr>
      <w:r>
        <w:rPr>
          <w:lang w:eastAsia="en-AU"/>
        </w:rPr>
        <w:t xml:space="preserve">In relation to investment in the coal tenements market, </w:t>
      </w:r>
      <w:r w:rsidRPr="001F0029">
        <w:rPr>
          <w:lang w:eastAsia="en-AU"/>
        </w:rPr>
        <w:t xml:space="preserve">there is a range of commercial and regulatory uncertainties that will impact on </w:t>
      </w:r>
      <w:r>
        <w:rPr>
          <w:lang w:eastAsia="en-AU"/>
        </w:rPr>
        <w:t xml:space="preserve">investment </w:t>
      </w:r>
      <w:r w:rsidRPr="001F0029">
        <w:rPr>
          <w:lang w:eastAsia="en-AU"/>
        </w:rPr>
        <w:t xml:space="preserve">decisions </w:t>
      </w:r>
      <w:r>
        <w:rPr>
          <w:lang w:eastAsia="en-AU"/>
        </w:rPr>
        <w:t>and, r</w:t>
      </w:r>
      <w:r w:rsidRPr="001F0029">
        <w:rPr>
          <w:lang w:eastAsia="en-AU"/>
        </w:rPr>
        <w:t>elative to these</w:t>
      </w:r>
      <w:r>
        <w:rPr>
          <w:lang w:eastAsia="en-AU"/>
        </w:rPr>
        <w:t>,</w:t>
      </w:r>
      <w:r w:rsidRPr="001F0029">
        <w:rPr>
          <w:lang w:eastAsia="en-AU"/>
        </w:rPr>
        <w:t xml:space="preserve"> uncertainty arising from the </w:t>
      </w:r>
      <w:r>
        <w:rPr>
          <w:lang w:eastAsia="en-AU"/>
        </w:rPr>
        <w:t xml:space="preserve">difference in the </w:t>
      </w:r>
      <w:r w:rsidRPr="001F0029">
        <w:rPr>
          <w:lang w:eastAsia="en-AU"/>
        </w:rPr>
        <w:t xml:space="preserve">pricing of access </w:t>
      </w:r>
      <w:r>
        <w:rPr>
          <w:lang w:eastAsia="en-AU"/>
        </w:rPr>
        <w:t xml:space="preserve">to the shipping </w:t>
      </w:r>
      <w:r>
        <w:rPr>
          <w:lang w:eastAsia="en-AU"/>
        </w:rPr>
        <w:lastRenderedPageBreak/>
        <w:t>channel service</w:t>
      </w:r>
      <w:r w:rsidRPr="001F0029">
        <w:rPr>
          <w:lang w:eastAsia="en-AU"/>
        </w:rPr>
        <w:t xml:space="preserve"> </w:t>
      </w:r>
      <w:r>
        <w:rPr>
          <w:lang w:eastAsia="en-AU"/>
        </w:rPr>
        <w:t>with and without</w:t>
      </w:r>
      <w:r w:rsidRPr="001F0029">
        <w:rPr>
          <w:lang w:eastAsia="en-AU"/>
        </w:rPr>
        <w:t xml:space="preserve"> declaration would be</w:t>
      </w:r>
      <w:r>
        <w:rPr>
          <w:lang w:eastAsia="en-AU"/>
        </w:rPr>
        <w:t xml:space="preserve"> unlikely to be</w:t>
      </w:r>
      <w:r w:rsidRPr="001F0029">
        <w:rPr>
          <w:lang w:eastAsia="en-AU"/>
        </w:rPr>
        <w:t xml:space="preserve"> material</w:t>
      </w:r>
      <w:r>
        <w:rPr>
          <w:lang w:eastAsia="en-AU"/>
        </w:rPr>
        <w:t xml:space="preserve"> (at [10.38]).</w:t>
      </w:r>
    </w:p>
    <w:p w14:paraId="68DAEC43" w14:textId="77777777" w:rsidR="001F0029" w:rsidRPr="00437932" w:rsidRDefault="001F0029" w:rsidP="001F0029">
      <w:pPr>
        <w:pStyle w:val="ListNo1alt"/>
        <w:numPr>
          <w:ilvl w:val="0"/>
          <w:numId w:val="47"/>
        </w:numPr>
        <w:rPr>
          <w:lang w:eastAsia="en-AU"/>
        </w:rPr>
      </w:pPr>
      <w:r>
        <w:rPr>
          <w:lang w:eastAsia="en-AU"/>
        </w:rPr>
        <w:t xml:space="preserve">The </w:t>
      </w:r>
      <w:r w:rsidRPr="001F0029">
        <w:rPr>
          <w:lang w:eastAsia="en-AU"/>
        </w:rPr>
        <w:t xml:space="preserve">administrative and compliance costs </w:t>
      </w:r>
      <w:r>
        <w:rPr>
          <w:lang w:eastAsia="en-AU"/>
        </w:rPr>
        <w:t>that would arise if the shipping channel service were</w:t>
      </w:r>
      <w:r w:rsidRPr="001F0029">
        <w:rPr>
          <w:lang w:eastAsia="en-AU"/>
        </w:rPr>
        <w:t xml:space="preserve"> declar</w:t>
      </w:r>
      <w:r>
        <w:rPr>
          <w:lang w:eastAsia="en-AU"/>
        </w:rPr>
        <w:t>ed are</w:t>
      </w:r>
      <w:r w:rsidRPr="001F0029">
        <w:rPr>
          <w:lang w:eastAsia="en-AU"/>
        </w:rPr>
        <w:t xml:space="preserve"> unlikely to be materially different </w:t>
      </w:r>
      <w:r>
        <w:rPr>
          <w:lang w:eastAsia="en-AU"/>
        </w:rPr>
        <w:t xml:space="preserve">if the service were not declared (at [10.44]). </w:t>
      </w:r>
    </w:p>
    <w:p w14:paraId="31A6A414" w14:textId="77777777" w:rsidR="004948CC" w:rsidRDefault="009359FE" w:rsidP="004948CC">
      <w:pPr>
        <w:pStyle w:val="Heading1"/>
        <w:numPr>
          <w:ilvl w:val="0"/>
          <w:numId w:val="29"/>
        </w:numPr>
        <w:ind w:hanging="720"/>
        <w:rPr>
          <w:lang w:eastAsia="en-AU"/>
        </w:rPr>
      </w:pPr>
      <w:bookmarkStart w:id="88" w:name="_Ref78900532"/>
      <w:r>
        <w:rPr>
          <w:lang w:eastAsia="en-AU"/>
        </w:rPr>
        <w:t xml:space="preserve">conclusion and </w:t>
      </w:r>
      <w:r w:rsidR="004948CC">
        <w:rPr>
          <w:lang w:eastAsia="en-AU"/>
        </w:rPr>
        <w:t>costs</w:t>
      </w:r>
      <w:bookmarkEnd w:id="88"/>
    </w:p>
    <w:p w14:paraId="60F14FA8" w14:textId="77777777" w:rsidR="009359FE" w:rsidRDefault="009359FE" w:rsidP="008B0145">
      <w:pPr>
        <w:pStyle w:val="ParaNumbering"/>
        <w:rPr>
          <w:lang w:eastAsia="en-AU"/>
        </w:rPr>
      </w:pPr>
      <w:r>
        <w:rPr>
          <w:lang w:eastAsia="en-AU"/>
        </w:rPr>
        <w:t>In conclusion, for the reasons given above, the Tribunal affirms the Treasurer’s decision not to declare the shipping channel service at the Port.</w:t>
      </w:r>
    </w:p>
    <w:p w14:paraId="2489C94F" w14:textId="77777777" w:rsidR="009359FE" w:rsidRDefault="009359FE" w:rsidP="008B0145">
      <w:pPr>
        <w:pStyle w:val="ParaNumbering"/>
        <w:rPr>
          <w:lang w:eastAsia="en-AU"/>
        </w:rPr>
      </w:pPr>
      <w:r>
        <w:rPr>
          <w:lang w:eastAsia="en-AU"/>
        </w:rPr>
        <w:t xml:space="preserve">On the assumption that NSWMC would not be successful in its application for review, </w:t>
      </w:r>
      <w:r w:rsidRPr="00A1125A">
        <w:rPr>
          <w:lang w:eastAsia="en-AU"/>
        </w:rPr>
        <w:t xml:space="preserve">PNO </w:t>
      </w:r>
      <w:r>
        <w:rPr>
          <w:lang w:eastAsia="en-AU"/>
        </w:rPr>
        <w:t xml:space="preserve">applied for an order of costs against NSWMC under s 44KB(1). </w:t>
      </w:r>
      <w:r w:rsidR="00102722">
        <w:rPr>
          <w:lang w:eastAsia="en-AU"/>
        </w:rPr>
        <w:t>At the hearing of this matter, PNO and NSWMC made submissions as to whether the Tribunal should exercise a discretion to award costs against NSWMC and in favour of PNO. Neither party addressed the question whether s 44KB empowered the Tribunal to award costs in a review of a decision not to declare a service under s 44K(2), as opposed to a review of a declaration under s 44K(1).</w:t>
      </w:r>
    </w:p>
    <w:p w14:paraId="54FC970B" w14:textId="77777777" w:rsidR="00A1125A" w:rsidRDefault="00A1125A" w:rsidP="008B0145">
      <w:pPr>
        <w:pStyle w:val="ParaNumbering"/>
        <w:rPr>
          <w:lang w:eastAsia="en-AU"/>
        </w:rPr>
      </w:pPr>
      <w:r>
        <w:rPr>
          <w:lang w:eastAsia="en-AU"/>
        </w:rPr>
        <w:t>Section 44KB relevantly provides as follows:</w:t>
      </w:r>
    </w:p>
    <w:p w14:paraId="793B5570" w14:textId="77777777" w:rsidR="00A1125A" w:rsidRPr="00A1125A" w:rsidRDefault="00A1125A" w:rsidP="009359FE">
      <w:pPr>
        <w:pStyle w:val="Quote1"/>
        <w:tabs>
          <w:tab w:val="left" w:pos="1418"/>
        </w:tabs>
        <w:ind w:left="1418" w:hanging="681"/>
        <w:rPr>
          <w:b/>
          <w:lang w:eastAsia="en-AU"/>
        </w:rPr>
      </w:pPr>
      <w:r w:rsidRPr="00A1125A">
        <w:rPr>
          <w:b/>
          <w:lang w:eastAsia="en-AU"/>
        </w:rPr>
        <w:t xml:space="preserve">44KB </w:t>
      </w:r>
      <w:r w:rsidR="009359FE">
        <w:rPr>
          <w:b/>
          <w:lang w:eastAsia="en-AU"/>
        </w:rPr>
        <w:tab/>
      </w:r>
      <w:r w:rsidRPr="00A1125A">
        <w:rPr>
          <w:b/>
          <w:lang w:eastAsia="en-AU"/>
        </w:rPr>
        <w:t>Tribunal may order costs be awarded</w:t>
      </w:r>
    </w:p>
    <w:p w14:paraId="74499EB9" w14:textId="77777777" w:rsidR="00A1125A" w:rsidRDefault="00A1125A" w:rsidP="00555110">
      <w:pPr>
        <w:pStyle w:val="Quote1"/>
        <w:numPr>
          <w:ilvl w:val="0"/>
          <w:numId w:val="48"/>
        </w:numPr>
        <w:tabs>
          <w:tab w:val="left" w:pos="1418"/>
        </w:tabs>
        <w:ind w:left="1418" w:hanging="681"/>
        <w:rPr>
          <w:lang w:eastAsia="en-AU"/>
        </w:rPr>
      </w:pPr>
      <w:r>
        <w:rPr>
          <w:lang w:eastAsia="en-AU"/>
        </w:rPr>
        <w:t>If the Tribunal is satisfied that it is appropriate to do so, the Tribunal may order that a person who has been made a party to proceedings for a review of a declaration under section 44K pay all or a specified part of the costs of another person who has been made a party to the proceedings.</w:t>
      </w:r>
    </w:p>
    <w:p w14:paraId="475B14EB" w14:textId="77777777" w:rsidR="00555110" w:rsidRDefault="00555110" w:rsidP="00555110">
      <w:pPr>
        <w:pStyle w:val="Quote1"/>
        <w:numPr>
          <w:ilvl w:val="0"/>
          <w:numId w:val="48"/>
        </w:numPr>
        <w:tabs>
          <w:tab w:val="left" w:pos="1418"/>
        </w:tabs>
        <w:ind w:left="1418" w:hanging="681"/>
        <w:rPr>
          <w:lang w:eastAsia="en-AU"/>
        </w:rPr>
      </w:pPr>
      <w:r>
        <w:rPr>
          <w:lang w:eastAsia="en-AU"/>
        </w:rPr>
        <w:t>…</w:t>
      </w:r>
    </w:p>
    <w:p w14:paraId="0C3E6300" w14:textId="77777777" w:rsidR="00555110" w:rsidRDefault="00555110" w:rsidP="00555110">
      <w:pPr>
        <w:pStyle w:val="Quote1"/>
        <w:numPr>
          <w:ilvl w:val="0"/>
          <w:numId w:val="48"/>
        </w:numPr>
        <w:tabs>
          <w:tab w:val="left" w:pos="1418"/>
        </w:tabs>
        <w:ind w:left="1418" w:hanging="681"/>
        <w:rPr>
          <w:lang w:eastAsia="en-AU"/>
        </w:rPr>
      </w:pPr>
      <w:r>
        <w:rPr>
          <w:lang w:eastAsia="en-AU"/>
        </w:rPr>
        <w:t>If the Tribunal makes an order under subsection (1), it may make further orders that it considers appropriate in relation to the assessment or taxation of the costs.</w:t>
      </w:r>
    </w:p>
    <w:p w14:paraId="5068B27E" w14:textId="77777777" w:rsidR="00555110" w:rsidRDefault="00555110" w:rsidP="00555110">
      <w:pPr>
        <w:pStyle w:val="Quote1"/>
        <w:numPr>
          <w:ilvl w:val="0"/>
          <w:numId w:val="48"/>
        </w:numPr>
        <w:tabs>
          <w:tab w:val="left" w:pos="1418"/>
        </w:tabs>
        <w:ind w:left="1418" w:hanging="681"/>
        <w:rPr>
          <w:lang w:eastAsia="en-AU"/>
        </w:rPr>
      </w:pPr>
      <w:r>
        <w:rPr>
          <w:lang w:eastAsia="en-AU"/>
        </w:rPr>
        <w:t>The regulations may make provision for and in relation to fees payable for the assessment or taxation of costs ordered by the Tribunal to be paid.</w:t>
      </w:r>
    </w:p>
    <w:p w14:paraId="5B946E27" w14:textId="77777777" w:rsidR="00555110" w:rsidRDefault="00555110" w:rsidP="00555110">
      <w:pPr>
        <w:pStyle w:val="Quote1"/>
        <w:numPr>
          <w:ilvl w:val="0"/>
          <w:numId w:val="48"/>
        </w:numPr>
        <w:tabs>
          <w:tab w:val="left" w:pos="1418"/>
        </w:tabs>
        <w:ind w:left="1418" w:hanging="681"/>
        <w:rPr>
          <w:lang w:eastAsia="en-AU"/>
        </w:rPr>
      </w:pPr>
      <w:r>
        <w:rPr>
          <w:lang w:eastAsia="en-AU"/>
        </w:rPr>
        <w:t xml:space="preserve">If a party (the first party) is ordered to pay some or all of the costs of another party under subsection (1), the amount of the costs may be recovered in the Federal Court as a debt due by the first party to the other party. </w:t>
      </w:r>
    </w:p>
    <w:p w14:paraId="6852BAF6" w14:textId="77777777" w:rsidR="00102722" w:rsidRDefault="00102722" w:rsidP="008B0145">
      <w:pPr>
        <w:pStyle w:val="ParaNumbering"/>
        <w:rPr>
          <w:lang w:eastAsia="en-AU"/>
        </w:rPr>
      </w:pPr>
      <w:r>
        <w:rPr>
          <w:lang w:eastAsia="en-AU"/>
        </w:rPr>
        <w:t xml:space="preserve">It can be seen that s 44KB(1) empowers the Tribunal to order that a person who has been made a party to </w:t>
      </w:r>
      <w:r w:rsidRPr="00102722">
        <w:rPr>
          <w:i/>
          <w:lang w:eastAsia="en-AU"/>
        </w:rPr>
        <w:t>proceedings for a review of a declaration under section 44K</w:t>
      </w:r>
      <w:r>
        <w:rPr>
          <w:lang w:eastAsia="en-AU"/>
        </w:rPr>
        <w:t xml:space="preserve"> pay all or a specified part of the costs of another person who has been made a party to the proceedings. Thus, the power is only enlivened in the context of a proceeding </w:t>
      </w:r>
      <w:r w:rsidRPr="00102722">
        <w:rPr>
          <w:lang w:eastAsia="en-AU"/>
        </w:rPr>
        <w:t>for a review of a declaration under section 44K</w:t>
      </w:r>
      <w:r>
        <w:rPr>
          <w:lang w:eastAsia="en-AU"/>
        </w:rPr>
        <w:t>.</w:t>
      </w:r>
    </w:p>
    <w:p w14:paraId="48DB65AE" w14:textId="77777777" w:rsidR="001062A2" w:rsidRDefault="001062A2" w:rsidP="00064227">
      <w:pPr>
        <w:pStyle w:val="ParaNumbering"/>
        <w:rPr>
          <w:lang w:eastAsia="en-AU"/>
        </w:rPr>
      </w:pPr>
      <w:r>
        <w:rPr>
          <w:lang w:eastAsia="en-AU"/>
        </w:rPr>
        <w:lastRenderedPageBreak/>
        <w:t>Under s 44H(1), the Minister is empowered to make one of two decisions: to declare the relevant service or not to declare the relevant service. The right to apply to the Tribunal under s</w:t>
      </w:r>
      <w:r w:rsidR="00D67CEB">
        <w:rPr>
          <w:lang w:eastAsia="en-AU"/>
        </w:rPr>
        <w:t> </w:t>
      </w:r>
      <w:r>
        <w:rPr>
          <w:lang w:eastAsia="en-AU"/>
        </w:rPr>
        <w:t xml:space="preserve">44K to review the designated Minister’s decision reflects the binary </w:t>
      </w:r>
      <w:r w:rsidR="00260127">
        <w:rPr>
          <w:lang w:eastAsia="en-AU"/>
        </w:rPr>
        <w:t>decision-</w:t>
      </w:r>
      <w:r>
        <w:rPr>
          <w:lang w:eastAsia="en-AU"/>
        </w:rPr>
        <w:t xml:space="preserve">making power of the Minister under s 44H. Subsection 44K(1) provides that, if the designated Minister declares a service, the provider may apply in writing to the Tribunal for </w:t>
      </w:r>
      <w:r w:rsidRPr="001062A2">
        <w:rPr>
          <w:i/>
          <w:lang w:eastAsia="en-AU"/>
        </w:rPr>
        <w:t>review of the declaration</w:t>
      </w:r>
      <w:r>
        <w:rPr>
          <w:lang w:eastAsia="en-AU"/>
        </w:rPr>
        <w:t xml:space="preserve">. Subsection (2) provides that, if the designated Minister decides not to declare a service, an application for </w:t>
      </w:r>
      <w:r w:rsidRPr="001062A2">
        <w:rPr>
          <w:i/>
          <w:lang w:eastAsia="en-AU"/>
        </w:rPr>
        <w:t>review of the designated Minister’s decision</w:t>
      </w:r>
      <w:r>
        <w:rPr>
          <w:lang w:eastAsia="en-AU"/>
        </w:rPr>
        <w:t xml:space="preserve"> may be made by the person who applied for the declaration recommendation.</w:t>
      </w:r>
    </w:p>
    <w:p w14:paraId="23D896C9" w14:textId="77777777" w:rsidR="006C2CB6" w:rsidRDefault="001062A2" w:rsidP="008B0145">
      <w:pPr>
        <w:pStyle w:val="ParaNumbering"/>
        <w:rPr>
          <w:lang w:eastAsia="en-AU"/>
        </w:rPr>
      </w:pPr>
      <w:r>
        <w:rPr>
          <w:lang w:eastAsia="en-AU"/>
        </w:rPr>
        <w:t xml:space="preserve">On its literal terms, s 44KB(1) refers only to </w:t>
      </w:r>
      <w:r w:rsidR="006C2CB6">
        <w:rPr>
          <w:lang w:eastAsia="en-AU"/>
        </w:rPr>
        <w:t>a proceeding for a review of a declaration; it does not refer to a proceeding for a review of a decision not to declare a service. The present proceeding is of the latter kind. There was no declaration and, accordingly, this proceeding does not involve a review of a declaration.</w:t>
      </w:r>
    </w:p>
    <w:p w14:paraId="471D56F0" w14:textId="77777777" w:rsidR="006C2CB6" w:rsidRDefault="006C2CB6" w:rsidP="006C2CB6">
      <w:pPr>
        <w:pStyle w:val="ParaNumbering"/>
        <w:rPr>
          <w:lang w:eastAsia="en-AU"/>
        </w:rPr>
      </w:pPr>
      <w:r>
        <w:rPr>
          <w:lang w:eastAsia="en-AU"/>
        </w:rPr>
        <w:t xml:space="preserve">There is no apparent ambiguity in the language of s 44KB(1). If the legislature had intended the power to award costs in s 44KB(1) to extend to proceedings under s 44K(2), the subsection could have been expressed in a number of ways to refer to proceedings under </w:t>
      </w:r>
      <w:r w:rsidR="00106242">
        <w:rPr>
          <w:lang w:eastAsia="en-AU"/>
        </w:rPr>
        <w:t xml:space="preserve">either </w:t>
      </w:r>
      <w:proofErr w:type="spellStart"/>
      <w:r>
        <w:rPr>
          <w:lang w:eastAsia="en-AU"/>
        </w:rPr>
        <w:t>ss</w:t>
      </w:r>
      <w:proofErr w:type="spellEnd"/>
      <w:r>
        <w:rPr>
          <w:lang w:eastAsia="en-AU"/>
        </w:rPr>
        <w:t xml:space="preserve"> 44K(1) or (2) – for example “</w:t>
      </w:r>
      <w:r w:rsidRPr="006C2CB6">
        <w:rPr>
          <w:lang w:eastAsia="en-AU"/>
        </w:rPr>
        <w:t xml:space="preserve">proceedings for a review of a </w:t>
      </w:r>
      <w:r>
        <w:rPr>
          <w:lang w:eastAsia="en-AU"/>
        </w:rPr>
        <w:t>decision</w:t>
      </w:r>
      <w:r w:rsidRPr="006C2CB6">
        <w:rPr>
          <w:lang w:eastAsia="en-AU"/>
        </w:rPr>
        <w:t xml:space="preserve"> </w:t>
      </w:r>
      <w:r>
        <w:rPr>
          <w:lang w:eastAsia="en-AU"/>
        </w:rPr>
        <w:t xml:space="preserve">of the designated Minister </w:t>
      </w:r>
      <w:r w:rsidRPr="006C2CB6">
        <w:rPr>
          <w:lang w:eastAsia="en-AU"/>
        </w:rPr>
        <w:t>under section 44K</w:t>
      </w:r>
      <w:r>
        <w:rPr>
          <w:lang w:eastAsia="en-AU"/>
        </w:rPr>
        <w:t>”.</w:t>
      </w:r>
    </w:p>
    <w:p w14:paraId="4B9D1EB0" w14:textId="77777777" w:rsidR="001062A2" w:rsidRDefault="00106242" w:rsidP="008B0145">
      <w:pPr>
        <w:pStyle w:val="ParaNumbering"/>
        <w:rPr>
          <w:lang w:eastAsia="en-AU"/>
        </w:rPr>
      </w:pPr>
      <w:r>
        <w:rPr>
          <w:lang w:eastAsia="en-AU"/>
        </w:rPr>
        <w:t xml:space="preserve">There is no obvious reason why the legislature would confine s 44KB(1) to proceedings </w:t>
      </w:r>
      <w:r w:rsidRPr="00106242">
        <w:rPr>
          <w:lang w:eastAsia="en-AU"/>
        </w:rPr>
        <w:t>for a review of a declaration</w:t>
      </w:r>
      <w:r>
        <w:rPr>
          <w:lang w:eastAsia="en-AU"/>
        </w:rPr>
        <w:t xml:space="preserve"> and exclude proceedings for a </w:t>
      </w:r>
      <w:r w:rsidRPr="00106242">
        <w:rPr>
          <w:lang w:eastAsia="en-AU"/>
        </w:rPr>
        <w:t>review of a decision</w:t>
      </w:r>
      <w:r w:rsidR="001062A2">
        <w:rPr>
          <w:lang w:eastAsia="en-AU"/>
        </w:rPr>
        <w:t xml:space="preserve"> </w:t>
      </w:r>
      <w:r>
        <w:rPr>
          <w:lang w:eastAsia="en-AU"/>
        </w:rPr>
        <w:t xml:space="preserve">not to declare a service. In that regard s 44KB(1) can be contrasted with a number of other provisions, such as </w:t>
      </w:r>
      <w:proofErr w:type="spellStart"/>
      <w:r>
        <w:rPr>
          <w:lang w:eastAsia="en-AU"/>
        </w:rPr>
        <w:t>ss</w:t>
      </w:r>
      <w:proofErr w:type="spellEnd"/>
      <w:r>
        <w:rPr>
          <w:lang w:eastAsia="en-AU"/>
        </w:rPr>
        <w:t xml:space="preserve"> 44I(2) and 44KA(2), which also apply when there is an application and proceedings for a review of a declaration. Those sections empower the Tribunal to make an order staying the operation of the declaration, whereupon the declaration will not begin to operate </w:t>
      </w:r>
      <w:r w:rsidR="00260127">
        <w:rPr>
          <w:lang w:eastAsia="en-AU"/>
        </w:rPr>
        <w:t>until the Tribunal makes its determination on the review. Section 44W(4A) is to similar effect.</w:t>
      </w:r>
      <w:r>
        <w:rPr>
          <w:lang w:eastAsia="en-AU"/>
        </w:rPr>
        <w:t xml:space="preserve"> </w:t>
      </w:r>
    </w:p>
    <w:p w14:paraId="65AF162F" w14:textId="77777777" w:rsidR="008B0145" w:rsidRDefault="00260127" w:rsidP="008B0145">
      <w:pPr>
        <w:pStyle w:val="ParaNumbering"/>
        <w:rPr>
          <w:lang w:eastAsia="en-AU"/>
        </w:rPr>
      </w:pPr>
      <w:r>
        <w:rPr>
          <w:lang w:eastAsia="en-AU"/>
        </w:rPr>
        <w:t xml:space="preserve">The extrinsic materials do not assist in explaining the purpose of the limitation in s 44KB(1). </w:t>
      </w:r>
      <w:r w:rsidR="009359FE">
        <w:rPr>
          <w:lang w:eastAsia="en-AU"/>
        </w:rPr>
        <w:t>Section 44KB</w:t>
      </w:r>
      <w:r w:rsidR="008B0145">
        <w:rPr>
          <w:lang w:eastAsia="en-AU"/>
        </w:rPr>
        <w:t xml:space="preserve"> was inserted into the Act by the 2010 Amendment Act. </w:t>
      </w:r>
      <w:r>
        <w:rPr>
          <w:lang w:eastAsia="en-AU"/>
        </w:rPr>
        <w:t xml:space="preserve">Indeed, the extrinsic materials suggest that the limitation was unintentional. </w:t>
      </w:r>
      <w:r w:rsidR="008B0145">
        <w:rPr>
          <w:lang w:eastAsia="en-AU"/>
        </w:rPr>
        <w:t xml:space="preserve">The Explanatory Memorandum to the </w:t>
      </w:r>
      <w:r w:rsidR="008B0145" w:rsidRPr="00E01AA5">
        <w:rPr>
          <w:lang w:eastAsia="en-AU"/>
        </w:rPr>
        <w:t>Trade Practices Amendment (Infrastructure Access) Bill 2009</w:t>
      </w:r>
      <w:r w:rsidR="008B0145">
        <w:rPr>
          <w:lang w:eastAsia="en-AU"/>
        </w:rPr>
        <w:t xml:space="preserve"> explained the object of the section as follow</w:t>
      </w:r>
      <w:r w:rsidR="00F172DC">
        <w:rPr>
          <w:lang w:eastAsia="en-AU"/>
        </w:rPr>
        <w:t>s</w:t>
      </w:r>
      <w:r>
        <w:rPr>
          <w:lang w:eastAsia="en-AU"/>
        </w:rPr>
        <w:t xml:space="preserve"> (at [5.8] and [5.14])</w:t>
      </w:r>
      <w:r w:rsidR="008B0145">
        <w:rPr>
          <w:lang w:eastAsia="en-AU"/>
        </w:rPr>
        <w:t>:</w:t>
      </w:r>
    </w:p>
    <w:p w14:paraId="08F2F786" w14:textId="77777777" w:rsidR="008B0145" w:rsidRDefault="00260127" w:rsidP="002B1C14">
      <w:pPr>
        <w:pStyle w:val="Quote1"/>
        <w:ind w:left="1440" w:hanging="703"/>
        <w:rPr>
          <w:lang w:eastAsia="en-AU"/>
        </w:rPr>
      </w:pPr>
      <w:r>
        <w:rPr>
          <w:lang w:eastAsia="en-AU"/>
        </w:rPr>
        <w:t>5.8</w:t>
      </w:r>
      <w:r w:rsidR="00F172DC">
        <w:rPr>
          <w:lang w:eastAsia="en-AU"/>
        </w:rPr>
        <w:tab/>
      </w:r>
      <w:r w:rsidR="008B0145">
        <w:rPr>
          <w:lang w:eastAsia="en-AU"/>
        </w:rPr>
        <w:t xml:space="preserve">Unlike most court proceedings, and unlike matters arising in the Tribunal in relation to the regulation of gas pipelines, there are no provisions for costs to be paid or awarded with respect to applications to the Tribunal for review of a decision-maker’s decision in relation to a declaration application. Requiring </w:t>
      </w:r>
      <w:r w:rsidR="008B0145">
        <w:rPr>
          <w:lang w:eastAsia="en-AU"/>
        </w:rPr>
        <w:lastRenderedPageBreak/>
        <w:t xml:space="preserve">unsuccessful applicants to pay costs should reduce incentive for delaying tactics, frivolous review applications or other inappropriate behaviour. This amendment was proposed by the NCC in its Annual Report 2007-08 as a means to reduce the </w:t>
      </w:r>
      <w:r w:rsidR="008B0145" w:rsidRPr="008B0145">
        <w:rPr>
          <w:lang w:eastAsia="en-AU"/>
        </w:rPr>
        <w:t>substantial costs and delays currently experienced during review proceedings</w:t>
      </w:r>
      <w:r w:rsidR="008B0145">
        <w:rPr>
          <w:lang w:eastAsia="en-AU"/>
        </w:rPr>
        <w:t>.</w:t>
      </w:r>
    </w:p>
    <w:p w14:paraId="6C0E791D" w14:textId="77777777" w:rsidR="00260127" w:rsidRDefault="00260127" w:rsidP="00260127">
      <w:pPr>
        <w:pStyle w:val="Quote1"/>
        <w:rPr>
          <w:lang w:eastAsia="en-AU"/>
        </w:rPr>
      </w:pPr>
      <w:r>
        <w:rPr>
          <w:lang w:eastAsia="en-AU"/>
        </w:rPr>
        <w:t>…</w:t>
      </w:r>
    </w:p>
    <w:p w14:paraId="02493889" w14:textId="77777777" w:rsidR="00260127" w:rsidRDefault="00260127" w:rsidP="002B1C14">
      <w:pPr>
        <w:pStyle w:val="Quote1"/>
        <w:ind w:left="1440" w:hanging="703"/>
        <w:rPr>
          <w:lang w:eastAsia="en-AU"/>
        </w:rPr>
      </w:pPr>
      <w:r>
        <w:rPr>
          <w:lang w:eastAsia="en-AU"/>
        </w:rPr>
        <w:t>5.14</w:t>
      </w:r>
      <w:r w:rsidR="00F172DC">
        <w:rPr>
          <w:lang w:eastAsia="en-AU"/>
        </w:rPr>
        <w:tab/>
      </w:r>
      <w:r>
        <w:rPr>
          <w:lang w:eastAsia="en-AU"/>
        </w:rPr>
        <w:t>The Tribunal has a discretion to order that a party pays all or part of the costs of another party in a review of a declaration decision under section 44K.</w:t>
      </w:r>
    </w:p>
    <w:p w14:paraId="4E0AA1EE" w14:textId="77777777" w:rsidR="00260127" w:rsidRDefault="00260127" w:rsidP="001320EC">
      <w:pPr>
        <w:pStyle w:val="ParaNumbering"/>
        <w:rPr>
          <w:lang w:eastAsia="en-AU"/>
        </w:rPr>
      </w:pPr>
      <w:r>
        <w:rPr>
          <w:lang w:eastAsia="en-AU"/>
        </w:rPr>
        <w:t xml:space="preserve">Paragraph 5.8 assumes that the proposed </w:t>
      </w:r>
      <w:r w:rsidR="001320EC">
        <w:rPr>
          <w:lang w:eastAsia="en-AU"/>
        </w:rPr>
        <w:t>s 44KB(1) will apply to “</w:t>
      </w:r>
      <w:r w:rsidR="001320EC" w:rsidRPr="001320EC">
        <w:rPr>
          <w:lang w:eastAsia="en-AU"/>
        </w:rPr>
        <w:t>applications to the Tribunal for review of a decision-maker’s decision in relation to a declaration application</w:t>
      </w:r>
      <w:r w:rsidR="001320EC">
        <w:rPr>
          <w:lang w:eastAsia="en-AU"/>
        </w:rPr>
        <w:t xml:space="preserve">”. Paragraph 5.14 likewise assumes that the proposed section will apply to “a review of a declaration decision under s 44K”. The language used in the Explanatory Memorandum is sufficiently broad to cover reviews under </w:t>
      </w:r>
      <w:proofErr w:type="spellStart"/>
      <w:r w:rsidR="001320EC">
        <w:rPr>
          <w:lang w:eastAsia="en-AU"/>
        </w:rPr>
        <w:t>ss</w:t>
      </w:r>
      <w:proofErr w:type="spellEnd"/>
      <w:r w:rsidR="001320EC">
        <w:rPr>
          <w:lang w:eastAsia="en-AU"/>
        </w:rPr>
        <w:t xml:space="preserve"> 44K(1) and (2). However, that language is not the statutory language.</w:t>
      </w:r>
    </w:p>
    <w:p w14:paraId="08F31037" w14:textId="77777777" w:rsidR="009359FE" w:rsidRDefault="009359FE" w:rsidP="008B0145">
      <w:pPr>
        <w:pStyle w:val="ParaNumbering"/>
        <w:rPr>
          <w:lang w:eastAsia="en-AU"/>
        </w:rPr>
      </w:pPr>
      <w:r>
        <w:rPr>
          <w:lang w:eastAsia="en-AU"/>
        </w:rPr>
        <w:t xml:space="preserve">Section 44KB was considered by the Tribunal in </w:t>
      </w:r>
      <w:r w:rsidRPr="008B0145">
        <w:rPr>
          <w:i/>
          <w:lang w:eastAsia="en-AU"/>
        </w:rPr>
        <w:t>Re Glencore</w:t>
      </w:r>
      <w:r w:rsidR="001320EC">
        <w:rPr>
          <w:i/>
          <w:lang w:eastAsia="en-AU"/>
        </w:rPr>
        <w:t xml:space="preserve"> Coal No 2</w:t>
      </w:r>
      <w:r w:rsidR="001320EC">
        <w:rPr>
          <w:lang w:eastAsia="en-AU"/>
        </w:rPr>
        <w:t xml:space="preserve">. Like the present proceeding, </w:t>
      </w:r>
      <w:r w:rsidR="001320EC" w:rsidRPr="001320EC">
        <w:rPr>
          <w:i/>
          <w:lang w:eastAsia="en-AU"/>
        </w:rPr>
        <w:t xml:space="preserve">Re Glencore Coal </w:t>
      </w:r>
      <w:r w:rsidR="001320EC">
        <w:rPr>
          <w:lang w:eastAsia="en-AU"/>
        </w:rPr>
        <w:t>was a proceeding under s 44K(2) for review of a decision made by the designated Minister (the Acting Federal Treasurer) not to declare the shipping channel service at the Port</w:t>
      </w:r>
      <w:r>
        <w:rPr>
          <w:lang w:eastAsia="en-AU"/>
        </w:rPr>
        <w:t>.</w:t>
      </w:r>
      <w:r w:rsidR="00102722">
        <w:rPr>
          <w:lang w:eastAsia="en-AU"/>
        </w:rPr>
        <w:t xml:space="preserve"> </w:t>
      </w:r>
      <w:r w:rsidR="001320EC">
        <w:rPr>
          <w:lang w:eastAsia="en-AU"/>
        </w:rPr>
        <w:t>Glencore was successful in its application for review and applied for an order of costs against PNO. The Tribunal declined to order costs. It appears that no party questioned the power of the Tribunal to make an order for costs under s 44KB(1) in a proceeding for review of a decision not to declare a service. The Tribunal did not address the issue and proceeded on the assumption that s 44KB(1) empowered it to make an order for costs, commenting that</w:t>
      </w:r>
      <w:r w:rsidR="00603704">
        <w:rPr>
          <w:lang w:eastAsia="en-AU"/>
        </w:rPr>
        <w:t xml:space="preserve">: “Clearly s 44KB was inserted to provide </w:t>
      </w:r>
      <w:r w:rsidR="00102722">
        <w:rPr>
          <w:lang w:eastAsia="en-AU"/>
        </w:rPr>
        <w:t>the Tribunal with a discretion to order costs in reviews of decisions of the Minister to declare, or not to declare, a service under Pt IIIA of the Act</w:t>
      </w:r>
      <w:r w:rsidR="00603704">
        <w:rPr>
          <w:lang w:eastAsia="en-AU"/>
        </w:rPr>
        <w:t>” (at [5])</w:t>
      </w:r>
      <w:r w:rsidR="00102722">
        <w:rPr>
          <w:lang w:eastAsia="en-AU"/>
        </w:rPr>
        <w:t>.</w:t>
      </w:r>
    </w:p>
    <w:p w14:paraId="6FC1D5E9" w14:textId="77777777" w:rsidR="00B0182C" w:rsidRPr="004948CC" w:rsidRDefault="00603704" w:rsidP="004948CC">
      <w:pPr>
        <w:pStyle w:val="ParaNumbering"/>
        <w:rPr>
          <w:lang w:eastAsia="en-AU"/>
        </w:rPr>
      </w:pPr>
      <w:r>
        <w:rPr>
          <w:lang w:eastAsia="en-AU"/>
        </w:rPr>
        <w:t>As presently advised, the Tribunal doubts that it has power under s 44KB(1) to make an order for costs in this proceeding, which is a proceeding for review of the Treasurer’s decision not to declare the shipping channel service under s 44K(2). However, as neither party addressed the question of power during the hearing, the Tribunal will afford PNO and NSWMC the opportunity to make further written submissions on the question of power</w:t>
      </w:r>
      <w:r w:rsidR="005606F2">
        <w:rPr>
          <w:lang w:eastAsia="en-AU"/>
        </w:rPr>
        <w:t xml:space="preserve"> and any supplementary submissions on the exercise of the Tribunal’s discretion (should the Tribunal reach the view that it has power to </w:t>
      </w:r>
      <w:r w:rsidR="005F2148">
        <w:rPr>
          <w:lang w:eastAsia="en-AU"/>
        </w:rPr>
        <w:t>make an order for</w:t>
      </w:r>
      <w:r w:rsidR="005606F2">
        <w:rPr>
          <w:lang w:eastAsia="en-AU"/>
        </w:rPr>
        <w:t xml:space="preserve"> costs).</w:t>
      </w:r>
    </w:p>
    <w:p w14:paraId="7A3833DE" w14:textId="77777777" w:rsidR="003B3028" w:rsidRDefault="003B3028" w:rsidP="003B3028">
      <w:pPr>
        <w:pStyle w:val="ParaNumbering"/>
        <w:numPr>
          <w:ilvl w:val="0"/>
          <w:numId w:val="0"/>
        </w:numPr>
        <w:rPr>
          <w:lang w:eastAsia="en-AU"/>
        </w:rPr>
      </w:pPr>
    </w:p>
    <w:tbl>
      <w:tblPr>
        <w:tblW w:w="0" w:type="auto"/>
        <w:tblLook w:val="04A0" w:firstRow="1" w:lastRow="0" w:firstColumn="1" w:lastColumn="0" w:noHBand="0" w:noVBand="1"/>
      </w:tblPr>
      <w:tblGrid>
        <w:gridCol w:w="3794"/>
      </w:tblGrid>
      <w:tr w:rsidR="00EE1533" w:rsidRPr="00860745" w14:paraId="57ECD22F" w14:textId="77777777" w:rsidTr="00CB7BA0">
        <w:tc>
          <w:tcPr>
            <w:tcW w:w="3794" w:type="dxa"/>
            <w:shd w:val="clear" w:color="auto" w:fill="auto"/>
          </w:tcPr>
          <w:p w14:paraId="592ABEF6" w14:textId="7CD02ED8" w:rsidR="00EE1533" w:rsidRPr="00860745" w:rsidRDefault="00EE1533" w:rsidP="002A791C">
            <w:pPr>
              <w:pStyle w:val="Normal1linespace"/>
            </w:pPr>
            <w:bookmarkStart w:id="89" w:name="Certification"/>
            <w:r w:rsidRPr="00860745">
              <w:lastRenderedPageBreak/>
              <w:t xml:space="preserve">I certify that the preceding </w:t>
            </w:r>
            <w:r w:rsidR="002A791C">
              <w:t>two hundred and seventy eight</w:t>
            </w:r>
            <w:r w:rsidRPr="00860745">
              <w:t xml:space="preserve"> </w:t>
            </w:r>
            <w:r w:rsidR="002A791C">
              <w:t>(278</w:t>
            </w:r>
            <w:r w:rsidRPr="00860745">
              <w:t xml:space="preserve">) numbered </w:t>
            </w:r>
            <w:bookmarkStart w:id="90" w:name="CertPara"/>
            <w:r>
              <w:t>paragraphs are</w:t>
            </w:r>
            <w:bookmarkEnd w:id="90"/>
            <w:r w:rsidRPr="00860745">
              <w:t xml:space="preserve"> a true copy of the Reasons for </w:t>
            </w:r>
            <w:r>
              <w:t>Determination</w:t>
            </w:r>
            <w:r w:rsidRPr="00860745">
              <w:t xml:space="preserve"> herein of the Honourable </w:t>
            </w:r>
            <w:bookmarkStart w:id="91" w:name="Justice"/>
            <w:r>
              <w:t>Justice O'Bryan</w:t>
            </w:r>
            <w:bookmarkEnd w:id="91"/>
            <w:r w:rsidR="00494E72">
              <w:t>, Dr D Abraham and Prof K Davis</w:t>
            </w:r>
            <w:r w:rsidRPr="00860745">
              <w:t>.</w:t>
            </w:r>
          </w:p>
        </w:tc>
      </w:tr>
    </w:tbl>
    <w:p w14:paraId="334847B7" w14:textId="2204B4D7" w:rsidR="00EE1533" w:rsidRDefault="00EE1533" w:rsidP="00EE1533">
      <w:pPr>
        <w:pStyle w:val="BodyText"/>
      </w:pPr>
    </w:p>
    <w:p w14:paraId="76F40DDF" w14:textId="77777777" w:rsidR="00EE1533" w:rsidRDefault="00EE1533" w:rsidP="00EE1533">
      <w:pPr>
        <w:pStyle w:val="BodyText"/>
      </w:pPr>
      <w:r>
        <w:t xml:space="preserve">Associate: </w:t>
      </w:r>
    </w:p>
    <w:p w14:paraId="0BC50E6A" w14:textId="77777777" w:rsidR="00EE1533" w:rsidRDefault="00EE1533" w:rsidP="00EE1533">
      <w:pPr>
        <w:pStyle w:val="BodyText"/>
      </w:pPr>
    </w:p>
    <w:p w14:paraId="21C6A94A" w14:textId="77777777" w:rsidR="004B1A7A" w:rsidRDefault="004B1A7A" w:rsidP="00EE1533">
      <w:pPr>
        <w:pStyle w:val="BodyText"/>
      </w:pPr>
    </w:p>
    <w:p w14:paraId="5D5938DF" w14:textId="77777777" w:rsidR="0051434F" w:rsidRDefault="00EE1533" w:rsidP="00CB293C">
      <w:pPr>
        <w:pStyle w:val="BodyText"/>
        <w:tabs>
          <w:tab w:val="left" w:pos="1134"/>
        </w:tabs>
      </w:pPr>
      <w:r>
        <w:t>Dated:</w:t>
      </w:r>
      <w:r w:rsidR="0092541A">
        <w:t xml:space="preserve"> </w:t>
      </w:r>
      <w:r w:rsidR="00FE79CA">
        <w:t>4</w:t>
      </w:r>
      <w:r w:rsidR="00C138DC">
        <w:t xml:space="preserve"> </w:t>
      </w:r>
      <w:r w:rsidR="00E01AA5">
        <w:t>August</w:t>
      </w:r>
      <w:r w:rsidR="0092541A">
        <w:t xml:space="preserve"> 2021</w:t>
      </w:r>
      <w:bookmarkEnd w:id="89"/>
    </w:p>
    <w:sectPr w:rsidR="0051434F"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938D7" w14:textId="77777777" w:rsidR="00E33FEA" w:rsidRDefault="00E33FEA">
      <w:pPr>
        <w:spacing w:line="20" w:lineRule="exact"/>
      </w:pPr>
    </w:p>
    <w:p w14:paraId="5AF66DEA" w14:textId="77777777" w:rsidR="00E33FEA" w:rsidRDefault="00E33FEA"/>
    <w:p w14:paraId="3AE393BB" w14:textId="77777777" w:rsidR="00E33FEA" w:rsidRDefault="00E33FEA"/>
  </w:endnote>
  <w:endnote w:type="continuationSeparator" w:id="0">
    <w:p w14:paraId="7904F812" w14:textId="77777777" w:rsidR="00E33FEA" w:rsidRDefault="00E33FEA">
      <w:r>
        <w:t xml:space="preserve"> </w:t>
      </w:r>
    </w:p>
    <w:p w14:paraId="4EADC1D3" w14:textId="77777777" w:rsidR="00E33FEA" w:rsidRDefault="00E33FEA"/>
    <w:p w14:paraId="7AF19C15" w14:textId="77777777" w:rsidR="00E33FEA" w:rsidRDefault="00E33FEA"/>
  </w:endnote>
  <w:endnote w:type="continuationNotice" w:id="1">
    <w:p w14:paraId="20175956" w14:textId="77777777" w:rsidR="00E33FEA" w:rsidRDefault="00E33FEA">
      <w:r>
        <w:t xml:space="preserve"> </w:t>
      </w:r>
    </w:p>
    <w:p w14:paraId="3ACAE8A6" w14:textId="77777777" w:rsidR="00E33FEA" w:rsidRDefault="00E33FEA"/>
    <w:p w14:paraId="154BE8D2" w14:textId="77777777" w:rsidR="00E33FEA" w:rsidRDefault="00E33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1443D" w14:textId="5C60FD43" w:rsidR="00E33FEA" w:rsidRPr="00C47B9D" w:rsidRDefault="00E33FEA" w:rsidP="00B2435E">
    <w:pPr>
      <w:pStyle w:val="Footer"/>
      <w:tabs>
        <w:tab w:val="clear" w:pos="4320"/>
        <w:tab w:val="clear" w:pos="8640"/>
        <w:tab w:val="right" w:pos="8931"/>
      </w:tabs>
      <w:spacing w:before="180" w:line="240" w:lineRule="auto"/>
      <w:jc w:val="left"/>
      <w:rPr>
        <w:bCs/>
        <w:sz w:val="18"/>
        <w:szCs w:val="18"/>
      </w:rPr>
    </w:pPr>
    <w:r>
      <w:rPr>
        <w:bCs/>
        <w:noProof/>
        <w:sz w:val="18"/>
        <w:szCs w:val="18"/>
        <w:lang w:eastAsia="en-AU"/>
      </w:rPr>
      <mc:AlternateContent>
        <mc:Choice Requires="wps">
          <w:drawing>
            <wp:anchor distT="4294967295" distB="4294967295" distL="114300" distR="114300" simplePos="0" relativeHeight="251659264" behindDoc="0" locked="0" layoutInCell="1" allowOverlap="1" wp14:anchorId="2DD73586" wp14:editId="20EA6CE9">
              <wp:simplePos x="0" y="0"/>
              <wp:positionH relativeFrom="column">
                <wp:posOffset>-28575</wp:posOffset>
              </wp:positionH>
              <wp:positionV relativeFrom="paragraph">
                <wp:posOffset>-636</wp:posOffset>
              </wp:positionV>
              <wp:extent cx="2943225" cy="0"/>
              <wp:effectExtent l="0" t="0" r="952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152E25"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" strokecolor="black [3213]">
              <o:lock v:ext="edit" shapetype="f"/>
            </v:line>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Application by New South Wales Minerals Council (No 3) [2021] </w:t>
        </w:r>
        <w:r>
          <w:rPr>
            <w:bCs/>
            <w:sz w:val="18"/>
            <w:szCs w:val="18"/>
          </w:rPr>
          <w:br/>
        </w:r>
        <w:proofErr w:type="spellStart"/>
        <w:r>
          <w:rPr>
            <w:bCs/>
            <w:sz w:val="18"/>
            <w:szCs w:val="18"/>
          </w:rPr>
          <w:t>ACompT</w:t>
        </w:r>
        <w:proofErr w:type="spellEnd"/>
        <w:r>
          <w:rPr>
            <w:bCs/>
            <w:sz w:val="18"/>
            <w:szCs w:val="18"/>
          </w:rPr>
          <w:t xml:space="preserve"> 4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9D9EC" w14:textId="755B28A8" w:rsidR="00E33FEA" w:rsidRPr="00C47B9D" w:rsidRDefault="00E33FEA" w:rsidP="00E94CBF">
    <w:pPr>
      <w:pStyle w:val="Footer"/>
      <w:tabs>
        <w:tab w:val="clear" w:pos="4320"/>
        <w:tab w:val="clear" w:pos="8640"/>
        <w:tab w:val="right" w:pos="8931"/>
      </w:tabs>
      <w:spacing w:before="180" w:line="240" w:lineRule="auto"/>
      <w:jc w:val="left"/>
      <w:rPr>
        <w:bCs/>
        <w:sz w:val="18"/>
        <w:szCs w:val="18"/>
      </w:rPr>
    </w:pPr>
    <w:r>
      <w:rPr>
        <w:bCs/>
        <w:noProof/>
        <w:sz w:val="18"/>
        <w:szCs w:val="18"/>
        <w:lang w:eastAsia="en-AU"/>
      </w:rPr>
      <mc:AlternateContent>
        <mc:Choice Requires="wps">
          <w:drawing>
            <wp:anchor distT="4294967295" distB="4294967295" distL="114300" distR="114300" simplePos="0" relativeHeight="251663360" behindDoc="0" locked="0" layoutInCell="1" allowOverlap="1" wp14:anchorId="342D2E65" wp14:editId="50080222">
              <wp:simplePos x="0" y="0"/>
              <wp:positionH relativeFrom="column">
                <wp:posOffset>-28575</wp:posOffset>
              </wp:positionH>
              <wp:positionV relativeFrom="paragraph">
                <wp:posOffset>21589</wp:posOffset>
              </wp:positionV>
              <wp:extent cx="2943225" cy="0"/>
              <wp:effectExtent l="0" t="0" r="9525"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86CEAC"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" strokecolor="black [3213]">
              <o:lock v:ext="edit" shapetype="f"/>
            </v:line>
          </w:pict>
        </mc:Fallback>
      </mc:AlternateContent>
    </w:r>
    <w:sdt>
      <w:sdtPr>
        <w:rPr>
          <w:bCs/>
          <w:sz w:val="18"/>
          <w:szCs w:val="18"/>
        </w:rPr>
        <w:tag w:val="MNC"/>
        <w:id w:val="-831216538"/>
        <w:placeholder>
          <w:docPart w:val="79D17ECFA87046279DC968802CBE033F"/>
        </w:placeholder>
        <w:dataBinding w:prefixMappings="xmlns:ns0='http://schemas.globalmacros.com/FCA'" w:xpath="/ns0:root[1]/ns0:Name[1]" w:storeItemID="{687E7CCB-4AA5-44E7-B148-17BA2B6F57C0}"/>
        <w:text w:multiLine="1"/>
      </w:sdtPr>
      <w:sdtEndPr/>
      <w:sdtContent>
        <w:r>
          <w:rPr>
            <w:bCs/>
            <w:sz w:val="18"/>
            <w:szCs w:val="18"/>
          </w:rPr>
          <w:t xml:space="preserve">Application by New South Wales Minerals Council (No 3) [2021] </w:t>
        </w:r>
        <w:r>
          <w:rPr>
            <w:bCs/>
            <w:sz w:val="18"/>
            <w:szCs w:val="18"/>
          </w:rPr>
          <w:br/>
        </w:r>
        <w:proofErr w:type="spellStart"/>
        <w:r>
          <w:rPr>
            <w:bCs/>
            <w:sz w:val="18"/>
            <w:szCs w:val="18"/>
          </w:rPr>
          <w:t>ACompT</w:t>
        </w:r>
        <w:proofErr w:type="spellEnd"/>
        <w:r>
          <w:rPr>
            <w:bCs/>
            <w:sz w:val="18"/>
            <w:szCs w:val="18"/>
          </w:rPr>
          <w:t xml:space="preserve"> 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A1952">
      <w:rPr>
        <w:bCs/>
        <w:noProof/>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855B" w14:textId="25F3693B" w:rsidR="00E33FEA" w:rsidRPr="00C47B9D" w:rsidRDefault="00E33FEA" w:rsidP="00B2435E">
    <w:pPr>
      <w:pStyle w:val="Footer"/>
      <w:tabs>
        <w:tab w:val="clear" w:pos="4320"/>
        <w:tab w:val="clear" w:pos="8640"/>
        <w:tab w:val="right" w:pos="8931"/>
      </w:tabs>
      <w:spacing w:before="180" w:line="240" w:lineRule="auto"/>
      <w:jc w:val="left"/>
      <w:rPr>
        <w:bCs/>
        <w:sz w:val="18"/>
        <w:szCs w:val="18"/>
      </w:rPr>
    </w:pPr>
    <w:r>
      <w:rPr>
        <w:bCs/>
        <w:noProof/>
        <w:sz w:val="18"/>
        <w:szCs w:val="18"/>
        <w:lang w:eastAsia="en-AU"/>
      </w:rPr>
      <mc:AlternateContent>
        <mc:Choice Requires="wps">
          <w:drawing>
            <wp:anchor distT="4294967295" distB="4294967295" distL="114300" distR="114300" simplePos="0" relativeHeight="251661312" behindDoc="0" locked="0" layoutInCell="1" allowOverlap="1" wp14:anchorId="4459B4EE" wp14:editId="61EBFFC7">
              <wp:simplePos x="0" y="0"/>
              <wp:positionH relativeFrom="column">
                <wp:posOffset>-28575</wp:posOffset>
              </wp:positionH>
              <wp:positionV relativeFrom="paragraph">
                <wp:posOffset>21589</wp:posOffset>
              </wp:positionV>
              <wp:extent cx="294322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2E58E2"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" strokecolor="black [3213]">
              <o:lock v:ext="edit" shapetype="f"/>
            </v:line>
          </w:pict>
        </mc:Fallback>
      </mc:AlternateContent>
    </w:r>
    <w:sdt>
      <w:sdtPr>
        <w:rPr>
          <w:bCs/>
          <w:sz w:val="18"/>
          <w:szCs w:val="18"/>
        </w:rPr>
        <w:tag w:val="MNC"/>
        <w:id w:val="510263260"/>
        <w:placeholder>
          <w:docPart w:val="DE4D84563DDE4DA2944D36858CA757F2"/>
        </w:placeholder>
        <w:dataBinding w:prefixMappings="xmlns:ns0='http://schemas.globalmacros.com/FCA'" w:xpath="/ns0:root[1]/ns0:Name[1]" w:storeItemID="{687E7CCB-4AA5-44E7-B148-17BA2B6F57C0}"/>
        <w:text w:multiLine="1"/>
      </w:sdtPr>
      <w:sdtEndPr/>
      <w:sdtContent>
        <w:r>
          <w:rPr>
            <w:bCs/>
            <w:sz w:val="18"/>
            <w:szCs w:val="18"/>
          </w:rPr>
          <w:t xml:space="preserve">Application by New South Wales Minerals Council (No 3) [2021] </w:t>
        </w:r>
        <w:r>
          <w:rPr>
            <w:bCs/>
            <w:sz w:val="18"/>
            <w:szCs w:val="18"/>
          </w:rPr>
          <w:br/>
        </w:r>
        <w:proofErr w:type="spellStart"/>
        <w:r>
          <w:rPr>
            <w:bCs/>
            <w:sz w:val="18"/>
            <w:szCs w:val="18"/>
          </w:rPr>
          <w:t>ACompT</w:t>
        </w:r>
        <w:proofErr w:type="spellEnd"/>
        <w:r>
          <w:rPr>
            <w:bCs/>
            <w:sz w:val="18"/>
            <w:szCs w:val="18"/>
          </w:rPr>
          <w:t xml:space="preserve"> 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A1952">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33166" w14:textId="3DAC31B4" w:rsidR="00E33FEA" w:rsidRPr="00C47B9D" w:rsidRDefault="00E33FEA" w:rsidP="00B2435E">
    <w:pPr>
      <w:pStyle w:val="Footer"/>
      <w:tabs>
        <w:tab w:val="clear" w:pos="4320"/>
        <w:tab w:val="clear" w:pos="8640"/>
        <w:tab w:val="right" w:pos="8931"/>
      </w:tabs>
      <w:spacing w:before="180" w:line="240" w:lineRule="auto"/>
      <w:jc w:val="left"/>
      <w:rPr>
        <w:bCs/>
        <w:sz w:val="18"/>
        <w:szCs w:val="18"/>
      </w:rPr>
    </w:pPr>
    <w:r>
      <w:rPr>
        <w:bCs/>
        <w:noProof/>
        <w:sz w:val="18"/>
        <w:szCs w:val="18"/>
        <w:lang w:eastAsia="en-AU"/>
      </w:rPr>
      <mc:AlternateContent>
        <mc:Choice Requires="wps">
          <w:drawing>
            <wp:anchor distT="4294967295" distB="4294967295" distL="114300" distR="114300" simplePos="0" relativeHeight="251667456" behindDoc="0" locked="0" layoutInCell="1" allowOverlap="1" wp14:anchorId="407ED8F1" wp14:editId="22B95CE9">
              <wp:simplePos x="0" y="0"/>
              <wp:positionH relativeFrom="column">
                <wp:posOffset>-28575</wp:posOffset>
              </wp:positionH>
              <wp:positionV relativeFrom="paragraph">
                <wp:posOffset>21589</wp:posOffset>
              </wp:positionV>
              <wp:extent cx="2943225" cy="0"/>
              <wp:effectExtent l="0" t="0" r="9525"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5078AE" id="Straight Connector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" strokecolor="black [3213]">
              <o:lock v:ext="edit" shapetype="f"/>
            </v:line>
          </w:pict>
        </mc:Fallback>
      </mc:AlternateContent>
    </w:r>
    <w:sdt>
      <w:sdtPr>
        <w:rPr>
          <w:bCs/>
          <w:sz w:val="18"/>
          <w:szCs w:val="18"/>
        </w:rPr>
        <w:tag w:val="MNC"/>
        <w:id w:val="1095746746"/>
        <w:placeholder>
          <w:docPart w:val="60F1B9E4134D480FB050364C62507E29"/>
        </w:placeholder>
        <w:dataBinding w:prefixMappings="xmlns:ns0='http://schemas.globalmacros.com/FCA'" w:xpath="/ns0:root[1]/ns0:Name[1]" w:storeItemID="{687E7CCB-4AA5-44E7-B148-17BA2B6F57C0}"/>
        <w:text w:multiLine="1"/>
      </w:sdtPr>
      <w:sdtEndPr/>
      <w:sdtContent>
        <w:r>
          <w:rPr>
            <w:bCs/>
            <w:sz w:val="18"/>
            <w:szCs w:val="18"/>
          </w:rPr>
          <w:t xml:space="preserve">Application by New South Wales Minerals Council (No 3) [2021] </w:t>
        </w:r>
        <w:r>
          <w:rPr>
            <w:bCs/>
            <w:sz w:val="18"/>
            <w:szCs w:val="18"/>
          </w:rPr>
          <w:br/>
        </w:r>
        <w:proofErr w:type="spellStart"/>
        <w:r>
          <w:rPr>
            <w:bCs/>
            <w:sz w:val="18"/>
            <w:szCs w:val="18"/>
          </w:rPr>
          <w:t>ACompT</w:t>
        </w:r>
        <w:proofErr w:type="spellEnd"/>
        <w:r>
          <w:rPr>
            <w:bCs/>
            <w:sz w:val="18"/>
            <w:szCs w:val="18"/>
          </w:rPr>
          <w:t xml:space="preserve"> 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A1952">
      <w:rPr>
        <w:bCs/>
        <w:noProof/>
        <w:sz w:val="20"/>
      </w:rPr>
      <w:t>90</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E0AFB" w14:textId="3753F5E7" w:rsidR="00E33FEA" w:rsidRPr="00C47B9D" w:rsidRDefault="00E33FEA" w:rsidP="00B2435E">
    <w:pPr>
      <w:pStyle w:val="Footer"/>
      <w:tabs>
        <w:tab w:val="clear" w:pos="4320"/>
        <w:tab w:val="clear" w:pos="8640"/>
        <w:tab w:val="right" w:pos="8931"/>
      </w:tabs>
      <w:spacing w:before="180" w:line="240" w:lineRule="auto"/>
      <w:jc w:val="left"/>
      <w:rPr>
        <w:bCs/>
        <w:sz w:val="18"/>
        <w:szCs w:val="18"/>
      </w:rPr>
    </w:pPr>
    <w:r>
      <w:rPr>
        <w:bCs/>
        <w:noProof/>
        <w:sz w:val="18"/>
        <w:szCs w:val="18"/>
        <w:lang w:eastAsia="en-AU"/>
      </w:rPr>
      <mc:AlternateContent>
        <mc:Choice Requires="wps">
          <w:drawing>
            <wp:anchor distT="4294967295" distB="4294967295" distL="114300" distR="114300" simplePos="0" relativeHeight="251665408" behindDoc="0" locked="0" layoutInCell="1" allowOverlap="1" wp14:anchorId="5D555E28" wp14:editId="2C5C0D05">
              <wp:simplePos x="0" y="0"/>
              <wp:positionH relativeFrom="column">
                <wp:posOffset>-28575</wp:posOffset>
              </wp:positionH>
              <wp:positionV relativeFrom="paragraph">
                <wp:posOffset>21589</wp:posOffset>
              </wp:positionV>
              <wp:extent cx="2943225" cy="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543D67" id="Straight Connector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" strokecolor="black [3213]">
              <o:lock v:ext="edit" shapetype="f"/>
            </v:line>
          </w:pict>
        </mc:Fallback>
      </mc:AlternateContent>
    </w:r>
    <w:sdt>
      <w:sdtPr>
        <w:rPr>
          <w:bCs/>
          <w:sz w:val="18"/>
          <w:szCs w:val="18"/>
        </w:rPr>
        <w:tag w:val="MNC"/>
        <w:id w:val="-1532949365"/>
        <w:dataBinding w:prefixMappings="xmlns:ns0='http://schemas.globalmacros.com/FCA'" w:xpath="/ns0:root[1]/ns0:Name[1]" w:storeItemID="{687E7CCB-4AA5-44E7-B148-17BA2B6F57C0}"/>
        <w:text w:multiLine="1"/>
      </w:sdtPr>
      <w:sdtEndPr/>
      <w:sdtContent>
        <w:r>
          <w:rPr>
            <w:bCs/>
            <w:sz w:val="18"/>
            <w:szCs w:val="18"/>
          </w:rPr>
          <w:t xml:space="preserve">Application by New South Wales Minerals Council (No 3) [2021] </w:t>
        </w:r>
        <w:r>
          <w:rPr>
            <w:bCs/>
            <w:sz w:val="18"/>
            <w:szCs w:val="18"/>
          </w:rPr>
          <w:br/>
        </w:r>
        <w:proofErr w:type="spellStart"/>
        <w:r>
          <w:rPr>
            <w:bCs/>
            <w:sz w:val="18"/>
            <w:szCs w:val="18"/>
          </w:rPr>
          <w:t>ACompT</w:t>
        </w:r>
        <w:proofErr w:type="spellEnd"/>
        <w:r>
          <w:rPr>
            <w:bCs/>
            <w:sz w:val="18"/>
            <w:szCs w:val="18"/>
          </w:rPr>
          <w:t xml:space="preserve"> 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A1952">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0FDB8" w14:textId="77777777" w:rsidR="00E33FEA" w:rsidRDefault="00E33FEA"/>
    <w:p w14:paraId="68625B73" w14:textId="77777777" w:rsidR="00E33FEA" w:rsidRDefault="00E33FEA"/>
    <w:p w14:paraId="205B424A" w14:textId="77777777" w:rsidR="00E33FEA" w:rsidRDefault="00E33FEA"/>
  </w:footnote>
  <w:footnote w:type="continuationSeparator" w:id="0">
    <w:p w14:paraId="043ABFA3" w14:textId="77777777" w:rsidR="00E33FEA" w:rsidRDefault="00E33FEA">
      <w:r>
        <w:continuationSeparator/>
      </w:r>
    </w:p>
    <w:p w14:paraId="5CD672FB" w14:textId="77777777" w:rsidR="00E33FEA" w:rsidRDefault="00E33FEA"/>
    <w:p w14:paraId="2A05EBD0" w14:textId="77777777" w:rsidR="00E33FEA" w:rsidRDefault="00E33F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28211" w14:textId="77777777" w:rsidR="00E33FEA" w:rsidRDefault="00E33FEA">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C0698" w14:textId="77777777" w:rsidR="00E33FEA" w:rsidRDefault="00E33FEA">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E7AC8" w14:textId="77777777" w:rsidR="00E33FEA" w:rsidRDefault="00E33FE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7EEF" w14:textId="77777777" w:rsidR="00E33FEA" w:rsidRDefault="00E33FEA">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210D2" w14:textId="77777777" w:rsidR="00E33FEA" w:rsidRDefault="00E33FEA"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00B94"/>
    <w:multiLevelType w:val="multilevel"/>
    <w:tmpl w:val="35B24AE4"/>
    <w:name w:val="CU"/>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1"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15:restartNumberingAfterBreak="0">
    <w:nsid w:val="0B60135A"/>
    <w:multiLevelType w:val="hybridMultilevel"/>
    <w:tmpl w:val="B720F768"/>
    <w:lvl w:ilvl="0" w:tplc="F40625B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29AE3DD1"/>
    <w:multiLevelType w:val="singleLevel"/>
    <w:tmpl w:val="5C92B9B0"/>
    <w:lvl w:ilvl="0">
      <w:start w:val="1"/>
      <w:numFmt w:val="decimal"/>
      <w:lvlRestart w:val="0"/>
      <w:pStyle w:val="ParaNumbering"/>
      <w:lvlText w:val="%1"/>
      <w:lvlJc w:val="left"/>
      <w:pPr>
        <w:tabs>
          <w:tab w:val="num" w:pos="1440"/>
        </w:tabs>
        <w:ind w:left="720" w:hanging="720"/>
      </w:pPr>
      <w:rPr>
        <w:rFonts w:hint="default"/>
        <w:sz w:val="20"/>
      </w:rPr>
    </w:lvl>
  </w:abstractNum>
  <w:abstractNum w:abstractNumId="17"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2DC34F9E"/>
    <w:multiLevelType w:val="hybridMultilevel"/>
    <w:tmpl w:val="2E84CB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494817A7"/>
    <w:multiLevelType w:val="multilevel"/>
    <w:tmpl w:val="0F0EC90E"/>
    <w:numStyleLink w:val="FCListNo"/>
  </w:abstractNum>
  <w:abstractNum w:abstractNumId="22"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FFB0923"/>
    <w:multiLevelType w:val="hybridMultilevel"/>
    <w:tmpl w:val="A79EFCD6"/>
    <w:lvl w:ilvl="0" w:tplc="397497AC">
      <w:start w:val="1"/>
      <w:numFmt w:val="decimal"/>
      <w:lvlText w:val="%1."/>
      <w:lvlJc w:val="left"/>
      <w:pPr>
        <w:ind w:left="360" w:hanging="360"/>
      </w:pPr>
      <w:rPr>
        <w:rFonts w:ascii="Times New Roman" w:hAnsi="Times New Roman" w:cs="Times New Roman"/>
        <w:b w:val="0"/>
      </w:rPr>
    </w:lvl>
    <w:lvl w:ilvl="1" w:tplc="BAE2EC42">
      <w:start w:val="1"/>
      <w:numFmt w:val="lowerLetter"/>
      <w:lvlText w:val="(%2)"/>
      <w:lvlJc w:val="left"/>
      <w:pPr>
        <w:ind w:left="1353" w:hanging="360"/>
      </w:pPr>
      <w:rPr>
        <w:rFonts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88D26AD"/>
    <w:multiLevelType w:val="multilevel"/>
    <w:tmpl w:val="35B24AE4"/>
    <w:name w:val="CU_2"/>
    <w:numStyleLink w:val="CUNumber"/>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2"/>
  </w:num>
  <w:num w:numId="15">
    <w:abstractNumId w:val="23"/>
  </w:num>
  <w:num w:numId="16">
    <w:abstractNumId w:val="28"/>
  </w:num>
  <w:num w:numId="17">
    <w:abstractNumId w:val="15"/>
  </w:num>
  <w:num w:numId="18">
    <w:abstractNumId w:val="27"/>
  </w:num>
  <w:num w:numId="19">
    <w:abstractNumId w:val="13"/>
  </w:num>
  <w:num w:numId="20">
    <w:abstractNumId w:val="20"/>
  </w:num>
  <w:num w:numId="21">
    <w:abstractNumId w:val="17"/>
  </w:num>
  <w:num w:numId="22">
    <w:abstractNumId w:val="18"/>
  </w:num>
  <w:num w:numId="23">
    <w:abstractNumId w:val="21"/>
  </w:num>
  <w:num w:numId="24">
    <w:abstractNumId w:val="11"/>
  </w:num>
  <w:num w:numId="25">
    <w:abstractNumId w:val="11"/>
  </w:num>
  <w:num w:numId="26">
    <w:abstractNumId w:val="24"/>
  </w:num>
  <w:num w:numId="27">
    <w:abstractNumId w:val="10"/>
  </w:num>
  <w:num w:numId="28">
    <w:abstractNumId w:val="26"/>
    <w:lvlOverride w:ilvl="0">
      <w:lvl w:ilvl="0">
        <w:start w:val="1"/>
        <w:numFmt w:val="decimal"/>
        <w:pStyle w:val="CUNumber1"/>
        <w:lvlText w:val="%1."/>
        <w:lvlJc w:val="left"/>
        <w:pPr>
          <w:tabs>
            <w:tab w:val="num" w:pos="964"/>
          </w:tabs>
          <w:ind w:left="964" w:hanging="964"/>
        </w:pPr>
        <w:rPr>
          <w:rFonts w:hint="default"/>
          <w:b w:val="0"/>
          <w:i w:val="0"/>
          <w:caps/>
          <w:sz w:val="24"/>
          <w:szCs w:val="24"/>
          <w:u w:val="none"/>
        </w:rPr>
      </w:lvl>
    </w:lvlOverride>
    <w:lvlOverride w:ilvl="1">
      <w:lvl w:ilvl="1">
        <w:start w:val="1"/>
        <w:numFmt w:val="decimal"/>
        <w:pStyle w:val="CUNumber2"/>
        <w:lvlText w:val="%1.%2"/>
        <w:lvlJc w:val="left"/>
        <w:pPr>
          <w:tabs>
            <w:tab w:val="num" w:pos="964"/>
          </w:tabs>
          <w:ind w:left="964" w:hanging="964"/>
        </w:pPr>
        <w:rPr>
          <w:rFonts w:asciiTheme="minorHAnsi" w:hAnsiTheme="minorHAnsi" w:cstheme="minorHAnsi" w:hint="default"/>
          <w:b w:val="0"/>
          <w:i w:val="0"/>
          <w:sz w:val="24"/>
          <w:szCs w:val="24"/>
          <w:u w:val="none"/>
        </w:rPr>
      </w:lvl>
    </w:lvlOverride>
    <w:lvlOverride w:ilvl="2">
      <w:lvl w:ilvl="2">
        <w:start w:val="1"/>
        <w:numFmt w:val="lowerLetter"/>
        <w:pStyle w:val="CUNumber3"/>
        <w:lvlText w:val="(%3)"/>
        <w:lvlJc w:val="left"/>
        <w:pPr>
          <w:tabs>
            <w:tab w:val="num" w:pos="1928"/>
          </w:tabs>
          <w:ind w:left="1928" w:hanging="964"/>
        </w:pPr>
        <w:rPr>
          <w:rFonts w:asciiTheme="minorHAnsi" w:hAnsiTheme="minorHAnsi" w:cstheme="minorHAnsi" w:hint="default"/>
          <w:b w:val="0"/>
          <w:i w:val="0"/>
          <w:sz w:val="24"/>
          <w:szCs w:val="24"/>
          <w:u w:val="none"/>
        </w:rPr>
      </w:lvl>
    </w:lvlOverride>
    <w:lvlOverride w:ilvl="3">
      <w:lvl w:ilvl="3">
        <w:start w:val="1"/>
        <w:numFmt w:val="lowerRoman"/>
        <w:pStyle w:val="CUNumber4"/>
        <w:lvlText w:val="(%4)"/>
        <w:lvlJc w:val="left"/>
        <w:pPr>
          <w:tabs>
            <w:tab w:val="num" w:pos="2891"/>
          </w:tabs>
          <w:ind w:left="2891" w:hanging="963"/>
        </w:pPr>
        <w:rPr>
          <w:rFonts w:asciiTheme="minorHAnsi" w:hAnsiTheme="minorHAnsi" w:cstheme="minorHAnsi" w:hint="default"/>
          <w:b w:val="0"/>
          <w:i w:val="0"/>
          <w:sz w:val="24"/>
          <w:szCs w:val="24"/>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29">
    <w:abstractNumId w:val="19"/>
  </w:num>
  <w:num w:numId="3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33"/>
    <w:rsid w:val="00000747"/>
    <w:rsid w:val="00000D3C"/>
    <w:rsid w:val="00001378"/>
    <w:rsid w:val="00004911"/>
    <w:rsid w:val="000115C5"/>
    <w:rsid w:val="00014368"/>
    <w:rsid w:val="0001469E"/>
    <w:rsid w:val="00015938"/>
    <w:rsid w:val="00015993"/>
    <w:rsid w:val="00017627"/>
    <w:rsid w:val="00021CCB"/>
    <w:rsid w:val="00022118"/>
    <w:rsid w:val="00022289"/>
    <w:rsid w:val="00022695"/>
    <w:rsid w:val="00023776"/>
    <w:rsid w:val="00024725"/>
    <w:rsid w:val="00025396"/>
    <w:rsid w:val="00026D04"/>
    <w:rsid w:val="000271E1"/>
    <w:rsid w:val="00027398"/>
    <w:rsid w:val="00027963"/>
    <w:rsid w:val="0003201A"/>
    <w:rsid w:val="0003207A"/>
    <w:rsid w:val="0003228A"/>
    <w:rsid w:val="00032E97"/>
    <w:rsid w:val="00032F9F"/>
    <w:rsid w:val="00035064"/>
    <w:rsid w:val="00041C07"/>
    <w:rsid w:val="00043242"/>
    <w:rsid w:val="000432BD"/>
    <w:rsid w:val="00043927"/>
    <w:rsid w:val="00043C0C"/>
    <w:rsid w:val="00043C4C"/>
    <w:rsid w:val="00044C98"/>
    <w:rsid w:val="00045BB7"/>
    <w:rsid w:val="00045D8D"/>
    <w:rsid w:val="00045FA3"/>
    <w:rsid w:val="0004614B"/>
    <w:rsid w:val="000467F9"/>
    <w:rsid w:val="0005106F"/>
    <w:rsid w:val="00051F1E"/>
    <w:rsid w:val="00052E17"/>
    <w:rsid w:val="0005547A"/>
    <w:rsid w:val="00055719"/>
    <w:rsid w:val="0005641B"/>
    <w:rsid w:val="000571D7"/>
    <w:rsid w:val="0006196A"/>
    <w:rsid w:val="00062535"/>
    <w:rsid w:val="000625D4"/>
    <w:rsid w:val="0006310B"/>
    <w:rsid w:val="00063209"/>
    <w:rsid w:val="00064227"/>
    <w:rsid w:val="00065205"/>
    <w:rsid w:val="00066A2A"/>
    <w:rsid w:val="00066D27"/>
    <w:rsid w:val="000726AD"/>
    <w:rsid w:val="00074331"/>
    <w:rsid w:val="0007458E"/>
    <w:rsid w:val="0007481F"/>
    <w:rsid w:val="00076240"/>
    <w:rsid w:val="00080006"/>
    <w:rsid w:val="00080121"/>
    <w:rsid w:val="00081497"/>
    <w:rsid w:val="000832ED"/>
    <w:rsid w:val="00085255"/>
    <w:rsid w:val="00085F81"/>
    <w:rsid w:val="00087910"/>
    <w:rsid w:val="00090BE3"/>
    <w:rsid w:val="000910A1"/>
    <w:rsid w:val="00092E68"/>
    <w:rsid w:val="00096927"/>
    <w:rsid w:val="0009779E"/>
    <w:rsid w:val="000A1192"/>
    <w:rsid w:val="000A1378"/>
    <w:rsid w:val="000A2DB7"/>
    <w:rsid w:val="000A2E76"/>
    <w:rsid w:val="000A34AB"/>
    <w:rsid w:val="000A427B"/>
    <w:rsid w:val="000A4807"/>
    <w:rsid w:val="000A4BE4"/>
    <w:rsid w:val="000A6F2B"/>
    <w:rsid w:val="000B01CE"/>
    <w:rsid w:val="000B1219"/>
    <w:rsid w:val="000B4417"/>
    <w:rsid w:val="000B61A7"/>
    <w:rsid w:val="000B771E"/>
    <w:rsid w:val="000C023E"/>
    <w:rsid w:val="000C5195"/>
    <w:rsid w:val="000C62EF"/>
    <w:rsid w:val="000C7E42"/>
    <w:rsid w:val="000D2137"/>
    <w:rsid w:val="000D2746"/>
    <w:rsid w:val="000D3A1E"/>
    <w:rsid w:val="000D3FD2"/>
    <w:rsid w:val="000D4B2E"/>
    <w:rsid w:val="000D64FE"/>
    <w:rsid w:val="000D66B3"/>
    <w:rsid w:val="000D7FCF"/>
    <w:rsid w:val="000E014A"/>
    <w:rsid w:val="000E022C"/>
    <w:rsid w:val="000E0F6F"/>
    <w:rsid w:val="000E0FD6"/>
    <w:rsid w:val="000E3FC8"/>
    <w:rsid w:val="000E4871"/>
    <w:rsid w:val="000E5E34"/>
    <w:rsid w:val="000E5F37"/>
    <w:rsid w:val="000E623F"/>
    <w:rsid w:val="000E6AAB"/>
    <w:rsid w:val="000E6B7A"/>
    <w:rsid w:val="000E6C3B"/>
    <w:rsid w:val="000E74AD"/>
    <w:rsid w:val="000E7BAE"/>
    <w:rsid w:val="000F069C"/>
    <w:rsid w:val="000F133D"/>
    <w:rsid w:val="000F21BD"/>
    <w:rsid w:val="000F27EC"/>
    <w:rsid w:val="000F2A34"/>
    <w:rsid w:val="000F6C06"/>
    <w:rsid w:val="00100C04"/>
    <w:rsid w:val="00102722"/>
    <w:rsid w:val="00102843"/>
    <w:rsid w:val="00102922"/>
    <w:rsid w:val="0010536B"/>
    <w:rsid w:val="00106242"/>
    <w:rsid w:val="001062A2"/>
    <w:rsid w:val="001069B7"/>
    <w:rsid w:val="00110D5A"/>
    <w:rsid w:val="0011145C"/>
    <w:rsid w:val="001128BD"/>
    <w:rsid w:val="001138B3"/>
    <w:rsid w:val="0011419D"/>
    <w:rsid w:val="001144DA"/>
    <w:rsid w:val="00114B02"/>
    <w:rsid w:val="00115066"/>
    <w:rsid w:val="001151F2"/>
    <w:rsid w:val="00115420"/>
    <w:rsid w:val="00120EB0"/>
    <w:rsid w:val="001226C0"/>
    <w:rsid w:val="00122EBB"/>
    <w:rsid w:val="00125ECD"/>
    <w:rsid w:val="00126EC8"/>
    <w:rsid w:val="0012731C"/>
    <w:rsid w:val="00127853"/>
    <w:rsid w:val="00132054"/>
    <w:rsid w:val="001320EC"/>
    <w:rsid w:val="0013436D"/>
    <w:rsid w:val="00134964"/>
    <w:rsid w:val="00135117"/>
    <w:rsid w:val="001351B9"/>
    <w:rsid w:val="00135A18"/>
    <w:rsid w:val="00141948"/>
    <w:rsid w:val="00143684"/>
    <w:rsid w:val="0014411E"/>
    <w:rsid w:val="00145375"/>
    <w:rsid w:val="00146DEA"/>
    <w:rsid w:val="00146F3C"/>
    <w:rsid w:val="00151303"/>
    <w:rsid w:val="00151EEC"/>
    <w:rsid w:val="0015335F"/>
    <w:rsid w:val="00153DA9"/>
    <w:rsid w:val="00155CD2"/>
    <w:rsid w:val="00155F5D"/>
    <w:rsid w:val="001610DD"/>
    <w:rsid w:val="001612DA"/>
    <w:rsid w:val="0016226A"/>
    <w:rsid w:val="0016238E"/>
    <w:rsid w:val="00164419"/>
    <w:rsid w:val="001657E3"/>
    <w:rsid w:val="001660DE"/>
    <w:rsid w:val="001677BC"/>
    <w:rsid w:val="001678A4"/>
    <w:rsid w:val="001700C6"/>
    <w:rsid w:val="001717BA"/>
    <w:rsid w:val="00171BD9"/>
    <w:rsid w:val="001727A4"/>
    <w:rsid w:val="0017376C"/>
    <w:rsid w:val="00173859"/>
    <w:rsid w:val="001738AB"/>
    <w:rsid w:val="001765E0"/>
    <w:rsid w:val="00176B01"/>
    <w:rsid w:val="00176EE7"/>
    <w:rsid w:val="00177558"/>
    <w:rsid w:val="00177759"/>
    <w:rsid w:val="0018013F"/>
    <w:rsid w:val="00180BB3"/>
    <w:rsid w:val="001819F3"/>
    <w:rsid w:val="00181D55"/>
    <w:rsid w:val="00182282"/>
    <w:rsid w:val="00184027"/>
    <w:rsid w:val="00185E6B"/>
    <w:rsid w:val="00187106"/>
    <w:rsid w:val="00187694"/>
    <w:rsid w:val="00187BBC"/>
    <w:rsid w:val="001909E5"/>
    <w:rsid w:val="001926DC"/>
    <w:rsid w:val="001932F3"/>
    <w:rsid w:val="00195D19"/>
    <w:rsid w:val="001968D9"/>
    <w:rsid w:val="00196A0A"/>
    <w:rsid w:val="001973C9"/>
    <w:rsid w:val="001A02C6"/>
    <w:rsid w:val="001A2B40"/>
    <w:rsid w:val="001A2F9A"/>
    <w:rsid w:val="001A4309"/>
    <w:rsid w:val="001A46AE"/>
    <w:rsid w:val="001A4756"/>
    <w:rsid w:val="001A5146"/>
    <w:rsid w:val="001A5390"/>
    <w:rsid w:val="001A5B70"/>
    <w:rsid w:val="001A621E"/>
    <w:rsid w:val="001A6C52"/>
    <w:rsid w:val="001B0DAF"/>
    <w:rsid w:val="001B1053"/>
    <w:rsid w:val="001B14AC"/>
    <w:rsid w:val="001B289E"/>
    <w:rsid w:val="001B32C0"/>
    <w:rsid w:val="001B3851"/>
    <w:rsid w:val="001B7940"/>
    <w:rsid w:val="001C171A"/>
    <w:rsid w:val="001C3448"/>
    <w:rsid w:val="001C37CA"/>
    <w:rsid w:val="001C4085"/>
    <w:rsid w:val="001C6F51"/>
    <w:rsid w:val="001D3554"/>
    <w:rsid w:val="001D381A"/>
    <w:rsid w:val="001D4303"/>
    <w:rsid w:val="001D48B9"/>
    <w:rsid w:val="001D5A27"/>
    <w:rsid w:val="001D5D71"/>
    <w:rsid w:val="001D6746"/>
    <w:rsid w:val="001D6B1F"/>
    <w:rsid w:val="001E03AA"/>
    <w:rsid w:val="001E03CB"/>
    <w:rsid w:val="001E09E1"/>
    <w:rsid w:val="001E16F8"/>
    <w:rsid w:val="001E315E"/>
    <w:rsid w:val="001E3B49"/>
    <w:rsid w:val="001E4219"/>
    <w:rsid w:val="001E4A05"/>
    <w:rsid w:val="001E4EE6"/>
    <w:rsid w:val="001E6C83"/>
    <w:rsid w:val="001E7388"/>
    <w:rsid w:val="001F0029"/>
    <w:rsid w:val="001F0FDC"/>
    <w:rsid w:val="001F13DD"/>
    <w:rsid w:val="001F2473"/>
    <w:rsid w:val="001F2DBC"/>
    <w:rsid w:val="001F3F50"/>
    <w:rsid w:val="001F3FF3"/>
    <w:rsid w:val="001F52E9"/>
    <w:rsid w:val="001F5E1B"/>
    <w:rsid w:val="001F5F75"/>
    <w:rsid w:val="001F6F5C"/>
    <w:rsid w:val="001F73E8"/>
    <w:rsid w:val="002011AB"/>
    <w:rsid w:val="00201670"/>
    <w:rsid w:val="0020262C"/>
    <w:rsid w:val="00202723"/>
    <w:rsid w:val="0020298E"/>
    <w:rsid w:val="0020539B"/>
    <w:rsid w:val="00206A79"/>
    <w:rsid w:val="00206B29"/>
    <w:rsid w:val="00207059"/>
    <w:rsid w:val="00211A3E"/>
    <w:rsid w:val="00213DA9"/>
    <w:rsid w:val="00215976"/>
    <w:rsid w:val="00215BCA"/>
    <w:rsid w:val="00217AC4"/>
    <w:rsid w:val="00217E65"/>
    <w:rsid w:val="00221461"/>
    <w:rsid w:val="00222483"/>
    <w:rsid w:val="0022375C"/>
    <w:rsid w:val="00223861"/>
    <w:rsid w:val="00224537"/>
    <w:rsid w:val="0022608A"/>
    <w:rsid w:val="002261CA"/>
    <w:rsid w:val="00226355"/>
    <w:rsid w:val="00227E61"/>
    <w:rsid w:val="002302F0"/>
    <w:rsid w:val="00231843"/>
    <w:rsid w:val="00232E11"/>
    <w:rsid w:val="00234E14"/>
    <w:rsid w:val="00234EB0"/>
    <w:rsid w:val="00235956"/>
    <w:rsid w:val="00237B1A"/>
    <w:rsid w:val="00240077"/>
    <w:rsid w:val="00241BAB"/>
    <w:rsid w:val="00243215"/>
    <w:rsid w:val="00243E5E"/>
    <w:rsid w:val="0024598B"/>
    <w:rsid w:val="00247259"/>
    <w:rsid w:val="00247C9A"/>
    <w:rsid w:val="0025160C"/>
    <w:rsid w:val="00251F50"/>
    <w:rsid w:val="002529D6"/>
    <w:rsid w:val="00253481"/>
    <w:rsid w:val="002535D0"/>
    <w:rsid w:val="002539B3"/>
    <w:rsid w:val="00256336"/>
    <w:rsid w:val="00256444"/>
    <w:rsid w:val="00257C3E"/>
    <w:rsid w:val="00260127"/>
    <w:rsid w:val="002602C2"/>
    <w:rsid w:val="00260C95"/>
    <w:rsid w:val="00263829"/>
    <w:rsid w:val="00263A67"/>
    <w:rsid w:val="002666C9"/>
    <w:rsid w:val="00270122"/>
    <w:rsid w:val="00270136"/>
    <w:rsid w:val="00270FD7"/>
    <w:rsid w:val="0027140A"/>
    <w:rsid w:val="00271788"/>
    <w:rsid w:val="00271EA6"/>
    <w:rsid w:val="00274F5B"/>
    <w:rsid w:val="00276653"/>
    <w:rsid w:val="00276676"/>
    <w:rsid w:val="00276FC1"/>
    <w:rsid w:val="00280836"/>
    <w:rsid w:val="00281BF8"/>
    <w:rsid w:val="00282E1A"/>
    <w:rsid w:val="002840F1"/>
    <w:rsid w:val="002842E0"/>
    <w:rsid w:val="002847C7"/>
    <w:rsid w:val="0029113B"/>
    <w:rsid w:val="0029180F"/>
    <w:rsid w:val="0029243E"/>
    <w:rsid w:val="002931EB"/>
    <w:rsid w:val="002934C0"/>
    <w:rsid w:val="00294718"/>
    <w:rsid w:val="0029764C"/>
    <w:rsid w:val="002A078C"/>
    <w:rsid w:val="002A1B50"/>
    <w:rsid w:val="002A520A"/>
    <w:rsid w:val="002A542F"/>
    <w:rsid w:val="002A6D9D"/>
    <w:rsid w:val="002A791C"/>
    <w:rsid w:val="002A7991"/>
    <w:rsid w:val="002B0E91"/>
    <w:rsid w:val="002B132C"/>
    <w:rsid w:val="002B1C14"/>
    <w:rsid w:val="002B2E94"/>
    <w:rsid w:val="002B3F23"/>
    <w:rsid w:val="002B4EB5"/>
    <w:rsid w:val="002B531D"/>
    <w:rsid w:val="002B5AF5"/>
    <w:rsid w:val="002B6779"/>
    <w:rsid w:val="002B703D"/>
    <w:rsid w:val="002B71C0"/>
    <w:rsid w:val="002B7A34"/>
    <w:rsid w:val="002C31AD"/>
    <w:rsid w:val="002C460A"/>
    <w:rsid w:val="002C7385"/>
    <w:rsid w:val="002C794D"/>
    <w:rsid w:val="002C7EC9"/>
    <w:rsid w:val="002D14D9"/>
    <w:rsid w:val="002D1807"/>
    <w:rsid w:val="002D186C"/>
    <w:rsid w:val="002D2054"/>
    <w:rsid w:val="002D2159"/>
    <w:rsid w:val="002D2DBB"/>
    <w:rsid w:val="002D37D8"/>
    <w:rsid w:val="002D4F79"/>
    <w:rsid w:val="002D54A6"/>
    <w:rsid w:val="002D6D02"/>
    <w:rsid w:val="002D749A"/>
    <w:rsid w:val="002E0009"/>
    <w:rsid w:val="002E12E7"/>
    <w:rsid w:val="002E37D8"/>
    <w:rsid w:val="002E445E"/>
    <w:rsid w:val="002E5BF9"/>
    <w:rsid w:val="002E648A"/>
    <w:rsid w:val="002E6A7A"/>
    <w:rsid w:val="002E7AB5"/>
    <w:rsid w:val="002E7B1B"/>
    <w:rsid w:val="002F038D"/>
    <w:rsid w:val="002F0577"/>
    <w:rsid w:val="002F07D4"/>
    <w:rsid w:val="002F1E49"/>
    <w:rsid w:val="002F3556"/>
    <w:rsid w:val="002F4E9C"/>
    <w:rsid w:val="002F5E16"/>
    <w:rsid w:val="002F5FD4"/>
    <w:rsid w:val="002F6182"/>
    <w:rsid w:val="002F74CE"/>
    <w:rsid w:val="002F776E"/>
    <w:rsid w:val="00301331"/>
    <w:rsid w:val="003026BB"/>
    <w:rsid w:val="00302F4E"/>
    <w:rsid w:val="00306334"/>
    <w:rsid w:val="00310FA6"/>
    <w:rsid w:val="0031256C"/>
    <w:rsid w:val="00312601"/>
    <w:rsid w:val="00314D6C"/>
    <w:rsid w:val="00316D2A"/>
    <w:rsid w:val="003204DE"/>
    <w:rsid w:val="00320E33"/>
    <w:rsid w:val="00321203"/>
    <w:rsid w:val="0032241F"/>
    <w:rsid w:val="00322A7C"/>
    <w:rsid w:val="00322AAF"/>
    <w:rsid w:val="00322EEC"/>
    <w:rsid w:val="00323061"/>
    <w:rsid w:val="003255F2"/>
    <w:rsid w:val="00325ACF"/>
    <w:rsid w:val="00325E4D"/>
    <w:rsid w:val="00325EF5"/>
    <w:rsid w:val="00333C26"/>
    <w:rsid w:val="003358D0"/>
    <w:rsid w:val="00336AF1"/>
    <w:rsid w:val="0033726C"/>
    <w:rsid w:val="00337932"/>
    <w:rsid w:val="003400A7"/>
    <w:rsid w:val="003402D3"/>
    <w:rsid w:val="00341169"/>
    <w:rsid w:val="00341861"/>
    <w:rsid w:val="003438AA"/>
    <w:rsid w:val="00343ABC"/>
    <w:rsid w:val="00344B8C"/>
    <w:rsid w:val="003453E0"/>
    <w:rsid w:val="00345A69"/>
    <w:rsid w:val="003463FE"/>
    <w:rsid w:val="00347D41"/>
    <w:rsid w:val="003506EF"/>
    <w:rsid w:val="003513E1"/>
    <w:rsid w:val="00351AC7"/>
    <w:rsid w:val="00352383"/>
    <w:rsid w:val="00353539"/>
    <w:rsid w:val="003554B3"/>
    <w:rsid w:val="00355D06"/>
    <w:rsid w:val="00356632"/>
    <w:rsid w:val="00357046"/>
    <w:rsid w:val="00357C7E"/>
    <w:rsid w:val="00365245"/>
    <w:rsid w:val="003653B6"/>
    <w:rsid w:val="00365796"/>
    <w:rsid w:val="00367925"/>
    <w:rsid w:val="00372440"/>
    <w:rsid w:val="00374B1D"/>
    <w:rsid w:val="00374CC4"/>
    <w:rsid w:val="00376B2F"/>
    <w:rsid w:val="003774B2"/>
    <w:rsid w:val="00377A4C"/>
    <w:rsid w:val="00380F2D"/>
    <w:rsid w:val="00383079"/>
    <w:rsid w:val="003845A9"/>
    <w:rsid w:val="003850C9"/>
    <w:rsid w:val="00385440"/>
    <w:rsid w:val="003878C3"/>
    <w:rsid w:val="00390883"/>
    <w:rsid w:val="00390D56"/>
    <w:rsid w:val="003912E6"/>
    <w:rsid w:val="00391582"/>
    <w:rsid w:val="003922F8"/>
    <w:rsid w:val="00392A0C"/>
    <w:rsid w:val="003937D8"/>
    <w:rsid w:val="00395379"/>
    <w:rsid w:val="00395B24"/>
    <w:rsid w:val="003A119B"/>
    <w:rsid w:val="003A182F"/>
    <w:rsid w:val="003A1952"/>
    <w:rsid w:val="003A1A4A"/>
    <w:rsid w:val="003A2A35"/>
    <w:rsid w:val="003A2D38"/>
    <w:rsid w:val="003A4EB2"/>
    <w:rsid w:val="003A598E"/>
    <w:rsid w:val="003A666B"/>
    <w:rsid w:val="003A6F45"/>
    <w:rsid w:val="003A7ECC"/>
    <w:rsid w:val="003B067A"/>
    <w:rsid w:val="003B1F65"/>
    <w:rsid w:val="003B2C72"/>
    <w:rsid w:val="003B2E3A"/>
    <w:rsid w:val="003B3028"/>
    <w:rsid w:val="003B580F"/>
    <w:rsid w:val="003B58B4"/>
    <w:rsid w:val="003B5FB1"/>
    <w:rsid w:val="003B7E22"/>
    <w:rsid w:val="003B7F3C"/>
    <w:rsid w:val="003C1333"/>
    <w:rsid w:val="003C20FF"/>
    <w:rsid w:val="003C2592"/>
    <w:rsid w:val="003C37E8"/>
    <w:rsid w:val="003C3BE3"/>
    <w:rsid w:val="003C3E83"/>
    <w:rsid w:val="003C4E35"/>
    <w:rsid w:val="003C550A"/>
    <w:rsid w:val="003C6055"/>
    <w:rsid w:val="003C7E9A"/>
    <w:rsid w:val="003D1230"/>
    <w:rsid w:val="003D1393"/>
    <w:rsid w:val="003D2650"/>
    <w:rsid w:val="003D2B63"/>
    <w:rsid w:val="003D3AF9"/>
    <w:rsid w:val="003D560C"/>
    <w:rsid w:val="003D5C00"/>
    <w:rsid w:val="003D72DB"/>
    <w:rsid w:val="003E1B5A"/>
    <w:rsid w:val="003E1CFA"/>
    <w:rsid w:val="003E200A"/>
    <w:rsid w:val="003E3154"/>
    <w:rsid w:val="003E5874"/>
    <w:rsid w:val="003E5F7E"/>
    <w:rsid w:val="003E6602"/>
    <w:rsid w:val="003E6DD3"/>
    <w:rsid w:val="003E72D3"/>
    <w:rsid w:val="003F053E"/>
    <w:rsid w:val="003F179B"/>
    <w:rsid w:val="003F193E"/>
    <w:rsid w:val="003F242C"/>
    <w:rsid w:val="003F267C"/>
    <w:rsid w:val="003F34F1"/>
    <w:rsid w:val="003F578E"/>
    <w:rsid w:val="003F7027"/>
    <w:rsid w:val="00402BC3"/>
    <w:rsid w:val="00403EC6"/>
    <w:rsid w:val="00404235"/>
    <w:rsid w:val="00406382"/>
    <w:rsid w:val="004077F8"/>
    <w:rsid w:val="004102C4"/>
    <w:rsid w:val="004104B6"/>
    <w:rsid w:val="00411AE8"/>
    <w:rsid w:val="00412876"/>
    <w:rsid w:val="00413B74"/>
    <w:rsid w:val="00415BBA"/>
    <w:rsid w:val="00417D4B"/>
    <w:rsid w:val="00420200"/>
    <w:rsid w:val="004204B0"/>
    <w:rsid w:val="004204CF"/>
    <w:rsid w:val="004207EA"/>
    <w:rsid w:val="00420907"/>
    <w:rsid w:val="00426F04"/>
    <w:rsid w:val="00430A4E"/>
    <w:rsid w:val="00431E2D"/>
    <w:rsid w:val="00431E37"/>
    <w:rsid w:val="004325DD"/>
    <w:rsid w:val="0043332C"/>
    <w:rsid w:val="00433546"/>
    <w:rsid w:val="00433592"/>
    <w:rsid w:val="004342F3"/>
    <w:rsid w:val="004347A1"/>
    <w:rsid w:val="00435C5F"/>
    <w:rsid w:val="00435DF7"/>
    <w:rsid w:val="00436155"/>
    <w:rsid w:val="00436818"/>
    <w:rsid w:val="0043702B"/>
    <w:rsid w:val="00437076"/>
    <w:rsid w:val="004373EA"/>
    <w:rsid w:val="00437932"/>
    <w:rsid w:val="00441E98"/>
    <w:rsid w:val="00441EB3"/>
    <w:rsid w:val="0044203D"/>
    <w:rsid w:val="00443116"/>
    <w:rsid w:val="0044410B"/>
    <w:rsid w:val="00444112"/>
    <w:rsid w:val="00446DA6"/>
    <w:rsid w:val="0044742F"/>
    <w:rsid w:val="00450569"/>
    <w:rsid w:val="00450F3A"/>
    <w:rsid w:val="00451129"/>
    <w:rsid w:val="004519F1"/>
    <w:rsid w:val="00451A9C"/>
    <w:rsid w:val="00452B22"/>
    <w:rsid w:val="00453293"/>
    <w:rsid w:val="004532F7"/>
    <w:rsid w:val="00454D7C"/>
    <w:rsid w:val="004559FF"/>
    <w:rsid w:val="00456CD2"/>
    <w:rsid w:val="00457575"/>
    <w:rsid w:val="00457DF2"/>
    <w:rsid w:val="00462C29"/>
    <w:rsid w:val="00464244"/>
    <w:rsid w:val="00464D51"/>
    <w:rsid w:val="004650A0"/>
    <w:rsid w:val="0046592C"/>
    <w:rsid w:val="00466C8A"/>
    <w:rsid w:val="00467F87"/>
    <w:rsid w:val="00472027"/>
    <w:rsid w:val="00472656"/>
    <w:rsid w:val="00474843"/>
    <w:rsid w:val="0047510A"/>
    <w:rsid w:val="004752C1"/>
    <w:rsid w:val="004804CF"/>
    <w:rsid w:val="004834C4"/>
    <w:rsid w:val="00484962"/>
    <w:rsid w:val="00484F6D"/>
    <w:rsid w:val="00484FB7"/>
    <w:rsid w:val="0048536F"/>
    <w:rsid w:val="0048554D"/>
    <w:rsid w:val="00485758"/>
    <w:rsid w:val="00485B59"/>
    <w:rsid w:val="00487486"/>
    <w:rsid w:val="00487E19"/>
    <w:rsid w:val="00491201"/>
    <w:rsid w:val="0049338A"/>
    <w:rsid w:val="00493EBD"/>
    <w:rsid w:val="0049417F"/>
    <w:rsid w:val="004948CC"/>
    <w:rsid w:val="00494E72"/>
    <w:rsid w:val="0049642B"/>
    <w:rsid w:val="00496D41"/>
    <w:rsid w:val="00497709"/>
    <w:rsid w:val="004A2623"/>
    <w:rsid w:val="004A2E8A"/>
    <w:rsid w:val="004A45AD"/>
    <w:rsid w:val="004A57CC"/>
    <w:rsid w:val="004A6602"/>
    <w:rsid w:val="004A6AD1"/>
    <w:rsid w:val="004A7FF8"/>
    <w:rsid w:val="004B0426"/>
    <w:rsid w:val="004B1A7A"/>
    <w:rsid w:val="004B2453"/>
    <w:rsid w:val="004B31E6"/>
    <w:rsid w:val="004B3EFA"/>
    <w:rsid w:val="004B5BC4"/>
    <w:rsid w:val="004B6DAB"/>
    <w:rsid w:val="004B6FAB"/>
    <w:rsid w:val="004B795E"/>
    <w:rsid w:val="004B7F7D"/>
    <w:rsid w:val="004C0E06"/>
    <w:rsid w:val="004C1245"/>
    <w:rsid w:val="004C2A87"/>
    <w:rsid w:val="004C4D7B"/>
    <w:rsid w:val="004C4ED3"/>
    <w:rsid w:val="004C4FEC"/>
    <w:rsid w:val="004C538B"/>
    <w:rsid w:val="004C5B98"/>
    <w:rsid w:val="004C667B"/>
    <w:rsid w:val="004C7D3A"/>
    <w:rsid w:val="004C7ECD"/>
    <w:rsid w:val="004D0BAD"/>
    <w:rsid w:val="004D1E1D"/>
    <w:rsid w:val="004D2EA5"/>
    <w:rsid w:val="004D32A6"/>
    <w:rsid w:val="004D4181"/>
    <w:rsid w:val="004D4440"/>
    <w:rsid w:val="004D53E5"/>
    <w:rsid w:val="004D72AA"/>
    <w:rsid w:val="004E00B7"/>
    <w:rsid w:val="004E3496"/>
    <w:rsid w:val="004E4056"/>
    <w:rsid w:val="004E523B"/>
    <w:rsid w:val="004E582D"/>
    <w:rsid w:val="004E6895"/>
    <w:rsid w:val="004E6DC4"/>
    <w:rsid w:val="004E71AB"/>
    <w:rsid w:val="004E7A25"/>
    <w:rsid w:val="004E7C4A"/>
    <w:rsid w:val="004E7D63"/>
    <w:rsid w:val="004F0758"/>
    <w:rsid w:val="004F0915"/>
    <w:rsid w:val="004F147E"/>
    <w:rsid w:val="004F21C1"/>
    <w:rsid w:val="004F279D"/>
    <w:rsid w:val="004F2B51"/>
    <w:rsid w:val="004F2E52"/>
    <w:rsid w:val="004F3C94"/>
    <w:rsid w:val="004F49F9"/>
    <w:rsid w:val="00501A12"/>
    <w:rsid w:val="0050309C"/>
    <w:rsid w:val="00510D9D"/>
    <w:rsid w:val="0051140A"/>
    <w:rsid w:val="0051327C"/>
    <w:rsid w:val="0051346D"/>
    <w:rsid w:val="00513EAE"/>
    <w:rsid w:val="0051434F"/>
    <w:rsid w:val="00515975"/>
    <w:rsid w:val="00516806"/>
    <w:rsid w:val="00516EF9"/>
    <w:rsid w:val="0052098C"/>
    <w:rsid w:val="00520B0E"/>
    <w:rsid w:val="00521F22"/>
    <w:rsid w:val="00524CD9"/>
    <w:rsid w:val="00525A49"/>
    <w:rsid w:val="005260AE"/>
    <w:rsid w:val="005262D1"/>
    <w:rsid w:val="00526942"/>
    <w:rsid w:val="00527F60"/>
    <w:rsid w:val="00530876"/>
    <w:rsid w:val="005329CD"/>
    <w:rsid w:val="005337BB"/>
    <w:rsid w:val="00534AD7"/>
    <w:rsid w:val="00534F16"/>
    <w:rsid w:val="00535613"/>
    <w:rsid w:val="005356FC"/>
    <w:rsid w:val="005359EB"/>
    <w:rsid w:val="0054254A"/>
    <w:rsid w:val="00544320"/>
    <w:rsid w:val="00544F1F"/>
    <w:rsid w:val="0054500B"/>
    <w:rsid w:val="005452BD"/>
    <w:rsid w:val="005466B5"/>
    <w:rsid w:val="0055042D"/>
    <w:rsid w:val="00551063"/>
    <w:rsid w:val="00552E8D"/>
    <w:rsid w:val="00553A2F"/>
    <w:rsid w:val="00554314"/>
    <w:rsid w:val="00554EF5"/>
    <w:rsid w:val="00555110"/>
    <w:rsid w:val="00556700"/>
    <w:rsid w:val="0055727B"/>
    <w:rsid w:val="005606F2"/>
    <w:rsid w:val="00560922"/>
    <w:rsid w:val="00560D7D"/>
    <w:rsid w:val="00561121"/>
    <w:rsid w:val="00562829"/>
    <w:rsid w:val="005629B3"/>
    <w:rsid w:val="00562AC6"/>
    <w:rsid w:val="00565789"/>
    <w:rsid w:val="005666AB"/>
    <w:rsid w:val="005724F6"/>
    <w:rsid w:val="00573AC4"/>
    <w:rsid w:val="005746E8"/>
    <w:rsid w:val="00574E95"/>
    <w:rsid w:val="0057515F"/>
    <w:rsid w:val="00575188"/>
    <w:rsid w:val="00576B3E"/>
    <w:rsid w:val="005801FC"/>
    <w:rsid w:val="00580727"/>
    <w:rsid w:val="00583A51"/>
    <w:rsid w:val="00584D3D"/>
    <w:rsid w:val="00585614"/>
    <w:rsid w:val="0058576F"/>
    <w:rsid w:val="00585BA9"/>
    <w:rsid w:val="00586AC5"/>
    <w:rsid w:val="00586C35"/>
    <w:rsid w:val="00587359"/>
    <w:rsid w:val="005877C2"/>
    <w:rsid w:val="005903D1"/>
    <w:rsid w:val="0059370C"/>
    <w:rsid w:val="00594701"/>
    <w:rsid w:val="00595016"/>
    <w:rsid w:val="00597AAE"/>
    <w:rsid w:val="005A05C3"/>
    <w:rsid w:val="005A15F7"/>
    <w:rsid w:val="005A18BA"/>
    <w:rsid w:val="005A19CA"/>
    <w:rsid w:val="005A1E63"/>
    <w:rsid w:val="005A1FFD"/>
    <w:rsid w:val="005A222C"/>
    <w:rsid w:val="005A4196"/>
    <w:rsid w:val="005A4DF8"/>
    <w:rsid w:val="005A5ADA"/>
    <w:rsid w:val="005A5D71"/>
    <w:rsid w:val="005A78C8"/>
    <w:rsid w:val="005B1426"/>
    <w:rsid w:val="005B237B"/>
    <w:rsid w:val="005B452F"/>
    <w:rsid w:val="005B48BA"/>
    <w:rsid w:val="005B5027"/>
    <w:rsid w:val="005B6353"/>
    <w:rsid w:val="005C0A7E"/>
    <w:rsid w:val="005C0A8E"/>
    <w:rsid w:val="005C1314"/>
    <w:rsid w:val="005C1767"/>
    <w:rsid w:val="005C185C"/>
    <w:rsid w:val="005C1BC4"/>
    <w:rsid w:val="005C3234"/>
    <w:rsid w:val="005C35F6"/>
    <w:rsid w:val="005C42EF"/>
    <w:rsid w:val="005C433E"/>
    <w:rsid w:val="005C5305"/>
    <w:rsid w:val="005D09C6"/>
    <w:rsid w:val="005D1DC2"/>
    <w:rsid w:val="005D2147"/>
    <w:rsid w:val="005D2B8D"/>
    <w:rsid w:val="005D3E96"/>
    <w:rsid w:val="005D717A"/>
    <w:rsid w:val="005E02F5"/>
    <w:rsid w:val="005E0510"/>
    <w:rsid w:val="005E176E"/>
    <w:rsid w:val="005E218E"/>
    <w:rsid w:val="005E35A0"/>
    <w:rsid w:val="005E39D8"/>
    <w:rsid w:val="005E3D3C"/>
    <w:rsid w:val="005E476F"/>
    <w:rsid w:val="005E6DDA"/>
    <w:rsid w:val="005F0D1B"/>
    <w:rsid w:val="005F1865"/>
    <w:rsid w:val="005F2148"/>
    <w:rsid w:val="005F25EF"/>
    <w:rsid w:val="005F4506"/>
    <w:rsid w:val="005F4DC8"/>
    <w:rsid w:val="005F73AF"/>
    <w:rsid w:val="005F7D6E"/>
    <w:rsid w:val="006003D3"/>
    <w:rsid w:val="006007BD"/>
    <w:rsid w:val="00600920"/>
    <w:rsid w:val="006013C8"/>
    <w:rsid w:val="00602436"/>
    <w:rsid w:val="0060270D"/>
    <w:rsid w:val="00603704"/>
    <w:rsid w:val="00603B15"/>
    <w:rsid w:val="00604611"/>
    <w:rsid w:val="0060573D"/>
    <w:rsid w:val="00611586"/>
    <w:rsid w:val="006119FF"/>
    <w:rsid w:val="00612D26"/>
    <w:rsid w:val="006138F1"/>
    <w:rsid w:val="00615855"/>
    <w:rsid w:val="0061683A"/>
    <w:rsid w:val="00617EEE"/>
    <w:rsid w:val="00620DA8"/>
    <w:rsid w:val="00621887"/>
    <w:rsid w:val="006226BE"/>
    <w:rsid w:val="00624520"/>
    <w:rsid w:val="0062455F"/>
    <w:rsid w:val="006271F5"/>
    <w:rsid w:val="00627626"/>
    <w:rsid w:val="0063129B"/>
    <w:rsid w:val="00631F2F"/>
    <w:rsid w:val="00632300"/>
    <w:rsid w:val="00632BB7"/>
    <w:rsid w:val="006343B7"/>
    <w:rsid w:val="00635B36"/>
    <w:rsid w:val="00636871"/>
    <w:rsid w:val="00640BA3"/>
    <w:rsid w:val="00640EE1"/>
    <w:rsid w:val="00640F4E"/>
    <w:rsid w:val="006415F6"/>
    <w:rsid w:val="00641C35"/>
    <w:rsid w:val="006420A9"/>
    <w:rsid w:val="00642609"/>
    <w:rsid w:val="00643C4B"/>
    <w:rsid w:val="00643DE0"/>
    <w:rsid w:val="0064437D"/>
    <w:rsid w:val="006448F6"/>
    <w:rsid w:val="00644E85"/>
    <w:rsid w:val="00647F4D"/>
    <w:rsid w:val="00650C16"/>
    <w:rsid w:val="00650FF3"/>
    <w:rsid w:val="0065163A"/>
    <w:rsid w:val="00651C23"/>
    <w:rsid w:val="0065239F"/>
    <w:rsid w:val="006527E7"/>
    <w:rsid w:val="00652C52"/>
    <w:rsid w:val="00653193"/>
    <w:rsid w:val="00655EE5"/>
    <w:rsid w:val="00656185"/>
    <w:rsid w:val="00656C92"/>
    <w:rsid w:val="00660112"/>
    <w:rsid w:val="00660356"/>
    <w:rsid w:val="0066063F"/>
    <w:rsid w:val="00661873"/>
    <w:rsid w:val="00662BB0"/>
    <w:rsid w:val="00663878"/>
    <w:rsid w:val="00664EBD"/>
    <w:rsid w:val="006665CB"/>
    <w:rsid w:val="00666AFC"/>
    <w:rsid w:val="00667773"/>
    <w:rsid w:val="006679D9"/>
    <w:rsid w:val="00670743"/>
    <w:rsid w:val="00673308"/>
    <w:rsid w:val="00674FC4"/>
    <w:rsid w:val="006760D9"/>
    <w:rsid w:val="006761FB"/>
    <w:rsid w:val="00680A85"/>
    <w:rsid w:val="00681ADF"/>
    <w:rsid w:val="00683872"/>
    <w:rsid w:val="006862E9"/>
    <w:rsid w:val="00690EE2"/>
    <w:rsid w:val="006921B8"/>
    <w:rsid w:val="00692B27"/>
    <w:rsid w:val="00692F11"/>
    <w:rsid w:val="00692FC4"/>
    <w:rsid w:val="00693854"/>
    <w:rsid w:val="00694BEB"/>
    <w:rsid w:val="006965EF"/>
    <w:rsid w:val="00697717"/>
    <w:rsid w:val="006A055A"/>
    <w:rsid w:val="006A0E20"/>
    <w:rsid w:val="006A179F"/>
    <w:rsid w:val="006A1A4F"/>
    <w:rsid w:val="006A1F07"/>
    <w:rsid w:val="006A24E3"/>
    <w:rsid w:val="006A4BAF"/>
    <w:rsid w:val="006A4DD7"/>
    <w:rsid w:val="006A4DDD"/>
    <w:rsid w:val="006A5695"/>
    <w:rsid w:val="006A7DC3"/>
    <w:rsid w:val="006B01C7"/>
    <w:rsid w:val="006B0439"/>
    <w:rsid w:val="006B3904"/>
    <w:rsid w:val="006B532D"/>
    <w:rsid w:val="006B546F"/>
    <w:rsid w:val="006B5B7D"/>
    <w:rsid w:val="006B7F31"/>
    <w:rsid w:val="006C2CB6"/>
    <w:rsid w:val="006C48A1"/>
    <w:rsid w:val="006C5129"/>
    <w:rsid w:val="006C5B46"/>
    <w:rsid w:val="006C5CE9"/>
    <w:rsid w:val="006C6E39"/>
    <w:rsid w:val="006C6E9A"/>
    <w:rsid w:val="006D0ECF"/>
    <w:rsid w:val="006D1E0C"/>
    <w:rsid w:val="006D3D5B"/>
    <w:rsid w:val="006D403B"/>
    <w:rsid w:val="006D4C92"/>
    <w:rsid w:val="006D4EB6"/>
    <w:rsid w:val="006D633A"/>
    <w:rsid w:val="006E08A6"/>
    <w:rsid w:val="006E1F5D"/>
    <w:rsid w:val="006E35BF"/>
    <w:rsid w:val="006E61F0"/>
    <w:rsid w:val="006E6B86"/>
    <w:rsid w:val="006E6DF3"/>
    <w:rsid w:val="006E7850"/>
    <w:rsid w:val="006E7C51"/>
    <w:rsid w:val="006F3F59"/>
    <w:rsid w:val="006F46D6"/>
    <w:rsid w:val="006F5162"/>
    <w:rsid w:val="006F75D3"/>
    <w:rsid w:val="006F7CD5"/>
    <w:rsid w:val="007028D9"/>
    <w:rsid w:val="0070314D"/>
    <w:rsid w:val="00704340"/>
    <w:rsid w:val="0070581B"/>
    <w:rsid w:val="00707218"/>
    <w:rsid w:val="007076E0"/>
    <w:rsid w:val="00710D04"/>
    <w:rsid w:val="00711053"/>
    <w:rsid w:val="007123C3"/>
    <w:rsid w:val="00712B1D"/>
    <w:rsid w:val="00713706"/>
    <w:rsid w:val="00715751"/>
    <w:rsid w:val="00715826"/>
    <w:rsid w:val="00716F6B"/>
    <w:rsid w:val="00716F9E"/>
    <w:rsid w:val="007171BA"/>
    <w:rsid w:val="00717616"/>
    <w:rsid w:val="00717664"/>
    <w:rsid w:val="00724579"/>
    <w:rsid w:val="00724AA0"/>
    <w:rsid w:val="0072505B"/>
    <w:rsid w:val="007252D0"/>
    <w:rsid w:val="0072732D"/>
    <w:rsid w:val="007277ED"/>
    <w:rsid w:val="0073060F"/>
    <w:rsid w:val="00731172"/>
    <w:rsid w:val="0073244D"/>
    <w:rsid w:val="007325D9"/>
    <w:rsid w:val="0073284D"/>
    <w:rsid w:val="0073510E"/>
    <w:rsid w:val="0073583B"/>
    <w:rsid w:val="007360CA"/>
    <w:rsid w:val="00736334"/>
    <w:rsid w:val="00736BA9"/>
    <w:rsid w:val="00736D41"/>
    <w:rsid w:val="00741976"/>
    <w:rsid w:val="00741D4C"/>
    <w:rsid w:val="00742036"/>
    <w:rsid w:val="00742BA2"/>
    <w:rsid w:val="00744F3A"/>
    <w:rsid w:val="00745DAB"/>
    <w:rsid w:val="007461BD"/>
    <w:rsid w:val="0074667B"/>
    <w:rsid w:val="007470BD"/>
    <w:rsid w:val="0074728A"/>
    <w:rsid w:val="007475AD"/>
    <w:rsid w:val="00747B3F"/>
    <w:rsid w:val="00750353"/>
    <w:rsid w:val="00750623"/>
    <w:rsid w:val="00750A53"/>
    <w:rsid w:val="0075617D"/>
    <w:rsid w:val="00757B3F"/>
    <w:rsid w:val="00760EC0"/>
    <w:rsid w:val="00763391"/>
    <w:rsid w:val="007638FF"/>
    <w:rsid w:val="00763C7A"/>
    <w:rsid w:val="00765B20"/>
    <w:rsid w:val="007668DD"/>
    <w:rsid w:val="00767571"/>
    <w:rsid w:val="007711BD"/>
    <w:rsid w:val="00772075"/>
    <w:rsid w:val="00772D22"/>
    <w:rsid w:val="00772F4F"/>
    <w:rsid w:val="007731D6"/>
    <w:rsid w:val="007737EB"/>
    <w:rsid w:val="00774E5D"/>
    <w:rsid w:val="00776EC8"/>
    <w:rsid w:val="00777C8E"/>
    <w:rsid w:val="0078003A"/>
    <w:rsid w:val="00780771"/>
    <w:rsid w:val="00781198"/>
    <w:rsid w:val="00782C70"/>
    <w:rsid w:val="007835B6"/>
    <w:rsid w:val="00784645"/>
    <w:rsid w:val="00785975"/>
    <w:rsid w:val="00785EA3"/>
    <w:rsid w:val="007909E8"/>
    <w:rsid w:val="00790B1F"/>
    <w:rsid w:val="00790FC0"/>
    <w:rsid w:val="0079129A"/>
    <w:rsid w:val="00792939"/>
    <w:rsid w:val="007929CF"/>
    <w:rsid w:val="00794A6C"/>
    <w:rsid w:val="007A1A72"/>
    <w:rsid w:val="007A2146"/>
    <w:rsid w:val="007A3AEC"/>
    <w:rsid w:val="007A49E7"/>
    <w:rsid w:val="007A5106"/>
    <w:rsid w:val="007A5992"/>
    <w:rsid w:val="007A6F28"/>
    <w:rsid w:val="007A72C2"/>
    <w:rsid w:val="007B03C6"/>
    <w:rsid w:val="007B0DB1"/>
    <w:rsid w:val="007B140B"/>
    <w:rsid w:val="007B315A"/>
    <w:rsid w:val="007B3F00"/>
    <w:rsid w:val="007B5673"/>
    <w:rsid w:val="007B7238"/>
    <w:rsid w:val="007B76FF"/>
    <w:rsid w:val="007C11B9"/>
    <w:rsid w:val="007C3BF6"/>
    <w:rsid w:val="007C483D"/>
    <w:rsid w:val="007C5ABD"/>
    <w:rsid w:val="007C67B3"/>
    <w:rsid w:val="007C6911"/>
    <w:rsid w:val="007D00A2"/>
    <w:rsid w:val="007D01A2"/>
    <w:rsid w:val="007D0FD2"/>
    <w:rsid w:val="007D2EF8"/>
    <w:rsid w:val="007D32D4"/>
    <w:rsid w:val="007D4C30"/>
    <w:rsid w:val="007D4E85"/>
    <w:rsid w:val="007D561F"/>
    <w:rsid w:val="007D7384"/>
    <w:rsid w:val="007D7FD2"/>
    <w:rsid w:val="007E13D9"/>
    <w:rsid w:val="007E1D30"/>
    <w:rsid w:val="007E2399"/>
    <w:rsid w:val="007E2AEC"/>
    <w:rsid w:val="007E3718"/>
    <w:rsid w:val="007E4068"/>
    <w:rsid w:val="007E408F"/>
    <w:rsid w:val="007E41BE"/>
    <w:rsid w:val="007E4A8D"/>
    <w:rsid w:val="007E4DB6"/>
    <w:rsid w:val="007E6733"/>
    <w:rsid w:val="007E7CD4"/>
    <w:rsid w:val="007F02EC"/>
    <w:rsid w:val="007F0C58"/>
    <w:rsid w:val="007F12AC"/>
    <w:rsid w:val="007F3003"/>
    <w:rsid w:val="007F4501"/>
    <w:rsid w:val="007F56B7"/>
    <w:rsid w:val="007F60DF"/>
    <w:rsid w:val="007F62F9"/>
    <w:rsid w:val="007F7B9C"/>
    <w:rsid w:val="007F7C8A"/>
    <w:rsid w:val="007F7CE3"/>
    <w:rsid w:val="00801800"/>
    <w:rsid w:val="00801861"/>
    <w:rsid w:val="00801B5B"/>
    <w:rsid w:val="008025C6"/>
    <w:rsid w:val="00802778"/>
    <w:rsid w:val="008034CA"/>
    <w:rsid w:val="00803EF3"/>
    <w:rsid w:val="00805DB5"/>
    <w:rsid w:val="00810AB2"/>
    <w:rsid w:val="00810F99"/>
    <w:rsid w:val="00811574"/>
    <w:rsid w:val="008122C3"/>
    <w:rsid w:val="00813944"/>
    <w:rsid w:val="00813D93"/>
    <w:rsid w:val="0081508D"/>
    <w:rsid w:val="00815967"/>
    <w:rsid w:val="00816075"/>
    <w:rsid w:val="00816DFC"/>
    <w:rsid w:val="00817708"/>
    <w:rsid w:val="008177CA"/>
    <w:rsid w:val="008177D3"/>
    <w:rsid w:val="00820930"/>
    <w:rsid w:val="008216E7"/>
    <w:rsid w:val="00821E60"/>
    <w:rsid w:val="008239E9"/>
    <w:rsid w:val="008240D1"/>
    <w:rsid w:val="00824B56"/>
    <w:rsid w:val="00825BE6"/>
    <w:rsid w:val="008264BB"/>
    <w:rsid w:val="00826774"/>
    <w:rsid w:val="008268A8"/>
    <w:rsid w:val="008276B4"/>
    <w:rsid w:val="00830B2E"/>
    <w:rsid w:val="00831927"/>
    <w:rsid w:val="00832CF6"/>
    <w:rsid w:val="00834E62"/>
    <w:rsid w:val="00837288"/>
    <w:rsid w:val="00840FDA"/>
    <w:rsid w:val="0084129D"/>
    <w:rsid w:val="008413A0"/>
    <w:rsid w:val="00841659"/>
    <w:rsid w:val="00841BD3"/>
    <w:rsid w:val="00841D91"/>
    <w:rsid w:val="0084273D"/>
    <w:rsid w:val="00843022"/>
    <w:rsid w:val="00843F1B"/>
    <w:rsid w:val="00844E3F"/>
    <w:rsid w:val="00845A83"/>
    <w:rsid w:val="00846BB9"/>
    <w:rsid w:val="0084770B"/>
    <w:rsid w:val="00847792"/>
    <w:rsid w:val="008510B2"/>
    <w:rsid w:val="008511F8"/>
    <w:rsid w:val="00851A18"/>
    <w:rsid w:val="00856126"/>
    <w:rsid w:val="00857DA9"/>
    <w:rsid w:val="008608E1"/>
    <w:rsid w:val="008637C6"/>
    <w:rsid w:val="008649D5"/>
    <w:rsid w:val="00864B94"/>
    <w:rsid w:val="00865051"/>
    <w:rsid w:val="00865536"/>
    <w:rsid w:val="00867DC8"/>
    <w:rsid w:val="008712BB"/>
    <w:rsid w:val="008712C0"/>
    <w:rsid w:val="00874EB2"/>
    <w:rsid w:val="008762F2"/>
    <w:rsid w:val="00877078"/>
    <w:rsid w:val="008771C6"/>
    <w:rsid w:val="00877319"/>
    <w:rsid w:val="0088072F"/>
    <w:rsid w:val="00882D72"/>
    <w:rsid w:val="008830E7"/>
    <w:rsid w:val="008838FD"/>
    <w:rsid w:val="00884AD5"/>
    <w:rsid w:val="00890DFA"/>
    <w:rsid w:val="00890EDE"/>
    <w:rsid w:val="0089299D"/>
    <w:rsid w:val="00892B38"/>
    <w:rsid w:val="00893076"/>
    <w:rsid w:val="00895918"/>
    <w:rsid w:val="00896233"/>
    <w:rsid w:val="008964EC"/>
    <w:rsid w:val="00896733"/>
    <w:rsid w:val="0089783A"/>
    <w:rsid w:val="00897CB3"/>
    <w:rsid w:val="00897E63"/>
    <w:rsid w:val="008A02D9"/>
    <w:rsid w:val="008A037A"/>
    <w:rsid w:val="008A0D8A"/>
    <w:rsid w:val="008A1741"/>
    <w:rsid w:val="008A2484"/>
    <w:rsid w:val="008A4C67"/>
    <w:rsid w:val="008A4C76"/>
    <w:rsid w:val="008A52F3"/>
    <w:rsid w:val="008A630B"/>
    <w:rsid w:val="008B0145"/>
    <w:rsid w:val="008B052A"/>
    <w:rsid w:val="008B5424"/>
    <w:rsid w:val="008B5980"/>
    <w:rsid w:val="008B5F7C"/>
    <w:rsid w:val="008B7B98"/>
    <w:rsid w:val="008C26D9"/>
    <w:rsid w:val="008C2805"/>
    <w:rsid w:val="008C36B7"/>
    <w:rsid w:val="008C4CEE"/>
    <w:rsid w:val="008C6D50"/>
    <w:rsid w:val="008C7167"/>
    <w:rsid w:val="008C7503"/>
    <w:rsid w:val="008D04B6"/>
    <w:rsid w:val="008D1406"/>
    <w:rsid w:val="008D1617"/>
    <w:rsid w:val="008D1C8D"/>
    <w:rsid w:val="008D330F"/>
    <w:rsid w:val="008D48C1"/>
    <w:rsid w:val="008D54F8"/>
    <w:rsid w:val="008D5DF6"/>
    <w:rsid w:val="008D6F81"/>
    <w:rsid w:val="008D72BE"/>
    <w:rsid w:val="008E432E"/>
    <w:rsid w:val="008E5AA8"/>
    <w:rsid w:val="008E6315"/>
    <w:rsid w:val="008E6B42"/>
    <w:rsid w:val="008E6D75"/>
    <w:rsid w:val="008E7DF8"/>
    <w:rsid w:val="008F013C"/>
    <w:rsid w:val="008F07FC"/>
    <w:rsid w:val="008F11E0"/>
    <w:rsid w:val="008F1547"/>
    <w:rsid w:val="008F21D3"/>
    <w:rsid w:val="008F3801"/>
    <w:rsid w:val="008F3E34"/>
    <w:rsid w:val="008F3EA7"/>
    <w:rsid w:val="008F66FC"/>
    <w:rsid w:val="008F72D5"/>
    <w:rsid w:val="008F78BC"/>
    <w:rsid w:val="008F7B63"/>
    <w:rsid w:val="008F7B74"/>
    <w:rsid w:val="008F7D6A"/>
    <w:rsid w:val="00900924"/>
    <w:rsid w:val="00900DA7"/>
    <w:rsid w:val="00901642"/>
    <w:rsid w:val="00901C86"/>
    <w:rsid w:val="009026D1"/>
    <w:rsid w:val="009026E9"/>
    <w:rsid w:val="00902F99"/>
    <w:rsid w:val="00903603"/>
    <w:rsid w:val="009054CB"/>
    <w:rsid w:val="00906B9C"/>
    <w:rsid w:val="0091160A"/>
    <w:rsid w:val="00911F8D"/>
    <w:rsid w:val="00912F94"/>
    <w:rsid w:val="00916E97"/>
    <w:rsid w:val="009171BC"/>
    <w:rsid w:val="0092112F"/>
    <w:rsid w:val="009211D8"/>
    <w:rsid w:val="0092497E"/>
    <w:rsid w:val="00924FD0"/>
    <w:rsid w:val="0092541A"/>
    <w:rsid w:val="0092590B"/>
    <w:rsid w:val="00925BF3"/>
    <w:rsid w:val="00925E60"/>
    <w:rsid w:val="0092640F"/>
    <w:rsid w:val="009264B3"/>
    <w:rsid w:val="0092743A"/>
    <w:rsid w:val="00931E09"/>
    <w:rsid w:val="009358F8"/>
    <w:rsid w:val="009359FE"/>
    <w:rsid w:val="009365E0"/>
    <w:rsid w:val="00937D07"/>
    <w:rsid w:val="00941702"/>
    <w:rsid w:val="0094224E"/>
    <w:rsid w:val="00942BA2"/>
    <w:rsid w:val="009432B7"/>
    <w:rsid w:val="00944BC5"/>
    <w:rsid w:val="00944C86"/>
    <w:rsid w:val="00945086"/>
    <w:rsid w:val="009455B6"/>
    <w:rsid w:val="009477B6"/>
    <w:rsid w:val="00947C02"/>
    <w:rsid w:val="00947FCF"/>
    <w:rsid w:val="00950BE6"/>
    <w:rsid w:val="00951CE0"/>
    <w:rsid w:val="00951EA4"/>
    <w:rsid w:val="009521B7"/>
    <w:rsid w:val="00952B7F"/>
    <w:rsid w:val="00954A5D"/>
    <w:rsid w:val="00956643"/>
    <w:rsid w:val="00957DE8"/>
    <w:rsid w:val="00957FFB"/>
    <w:rsid w:val="00960E6E"/>
    <w:rsid w:val="00960ECB"/>
    <w:rsid w:val="009615D6"/>
    <w:rsid w:val="00963533"/>
    <w:rsid w:val="00963A39"/>
    <w:rsid w:val="00966667"/>
    <w:rsid w:val="00966993"/>
    <w:rsid w:val="009671F0"/>
    <w:rsid w:val="00967855"/>
    <w:rsid w:val="009716FB"/>
    <w:rsid w:val="00972400"/>
    <w:rsid w:val="00972583"/>
    <w:rsid w:val="009735C1"/>
    <w:rsid w:val="00974709"/>
    <w:rsid w:val="009751C6"/>
    <w:rsid w:val="0097784C"/>
    <w:rsid w:val="00980736"/>
    <w:rsid w:val="00980C8D"/>
    <w:rsid w:val="00981159"/>
    <w:rsid w:val="00981A39"/>
    <w:rsid w:val="00982D56"/>
    <w:rsid w:val="00983DBF"/>
    <w:rsid w:val="00987097"/>
    <w:rsid w:val="009873EC"/>
    <w:rsid w:val="00990672"/>
    <w:rsid w:val="00991123"/>
    <w:rsid w:val="00991CAB"/>
    <w:rsid w:val="00991EC4"/>
    <w:rsid w:val="00991FEF"/>
    <w:rsid w:val="00992E8F"/>
    <w:rsid w:val="00993330"/>
    <w:rsid w:val="00995D2B"/>
    <w:rsid w:val="009A1A15"/>
    <w:rsid w:val="009A31D5"/>
    <w:rsid w:val="009A35A3"/>
    <w:rsid w:val="009A3893"/>
    <w:rsid w:val="009A3A9C"/>
    <w:rsid w:val="009A4F6A"/>
    <w:rsid w:val="009B046C"/>
    <w:rsid w:val="009B13FA"/>
    <w:rsid w:val="009B1E2D"/>
    <w:rsid w:val="009B237F"/>
    <w:rsid w:val="009B3D14"/>
    <w:rsid w:val="009B4180"/>
    <w:rsid w:val="009B4E5D"/>
    <w:rsid w:val="009B7F25"/>
    <w:rsid w:val="009C1D82"/>
    <w:rsid w:val="009C27D1"/>
    <w:rsid w:val="009C4806"/>
    <w:rsid w:val="009C48B9"/>
    <w:rsid w:val="009C55D5"/>
    <w:rsid w:val="009C59FB"/>
    <w:rsid w:val="009C6D7A"/>
    <w:rsid w:val="009C6F3B"/>
    <w:rsid w:val="009C7051"/>
    <w:rsid w:val="009C750C"/>
    <w:rsid w:val="009C78FB"/>
    <w:rsid w:val="009D1467"/>
    <w:rsid w:val="009D328D"/>
    <w:rsid w:val="009D391B"/>
    <w:rsid w:val="009E1CFC"/>
    <w:rsid w:val="009E1E24"/>
    <w:rsid w:val="009E2DAB"/>
    <w:rsid w:val="009E4228"/>
    <w:rsid w:val="009E4B44"/>
    <w:rsid w:val="009E4FA6"/>
    <w:rsid w:val="009E694F"/>
    <w:rsid w:val="009E7D93"/>
    <w:rsid w:val="009F0B46"/>
    <w:rsid w:val="009F12F6"/>
    <w:rsid w:val="009F17C2"/>
    <w:rsid w:val="009F1956"/>
    <w:rsid w:val="009F3C34"/>
    <w:rsid w:val="009F42D3"/>
    <w:rsid w:val="009F462C"/>
    <w:rsid w:val="009F4EC0"/>
    <w:rsid w:val="009F51ED"/>
    <w:rsid w:val="009F5C33"/>
    <w:rsid w:val="00A019A7"/>
    <w:rsid w:val="00A020B4"/>
    <w:rsid w:val="00A026F0"/>
    <w:rsid w:val="00A02BD2"/>
    <w:rsid w:val="00A03EAC"/>
    <w:rsid w:val="00A04DBB"/>
    <w:rsid w:val="00A06220"/>
    <w:rsid w:val="00A06701"/>
    <w:rsid w:val="00A07D8E"/>
    <w:rsid w:val="00A07EA0"/>
    <w:rsid w:val="00A07F67"/>
    <w:rsid w:val="00A1125A"/>
    <w:rsid w:val="00A11351"/>
    <w:rsid w:val="00A11CA6"/>
    <w:rsid w:val="00A11D11"/>
    <w:rsid w:val="00A11D9E"/>
    <w:rsid w:val="00A120AC"/>
    <w:rsid w:val="00A12669"/>
    <w:rsid w:val="00A135EC"/>
    <w:rsid w:val="00A154C2"/>
    <w:rsid w:val="00A15F82"/>
    <w:rsid w:val="00A1659C"/>
    <w:rsid w:val="00A20C49"/>
    <w:rsid w:val="00A21EA4"/>
    <w:rsid w:val="00A22253"/>
    <w:rsid w:val="00A22932"/>
    <w:rsid w:val="00A236C3"/>
    <w:rsid w:val="00A23BFE"/>
    <w:rsid w:val="00A23FB7"/>
    <w:rsid w:val="00A23FC8"/>
    <w:rsid w:val="00A250F1"/>
    <w:rsid w:val="00A25F7C"/>
    <w:rsid w:val="00A263F1"/>
    <w:rsid w:val="00A269CA"/>
    <w:rsid w:val="00A336EE"/>
    <w:rsid w:val="00A33DFA"/>
    <w:rsid w:val="00A33F46"/>
    <w:rsid w:val="00A3427E"/>
    <w:rsid w:val="00A346E8"/>
    <w:rsid w:val="00A347D0"/>
    <w:rsid w:val="00A3509C"/>
    <w:rsid w:val="00A359AC"/>
    <w:rsid w:val="00A366D7"/>
    <w:rsid w:val="00A40B13"/>
    <w:rsid w:val="00A40F83"/>
    <w:rsid w:val="00A410FB"/>
    <w:rsid w:val="00A41413"/>
    <w:rsid w:val="00A41626"/>
    <w:rsid w:val="00A41975"/>
    <w:rsid w:val="00A431E6"/>
    <w:rsid w:val="00A436E8"/>
    <w:rsid w:val="00A44696"/>
    <w:rsid w:val="00A449D1"/>
    <w:rsid w:val="00A45FB1"/>
    <w:rsid w:val="00A46CCC"/>
    <w:rsid w:val="00A47275"/>
    <w:rsid w:val="00A478E2"/>
    <w:rsid w:val="00A47996"/>
    <w:rsid w:val="00A50686"/>
    <w:rsid w:val="00A50817"/>
    <w:rsid w:val="00A51CFE"/>
    <w:rsid w:val="00A5204D"/>
    <w:rsid w:val="00A52EF1"/>
    <w:rsid w:val="00A61605"/>
    <w:rsid w:val="00A6281F"/>
    <w:rsid w:val="00A62D42"/>
    <w:rsid w:val="00A63452"/>
    <w:rsid w:val="00A65F97"/>
    <w:rsid w:val="00A6646C"/>
    <w:rsid w:val="00A670F3"/>
    <w:rsid w:val="00A67ACB"/>
    <w:rsid w:val="00A70D8D"/>
    <w:rsid w:val="00A720E0"/>
    <w:rsid w:val="00A74549"/>
    <w:rsid w:val="00A75555"/>
    <w:rsid w:val="00A76C13"/>
    <w:rsid w:val="00A80266"/>
    <w:rsid w:val="00A827CF"/>
    <w:rsid w:val="00A83103"/>
    <w:rsid w:val="00A83C4A"/>
    <w:rsid w:val="00A84FD0"/>
    <w:rsid w:val="00A85419"/>
    <w:rsid w:val="00A860D4"/>
    <w:rsid w:val="00A86833"/>
    <w:rsid w:val="00A86F7D"/>
    <w:rsid w:val="00A919BE"/>
    <w:rsid w:val="00A91CBE"/>
    <w:rsid w:val="00A926EE"/>
    <w:rsid w:val="00A92A03"/>
    <w:rsid w:val="00A92CE4"/>
    <w:rsid w:val="00A92E79"/>
    <w:rsid w:val="00A950B6"/>
    <w:rsid w:val="00A95D45"/>
    <w:rsid w:val="00A96161"/>
    <w:rsid w:val="00A979A4"/>
    <w:rsid w:val="00AA12F6"/>
    <w:rsid w:val="00AA5397"/>
    <w:rsid w:val="00AA6579"/>
    <w:rsid w:val="00AA6993"/>
    <w:rsid w:val="00AB0543"/>
    <w:rsid w:val="00AB13FC"/>
    <w:rsid w:val="00AB1B90"/>
    <w:rsid w:val="00AB3652"/>
    <w:rsid w:val="00AB41C1"/>
    <w:rsid w:val="00AB49CB"/>
    <w:rsid w:val="00AB4CF2"/>
    <w:rsid w:val="00AB559F"/>
    <w:rsid w:val="00AB65AF"/>
    <w:rsid w:val="00AB6CCA"/>
    <w:rsid w:val="00AB7840"/>
    <w:rsid w:val="00AB7C2C"/>
    <w:rsid w:val="00AC0AC7"/>
    <w:rsid w:val="00AC0B7B"/>
    <w:rsid w:val="00AC223F"/>
    <w:rsid w:val="00AC304E"/>
    <w:rsid w:val="00AC33B1"/>
    <w:rsid w:val="00AC4B48"/>
    <w:rsid w:val="00AC54EE"/>
    <w:rsid w:val="00AC658F"/>
    <w:rsid w:val="00AC748A"/>
    <w:rsid w:val="00AD09AE"/>
    <w:rsid w:val="00AD12A8"/>
    <w:rsid w:val="00AD12FE"/>
    <w:rsid w:val="00AD1AAA"/>
    <w:rsid w:val="00AD2E2E"/>
    <w:rsid w:val="00AE023F"/>
    <w:rsid w:val="00AE12FA"/>
    <w:rsid w:val="00AE180C"/>
    <w:rsid w:val="00AE4354"/>
    <w:rsid w:val="00AE5069"/>
    <w:rsid w:val="00AE5616"/>
    <w:rsid w:val="00AE6345"/>
    <w:rsid w:val="00AF1873"/>
    <w:rsid w:val="00AF1F87"/>
    <w:rsid w:val="00AF285D"/>
    <w:rsid w:val="00AF289B"/>
    <w:rsid w:val="00AF2C6A"/>
    <w:rsid w:val="00AF3577"/>
    <w:rsid w:val="00AF35F9"/>
    <w:rsid w:val="00AF4E5B"/>
    <w:rsid w:val="00AF5034"/>
    <w:rsid w:val="00AF5EF8"/>
    <w:rsid w:val="00AF6E15"/>
    <w:rsid w:val="00AF76F5"/>
    <w:rsid w:val="00AF7A1F"/>
    <w:rsid w:val="00B009D9"/>
    <w:rsid w:val="00B0182C"/>
    <w:rsid w:val="00B0424C"/>
    <w:rsid w:val="00B05C39"/>
    <w:rsid w:val="00B05C7D"/>
    <w:rsid w:val="00B06836"/>
    <w:rsid w:val="00B107C1"/>
    <w:rsid w:val="00B1280E"/>
    <w:rsid w:val="00B15D57"/>
    <w:rsid w:val="00B16347"/>
    <w:rsid w:val="00B16604"/>
    <w:rsid w:val="00B17D6E"/>
    <w:rsid w:val="00B2017B"/>
    <w:rsid w:val="00B2059E"/>
    <w:rsid w:val="00B2122C"/>
    <w:rsid w:val="00B21D8C"/>
    <w:rsid w:val="00B224B9"/>
    <w:rsid w:val="00B22849"/>
    <w:rsid w:val="00B2435E"/>
    <w:rsid w:val="00B24BBF"/>
    <w:rsid w:val="00B303A3"/>
    <w:rsid w:val="00B30C88"/>
    <w:rsid w:val="00B31491"/>
    <w:rsid w:val="00B319B6"/>
    <w:rsid w:val="00B33B2B"/>
    <w:rsid w:val="00B346C3"/>
    <w:rsid w:val="00B4005C"/>
    <w:rsid w:val="00B40A6A"/>
    <w:rsid w:val="00B41849"/>
    <w:rsid w:val="00B4227E"/>
    <w:rsid w:val="00B42592"/>
    <w:rsid w:val="00B42645"/>
    <w:rsid w:val="00B4315D"/>
    <w:rsid w:val="00B4471C"/>
    <w:rsid w:val="00B44A76"/>
    <w:rsid w:val="00B451A6"/>
    <w:rsid w:val="00B478EE"/>
    <w:rsid w:val="00B47976"/>
    <w:rsid w:val="00B53D64"/>
    <w:rsid w:val="00B54549"/>
    <w:rsid w:val="00B55CBA"/>
    <w:rsid w:val="00B562D7"/>
    <w:rsid w:val="00B56D6E"/>
    <w:rsid w:val="00B61E93"/>
    <w:rsid w:val="00B63854"/>
    <w:rsid w:val="00B63D9B"/>
    <w:rsid w:val="00B64263"/>
    <w:rsid w:val="00B64347"/>
    <w:rsid w:val="00B649B0"/>
    <w:rsid w:val="00B65DC6"/>
    <w:rsid w:val="00B660BC"/>
    <w:rsid w:val="00B67AC2"/>
    <w:rsid w:val="00B707EE"/>
    <w:rsid w:val="00B722DE"/>
    <w:rsid w:val="00B751E3"/>
    <w:rsid w:val="00B75BA6"/>
    <w:rsid w:val="00B75CB7"/>
    <w:rsid w:val="00B75EAB"/>
    <w:rsid w:val="00B761C3"/>
    <w:rsid w:val="00B76B7A"/>
    <w:rsid w:val="00B76C44"/>
    <w:rsid w:val="00B77236"/>
    <w:rsid w:val="00B8184A"/>
    <w:rsid w:val="00B81A48"/>
    <w:rsid w:val="00B82283"/>
    <w:rsid w:val="00B828D8"/>
    <w:rsid w:val="00B8330D"/>
    <w:rsid w:val="00B83F87"/>
    <w:rsid w:val="00B840E8"/>
    <w:rsid w:val="00B87785"/>
    <w:rsid w:val="00B87CDC"/>
    <w:rsid w:val="00B90BA7"/>
    <w:rsid w:val="00B910C1"/>
    <w:rsid w:val="00B95D21"/>
    <w:rsid w:val="00B9664D"/>
    <w:rsid w:val="00B96889"/>
    <w:rsid w:val="00B97579"/>
    <w:rsid w:val="00BA0B40"/>
    <w:rsid w:val="00BA0BB7"/>
    <w:rsid w:val="00BA13EF"/>
    <w:rsid w:val="00BA294D"/>
    <w:rsid w:val="00BA2CA4"/>
    <w:rsid w:val="00BA2EFA"/>
    <w:rsid w:val="00BA3C35"/>
    <w:rsid w:val="00BA3C69"/>
    <w:rsid w:val="00BA3DBC"/>
    <w:rsid w:val="00BA3FA8"/>
    <w:rsid w:val="00BA707A"/>
    <w:rsid w:val="00BA7DE9"/>
    <w:rsid w:val="00BB0F6E"/>
    <w:rsid w:val="00BB0F7C"/>
    <w:rsid w:val="00BB1944"/>
    <w:rsid w:val="00BB1AFB"/>
    <w:rsid w:val="00BB27AE"/>
    <w:rsid w:val="00BB2DA2"/>
    <w:rsid w:val="00BB2FC2"/>
    <w:rsid w:val="00BB4178"/>
    <w:rsid w:val="00BB4E80"/>
    <w:rsid w:val="00BB56DC"/>
    <w:rsid w:val="00BC4D73"/>
    <w:rsid w:val="00BC6E66"/>
    <w:rsid w:val="00BD0B8A"/>
    <w:rsid w:val="00BD1F9C"/>
    <w:rsid w:val="00BD29FE"/>
    <w:rsid w:val="00BD4036"/>
    <w:rsid w:val="00BD7C65"/>
    <w:rsid w:val="00BE0A68"/>
    <w:rsid w:val="00BE0F02"/>
    <w:rsid w:val="00BE183D"/>
    <w:rsid w:val="00BE2BF8"/>
    <w:rsid w:val="00BE303C"/>
    <w:rsid w:val="00BE3593"/>
    <w:rsid w:val="00BE5F99"/>
    <w:rsid w:val="00BF1085"/>
    <w:rsid w:val="00BF1A55"/>
    <w:rsid w:val="00BF2635"/>
    <w:rsid w:val="00BF2B84"/>
    <w:rsid w:val="00BF5CB6"/>
    <w:rsid w:val="00BF5D7A"/>
    <w:rsid w:val="00BF5F90"/>
    <w:rsid w:val="00BF7FD8"/>
    <w:rsid w:val="00C01C2E"/>
    <w:rsid w:val="00C0208B"/>
    <w:rsid w:val="00C02833"/>
    <w:rsid w:val="00C02B73"/>
    <w:rsid w:val="00C02D33"/>
    <w:rsid w:val="00C0382F"/>
    <w:rsid w:val="00C04B53"/>
    <w:rsid w:val="00C05FAD"/>
    <w:rsid w:val="00C0752F"/>
    <w:rsid w:val="00C079C3"/>
    <w:rsid w:val="00C07BE2"/>
    <w:rsid w:val="00C1060D"/>
    <w:rsid w:val="00C11864"/>
    <w:rsid w:val="00C12154"/>
    <w:rsid w:val="00C1232C"/>
    <w:rsid w:val="00C13795"/>
    <w:rsid w:val="00C138DC"/>
    <w:rsid w:val="00C1403D"/>
    <w:rsid w:val="00C160EF"/>
    <w:rsid w:val="00C163ED"/>
    <w:rsid w:val="00C1653D"/>
    <w:rsid w:val="00C213E1"/>
    <w:rsid w:val="00C22E0D"/>
    <w:rsid w:val="00C2647F"/>
    <w:rsid w:val="00C2662E"/>
    <w:rsid w:val="00C27C6B"/>
    <w:rsid w:val="00C3006A"/>
    <w:rsid w:val="00C30566"/>
    <w:rsid w:val="00C31053"/>
    <w:rsid w:val="00C3594D"/>
    <w:rsid w:val="00C36442"/>
    <w:rsid w:val="00C36C42"/>
    <w:rsid w:val="00C400CE"/>
    <w:rsid w:val="00C40915"/>
    <w:rsid w:val="00C410FD"/>
    <w:rsid w:val="00C414E0"/>
    <w:rsid w:val="00C41834"/>
    <w:rsid w:val="00C457DE"/>
    <w:rsid w:val="00C463DC"/>
    <w:rsid w:val="00C47166"/>
    <w:rsid w:val="00C47967"/>
    <w:rsid w:val="00C47B3E"/>
    <w:rsid w:val="00C47DD3"/>
    <w:rsid w:val="00C5027E"/>
    <w:rsid w:val="00C51656"/>
    <w:rsid w:val="00C51886"/>
    <w:rsid w:val="00C53393"/>
    <w:rsid w:val="00C5349C"/>
    <w:rsid w:val="00C53562"/>
    <w:rsid w:val="00C539FB"/>
    <w:rsid w:val="00C5428D"/>
    <w:rsid w:val="00C54C67"/>
    <w:rsid w:val="00C5758C"/>
    <w:rsid w:val="00C57C10"/>
    <w:rsid w:val="00C60721"/>
    <w:rsid w:val="00C6132B"/>
    <w:rsid w:val="00C63030"/>
    <w:rsid w:val="00C63E53"/>
    <w:rsid w:val="00C64858"/>
    <w:rsid w:val="00C65D90"/>
    <w:rsid w:val="00C66DEC"/>
    <w:rsid w:val="00C66E57"/>
    <w:rsid w:val="00C66F29"/>
    <w:rsid w:val="00C7000D"/>
    <w:rsid w:val="00C715C4"/>
    <w:rsid w:val="00C74150"/>
    <w:rsid w:val="00C744CC"/>
    <w:rsid w:val="00C749AC"/>
    <w:rsid w:val="00C75594"/>
    <w:rsid w:val="00C772BA"/>
    <w:rsid w:val="00C80A7D"/>
    <w:rsid w:val="00C8107A"/>
    <w:rsid w:val="00C8178C"/>
    <w:rsid w:val="00C82AFB"/>
    <w:rsid w:val="00C8394A"/>
    <w:rsid w:val="00C83DBC"/>
    <w:rsid w:val="00C83F0F"/>
    <w:rsid w:val="00C8447E"/>
    <w:rsid w:val="00C85982"/>
    <w:rsid w:val="00C9010D"/>
    <w:rsid w:val="00C91AFD"/>
    <w:rsid w:val="00C91D24"/>
    <w:rsid w:val="00C93E73"/>
    <w:rsid w:val="00C94697"/>
    <w:rsid w:val="00C95A7A"/>
    <w:rsid w:val="00CA0466"/>
    <w:rsid w:val="00CA1269"/>
    <w:rsid w:val="00CA246D"/>
    <w:rsid w:val="00CA3B98"/>
    <w:rsid w:val="00CA50D9"/>
    <w:rsid w:val="00CA5766"/>
    <w:rsid w:val="00CA7839"/>
    <w:rsid w:val="00CB268E"/>
    <w:rsid w:val="00CB293C"/>
    <w:rsid w:val="00CB3054"/>
    <w:rsid w:val="00CB47B2"/>
    <w:rsid w:val="00CB5636"/>
    <w:rsid w:val="00CB5DA1"/>
    <w:rsid w:val="00CB7625"/>
    <w:rsid w:val="00CB7BA0"/>
    <w:rsid w:val="00CC0277"/>
    <w:rsid w:val="00CC0998"/>
    <w:rsid w:val="00CC0BA5"/>
    <w:rsid w:val="00CC3841"/>
    <w:rsid w:val="00CC3EE5"/>
    <w:rsid w:val="00CC4DE0"/>
    <w:rsid w:val="00CD11E3"/>
    <w:rsid w:val="00CD1987"/>
    <w:rsid w:val="00CD1F5B"/>
    <w:rsid w:val="00CD3078"/>
    <w:rsid w:val="00CD30C3"/>
    <w:rsid w:val="00CD3B2E"/>
    <w:rsid w:val="00CD3D55"/>
    <w:rsid w:val="00CD7509"/>
    <w:rsid w:val="00CE0FAF"/>
    <w:rsid w:val="00CE1283"/>
    <w:rsid w:val="00CE1D2D"/>
    <w:rsid w:val="00CE2959"/>
    <w:rsid w:val="00CE425C"/>
    <w:rsid w:val="00CE454B"/>
    <w:rsid w:val="00CE48CA"/>
    <w:rsid w:val="00CE4DC4"/>
    <w:rsid w:val="00CE58AC"/>
    <w:rsid w:val="00CF3C70"/>
    <w:rsid w:val="00CF589E"/>
    <w:rsid w:val="00CF5A80"/>
    <w:rsid w:val="00CF63B6"/>
    <w:rsid w:val="00CF73FB"/>
    <w:rsid w:val="00D01263"/>
    <w:rsid w:val="00D045EE"/>
    <w:rsid w:val="00D04F3F"/>
    <w:rsid w:val="00D05091"/>
    <w:rsid w:val="00D07844"/>
    <w:rsid w:val="00D10CA6"/>
    <w:rsid w:val="00D10F21"/>
    <w:rsid w:val="00D134CF"/>
    <w:rsid w:val="00D145A7"/>
    <w:rsid w:val="00D15714"/>
    <w:rsid w:val="00D1573B"/>
    <w:rsid w:val="00D15A71"/>
    <w:rsid w:val="00D1716E"/>
    <w:rsid w:val="00D211B4"/>
    <w:rsid w:val="00D22005"/>
    <w:rsid w:val="00D23213"/>
    <w:rsid w:val="00D24806"/>
    <w:rsid w:val="00D26658"/>
    <w:rsid w:val="00D27B8D"/>
    <w:rsid w:val="00D3101A"/>
    <w:rsid w:val="00D31E21"/>
    <w:rsid w:val="00D321AB"/>
    <w:rsid w:val="00D32C91"/>
    <w:rsid w:val="00D34040"/>
    <w:rsid w:val="00D3430B"/>
    <w:rsid w:val="00D34E69"/>
    <w:rsid w:val="00D36C78"/>
    <w:rsid w:val="00D375EE"/>
    <w:rsid w:val="00D42A77"/>
    <w:rsid w:val="00D43C16"/>
    <w:rsid w:val="00D455EE"/>
    <w:rsid w:val="00D45FF3"/>
    <w:rsid w:val="00D460CF"/>
    <w:rsid w:val="00D51953"/>
    <w:rsid w:val="00D51E48"/>
    <w:rsid w:val="00D52B61"/>
    <w:rsid w:val="00D52F5F"/>
    <w:rsid w:val="00D5326B"/>
    <w:rsid w:val="00D5508A"/>
    <w:rsid w:val="00D55AE8"/>
    <w:rsid w:val="00D56056"/>
    <w:rsid w:val="00D56262"/>
    <w:rsid w:val="00D6085F"/>
    <w:rsid w:val="00D60A80"/>
    <w:rsid w:val="00D62699"/>
    <w:rsid w:val="00D62EAE"/>
    <w:rsid w:val="00D66BED"/>
    <w:rsid w:val="00D67CEB"/>
    <w:rsid w:val="00D7055F"/>
    <w:rsid w:val="00D705F0"/>
    <w:rsid w:val="00D70B32"/>
    <w:rsid w:val="00D7185D"/>
    <w:rsid w:val="00D71E9A"/>
    <w:rsid w:val="00D731FE"/>
    <w:rsid w:val="00D7399A"/>
    <w:rsid w:val="00D75986"/>
    <w:rsid w:val="00D75F4F"/>
    <w:rsid w:val="00D778E9"/>
    <w:rsid w:val="00D77D8A"/>
    <w:rsid w:val="00D812BF"/>
    <w:rsid w:val="00D82620"/>
    <w:rsid w:val="00D83661"/>
    <w:rsid w:val="00D8496C"/>
    <w:rsid w:val="00D85707"/>
    <w:rsid w:val="00D8642D"/>
    <w:rsid w:val="00D877E4"/>
    <w:rsid w:val="00D905AA"/>
    <w:rsid w:val="00D91E6D"/>
    <w:rsid w:val="00D920F3"/>
    <w:rsid w:val="00D93FDC"/>
    <w:rsid w:val="00D94ADA"/>
    <w:rsid w:val="00D94D01"/>
    <w:rsid w:val="00D9725F"/>
    <w:rsid w:val="00DA01B1"/>
    <w:rsid w:val="00DA03CC"/>
    <w:rsid w:val="00DA049D"/>
    <w:rsid w:val="00DA0B75"/>
    <w:rsid w:val="00DA11A2"/>
    <w:rsid w:val="00DA14ED"/>
    <w:rsid w:val="00DA26D6"/>
    <w:rsid w:val="00DA3AAA"/>
    <w:rsid w:val="00DA66A9"/>
    <w:rsid w:val="00DA6721"/>
    <w:rsid w:val="00DA7027"/>
    <w:rsid w:val="00DB060A"/>
    <w:rsid w:val="00DB0780"/>
    <w:rsid w:val="00DB0B83"/>
    <w:rsid w:val="00DB2308"/>
    <w:rsid w:val="00DB2512"/>
    <w:rsid w:val="00DB2EF1"/>
    <w:rsid w:val="00DB3DE1"/>
    <w:rsid w:val="00DB5DA0"/>
    <w:rsid w:val="00DB716C"/>
    <w:rsid w:val="00DC117C"/>
    <w:rsid w:val="00DC539C"/>
    <w:rsid w:val="00DC5C85"/>
    <w:rsid w:val="00DC7585"/>
    <w:rsid w:val="00DC7C5D"/>
    <w:rsid w:val="00DD4236"/>
    <w:rsid w:val="00DD44F1"/>
    <w:rsid w:val="00DD4F8B"/>
    <w:rsid w:val="00DD590D"/>
    <w:rsid w:val="00DD646F"/>
    <w:rsid w:val="00DD6607"/>
    <w:rsid w:val="00DD6957"/>
    <w:rsid w:val="00DD6BFA"/>
    <w:rsid w:val="00DD6C8C"/>
    <w:rsid w:val="00DD6E7A"/>
    <w:rsid w:val="00DD79DA"/>
    <w:rsid w:val="00DE01F5"/>
    <w:rsid w:val="00DE05B7"/>
    <w:rsid w:val="00DE11AF"/>
    <w:rsid w:val="00DE1C84"/>
    <w:rsid w:val="00DE2F0C"/>
    <w:rsid w:val="00DE3067"/>
    <w:rsid w:val="00DE3EB4"/>
    <w:rsid w:val="00DE3EE9"/>
    <w:rsid w:val="00DE5798"/>
    <w:rsid w:val="00DE5C4A"/>
    <w:rsid w:val="00DE6A8F"/>
    <w:rsid w:val="00DE7137"/>
    <w:rsid w:val="00DF029A"/>
    <w:rsid w:val="00DF29DC"/>
    <w:rsid w:val="00DF2A14"/>
    <w:rsid w:val="00DF3EEE"/>
    <w:rsid w:val="00DF4261"/>
    <w:rsid w:val="00DF6448"/>
    <w:rsid w:val="00DF759B"/>
    <w:rsid w:val="00DF75E1"/>
    <w:rsid w:val="00E0043F"/>
    <w:rsid w:val="00E01364"/>
    <w:rsid w:val="00E01A05"/>
    <w:rsid w:val="00E01AA5"/>
    <w:rsid w:val="00E027BC"/>
    <w:rsid w:val="00E0503B"/>
    <w:rsid w:val="00E079D1"/>
    <w:rsid w:val="00E10F0D"/>
    <w:rsid w:val="00E110CB"/>
    <w:rsid w:val="00E11128"/>
    <w:rsid w:val="00E12C1E"/>
    <w:rsid w:val="00E13685"/>
    <w:rsid w:val="00E143A0"/>
    <w:rsid w:val="00E14EA5"/>
    <w:rsid w:val="00E15885"/>
    <w:rsid w:val="00E2070E"/>
    <w:rsid w:val="00E208CD"/>
    <w:rsid w:val="00E21133"/>
    <w:rsid w:val="00E21346"/>
    <w:rsid w:val="00E220AE"/>
    <w:rsid w:val="00E22EA9"/>
    <w:rsid w:val="00E2327E"/>
    <w:rsid w:val="00E23552"/>
    <w:rsid w:val="00E24A0D"/>
    <w:rsid w:val="00E252C2"/>
    <w:rsid w:val="00E254A9"/>
    <w:rsid w:val="00E25825"/>
    <w:rsid w:val="00E266EF"/>
    <w:rsid w:val="00E30DC7"/>
    <w:rsid w:val="00E326A8"/>
    <w:rsid w:val="00E33FEA"/>
    <w:rsid w:val="00E342D2"/>
    <w:rsid w:val="00E34E0E"/>
    <w:rsid w:val="00E356DA"/>
    <w:rsid w:val="00E3788F"/>
    <w:rsid w:val="00E37F94"/>
    <w:rsid w:val="00E4097C"/>
    <w:rsid w:val="00E4221D"/>
    <w:rsid w:val="00E43E40"/>
    <w:rsid w:val="00E46EC1"/>
    <w:rsid w:val="00E47428"/>
    <w:rsid w:val="00E4746C"/>
    <w:rsid w:val="00E501DD"/>
    <w:rsid w:val="00E5075D"/>
    <w:rsid w:val="00E51F81"/>
    <w:rsid w:val="00E52B5A"/>
    <w:rsid w:val="00E5484A"/>
    <w:rsid w:val="00E54A1D"/>
    <w:rsid w:val="00E56C8E"/>
    <w:rsid w:val="00E5716B"/>
    <w:rsid w:val="00E5730E"/>
    <w:rsid w:val="00E57F1F"/>
    <w:rsid w:val="00E604B3"/>
    <w:rsid w:val="00E60549"/>
    <w:rsid w:val="00E61F31"/>
    <w:rsid w:val="00E62D05"/>
    <w:rsid w:val="00E6460D"/>
    <w:rsid w:val="00E65186"/>
    <w:rsid w:val="00E65667"/>
    <w:rsid w:val="00E66B9F"/>
    <w:rsid w:val="00E70382"/>
    <w:rsid w:val="00E70A6A"/>
    <w:rsid w:val="00E710D6"/>
    <w:rsid w:val="00E71A6A"/>
    <w:rsid w:val="00E73718"/>
    <w:rsid w:val="00E73DA4"/>
    <w:rsid w:val="00E76AAF"/>
    <w:rsid w:val="00E76DEA"/>
    <w:rsid w:val="00E76E45"/>
    <w:rsid w:val="00E777C9"/>
    <w:rsid w:val="00E77DC2"/>
    <w:rsid w:val="00E80BF2"/>
    <w:rsid w:val="00E81170"/>
    <w:rsid w:val="00E81DA6"/>
    <w:rsid w:val="00E82F9E"/>
    <w:rsid w:val="00E83236"/>
    <w:rsid w:val="00E83439"/>
    <w:rsid w:val="00E84212"/>
    <w:rsid w:val="00E85B59"/>
    <w:rsid w:val="00E85BE9"/>
    <w:rsid w:val="00E90392"/>
    <w:rsid w:val="00E9086C"/>
    <w:rsid w:val="00E908E3"/>
    <w:rsid w:val="00E90AAA"/>
    <w:rsid w:val="00E91A0F"/>
    <w:rsid w:val="00E92557"/>
    <w:rsid w:val="00E9302A"/>
    <w:rsid w:val="00E939EE"/>
    <w:rsid w:val="00E94A71"/>
    <w:rsid w:val="00E94CBF"/>
    <w:rsid w:val="00E950E9"/>
    <w:rsid w:val="00E95E64"/>
    <w:rsid w:val="00E96202"/>
    <w:rsid w:val="00E975CD"/>
    <w:rsid w:val="00E97FD9"/>
    <w:rsid w:val="00EA037C"/>
    <w:rsid w:val="00EA03CE"/>
    <w:rsid w:val="00EA17DC"/>
    <w:rsid w:val="00EA23E5"/>
    <w:rsid w:val="00EA4671"/>
    <w:rsid w:val="00EA4E2E"/>
    <w:rsid w:val="00EA6B60"/>
    <w:rsid w:val="00EA7A21"/>
    <w:rsid w:val="00EB0756"/>
    <w:rsid w:val="00EB1130"/>
    <w:rsid w:val="00EB2417"/>
    <w:rsid w:val="00EB262A"/>
    <w:rsid w:val="00EB2CCB"/>
    <w:rsid w:val="00EB5482"/>
    <w:rsid w:val="00EB7A25"/>
    <w:rsid w:val="00EC0F17"/>
    <w:rsid w:val="00EC0F3E"/>
    <w:rsid w:val="00EC10E5"/>
    <w:rsid w:val="00EC310C"/>
    <w:rsid w:val="00EC57A7"/>
    <w:rsid w:val="00EC7132"/>
    <w:rsid w:val="00EC733D"/>
    <w:rsid w:val="00EC7767"/>
    <w:rsid w:val="00EC7F1B"/>
    <w:rsid w:val="00ED0817"/>
    <w:rsid w:val="00ED3EA7"/>
    <w:rsid w:val="00ED3FD8"/>
    <w:rsid w:val="00ED5273"/>
    <w:rsid w:val="00ED738A"/>
    <w:rsid w:val="00ED7DD9"/>
    <w:rsid w:val="00EE1533"/>
    <w:rsid w:val="00EE25D9"/>
    <w:rsid w:val="00EE445B"/>
    <w:rsid w:val="00EE564F"/>
    <w:rsid w:val="00EE6465"/>
    <w:rsid w:val="00EE7825"/>
    <w:rsid w:val="00EF1A21"/>
    <w:rsid w:val="00EF2690"/>
    <w:rsid w:val="00EF3113"/>
    <w:rsid w:val="00EF3F84"/>
    <w:rsid w:val="00EF6252"/>
    <w:rsid w:val="00EF6441"/>
    <w:rsid w:val="00EF64EE"/>
    <w:rsid w:val="00EF6CE8"/>
    <w:rsid w:val="00F00880"/>
    <w:rsid w:val="00F0136E"/>
    <w:rsid w:val="00F01FB1"/>
    <w:rsid w:val="00F02424"/>
    <w:rsid w:val="00F03E0A"/>
    <w:rsid w:val="00F11B75"/>
    <w:rsid w:val="00F1214C"/>
    <w:rsid w:val="00F12AC5"/>
    <w:rsid w:val="00F1301C"/>
    <w:rsid w:val="00F1397C"/>
    <w:rsid w:val="00F13DA8"/>
    <w:rsid w:val="00F158DD"/>
    <w:rsid w:val="00F15C94"/>
    <w:rsid w:val="00F15F7B"/>
    <w:rsid w:val="00F172B4"/>
    <w:rsid w:val="00F172DC"/>
    <w:rsid w:val="00F1753F"/>
    <w:rsid w:val="00F176AC"/>
    <w:rsid w:val="00F24FDD"/>
    <w:rsid w:val="00F26F28"/>
    <w:rsid w:val="00F27714"/>
    <w:rsid w:val="00F2799B"/>
    <w:rsid w:val="00F279B5"/>
    <w:rsid w:val="00F32723"/>
    <w:rsid w:val="00F3276E"/>
    <w:rsid w:val="00F33D3C"/>
    <w:rsid w:val="00F37770"/>
    <w:rsid w:val="00F37A91"/>
    <w:rsid w:val="00F37A9E"/>
    <w:rsid w:val="00F408A0"/>
    <w:rsid w:val="00F414E1"/>
    <w:rsid w:val="00F42235"/>
    <w:rsid w:val="00F4267C"/>
    <w:rsid w:val="00F43A37"/>
    <w:rsid w:val="00F45CF5"/>
    <w:rsid w:val="00F470B4"/>
    <w:rsid w:val="00F47DB0"/>
    <w:rsid w:val="00F50C3F"/>
    <w:rsid w:val="00F50E34"/>
    <w:rsid w:val="00F51C2E"/>
    <w:rsid w:val="00F53EF7"/>
    <w:rsid w:val="00F54BF2"/>
    <w:rsid w:val="00F54EEA"/>
    <w:rsid w:val="00F574CB"/>
    <w:rsid w:val="00F64F00"/>
    <w:rsid w:val="00F70B8E"/>
    <w:rsid w:val="00F74041"/>
    <w:rsid w:val="00F744C1"/>
    <w:rsid w:val="00F74629"/>
    <w:rsid w:val="00F75023"/>
    <w:rsid w:val="00F765AF"/>
    <w:rsid w:val="00F76800"/>
    <w:rsid w:val="00F769D9"/>
    <w:rsid w:val="00F775AC"/>
    <w:rsid w:val="00F8088C"/>
    <w:rsid w:val="00F80A4B"/>
    <w:rsid w:val="00F82274"/>
    <w:rsid w:val="00F826F1"/>
    <w:rsid w:val="00F83A3B"/>
    <w:rsid w:val="00F85F51"/>
    <w:rsid w:val="00F86428"/>
    <w:rsid w:val="00F87919"/>
    <w:rsid w:val="00F87ED7"/>
    <w:rsid w:val="00F92355"/>
    <w:rsid w:val="00F93116"/>
    <w:rsid w:val="00F93963"/>
    <w:rsid w:val="00F93BAC"/>
    <w:rsid w:val="00F94291"/>
    <w:rsid w:val="00F94BE0"/>
    <w:rsid w:val="00FA10D0"/>
    <w:rsid w:val="00FA10D2"/>
    <w:rsid w:val="00FA186E"/>
    <w:rsid w:val="00FA1A4D"/>
    <w:rsid w:val="00FA22D0"/>
    <w:rsid w:val="00FA298A"/>
    <w:rsid w:val="00FA3406"/>
    <w:rsid w:val="00FA4869"/>
    <w:rsid w:val="00FA4D23"/>
    <w:rsid w:val="00FA5B66"/>
    <w:rsid w:val="00FB30EB"/>
    <w:rsid w:val="00FB3EBF"/>
    <w:rsid w:val="00FB7982"/>
    <w:rsid w:val="00FC0734"/>
    <w:rsid w:val="00FC0FC5"/>
    <w:rsid w:val="00FC18AB"/>
    <w:rsid w:val="00FC588F"/>
    <w:rsid w:val="00FC662F"/>
    <w:rsid w:val="00FC6879"/>
    <w:rsid w:val="00FD0DCA"/>
    <w:rsid w:val="00FD1164"/>
    <w:rsid w:val="00FD2E7B"/>
    <w:rsid w:val="00FD33D0"/>
    <w:rsid w:val="00FD4646"/>
    <w:rsid w:val="00FD5902"/>
    <w:rsid w:val="00FD73C1"/>
    <w:rsid w:val="00FE1B30"/>
    <w:rsid w:val="00FE1EFF"/>
    <w:rsid w:val="00FE1F6C"/>
    <w:rsid w:val="00FE40B9"/>
    <w:rsid w:val="00FE45F3"/>
    <w:rsid w:val="00FE4E01"/>
    <w:rsid w:val="00FE5FED"/>
    <w:rsid w:val="00FE79CA"/>
    <w:rsid w:val="00FE7B44"/>
    <w:rsid w:val="00FF24B8"/>
    <w:rsid w:val="00FF385C"/>
    <w:rsid w:val="00FF43CC"/>
    <w:rsid w:val="00FF5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7EB38A"/>
  <w15:docId w15:val="{C895DFC3-09CC-4908-8FAF-2AE8CC92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rsid w:val="00D321AB"/>
    <w:pPr>
      <w:keepNext/>
      <w:spacing w:before="240" w:after="60" w:line="240" w:lineRule="auto"/>
      <w:outlineLvl w:val="0"/>
    </w:pPr>
    <w:rPr>
      <w:b/>
      <w:caps/>
      <w:kern w:val="28"/>
    </w:rPr>
  </w:style>
  <w:style w:type="paragraph" w:styleId="Heading2">
    <w:name w:val="heading 2"/>
    <w:basedOn w:val="Normal"/>
    <w:next w:val="ParaNumbering"/>
    <w:qFormat/>
    <w:rsid w:val="00D321AB"/>
    <w:pPr>
      <w:keepNext/>
      <w:spacing w:before="240" w:after="60" w:line="240" w:lineRule="auto"/>
      <w:outlineLvl w:val="1"/>
    </w:pPr>
    <w:rPr>
      <w:b/>
      <w:szCs w:val="24"/>
    </w:rPr>
  </w:style>
  <w:style w:type="paragraph" w:styleId="Heading3">
    <w:name w:val="heading 3"/>
    <w:basedOn w:val="Normal"/>
    <w:next w:val="ParaNumbering"/>
    <w:qFormat/>
    <w:rsid w:val="00D321AB"/>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rsid w:val="00D321AB"/>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D321AB"/>
    <w:pPr>
      <w:spacing w:line="240" w:lineRule="auto"/>
    </w:pPr>
  </w:style>
  <w:style w:type="paragraph" w:styleId="Header">
    <w:name w:val="header"/>
    <w:basedOn w:val="Normal"/>
    <w:semiHidden/>
    <w:rsid w:val="00D321AB"/>
    <w:pPr>
      <w:tabs>
        <w:tab w:val="center" w:pos="4320"/>
        <w:tab w:val="right" w:pos="8640"/>
      </w:tabs>
    </w:pPr>
  </w:style>
  <w:style w:type="paragraph" w:styleId="Footer">
    <w:name w:val="footer"/>
    <w:basedOn w:val="Normal"/>
    <w:semiHidden/>
    <w:rsid w:val="00D321AB"/>
    <w:pPr>
      <w:tabs>
        <w:tab w:val="center" w:pos="4320"/>
        <w:tab w:val="right" w:pos="8640"/>
      </w:tabs>
    </w:pPr>
  </w:style>
  <w:style w:type="paragraph" w:customStyle="1" w:styleId="ParaNumbering">
    <w:name w:val="ParaNumbering"/>
    <w:basedOn w:val="Normal"/>
    <w:rsid w:val="00967855"/>
    <w:pPr>
      <w:numPr>
        <w:numId w:val="1"/>
      </w:numPr>
      <w:tabs>
        <w:tab w:val="clear" w:pos="1440"/>
        <w:tab w:val="num" w:pos="1582"/>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rsid w:val="00D321AB"/>
    <w:pPr>
      <w:widowControl w:val="0"/>
      <w:jc w:val="both"/>
    </w:pPr>
    <w:rPr>
      <w:b/>
      <w:sz w:val="24"/>
      <w:lang w:eastAsia="en-US"/>
    </w:rPr>
  </w:style>
  <w:style w:type="table" w:styleId="TableGrid">
    <w:name w:val="Table Grid"/>
    <w:basedOn w:val="TableNormal"/>
    <w:semiHidden/>
    <w:rsid w:val="00D321AB"/>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D321AB"/>
    <w:pPr>
      <w:spacing w:before="20" w:after="20"/>
      <w:jc w:val="center"/>
    </w:pPr>
    <w:rPr>
      <w:b/>
      <w:sz w:val="26"/>
    </w:rPr>
  </w:style>
  <w:style w:type="paragraph" w:customStyle="1" w:styleId="Normal1linespace">
    <w:name w:val="Normal1linespace"/>
    <w:basedOn w:val="Normal"/>
    <w:rsid w:val="00D321AB"/>
    <w:pPr>
      <w:spacing w:line="240" w:lineRule="auto"/>
    </w:pPr>
  </w:style>
  <w:style w:type="paragraph" w:styleId="BalloonText">
    <w:name w:val="Balloon Text"/>
    <w:basedOn w:val="Normal"/>
    <w:semiHidden/>
    <w:rsid w:val="00D321AB"/>
    <w:rPr>
      <w:rFonts w:ascii="Tahoma" w:hAnsi="Tahoma" w:cs="Tahoma"/>
      <w:sz w:val="16"/>
      <w:szCs w:val="16"/>
    </w:rPr>
  </w:style>
  <w:style w:type="paragraph" w:customStyle="1" w:styleId="StyleBold">
    <w:name w:val="Style Bold"/>
    <w:basedOn w:val="Normal"/>
    <w:next w:val="BodyText"/>
    <w:semiHidden/>
    <w:rsid w:val="00D321AB"/>
    <w:rPr>
      <w:szCs w:val="24"/>
    </w:rPr>
  </w:style>
  <w:style w:type="paragraph" w:customStyle="1" w:styleId="Bold">
    <w:name w:val="Bold"/>
    <w:basedOn w:val="Normal"/>
    <w:next w:val="Normal"/>
    <w:semiHidden/>
    <w:rsid w:val="00D321AB"/>
    <w:pPr>
      <w:suppressAutoHyphens/>
      <w:jc w:val="left"/>
    </w:pPr>
    <w:rPr>
      <w:b/>
      <w:szCs w:val="24"/>
    </w:rPr>
  </w:style>
  <w:style w:type="paragraph" w:customStyle="1" w:styleId="Certify">
    <w:name w:val="Certify"/>
    <w:basedOn w:val="Normal"/>
    <w:link w:val="CertifyChar"/>
    <w:semiHidden/>
    <w:rsid w:val="00D321AB"/>
    <w:pPr>
      <w:spacing w:line="240" w:lineRule="auto"/>
    </w:pPr>
    <w:rPr>
      <w:szCs w:val="24"/>
    </w:rPr>
  </w:style>
  <w:style w:type="character" w:styleId="CommentReference">
    <w:name w:val="annotation reference"/>
    <w:semiHidden/>
    <w:rsid w:val="00D321AB"/>
    <w:rPr>
      <w:sz w:val="16"/>
      <w:szCs w:val="16"/>
    </w:rPr>
  </w:style>
  <w:style w:type="paragraph" w:styleId="CommentText">
    <w:name w:val="annotation text"/>
    <w:basedOn w:val="Normal"/>
    <w:semiHidden/>
    <w:rsid w:val="00D321AB"/>
    <w:rPr>
      <w:sz w:val="20"/>
    </w:rPr>
  </w:style>
  <w:style w:type="paragraph" w:styleId="CommentSubject">
    <w:name w:val="annotation subject"/>
    <w:basedOn w:val="CommentText"/>
    <w:next w:val="CommentText"/>
    <w:semiHidden/>
    <w:rsid w:val="00D321AB"/>
    <w:rPr>
      <w:b/>
      <w:bCs/>
    </w:rPr>
  </w:style>
  <w:style w:type="paragraph" w:customStyle="1" w:styleId="FCBullets">
    <w:name w:val="FCBullets"/>
    <w:basedOn w:val="Normal"/>
    <w:rsid w:val="00D321AB"/>
    <w:pPr>
      <w:numPr>
        <w:numId w:val="2"/>
      </w:numPr>
      <w:spacing w:before="60" w:after="60"/>
    </w:pPr>
  </w:style>
  <w:style w:type="paragraph" w:customStyle="1" w:styleId="JudgeStyle">
    <w:name w:val="JudgeStyle"/>
    <w:basedOn w:val="Heading1"/>
    <w:next w:val="ParaNumbering"/>
    <w:semiHidden/>
    <w:rsid w:val="00D321AB"/>
  </w:style>
  <w:style w:type="paragraph" w:styleId="TOC1">
    <w:name w:val="toc 1"/>
    <w:basedOn w:val="Normal"/>
    <w:next w:val="Normal"/>
    <w:autoRedefine/>
    <w:semiHidden/>
    <w:rsid w:val="00D321AB"/>
    <w:pPr>
      <w:tabs>
        <w:tab w:val="right" w:leader="dot" w:pos="9071"/>
      </w:tabs>
    </w:pPr>
  </w:style>
  <w:style w:type="paragraph" w:styleId="TOC2">
    <w:name w:val="toc 2"/>
    <w:basedOn w:val="Normal"/>
    <w:next w:val="Normal"/>
    <w:autoRedefine/>
    <w:semiHidden/>
    <w:rsid w:val="00D321AB"/>
    <w:pPr>
      <w:tabs>
        <w:tab w:val="right" w:leader="dot" w:pos="9071"/>
      </w:tabs>
      <w:ind w:left="240"/>
    </w:pPr>
  </w:style>
  <w:style w:type="paragraph" w:styleId="TOC3">
    <w:name w:val="toc 3"/>
    <w:basedOn w:val="Normal"/>
    <w:next w:val="Normal"/>
    <w:autoRedefine/>
    <w:semiHidden/>
    <w:rsid w:val="00D321AB"/>
    <w:pPr>
      <w:tabs>
        <w:tab w:val="right" w:leader="dot" w:pos="9071"/>
      </w:tabs>
      <w:ind w:left="480"/>
    </w:pPr>
  </w:style>
  <w:style w:type="paragraph" w:styleId="TOC4">
    <w:name w:val="toc 4"/>
    <w:basedOn w:val="Normal"/>
    <w:next w:val="Normal"/>
    <w:autoRedefine/>
    <w:semiHidden/>
    <w:rsid w:val="00D321AB"/>
    <w:pPr>
      <w:tabs>
        <w:tab w:val="right" w:leader="dot" w:pos="9071"/>
      </w:tabs>
      <w:ind w:left="720"/>
    </w:pPr>
  </w:style>
  <w:style w:type="paragraph" w:customStyle="1" w:styleId="NoNum">
    <w:name w:val="No Num"/>
    <w:basedOn w:val="Normal1linespace"/>
    <w:rsid w:val="00D321AB"/>
    <w:pPr>
      <w:spacing w:before="120" w:after="180" w:line="360" w:lineRule="auto"/>
    </w:pPr>
  </w:style>
  <w:style w:type="paragraph" w:customStyle="1" w:styleId="AppealTable">
    <w:name w:val="AppealTable"/>
    <w:basedOn w:val="Normal"/>
    <w:unhideWhenUsed/>
    <w:rsid w:val="00D321AB"/>
    <w:pPr>
      <w:spacing w:line="240" w:lineRule="auto"/>
      <w:jc w:val="left"/>
    </w:pPr>
    <w:rPr>
      <w:b/>
      <w:caps/>
      <w:sz w:val="22"/>
      <w:szCs w:val="22"/>
    </w:rPr>
  </w:style>
  <w:style w:type="paragraph" w:customStyle="1" w:styleId="Quote3">
    <w:name w:val="Quote3"/>
    <w:basedOn w:val="Quote1"/>
    <w:rsid w:val="00D321AB"/>
    <w:pPr>
      <w:ind w:left="2160"/>
    </w:pPr>
  </w:style>
  <w:style w:type="paragraph" w:customStyle="1" w:styleId="Quote2">
    <w:name w:val="Quote2"/>
    <w:basedOn w:val="Quote1"/>
    <w:rsid w:val="00D321AB"/>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rsid w:val="00D321AB"/>
    <w:pPr>
      <w:tabs>
        <w:tab w:val="right" w:leader="dot" w:pos="9072"/>
      </w:tabs>
      <w:ind w:left="960"/>
    </w:pPr>
  </w:style>
  <w:style w:type="numbering" w:styleId="111111">
    <w:name w:val="Outline List 2"/>
    <w:basedOn w:val="NoList"/>
    <w:semiHidden/>
    <w:rsid w:val="00D321AB"/>
    <w:pPr>
      <w:numPr>
        <w:numId w:val="13"/>
      </w:numPr>
    </w:pPr>
  </w:style>
  <w:style w:type="numbering" w:styleId="1ai">
    <w:name w:val="Outline List 1"/>
    <w:basedOn w:val="NoList"/>
    <w:semiHidden/>
    <w:rsid w:val="00D321AB"/>
    <w:pPr>
      <w:numPr>
        <w:numId w:val="14"/>
      </w:numPr>
    </w:pPr>
  </w:style>
  <w:style w:type="numbering" w:styleId="ArticleSection">
    <w:name w:val="Outline List 3"/>
    <w:basedOn w:val="NoList"/>
    <w:semiHidden/>
    <w:rsid w:val="00D321AB"/>
    <w:pPr>
      <w:numPr>
        <w:numId w:val="15"/>
      </w:numPr>
    </w:pPr>
  </w:style>
  <w:style w:type="paragraph" w:styleId="BodyText">
    <w:name w:val="Body Text"/>
    <w:basedOn w:val="Normal"/>
    <w:link w:val="BodyTextChar"/>
    <w:qFormat/>
    <w:rsid w:val="002B0E91"/>
  </w:style>
  <w:style w:type="paragraph" w:styleId="BodyText2">
    <w:name w:val="Body Text 2"/>
    <w:basedOn w:val="Normal"/>
    <w:semiHidden/>
    <w:rsid w:val="00D321AB"/>
    <w:pPr>
      <w:spacing w:after="120" w:line="480" w:lineRule="auto"/>
    </w:pPr>
  </w:style>
  <w:style w:type="paragraph" w:styleId="BodyText3">
    <w:name w:val="Body Text 3"/>
    <w:basedOn w:val="Normal"/>
    <w:semiHidden/>
    <w:rsid w:val="00D321AB"/>
    <w:pPr>
      <w:spacing w:after="120"/>
    </w:pPr>
    <w:rPr>
      <w:sz w:val="16"/>
      <w:szCs w:val="16"/>
    </w:rPr>
  </w:style>
  <w:style w:type="paragraph" w:styleId="BodyTextFirstIndent">
    <w:name w:val="Body Text First Indent"/>
    <w:basedOn w:val="BodyText"/>
    <w:semiHidden/>
    <w:rsid w:val="00D321AB"/>
    <w:pPr>
      <w:ind w:firstLine="210"/>
    </w:pPr>
  </w:style>
  <w:style w:type="paragraph" w:styleId="BodyTextIndent">
    <w:name w:val="Body Text Indent"/>
    <w:basedOn w:val="Normal"/>
    <w:semiHidden/>
    <w:rsid w:val="00D321AB"/>
    <w:pPr>
      <w:spacing w:after="120"/>
      <w:ind w:left="283"/>
    </w:pPr>
  </w:style>
  <w:style w:type="paragraph" w:styleId="BodyTextFirstIndent2">
    <w:name w:val="Body Text First Indent 2"/>
    <w:basedOn w:val="BodyTextIndent"/>
    <w:semiHidden/>
    <w:rsid w:val="00D321AB"/>
    <w:pPr>
      <w:ind w:firstLine="210"/>
    </w:pPr>
  </w:style>
  <w:style w:type="paragraph" w:styleId="BodyTextIndent2">
    <w:name w:val="Body Text Indent 2"/>
    <w:basedOn w:val="Normal"/>
    <w:semiHidden/>
    <w:rsid w:val="00D321AB"/>
    <w:pPr>
      <w:spacing w:after="120" w:line="480" w:lineRule="auto"/>
      <w:ind w:left="283"/>
    </w:pPr>
  </w:style>
  <w:style w:type="paragraph" w:styleId="BodyTextIndent3">
    <w:name w:val="Body Text Indent 3"/>
    <w:basedOn w:val="Normal"/>
    <w:semiHidden/>
    <w:rsid w:val="00D321AB"/>
    <w:pPr>
      <w:spacing w:after="120"/>
      <w:ind w:left="283"/>
    </w:pPr>
    <w:rPr>
      <w:sz w:val="16"/>
      <w:szCs w:val="16"/>
    </w:rPr>
  </w:style>
  <w:style w:type="paragraph" w:styleId="Closing">
    <w:name w:val="Closing"/>
    <w:basedOn w:val="Normal"/>
    <w:semiHidden/>
    <w:rsid w:val="00D321AB"/>
    <w:pPr>
      <w:ind w:left="4252"/>
    </w:pPr>
  </w:style>
  <w:style w:type="paragraph" w:styleId="Date">
    <w:name w:val="Date"/>
    <w:basedOn w:val="Normal"/>
    <w:next w:val="Normal"/>
    <w:semiHidden/>
    <w:rsid w:val="00D321AB"/>
  </w:style>
  <w:style w:type="paragraph" w:styleId="E-mailSignature">
    <w:name w:val="E-mail Signature"/>
    <w:basedOn w:val="Normal"/>
    <w:semiHidden/>
    <w:rsid w:val="00D321AB"/>
  </w:style>
  <w:style w:type="character" w:styleId="Emphasis">
    <w:name w:val="Emphasis"/>
    <w:semiHidden/>
    <w:rsid w:val="00D321AB"/>
    <w:rPr>
      <w:i/>
      <w:iCs/>
    </w:rPr>
  </w:style>
  <w:style w:type="paragraph" w:styleId="EnvelopeAddress">
    <w:name w:val="envelope address"/>
    <w:basedOn w:val="Normal"/>
    <w:semiHidden/>
    <w:rsid w:val="00D321A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D321AB"/>
    <w:rPr>
      <w:rFonts w:ascii="Arial" w:hAnsi="Arial" w:cs="Arial"/>
      <w:sz w:val="20"/>
    </w:rPr>
  </w:style>
  <w:style w:type="character" w:styleId="FollowedHyperlink">
    <w:name w:val="FollowedHyperlink"/>
    <w:semiHidden/>
    <w:rsid w:val="00D321AB"/>
    <w:rPr>
      <w:color w:val="800080"/>
      <w:u w:val="single"/>
    </w:rPr>
  </w:style>
  <w:style w:type="character" w:styleId="HTMLAcronym">
    <w:name w:val="HTML Acronym"/>
    <w:basedOn w:val="DefaultParagraphFont"/>
    <w:semiHidden/>
    <w:rsid w:val="00D321AB"/>
  </w:style>
  <w:style w:type="paragraph" w:styleId="HTMLAddress">
    <w:name w:val="HTML Address"/>
    <w:basedOn w:val="Normal"/>
    <w:semiHidden/>
    <w:rsid w:val="00D321AB"/>
    <w:rPr>
      <w:i/>
      <w:iCs/>
    </w:rPr>
  </w:style>
  <w:style w:type="character" w:styleId="HTMLCite">
    <w:name w:val="HTML Cite"/>
    <w:semiHidden/>
    <w:rsid w:val="00D321AB"/>
    <w:rPr>
      <w:i/>
      <w:iCs/>
    </w:rPr>
  </w:style>
  <w:style w:type="character" w:styleId="HTMLCode">
    <w:name w:val="HTML Code"/>
    <w:semiHidden/>
    <w:rsid w:val="00D321AB"/>
    <w:rPr>
      <w:rFonts w:ascii="Courier New" w:hAnsi="Courier New" w:cs="Courier New"/>
      <w:sz w:val="20"/>
      <w:szCs w:val="20"/>
    </w:rPr>
  </w:style>
  <w:style w:type="character" w:styleId="HTMLDefinition">
    <w:name w:val="HTML Definition"/>
    <w:semiHidden/>
    <w:rsid w:val="00D321AB"/>
    <w:rPr>
      <w:i/>
      <w:iCs/>
    </w:rPr>
  </w:style>
  <w:style w:type="character" w:styleId="HTMLKeyboard">
    <w:name w:val="HTML Keyboard"/>
    <w:semiHidden/>
    <w:rsid w:val="00D321AB"/>
    <w:rPr>
      <w:rFonts w:ascii="Courier New" w:hAnsi="Courier New" w:cs="Courier New"/>
      <w:sz w:val="20"/>
      <w:szCs w:val="20"/>
    </w:rPr>
  </w:style>
  <w:style w:type="paragraph" w:styleId="HTMLPreformatted">
    <w:name w:val="HTML Preformatted"/>
    <w:basedOn w:val="Normal"/>
    <w:semiHidden/>
    <w:rsid w:val="00D321AB"/>
    <w:rPr>
      <w:rFonts w:ascii="Courier New" w:hAnsi="Courier New" w:cs="Courier New"/>
      <w:sz w:val="20"/>
    </w:rPr>
  </w:style>
  <w:style w:type="character" w:styleId="HTMLSample">
    <w:name w:val="HTML Sample"/>
    <w:semiHidden/>
    <w:rsid w:val="00D321AB"/>
    <w:rPr>
      <w:rFonts w:ascii="Courier New" w:hAnsi="Courier New" w:cs="Courier New"/>
    </w:rPr>
  </w:style>
  <w:style w:type="character" w:styleId="HTMLTypewriter">
    <w:name w:val="HTML Typewriter"/>
    <w:semiHidden/>
    <w:rsid w:val="00D321AB"/>
    <w:rPr>
      <w:rFonts w:ascii="Courier New" w:hAnsi="Courier New" w:cs="Courier New"/>
      <w:sz w:val="20"/>
      <w:szCs w:val="20"/>
    </w:rPr>
  </w:style>
  <w:style w:type="character" w:styleId="HTMLVariable">
    <w:name w:val="HTML Variable"/>
    <w:semiHidden/>
    <w:rsid w:val="00D321AB"/>
    <w:rPr>
      <w:i/>
      <w:iCs/>
    </w:rPr>
  </w:style>
  <w:style w:type="character" w:styleId="Hyperlink">
    <w:name w:val="Hyperlink"/>
    <w:rsid w:val="00D321AB"/>
    <w:rPr>
      <w:color w:val="0000FF"/>
      <w:u w:val="single"/>
    </w:rPr>
  </w:style>
  <w:style w:type="character" w:styleId="LineNumber">
    <w:name w:val="line number"/>
    <w:basedOn w:val="DefaultParagraphFont"/>
    <w:semiHidden/>
    <w:rsid w:val="00D321AB"/>
  </w:style>
  <w:style w:type="paragraph" w:styleId="List">
    <w:name w:val="List"/>
    <w:basedOn w:val="Normal"/>
    <w:semiHidden/>
    <w:rsid w:val="00D321AB"/>
    <w:pPr>
      <w:ind w:left="283" w:hanging="283"/>
    </w:pPr>
  </w:style>
  <w:style w:type="paragraph" w:styleId="List2">
    <w:name w:val="List 2"/>
    <w:basedOn w:val="Normal"/>
    <w:semiHidden/>
    <w:rsid w:val="00D321AB"/>
    <w:pPr>
      <w:ind w:left="566" w:hanging="283"/>
    </w:pPr>
  </w:style>
  <w:style w:type="paragraph" w:styleId="List3">
    <w:name w:val="List 3"/>
    <w:basedOn w:val="Normal"/>
    <w:semiHidden/>
    <w:rsid w:val="00D321AB"/>
    <w:pPr>
      <w:ind w:left="849" w:hanging="283"/>
    </w:pPr>
  </w:style>
  <w:style w:type="paragraph" w:styleId="List4">
    <w:name w:val="List 4"/>
    <w:basedOn w:val="Normal"/>
    <w:semiHidden/>
    <w:rsid w:val="00D321AB"/>
    <w:pPr>
      <w:ind w:left="1132" w:hanging="283"/>
    </w:pPr>
  </w:style>
  <w:style w:type="paragraph" w:styleId="List5">
    <w:name w:val="List 5"/>
    <w:basedOn w:val="Normal"/>
    <w:semiHidden/>
    <w:rsid w:val="00D321AB"/>
    <w:pPr>
      <w:ind w:left="1415" w:hanging="283"/>
    </w:pPr>
  </w:style>
  <w:style w:type="paragraph" w:styleId="ListBullet">
    <w:name w:val="List Bullet"/>
    <w:basedOn w:val="Normal"/>
    <w:semiHidden/>
    <w:rsid w:val="00D321AB"/>
    <w:pPr>
      <w:numPr>
        <w:numId w:val="3"/>
      </w:numPr>
    </w:pPr>
  </w:style>
  <w:style w:type="paragraph" w:styleId="ListBullet2">
    <w:name w:val="List Bullet 2"/>
    <w:basedOn w:val="Normal"/>
    <w:semiHidden/>
    <w:rsid w:val="00D321AB"/>
    <w:pPr>
      <w:numPr>
        <w:numId w:val="4"/>
      </w:numPr>
    </w:pPr>
  </w:style>
  <w:style w:type="paragraph" w:styleId="ListBullet3">
    <w:name w:val="List Bullet 3"/>
    <w:basedOn w:val="Normal"/>
    <w:semiHidden/>
    <w:rsid w:val="00D321AB"/>
    <w:pPr>
      <w:numPr>
        <w:numId w:val="5"/>
      </w:numPr>
    </w:pPr>
  </w:style>
  <w:style w:type="paragraph" w:styleId="ListBullet4">
    <w:name w:val="List Bullet 4"/>
    <w:basedOn w:val="Normal"/>
    <w:semiHidden/>
    <w:rsid w:val="00D321AB"/>
    <w:pPr>
      <w:numPr>
        <w:numId w:val="6"/>
      </w:numPr>
    </w:pPr>
  </w:style>
  <w:style w:type="paragraph" w:styleId="ListBullet5">
    <w:name w:val="List Bullet 5"/>
    <w:basedOn w:val="Normal"/>
    <w:semiHidden/>
    <w:rsid w:val="00D321AB"/>
    <w:pPr>
      <w:numPr>
        <w:numId w:val="7"/>
      </w:numPr>
    </w:pPr>
  </w:style>
  <w:style w:type="paragraph" w:styleId="ListContinue">
    <w:name w:val="List Continue"/>
    <w:basedOn w:val="Normal"/>
    <w:semiHidden/>
    <w:rsid w:val="00D321AB"/>
    <w:pPr>
      <w:spacing w:after="120"/>
      <w:ind w:left="283"/>
    </w:pPr>
  </w:style>
  <w:style w:type="paragraph" w:styleId="ListContinue2">
    <w:name w:val="List Continue 2"/>
    <w:basedOn w:val="Normal"/>
    <w:semiHidden/>
    <w:rsid w:val="00D321AB"/>
    <w:pPr>
      <w:spacing w:after="120"/>
      <w:ind w:left="566"/>
    </w:pPr>
  </w:style>
  <w:style w:type="paragraph" w:styleId="ListContinue3">
    <w:name w:val="List Continue 3"/>
    <w:basedOn w:val="Normal"/>
    <w:semiHidden/>
    <w:rsid w:val="00D321AB"/>
    <w:pPr>
      <w:spacing w:after="120"/>
      <w:ind w:left="849"/>
    </w:pPr>
  </w:style>
  <w:style w:type="paragraph" w:styleId="ListContinue4">
    <w:name w:val="List Continue 4"/>
    <w:basedOn w:val="Normal"/>
    <w:semiHidden/>
    <w:rsid w:val="00D321AB"/>
    <w:pPr>
      <w:spacing w:after="120"/>
      <w:ind w:left="1132"/>
    </w:pPr>
  </w:style>
  <w:style w:type="paragraph" w:styleId="ListContinue5">
    <w:name w:val="List Continue 5"/>
    <w:basedOn w:val="Normal"/>
    <w:semiHidden/>
    <w:rsid w:val="00D321AB"/>
    <w:pPr>
      <w:spacing w:after="120"/>
      <w:ind w:left="1415"/>
    </w:pPr>
  </w:style>
  <w:style w:type="paragraph" w:styleId="ListNumber">
    <w:name w:val="List Number"/>
    <w:basedOn w:val="Normal"/>
    <w:semiHidden/>
    <w:rsid w:val="00D321AB"/>
    <w:pPr>
      <w:numPr>
        <w:numId w:val="8"/>
      </w:numPr>
    </w:pPr>
  </w:style>
  <w:style w:type="paragraph" w:styleId="ListNumber2">
    <w:name w:val="List Number 2"/>
    <w:basedOn w:val="Normal"/>
    <w:semiHidden/>
    <w:rsid w:val="00D321AB"/>
    <w:pPr>
      <w:numPr>
        <w:numId w:val="9"/>
      </w:numPr>
    </w:pPr>
  </w:style>
  <w:style w:type="paragraph" w:styleId="ListNumber3">
    <w:name w:val="List Number 3"/>
    <w:basedOn w:val="Normal"/>
    <w:semiHidden/>
    <w:rsid w:val="00D321AB"/>
    <w:pPr>
      <w:numPr>
        <w:numId w:val="10"/>
      </w:numPr>
    </w:pPr>
  </w:style>
  <w:style w:type="paragraph" w:styleId="ListNumber4">
    <w:name w:val="List Number 4"/>
    <w:basedOn w:val="Normal"/>
    <w:semiHidden/>
    <w:rsid w:val="00D321AB"/>
    <w:pPr>
      <w:numPr>
        <w:numId w:val="11"/>
      </w:numPr>
    </w:pPr>
  </w:style>
  <w:style w:type="paragraph" w:styleId="ListNumber5">
    <w:name w:val="List Number 5"/>
    <w:basedOn w:val="Normal"/>
    <w:semiHidden/>
    <w:rsid w:val="00D321AB"/>
    <w:pPr>
      <w:numPr>
        <w:numId w:val="12"/>
      </w:numPr>
    </w:pPr>
  </w:style>
  <w:style w:type="paragraph" w:styleId="MessageHeader">
    <w:name w:val="Message Header"/>
    <w:basedOn w:val="Normal"/>
    <w:semiHidden/>
    <w:rsid w:val="00D321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D321AB"/>
    <w:rPr>
      <w:szCs w:val="24"/>
    </w:rPr>
  </w:style>
  <w:style w:type="paragraph" w:styleId="NormalIndent">
    <w:name w:val="Normal Indent"/>
    <w:basedOn w:val="Normal"/>
    <w:semiHidden/>
    <w:rsid w:val="00D321AB"/>
    <w:pPr>
      <w:ind w:left="720"/>
    </w:pPr>
  </w:style>
  <w:style w:type="paragraph" w:styleId="NoteHeading">
    <w:name w:val="Note Heading"/>
    <w:basedOn w:val="Normal"/>
    <w:next w:val="Normal"/>
    <w:semiHidden/>
    <w:rsid w:val="00D321AB"/>
  </w:style>
  <w:style w:type="character" w:styleId="PageNumber">
    <w:name w:val="page number"/>
    <w:basedOn w:val="DefaultParagraphFont"/>
    <w:semiHidden/>
    <w:rsid w:val="00D321AB"/>
  </w:style>
  <w:style w:type="paragraph" w:styleId="PlainText">
    <w:name w:val="Plain Text"/>
    <w:basedOn w:val="Normal"/>
    <w:semiHidden/>
    <w:rsid w:val="00D321AB"/>
    <w:rPr>
      <w:rFonts w:ascii="Courier New" w:hAnsi="Courier New" w:cs="Courier New"/>
      <w:sz w:val="20"/>
    </w:rPr>
  </w:style>
  <w:style w:type="paragraph" w:styleId="Salutation">
    <w:name w:val="Salutation"/>
    <w:basedOn w:val="Normal"/>
    <w:next w:val="Normal"/>
    <w:semiHidden/>
    <w:rsid w:val="00D321AB"/>
  </w:style>
  <w:style w:type="paragraph" w:styleId="Signature">
    <w:name w:val="Signature"/>
    <w:basedOn w:val="Normal"/>
    <w:semiHidden/>
    <w:rsid w:val="00D321AB"/>
    <w:pPr>
      <w:ind w:left="4252"/>
    </w:pPr>
  </w:style>
  <w:style w:type="character" w:styleId="Strong">
    <w:name w:val="Strong"/>
    <w:semiHidden/>
    <w:rsid w:val="00D321AB"/>
    <w:rPr>
      <w:b/>
      <w:bCs/>
    </w:rPr>
  </w:style>
  <w:style w:type="paragraph" w:styleId="Subtitle">
    <w:name w:val="Subtitle"/>
    <w:basedOn w:val="Normal"/>
    <w:semiHidden/>
    <w:rsid w:val="00D321AB"/>
    <w:pPr>
      <w:spacing w:after="60"/>
      <w:jc w:val="center"/>
      <w:outlineLvl w:val="1"/>
    </w:pPr>
    <w:rPr>
      <w:rFonts w:ascii="Arial" w:hAnsi="Arial" w:cs="Arial"/>
      <w:szCs w:val="24"/>
    </w:rPr>
  </w:style>
  <w:style w:type="table" w:styleId="Table3Deffects1">
    <w:name w:val="Table 3D effects 1"/>
    <w:basedOn w:val="TableNormal"/>
    <w:semiHidden/>
    <w:rsid w:val="00D321AB"/>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321AB"/>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321AB"/>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321AB"/>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321AB"/>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321AB"/>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321AB"/>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321AB"/>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321AB"/>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321AB"/>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321AB"/>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321AB"/>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321AB"/>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321AB"/>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321AB"/>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321AB"/>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321AB"/>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321A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321AB"/>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321AB"/>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321AB"/>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321A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321AB"/>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321AB"/>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321AB"/>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321AB"/>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321AB"/>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321AB"/>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321A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321A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321AB"/>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321AB"/>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321AB"/>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321A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321AB"/>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321AB"/>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321AB"/>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321AB"/>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321AB"/>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321A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321AB"/>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321AB"/>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321AB"/>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rsid w:val="00D321AB"/>
    <w:pPr>
      <w:widowControl w:val="0"/>
      <w:suppressAutoHyphens/>
      <w:spacing w:line="240" w:lineRule="auto"/>
    </w:pPr>
  </w:style>
  <w:style w:type="character" w:customStyle="1" w:styleId="CertifyChar">
    <w:name w:val="Certify Char"/>
    <w:link w:val="Certify"/>
    <w:rsid w:val="00D321AB"/>
    <w:rPr>
      <w:sz w:val="24"/>
      <w:szCs w:val="24"/>
      <w:lang w:val="en-AU" w:eastAsia="en-US" w:bidi="ar-SA"/>
    </w:rPr>
  </w:style>
  <w:style w:type="paragraph" w:customStyle="1" w:styleId="fcHeading1">
    <w:name w:val="fcHeading 1"/>
    <w:basedOn w:val="Normal"/>
    <w:next w:val="ParaNumbering"/>
    <w:semiHidden/>
    <w:rsid w:val="00D321AB"/>
    <w:pPr>
      <w:keepNext/>
      <w:numPr>
        <w:numId w:val="16"/>
      </w:numPr>
      <w:spacing w:before="240" w:after="60" w:line="240" w:lineRule="auto"/>
    </w:pPr>
    <w:rPr>
      <w:b/>
      <w:caps/>
      <w:kern w:val="28"/>
    </w:rPr>
  </w:style>
  <w:style w:type="paragraph" w:customStyle="1" w:styleId="fcHeading2">
    <w:name w:val="fcHeading 2"/>
    <w:basedOn w:val="Normal"/>
    <w:next w:val="ParaNumbering"/>
    <w:semiHidden/>
    <w:rsid w:val="00D321AB"/>
    <w:pPr>
      <w:keepNext/>
      <w:numPr>
        <w:ilvl w:val="1"/>
        <w:numId w:val="16"/>
      </w:numPr>
      <w:spacing w:before="240" w:after="60" w:line="240" w:lineRule="auto"/>
    </w:pPr>
    <w:rPr>
      <w:b/>
    </w:rPr>
  </w:style>
  <w:style w:type="paragraph" w:customStyle="1" w:styleId="fcHeading3">
    <w:name w:val="fcHeading 3"/>
    <w:basedOn w:val="Normal"/>
    <w:next w:val="ParaNumbering"/>
    <w:semiHidden/>
    <w:rsid w:val="00D321AB"/>
    <w:pPr>
      <w:keepNext/>
      <w:numPr>
        <w:ilvl w:val="2"/>
        <w:numId w:val="16"/>
      </w:numPr>
      <w:spacing w:before="240" w:after="60" w:line="240" w:lineRule="auto"/>
    </w:pPr>
    <w:rPr>
      <w:b/>
      <w:i/>
    </w:rPr>
  </w:style>
  <w:style w:type="paragraph" w:customStyle="1" w:styleId="fcHeading4">
    <w:name w:val="fcHeading 4"/>
    <w:basedOn w:val="Normal"/>
    <w:next w:val="ParaNumbering"/>
    <w:semiHidden/>
    <w:rsid w:val="00D321AB"/>
    <w:pPr>
      <w:keepNext/>
      <w:numPr>
        <w:ilvl w:val="3"/>
        <w:numId w:val="16"/>
      </w:numPr>
      <w:spacing w:before="240" w:after="60" w:line="240" w:lineRule="auto"/>
    </w:pPr>
    <w:rPr>
      <w:b/>
      <w:smallCaps/>
    </w:rPr>
  </w:style>
  <w:style w:type="paragraph" w:customStyle="1" w:styleId="fcHeading5">
    <w:name w:val="fcHeading 5"/>
    <w:basedOn w:val="Normal"/>
    <w:next w:val="ParaNumbering"/>
    <w:semiHidden/>
    <w:rsid w:val="00D321AB"/>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customStyle="1" w:styleId="Default">
    <w:name w:val="Default"/>
    <w:rsid w:val="00EE1533"/>
    <w:pPr>
      <w:autoSpaceDE w:val="0"/>
      <w:autoSpaceDN w:val="0"/>
      <w:adjustRightInd w:val="0"/>
    </w:pPr>
    <w:rPr>
      <w:rFonts w:eastAsia="Times New Roman"/>
      <w:color w:val="000000"/>
      <w:sz w:val="24"/>
      <w:szCs w:val="24"/>
      <w:lang w:val="en-GB"/>
    </w:rPr>
  </w:style>
  <w:style w:type="paragraph" w:customStyle="1" w:styleId="PlainParagraph">
    <w:name w:val="Plain Paragraph"/>
    <w:aliases w:val="PP"/>
    <w:basedOn w:val="Normal"/>
    <w:link w:val="PlainParagraphChar"/>
    <w:qFormat/>
    <w:rsid w:val="00EE1533"/>
    <w:pPr>
      <w:spacing w:before="140" w:after="140" w:line="280" w:lineRule="atLeast"/>
      <w:jc w:val="left"/>
    </w:pPr>
    <w:rPr>
      <w:rFonts w:ascii="Arial" w:eastAsia="Times New Roman" w:hAnsi="Arial" w:cs="Arial"/>
      <w:sz w:val="22"/>
      <w:szCs w:val="22"/>
      <w:lang w:eastAsia="en-AU"/>
    </w:rPr>
  </w:style>
  <w:style w:type="character" w:customStyle="1" w:styleId="PlainParagraphChar">
    <w:name w:val="Plain Paragraph Char"/>
    <w:aliases w:val="PP Char"/>
    <w:basedOn w:val="DefaultParagraphFont"/>
    <w:link w:val="PlainParagraph"/>
    <w:rsid w:val="00EE1533"/>
    <w:rPr>
      <w:rFonts w:ascii="Arial" w:eastAsia="Times New Roman" w:hAnsi="Arial" w:cs="Arial"/>
      <w:sz w:val="22"/>
      <w:szCs w:val="22"/>
    </w:rPr>
  </w:style>
  <w:style w:type="paragraph" w:styleId="FootnoteText">
    <w:name w:val="footnote text"/>
    <w:basedOn w:val="Normal"/>
    <w:link w:val="FootnoteTextChar"/>
    <w:semiHidden/>
    <w:unhideWhenUsed/>
    <w:rsid w:val="00045FA3"/>
    <w:pPr>
      <w:spacing w:line="240" w:lineRule="auto"/>
    </w:pPr>
    <w:rPr>
      <w:sz w:val="20"/>
    </w:rPr>
  </w:style>
  <w:style w:type="character" w:customStyle="1" w:styleId="FootnoteTextChar">
    <w:name w:val="Footnote Text Char"/>
    <w:basedOn w:val="DefaultParagraphFont"/>
    <w:link w:val="FootnoteText"/>
    <w:semiHidden/>
    <w:rsid w:val="00045FA3"/>
    <w:rPr>
      <w:lang w:eastAsia="en-US"/>
    </w:rPr>
  </w:style>
  <w:style w:type="character" w:styleId="FootnoteReference">
    <w:name w:val="footnote reference"/>
    <w:basedOn w:val="DefaultParagraphFont"/>
    <w:semiHidden/>
    <w:unhideWhenUsed/>
    <w:rsid w:val="00045FA3"/>
    <w:rPr>
      <w:vertAlign w:val="superscript"/>
    </w:rPr>
  </w:style>
  <w:style w:type="paragraph" w:styleId="ListParagraph">
    <w:name w:val="List Paragraph"/>
    <w:basedOn w:val="Normal"/>
    <w:uiPriority w:val="34"/>
    <w:rsid w:val="006A055A"/>
    <w:pPr>
      <w:ind w:left="720"/>
      <w:contextualSpacing/>
    </w:pPr>
  </w:style>
  <w:style w:type="paragraph" w:customStyle="1" w:styleId="CUNumber1">
    <w:name w:val="CU_Number1"/>
    <w:basedOn w:val="Normal"/>
    <w:rsid w:val="003B5FB1"/>
    <w:pPr>
      <w:numPr>
        <w:numId w:val="28"/>
      </w:numPr>
      <w:spacing w:after="240" w:line="240" w:lineRule="auto"/>
      <w:jc w:val="left"/>
      <w:outlineLvl w:val="0"/>
    </w:pPr>
    <w:rPr>
      <w:rFonts w:ascii="Arial" w:eastAsia="Times New Roman" w:hAnsi="Arial"/>
      <w:sz w:val="20"/>
    </w:rPr>
  </w:style>
  <w:style w:type="paragraph" w:customStyle="1" w:styleId="CUNumber2">
    <w:name w:val="CU_Number2"/>
    <w:basedOn w:val="Normal"/>
    <w:rsid w:val="003B5FB1"/>
    <w:pPr>
      <w:numPr>
        <w:ilvl w:val="1"/>
        <w:numId w:val="28"/>
      </w:numPr>
      <w:spacing w:after="240" w:line="240" w:lineRule="auto"/>
      <w:jc w:val="left"/>
      <w:outlineLvl w:val="1"/>
    </w:pPr>
    <w:rPr>
      <w:rFonts w:ascii="Arial" w:eastAsia="Times New Roman" w:hAnsi="Arial"/>
      <w:sz w:val="20"/>
    </w:rPr>
  </w:style>
  <w:style w:type="paragraph" w:customStyle="1" w:styleId="CUNumber3">
    <w:name w:val="CU_Number3"/>
    <w:basedOn w:val="Normal"/>
    <w:rsid w:val="003B5FB1"/>
    <w:pPr>
      <w:numPr>
        <w:ilvl w:val="2"/>
        <w:numId w:val="28"/>
      </w:numPr>
      <w:spacing w:after="240" w:line="240" w:lineRule="auto"/>
      <w:jc w:val="left"/>
      <w:outlineLvl w:val="2"/>
    </w:pPr>
    <w:rPr>
      <w:rFonts w:ascii="Arial" w:eastAsia="Times New Roman" w:hAnsi="Arial"/>
      <w:sz w:val="20"/>
    </w:rPr>
  </w:style>
  <w:style w:type="paragraph" w:customStyle="1" w:styleId="CUNumber4">
    <w:name w:val="CU_Number4"/>
    <w:basedOn w:val="Normal"/>
    <w:rsid w:val="003B5FB1"/>
    <w:pPr>
      <w:numPr>
        <w:ilvl w:val="3"/>
        <w:numId w:val="28"/>
      </w:numPr>
      <w:spacing w:after="240" w:line="240" w:lineRule="auto"/>
      <w:jc w:val="left"/>
      <w:outlineLvl w:val="3"/>
    </w:pPr>
    <w:rPr>
      <w:rFonts w:ascii="Arial" w:eastAsia="Times New Roman" w:hAnsi="Arial"/>
      <w:sz w:val="20"/>
    </w:rPr>
  </w:style>
  <w:style w:type="paragraph" w:customStyle="1" w:styleId="CUNumber5">
    <w:name w:val="CU_Number5"/>
    <w:basedOn w:val="Normal"/>
    <w:rsid w:val="003B5FB1"/>
    <w:pPr>
      <w:numPr>
        <w:ilvl w:val="4"/>
        <w:numId w:val="28"/>
      </w:numPr>
      <w:spacing w:after="240" w:line="240" w:lineRule="auto"/>
      <w:jc w:val="left"/>
      <w:outlineLvl w:val="4"/>
    </w:pPr>
    <w:rPr>
      <w:rFonts w:ascii="Arial" w:eastAsia="Times New Roman" w:hAnsi="Arial"/>
      <w:sz w:val="20"/>
    </w:rPr>
  </w:style>
  <w:style w:type="paragraph" w:customStyle="1" w:styleId="CUNumber6">
    <w:name w:val="CU_Number6"/>
    <w:basedOn w:val="Normal"/>
    <w:rsid w:val="003B5FB1"/>
    <w:pPr>
      <w:numPr>
        <w:ilvl w:val="5"/>
        <w:numId w:val="28"/>
      </w:numPr>
      <w:spacing w:after="240" w:line="240" w:lineRule="auto"/>
      <w:jc w:val="left"/>
      <w:outlineLvl w:val="5"/>
    </w:pPr>
    <w:rPr>
      <w:rFonts w:ascii="Arial" w:eastAsia="Times New Roman" w:hAnsi="Arial"/>
      <w:sz w:val="20"/>
    </w:rPr>
  </w:style>
  <w:style w:type="paragraph" w:customStyle="1" w:styleId="CUNumber7">
    <w:name w:val="CU_Number7"/>
    <w:basedOn w:val="Normal"/>
    <w:rsid w:val="003B5FB1"/>
    <w:pPr>
      <w:numPr>
        <w:ilvl w:val="6"/>
        <w:numId w:val="28"/>
      </w:numPr>
      <w:spacing w:after="240" w:line="240" w:lineRule="auto"/>
      <w:jc w:val="left"/>
      <w:outlineLvl w:val="6"/>
    </w:pPr>
    <w:rPr>
      <w:rFonts w:ascii="Arial" w:eastAsia="Times New Roman" w:hAnsi="Arial"/>
      <w:sz w:val="20"/>
    </w:rPr>
  </w:style>
  <w:style w:type="paragraph" w:customStyle="1" w:styleId="CUNumber8">
    <w:name w:val="CU_Number8"/>
    <w:basedOn w:val="Normal"/>
    <w:rsid w:val="003B5FB1"/>
    <w:pPr>
      <w:numPr>
        <w:ilvl w:val="7"/>
        <w:numId w:val="28"/>
      </w:numPr>
      <w:spacing w:after="240" w:line="240" w:lineRule="auto"/>
      <w:jc w:val="left"/>
      <w:outlineLvl w:val="7"/>
    </w:pPr>
    <w:rPr>
      <w:rFonts w:ascii="Arial" w:eastAsia="Times New Roman" w:hAnsi="Arial"/>
      <w:sz w:val="20"/>
    </w:rPr>
  </w:style>
  <w:style w:type="numbering" w:customStyle="1" w:styleId="CUNumber">
    <w:name w:val="CU_Number"/>
    <w:uiPriority w:val="99"/>
    <w:rsid w:val="003B5FB1"/>
    <w:pPr>
      <w:numPr>
        <w:numId w:val="27"/>
      </w:numPr>
    </w:pPr>
  </w:style>
  <w:style w:type="paragraph" w:styleId="Revision">
    <w:name w:val="Revision"/>
    <w:hidden/>
    <w:uiPriority w:val="99"/>
    <w:semiHidden/>
    <w:rsid w:val="003C4E3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122250">
      <w:bodyDiv w:val="1"/>
      <w:marLeft w:val="0"/>
      <w:marRight w:val="0"/>
      <w:marTop w:val="0"/>
      <w:marBottom w:val="0"/>
      <w:divBdr>
        <w:top w:val="none" w:sz="0" w:space="0" w:color="auto"/>
        <w:left w:val="none" w:sz="0" w:space="0" w:color="auto"/>
        <w:bottom w:val="none" w:sz="0" w:space="0" w:color="auto"/>
        <w:right w:val="none" w:sz="0" w:space="0" w:color="auto"/>
      </w:divBdr>
    </w:div>
    <w:div w:id="481849169">
      <w:bodyDiv w:val="1"/>
      <w:marLeft w:val="0"/>
      <w:marRight w:val="0"/>
      <w:marTop w:val="0"/>
      <w:marBottom w:val="0"/>
      <w:divBdr>
        <w:top w:val="none" w:sz="0" w:space="0" w:color="auto"/>
        <w:left w:val="none" w:sz="0" w:space="0" w:color="auto"/>
        <w:bottom w:val="none" w:sz="0" w:space="0" w:color="auto"/>
        <w:right w:val="none" w:sz="0" w:space="0" w:color="auto"/>
      </w:divBdr>
    </w:div>
    <w:div w:id="875626841">
      <w:bodyDiv w:val="1"/>
      <w:marLeft w:val="0"/>
      <w:marRight w:val="0"/>
      <w:marTop w:val="0"/>
      <w:marBottom w:val="0"/>
      <w:divBdr>
        <w:top w:val="none" w:sz="0" w:space="0" w:color="auto"/>
        <w:left w:val="none" w:sz="0" w:space="0" w:color="auto"/>
        <w:bottom w:val="none" w:sz="0" w:space="0" w:color="auto"/>
        <w:right w:val="none" w:sz="0" w:space="0" w:color="auto"/>
      </w:divBdr>
    </w:div>
    <w:div w:id="1814986150">
      <w:bodyDiv w:val="1"/>
      <w:marLeft w:val="0"/>
      <w:marRight w:val="0"/>
      <w:marTop w:val="0"/>
      <w:marBottom w:val="0"/>
      <w:divBdr>
        <w:top w:val="none" w:sz="0" w:space="0" w:color="auto"/>
        <w:left w:val="none" w:sz="0" w:space="0" w:color="auto"/>
        <w:bottom w:val="none" w:sz="0" w:space="0" w:color="auto"/>
        <w:right w:val="none" w:sz="0" w:space="0" w:color="auto"/>
      </w:divBdr>
    </w:div>
    <w:div w:id="183625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E57091CFC64FC592D7A08300881096"/>
        <w:category>
          <w:name w:val="General"/>
          <w:gallery w:val="placeholder"/>
        </w:category>
        <w:types>
          <w:type w:val="bbPlcHdr"/>
        </w:types>
        <w:behaviors>
          <w:behavior w:val="content"/>
        </w:behaviors>
        <w:guid w:val="{CA5DA616-E80B-4537-AFCF-A270392F2AA6}"/>
      </w:docPartPr>
      <w:docPartBody>
        <w:p w:rsidR="00451FA1" w:rsidRDefault="00D25CA8">
          <w:pPr>
            <w:pStyle w:val="EEE57091CFC64FC592D7A08300881096"/>
          </w:pPr>
          <w:r>
            <w:rPr>
              <w:rStyle w:val="PlaceholderText"/>
            </w:rPr>
            <w:t>MNC Text</w:t>
          </w:r>
        </w:p>
      </w:docPartBody>
    </w:docPart>
    <w:docPart>
      <w:docPartPr>
        <w:name w:val="79D17ECFA87046279DC968802CBE033F"/>
        <w:category>
          <w:name w:val="General"/>
          <w:gallery w:val="placeholder"/>
        </w:category>
        <w:types>
          <w:type w:val="bbPlcHdr"/>
        </w:types>
        <w:behaviors>
          <w:behavior w:val="content"/>
        </w:behaviors>
        <w:guid w:val="{B0B2EAB3-6F68-422E-BBBE-89577CD653C6}"/>
      </w:docPartPr>
      <w:docPartBody>
        <w:p w:rsidR="00451FA1" w:rsidRDefault="00D25CA8">
          <w:pPr>
            <w:pStyle w:val="79D17ECFA87046279DC968802CBE033F"/>
          </w:pPr>
          <w:r w:rsidRPr="005C44BE">
            <w:rPr>
              <w:rStyle w:val="PlaceholderText"/>
            </w:rPr>
            <w:t>Click or tap here to enter text.</w:t>
          </w:r>
        </w:p>
      </w:docPartBody>
    </w:docPart>
    <w:docPart>
      <w:docPartPr>
        <w:name w:val="DE4D84563DDE4DA2944D36858CA757F2"/>
        <w:category>
          <w:name w:val="General"/>
          <w:gallery w:val="placeholder"/>
        </w:category>
        <w:types>
          <w:type w:val="bbPlcHdr"/>
        </w:types>
        <w:behaviors>
          <w:behavior w:val="content"/>
        </w:behaviors>
        <w:guid w:val="{9CBD2442-F7B9-49CA-A641-D4F93C16E159}"/>
      </w:docPartPr>
      <w:docPartBody>
        <w:p w:rsidR="00451FA1" w:rsidRDefault="00D25CA8">
          <w:pPr>
            <w:pStyle w:val="DE4D84563DDE4DA2944D36858CA757F2"/>
          </w:pPr>
          <w:r w:rsidRPr="005C44BE">
            <w:rPr>
              <w:rStyle w:val="PlaceholderText"/>
            </w:rPr>
            <w:t>Click or tap here to enter text.</w:t>
          </w:r>
        </w:p>
      </w:docPartBody>
    </w:docPart>
    <w:docPart>
      <w:docPartPr>
        <w:name w:val="60F1B9E4134D480FB050364C62507E29"/>
        <w:category>
          <w:name w:val="General"/>
          <w:gallery w:val="placeholder"/>
        </w:category>
        <w:types>
          <w:type w:val="bbPlcHdr"/>
        </w:types>
        <w:behaviors>
          <w:behavior w:val="content"/>
        </w:behaviors>
        <w:guid w:val="{9C24A5AC-B1C6-484E-A5FD-AB4301759C23}"/>
      </w:docPartPr>
      <w:docPartBody>
        <w:p w:rsidR="00451FA1" w:rsidRDefault="00D25CA8">
          <w:pPr>
            <w:pStyle w:val="60F1B9E4134D480FB050364C62507E29"/>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25CA8"/>
    <w:rsid w:val="000179D7"/>
    <w:rsid w:val="000D18C7"/>
    <w:rsid w:val="000D1C46"/>
    <w:rsid w:val="00126326"/>
    <w:rsid w:val="001346B8"/>
    <w:rsid w:val="001653C8"/>
    <w:rsid w:val="00170B67"/>
    <w:rsid w:val="001C2ADE"/>
    <w:rsid w:val="001C5E9F"/>
    <w:rsid w:val="001D3EBE"/>
    <w:rsid w:val="0029743B"/>
    <w:rsid w:val="002B2468"/>
    <w:rsid w:val="002B6A21"/>
    <w:rsid w:val="002E4187"/>
    <w:rsid w:val="002F65B9"/>
    <w:rsid w:val="002F7307"/>
    <w:rsid w:val="003156B4"/>
    <w:rsid w:val="00365707"/>
    <w:rsid w:val="00372BAD"/>
    <w:rsid w:val="00407D6C"/>
    <w:rsid w:val="00451FA1"/>
    <w:rsid w:val="00454661"/>
    <w:rsid w:val="0047234A"/>
    <w:rsid w:val="00486C93"/>
    <w:rsid w:val="004D01AA"/>
    <w:rsid w:val="004D1885"/>
    <w:rsid w:val="004E1A6D"/>
    <w:rsid w:val="00506971"/>
    <w:rsid w:val="005436D7"/>
    <w:rsid w:val="00545BFE"/>
    <w:rsid w:val="00560E0A"/>
    <w:rsid w:val="00580C95"/>
    <w:rsid w:val="005B250C"/>
    <w:rsid w:val="005B5595"/>
    <w:rsid w:val="005F444E"/>
    <w:rsid w:val="00605178"/>
    <w:rsid w:val="00612154"/>
    <w:rsid w:val="0069526A"/>
    <w:rsid w:val="006B2620"/>
    <w:rsid w:val="006B43FE"/>
    <w:rsid w:val="00717A09"/>
    <w:rsid w:val="00717A37"/>
    <w:rsid w:val="007401B2"/>
    <w:rsid w:val="007547F7"/>
    <w:rsid w:val="00763041"/>
    <w:rsid w:val="007B1F9D"/>
    <w:rsid w:val="00810046"/>
    <w:rsid w:val="00857781"/>
    <w:rsid w:val="00860133"/>
    <w:rsid w:val="00875A35"/>
    <w:rsid w:val="00885E2F"/>
    <w:rsid w:val="008A19DB"/>
    <w:rsid w:val="0091490F"/>
    <w:rsid w:val="0092030E"/>
    <w:rsid w:val="009538C7"/>
    <w:rsid w:val="00953BAC"/>
    <w:rsid w:val="00A04C40"/>
    <w:rsid w:val="00A30C75"/>
    <w:rsid w:val="00A5611F"/>
    <w:rsid w:val="00A84B63"/>
    <w:rsid w:val="00B52CC3"/>
    <w:rsid w:val="00B7659F"/>
    <w:rsid w:val="00B90837"/>
    <w:rsid w:val="00B92A26"/>
    <w:rsid w:val="00B973C1"/>
    <w:rsid w:val="00BA29DB"/>
    <w:rsid w:val="00BA5673"/>
    <w:rsid w:val="00BB07E7"/>
    <w:rsid w:val="00BE001F"/>
    <w:rsid w:val="00BE252D"/>
    <w:rsid w:val="00C32113"/>
    <w:rsid w:val="00C60A01"/>
    <w:rsid w:val="00C9273E"/>
    <w:rsid w:val="00C97C18"/>
    <w:rsid w:val="00CA2F33"/>
    <w:rsid w:val="00D11CE4"/>
    <w:rsid w:val="00D25CA8"/>
    <w:rsid w:val="00D26858"/>
    <w:rsid w:val="00D41849"/>
    <w:rsid w:val="00D52732"/>
    <w:rsid w:val="00D528D8"/>
    <w:rsid w:val="00D94558"/>
    <w:rsid w:val="00DE0C4F"/>
    <w:rsid w:val="00E21848"/>
    <w:rsid w:val="00E4099B"/>
    <w:rsid w:val="00E4235B"/>
    <w:rsid w:val="00E71836"/>
    <w:rsid w:val="00EB4BC8"/>
    <w:rsid w:val="00F15540"/>
    <w:rsid w:val="00F20033"/>
    <w:rsid w:val="00F667EF"/>
    <w:rsid w:val="00FA3B8C"/>
    <w:rsid w:val="00FA6745"/>
    <w:rsid w:val="00FD4C99"/>
    <w:rsid w:val="00FF7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C93"/>
    <w:rPr>
      <w:color w:val="808080"/>
    </w:rPr>
  </w:style>
  <w:style w:type="paragraph" w:customStyle="1" w:styleId="EEE57091CFC64FC592D7A08300881096">
    <w:name w:val="EEE57091CFC64FC592D7A08300881096"/>
    <w:rsid w:val="00486C93"/>
  </w:style>
  <w:style w:type="paragraph" w:customStyle="1" w:styleId="79D17ECFA87046279DC968802CBE033F">
    <w:name w:val="79D17ECFA87046279DC968802CBE033F"/>
    <w:rsid w:val="00486C93"/>
  </w:style>
  <w:style w:type="paragraph" w:customStyle="1" w:styleId="DE4D84563DDE4DA2944D36858CA757F2">
    <w:name w:val="DE4D84563DDE4DA2944D36858CA757F2"/>
    <w:rsid w:val="00486C93"/>
  </w:style>
  <w:style w:type="paragraph" w:customStyle="1" w:styleId="60F1B9E4134D480FB050364C62507E29">
    <w:name w:val="60F1B9E4134D480FB050364C62507E29"/>
    <w:rsid w:val="00486C93"/>
  </w:style>
  <w:style w:type="paragraph" w:customStyle="1" w:styleId="3A1E6E0672E44B5C90396A53C907FE97">
    <w:name w:val="3A1E6E0672E44B5C90396A53C907FE97"/>
    <w:rsid w:val="00486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Application by New South Wales Minerals Council (No 3) [2021] 
ACompT 4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C297D6B7-1339-40B5-920E-1B2467C0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96</Pages>
  <Words>38903</Words>
  <Characters>201470</Characters>
  <Application>Microsoft Office Word</Application>
  <DocSecurity>0</DocSecurity>
  <Lines>3534</Lines>
  <Paragraphs>1328</Paragraphs>
  <ScaleCrop>false</ScaleCrop>
  <HeadingPairs>
    <vt:vector size="2" baseType="variant">
      <vt:variant>
        <vt:lpstr>Title</vt:lpstr>
      </vt:variant>
      <vt:variant>
        <vt:i4>1</vt:i4>
      </vt:variant>
    </vt:vector>
  </HeadingPairs>
  <TitlesOfParts>
    <vt:vector size="1" baseType="lpstr">
      <vt:lpstr>Application by New South Wales Minerals Council (No 3) [2021] </vt:lpstr>
    </vt:vector>
  </TitlesOfParts>
  <Company>Federal Court of Australia</Company>
  <LinksUpToDate>false</LinksUpToDate>
  <CharactersWithSpaces>239045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by New South Wales Minerals Council (No 3) [2021]</dc:title>
  <dc:creator>Justice O'Bryan (FCA)</dc:creator>
  <cp:lastModifiedBy>Federal Court of Australia</cp:lastModifiedBy>
  <cp:revision>4</cp:revision>
  <cp:lastPrinted>2021-08-03T07:02:00Z</cp:lastPrinted>
  <dcterms:created xsi:type="dcterms:W3CDTF">2021-08-04T02:56:00Z</dcterms:created>
  <dcterms:modified xsi:type="dcterms:W3CDTF">2021-08-05T01:21:00Z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SYDNEY</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&lt;Registry&gt;</vt:lpwstr>
  </property>
  <property fmtid="{D5CDD505-2E9C-101B-9397-08002B2CF9AE}" pid="13" name="Division">
    <vt:lpwstr>&lt;Division&gt;</vt:lpwstr>
  </property>
  <property fmtid="{D5CDD505-2E9C-101B-9397-08002B2CF9AE}" pid="14" name="FileNo">
    <vt:lpwstr>&lt;FILE NO&gt;</vt:lpwstr>
  </property>
  <property fmtid="{D5CDD505-2E9C-101B-9397-08002B2CF9AE}" pid="15" name="Practice Area">
    <vt:lpwstr>&lt;Practice Area&gt;</vt:lpwstr>
  </property>
  <property fmtid="{D5CDD505-2E9C-101B-9397-08002B2CF9AE}" pid="16" name="Court">
    <vt:lpwstr>Federal Court of Australia</vt:lpwstr>
  </property>
  <property fmtid="{D5CDD505-2E9C-101B-9397-08002B2CF9AE}" pid="17" name="Sub Area">
    <vt:lpwstr>&lt;Sub Area&gt;</vt:lpwstr>
  </property>
  <property fmtid="{D5CDD505-2E9C-101B-9397-08002B2CF9AE}" pid="18" name="AppealFrom">
    <vt:lpwstr>&lt;AppealFrom&gt;</vt:lpwstr>
  </property>
</Properties>
</file>