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58B57" w14:textId="4F4CB86E" w:rsidR="00395B24" w:rsidRDefault="00FC7B51" w:rsidP="00A22932">
      <w:pPr>
        <w:pStyle w:val="CourtTitle"/>
      </w:pPr>
      <w:r>
        <w:rPr>
          <w:caps w:val="0"/>
        </w:rPr>
        <w:t>FEDERAL COURT OF AUSTRALIA</w:t>
      </w:r>
    </w:p>
    <w:p w14:paraId="10FF4EF7" w14:textId="77777777" w:rsidR="004D7950" w:rsidRDefault="004D7950">
      <w:pPr>
        <w:pStyle w:val="NormalHeadings"/>
        <w:jc w:val="center"/>
        <w:rPr>
          <w:sz w:val="32"/>
        </w:rPr>
      </w:pPr>
    </w:p>
    <w:bookmarkStart w:id="0" w:name="MNC"/>
    <w:p w14:paraId="2D8522B6" w14:textId="3C2D55AC" w:rsidR="00374CC4" w:rsidRDefault="008705DA" w:rsidP="001A2B40">
      <w:pPr>
        <w:pStyle w:val="MNC"/>
      </w:pPr>
      <w:sdt>
        <w:sdtPr>
          <w:alias w:val="MNC"/>
          <w:tag w:val="MNC"/>
          <w:id w:val="343289786"/>
          <w:lock w:val="sdtLocked"/>
          <w:placeholder>
            <w:docPart w:val="20B54CD651BE4AB9A7724155266E859A"/>
          </w:placeholder>
          <w:dataBinding w:prefixMappings="xmlns:ns0='http://schemas.globalmacros.com/FCA'" w:xpath="/ns0:root[1]/ns0:Name[1]" w:storeItemID="{687E7CCB-4AA5-44E7-B148-17BA2B6F57C0}"/>
          <w:text w:multiLine="1"/>
        </w:sdtPr>
        <w:sdtEndPr/>
        <w:sdtContent>
          <w:r w:rsidR="006866F5" w:rsidRPr="00B54F14">
            <w:t>Australian Vaccination-Risks Network Incorporated v Secretary, Department of</w:t>
          </w:r>
          <w:r w:rsidR="006866F5">
            <w:t xml:space="preserve"> Health (No 2) [2022] FCA 706</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853178" w14:paraId="3D54CFD4" w14:textId="77777777" w:rsidTr="001A7B73">
        <w:tc>
          <w:tcPr>
            <w:tcW w:w="3084" w:type="dxa"/>
            <w:shd w:val="clear" w:color="auto" w:fill="auto"/>
          </w:tcPr>
          <w:p w14:paraId="679176CF" w14:textId="77777777" w:rsidR="00853178" w:rsidRDefault="00853178" w:rsidP="00853178">
            <w:pPr>
              <w:pStyle w:val="Normal1linespace"/>
              <w:widowControl w:val="0"/>
              <w:jc w:val="left"/>
            </w:pPr>
            <w:r>
              <w:t>File number(s):</w:t>
            </w:r>
          </w:p>
        </w:tc>
        <w:tc>
          <w:tcPr>
            <w:tcW w:w="5989" w:type="dxa"/>
            <w:shd w:val="clear" w:color="auto" w:fill="auto"/>
          </w:tcPr>
          <w:p w14:paraId="5287C31B" w14:textId="77777777" w:rsidR="00853178" w:rsidRPr="004E55B8" w:rsidRDefault="00767706" w:rsidP="00853178">
            <w:pPr>
              <w:pStyle w:val="Normal1linespace"/>
              <w:jc w:val="left"/>
            </w:pPr>
            <w:fldSimple w:instr=" REF  FileNo  \* MERGEFORMAT " w:fldLock="1">
              <w:r w:rsidR="00853178" w:rsidRPr="00E5001D">
                <w:t>NSD 52 of 2022</w:t>
              </w:r>
            </w:fldSimple>
          </w:p>
        </w:tc>
      </w:tr>
      <w:tr w:rsidR="00853178" w14:paraId="4D58CED3" w14:textId="77777777" w:rsidTr="001A7B73">
        <w:tc>
          <w:tcPr>
            <w:tcW w:w="3084" w:type="dxa"/>
            <w:shd w:val="clear" w:color="auto" w:fill="auto"/>
          </w:tcPr>
          <w:p w14:paraId="79B5DCDE" w14:textId="77777777" w:rsidR="00853178" w:rsidRDefault="00853178" w:rsidP="00853178">
            <w:pPr>
              <w:pStyle w:val="Normal1linespace"/>
              <w:widowControl w:val="0"/>
              <w:jc w:val="left"/>
            </w:pPr>
          </w:p>
        </w:tc>
        <w:tc>
          <w:tcPr>
            <w:tcW w:w="5989" w:type="dxa"/>
            <w:shd w:val="clear" w:color="auto" w:fill="auto"/>
          </w:tcPr>
          <w:p w14:paraId="50E71D38" w14:textId="77777777" w:rsidR="00853178" w:rsidRDefault="00853178" w:rsidP="00853178">
            <w:pPr>
              <w:pStyle w:val="Normal1linespace"/>
              <w:widowControl w:val="0"/>
              <w:jc w:val="left"/>
            </w:pPr>
          </w:p>
        </w:tc>
      </w:tr>
      <w:tr w:rsidR="00853178" w14:paraId="64AACC33" w14:textId="77777777" w:rsidTr="001A7B73">
        <w:tc>
          <w:tcPr>
            <w:tcW w:w="3084" w:type="dxa"/>
            <w:shd w:val="clear" w:color="auto" w:fill="auto"/>
          </w:tcPr>
          <w:p w14:paraId="63035A8E" w14:textId="77777777" w:rsidR="00853178" w:rsidRDefault="00853178" w:rsidP="00853178">
            <w:pPr>
              <w:pStyle w:val="Normal1linespace"/>
              <w:widowControl w:val="0"/>
              <w:jc w:val="left"/>
            </w:pPr>
            <w:r>
              <w:t>Judgment of:</w:t>
            </w:r>
          </w:p>
        </w:tc>
        <w:tc>
          <w:tcPr>
            <w:tcW w:w="5989" w:type="dxa"/>
            <w:shd w:val="clear" w:color="auto" w:fill="auto"/>
          </w:tcPr>
          <w:p w14:paraId="12B5D4A0" w14:textId="77777777" w:rsidR="00853178" w:rsidRDefault="00853178" w:rsidP="00853178">
            <w:pPr>
              <w:pStyle w:val="Normal1linespace"/>
              <w:widowControl w:val="0"/>
              <w:jc w:val="left"/>
              <w:rPr>
                <w:b/>
              </w:rPr>
            </w:pPr>
            <w:r w:rsidRPr="00E5001D">
              <w:rPr>
                <w:b/>
              </w:rPr>
              <w:fldChar w:fldCharType="begin" w:fldLock="1"/>
            </w:r>
            <w:r w:rsidRPr="00E5001D">
              <w:rPr>
                <w:b/>
              </w:rPr>
              <w:instrText xml:space="preserve"> REF  Judge  \* MERGEFORMAT </w:instrText>
            </w:r>
            <w:r w:rsidRPr="00E5001D">
              <w:rPr>
                <w:b/>
              </w:rPr>
              <w:fldChar w:fldCharType="separate"/>
            </w:r>
            <w:r w:rsidRPr="00E5001D">
              <w:rPr>
                <w:b/>
                <w:caps/>
                <w:szCs w:val="24"/>
              </w:rPr>
              <w:t>PERRY J</w:t>
            </w:r>
            <w:r w:rsidRPr="00E5001D">
              <w:rPr>
                <w:b/>
              </w:rPr>
              <w:fldChar w:fldCharType="end"/>
            </w:r>
          </w:p>
        </w:tc>
      </w:tr>
      <w:tr w:rsidR="00853178" w14:paraId="55043B97" w14:textId="77777777" w:rsidTr="001A7B73">
        <w:tc>
          <w:tcPr>
            <w:tcW w:w="3084" w:type="dxa"/>
            <w:shd w:val="clear" w:color="auto" w:fill="auto"/>
          </w:tcPr>
          <w:p w14:paraId="0768A4B6" w14:textId="77777777" w:rsidR="00853178" w:rsidRDefault="00853178" w:rsidP="00853178">
            <w:pPr>
              <w:pStyle w:val="Normal1linespace"/>
              <w:widowControl w:val="0"/>
              <w:jc w:val="left"/>
            </w:pPr>
          </w:p>
        </w:tc>
        <w:tc>
          <w:tcPr>
            <w:tcW w:w="5989" w:type="dxa"/>
            <w:shd w:val="clear" w:color="auto" w:fill="auto"/>
          </w:tcPr>
          <w:p w14:paraId="548387F9" w14:textId="77777777" w:rsidR="00853178" w:rsidRDefault="00853178" w:rsidP="00853178">
            <w:pPr>
              <w:pStyle w:val="Normal1linespace"/>
              <w:widowControl w:val="0"/>
              <w:jc w:val="left"/>
            </w:pPr>
          </w:p>
        </w:tc>
      </w:tr>
      <w:tr w:rsidR="00853178" w14:paraId="5B93F71E" w14:textId="77777777" w:rsidTr="001A7B73">
        <w:tc>
          <w:tcPr>
            <w:tcW w:w="3084" w:type="dxa"/>
            <w:shd w:val="clear" w:color="auto" w:fill="auto"/>
          </w:tcPr>
          <w:p w14:paraId="1E6EEB6C" w14:textId="77777777" w:rsidR="00853178" w:rsidRPr="00C7049A" w:rsidRDefault="00853178" w:rsidP="00853178">
            <w:pPr>
              <w:pStyle w:val="Normal1linespace"/>
              <w:widowControl w:val="0"/>
              <w:jc w:val="left"/>
            </w:pPr>
            <w:r w:rsidRPr="00C7049A">
              <w:t>Date of judgment:</w:t>
            </w:r>
          </w:p>
        </w:tc>
        <w:tc>
          <w:tcPr>
            <w:tcW w:w="5989" w:type="dxa"/>
            <w:shd w:val="clear" w:color="auto" w:fill="auto"/>
          </w:tcPr>
          <w:p w14:paraId="204A405D" w14:textId="77777777" w:rsidR="00853178" w:rsidRPr="00C7049A" w:rsidRDefault="00957B28" w:rsidP="0017131C">
            <w:pPr>
              <w:pStyle w:val="Normal1linespace"/>
              <w:widowControl w:val="0"/>
              <w:jc w:val="left"/>
            </w:pPr>
            <w:bookmarkStart w:id="1" w:name="JudgmentDate"/>
            <w:bookmarkEnd w:id="1"/>
            <w:r w:rsidRPr="00204534">
              <w:t>20</w:t>
            </w:r>
            <w:r w:rsidR="00853178" w:rsidRPr="00C7049A">
              <w:t xml:space="preserve"> </w:t>
            </w:r>
            <w:r w:rsidR="005879C8" w:rsidRPr="00C7049A">
              <w:t xml:space="preserve">June </w:t>
            </w:r>
            <w:r w:rsidR="00853178" w:rsidRPr="00C7049A">
              <w:t>2022</w:t>
            </w:r>
          </w:p>
        </w:tc>
      </w:tr>
      <w:tr w:rsidR="00395B24" w14:paraId="07D509A5" w14:textId="77777777" w:rsidTr="001A7B73">
        <w:tc>
          <w:tcPr>
            <w:tcW w:w="3084" w:type="dxa"/>
            <w:shd w:val="clear" w:color="auto" w:fill="auto"/>
          </w:tcPr>
          <w:p w14:paraId="567C10BD" w14:textId="77777777" w:rsidR="00395B24" w:rsidRDefault="00395B24" w:rsidP="00663878">
            <w:pPr>
              <w:pStyle w:val="Normal1linespace"/>
              <w:widowControl w:val="0"/>
              <w:jc w:val="left"/>
            </w:pPr>
          </w:p>
        </w:tc>
        <w:tc>
          <w:tcPr>
            <w:tcW w:w="5989" w:type="dxa"/>
            <w:shd w:val="clear" w:color="auto" w:fill="auto"/>
          </w:tcPr>
          <w:p w14:paraId="709B1081" w14:textId="77777777" w:rsidR="00395B24" w:rsidRDefault="00395B24" w:rsidP="00663878">
            <w:pPr>
              <w:pStyle w:val="Normal1linespace"/>
              <w:widowControl w:val="0"/>
              <w:jc w:val="left"/>
            </w:pPr>
          </w:p>
        </w:tc>
      </w:tr>
      <w:tr w:rsidR="00395B24" w14:paraId="127AFC9D" w14:textId="77777777" w:rsidTr="001A7B73">
        <w:tc>
          <w:tcPr>
            <w:tcW w:w="3084" w:type="dxa"/>
            <w:shd w:val="clear" w:color="auto" w:fill="auto"/>
          </w:tcPr>
          <w:p w14:paraId="12DFBE42" w14:textId="77777777" w:rsidR="00395B24" w:rsidRDefault="002C7385" w:rsidP="00663878">
            <w:pPr>
              <w:pStyle w:val="Normal1linespace"/>
              <w:widowControl w:val="0"/>
              <w:jc w:val="left"/>
            </w:pPr>
            <w:r>
              <w:t>Catchwords:</w:t>
            </w:r>
          </w:p>
        </w:tc>
        <w:tc>
          <w:tcPr>
            <w:tcW w:w="5989" w:type="dxa"/>
            <w:shd w:val="clear" w:color="auto" w:fill="auto"/>
          </w:tcPr>
          <w:p w14:paraId="2C92B01C" w14:textId="30239F08" w:rsidR="00395B24" w:rsidRDefault="007B78D1" w:rsidP="00A35528">
            <w:pPr>
              <w:pStyle w:val="Normal1linespace"/>
              <w:widowControl w:val="0"/>
              <w:jc w:val="left"/>
            </w:pPr>
            <w:bookmarkStart w:id="2" w:name="Catchwords"/>
            <w:r>
              <w:rPr>
                <w:b/>
              </w:rPr>
              <w:t>COSTS –</w:t>
            </w:r>
            <w:r w:rsidR="00F133FE">
              <w:t xml:space="preserve"> </w:t>
            </w:r>
            <w:r w:rsidR="00793F77" w:rsidRPr="00841BCB">
              <w:t xml:space="preserve">circumstances in which the Court may depart from the ordinary rule as to costs </w:t>
            </w:r>
            <w:r w:rsidR="00E93F31">
              <w:t xml:space="preserve">in the exercise of discretion under s 43(2) of the </w:t>
            </w:r>
            <w:r w:rsidR="00E93F31" w:rsidRPr="00E93F31">
              <w:rPr>
                <w:i/>
              </w:rPr>
              <w:t xml:space="preserve">Federal Court of Australia Act 1976 </w:t>
            </w:r>
            <w:r w:rsidR="00E93F31" w:rsidRPr="00E93F31">
              <w:t>(Cth)</w:t>
            </w:r>
            <w:r w:rsidR="0048655C">
              <w:t xml:space="preserve"> </w:t>
            </w:r>
            <w:r w:rsidR="00793F77" w:rsidRPr="00841BCB">
              <w:t xml:space="preserve">– </w:t>
            </w:r>
            <w:r>
              <w:t xml:space="preserve">applicant wholly </w:t>
            </w:r>
            <w:r w:rsidR="00F133FE">
              <w:t>unsuccessful in invoking the C</w:t>
            </w:r>
            <w:r>
              <w:t>ourt’s jurisdiction</w:t>
            </w:r>
            <w:r w:rsidR="00806E61">
              <w:t xml:space="preserve"> in </w:t>
            </w:r>
            <w:r w:rsidR="00A35528">
              <w:t xml:space="preserve">its </w:t>
            </w:r>
            <w:r w:rsidR="00806E61">
              <w:t>application</w:t>
            </w:r>
            <w:r>
              <w:t xml:space="preserve"> for mandamus, declaratory relief and judicial review </w:t>
            </w:r>
            <w:r w:rsidR="00C04117">
              <w:t xml:space="preserve">and </w:t>
            </w:r>
            <w:r w:rsidR="00A35528">
              <w:t xml:space="preserve">its </w:t>
            </w:r>
            <w:r w:rsidR="00C04117">
              <w:t xml:space="preserve">application for joinder of second applicant </w:t>
            </w:r>
            <w:r>
              <w:t xml:space="preserve">– whether </w:t>
            </w:r>
            <w:r w:rsidR="005A348A">
              <w:t xml:space="preserve">public interest considerations </w:t>
            </w:r>
            <w:r>
              <w:t xml:space="preserve">warrant departure from the ordinary rule as to costs </w:t>
            </w:r>
            <w:r w:rsidR="001965CB">
              <w:t xml:space="preserve">– </w:t>
            </w:r>
            <w:r w:rsidR="00050B56">
              <w:t xml:space="preserve">where proceeding alleged to raise novel </w:t>
            </w:r>
            <w:r w:rsidR="002F5787">
              <w:t xml:space="preserve">and significant issues </w:t>
            </w:r>
            <w:r w:rsidR="00050B56">
              <w:t xml:space="preserve">– </w:t>
            </w:r>
            <w:r>
              <w:t xml:space="preserve">where no special circumstances </w:t>
            </w:r>
            <w:r w:rsidR="00D370CD">
              <w:t xml:space="preserve">justifying departure </w:t>
            </w:r>
            <w:r>
              <w:t xml:space="preserve">from ordinary rule as to costs – </w:t>
            </w:r>
            <w:r w:rsidR="0015409C">
              <w:t xml:space="preserve">where no merit in the applicant’s claim of disentitling conduct by the respondent </w:t>
            </w:r>
            <w:r w:rsidR="00AB7331">
              <w:t xml:space="preserve">contrary to </w:t>
            </w:r>
            <w:r w:rsidR="000262BA">
              <w:t>Commonwealth</w:t>
            </w:r>
            <w:r w:rsidR="00B65E1E">
              <w:t xml:space="preserve"> </w:t>
            </w:r>
            <w:r w:rsidR="0015409C">
              <w:t xml:space="preserve">model litigant principles </w:t>
            </w:r>
            <w:r w:rsidR="00A35528">
              <w:t xml:space="preserve">or otherwise </w:t>
            </w:r>
            <w:r w:rsidR="0015409C">
              <w:t xml:space="preserve">– </w:t>
            </w:r>
            <w:r>
              <w:t xml:space="preserve">applicant to pay </w:t>
            </w:r>
            <w:r w:rsidR="00201C54">
              <w:t xml:space="preserve">respondent’s </w:t>
            </w:r>
            <w:r>
              <w:t>costs</w:t>
            </w:r>
            <w:r w:rsidR="002C7385">
              <w:t xml:space="preserve"> </w:t>
            </w:r>
            <w:bookmarkEnd w:id="2"/>
          </w:p>
        </w:tc>
      </w:tr>
      <w:tr w:rsidR="00395B24" w14:paraId="3C520148" w14:textId="77777777" w:rsidTr="001A7B73">
        <w:tc>
          <w:tcPr>
            <w:tcW w:w="3084" w:type="dxa"/>
            <w:shd w:val="clear" w:color="auto" w:fill="auto"/>
          </w:tcPr>
          <w:p w14:paraId="1339CFBB" w14:textId="77777777" w:rsidR="00395B24" w:rsidRDefault="00395B24" w:rsidP="00663878">
            <w:pPr>
              <w:pStyle w:val="Normal1linespace"/>
              <w:widowControl w:val="0"/>
              <w:jc w:val="left"/>
            </w:pPr>
          </w:p>
        </w:tc>
        <w:tc>
          <w:tcPr>
            <w:tcW w:w="5989" w:type="dxa"/>
            <w:shd w:val="clear" w:color="auto" w:fill="auto"/>
          </w:tcPr>
          <w:p w14:paraId="2BE2F15B" w14:textId="77777777" w:rsidR="00395B24" w:rsidRDefault="00395B24" w:rsidP="00663878">
            <w:pPr>
              <w:pStyle w:val="Normal1linespace"/>
              <w:widowControl w:val="0"/>
              <w:jc w:val="left"/>
            </w:pPr>
          </w:p>
        </w:tc>
      </w:tr>
      <w:tr w:rsidR="0045702D" w14:paraId="26C92E0A" w14:textId="77777777" w:rsidTr="001A7B73">
        <w:tc>
          <w:tcPr>
            <w:tcW w:w="3084" w:type="dxa"/>
            <w:shd w:val="clear" w:color="auto" w:fill="auto"/>
          </w:tcPr>
          <w:p w14:paraId="3107FD1A" w14:textId="77777777" w:rsidR="0045702D" w:rsidRDefault="0045702D" w:rsidP="0045702D">
            <w:pPr>
              <w:pStyle w:val="Normal1linespace"/>
              <w:widowControl w:val="0"/>
              <w:jc w:val="left"/>
            </w:pPr>
            <w:r>
              <w:t>Legislation:</w:t>
            </w:r>
          </w:p>
        </w:tc>
        <w:tc>
          <w:tcPr>
            <w:tcW w:w="5989" w:type="dxa"/>
            <w:shd w:val="clear" w:color="auto" w:fill="auto"/>
          </w:tcPr>
          <w:p w14:paraId="1A858F09" w14:textId="77777777" w:rsidR="0045702D" w:rsidRPr="000F65AF" w:rsidRDefault="0045702D" w:rsidP="0045702D">
            <w:pPr>
              <w:pStyle w:val="CasesLegislationAppealFrom"/>
              <w:spacing w:after="60"/>
            </w:pPr>
            <w:bookmarkStart w:id="3" w:name="Legislation"/>
            <w:r w:rsidRPr="000F65AF">
              <w:rPr>
                <w:i/>
              </w:rPr>
              <w:t xml:space="preserve">Federal Court of Australia Act 1976 </w:t>
            </w:r>
            <w:r w:rsidRPr="000F65AF">
              <w:t>(Cth)</w:t>
            </w:r>
            <w:r w:rsidR="00E11799">
              <w:t xml:space="preserve"> s 43(2)</w:t>
            </w:r>
          </w:p>
          <w:p w14:paraId="10CD15C7" w14:textId="77777777" w:rsidR="0045702D" w:rsidRDefault="0045702D">
            <w:pPr>
              <w:pStyle w:val="CasesLegislationAppealFrom"/>
              <w:spacing w:after="60"/>
            </w:pPr>
            <w:r w:rsidRPr="000F65AF">
              <w:rPr>
                <w:i/>
              </w:rPr>
              <w:t>Legal Services Directions 2017</w:t>
            </w:r>
            <w:r w:rsidR="00FC3D14">
              <w:rPr>
                <w:i/>
              </w:rPr>
              <w:t xml:space="preserve"> </w:t>
            </w:r>
            <w:r w:rsidR="00C910B0">
              <w:t>app</w:t>
            </w:r>
            <w:r w:rsidR="00FC3D14">
              <w:t xml:space="preserve"> B</w:t>
            </w:r>
            <w:bookmarkEnd w:id="3"/>
          </w:p>
        </w:tc>
      </w:tr>
      <w:tr w:rsidR="0045702D" w14:paraId="2EAE491E" w14:textId="77777777" w:rsidTr="001A7B73">
        <w:tc>
          <w:tcPr>
            <w:tcW w:w="3084" w:type="dxa"/>
            <w:shd w:val="clear" w:color="auto" w:fill="auto"/>
          </w:tcPr>
          <w:p w14:paraId="0EF7F8B2" w14:textId="77777777" w:rsidR="0045702D" w:rsidRDefault="0045702D" w:rsidP="0045702D">
            <w:pPr>
              <w:pStyle w:val="Normal1linespace"/>
              <w:widowControl w:val="0"/>
              <w:jc w:val="left"/>
            </w:pPr>
          </w:p>
        </w:tc>
        <w:tc>
          <w:tcPr>
            <w:tcW w:w="5989" w:type="dxa"/>
            <w:shd w:val="clear" w:color="auto" w:fill="auto"/>
          </w:tcPr>
          <w:p w14:paraId="5A0C8DF1" w14:textId="77777777" w:rsidR="0045702D" w:rsidRDefault="0045702D" w:rsidP="0045702D">
            <w:pPr>
              <w:pStyle w:val="Normal1linespace"/>
              <w:widowControl w:val="0"/>
              <w:jc w:val="left"/>
            </w:pPr>
          </w:p>
        </w:tc>
      </w:tr>
      <w:tr w:rsidR="0045702D" w14:paraId="4F9C7965" w14:textId="77777777" w:rsidTr="001A7B73">
        <w:tc>
          <w:tcPr>
            <w:tcW w:w="3084" w:type="dxa"/>
            <w:shd w:val="clear" w:color="auto" w:fill="auto"/>
          </w:tcPr>
          <w:p w14:paraId="6F37D352" w14:textId="77777777" w:rsidR="0045702D" w:rsidRDefault="0045702D" w:rsidP="0045702D">
            <w:pPr>
              <w:pStyle w:val="Normal1linespace"/>
              <w:widowControl w:val="0"/>
              <w:jc w:val="left"/>
            </w:pPr>
            <w:r>
              <w:t>Cases cited:</w:t>
            </w:r>
          </w:p>
        </w:tc>
        <w:tc>
          <w:tcPr>
            <w:tcW w:w="5989" w:type="dxa"/>
            <w:shd w:val="clear" w:color="auto" w:fill="auto"/>
          </w:tcPr>
          <w:p w14:paraId="4BB2DF4F" w14:textId="77777777" w:rsidR="0045702D" w:rsidRPr="000F65AF" w:rsidRDefault="0045702D" w:rsidP="0045702D">
            <w:pPr>
              <w:pStyle w:val="CasesLegislationAppealFrom"/>
              <w:spacing w:after="60"/>
            </w:pPr>
            <w:bookmarkStart w:id="4" w:name="Cases_Cited"/>
            <w:r w:rsidRPr="000F65AF">
              <w:rPr>
                <w:i/>
              </w:rPr>
              <w:t>Australian Vaccination-Risks Network Incorporated v Secretary, Department of Health</w:t>
            </w:r>
            <w:r w:rsidRPr="000F65AF">
              <w:t xml:space="preserve"> [2022] FCA 320</w:t>
            </w:r>
          </w:p>
          <w:p w14:paraId="282DB08B" w14:textId="77777777" w:rsidR="0045702D" w:rsidRPr="000F65AF" w:rsidRDefault="0045702D" w:rsidP="0045702D">
            <w:pPr>
              <w:pStyle w:val="CasesLegislationAppealFrom"/>
              <w:spacing w:after="60"/>
            </w:pPr>
            <w:r w:rsidRPr="000F65AF">
              <w:rPr>
                <w:i/>
              </w:rPr>
              <w:t xml:space="preserve">Booth v Bosworth </w:t>
            </w:r>
            <w:r w:rsidRPr="000F65AF">
              <w:t>[2001] FCA 1718</w:t>
            </w:r>
          </w:p>
          <w:p w14:paraId="7BDA8BF9" w14:textId="77777777" w:rsidR="0045702D" w:rsidRPr="000F65AF" w:rsidRDefault="0045702D" w:rsidP="0045702D">
            <w:pPr>
              <w:pStyle w:val="CasesLegislationAppealFrom"/>
              <w:spacing w:after="60"/>
            </w:pPr>
            <w:r w:rsidRPr="000F65AF">
              <w:rPr>
                <w:i/>
              </w:rPr>
              <w:t>Latoudis v Casey</w:t>
            </w:r>
            <w:r w:rsidRPr="000F65AF">
              <w:t xml:space="preserve"> [1990] HCA 59; (1990) 170 CLR 534</w:t>
            </w:r>
          </w:p>
          <w:p w14:paraId="0A38DA9A" w14:textId="510773A4" w:rsidR="0045702D" w:rsidRPr="000F65AF" w:rsidRDefault="0045702D" w:rsidP="0045702D">
            <w:pPr>
              <w:pStyle w:val="CasesLegislationAppealFrom"/>
              <w:spacing w:after="60"/>
            </w:pPr>
            <w:r w:rsidRPr="000F65AF">
              <w:rPr>
                <w:i/>
              </w:rPr>
              <w:t>Northern Territory v Sangare</w:t>
            </w:r>
            <w:r w:rsidRPr="000F65AF">
              <w:t xml:space="preserve"> [2019] HCA 25</w:t>
            </w:r>
            <w:r w:rsidR="00DA582B">
              <w:t>; (2019) 265 CLR 164</w:t>
            </w:r>
          </w:p>
          <w:p w14:paraId="42270543" w14:textId="75385E8D" w:rsidR="0045702D" w:rsidRPr="000F65AF" w:rsidRDefault="0045702D" w:rsidP="0045702D">
            <w:pPr>
              <w:pStyle w:val="CasesLegislationAppealFrom"/>
              <w:spacing w:after="60"/>
            </w:pPr>
            <w:r w:rsidRPr="000F65AF">
              <w:rPr>
                <w:i/>
              </w:rPr>
              <w:t xml:space="preserve">Oshlack v Richmond River Council </w:t>
            </w:r>
            <w:r w:rsidR="00DA582B">
              <w:t xml:space="preserve">[1998] HCA 11; </w:t>
            </w:r>
            <w:r w:rsidRPr="000F65AF">
              <w:t>(1998) 193 CLR 72</w:t>
            </w:r>
          </w:p>
          <w:p w14:paraId="6E01A178" w14:textId="54919488" w:rsidR="0045702D" w:rsidRDefault="0045702D" w:rsidP="0045702D">
            <w:pPr>
              <w:pStyle w:val="CasesLegislationAppealFrom"/>
              <w:spacing w:after="60"/>
            </w:pPr>
            <w:r w:rsidRPr="000F65AF">
              <w:rPr>
                <w:i/>
              </w:rPr>
              <w:t>Ruddock v Vadarlis (No 2)</w:t>
            </w:r>
            <w:r w:rsidRPr="000F65AF">
              <w:t xml:space="preserve"> [2001] FCA 1865; (2001) 115 FCR 229</w:t>
            </w:r>
            <w:bookmarkEnd w:id="4"/>
          </w:p>
        </w:tc>
      </w:tr>
      <w:tr w:rsidR="004E55B8" w14:paraId="4B67E319" w14:textId="77777777" w:rsidTr="001A7B73">
        <w:tc>
          <w:tcPr>
            <w:tcW w:w="3084" w:type="dxa"/>
            <w:shd w:val="clear" w:color="auto" w:fill="auto"/>
          </w:tcPr>
          <w:p w14:paraId="40E9FAD2" w14:textId="77777777" w:rsidR="004E55B8" w:rsidRDefault="004E55B8" w:rsidP="000247DE">
            <w:pPr>
              <w:pStyle w:val="Normal1linespace"/>
              <w:widowControl w:val="0"/>
            </w:pPr>
          </w:p>
        </w:tc>
        <w:tc>
          <w:tcPr>
            <w:tcW w:w="5989" w:type="dxa"/>
            <w:shd w:val="clear" w:color="auto" w:fill="auto"/>
          </w:tcPr>
          <w:p w14:paraId="6B48300A" w14:textId="77777777" w:rsidR="004E55B8" w:rsidRDefault="004E55B8" w:rsidP="000247DE">
            <w:pPr>
              <w:pStyle w:val="Normal1linespace"/>
              <w:widowControl w:val="0"/>
              <w:jc w:val="left"/>
            </w:pPr>
          </w:p>
        </w:tc>
      </w:tr>
      <w:tr w:rsidR="00853178" w14:paraId="758F4232" w14:textId="77777777" w:rsidTr="001A7B73">
        <w:tc>
          <w:tcPr>
            <w:tcW w:w="3084" w:type="dxa"/>
            <w:shd w:val="clear" w:color="auto" w:fill="auto"/>
          </w:tcPr>
          <w:p w14:paraId="6B800C79" w14:textId="77777777" w:rsidR="00853178" w:rsidRDefault="00853178" w:rsidP="00853178">
            <w:pPr>
              <w:pStyle w:val="Normal1linespace"/>
              <w:widowControl w:val="0"/>
            </w:pPr>
            <w:r>
              <w:t>Division:</w:t>
            </w:r>
          </w:p>
        </w:tc>
        <w:tc>
          <w:tcPr>
            <w:tcW w:w="5989" w:type="dxa"/>
            <w:shd w:val="clear" w:color="auto" w:fill="auto"/>
          </w:tcPr>
          <w:p w14:paraId="2A6B685B" w14:textId="7C01FA2E" w:rsidR="00853178" w:rsidRPr="00F17599" w:rsidRDefault="00853178" w:rsidP="00853178">
            <w:pPr>
              <w:pStyle w:val="Normal1linespace"/>
              <w:widowControl w:val="0"/>
              <w:jc w:val="left"/>
            </w:pPr>
            <w:r>
              <w:t>General Division</w:t>
            </w:r>
          </w:p>
        </w:tc>
      </w:tr>
      <w:tr w:rsidR="00853178" w14:paraId="2AA9BC89" w14:textId="77777777" w:rsidTr="001A7B73">
        <w:tc>
          <w:tcPr>
            <w:tcW w:w="3084" w:type="dxa"/>
            <w:shd w:val="clear" w:color="auto" w:fill="auto"/>
          </w:tcPr>
          <w:p w14:paraId="13EB81E3" w14:textId="77777777" w:rsidR="00853178" w:rsidRDefault="00853178" w:rsidP="00853178">
            <w:pPr>
              <w:pStyle w:val="Normal1linespace"/>
              <w:widowControl w:val="0"/>
            </w:pPr>
            <w:bookmarkStart w:id="5" w:name="Registry_rows" w:colFirst="0" w:colLast="1"/>
          </w:p>
        </w:tc>
        <w:tc>
          <w:tcPr>
            <w:tcW w:w="5989" w:type="dxa"/>
            <w:shd w:val="clear" w:color="auto" w:fill="auto"/>
          </w:tcPr>
          <w:p w14:paraId="4CE28F8C" w14:textId="77777777" w:rsidR="00853178" w:rsidRDefault="00853178" w:rsidP="00853178">
            <w:pPr>
              <w:pStyle w:val="Normal1linespace"/>
              <w:widowControl w:val="0"/>
              <w:jc w:val="left"/>
            </w:pPr>
          </w:p>
        </w:tc>
      </w:tr>
      <w:tr w:rsidR="00853178" w14:paraId="60A04BE2" w14:textId="77777777" w:rsidTr="001A7B73">
        <w:tc>
          <w:tcPr>
            <w:tcW w:w="3084" w:type="dxa"/>
            <w:shd w:val="clear" w:color="auto" w:fill="auto"/>
          </w:tcPr>
          <w:p w14:paraId="4CB2A2F8" w14:textId="77777777" w:rsidR="00853178" w:rsidRDefault="00853178" w:rsidP="00853178">
            <w:pPr>
              <w:pStyle w:val="Normal1linespace"/>
              <w:widowControl w:val="0"/>
            </w:pPr>
            <w:r>
              <w:t>Registry:</w:t>
            </w:r>
          </w:p>
        </w:tc>
        <w:tc>
          <w:tcPr>
            <w:tcW w:w="5989" w:type="dxa"/>
            <w:shd w:val="clear" w:color="auto" w:fill="auto"/>
          </w:tcPr>
          <w:p w14:paraId="7C22DDB4" w14:textId="3CF9B0FF" w:rsidR="00853178" w:rsidRPr="00F17599" w:rsidRDefault="00853178" w:rsidP="00853178">
            <w:pPr>
              <w:pStyle w:val="Normal1linespace"/>
              <w:widowControl w:val="0"/>
              <w:jc w:val="left"/>
            </w:pPr>
            <w:r>
              <w:t>New South Wales</w:t>
            </w:r>
          </w:p>
        </w:tc>
      </w:tr>
      <w:tr w:rsidR="00853178" w14:paraId="77DA8B9A" w14:textId="77777777" w:rsidTr="001A7B73">
        <w:tc>
          <w:tcPr>
            <w:tcW w:w="3084" w:type="dxa"/>
            <w:shd w:val="clear" w:color="auto" w:fill="auto"/>
          </w:tcPr>
          <w:p w14:paraId="008C02EF" w14:textId="77777777" w:rsidR="00853178" w:rsidRDefault="00853178" w:rsidP="00853178">
            <w:pPr>
              <w:pStyle w:val="Normal1linespace"/>
              <w:widowControl w:val="0"/>
            </w:pPr>
            <w:bookmarkStart w:id="6" w:name="NPARow" w:colFirst="0" w:colLast="1"/>
            <w:bookmarkEnd w:id="5"/>
          </w:p>
        </w:tc>
        <w:tc>
          <w:tcPr>
            <w:tcW w:w="5989" w:type="dxa"/>
            <w:shd w:val="clear" w:color="auto" w:fill="auto"/>
          </w:tcPr>
          <w:p w14:paraId="16593889" w14:textId="77777777" w:rsidR="00853178" w:rsidRPr="00F17599" w:rsidRDefault="00853178" w:rsidP="00853178">
            <w:pPr>
              <w:pStyle w:val="Normal1linespace"/>
              <w:widowControl w:val="0"/>
              <w:jc w:val="left"/>
              <w:rPr>
                <w:b/>
              </w:rPr>
            </w:pPr>
          </w:p>
        </w:tc>
      </w:tr>
      <w:tr w:rsidR="00853178" w14:paraId="103A4D4E" w14:textId="77777777" w:rsidTr="001A7B73">
        <w:tc>
          <w:tcPr>
            <w:tcW w:w="3084" w:type="dxa"/>
            <w:shd w:val="clear" w:color="auto" w:fill="auto"/>
          </w:tcPr>
          <w:p w14:paraId="162A8241" w14:textId="77777777" w:rsidR="00853178" w:rsidRDefault="00853178" w:rsidP="00853178">
            <w:pPr>
              <w:pStyle w:val="Normal1linespace"/>
              <w:widowControl w:val="0"/>
            </w:pPr>
            <w:r>
              <w:t>National Practice Area:</w:t>
            </w:r>
          </w:p>
        </w:tc>
        <w:tc>
          <w:tcPr>
            <w:tcW w:w="5989" w:type="dxa"/>
            <w:shd w:val="clear" w:color="auto" w:fill="auto"/>
          </w:tcPr>
          <w:p w14:paraId="77D3B7AD" w14:textId="16C5287B" w:rsidR="00853178" w:rsidRPr="00F17599" w:rsidRDefault="00853178" w:rsidP="00853178">
            <w:pPr>
              <w:pStyle w:val="Normal1linespace"/>
              <w:widowControl w:val="0"/>
              <w:jc w:val="left"/>
              <w:rPr>
                <w:b/>
              </w:rPr>
            </w:pPr>
            <w:r>
              <w:t>Administrative and Constitutional Law and Human Rights</w:t>
            </w:r>
          </w:p>
        </w:tc>
      </w:tr>
      <w:tr w:rsidR="004E55B8" w14:paraId="6A73673F" w14:textId="77777777" w:rsidTr="001A7B73">
        <w:tc>
          <w:tcPr>
            <w:tcW w:w="3084" w:type="dxa"/>
            <w:shd w:val="clear" w:color="auto" w:fill="auto"/>
          </w:tcPr>
          <w:p w14:paraId="27B45AB7" w14:textId="77777777" w:rsidR="004E55B8" w:rsidRDefault="004E55B8" w:rsidP="00501A12">
            <w:pPr>
              <w:pStyle w:val="Normal1linespace"/>
              <w:widowControl w:val="0"/>
            </w:pPr>
            <w:bookmarkStart w:id="7" w:name="SubAreaRow" w:colFirst="0" w:colLast="1"/>
            <w:bookmarkEnd w:id="6"/>
          </w:p>
        </w:tc>
        <w:tc>
          <w:tcPr>
            <w:tcW w:w="5989" w:type="dxa"/>
            <w:shd w:val="clear" w:color="auto" w:fill="auto"/>
          </w:tcPr>
          <w:p w14:paraId="4D08ECDB" w14:textId="77777777" w:rsidR="004E55B8" w:rsidRDefault="004E55B8" w:rsidP="000247DE">
            <w:pPr>
              <w:pStyle w:val="Normal1linespace"/>
              <w:widowControl w:val="0"/>
              <w:jc w:val="left"/>
            </w:pPr>
          </w:p>
        </w:tc>
      </w:tr>
      <w:bookmarkEnd w:id="7"/>
      <w:tr w:rsidR="004E55B8" w14:paraId="0DAF5031" w14:textId="77777777" w:rsidTr="001A7B73">
        <w:tc>
          <w:tcPr>
            <w:tcW w:w="3084" w:type="dxa"/>
            <w:shd w:val="clear" w:color="auto" w:fill="auto"/>
          </w:tcPr>
          <w:p w14:paraId="684CC5FC" w14:textId="77777777" w:rsidR="004E55B8" w:rsidRDefault="004E55B8" w:rsidP="00501A12">
            <w:pPr>
              <w:pStyle w:val="Normal1linespace"/>
              <w:widowControl w:val="0"/>
            </w:pPr>
            <w:r>
              <w:t>Number of paragraphs:</w:t>
            </w:r>
          </w:p>
        </w:tc>
        <w:tc>
          <w:tcPr>
            <w:tcW w:w="5989" w:type="dxa"/>
            <w:shd w:val="clear" w:color="auto" w:fill="auto"/>
          </w:tcPr>
          <w:p w14:paraId="6454362D" w14:textId="1B12E913" w:rsidR="004E55B8" w:rsidRDefault="001A7B73" w:rsidP="006F404D">
            <w:pPr>
              <w:pStyle w:val="Normal1linespace"/>
              <w:widowControl w:val="0"/>
              <w:jc w:val="left"/>
            </w:pPr>
            <w:bookmarkStart w:id="8" w:name="PlaceCategoryParagraphs"/>
            <w:r>
              <w:t>43</w:t>
            </w:r>
            <w:bookmarkEnd w:id="8"/>
          </w:p>
        </w:tc>
      </w:tr>
      <w:tr w:rsidR="004E55B8" w14:paraId="5EEF80E5" w14:textId="77777777" w:rsidTr="001A7B73">
        <w:tc>
          <w:tcPr>
            <w:tcW w:w="3084" w:type="dxa"/>
            <w:shd w:val="clear" w:color="auto" w:fill="auto"/>
          </w:tcPr>
          <w:p w14:paraId="19A4143C" w14:textId="77777777" w:rsidR="004E55B8" w:rsidRDefault="004E55B8" w:rsidP="004E55B8">
            <w:pPr>
              <w:pStyle w:val="Normal1linespace"/>
              <w:widowControl w:val="0"/>
              <w:jc w:val="left"/>
            </w:pPr>
          </w:p>
        </w:tc>
        <w:tc>
          <w:tcPr>
            <w:tcW w:w="5989" w:type="dxa"/>
            <w:shd w:val="clear" w:color="auto" w:fill="auto"/>
          </w:tcPr>
          <w:p w14:paraId="46A9109F" w14:textId="77777777" w:rsidR="004E55B8" w:rsidRDefault="004E55B8" w:rsidP="004E55B8">
            <w:pPr>
              <w:pStyle w:val="Normal1linespace"/>
              <w:widowControl w:val="0"/>
              <w:jc w:val="left"/>
            </w:pPr>
          </w:p>
        </w:tc>
      </w:tr>
      <w:tr w:rsidR="004E55B8" w14:paraId="1A06C888" w14:textId="77777777" w:rsidTr="001A7B73">
        <w:tc>
          <w:tcPr>
            <w:tcW w:w="3084" w:type="dxa"/>
            <w:shd w:val="clear" w:color="auto" w:fill="auto"/>
          </w:tcPr>
          <w:p w14:paraId="2530C8EE" w14:textId="599D7CED" w:rsidR="004E55B8" w:rsidRDefault="004E55B8" w:rsidP="004E55B8">
            <w:pPr>
              <w:pStyle w:val="Normal1linespace"/>
              <w:widowControl w:val="0"/>
              <w:jc w:val="left"/>
            </w:pPr>
            <w:r>
              <w:t>Date of last submission:</w:t>
            </w:r>
          </w:p>
        </w:tc>
        <w:tc>
          <w:tcPr>
            <w:tcW w:w="5989" w:type="dxa"/>
            <w:shd w:val="clear" w:color="auto" w:fill="auto"/>
          </w:tcPr>
          <w:p w14:paraId="5B990FFA" w14:textId="77777777" w:rsidR="004E55B8" w:rsidRPr="0028344C" w:rsidRDefault="00853178" w:rsidP="004E55B8">
            <w:pPr>
              <w:pStyle w:val="Normal1linespace"/>
              <w:widowControl w:val="0"/>
              <w:jc w:val="left"/>
            </w:pPr>
            <w:r w:rsidRPr="0028344C">
              <w:t>25 May 2022</w:t>
            </w:r>
          </w:p>
        </w:tc>
      </w:tr>
      <w:tr w:rsidR="004E55B8" w14:paraId="27D67315" w14:textId="77777777" w:rsidTr="001A7B73">
        <w:tc>
          <w:tcPr>
            <w:tcW w:w="3084" w:type="dxa"/>
            <w:shd w:val="clear" w:color="auto" w:fill="auto"/>
          </w:tcPr>
          <w:p w14:paraId="1147D3AA" w14:textId="77777777" w:rsidR="004E55B8" w:rsidRDefault="004E55B8" w:rsidP="004E55B8">
            <w:pPr>
              <w:pStyle w:val="Normal1linespace"/>
              <w:widowControl w:val="0"/>
              <w:jc w:val="left"/>
            </w:pPr>
          </w:p>
        </w:tc>
        <w:tc>
          <w:tcPr>
            <w:tcW w:w="5989" w:type="dxa"/>
            <w:shd w:val="clear" w:color="auto" w:fill="auto"/>
          </w:tcPr>
          <w:p w14:paraId="0B8FD476" w14:textId="77777777" w:rsidR="004E55B8" w:rsidRDefault="004E55B8" w:rsidP="004E55B8">
            <w:pPr>
              <w:pStyle w:val="Normal1linespace"/>
              <w:widowControl w:val="0"/>
              <w:jc w:val="left"/>
            </w:pPr>
          </w:p>
        </w:tc>
      </w:tr>
      <w:tr w:rsidR="004E55B8" w14:paraId="48873DCA" w14:textId="77777777" w:rsidTr="001A7B73">
        <w:tc>
          <w:tcPr>
            <w:tcW w:w="3084" w:type="dxa"/>
            <w:shd w:val="clear" w:color="auto" w:fill="auto"/>
          </w:tcPr>
          <w:p w14:paraId="6909B9A7" w14:textId="77777777" w:rsidR="004E55B8" w:rsidRDefault="004E55B8" w:rsidP="004E55B8">
            <w:pPr>
              <w:pStyle w:val="Normal1linespace"/>
              <w:widowControl w:val="0"/>
              <w:jc w:val="left"/>
            </w:pPr>
            <w:bookmarkStart w:id="9" w:name="CounselDate" w:colFirst="0" w:colLast="2"/>
            <w:r w:rsidRPr="006A24E3">
              <w:t>Date of hearing:</w:t>
            </w:r>
          </w:p>
        </w:tc>
        <w:tc>
          <w:tcPr>
            <w:tcW w:w="5989" w:type="dxa"/>
            <w:shd w:val="clear" w:color="auto" w:fill="auto"/>
          </w:tcPr>
          <w:p w14:paraId="35243162" w14:textId="77777777" w:rsidR="004E55B8" w:rsidRDefault="0003282E">
            <w:pPr>
              <w:pStyle w:val="Normal1linespace"/>
              <w:widowControl w:val="0"/>
              <w:jc w:val="left"/>
            </w:pPr>
            <w:r w:rsidRPr="004253C6">
              <w:t xml:space="preserve">Determined </w:t>
            </w:r>
            <w:r w:rsidR="00853178" w:rsidRPr="0003282E">
              <w:t>on the papers</w:t>
            </w:r>
          </w:p>
        </w:tc>
      </w:tr>
      <w:tr w:rsidR="004E55B8" w14:paraId="4A6A2119" w14:textId="77777777" w:rsidTr="001A7B73">
        <w:tc>
          <w:tcPr>
            <w:tcW w:w="3084" w:type="dxa"/>
            <w:shd w:val="clear" w:color="auto" w:fill="auto"/>
          </w:tcPr>
          <w:p w14:paraId="075A4946" w14:textId="77777777" w:rsidR="004E55B8" w:rsidRDefault="004E55B8" w:rsidP="004E55B8">
            <w:pPr>
              <w:pStyle w:val="Normal1linespace"/>
              <w:widowControl w:val="0"/>
              <w:jc w:val="left"/>
            </w:pPr>
          </w:p>
        </w:tc>
        <w:tc>
          <w:tcPr>
            <w:tcW w:w="5989" w:type="dxa"/>
            <w:shd w:val="clear" w:color="auto" w:fill="auto"/>
          </w:tcPr>
          <w:p w14:paraId="2DB9C292" w14:textId="77777777" w:rsidR="004E55B8" w:rsidRDefault="004E55B8" w:rsidP="004E55B8">
            <w:pPr>
              <w:pStyle w:val="Normal1linespace"/>
              <w:widowControl w:val="0"/>
              <w:jc w:val="left"/>
            </w:pPr>
          </w:p>
        </w:tc>
      </w:tr>
      <w:tr w:rsidR="00E40D25" w14:paraId="7E505676" w14:textId="77777777" w:rsidTr="001A7B73">
        <w:tc>
          <w:tcPr>
            <w:tcW w:w="3084" w:type="dxa"/>
            <w:shd w:val="clear" w:color="auto" w:fill="auto"/>
          </w:tcPr>
          <w:p w14:paraId="64848F8D" w14:textId="77777777" w:rsidR="00E40D25" w:rsidRDefault="00E40D25" w:rsidP="00E40D25">
            <w:pPr>
              <w:pStyle w:val="Normal1linespace"/>
              <w:widowControl w:val="0"/>
              <w:jc w:val="left"/>
            </w:pPr>
            <w:r>
              <w:t>Counsel for the Applicant and Joinder Applicant</w:t>
            </w:r>
          </w:p>
        </w:tc>
        <w:tc>
          <w:tcPr>
            <w:tcW w:w="5989" w:type="dxa"/>
            <w:shd w:val="clear" w:color="auto" w:fill="auto"/>
          </w:tcPr>
          <w:p w14:paraId="4C83FB66" w14:textId="77777777" w:rsidR="00E40D25" w:rsidRDefault="00E40D25" w:rsidP="00E40D25">
            <w:pPr>
              <w:pStyle w:val="Normal1linespace"/>
              <w:widowControl w:val="0"/>
              <w:jc w:val="left"/>
            </w:pPr>
            <w:r>
              <w:t xml:space="preserve">Mr M Robinson SC with Mr J Harrison </w:t>
            </w:r>
          </w:p>
        </w:tc>
      </w:tr>
      <w:tr w:rsidR="00E40D25" w14:paraId="12AAB964" w14:textId="77777777" w:rsidTr="001A7B73">
        <w:tc>
          <w:tcPr>
            <w:tcW w:w="3084" w:type="dxa"/>
            <w:shd w:val="clear" w:color="auto" w:fill="auto"/>
          </w:tcPr>
          <w:p w14:paraId="6B11E7F9" w14:textId="77777777" w:rsidR="00E40D25" w:rsidRDefault="00E40D25" w:rsidP="00E40D25">
            <w:pPr>
              <w:pStyle w:val="Normal1linespace"/>
              <w:widowControl w:val="0"/>
              <w:jc w:val="left"/>
            </w:pPr>
          </w:p>
        </w:tc>
        <w:tc>
          <w:tcPr>
            <w:tcW w:w="5989" w:type="dxa"/>
            <w:shd w:val="clear" w:color="auto" w:fill="auto"/>
          </w:tcPr>
          <w:p w14:paraId="28FD2615" w14:textId="77777777" w:rsidR="00E40D25" w:rsidRDefault="00E40D25" w:rsidP="00E40D25">
            <w:pPr>
              <w:pStyle w:val="Normal1linespace"/>
              <w:widowControl w:val="0"/>
              <w:jc w:val="left"/>
            </w:pPr>
          </w:p>
        </w:tc>
      </w:tr>
      <w:tr w:rsidR="00E40D25" w14:paraId="2A0D089B" w14:textId="77777777" w:rsidTr="001A7B73">
        <w:tc>
          <w:tcPr>
            <w:tcW w:w="3084" w:type="dxa"/>
            <w:shd w:val="clear" w:color="auto" w:fill="auto"/>
          </w:tcPr>
          <w:p w14:paraId="3A96E8ED" w14:textId="77777777" w:rsidR="00E40D25" w:rsidRDefault="00E40D25" w:rsidP="00E40D25">
            <w:pPr>
              <w:pStyle w:val="Normal1linespace"/>
              <w:widowControl w:val="0"/>
              <w:jc w:val="left"/>
            </w:pPr>
            <w:r>
              <w:t xml:space="preserve">Solicitor for the Applicant and Joinder Applicant </w:t>
            </w:r>
          </w:p>
        </w:tc>
        <w:tc>
          <w:tcPr>
            <w:tcW w:w="5989" w:type="dxa"/>
            <w:shd w:val="clear" w:color="auto" w:fill="auto"/>
          </w:tcPr>
          <w:p w14:paraId="4A729D65" w14:textId="77777777" w:rsidR="00E40D25" w:rsidRDefault="00105D67" w:rsidP="0017131C">
            <w:pPr>
              <w:pStyle w:val="Normal1linespace"/>
              <w:widowControl w:val="0"/>
              <w:jc w:val="left"/>
            </w:pPr>
            <w:r>
              <w:t>P</w:t>
            </w:r>
            <w:r w:rsidR="00E40D25">
              <w:t xml:space="preserve">J O’Brien &amp; Associates </w:t>
            </w:r>
          </w:p>
        </w:tc>
      </w:tr>
      <w:tr w:rsidR="00E40D25" w14:paraId="4B116F92" w14:textId="77777777" w:rsidTr="001A7B73">
        <w:tc>
          <w:tcPr>
            <w:tcW w:w="3084" w:type="dxa"/>
            <w:shd w:val="clear" w:color="auto" w:fill="auto"/>
          </w:tcPr>
          <w:p w14:paraId="510FDEC6" w14:textId="77777777" w:rsidR="00E40D25" w:rsidRDefault="00E40D25" w:rsidP="00E40D25">
            <w:pPr>
              <w:pStyle w:val="Normal1linespace"/>
              <w:widowControl w:val="0"/>
              <w:jc w:val="left"/>
            </w:pPr>
          </w:p>
        </w:tc>
        <w:tc>
          <w:tcPr>
            <w:tcW w:w="5989" w:type="dxa"/>
            <w:shd w:val="clear" w:color="auto" w:fill="auto"/>
          </w:tcPr>
          <w:p w14:paraId="68E2422C" w14:textId="77777777" w:rsidR="00E40D25" w:rsidRDefault="00E40D25" w:rsidP="00E40D25">
            <w:pPr>
              <w:pStyle w:val="Normal1linespace"/>
              <w:widowControl w:val="0"/>
              <w:jc w:val="left"/>
            </w:pPr>
          </w:p>
        </w:tc>
      </w:tr>
      <w:tr w:rsidR="00E40D25" w14:paraId="5191D8EF" w14:textId="77777777" w:rsidTr="001A7B73">
        <w:tc>
          <w:tcPr>
            <w:tcW w:w="3084" w:type="dxa"/>
            <w:shd w:val="clear" w:color="auto" w:fill="auto"/>
          </w:tcPr>
          <w:p w14:paraId="76F208DB" w14:textId="77777777" w:rsidR="00E40D25" w:rsidRDefault="00E40D25" w:rsidP="00E40D25">
            <w:pPr>
              <w:pStyle w:val="Normal1linespace"/>
              <w:widowControl w:val="0"/>
              <w:jc w:val="left"/>
            </w:pPr>
            <w:r>
              <w:t xml:space="preserve">Counsel for the Respondent </w:t>
            </w:r>
          </w:p>
        </w:tc>
        <w:tc>
          <w:tcPr>
            <w:tcW w:w="5989" w:type="dxa"/>
            <w:shd w:val="clear" w:color="auto" w:fill="auto"/>
          </w:tcPr>
          <w:p w14:paraId="3E4AAB13" w14:textId="77777777" w:rsidR="00E40D25" w:rsidRDefault="00E40D25" w:rsidP="00E40D25">
            <w:pPr>
              <w:pStyle w:val="Normal1linespace"/>
              <w:widowControl w:val="0"/>
              <w:jc w:val="left"/>
            </w:pPr>
            <w:r>
              <w:t>Mr B Kaplan</w:t>
            </w:r>
          </w:p>
        </w:tc>
      </w:tr>
      <w:tr w:rsidR="00E40D25" w14:paraId="5E1AD7C6" w14:textId="77777777" w:rsidTr="001A7B73">
        <w:tc>
          <w:tcPr>
            <w:tcW w:w="3084" w:type="dxa"/>
            <w:shd w:val="clear" w:color="auto" w:fill="auto"/>
          </w:tcPr>
          <w:p w14:paraId="633C2B47" w14:textId="77777777" w:rsidR="00E40D25" w:rsidRDefault="00E40D25" w:rsidP="00E40D25">
            <w:pPr>
              <w:pStyle w:val="Normal1linespace"/>
              <w:widowControl w:val="0"/>
              <w:jc w:val="left"/>
            </w:pPr>
          </w:p>
        </w:tc>
        <w:tc>
          <w:tcPr>
            <w:tcW w:w="5989" w:type="dxa"/>
            <w:shd w:val="clear" w:color="auto" w:fill="auto"/>
          </w:tcPr>
          <w:p w14:paraId="1655368F" w14:textId="77777777" w:rsidR="00E40D25" w:rsidRDefault="00E40D25" w:rsidP="00E40D25">
            <w:pPr>
              <w:pStyle w:val="Normal1linespace"/>
              <w:widowControl w:val="0"/>
              <w:jc w:val="left"/>
            </w:pPr>
          </w:p>
        </w:tc>
      </w:tr>
      <w:tr w:rsidR="00E40D25" w14:paraId="24F8F2A1" w14:textId="77777777" w:rsidTr="001A7B73">
        <w:tc>
          <w:tcPr>
            <w:tcW w:w="3084" w:type="dxa"/>
            <w:shd w:val="clear" w:color="auto" w:fill="auto"/>
          </w:tcPr>
          <w:p w14:paraId="46D4C03D" w14:textId="77777777" w:rsidR="00E40D25" w:rsidRDefault="00E40D25" w:rsidP="00E40D25">
            <w:pPr>
              <w:pStyle w:val="Normal1linespace"/>
              <w:widowControl w:val="0"/>
              <w:jc w:val="left"/>
            </w:pPr>
            <w:r>
              <w:t xml:space="preserve">Solicitor for the Respondent </w:t>
            </w:r>
          </w:p>
        </w:tc>
        <w:tc>
          <w:tcPr>
            <w:tcW w:w="5989" w:type="dxa"/>
            <w:shd w:val="clear" w:color="auto" w:fill="auto"/>
          </w:tcPr>
          <w:p w14:paraId="6ADFC0EB" w14:textId="77777777" w:rsidR="00E40D25" w:rsidRDefault="00E40D25" w:rsidP="00E40D25">
            <w:pPr>
              <w:pStyle w:val="Normal1linespace"/>
              <w:widowControl w:val="0"/>
              <w:jc w:val="left"/>
            </w:pPr>
            <w:r>
              <w:t xml:space="preserve">Australian Government Solicitor </w:t>
            </w:r>
          </w:p>
        </w:tc>
      </w:tr>
      <w:tr w:rsidR="001A7B73" w14:paraId="0CD32912" w14:textId="77777777" w:rsidTr="001A7B73">
        <w:tc>
          <w:tcPr>
            <w:tcW w:w="3081" w:type="dxa"/>
            <w:shd w:val="clear" w:color="auto" w:fill="auto"/>
          </w:tcPr>
          <w:p w14:paraId="6931D3DA" w14:textId="77777777" w:rsidR="001A7B73" w:rsidRDefault="001A7B73" w:rsidP="001A7B73">
            <w:pPr>
              <w:pStyle w:val="Normal1linespace"/>
              <w:widowControl w:val="0"/>
              <w:jc w:val="left"/>
            </w:pPr>
            <w:bookmarkStart w:id="10" w:name="Counsel" w:colFirst="0" w:colLast="2"/>
            <w:bookmarkStart w:id="11" w:name="CompletionTable"/>
            <w:bookmarkEnd w:id="9"/>
          </w:p>
        </w:tc>
        <w:tc>
          <w:tcPr>
            <w:tcW w:w="5989" w:type="dxa"/>
            <w:shd w:val="clear" w:color="auto" w:fill="auto"/>
          </w:tcPr>
          <w:p w14:paraId="37993D58" w14:textId="77777777" w:rsidR="001A7B73" w:rsidRDefault="001A7B73" w:rsidP="001A7B73">
            <w:pPr>
              <w:pStyle w:val="Normal1linespace"/>
              <w:widowControl w:val="0"/>
              <w:jc w:val="left"/>
            </w:pPr>
            <w:bookmarkStart w:id="12" w:name="AppCounsel"/>
            <w:bookmarkEnd w:id="12"/>
          </w:p>
        </w:tc>
      </w:tr>
      <w:bookmarkEnd w:id="10"/>
      <w:bookmarkEnd w:id="11"/>
    </w:tbl>
    <w:p w14:paraId="539F0961" w14:textId="77777777" w:rsidR="007470BD" w:rsidRDefault="007470BD">
      <w:pPr>
        <w:pStyle w:val="Normal1linespace"/>
      </w:pPr>
    </w:p>
    <w:p w14:paraId="1737A5FB" w14:textId="77777777" w:rsidR="00E94CBF" w:rsidRDefault="00E94CBF">
      <w:pPr>
        <w:pStyle w:val="Normal1linespace"/>
      </w:pPr>
    </w:p>
    <w:p w14:paraId="4CE75C8F" w14:textId="77777777"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62D6B3A3"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9242" w:type="dxa"/>
        <w:tblLayout w:type="fixed"/>
        <w:tblLook w:val="0000" w:firstRow="0" w:lastRow="0" w:firstColumn="0" w:lastColumn="0" w:noHBand="0" w:noVBand="0"/>
        <w:tblCaption w:val="Parties"/>
        <w:tblDescription w:val="Parties"/>
      </w:tblPr>
      <w:tblGrid>
        <w:gridCol w:w="2376"/>
        <w:gridCol w:w="4536"/>
        <w:gridCol w:w="2330"/>
      </w:tblGrid>
      <w:tr w:rsidR="00A46CCC" w14:paraId="21B9EE24" w14:textId="77777777" w:rsidTr="00853178">
        <w:tc>
          <w:tcPr>
            <w:tcW w:w="6912" w:type="dxa"/>
            <w:gridSpan w:val="2"/>
          </w:tcPr>
          <w:p w14:paraId="61B65E50" w14:textId="77777777" w:rsidR="00A46CCC" w:rsidRPr="001765E0" w:rsidRDefault="00A46CCC" w:rsidP="00525A49">
            <w:pPr>
              <w:pStyle w:val="NormalHeadings"/>
            </w:pPr>
          </w:p>
        </w:tc>
        <w:tc>
          <w:tcPr>
            <w:tcW w:w="2330" w:type="dxa"/>
          </w:tcPr>
          <w:p w14:paraId="2C4D04B2" w14:textId="7B9BF33E" w:rsidR="00A46CCC" w:rsidRDefault="00853178" w:rsidP="008705DA">
            <w:pPr>
              <w:pStyle w:val="NormalHeadings"/>
              <w:jc w:val="right"/>
            </w:pPr>
            <w:bookmarkStart w:id="13" w:name="FileNo"/>
            <w:r>
              <w:t xml:space="preserve">NSD 52 </w:t>
            </w:r>
            <w:r w:rsidR="008705DA">
              <w:t>of</w:t>
            </w:r>
            <w:bookmarkStart w:id="14" w:name="_GoBack"/>
            <w:bookmarkEnd w:id="14"/>
            <w:r>
              <w:t xml:space="preserve"> 2022</w:t>
            </w:r>
            <w:bookmarkEnd w:id="13"/>
          </w:p>
        </w:tc>
      </w:tr>
      <w:tr w:rsidR="00A76C13" w14:paraId="76A83932" w14:textId="77777777" w:rsidTr="00853178">
        <w:tc>
          <w:tcPr>
            <w:tcW w:w="9242" w:type="dxa"/>
            <w:gridSpan w:val="3"/>
          </w:tcPr>
          <w:p w14:paraId="74F1ADDF" w14:textId="77777777" w:rsidR="00A76C13" w:rsidRPr="00A76C13" w:rsidRDefault="004E55B8" w:rsidP="004E55B8">
            <w:pPr>
              <w:pStyle w:val="NormalHeadings"/>
              <w:jc w:val="left"/>
            </w:pPr>
            <w:bookmarkStart w:id="15" w:name="InTheMatterOf"/>
            <w:r>
              <w:t xml:space="preserve"> </w:t>
            </w:r>
            <w:bookmarkEnd w:id="15"/>
          </w:p>
        </w:tc>
      </w:tr>
      <w:tr w:rsidR="00853178" w14:paraId="0E3164E2" w14:textId="77777777" w:rsidTr="00853178">
        <w:trPr>
          <w:trHeight w:val="386"/>
        </w:trPr>
        <w:tc>
          <w:tcPr>
            <w:tcW w:w="2376" w:type="dxa"/>
          </w:tcPr>
          <w:p w14:paraId="2EA736AA" w14:textId="77777777" w:rsidR="00853178" w:rsidRDefault="00853178" w:rsidP="00853178">
            <w:pPr>
              <w:pStyle w:val="NormalHeadings"/>
              <w:jc w:val="left"/>
              <w:rPr>
                <w:caps/>
                <w:szCs w:val="24"/>
              </w:rPr>
            </w:pPr>
            <w:bookmarkStart w:id="16" w:name="Parties"/>
            <w:r>
              <w:rPr>
                <w:caps/>
                <w:szCs w:val="24"/>
              </w:rPr>
              <w:t>BETWEEN:</w:t>
            </w:r>
          </w:p>
        </w:tc>
        <w:tc>
          <w:tcPr>
            <w:tcW w:w="6866" w:type="dxa"/>
            <w:gridSpan w:val="2"/>
          </w:tcPr>
          <w:p w14:paraId="5FE8E934" w14:textId="77777777" w:rsidR="00853178" w:rsidRDefault="00853178" w:rsidP="00853178">
            <w:pPr>
              <w:pStyle w:val="NormalHeadings"/>
              <w:jc w:val="left"/>
            </w:pPr>
            <w:bookmarkStart w:id="17" w:name="Applicant"/>
            <w:bookmarkEnd w:id="17"/>
            <w:r w:rsidRPr="00DE47A7">
              <w:t>AUSTRALIAN VACCINATION-RISKS NETWORK INCORPORATED</w:t>
            </w:r>
          </w:p>
          <w:p w14:paraId="05475ABE" w14:textId="77777777" w:rsidR="00853178" w:rsidRDefault="00853178" w:rsidP="00853178">
            <w:pPr>
              <w:pStyle w:val="PartyType"/>
            </w:pPr>
            <w:r>
              <w:t>Applicant</w:t>
            </w:r>
          </w:p>
          <w:p w14:paraId="1D70DF40" w14:textId="77777777" w:rsidR="00853178" w:rsidRPr="006555B4" w:rsidRDefault="00853178" w:rsidP="00853178">
            <w:pPr>
              <w:pStyle w:val="NormalHeadings"/>
              <w:jc w:val="left"/>
            </w:pPr>
          </w:p>
        </w:tc>
      </w:tr>
      <w:tr w:rsidR="00853178" w14:paraId="27F0444B" w14:textId="77777777" w:rsidTr="00853178">
        <w:trPr>
          <w:trHeight w:val="386"/>
        </w:trPr>
        <w:tc>
          <w:tcPr>
            <w:tcW w:w="2376" w:type="dxa"/>
          </w:tcPr>
          <w:p w14:paraId="17F7E249" w14:textId="77777777" w:rsidR="00853178" w:rsidRDefault="00853178" w:rsidP="00853178">
            <w:pPr>
              <w:pStyle w:val="NormalHeadings"/>
              <w:jc w:val="left"/>
              <w:rPr>
                <w:caps/>
                <w:szCs w:val="24"/>
              </w:rPr>
            </w:pPr>
            <w:r>
              <w:rPr>
                <w:caps/>
                <w:szCs w:val="24"/>
              </w:rPr>
              <w:t>AND:</w:t>
            </w:r>
          </w:p>
        </w:tc>
        <w:tc>
          <w:tcPr>
            <w:tcW w:w="6866" w:type="dxa"/>
            <w:gridSpan w:val="2"/>
          </w:tcPr>
          <w:p w14:paraId="1BB0B621" w14:textId="77777777" w:rsidR="00853178" w:rsidRDefault="00853178" w:rsidP="00853178">
            <w:pPr>
              <w:pStyle w:val="NormalHeadings"/>
              <w:jc w:val="left"/>
            </w:pPr>
            <w:bookmarkStart w:id="18" w:name="Respondent"/>
            <w:bookmarkEnd w:id="18"/>
            <w:r>
              <w:t>SECRETARY, DEPARTMENT OF HEALTH</w:t>
            </w:r>
          </w:p>
          <w:p w14:paraId="6547DEE3" w14:textId="77777777" w:rsidR="00853178" w:rsidRDefault="00853178" w:rsidP="00853178">
            <w:pPr>
              <w:pStyle w:val="PartyType"/>
            </w:pPr>
            <w:r>
              <w:t>Respondent</w:t>
            </w:r>
          </w:p>
          <w:p w14:paraId="113E8E92" w14:textId="77777777" w:rsidR="00853178" w:rsidRPr="006555B4" w:rsidRDefault="00853178" w:rsidP="00853178">
            <w:pPr>
              <w:pStyle w:val="NormalHeadings"/>
              <w:jc w:val="left"/>
            </w:pPr>
          </w:p>
        </w:tc>
      </w:tr>
    </w:tbl>
    <w:p w14:paraId="4778AF23" w14:textId="77777777" w:rsidR="00395B24" w:rsidRDefault="00395B24">
      <w:pPr>
        <w:pStyle w:val="NormalHeadings"/>
      </w:pPr>
      <w:bookmarkStart w:id="19" w:name="CrossClaimPosition"/>
      <w:bookmarkEnd w:id="16"/>
      <w:bookmarkEnd w:id="19"/>
    </w:p>
    <w:tbl>
      <w:tblPr>
        <w:tblW w:w="0" w:type="auto"/>
        <w:tblLayout w:type="fixed"/>
        <w:tblLook w:val="0000" w:firstRow="0" w:lastRow="0" w:firstColumn="0" w:lastColumn="0" w:noHBand="0" w:noVBand="0"/>
        <w:tblCaption w:val="Judge"/>
        <w:tblDescription w:val="Judge"/>
      </w:tblPr>
      <w:tblGrid>
        <w:gridCol w:w="2376"/>
        <w:gridCol w:w="6866"/>
      </w:tblGrid>
      <w:tr w:rsidR="00395B24" w14:paraId="37238766" w14:textId="77777777">
        <w:tc>
          <w:tcPr>
            <w:tcW w:w="2376" w:type="dxa"/>
          </w:tcPr>
          <w:p w14:paraId="7BE3ACE6" w14:textId="77777777" w:rsidR="00395B24" w:rsidRDefault="00974709">
            <w:pPr>
              <w:pStyle w:val="NormalHeadings"/>
              <w:spacing w:after="120"/>
              <w:jc w:val="left"/>
              <w:rPr>
                <w:caps/>
                <w:szCs w:val="24"/>
              </w:rPr>
            </w:pPr>
            <w:bookmarkStart w:id="20" w:name="JudgeText"/>
            <w:r>
              <w:rPr>
                <w:caps/>
                <w:szCs w:val="24"/>
              </w:rPr>
              <w:t>order made by</w:t>
            </w:r>
            <w:bookmarkEnd w:id="20"/>
            <w:r w:rsidR="002C7385">
              <w:rPr>
                <w:caps/>
                <w:szCs w:val="24"/>
              </w:rPr>
              <w:t>:</w:t>
            </w:r>
          </w:p>
        </w:tc>
        <w:tc>
          <w:tcPr>
            <w:tcW w:w="6866" w:type="dxa"/>
          </w:tcPr>
          <w:p w14:paraId="686CF5EE" w14:textId="77777777" w:rsidR="00395B24" w:rsidRDefault="0067536C">
            <w:pPr>
              <w:pStyle w:val="NormalHeadings"/>
              <w:jc w:val="left"/>
              <w:rPr>
                <w:caps/>
                <w:szCs w:val="24"/>
              </w:rPr>
            </w:pPr>
            <w:r>
              <w:rPr>
                <w:caps/>
                <w:szCs w:val="24"/>
              </w:rPr>
              <w:t>PERRY J</w:t>
            </w:r>
          </w:p>
        </w:tc>
      </w:tr>
      <w:tr w:rsidR="00395B24" w14:paraId="00D2C3C9" w14:textId="77777777">
        <w:tc>
          <w:tcPr>
            <w:tcW w:w="2376" w:type="dxa"/>
          </w:tcPr>
          <w:p w14:paraId="690E2905" w14:textId="77777777" w:rsidR="00395B24" w:rsidRDefault="002C7385">
            <w:pPr>
              <w:pStyle w:val="NormalHeadings"/>
              <w:spacing w:after="120"/>
              <w:jc w:val="left"/>
              <w:rPr>
                <w:caps/>
                <w:szCs w:val="24"/>
              </w:rPr>
            </w:pPr>
            <w:r>
              <w:rPr>
                <w:caps/>
                <w:szCs w:val="24"/>
              </w:rPr>
              <w:t>DATE OF ORDER:</w:t>
            </w:r>
          </w:p>
        </w:tc>
        <w:tc>
          <w:tcPr>
            <w:tcW w:w="6866" w:type="dxa"/>
          </w:tcPr>
          <w:p w14:paraId="5F48A445" w14:textId="65F5C079" w:rsidR="00395B24" w:rsidRDefault="00957B28">
            <w:pPr>
              <w:pStyle w:val="NormalHeadings"/>
              <w:jc w:val="left"/>
              <w:rPr>
                <w:caps/>
                <w:szCs w:val="24"/>
              </w:rPr>
            </w:pPr>
            <w:bookmarkStart w:id="21" w:name="Judgment_Dated"/>
            <w:bookmarkEnd w:id="21"/>
            <w:r w:rsidRPr="001A7B73">
              <w:rPr>
                <w:caps/>
                <w:szCs w:val="24"/>
              </w:rPr>
              <w:t>20</w:t>
            </w:r>
            <w:r w:rsidR="005F4133" w:rsidRPr="001A7B73">
              <w:rPr>
                <w:caps/>
                <w:szCs w:val="24"/>
              </w:rPr>
              <w:t xml:space="preserve"> June 2022</w:t>
            </w:r>
          </w:p>
        </w:tc>
      </w:tr>
    </w:tbl>
    <w:p w14:paraId="30ADABE5" w14:textId="77777777" w:rsidR="00395B24" w:rsidRDefault="00395B24">
      <w:pPr>
        <w:pStyle w:val="NormalHeadings"/>
        <w:rPr>
          <w:b w:val="0"/>
        </w:rPr>
      </w:pPr>
    </w:p>
    <w:p w14:paraId="11A83AAD" w14:textId="77777777" w:rsidR="008D1617" w:rsidRDefault="008D1617">
      <w:pPr>
        <w:pStyle w:val="NormalHeadings"/>
        <w:rPr>
          <w:b w:val="0"/>
        </w:rPr>
      </w:pPr>
    </w:p>
    <w:p w14:paraId="7DDFAC97" w14:textId="77777777" w:rsidR="007F60DF" w:rsidRDefault="002C7385" w:rsidP="00102890">
      <w:pPr>
        <w:pStyle w:val="NormalHeadings"/>
        <w:spacing w:line="360" w:lineRule="auto"/>
      </w:pPr>
      <w:r>
        <w:t>THE COURT ORDERS THAT:</w:t>
      </w:r>
    </w:p>
    <w:p w14:paraId="08ED05B9" w14:textId="792224F7" w:rsidR="001A6C52" w:rsidRDefault="00FC7B51" w:rsidP="00FC7B51">
      <w:pPr>
        <w:pStyle w:val="Order1"/>
        <w:numPr>
          <w:ilvl w:val="0"/>
          <w:numId w:val="0"/>
        </w:numPr>
        <w:tabs>
          <w:tab w:val="left" w:pos="720"/>
        </w:tabs>
        <w:ind w:left="720" w:hanging="720"/>
      </w:pPr>
      <w:r>
        <w:t>1.</w:t>
      </w:r>
      <w:r>
        <w:tab/>
      </w:r>
      <w:r w:rsidR="00E455AA">
        <w:t xml:space="preserve">The </w:t>
      </w:r>
      <w:r w:rsidR="0062595A">
        <w:t>a</w:t>
      </w:r>
      <w:r w:rsidR="00E455AA">
        <w:t xml:space="preserve">pplicant is to pay the </w:t>
      </w:r>
      <w:r w:rsidR="0062595A">
        <w:t>r</w:t>
      </w:r>
      <w:r w:rsidR="00123B51">
        <w:t>espondent’s</w:t>
      </w:r>
      <w:r w:rsidR="00E455AA">
        <w:t xml:space="preserve"> costs</w:t>
      </w:r>
      <w:r w:rsidR="00957B28">
        <w:t>,</w:t>
      </w:r>
      <w:r w:rsidR="00E455AA">
        <w:t xml:space="preserve"> including the costs of</w:t>
      </w:r>
      <w:r w:rsidR="00704AA9">
        <w:t xml:space="preserve"> and incidental to</w:t>
      </w:r>
      <w:r w:rsidR="00E455AA">
        <w:t xml:space="preserve"> the interlocutory application to join Mr Neugebauer and of the dispute as to costs.</w:t>
      </w:r>
    </w:p>
    <w:p w14:paraId="08013273" w14:textId="77777777" w:rsidR="004D0DB9" w:rsidRPr="004253C6" w:rsidRDefault="004D0DB9" w:rsidP="004D0DB9">
      <w:pPr>
        <w:pStyle w:val="Order1"/>
        <w:numPr>
          <w:ilvl w:val="0"/>
          <w:numId w:val="0"/>
        </w:numPr>
        <w:rPr>
          <w:b/>
        </w:rPr>
      </w:pPr>
      <w:r w:rsidRPr="004253C6">
        <w:rPr>
          <w:b/>
        </w:rPr>
        <w:t>THE COURT NOTES</w:t>
      </w:r>
      <w:r w:rsidR="00123B51" w:rsidRPr="004253C6">
        <w:rPr>
          <w:b/>
        </w:rPr>
        <w:t>, FOR CLARITY,</w:t>
      </w:r>
      <w:r w:rsidRPr="004253C6">
        <w:rPr>
          <w:b/>
        </w:rPr>
        <w:t xml:space="preserve"> THAT:</w:t>
      </w:r>
    </w:p>
    <w:p w14:paraId="30F907A5" w14:textId="027261E4" w:rsidR="004D0DB9" w:rsidRDefault="00FC7B51" w:rsidP="00FC7B51">
      <w:pPr>
        <w:pStyle w:val="Order1"/>
        <w:numPr>
          <w:ilvl w:val="0"/>
          <w:numId w:val="0"/>
        </w:numPr>
        <w:tabs>
          <w:tab w:val="left" w:pos="720"/>
        </w:tabs>
        <w:ind w:left="720" w:hanging="720"/>
      </w:pPr>
      <w:r>
        <w:t>2.</w:t>
      </w:r>
      <w:r>
        <w:tab/>
      </w:r>
      <w:r w:rsidR="004D0DB9">
        <w:t xml:space="preserve">Mr Neugebauer </w:t>
      </w:r>
      <w:r w:rsidR="00123B51">
        <w:t xml:space="preserve">is not liable to pay any of the </w:t>
      </w:r>
      <w:r w:rsidR="0062595A">
        <w:t>r</w:t>
      </w:r>
      <w:r w:rsidR="00123B51">
        <w:t>espondent’s costs.</w:t>
      </w:r>
    </w:p>
    <w:p w14:paraId="5CA722AD" w14:textId="77777777" w:rsidR="001A6C52" w:rsidRDefault="001A6C52" w:rsidP="001A6C52">
      <w:pPr>
        <w:pStyle w:val="BodyText"/>
      </w:pPr>
    </w:p>
    <w:p w14:paraId="12EA299B" w14:textId="77777777" w:rsidR="00A431E6" w:rsidRDefault="00A431E6" w:rsidP="001A6C52">
      <w:pPr>
        <w:pStyle w:val="BodyText"/>
      </w:pPr>
    </w:p>
    <w:p w14:paraId="3C4AE238" w14:textId="77777777" w:rsidR="0050309C" w:rsidRDefault="004E55B8" w:rsidP="004D53E5">
      <w:pPr>
        <w:pStyle w:val="SingleSpace"/>
      </w:pPr>
      <w:bookmarkStart w:id="22" w:name="OrdersStatement"/>
      <w:r>
        <w:t>Note:</w:t>
      </w:r>
      <w:r>
        <w:tab/>
        <w:t xml:space="preserve">Entry of orders is dealt with in Rule 39.32 of the </w:t>
      </w:r>
      <w:r>
        <w:rPr>
          <w:i/>
        </w:rPr>
        <w:t>Federal Court Rules 2011</w:t>
      </w:r>
      <w:r>
        <w:t>.</w:t>
      </w:r>
      <w:bookmarkEnd w:id="22"/>
    </w:p>
    <w:p w14:paraId="1FD5600D" w14:textId="77777777" w:rsidR="00E23577" w:rsidRDefault="00E23577" w:rsidP="002B0E91">
      <w:pPr>
        <w:pStyle w:val="BodyText"/>
      </w:pPr>
    </w:p>
    <w:p w14:paraId="57D2A72A" w14:textId="77777777"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4763EB4C" w14:textId="77777777" w:rsidR="00484F6D" w:rsidRPr="00045BB7" w:rsidRDefault="00484F6D" w:rsidP="00045BB7">
      <w:pPr>
        <w:pStyle w:val="NormalHeadings"/>
        <w:spacing w:line="480" w:lineRule="auto"/>
        <w:jc w:val="center"/>
        <w:rPr>
          <w:sz w:val="28"/>
          <w:szCs w:val="28"/>
        </w:rPr>
      </w:pPr>
      <w:bookmarkStart w:id="23" w:name="ReasonsPage"/>
      <w:bookmarkEnd w:id="23"/>
      <w:r w:rsidRPr="00045BB7">
        <w:rPr>
          <w:sz w:val="28"/>
          <w:szCs w:val="28"/>
        </w:rPr>
        <w:lastRenderedPageBreak/>
        <w:t>REASONS FOR JUDGMENT</w:t>
      </w:r>
    </w:p>
    <w:p w14:paraId="5F4691CF" w14:textId="77777777" w:rsidR="00FA30B2" w:rsidRPr="00FA30B2" w:rsidRDefault="001979DB" w:rsidP="00041FAB">
      <w:pPr>
        <w:pStyle w:val="NormalHeadings"/>
        <w:spacing w:line="360" w:lineRule="auto"/>
        <w:jc w:val="left"/>
        <w:rPr>
          <w:b w:val="0"/>
          <w:sz w:val="26"/>
          <w:szCs w:val="26"/>
        </w:rPr>
      </w:pPr>
      <w:r>
        <w:rPr>
          <w:sz w:val="26"/>
          <w:szCs w:val="26"/>
        </w:rPr>
        <w:t>PERRY J:</w:t>
      </w:r>
    </w:p>
    <w:tbl>
      <w:tblPr>
        <w:tblW w:w="9411" w:type="dxa"/>
        <w:tblLook w:val="01E0" w:firstRow="1" w:lastRow="1" w:firstColumn="1" w:lastColumn="1" w:noHBand="0" w:noVBand="0"/>
      </w:tblPr>
      <w:tblGrid>
        <w:gridCol w:w="8411"/>
        <w:gridCol w:w="1000"/>
      </w:tblGrid>
      <w:tr w:rsidR="007F6F12" w:rsidRPr="00D326DB" w14:paraId="6AE9CDEB" w14:textId="77777777" w:rsidTr="007F6F12">
        <w:tc>
          <w:tcPr>
            <w:tcW w:w="8411" w:type="dxa"/>
            <w:shd w:val="clear" w:color="auto" w:fill="auto"/>
          </w:tcPr>
          <w:bookmarkStart w:id="24" w:name="PTOC"/>
          <w:p w14:paraId="029F0060" w14:textId="3729FE1E" w:rsidR="007F6F12" w:rsidRPr="007F6F12" w:rsidRDefault="007F6F12" w:rsidP="007F6F12">
            <w:pPr>
              <w:pStyle w:val="FTOC5"/>
              <w:tabs>
                <w:tab w:val="clear" w:pos="9072"/>
              </w:tabs>
              <w:rPr>
                <w:lang w:eastAsia="en-AU"/>
              </w:rPr>
            </w:pPr>
            <w:r>
              <w:rPr>
                <w:lang w:eastAsia="en-AU"/>
              </w:rPr>
              <w:fldChar w:fldCharType="begin"/>
            </w:r>
            <w:r>
              <w:rPr>
                <w:lang w:eastAsia="en-AU"/>
              </w:rPr>
              <w:instrText xml:space="preserve"> REF _Ref106626507 \w \h </w:instrText>
            </w:r>
            <w:r>
              <w:rPr>
                <w:lang w:eastAsia="en-AU"/>
              </w:rPr>
            </w:r>
            <w:r>
              <w:rPr>
                <w:lang w:eastAsia="en-AU"/>
              </w:rPr>
              <w:fldChar w:fldCharType="separate"/>
            </w:r>
            <w:r w:rsidR="000E6869">
              <w:rPr>
                <w:lang w:eastAsia="en-AU"/>
              </w:rPr>
              <w:t>1</w:t>
            </w:r>
            <w:r>
              <w:rPr>
                <w:lang w:eastAsia="en-AU"/>
              </w:rPr>
              <w:fldChar w:fldCharType="end"/>
            </w:r>
            <w:r>
              <w:rPr>
                <w:lang w:eastAsia="en-AU"/>
              </w:rPr>
              <w:tab/>
            </w:r>
            <w:r>
              <w:rPr>
                <w:lang w:eastAsia="en-AU"/>
              </w:rPr>
              <w:fldChar w:fldCharType="begin"/>
            </w:r>
            <w:r>
              <w:rPr>
                <w:lang w:eastAsia="en-AU"/>
              </w:rPr>
              <w:instrText xml:space="preserve"> REF _Ref106626507 \h </w:instrText>
            </w:r>
            <w:r>
              <w:rPr>
                <w:lang w:eastAsia="en-AU"/>
              </w:rPr>
            </w:r>
            <w:r>
              <w:rPr>
                <w:lang w:eastAsia="en-AU"/>
              </w:rPr>
              <w:fldChar w:fldCharType="separate"/>
            </w:r>
            <w:r w:rsidR="000E6869">
              <w:t>INTRODUCTION</w:t>
            </w:r>
            <w:r>
              <w:rPr>
                <w:lang w:eastAsia="en-AU"/>
              </w:rPr>
              <w:fldChar w:fldCharType="end"/>
            </w:r>
          </w:p>
        </w:tc>
        <w:tc>
          <w:tcPr>
            <w:tcW w:w="1000" w:type="dxa"/>
            <w:shd w:val="clear" w:color="auto" w:fill="auto"/>
            <w:vAlign w:val="bottom"/>
          </w:tcPr>
          <w:p w14:paraId="28DE1574" w14:textId="33A3F0BB" w:rsidR="007F6F12" w:rsidRDefault="007F6F12" w:rsidP="00640103">
            <w:pPr>
              <w:spacing w:before="120" w:after="60" w:line="240" w:lineRule="auto"/>
              <w:jc w:val="right"/>
              <w:rPr>
                <w:szCs w:val="24"/>
              </w:rPr>
            </w:pPr>
            <w:r>
              <w:rPr>
                <w:szCs w:val="24"/>
              </w:rPr>
              <w:t>[1]</w:t>
            </w:r>
          </w:p>
        </w:tc>
      </w:tr>
      <w:tr w:rsidR="007F6F12" w:rsidRPr="00D326DB" w14:paraId="3D79C7A5" w14:textId="77777777" w:rsidTr="007F6F12">
        <w:tc>
          <w:tcPr>
            <w:tcW w:w="8411" w:type="dxa"/>
            <w:shd w:val="clear" w:color="auto" w:fill="auto"/>
          </w:tcPr>
          <w:p w14:paraId="4AD6F8C4" w14:textId="5C150D0D" w:rsidR="007F6F12" w:rsidRPr="007F6F12" w:rsidRDefault="007F6F12" w:rsidP="007F6F12">
            <w:pPr>
              <w:pStyle w:val="FTOC5"/>
              <w:tabs>
                <w:tab w:val="clear" w:pos="9072"/>
              </w:tabs>
              <w:rPr>
                <w:lang w:eastAsia="en-AU"/>
              </w:rPr>
            </w:pPr>
            <w:r>
              <w:rPr>
                <w:lang w:eastAsia="en-AU"/>
              </w:rPr>
              <w:fldChar w:fldCharType="begin"/>
            </w:r>
            <w:r>
              <w:rPr>
                <w:lang w:eastAsia="en-AU"/>
              </w:rPr>
              <w:instrText xml:space="preserve"> REF _Ref106626508 \w \h </w:instrText>
            </w:r>
            <w:r>
              <w:rPr>
                <w:lang w:eastAsia="en-AU"/>
              </w:rPr>
            </w:r>
            <w:r>
              <w:rPr>
                <w:lang w:eastAsia="en-AU"/>
              </w:rPr>
              <w:fldChar w:fldCharType="separate"/>
            </w:r>
            <w:r w:rsidR="000E6869">
              <w:rPr>
                <w:lang w:eastAsia="en-AU"/>
              </w:rPr>
              <w:t>2</w:t>
            </w:r>
            <w:r>
              <w:rPr>
                <w:lang w:eastAsia="en-AU"/>
              </w:rPr>
              <w:fldChar w:fldCharType="end"/>
            </w:r>
            <w:r>
              <w:rPr>
                <w:lang w:eastAsia="en-AU"/>
              </w:rPr>
              <w:tab/>
            </w:r>
            <w:r>
              <w:rPr>
                <w:lang w:eastAsia="en-AU"/>
              </w:rPr>
              <w:fldChar w:fldCharType="begin"/>
            </w:r>
            <w:r>
              <w:rPr>
                <w:lang w:eastAsia="en-AU"/>
              </w:rPr>
              <w:instrText xml:space="preserve"> REF _Ref106626508 \h </w:instrText>
            </w:r>
            <w:r>
              <w:rPr>
                <w:lang w:eastAsia="en-AU"/>
              </w:rPr>
            </w:r>
            <w:r>
              <w:rPr>
                <w:lang w:eastAsia="en-AU"/>
              </w:rPr>
              <w:fldChar w:fldCharType="separate"/>
            </w:r>
            <w:r w:rsidR="000E6869">
              <w:t>DISPOSITION</w:t>
            </w:r>
            <w:r>
              <w:rPr>
                <w:lang w:eastAsia="en-AU"/>
              </w:rPr>
              <w:fldChar w:fldCharType="end"/>
            </w:r>
          </w:p>
        </w:tc>
        <w:tc>
          <w:tcPr>
            <w:tcW w:w="1000" w:type="dxa"/>
            <w:shd w:val="clear" w:color="auto" w:fill="auto"/>
            <w:vAlign w:val="bottom"/>
          </w:tcPr>
          <w:p w14:paraId="34124F52" w14:textId="52851C31" w:rsidR="007F6F12" w:rsidRDefault="007F6F12" w:rsidP="00640103">
            <w:pPr>
              <w:spacing w:before="120" w:after="60" w:line="240" w:lineRule="auto"/>
              <w:jc w:val="right"/>
              <w:rPr>
                <w:szCs w:val="24"/>
              </w:rPr>
            </w:pPr>
            <w:r>
              <w:rPr>
                <w:szCs w:val="24"/>
              </w:rPr>
              <w:t>[5]</w:t>
            </w:r>
          </w:p>
        </w:tc>
      </w:tr>
      <w:tr w:rsidR="007F6F12" w:rsidRPr="00D326DB" w14:paraId="0B91E138" w14:textId="77777777" w:rsidTr="007F6F12">
        <w:tc>
          <w:tcPr>
            <w:tcW w:w="8411" w:type="dxa"/>
            <w:shd w:val="clear" w:color="auto" w:fill="auto"/>
          </w:tcPr>
          <w:p w14:paraId="6B131ECE" w14:textId="1EC1FD26" w:rsidR="007F6F12" w:rsidRPr="007F6F12" w:rsidRDefault="007F6F12" w:rsidP="007F6F12">
            <w:pPr>
              <w:pStyle w:val="FTOC6"/>
              <w:tabs>
                <w:tab w:val="clear" w:pos="9072"/>
              </w:tabs>
              <w:rPr>
                <w:lang w:eastAsia="en-AU"/>
              </w:rPr>
            </w:pPr>
            <w:r>
              <w:rPr>
                <w:lang w:eastAsia="en-AU"/>
              </w:rPr>
              <w:fldChar w:fldCharType="begin"/>
            </w:r>
            <w:r>
              <w:rPr>
                <w:lang w:eastAsia="en-AU"/>
              </w:rPr>
              <w:instrText xml:space="preserve"> REF _Ref106626509 \w \h </w:instrText>
            </w:r>
            <w:r>
              <w:rPr>
                <w:lang w:eastAsia="en-AU"/>
              </w:rPr>
            </w:r>
            <w:r>
              <w:rPr>
                <w:lang w:eastAsia="en-AU"/>
              </w:rPr>
              <w:fldChar w:fldCharType="separate"/>
            </w:r>
            <w:r w:rsidR="000E6869">
              <w:rPr>
                <w:lang w:eastAsia="en-AU"/>
              </w:rPr>
              <w:t>2.1</w:t>
            </w:r>
            <w:r>
              <w:rPr>
                <w:lang w:eastAsia="en-AU"/>
              </w:rPr>
              <w:fldChar w:fldCharType="end"/>
            </w:r>
            <w:r>
              <w:rPr>
                <w:lang w:eastAsia="en-AU"/>
              </w:rPr>
              <w:tab/>
            </w:r>
            <w:r>
              <w:rPr>
                <w:lang w:eastAsia="en-AU"/>
              </w:rPr>
              <w:fldChar w:fldCharType="begin"/>
            </w:r>
            <w:r>
              <w:rPr>
                <w:lang w:eastAsia="en-AU"/>
              </w:rPr>
              <w:instrText xml:space="preserve"> REF _Ref106626509 \h </w:instrText>
            </w:r>
            <w:r>
              <w:rPr>
                <w:lang w:eastAsia="en-AU"/>
              </w:rPr>
            </w:r>
            <w:r>
              <w:rPr>
                <w:lang w:eastAsia="en-AU"/>
              </w:rPr>
              <w:fldChar w:fldCharType="separate"/>
            </w:r>
            <w:r w:rsidR="000E6869">
              <w:t>Principles</w:t>
            </w:r>
            <w:r>
              <w:rPr>
                <w:lang w:eastAsia="en-AU"/>
              </w:rPr>
              <w:fldChar w:fldCharType="end"/>
            </w:r>
          </w:p>
        </w:tc>
        <w:tc>
          <w:tcPr>
            <w:tcW w:w="1000" w:type="dxa"/>
            <w:shd w:val="clear" w:color="auto" w:fill="auto"/>
            <w:vAlign w:val="bottom"/>
          </w:tcPr>
          <w:p w14:paraId="5791B321" w14:textId="5246929D" w:rsidR="007F6F12" w:rsidRDefault="007F6F12" w:rsidP="00640103">
            <w:pPr>
              <w:spacing w:before="120" w:after="60" w:line="240" w:lineRule="auto"/>
              <w:jc w:val="right"/>
              <w:rPr>
                <w:szCs w:val="24"/>
              </w:rPr>
            </w:pPr>
            <w:r>
              <w:rPr>
                <w:szCs w:val="24"/>
              </w:rPr>
              <w:t>[5]</w:t>
            </w:r>
          </w:p>
        </w:tc>
      </w:tr>
      <w:tr w:rsidR="007F6F12" w:rsidRPr="00D326DB" w14:paraId="2CB1278A" w14:textId="77777777" w:rsidTr="007F6F12">
        <w:tc>
          <w:tcPr>
            <w:tcW w:w="8411" w:type="dxa"/>
            <w:shd w:val="clear" w:color="auto" w:fill="auto"/>
          </w:tcPr>
          <w:p w14:paraId="73C1A396" w14:textId="63C86A9B" w:rsidR="007F6F12" w:rsidRPr="007F6F12" w:rsidRDefault="007F6F12" w:rsidP="007F6F12">
            <w:pPr>
              <w:pStyle w:val="FTOC6"/>
              <w:tabs>
                <w:tab w:val="clear" w:pos="9072"/>
              </w:tabs>
              <w:rPr>
                <w:lang w:eastAsia="en-AU"/>
              </w:rPr>
            </w:pPr>
            <w:r>
              <w:rPr>
                <w:lang w:eastAsia="en-AU"/>
              </w:rPr>
              <w:fldChar w:fldCharType="begin"/>
            </w:r>
            <w:r>
              <w:rPr>
                <w:lang w:eastAsia="en-AU"/>
              </w:rPr>
              <w:instrText xml:space="preserve"> REF _Ref106626510 \w \h </w:instrText>
            </w:r>
            <w:r>
              <w:rPr>
                <w:lang w:eastAsia="en-AU"/>
              </w:rPr>
            </w:r>
            <w:r>
              <w:rPr>
                <w:lang w:eastAsia="en-AU"/>
              </w:rPr>
              <w:fldChar w:fldCharType="separate"/>
            </w:r>
            <w:r w:rsidR="000E6869">
              <w:rPr>
                <w:lang w:eastAsia="en-AU"/>
              </w:rPr>
              <w:t>2.2</w:t>
            </w:r>
            <w:r>
              <w:rPr>
                <w:lang w:eastAsia="en-AU"/>
              </w:rPr>
              <w:fldChar w:fldCharType="end"/>
            </w:r>
            <w:r>
              <w:rPr>
                <w:lang w:eastAsia="en-AU"/>
              </w:rPr>
              <w:tab/>
            </w:r>
            <w:r>
              <w:rPr>
                <w:lang w:eastAsia="en-AU"/>
              </w:rPr>
              <w:fldChar w:fldCharType="begin"/>
            </w:r>
            <w:r>
              <w:rPr>
                <w:lang w:eastAsia="en-AU"/>
              </w:rPr>
              <w:instrText xml:space="preserve"> REF _Ref106626510 \h </w:instrText>
            </w:r>
            <w:r>
              <w:rPr>
                <w:lang w:eastAsia="en-AU"/>
              </w:rPr>
            </w:r>
            <w:r>
              <w:rPr>
                <w:lang w:eastAsia="en-AU"/>
              </w:rPr>
              <w:fldChar w:fldCharType="separate"/>
            </w:r>
            <w:r w:rsidR="000E6869">
              <w:t>Do the public interest considerations relied upon by AVN warrant a departure from the ordinary rule as to costs?</w:t>
            </w:r>
            <w:r>
              <w:rPr>
                <w:lang w:eastAsia="en-AU"/>
              </w:rPr>
              <w:fldChar w:fldCharType="end"/>
            </w:r>
          </w:p>
        </w:tc>
        <w:tc>
          <w:tcPr>
            <w:tcW w:w="1000" w:type="dxa"/>
            <w:shd w:val="clear" w:color="auto" w:fill="auto"/>
            <w:vAlign w:val="bottom"/>
          </w:tcPr>
          <w:p w14:paraId="66AD981B" w14:textId="53034B95" w:rsidR="007F6F12" w:rsidRDefault="007F6F12" w:rsidP="00640103">
            <w:pPr>
              <w:spacing w:before="120" w:after="60" w:line="240" w:lineRule="auto"/>
              <w:jc w:val="right"/>
              <w:rPr>
                <w:szCs w:val="24"/>
              </w:rPr>
            </w:pPr>
            <w:r>
              <w:rPr>
                <w:szCs w:val="24"/>
              </w:rPr>
              <w:t>[13]</w:t>
            </w:r>
          </w:p>
        </w:tc>
      </w:tr>
      <w:tr w:rsidR="007F6F12" w:rsidRPr="00D326DB" w14:paraId="654B5363" w14:textId="77777777" w:rsidTr="007F6F12">
        <w:tc>
          <w:tcPr>
            <w:tcW w:w="8411" w:type="dxa"/>
            <w:shd w:val="clear" w:color="auto" w:fill="auto"/>
          </w:tcPr>
          <w:p w14:paraId="30000E28" w14:textId="42DAA2E4" w:rsidR="007F6F12" w:rsidRPr="007F6F12" w:rsidRDefault="007F6F12" w:rsidP="007F6F12">
            <w:pPr>
              <w:pStyle w:val="FTOC6"/>
              <w:tabs>
                <w:tab w:val="clear" w:pos="9072"/>
              </w:tabs>
              <w:rPr>
                <w:lang w:eastAsia="en-AU"/>
              </w:rPr>
            </w:pPr>
            <w:r>
              <w:rPr>
                <w:lang w:eastAsia="en-AU"/>
              </w:rPr>
              <w:fldChar w:fldCharType="begin"/>
            </w:r>
            <w:r>
              <w:rPr>
                <w:lang w:eastAsia="en-AU"/>
              </w:rPr>
              <w:instrText xml:space="preserve"> REF _Ref106626511 \w \h </w:instrText>
            </w:r>
            <w:r>
              <w:rPr>
                <w:lang w:eastAsia="en-AU"/>
              </w:rPr>
            </w:r>
            <w:r>
              <w:rPr>
                <w:lang w:eastAsia="en-AU"/>
              </w:rPr>
              <w:fldChar w:fldCharType="separate"/>
            </w:r>
            <w:r w:rsidR="000E6869">
              <w:rPr>
                <w:lang w:eastAsia="en-AU"/>
              </w:rPr>
              <w:t>2.3</w:t>
            </w:r>
            <w:r>
              <w:rPr>
                <w:lang w:eastAsia="en-AU"/>
              </w:rPr>
              <w:fldChar w:fldCharType="end"/>
            </w:r>
            <w:r>
              <w:rPr>
                <w:lang w:eastAsia="en-AU"/>
              </w:rPr>
              <w:tab/>
            </w:r>
            <w:r>
              <w:rPr>
                <w:lang w:eastAsia="en-AU"/>
              </w:rPr>
              <w:fldChar w:fldCharType="begin"/>
            </w:r>
            <w:r>
              <w:rPr>
                <w:lang w:eastAsia="en-AU"/>
              </w:rPr>
              <w:instrText xml:space="preserve"> REF _Ref106626511 \h </w:instrText>
            </w:r>
            <w:r>
              <w:rPr>
                <w:lang w:eastAsia="en-AU"/>
              </w:rPr>
            </w:r>
            <w:r>
              <w:rPr>
                <w:lang w:eastAsia="en-AU"/>
              </w:rPr>
              <w:fldChar w:fldCharType="separate"/>
            </w:r>
            <w:r w:rsidR="000E6869">
              <w:t>Alleged disentitling conduct by the respondent</w:t>
            </w:r>
            <w:r>
              <w:rPr>
                <w:lang w:eastAsia="en-AU"/>
              </w:rPr>
              <w:fldChar w:fldCharType="end"/>
            </w:r>
          </w:p>
        </w:tc>
        <w:tc>
          <w:tcPr>
            <w:tcW w:w="1000" w:type="dxa"/>
            <w:shd w:val="clear" w:color="auto" w:fill="auto"/>
            <w:vAlign w:val="bottom"/>
          </w:tcPr>
          <w:p w14:paraId="0D2BD306" w14:textId="0E23390D" w:rsidR="007F6F12" w:rsidRDefault="007F6F12" w:rsidP="00640103">
            <w:pPr>
              <w:spacing w:before="120" w:after="60" w:line="240" w:lineRule="auto"/>
              <w:jc w:val="right"/>
              <w:rPr>
                <w:szCs w:val="24"/>
              </w:rPr>
            </w:pPr>
            <w:r>
              <w:rPr>
                <w:szCs w:val="24"/>
              </w:rPr>
              <w:t>[21]</w:t>
            </w:r>
          </w:p>
        </w:tc>
      </w:tr>
      <w:tr w:rsidR="007F6F12" w:rsidRPr="00D326DB" w14:paraId="70BC2DDB" w14:textId="77777777" w:rsidTr="007F6F12">
        <w:tc>
          <w:tcPr>
            <w:tcW w:w="8411" w:type="dxa"/>
            <w:shd w:val="clear" w:color="auto" w:fill="auto"/>
          </w:tcPr>
          <w:p w14:paraId="00B55DEB" w14:textId="5D33E7E8" w:rsidR="007F6F12" w:rsidRPr="007F6F12" w:rsidRDefault="007F6F12" w:rsidP="007F6F12">
            <w:pPr>
              <w:pStyle w:val="FTOC5"/>
              <w:tabs>
                <w:tab w:val="clear" w:pos="9072"/>
              </w:tabs>
              <w:rPr>
                <w:lang w:eastAsia="en-AU"/>
              </w:rPr>
            </w:pPr>
            <w:r>
              <w:rPr>
                <w:lang w:eastAsia="en-AU"/>
              </w:rPr>
              <w:fldChar w:fldCharType="begin"/>
            </w:r>
            <w:r>
              <w:rPr>
                <w:lang w:eastAsia="en-AU"/>
              </w:rPr>
              <w:instrText xml:space="preserve"> REF _Ref106626512 \w \h </w:instrText>
            </w:r>
            <w:r>
              <w:rPr>
                <w:lang w:eastAsia="en-AU"/>
              </w:rPr>
            </w:r>
            <w:r>
              <w:rPr>
                <w:lang w:eastAsia="en-AU"/>
              </w:rPr>
              <w:fldChar w:fldCharType="separate"/>
            </w:r>
            <w:r w:rsidR="000E6869">
              <w:rPr>
                <w:lang w:eastAsia="en-AU"/>
              </w:rPr>
              <w:t>3</w:t>
            </w:r>
            <w:r>
              <w:rPr>
                <w:lang w:eastAsia="en-AU"/>
              </w:rPr>
              <w:fldChar w:fldCharType="end"/>
            </w:r>
            <w:r>
              <w:rPr>
                <w:lang w:eastAsia="en-AU"/>
              </w:rPr>
              <w:tab/>
            </w:r>
            <w:r>
              <w:rPr>
                <w:lang w:eastAsia="en-AU"/>
              </w:rPr>
              <w:fldChar w:fldCharType="begin"/>
            </w:r>
            <w:r>
              <w:rPr>
                <w:lang w:eastAsia="en-AU"/>
              </w:rPr>
              <w:instrText xml:space="preserve"> REF _Ref106626512 \h </w:instrText>
            </w:r>
            <w:r>
              <w:rPr>
                <w:lang w:eastAsia="en-AU"/>
              </w:rPr>
            </w:r>
            <w:r>
              <w:rPr>
                <w:lang w:eastAsia="en-AU"/>
              </w:rPr>
              <w:fldChar w:fldCharType="separate"/>
            </w:r>
            <w:r w:rsidR="000E6869">
              <w:t>CONCLUSION</w:t>
            </w:r>
            <w:r>
              <w:rPr>
                <w:lang w:eastAsia="en-AU"/>
              </w:rPr>
              <w:fldChar w:fldCharType="end"/>
            </w:r>
          </w:p>
        </w:tc>
        <w:tc>
          <w:tcPr>
            <w:tcW w:w="1000" w:type="dxa"/>
            <w:shd w:val="clear" w:color="auto" w:fill="auto"/>
            <w:vAlign w:val="bottom"/>
          </w:tcPr>
          <w:p w14:paraId="48E0BCEA" w14:textId="20BE07E6" w:rsidR="007F6F12" w:rsidRDefault="007F6F12" w:rsidP="00640103">
            <w:pPr>
              <w:spacing w:before="120" w:after="60" w:line="240" w:lineRule="auto"/>
              <w:jc w:val="right"/>
              <w:rPr>
                <w:szCs w:val="24"/>
              </w:rPr>
            </w:pPr>
            <w:r>
              <w:rPr>
                <w:szCs w:val="24"/>
              </w:rPr>
              <w:t>[43]</w:t>
            </w:r>
          </w:p>
        </w:tc>
      </w:tr>
      <w:bookmarkEnd w:id="24"/>
    </w:tbl>
    <w:p w14:paraId="03464151" w14:textId="77777777" w:rsidR="00927A12" w:rsidRPr="004253C6" w:rsidRDefault="00927A12" w:rsidP="00041FAB">
      <w:pPr>
        <w:pStyle w:val="NormalHeadings"/>
        <w:spacing w:line="360" w:lineRule="auto"/>
        <w:jc w:val="left"/>
        <w:rPr>
          <w:b w:val="0"/>
          <w:sz w:val="26"/>
          <w:szCs w:val="26"/>
        </w:rPr>
      </w:pPr>
    </w:p>
    <w:p w14:paraId="39446AC3" w14:textId="56FD35B9" w:rsidR="0018448A" w:rsidRPr="0018448A" w:rsidRDefault="00FC7B51" w:rsidP="00FC7B51">
      <w:pPr>
        <w:pStyle w:val="Heading5"/>
        <w:numPr>
          <w:ilvl w:val="0"/>
          <w:numId w:val="0"/>
        </w:numPr>
        <w:tabs>
          <w:tab w:val="left" w:pos="1134"/>
        </w:tabs>
        <w:ind w:left="1134" w:hanging="1134"/>
      </w:pPr>
      <w:bookmarkStart w:id="25" w:name="_Ref106626507"/>
      <w:r w:rsidRPr="0018448A">
        <w:t>1.</w:t>
      </w:r>
      <w:r w:rsidRPr="0018448A">
        <w:tab/>
      </w:r>
      <w:r w:rsidR="0018448A">
        <w:t>INTRODUCTION</w:t>
      </w:r>
      <w:bookmarkEnd w:id="25"/>
    </w:p>
    <w:p w14:paraId="10C08660" w14:textId="67DE5203" w:rsidR="000247DE" w:rsidRDefault="00FC7B51" w:rsidP="00FC7B51">
      <w:pPr>
        <w:pStyle w:val="ParaNumbering"/>
        <w:numPr>
          <w:ilvl w:val="0"/>
          <w:numId w:val="0"/>
        </w:numPr>
        <w:ind w:hanging="720"/>
      </w:pPr>
      <w:r>
        <w:rPr>
          <w:sz w:val="20"/>
        </w:rPr>
        <w:t>1</w:t>
      </w:r>
      <w:r>
        <w:rPr>
          <w:sz w:val="20"/>
        </w:rPr>
        <w:tab/>
      </w:r>
      <w:r w:rsidR="000247DE">
        <w:t xml:space="preserve">By its amended originating application filed on 8 March 2022 (the </w:t>
      </w:r>
      <w:r w:rsidR="00927A12" w:rsidRPr="004253C6">
        <w:rPr>
          <w:b/>
        </w:rPr>
        <w:t>A</w:t>
      </w:r>
      <w:r w:rsidR="000247DE" w:rsidRPr="00E455AA">
        <w:rPr>
          <w:b/>
        </w:rPr>
        <w:t>pplication</w:t>
      </w:r>
      <w:r w:rsidR="000247DE">
        <w:t xml:space="preserve">), </w:t>
      </w:r>
      <w:r w:rsidR="000247DE" w:rsidRPr="007E19E2">
        <w:t>the applicant, Australian Vaccination-Risks Network Incorporate</w:t>
      </w:r>
      <w:r w:rsidR="000247DE">
        <w:t>d</w:t>
      </w:r>
      <w:r w:rsidR="000247DE" w:rsidRPr="007E19E2">
        <w:t xml:space="preserve"> (</w:t>
      </w:r>
      <w:r w:rsidR="000247DE" w:rsidRPr="007E19E2">
        <w:rPr>
          <w:b/>
        </w:rPr>
        <w:t>AVN</w:t>
      </w:r>
      <w:r w:rsidR="000247DE" w:rsidRPr="007E19E2">
        <w:t xml:space="preserve">), </w:t>
      </w:r>
      <w:r w:rsidR="000247DE">
        <w:t>sought</w:t>
      </w:r>
      <w:r w:rsidR="000247DE" w:rsidRPr="007E19E2">
        <w:t xml:space="preserve"> relief with respect to a number of decisions made or omitted to be made by the respondent, the Secretary of the Department </w:t>
      </w:r>
      <w:r w:rsidR="000247DE">
        <w:t>o</w:t>
      </w:r>
      <w:r w:rsidR="000247DE" w:rsidRPr="007E19E2">
        <w:t>f Health</w:t>
      </w:r>
      <w:r w:rsidR="000247DE">
        <w:t>, Dr Brendan Murphy</w:t>
      </w:r>
      <w:r w:rsidR="000247DE" w:rsidRPr="007E19E2">
        <w:t xml:space="preserve"> (the </w:t>
      </w:r>
      <w:r w:rsidR="000247DE" w:rsidRPr="007E19E2">
        <w:rPr>
          <w:b/>
        </w:rPr>
        <w:t>Secretary</w:t>
      </w:r>
      <w:r w:rsidR="000247DE" w:rsidRPr="007E19E2">
        <w:t xml:space="preserve">), under the </w:t>
      </w:r>
      <w:r w:rsidR="000247DE" w:rsidRPr="00DF2C5D">
        <w:rPr>
          <w:i/>
        </w:rPr>
        <w:t>Therapeutic</w:t>
      </w:r>
      <w:r w:rsidR="001D0F26">
        <w:rPr>
          <w:i/>
        </w:rPr>
        <w:t> </w:t>
      </w:r>
      <w:r w:rsidR="000247DE" w:rsidRPr="00DF2C5D">
        <w:rPr>
          <w:i/>
        </w:rPr>
        <w:t>Goods</w:t>
      </w:r>
      <w:r w:rsidR="001D0F26">
        <w:rPr>
          <w:i/>
        </w:rPr>
        <w:t> </w:t>
      </w:r>
      <w:r w:rsidR="000247DE" w:rsidRPr="00DF2C5D">
        <w:rPr>
          <w:i/>
        </w:rPr>
        <w:t>Act</w:t>
      </w:r>
      <w:r w:rsidR="001D0F26">
        <w:rPr>
          <w:i/>
        </w:rPr>
        <w:t> </w:t>
      </w:r>
      <w:r w:rsidR="000247DE" w:rsidRPr="00DF2C5D">
        <w:rPr>
          <w:i/>
        </w:rPr>
        <w:t>1989</w:t>
      </w:r>
      <w:r w:rsidR="000247DE" w:rsidRPr="00DF2C5D">
        <w:t xml:space="preserve"> (Cth)</w:t>
      </w:r>
      <w:r w:rsidR="000247DE" w:rsidRPr="007E19E2">
        <w:t xml:space="preserve"> (</w:t>
      </w:r>
      <w:r w:rsidR="000247DE" w:rsidRPr="007E19E2">
        <w:rPr>
          <w:b/>
        </w:rPr>
        <w:t>TG Act</w:t>
      </w:r>
      <w:r w:rsidR="000247DE" w:rsidRPr="007E19E2">
        <w:t>).</w:t>
      </w:r>
      <w:r w:rsidR="000247DE">
        <w:t xml:space="preserve">  As I explained in </w:t>
      </w:r>
      <w:r w:rsidR="000247DE" w:rsidRPr="001B73B6">
        <w:rPr>
          <w:i/>
        </w:rPr>
        <w:t>Australian Vaccination-Risks Network Incorporated v Secretary, Department of Health</w:t>
      </w:r>
      <w:r w:rsidR="000247DE" w:rsidRPr="001B73B6">
        <w:t xml:space="preserve"> [2022] FCA 320</w:t>
      </w:r>
      <w:r w:rsidR="000247DE">
        <w:t xml:space="preserve"> (</w:t>
      </w:r>
      <w:r w:rsidR="000247DE" w:rsidRPr="001B73B6">
        <w:rPr>
          <w:b/>
          <w:i/>
        </w:rPr>
        <w:t>AVN (No. 1)</w:t>
      </w:r>
      <w:r w:rsidR="000247DE" w:rsidRPr="004253C6">
        <w:t>)</w:t>
      </w:r>
      <w:r w:rsidR="00F2033D">
        <w:t xml:space="preserve"> </w:t>
      </w:r>
      <w:r w:rsidR="00F97946">
        <w:t>at [3]</w:t>
      </w:r>
      <w:r w:rsidR="0092404C">
        <w:t>-</w:t>
      </w:r>
      <w:r w:rsidR="00F97946">
        <w:t>[4]</w:t>
      </w:r>
      <w:r w:rsidR="00F2033D">
        <w:t xml:space="preserve"> (and adopting the definitions set out in those paragraphs)</w:t>
      </w:r>
      <w:r w:rsidR="00F2130E">
        <w:t>:</w:t>
      </w:r>
    </w:p>
    <w:p w14:paraId="44EFB896" w14:textId="77777777" w:rsidR="00F2130E" w:rsidRPr="007E19E2" w:rsidRDefault="00F2130E" w:rsidP="00F2130E">
      <w:pPr>
        <w:pStyle w:val="Quote1"/>
        <w:rPr>
          <w:szCs w:val="24"/>
        </w:rPr>
      </w:pPr>
      <w:r w:rsidRPr="007E19E2">
        <w:t xml:space="preserve">First, AVN seeks orders requiring the Secretary to consider whether to exercise his powers </w:t>
      </w:r>
      <w:r>
        <w:t xml:space="preserve">or discharge his alleged duty </w:t>
      </w:r>
      <w:r w:rsidRPr="007E19E2">
        <w:t>to cancel or suspend the provisional registration of three COVID-19 vaccines under the TG Act, commonly known as the Pfi</w:t>
      </w:r>
      <w:r>
        <w:t>z</w:t>
      </w:r>
      <w:r w:rsidRPr="007E19E2">
        <w:t>er, AstraZeneca, and Moderna COVID-19 vaccines</w:t>
      </w:r>
      <w:r>
        <w:t xml:space="preserve"> (collectively, the </w:t>
      </w:r>
      <w:r w:rsidRPr="006E19CC">
        <w:rPr>
          <w:b/>
        </w:rPr>
        <w:t>Three Vaccines</w:t>
      </w:r>
      <w:r>
        <w:t xml:space="preserve">).  Further </w:t>
      </w:r>
      <w:r w:rsidRPr="00EE6CAE">
        <w:t>or</w:t>
      </w:r>
      <w:r w:rsidRPr="00954C35">
        <w:t xml:space="preserve"> alternatively</w:t>
      </w:r>
      <w:r>
        <w:t>,</w:t>
      </w:r>
      <w:r w:rsidRPr="00EE6CAE">
        <w:t xml:space="preserve"> declaratory relief</w:t>
      </w:r>
      <w:r>
        <w:t xml:space="preserve"> is sought to similar effect</w:t>
      </w:r>
      <w:r w:rsidRPr="007E19E2">
        <w:t xml:space="preserve">.  This is described in the Application as the </w:t>
      </w:r>
      <w:r w:rsidRPr="007E19E2">
        <w:rPr>
          <w:b/>
        </w:rPr>
        <w:t>Mandamus Case</w:t>
      </w:r>
      <w:r w:rsidRPr="007E19E2">
        <w:t>.</w:t>
      </w:r>
    </w:p>
    <w:p w14:paraId="3B8936AC" w14:textId="77777777" w:rsidR="00E455AA" w:rsidRDefault="00F2130E" w:rsidP="00F2130E">
      <w:pPr>
        <w:pStyle w:val="Quote1"/>
        <w:rPr>
          <w:szCs w:val="24"/>
        </w:rPr>
      </w:pPr>
      <w:r w:rsidRPr="007E19E2">
        <w:t>Secondly, AVN seeks order</w:t>
      </w:r>
      <w:r>
        <w:t>s</w:t>
      </w:r>
      <w:r w:rsidRPr="007E19E2">
        <w:t xml:space="preserve"> quashing or setting aside the decision by the</w:t>
      </w:r>
      <w:r>
        <w:t xml:space="preserve"> Secretary</w:t>
      </w:r>
      <w:r w:rsidRPr="007E19E2">
        <w:rPr>
          <w:szCs w:val="24"/>
        </w:rPr>
        <w:t xml:space="preserve"> to grant provisional approval with respect to the </w:t>
      </w:r>
      <w:r w:rsidRPr="00390A75">
        <w:rPr>
          <w:szCs w:val="24"/>
        </w:rPr>
        <w:t xml:space="preserve">Comirnaty (tozinameran) </w:t>
      </w:r>
      <w:r w:rsidRPr="007E19E2">
        <w:rPr>
          <w:szCs w:val="24"/>
        </w:rPr>
        <w:t>COVID-19 vaccine sponsored by Pfizer Australia Pty Ltd</w:t>
      </w:r>
      <w:r>
        <w:rPr>
          <w:szCs w:val="24"/>
        </w:rPr>
        <w:t xml:space="preserve"> (</w:t>
      </w:r>
      <w:r>
        <w:rPr>
          <w:b/>
          <w:szCs w:val="24"/>
        </w:rPr>
        <w:t>Pfizer</w:t>
      </w:r>
      <w:r>
        <w:rPr>
          <w:szCs w:val="24"/>
        </w:rPr>
        <w:t>)</w:t>
      </w:r>
      <w:r w:rsidRPr="007E19E2">
        <w:rPr>
          <w:szCs w:val="24"/>
        </w:rPr>
        <w:t>, for use among children aged 5 to 11 years from 10 January 2022 (</w:t>
      </w:r>
      <w:r>
        <w:rPr>
          <w:szCs w:val="24"/>
        </w:rPr>
        <w:t xml:space="preserve">the </w:t>
      </w:r>
      <w:r w:rsidRPr="007E19E2">
        <w:rPr>
          <w:b/>
          <w:szCs w:val="24"/>
        </w:rPr>
        <w:t>Children Decision</w:t>
      </w:r>
      <w:r w:rsidRPr="007E19E2">
        <w:rPr>
          <w:szCs w:val="24"/>
        </w:rPr>
        <w:t xml:space="preserve">), </w:t>
      </w:r>
      <w:r>
        <w:rPr>
          <w:szCs w:val="24"/>
        </w:rPr>
        <w:t>and</w:t>
      </w:r>
      <w:r w:rsidRPr="007E19E2">
        <w:rPr>
          <w:szCs w:val="24"/>
        </w:rPr>
        <w:t xml:space="preserve"> any determination made by the Secretary pursuant to s</w:t>
      </w:r>
      <w:r>
        <w:rPr>
          <w:szCs w:val="24"/>
        </w:rPr>
        <w:t> </w:t>
      </w:r>
      <w:r w:rsidRPr="007E19E2">
        <w:rPr>
          <w:szCs w:val="24"/>
        </w:rPr>
        <w:t xml:space="preserve">22D of the </w:t>
      </w:r>
      <w:r>
        <w:rPr>
          <w:szCs w:val="24"/>
        </w:rPr>
        <w:t>TG Act</w:t>
      </w:r>
      <w:r w:rsidRPr="007E19E2">
        <w:rPr>
          <w:szCs w:val="24"/>
        </w:rPr>
        <w:t xml:space="preserve"> to the effect that an indication of </w:t>
      </w:r>
      <w:r>
        <w:rPr>
          <w:szCs w:val="24"/>
        </w:rPr>
        <w:t>“</w:t>
      </w:r>
      <w:r w:rsidRPr="007449FD">
        <w:rPr>
          <w:i/>
          <w:szCs w:val="24"/>
        </w:rPr>
        <w:t>the proposed Pfizer vaccine</w:t>
      </w:r>
      <w:r>
        <w:rPr>
          <w:szCs w:val="24"/>
        </w:rPr>
        <w:t>”</w:t>
      </w:r>
      <w:r w:rsidRPr="007E19E2">
        <w:rPr>
          <w:szCs w:val="24"/>
        </w:rPr>
        <w:t xml:space="preserve"> was the treatment, prevention or diagnosis of a life-threatening or seriously debilitating condition for children between 5 to 11 years of age (</w:t>
      </w:r>
      <w:r w:rsidRPr="007E19E2">
        <w:rPr>
          <w:b/>
          <w:szCs w:val="24"/>
        </w:rPr>
        <w:t>s 22D Determination</w:t>
      </w:r>
      <w:r w:rsidRPr="007E19E2">
        <w:rPr>
          <w:szCs w:val="24"/>
        </w:rPr>
        <w:t xml:space="preserve">).  These aspects of the </w:t>
      </w:r>
      <w:r>
        <w:rPr>
          <w:szCs w:val="24"/>
        </w:rPr>
        <w:t xml:space="preserve">proceeding </w:t>
      </w:r>
      <w:r w:rsidRPr="007E19E2">
        <w:rPr>
          <w:szCs w:val="24"/>
        </w:rPr>
        <w:t xml:space="preserve">are described in the Application as the </w:t>
      </w:r>
      <w:r w:rsidRPr="007E19E2">
        <w:rPr>
          <w:b/>
          <w:szCs w:val="24"/>
        </w:rPr>
        <w:t>Judicial Review Case</w:t>
      </w:r>
      <w:r w:rsidRPr="007E19E2">
        <w:rPr>
          <w:szCs w:val="24"/>
        </w:rPr>
        <w:t xml:space="preserve">. </w:t>
      </w:r>
    </w:p>
    <w:p w14:paraId="1A0338B5" w14:textId="29136389" w:rsidR="00041FAB" w:rsidRDefault="00FC7B51" w:rsidP="00FC7B51">
      <w:pPr>
        <w:pStyle w:val="ParaNumbering"/>
        <w:numPr>
          <w:ilvl w:val="0"/>
          <w:numId w:val="0"/>
        </w:numPr>
        <w:ind w:hanging="720"/>
      </w:pPr>
      <w:r>
        <w:rPr>
          <w:sz w:val="20"/>
        </w:rPr>
        <w:t>2</w:t>
      </w:r>
      <w:r>
        <w:rPr>
          <w:sz w:val="20"/>
        </w:rPr>
        <w:tab/>
      </w:r>
      <w:r w:rsidR="00041FAB">
        <w:rPr>
          <w:szCs w:val="24"/>
        </w:rPr>
        <w:t>By</w:t>
      </w:r>
      <w:r w:rsidR="00041FAB" w:rsidRPr="007E19E2">
        <w:t xml:space="preserve"> orders </w:t>
      </w:r>
      <w:r w:rsidR="00041FAB">
        <w:t xml:space="preserve">made </w:t>
      </w:r>
      <w:r w:rsidR="00041FAB" w:rsidRPr="007E19E2">
        <w:rPr>
          <w:szCs w:val="24"/>
        </w:rPr>
        <w:t xml:space="preserve">on 31 </w:t>
      </w:r>
      <w:r w:rsidR="00041FAB" w:rsidRPr="007E19E2">
        <w:t>March 2022</w:t>
      </w:r>
      <w:r w:rsidR="00041FAB">
        <w:t>, I</w:t>
      </w:r>
      <w:r w:rsidR="00041FAB" w:rsidRPr="007E19E2">
        <w:t xml:space="preserve"> </w:t>
      </w:r>
      <w:r w:rsidR="00041FAB">
        <w:t>upheld the</w:t>
      </w:r>
      <w:r w:rsidR="00041FAB" w:rsidRPr="007E19E2">
        <w:t xml:space="preserve"> notice of objection to competency</w:t>
      </w:r>
      <w:r w:rsidR="00041FAB">
        <w:t xml:space="preserve"> filed</w:t>
      </w:r>
      <w:r w:rsidR="00041FAB" w:rsidRPr="007E19E2">
        <w:t xml:space="preserve"> by the Secretary </w:t>
      </w:r>
      <w:r w:rsidR="0028344C">
        <w:t xml:space="preserve">in respect of the </w:t>
      </w:r>
      <w:r w:rsidR="00955AF0">
        <w:t>Mandamus</w:t>
      </w:r>
      <w:r w:rsidR="0028344C">
        <w:t xml:space="preserve"> Case and the Judicial Review Case </w:t>
      </w:r>
      <w:r w:rsidR="00041FAB">
        <w:t xml:space="preserve">on the </w:t>
      </w:r>
      <w:r w:rsidR="0028344C">
        <w:t xml:space="preserve">following </w:t>
      </w:r>
      <w:r w:rsidR="00041FAB">
        <w:t>ground</w:t>
      </w:r>
      <w:r w:rsidR="0028344C">
        <w:t>s.</w:t>
      </w:r>
      <w:r w:rsidR="00041FAB">
        <w:t xml:space="preserve"> </w:t>
      </w:r>
      <w:r w:rsidR="0028344C">
        <w:t xml:space="preserve"> First, </w:t>
      </w:r>
      <w:r w:rsidR="00F2130E">
        <w:t>AVN</w:t>
      </w:r>
      <w:r w:rsidR="00041FAB">
        <w:t xml:space="preserve"> lacked standing </w:t>
      </w:r>
      <w:r w:rsidR="00EC1ADA">
        <w:t xml:space="preserve">and therefore there was no </w:t>
      </w:r>
      <w:r w:rsidR="004D7F26">
        <w:t>“</w:t>
      </w:r>
      <w:r w:rsidR="00EC1ADA" w:rsidRPr="004D7F26">
        <w:rPr>
          <w:i/>
        </w:rPr>
        <w:t>matter</w:t>
      </w:r>
      <w:r w:rsidR="004D7F26">
        <w:t>”</w:t>
      </w:r>
      <w:r w:rsidR="00EC1ADA">
        <w:t xml:space="preserve"> in a constitutional </w:t>
      </w:r>
      <w:r w:rsidR="00EC1ADA">
        <w:lastRenderedPageBreak/>
        <w:t>sense</w:t>
      </w:r>
      <w:r w:rsidR="004D7F26">
        <w:t xml:space="preserve"> </w:t>
      </w:r>
      <w:r w:rsidR="00955AF0">
        <w:t>such that</w:t>
      </w:r>
      <w:r w:rsidR="004D7F26">
        <w:t xml:space="preserve"> the Court lacked jurisdiction insofar as the application was made under s 39B of the </w:t>
      </w:r>
      <w:r w:rsidR="004D7F26">
        <w:rPr>
          <w:i/>
        </w:rPr>
        <w:t xml:space="preserve">Judiciary Act 1903 </w:t>
      </w:r>
      <w:r w:rsidR="004D7F26">
        <w:t>(Cth)</w:t>
      </w:r>
      <w:r w:rsidR="006A5B36">
        <w:t xml:space="preserve"> (</w:t>
      </w:r>
      <w:r w:rsidR="006A5B36" w:rsidRPr="00790BD9">
        <w:rPr>
          <w:b/>
        </w:rPr>
        <w:t>Judiciary Act</w:t>
      </w:r>
      <w:r w:rsidR="006A5B36">
        <w:t>)</w:t>
      </w:r>
      <w:r w:rsidR="00EC1ADA">
        <w:t xml:space="preserve">.  </w:t>
      </w:r>
      <w:r w:rsidR="00955AF0">
        <w:t xml:space="preserve">Secondly, </w:t>
      </w:r>
      <w:r w:rsidR="00EC1ADA">
        <w:t xml:space="preserve">I found that AVN </w:t>
      </w:r>
      <w:r w:rsidR="00EC1ADA" w:rsidRPr="007E19E2">
        <w:rPr>
          <w:szCs w:val="24"/>
        </w:rPr>
        <w:t>was not a “</w:t>
      </w:r>
      <w:r w:rsidR="00EC1ADA" w:rsidRPr="004253C6">
        <w:rPr>
          <w:szCs w:val="24"/>
        </w:rPr>
        <w:t>person aggrieved</w:t>
      </w:r>
      <w:r w:rsidR="00EC1ADA" w:rsidRPr="007E19E2">
        <w:rPr>
          <w:szCs w:val="24"/>
        </w:rPr>
        <w:t>” for the purposes of ss 5 and 7 of</w:t>
      </w:r>
      <w:r w:rsidR="00EC1ADA" w:rsidRPr="007E19E2">
        <w:rPr>
          <w:spacing w:val="-3"/>
        </w:rPr>
        <w:t xml:space="preserve"> the </w:t>
      </w:r>
      <w:r w:rsidR="00EC1ADA" w:rsidRPr="00DF2C5D">
        <w:rPr>
          <w:i/>
          <w:spacing w:val="-3"/>
        </w:rPr>
        <w:t>Administrative Decisions (Judicial</w:t>
      </w:r>
      <w:r w:rsidR="00955AF0">
        <w:rPr>
          <w:i/>
          <w:spacing w:val="-3"/>
        </w:rPr>
        <w:t> </w:t>
      </w:r>
      <w:r w:rsidR="00EC1ADA" w:rsidRPr="00DF2C5D">
        <w:rPr>
          <w:i/>
          <w:spacing w:val="-3"/>
        </w:rPr>
        <w:t>Review) Act 1977</w:t>
      </w:r>
      <w:r w:rsidR="00EC1ADA" w:rsidRPr="00DF2C5D">
        <w:rPr>
          <w:spacing w:val="-3"/>
        </w:rPr>
        <w:t xml:space="preserve"> (Cth)</w:t>
      </w:r>
      <w:r w:rsidR="00EC1ADA" w:rsidRPr="007E19E2">
        <w:rPr>
          <w:spacing w:val="-3"/>
        </w:rPr>
        <w:t xml:space="preserve"> (</w:t>
      </w:r>
      <w:r w:rsidR="00EC1ADA" w:rsidRPr="007E19E2">
        <w:rPr>
          <w:b/>
          <w:spacing w:val="-3"/>
        </w:rPr>
        <w:t>ADJR Act</w:t>
      </w:r>
      <w:r w:rsidR="00EC1ADA" w:rsidRPr="007E19E2">
        <w:rPr>
          <w:spacing w:val="-3"/>
        </w:rPr>
        <w:t>)</w:t>
      </w:r>
      <w:r w:rsidR="00EC1ADA">
        <w:rPr>
          <w:spacing w:val="-3"/>
        </w:rPr>
        <w:t xml:space="preserve"> and that the proceedings were therefore not competent insofar as those provisions were relied upon to engage the jurisdiction of the Court.  </w:t>
      </w:r>
      <w:r w:rsidR="00041FAB">
        <w:t>I</w:t>
      </w:r>
      <w:r w:rsidR="00EC1ADA">
        <w:t>n</w:t>
      </w:r>
      <w:r w:rsidR="00AF2FE4">
        <w:t> </w:t>
      </w:r>
      <w:r w:rsidR="00EC1ADA">
        <w:t>addition, I</w:t>
      </w:r>
      <w:r w:rsidR="00041FAB">
        <w:t xml:space="preserve"> dismissed AVN’s application to </w:t>
      </w:r>
      <w:r w:rsidR="00041FAB" w:rsidRPr="007E19E2">
        <w:rPr>
          <w:szCs w:val="24"/>
        </w:rPr>
        <w:t>join</w:t>
      </w:r>
      <w:r w:rsidR="00041FAB" w:rsidRPr="007E19E2">
        <w:t xml:space="preserve"> Mr Mark Neugebauer as the second</w:t>
      </w:r>
      <w:r w:rsidR="00F57BAA">
        <w:t> </w:t>
      </w:r>
      <w:r w:rsidR="00041FAB" w:rsidRPr="007E19E2">
        <w:t xml:space="preserve">applicant </w:t>
      </w:r>
      <w:r w:rsidR="00041FAB">
        <w:t xml:space="preserve">to the proceedings in an endeavour to </w:t>
      </w:r>
      <w:r w:rsidR="00041FAB" w:rsidRPr="00972179">
        <w:t xml:space="preserve">“cure” any </w:t>
      </w:r>
      <w:r w:rsidR="00972179">
        <w:t xml:space="preserve">potential </w:t>
      </w:r>
      <w:r w:rsidR="00041FAB" w:rsidRPr="00972179">
        <w:t>lack of jurisdiction</w:t>
      </w:r>
      <w:r w:rsidR="0018448A">
        <w:t xml:space="preserve"> </w:t>
      </w:r>
      <w:r w:rsidR="00E056A8">
        <w:t xml:space="preserve">in each of the Mandamus Case and Judicial Review Case </w:t>
      </w:r>
      <w:r w:rsidR="0018448A">
        <w:t>on the ground</w:t>
      </w:r>
      <w:r w:rsidR="00E056A8">
        <w:t>s</w:t>
      </w:r>
      <w:r w:rsidR="0018448A">
        <w:t xml:space="preserve"> that he also lacked standing</w:t>
      </w:r>
      <w:r w:rsidR="00CA4E8E">
        <w:t xml:space="preserve"> and was not a “</w:t>
      </w:r>
      <w:r w:rsidR="00CA4E8E" w:rsidRPr="004E362B">
        <w:rPr>
          <w:i/>
        </w:rPr>
        <w:t>person aggrieved</w:t>
      </w:r>
      <w:r w:rsidR="00CA4E8E">
        <w:t>” in the statutory sense</w:t>
      </w:r>
      <w:r w:rsidR="00041FAB" w:rsidRPr="007E19E2">
        <w:t xml:space="preserve">.  </w:t>
      </w:r>
      <w:r w:rsidR="00041FAB">
        <w:t>Accordingly, I dismissed the a</w:t>
      </w:r>
      <w:r w:rsidR="00041FAB" w:rsidRPr="007E19E2">
        <w:t xml:space="preserve">pplication </w:t>
      </w:r>
      <w:r w:rsidR="00041FAB">
        <w:t xml:space="preserve">for relief </w:t>
      </w:r>
      <w:r w:rsidR="00041FAB" w:rsidRPr="007E19E2">
        <w:t>on 31 March 2022</w:t>
      </w:r>
      <w:r w:rsidR="00041FAB">
        <w:t>, with my reasons published subsequently on 11</w:t>
      </w:r>
      <w:r w:rsidR="00FC099B">
        <w:t> </w:t>
      </w:r>
      <w:r w:rsidR="00041FAB">
        <w:t>May</w:t>
      </w:r>
      <w:r w:rsidR="00FC099B">
        <w:t> </w:t>
      </w:r>
      <w:r w:rsidR="00041FAB">
        <w:t>2022</w:t>
      </w:r>
      <w:r w:rsidR="00F2130E">
        <w:t xml:space="preserve"> in </w:t>
      </w:r>
      <w:r w:rsidR="00F2130E">
        <w:rPr>
          <w:i/>
        </w:rPr>
        <w:t>AVN (No. 1</w:t>
      </w:r>
      <w:r w:rsidR="001B73B6" w:rsidRPr="00F2130E">
        <w:rPr>
          <w:i/>
        </w:rPr>
        <w:t>)</w:t>
      </w:r>
      <w:r w:rsidR="00041FAB" w:rsidRPr="00F2130E">
        <w:t>.</w:t>
      </w:r>
    </w:p>
    <w:p w14:paraId="08A33187" w14:textId="2F0334F5" w:rsidR="00CD1346" w:rsidRDefault="00FC7B51" w:rsidP="00FC7B51">
      <w:pPr>
        <w:pStyle w:val="ParaNumbering"/>
        <w:numPr>
          <w:ilvl w:val="0"/>
          <w:numId w:val="0"/>
        </w:numPr>
        <w:ind w:hanging="720"/>
      </w:pPr>
      <w:r>
        <w:rPr>
          <w:sz w:val="20"/>
        </w:rPr>
        <w:t>3</w:t>
      </w:r>
      <w:r>
        <w:rPr>
          <w:sz w:val="20"/>
        </w:rPr>
        <w:tab/>
      </w:r>
      <w:r w:rsidR="00041FAB">
        <w:t>As requested by the applicant</w:t>
      </w:r>
      <w:r w:rsidR="00516B0F">
        <w:t xml:space="preserve"> and </w:t>
      </w:r>
      <w:r w:rsidR="009B1C2F">
        <w:t>Mr Neugebauer</w:t>
      </w:r>
      <w:r w:rsidR="00041FAB">
        <w:t xml:space="preserve">, I made orders affording the parties the opportunity to make submissions </w:t>
      </w:r>
      <w:r w:rsidR="004E362B">
        <w:t>on the question of costs</w:t>
      </w:r>
      <w:r w:rsidR="00041FAB">
        <w:t>.</w:t>
      </w:r>
      <w:r w:rsidR="00306941">
        <w:t xml:space="preserve">  Submissions were filed by the Secretary on 24 May 2022 </w:t>
      </w:r>
      <w:r w:rsidR="004D0DB9">
        <w:t>(</w:t>
      </w:r>
      <w:r w:rsidR="004D0DB9" w:rsidRPr="004D0DB9">
        <w:rPr>
          <w:b/>
        </w:rPr>
        <w:t>RS</w:t>
      </w:r>
      <w:r w:rsidR="004D0DB9">
        <w:t xml:space="preserve">) </w:t>
      </w:r>
      <w:r w:rsidR="00306941">
        <w:t>seeking costs</w:t>
      </w:r>
      <w:r w:rsidR="00A92E89">
        <w:t xml:space="preserve"> against AVN, </w:t>
      </w:r>
      <w:r w:rsidR="00B352F3">
        <w:t xml:space="preserve">including </w:t>
      </w:r>
      <w:r w:rsidR="0091192B">
        <w:t xml:space="preserve">the costs of and incidental to </w:t>
      </w:r>
      <w:r w:rsidR="00EC1ADA">
        <w:t>AVN’s</w:t>
      </w:r>
      <w:r w:rsidR="00A92E89">
        <w:t xml:space="preserve"> interlocutory application to join Mr Neugebauer and of the costs dispute</w:t>
      </w:r>
      <w:r w:rsidR="002C6A90">
        <w:t xml:space="preserve"> itself</w:t>
      </w:r>
      <w:r w:rsidR="00306941">
        <w:t>.  Submissions were also filed on behalf of AVN</w:t>
      </w:r>
      <w:r w:rsidR="00A92E89">
        <w:t xml:space="preserve"> (and Mr Neugebauer)</w:t>
      </w:r>
      <w:r w:rsidR="002C6A90">
        <w:t xml:space="preserve"> dated 13 May 2022</w:t>
      </w:r>
      <w:r w:rsidR="004D0DB9">
        <w:t xml:space="preserve"> (</w:t>
      </w:r>
      <w:r w:rsidR="004D0DB9" w:rsidRPr="004D0DB9">
        <w:rPr>
          <w:b/>
        </w:rPr>
        <w:t>AS</w:t>
      </w:r>
      <w:r w:rsidR="004D0DB9">
        <w:t>)</w:t>
      </w:r>
      <w:r w:rsidR="00306941">
        <w:t xml:space="preserve"> and </w:t>
      </w:r>
      <w:r w:rsidR="002C6A90">
        <w:t xml:space="preserve">in reply dated 25 </w:t>
      </w:r>
      <w:r w:rsidR="00306941">
        <w:t>May 2022</w:t>
      </w:r>
      <w:r w:rsidR="004D0DB9">
        <w:t xml:space="preserve"> (</w:t>
      </w:r>
      <w:r w:rsidR="004D0DB9" w:rsidRPr="004D0DB9">
        <w:rPr>
          <w:b/>
        </w:rPr>
        <w:t>AR</w:t>
      </w:r>
      <w:r w:rsidR="004D0DB9">
        <w:t>)</w:t>
      </w:r>
      <w:r w:rsidR="00306941">
        <w:t xml:space="preserve"> resisting any order as to costs on the ground</w:t>
      </w:r>
      <w:r w:rsidR="00EC1ADA">
        <w:t>s</w:t>
      </w:r>
      <w:r w:rsidR="00306941">
        <w:t xml:space="preserve"> that the proceeding </w:t>
      </w:r>
      <w:r w:rsidR="002C6A90">
        <w:t>was said to involve</w:t>
      </w:r>
      <w:r w:rsidR="00306941">
        <w:t xml:space="preserve"> matters of </w:t>
      </w:r>
      <w:r w:rsidR="00E113AB">
        <w:t>significant</w:t>
      </w:r>
      <w:r w:rsidR="00306941">
        <w:t xml:space="preserve"> public interest</w:t>
      </w:r>
      <w:r w:rsidR="00EC1ADA">
        <w:t xml:space="preserve"> and</w:t>
      </w:r>
      <w:r w:rsidR="00603CA5">
        <w:t xml:space="preserve"> novel issues amounting to a test case,</w:t>
      </w:r>
      <w:r w:rsidR="00F56387">
        <w:t xml:space="preserve"> and</w:t>
      </w:r>
      <w:r w:rsidR="00EC1ADA">
        <w:t xml:space="preserve"> on the basis of the Secretary’s conduct in the proceeding</w:t>
      </w:r>
      <w:r w:rsidR="00306941">
        <w:t>.</w:t>
      </w:r>
      <w:r w:rsidR="00A92E89">
        <w:t xml:space="preserve">  </w:t>
      </w:r>
      <w:r w:rsidR="004D0DB9">
        <w:t xml:space="preserve">In the alternative, AVN submitted </w:t>
      </w:r>
      <w:r w:rsidR="0010583C">
        <w:t xml:space="preserve">that </w:t>
      </w:r>
      <w:r w:rsidR="004D0DB9">
        <w:t xml:space="preserve">the Court might consider ordering the applicant to pay no more than 20% of the respondent’s costs in respect of the </w:t>
      </w:r>
      <w:r w:rsidR="00493F2C">
        <w:t>J</w:t>
      </w:r>
      <w:r w:rsidR="004D0DB9">
        <w:t xml:space="preserve">udicial </w:t>
      </w:r>
      <w:r w:rsidR="00493F2C">
        <w:t>R</w:t>
      </w:r>
      <w:r w:rsidR="004D0DB9">
        <w:t xml:space="preserve">eview </w:t>
      </w:r>
      <w:r w:rsidR="00493F2C">
        <w:t>C</w:t>
      </w:r>
      <w:r w:rsidR="004D0DB9">
        <w:t xml:space="preserve">ase but no orders as to costs in respect of the </w:t>
      </w:r>
      <w:r w:rsidR="00493F2C">
        <w:t>M</w:t>
      </w:r>
      <w:r w:rsidR="004D0DB9">
        <w:t xml:space="preserve">andamus </w:t>
      </w:r>
      <w:r w:rsidR="00493F2C">
        <w:t>C</w:t>
      </w:r>
      <w:r w:rsidR="004D0DB9">
        <w:t xml:space="preserve">ase.  </w:t>
      </w:r>
      <w:r w:rsidR="00A92E89">
        <w:t xml:space="preserve">While </w:t>
      </w:r>
      <w:r w:rsidR="004D0DB9">
        <w:t>AVN’s</w:t>
      </w:r>
      <w:r w:rsidR="00A92E89">
        <w:t xml:space="preserve"> submissions also sought to resist any costs order against Mr Neugebauer, </w:t>
      </w:r>
      <w:r w:rsidR="002C6A90">
        <w:t>it was unnecessary to consider the submissions</w:t>
      </w:r>
      <w:r w:rsidR="00A92E89">
        <w:t xml:space="preserve"> to that extent given that no costs orders </w:t>
      </w:r>
      <w:r w:rsidR="002C6A90">
        <w:t>were</w:t>
      </w:r>
      <w:r w:rsidR="00A92E89">
        <w:t xml:space="preserve"> sought against </w:t>
      </w:r>
      <w:r w:rsidR="002C6A90">
        <w:t>Mr Neugebauer</w:t>
      </w:r>
      <w:r w:rsidR="00A92E89">
        <w:t xml:space="preserve"> by the Secretary. </w:t>
      </w:r>
      <w:r w:rsidR="00123B51">
        <w:t xml:space="preserve"> I have therefore included a notation in the orders in the interests of clarity stating that Mr Neugebauer is not liable to pay any of the </w:t>
      </w:r>
      <w:r w:rsidR="0007754D">
        <w:t>r</w:t>
      </w:r>
      <w:r w:rsidR="00123B51">
        <w:t>espondent’s costs.</w:t>
      </w:r>
    </w:p>
    <w:p w14:paraId="77AFBD3D" w14:textId="54CF47D2" w:rsidR="00EC1ADA" w:rsidRDefault="00FC7B51" w:rsidP="00FC7B51">
      <w:pPr>
        <w:pStyle w:val="ParaNumbering"/>
        <w:numPr>
          <w:ilvl w:val="0"/>
          <w:numId w:val="0"/>
        </w:numPr>
        <w:ind w:hanging="720"/>
      </w:pPr>
      <w:r>
        <w:rPr>
          <w:sz w:val="20"/>
        </w:rPr>
        <w:t>4</w:t>
      </w:r>
      <w:r>
        <w:rPr>
          <w:sz w:val="20"/>
        </w:rPr>
        <w:tab/>
      </w:r>
      <w:r w:rsidR="00EC1ADA">
        <w:t>For the reasons set out below, AVN should pay the Secretary’s costs</w:t>
      </w:r>
      <w:r w:rsidR="006B1457">
        <w:t>,</w:t>
      </w:r>
      <w:r w:rsidR="00EC1ADA">
        <w:t xml:space="preserve"> including in relation to the joinder application and on the question of costs.  In this regard, it should be said at the outset that there was no merit</w:t>
      </w:r>
      <w:r w:rsidR="00B05FEE">
        <w:t xml:space="preserve"> </w:t>
      </w:r>
      <w:r w:rsidR="00EC1ADA">
        <w:t xml:space="preserve">in </w:t>
      </w:r>
      <w:r w:rsidR="00CF6F09">
        <w:t>AVN’s</w:t>
      </w:r>
      <w:r w:rsidR="00EC1ADA">
        <w:t xml:space="preserve"> suggestion that the Secretary may have breached model litigant principles</w:t>
      </w:r>
      <w:r w:rsidR="00CF6F09">
        <w:t>,</w:t>
      </w:r>
      <w:r w:rsidR="00EC1ADA">
        <w:t xml:space="preserve"> or otherwise in the criticisms made by AVN</w:t>
      </w:r>
      <w:r w:rsidR="001D0835">
        <w:t xml:space="preserve"> in its costs submissions</w:t>
      </w:r>
      <w:r w:rsidR="00EC1ADA">
        <w:t xml:space="preserve"> of the Secretary’s conduct in </w:t>
      </w:r>
      <w:r w:rsidR="006A6285">
        <w:t>these</w:t>
      </w:r>
      <w:r w:rsidR="00EC1ADA">
        <w:t xml:space="preserve"> proceeding</w:t>
      </w:r>
      <w:r w:rsidR="006A6285">
        <w:t>s</w:t>
      </w:r>
      <w:r w:rsidR="00EC1ADA">
        <w:t xml:space="preserve">. </w:t>
      </w:r>
    </w:p>
    <w:p w14:paraId="2BFBCC04" w14:textId="78D9B767" w:rsidR="003D719C" w:rsidRDefault="00FC7B51" w:rsidP="00FC7B51">
      <w:pPr>
        <w:pStyle w:val="Heading5"/>
        <w:numPr>
          <w:ilvl w:val="0"/>
          <w:numId w:val="0"/>
        </w:numPr>
        <w:tabs>
          <w:tab w:val="left" w:pos="1134"/>
        </w:tabs>
        <w:ind w:left="1134" w:hanging="1134"/>
      </w:pPr>
      <w:bookmarkStart w:id="26" w:name="_Ref106626508"/>
      <w:r>
        <w:lastRenderedPageBreak/>
        <w:t>2.</w:t>
      </w:r>
      <w:r>
        <w:tab/>
      </w:r>
      <w:r w:rsidR="00503A1C">
        <w:t>DISPOSITION</w:t>
      </w:r>
      <w:bookmarkEnd w:id="26"/>
    </w:p>
    <w:p w14:paraId="75CE7CDB" w14:textId="23FE4707" w:rsidR="007D016D" w:rsidRPr="007D016D" w:rsidRDefault="00FC7B51" w:rsidP="00FC7B51">
      <w:pPr>
        <w:pStyle w:val="Heading6"/>
        <w:numPr>
          <w:ilvl w:val="0"/>
          <w:numId w:val="0"/>
        </w:numPr>
        <w:tabs>
          <w:tab w:val="left" w:pos="1134"/>
        </w:tabs>
        <w:ind w:left="1134" w:hanging="1134"/>
      </w:pPr>
      <w:bookmarkStart w:id="27" w:name="_Ref106626509"/>
      <w:r w:rsidRPr="007D016D">
        <w:t>2.1</w:t>
      </w:r>
      <w:r w:rsidRPr="007D016D">
        <w:tab/>
      </w:r>
      <w:r w:rsidR="007D016D">
        <w:t>Principles</w:t>
      </w:r>
      <w:bookmarkEnd w:id="27"/>
      <w:r w:rsidR="007D016D">
        <w:t xml:space="preserve"> </w:t>
      </w:r>
    </w:p>
    <w:p w14:paraId="0D98E1BC" w14:textId="3C9E67BB" w:rsidR="00F2130E" w:rsidRDefault="00FC7B51" w:rsidP="00FC7B51">
      <w:pPr>
        <w:pStyle w:val="ParaNumbering"/>
        <w:numPr>
          <w:ilvl w:val="0"/>
          <w:numId w:val="0"/>
        </w:numPr>
        <w:ind w:hanging="720"/>
      </w:pPr>
      <w:r>
        <w:rPr>
          <w:sz w:val="20"/>
        </w:rPr>
        <w:t>5</w:t>
      </w:r>
      <w:r>
        <w:rPr>
          <w:sz w:val="20"/>
        </w:rPr>
        <w:tab/>
      </w:r>
      <w:r w:rsidR="00F2130E">
        <w:t>While t</w:t>
      </w:r>
      <w:r w:rsidR="00F96547">
        <w:t xml:space="preserve">he Court has a broad discretion </w:t>
      </w:r>
      <w:r w:rsidR="00F96547" w:rsidRPr="009C4B99">
        <w:t xml:space="preserve">under s 43(2) of the </w:t>
      </w:r>
      <w:r w:rsidR="00F96547" w:rsidRPr="009C4B99">
        <w:rPr>
          <w:i/>
        </w:rPr>
        <w:t xml:space="preserve">Federal Court of Australia Act 1976 </w:t>
      </w:r>
      <w:r w:rsidR="00F96547" w:rsidRPr="009C4B99">
        <w:t>(Cth)</w:t>
      </w:r>
      <w:r w:rsidR="00F96547">
        <w:t xml:space="preserve"> when determining appropriate costs orders</w:t>
      </w:r>
      <w:r w:rsidR="00F2130E">
        <w:t>, the discretion</w:t>
      </w:r>
      <w:r w:rsidR="00971209">
        <w:t xml:space="preserve"> must</w:t>
      </w:r>
      <w:r w:rsidR="00F96547" w:rsidRPr="009C4B99">
        <w:t xml:space="preserve"> be exercised judicially: </w:t>
      </w:r>
      <w:r w:rsidR="00F96547" w:rsidRPr="009C4B99">
        <w:rPr>
          <w:i/>
        </w:rPr>
        <w:t>Hughes v Western Australian Cricket Association</w:t>
      </w:r>
      <w:r w:rsidR="00F96547" w:rsidRPr="009C4B99">
        <w:t xml:space="preserve"> </w:t>
      </w:r>
      <w:r w:rsidR="00F96547" w:rsidRPr="009C4B99">
        <w:rPr>
          <w:i/>
        </w:rPr>
        <w:t>(Inc)</w:t>
      </w:r>
      <w:r w:rsidR="00F96547" w:rsidRPr="009C4B99">
        <w:t xml:space="preserve"> [1986] FCA </w:t>
      </w:r>
      <w:r w:rsidR="00D80A0F">
        <w:t>511 at 5</w:t>
      </w:r>
      <w:r w:rsidR="00F96547" w:rsidRPr="009C4B99">
        <w:t>;</w:t>
      </w:r>
      <w:r w:rsidR="00B72847">
        <w:t xml:space="preserve"> </w:t>
      </w:r>
      <w:r w:rsidR="0007689A">
        <w:t>(</w:t>
      </w:r>
      <w:r w:rsidR="00F96547" w:rsidRPr="009C4B99">
        <w:t>1986</w:t>
      </w:r>
      <w:r w:rsidR="0007689A">
        <w:t>)</w:t>
      </w:r>
      <w:r w:rsidR="00F96547" w:rsidRPr="009C4B99">
        <w:t xml:space="preserve"> ATPR </w:t>
      </w:r>
      <w:r w:rsidR="006A5B36" w:rsidRPr="006A5B36">
        <w:t>¶</w:t>
      </w:r>
      <w:r w:rsidR="00F96547" w:rsidRPr="009C4B99">
        <w:t>40-748  at 48,136</w:t>
      </w:r>
      <w:r w:rsidR="00F96547">
        <w:t xml:space="preserve"> (Toohey J)</w:t>
      </w:r>
      <w:r w:rsidR="00F96547" w:rsidRPr="009C4B99">
        <w:t>.</w:t>
      </w:r>
      <w:r w:rsidR="00F96547">
        <w:t xml:space="preserve">  </w:t>
      </w:r>
    </w:p>
    <w:p w14:paraId="3D18ACA8" w14:textId="03D92649" w:rsidR="00A10CFC" w:rsidRDefault="00FC7B51" w:rsidP="00FC7B51">
      <w:pPr>
        <w:pStyle w:val="ParaNumbering"/>
        <w:numPr>
          <w:ilvl w:val="0"/>
          <w:numId w:val="0"/>
        </w:numPr>
        <w:ind w:hanging="720"/>
      </w:pPr>
      <w:r>
        <w:rPr>
          <w:sz w:val="20"/>
        </w:rPr>
        <w:t>6</w:t>
      </w:r>
      <w:r>
        <w:rPr>
          <w:sz w:val="20"/>
        </w:rPr>
        <w:tab/>
      </w:r>
      <w:r w:rsidR="00AE3ECF" w:rsidRPr="00AE3ECF">
        <w:t xml:space="preserve">Ordinarily costs follow the event, with the successful litigant </w:t>
      </w:r>
      <w:r w:rsidR="00AE3ECF">
        <w:t>being compensated in the sense of being indemnified against the expense to which she or he has been put in prosecuting or defending the action, as the case may be</w:t>
      </w:r>
      <w:r w:rsidR="00915AF5">
        <w:t xml:space="preserve"> (</w:t>
      </w:r>
      <w:r w:rsidR="0093288A">
        <w:t xml:space="preserve">often referred to </w:t>
      </w:r>
      <w:r w:rsidR="00915AF5">
        <w:t xml:space="preserve">as </w:t>
      </w:r>
      <w:r w:rsidR="0093288A">
        <w:t>“</w:t>
      </w:r>
      <w:r w:rsidR="00915AF5" w:rsidRPr="00D32C1B">
        <w:rPr>
          <w:i/>
        </w:rPr>
        <w:t>the usual order as to costs</w:t>
      </w:r>
      <w:r w:rsidR="0093288A">
        <w:t>”</w:t>
      </w:r>
      <w:r w:rsidR="00915AF5">
        <w:t xml:space="preserve"> or </w:t>
      </w:r>
      <w:r w:rsidR="0093288A">
        <w:t>“</w:t>
      </w:r>
      <w:r w:rsidR="00915AF5" w:rsidRPr="00D32C1B">
        <w:rPr>
          <w:i/>
        </w:rPr>
        <w:t xml:space="preserve">the </w:t>
      </w:r>
      <w:r w:rsidR="001B73B6" w:rsidRPr="00D32C1B">
        <w:rPr>
          <w:i/>
        </w:rPr>
        <w:t>ordinary</w:t>
      </w:r>
      <w:r w:rsidR="00915AF5" w:rsidRPr="00D32C1B">
        <w:rPr>
          <w:i/>
        </w:rPr>
        <w:t xml:space="preserve"> rule</w:t>
      </w:r>
      <w:r w:rsidR="0093288A">
        <w:t>”</w:t>
      </w:r>
      <w:r w:rsidR="00915AF5">
        <w:t>)</w:t>
      </w:r>
      <w:r w:rsidR="00B11018">
        <w:t xml:space="preserve">: see </w:t>
      </w:r>
      <w:r w:rsidR="002E3E38">
        <w:rPr>
          <w:i/>
        </w:rPr>
        <w:t>Ruddock v Vadarlis (No 2)</w:t>
      </w:r>
      <w:r w:rsidR="002E3E38">
        <w:t xml:space="preserve"> [2001] FCA 1865; (2001) 115 FCR 229 (</w:t>
      </w:r>
      <w:r w:rsidR="002E3E38" w:rsidRPr="00B47E7B">
        <w:rPr>
          <w:b/>
          <w:i/>
        </w:rPr>
        <w:t>Ruddock (No. 2)</w:t>
      </w:r>
      <w:r w:rsidR="002E3E38">
        <w:t>) at [11]</w:t>
      </w:r>
      <w:r w:rsidR="002E7C8E">
        <w:t>-</w:t>
      </w:r>
      <w:r w:rsidR="002E3E38">
        <w:t>[12] (Black CJ and French J)</w:t>
      </w:r>
      <w:r w:rsidR="00AE3ECF">
        <w:t>.  However,</w:t>
      </w:r>
      <w:r w:rsidR="00D402EB">
        <w:t xml:space="preserve"> the</w:t>
      </w:r>
      <w:r w:rsidR="001B73B6">
        <w:t xml:space="preserve"> ordinary </w:t>
      </w:r>
      <w:r w:rsidR="00915AF5">
        <w:t xml:space="preserve">rule </w:t>
      </w:r>
      <w:r w:rsidR="00D402EB">
        <w:t>may be departed f</w:t>
      </w:r>
      <w:r w:rsidR="00F2130E">
        <w:t>rom where special circumstances</w:t>
      </w:r>
      <w:r w:rsidR="00D402EB">
        <w:t xml:space="preserve"> connected with the case justify a different order: </w:t>
      </w:r>
      <w:r w:rsidR="002E3E38">
        <w:rPr>
          <w:i/>
        </w:rPr>
        <w:t>Ruddock (No 2)</w:t>
      </w:r>
      <w:r w:rsidR="00D402EB">
        <w:t xml:space="preserve"> at [15] (Black CJ and French J).  </w:t>
      </w:r>
      <w:r w:rsidR="00AE3ECF">
        <w:t>As</w:t>
      </w:r>
      <w:r w:rsidR="00A10CFC">
        <w:t xml:space="preserve"> the High Court </w:t>
      </w:r>
      <w:r w:rsidR="001B73B6">
        <w:t xml:space="preserve">recently </w:t>
      </w:r>
      <w:r w:rsidR="00AE3ECF">
        <w:t xml:space="preserve">explained </w:t>
      </w:r>
      <w:r w:rsidR="00A10CFC">
        <w:t xml:space="preserve">in </w:t>
      </w:r>
      <w:r w:rsidR="00A10CFC" w:rsidRPr="00AE3ECF">
        <w:rPr>
          <w:i/>
        </w:rPr>
        <w:t>Northern Territory v Sangare</w:t>
      </w:r>
      <w:r w:rsidR="00A10CFC">
        <w:t xml:space="preserve"> [2019] HCA 25; (2019)</w:t>
      </w:r>
      <w:r w:rsidR="002E7C8E">
        <w:t xml:space="preserve"> 265</w:t>
      </w:r>
      <w:r w:rsidR="00AE3ECF">
        <w:t xml:space="preserve"> CLR 164 (</w:t>
      </w:r>
      <w:r w:rsidR="00AE3ECF">
        <w:rPr>
          <w:b/>
          <w:i/>
        </w:rPr>
        <w:t>Sangare</w:t>
      </w:r>
      <w:r w:rsidR="00AE3ECF">
        <w:t>):</w:t>
      </w:r>
    </w:p>
    <w:p w14:paraId="76A48E2E" w14:textId="1375C104" w:rsidR="00A10CFC" w:rsidRDefault="007F7382" w:rsidP="00FF1A2F">
      <w:pPr>
        <w:pStyle w:val="Quote1"/>
        <w:ind w:left="1440" w:hanging="703"/>
      </w:pPr>
      <w:r>
        <w:t>24</w:t>
      </w:r>
      <w:r>
        <w:tab/>
      </w:r>
      <w:r w:rsidR="00A10CFC">
        <w:t xml:space="preserve">It is well established that the power to award costs is a discretionary power, but that it is a power </w:t>
      </w:r>
      <w:r w:rsidR="00C00B5A">
        <w:t xml:space="preserve">that </w:t>
      </w:r>
      <w:r w:rsidR="00A10CFC">
        <w:t>must be exercised judicially, by reference only to considerations relevant to its exercise and upon facts connected with or leading up to the litigation [citing</w:t>
      </w:r>
      <w:r w:rsidR="001A7B73">
        <w:t>,</w:t>
      </w:r>
      <w:r w:rsidR="0091192B">
        <w:t xml:space="preserve"> among other authorities,</w:t>
      </w:r>
      <w:r w:rsidR="00A10CFC">
        <w:t xml:space="preserve"> </w:t>
      </w:r>
      <w:r w:rsidR="00A10CFC" w:rsidRPr="00A10CFC">
        <w:rPr>
          <w:i/>
          <w:iCs/>
        </w:rPr>
        <w:t>Oshlack v Richmon</w:t>
      </w:r>
      <w:r w:rsidR="00A10CFC">
        <w:rPr>
          <w:i/>
          <w:iCs/>
        </w:rPr>
        <w:t xml:space="preserve">d River </w:t>
      </w:r>
      <w:r w:rsidR="00A10CFC" w:rsidRPr="00A10CFC">
        <w:rPr>
          <w:i/>
          <w:iCs/>
        </w:rPr>
        <w:t xml:space="preserve">Council </w:t>
      </w:r>
      <w:r w:rsidR="00A10CFC" w:rsidRPr="00A10CFC">
        <w:t>(1998) 193 CLR 72 at 96 [65], 120-121 [134]</w:t>
      </w:r>
      <w:r w:rsidR="00A10CFC">
        <w:t>].  While the width of the discretion “cannot be narrowed by a legal rule devised by the court to control its exercise”, the formulation of principles according to which the discretion should be exercised does not “constitute a fetter upon the discretion not intended by the legislature</w:t>
      </w:r>
      <w:r w:rsidR="00920F31">
        <w:t>”</w:t>
      </w:r>
      <w:r w:rsidR="00A10CFC">
        <w:t>.  Rather, the formulation of principles to guide the exercise of the discretion avoids arbitrariness and serves the need for consistency that is an essential aspect of the exercise of judicial power.</w:t>
      </w:r>
    </w:p>
    <w:p w14:paraId="21EF8328" w14:textId="10B433F8" w:rsidR="00A10CFC" w:rsidRDefault="007F7382" w:rsidP="00FF1A2F">
      <w:pPr>
        <w:pStyle w:val="Quote1"/>
        <w:ind w:left="1440" w:hanging="703"/>
      </w:pPr>
      <w:r>
        <w:t>25</w:t>
      </w:r>
      <w:r>
        <w:tab/>
      </w:r>
      <w:r w:rsidR="00A10CFC">
        <w:t xml:space="preserve">A guiding principle by reference to which the discretion is to be exercised </w:t>
      </w:r>
      <w:r w:rsidR="00D211C7">
        <w:t>–</w:t>
      </w:r>
      <w:r w:rsidR="00A10CFC">
        <w:t xml:space="preserve"> indeed, “one of the most, if not </w:t>
      </w:r>
      <w:r w:rsidR="00E75DFE">
        <w:t>the most</w:t>
      </w:r>
      <w:r w:rsidR="00A10CFC">
        <w:t xml:space="preserve">, important” principle </w:t>
      </w:r>
      <w:r w:rsidR="00D211C7">
        <w:t>–</w:t>
      </w:r>
      <w:r w:rsidR="00A10CFC">
        <w:t xml:space="preserve"> is that the successful party is generally entitled to his or her costs by way of indemnity against </w:t>
      </w:r>
      <w:r w:rsidR="00D211C7">
        <w:t>the expense of</w:t>
      </w:r>
      <w:r w:rsidR="00A10CFC">
        <w:t xml:space="preserve"> litigation that should not, in</w:t>
      </w:r>
      <w:r w:rsidR="001B73B6">
        <w:t xml:space="preserve"> </w:t>
      </w:r>
      <w:r w:rsidR="00A10CFC">
        <w:t xml:space="preserve">justice, </w:t>
      </w:r>
      <w:r w:rsidR="001B73B6">
        <w:t>have been</w:t>
      </w:r>
      <w:r w:rsidR="00A10CFC">
        <w:t xml:space="preserve"> visited upon </w:t>
      </w:r>
      <w:r w:rsidR="00C00B5A">
        <w:t xml:space="preserve">that </w:t>
      </w:r>
      <w:r w:rsidR="00A10CFC">
        <w:t xml:space="preserve">party.  The application of that principle may be modified or displaced </w:t>
      </w:r>
      <w:r w:rsidR="00A10CFC" w:rsidRPr="00E75DFE">
        <w:rPr>
          <w:b/>
          <w:i/>
        </w:rPr>
        <w:t xml:space="preserve">where there is conduct on the part of the </w:t>
      </w:r>
      <w:r w:rsidR="00E75DFE">
        <w:rPr>
          <w:b/>
          <w:i/>
        </w:rPr>
        <w:t>successful</w:t>
      </w:r>
      <w:r w:rsidR="00A10CFC" w:rsidRPr="00E75DFE">
        <w:rPr>
          <w:b/>
          <w:i/>
        </w:rPr>
        <w:t xml:space="preserve"> party in relation to the conduct of the litigation </w:t>
      </w:r>
      <w:r w:rsidR="00E23059">
        <w:rPr>
          <w:b/>
          <w:i/>
        </w:rPr>
        <w:t xml:space="preserve">that </w:t>
      </w:r>
      <w:r w:rsidR="00A10CFC" w:rsidRPr="00E75DFE">
        <w:rPr>
          <w:b/>
          <w:i/>
        </w:rPr>
        <w:t>would justify</w:t>
      </w:r>
      <w:r w:rsidR="00E75DFE">
        <w:rPr>
          <w:b/>
          <w:i/>
        </w:rPr>
        <w:t xml:space="preserve"> a</w:t>
      </w:r>
      <w:r w:rsidR="00A10CFC" w:rsidRPr="00E75DFE">
        <w:rPr>
          <w:b/>
          <w:i/>
        </w:rPr>
        <w:t xml:space="preserve"> different outcome</w:t>
      </w:r>
      <w:r w:rsidR="00E75DFE" w:rsidRPr="00FF1A2F">
        <w:rPr>
          <w:i/>
        </w:rPr>
        <w:t xml:space="preserve">.  </w:t>
      </w:r>
      <w:r w:rsidR="00E75DFE" w:rsidRPr="00E75DFE">
        <w:t>F</w:t>
      </w:r>
      <w:r w:rsidR="00A10CFC" w:rsidRPr="00E75DFE">
        <w:t xml:space="preserve">or example, </w:t>
      </w:r>
      <w:r w:rsidR="00E75DFE" w:rsidRPr="00E75DFE">
        <w:t>a successful</w:t>
      </w:r>
      <w:r w:rsidR="00A10CFC" w:rsidRPr="00E75DFE">
        <w:t xml:space="preserve"> defendant may be refused its costs on the ground </w:t>
      </w:r>
      <w:r w:rsidR="00E75DFE" w:rsidRPr="00E75DFE">
        <w:t xml:space="preserve">that </w:t>
      </w:r>
      <w:r w:rsidR="00A10CFC" w:rsidRPr="00E75DFE">
        <w:t>i</w:t>
      </w:r>
      <w:r w:rsidR="00E75DFE" w:rsidRPr="00E75DFE">
        <w:t>t</w:t>
      </w:r>
      <w:r w:rsidR="00A10CFC" w:rsidRPr="00E75DFE">
        <w:t xml:space="preserve">s conduct induced the plaintiff to believe </w:t>
      </w:r>
      <w:r w:rsidR="0030333F">
        <w:t xml:space="preserve">that </w:t>
      </w:r>
      <w:r w:rsidR="00A10CFC" w:rsidRPr="00E75DFE">
        <w:t xml:space="preserve">he or she had </w:t>
      </w:r>
      <w:r w:rsidR="0030333F">
        <w:t xml:space="preserve">a </w:t>
      </w:r>
      <w:r w:rsidR="00A10CFC" w:rsidRPr="00E75DFE">
        <w:t xml:space="preserve">good cause of action. </w:t>
      </w:r>
    </w:p>
    <w:p w14:paraId="7C876686" w14:textId="77777777" w:rsidR="00AE3ECF" w:rsidRPr="00E75DFE" w:rsidRDefault="00AE3ECF" w:rsidP="00A10CFC">
      <w:pPr>
        <w:pStyle w:val="Quote1"/>
        <w:rPr>
          <w:iCs/>
        </w:rPr>
      </w:pPr>
      <w:r>
        <w:t>(Emphasis added</w:t>
      </w:r>
      <w:r w:rsidR="004E34CB">
        <w:t>; some citations omitted</w:t>
      </w:r>
      <w:r>
        <w:t>.)</w:t>
      </w:r>
    </w:p>
    <w:p w14:paraId="71753071" w14:textId="233D5B02" w:rsidR="00657A58" w:rsidRDefault="00FC7B51" w:rsidP="00FC7B51">
      <w:pPr>
        <w:pStyle w:val="ParaNumbering"/>
        <w:numPr>
          <w:ilvl w:val="0"/>
          <w:numId w:val="0"/>
        </w:numPr>
        <w:ind w:hanging="720"/>
      </w:pPr>
      <w:r>
        <w:rPr>
          <w:sz w:val="20"/>
        </w:rPr>
        <w:t>7</w:t>
      </w:r>
      <w:r>
        <w:rPr>
          <w:sz w:val="20"/>
        </w:rPr>
        <w:tab/>
      </w:r>
      <w:r w:rsidR="00657A58">
        <w:t xml:space="preserve">Thus in </w:t>
      </w:r>
      <w:r w:rsidR="00AE3ECF">
        <w:rPr>
          <w:i/>
        </w:rPr>
        <w:t>Sang</w:t>
      </w:r>
      <w:r w:rsidR="00A83E8B">
        <w:rPr>
          <w:i/>
        </w:rPr>
        <w:t>a</w:t>
      </w:r>
      <w:r w:rsidR="00AE3ECF">
        <w:rPr>
          <w:i/>
        </w:rPr>
        <w:t>re</w:t>
      </w:r>
      <w:r w:rsidR="00657A58">
        <w:t xml:space="preserve">, the High Court held that </w:t>
      </w:r>
      <w:r w:rsidR="003A7C8E">
        <w:t xml:space="preserve">the </w:t>
      </w:r>
      <w:r w:rsidR="00657A58">
        <w:t>i</w:t>
      </w:r>
      <w:r w:rsidR="00A10CFC">
        <w:t>mpecuniosity of a party, without more, is not a sufficient reason for depriving a successful party of its costs</w:t>
      </w:r>
      <w:r w:rsidR="009B751B">
        <w:t>,</w:t>
      </w:r>
      <w:r w:rsidR="00D32C1B">
        <w:t xml:space="preserve"> as is the fact that the successful part</w:t>
      </w:r>
      <w:r w:rsidR="002E073A">
        <w:t>y</w:t>
      </w:r>
      <w:r w:rsidR="00D32C1B">
        <w:t xml:space="preserve"> </w:t>
      </w:r>
      <w:r w:rsidR="005C29A7">
        <w:t>is</w:t>
      </w:r>
      <w:r w:rsidR="00D32C1B">
        <w:t xml:space="preserve"> a public authority</w:t>
      </w:r>
      <w:r w:rsidR="00657A58">
        <w:t xml:space="preserve">.  </w:t>
      </w:r>
      <w:r w:rsidR="009B751B">
        <w:t>T</w:t>
      </w:r>
      <w:r w:rsidR="00D32C1B">
        <w:t>he High Court’s</w:t>
      </w:r>
      <w:r w:rsidR="00290611">
        <w:t xml:space="preserve"> reasons for so </w:t>
      </w:r>
      <w:r w:rsidR="001E329A">
        <w:t>holding</w:t>
      </w:r>
      <w:r w:rsidR="00D32C1B">
        <w:t xml:space="preserve"> are relevant insofar as they</w:t>
      </w:r>
      <w:r w:rsidR="001E329A">
        <w:t xml:space="preserve"> </w:t>
      </w:r>
      <w:r w:rsidR="00AE3ECF">
        <w:t>emphasise</w:t>
      </w:r>
      <w:r w:rsidR="00290611">
        <w:t xml:space="preserve"> the importance of </w:t>
      </w:r>
      <w:r w:rsidR="00657A58">
        <w:t>the</w:t>
      </w:r>
      <w:r w:rsidR="001B73B6">
        <w:t xml:space="preserve"> ordinary </w:t>
      </w:r>
      <w:r w:rsidR="00290611">
        <w:t>rule as to costs</w:t>
      </w:r>
      <w:r w:rsidR="009B751B">
        <w:t xml:space="preserve">, even though it is not suggested here </w:t>
      </w:r>
      <w:r w:rsidR="009B751B">
        <w:lastRenderedPageBreak/>
        <w:t>that</w:t>
      </w:r>
      <w:r w:rsidR="00890C92">
        <w:t xml:space="preserve"> either impecuniosity</w:t>
      </w:r>
      <w:r w:rsidR="009B751B">
        <w:t xml:space="preserve"> or the fact that the Secretary is a public </w:t>
      </w:r>
      <w:r w:rsidR="00890C92">
        <w:t xml:space="preserve">officer </w:t>
      </w:r>
      <w:r w:rsidR="009B751B">
        <w:t>are reason</w:t>
      </w:r>
      <w:r w:rsidR="00D07622">
        <w:t>s</w:t>
      </w:r>
      <w:r w:rsidR="009B751B">
        <w:t xml:space="preserve"> for departing from the ordinary rule as to costs</w:t>
      </w:r>
      <w:r w:rsidR="00290611">
        <w:t>.  As the High</w:t>
      </w:r>
      <w:r w:rsidR="00657A58">
        <w:t xml:space="preserve"> Court explained</w:t>
      </w:r>
      <w:r w:rsidR="00770F42">
        <w:t xml:space="preserve"> in </w:t>
      </w:r>
      <w:r w:rsidR="009351BD">
        <w:t>that case</w:t>
      </w:r>
      <w:r w:rsidR="00657A58">
        <w:t>:</w:t>
      </w:r>
    </w:p>
    <w:p w14:paraId="37D0525E" w14:textId="77777777" w:rsidR="00290611" w:rsidRDefault="00290611" w:rsidP="00A36F5D">
      <w:pPr>
        <w:pStyle w:val="Quote1"/>
        <w:ind w:left="1440" w:hanging="703"/>
      </w:pPr>
      <w:r>
        <w:t>27</w:t>
      </w:r>
      <w:r w:rsidR="00A539E1">
        <w:tab/>
      </w:r>
      <w:r>
        <w:t xml:space="preserve">… </w:t>
      </w:r>
      <w:r w:rsidR="00657A58">
        <w:t>In point of principle</w:t>
      </w:r>
      <w:r w:rsidR="00657A58" w:rsidRPr="00896D00">
        <w:t>, it is basic justice that a successful party should be compensated for expenses it has incurred because it has been obliged to litigate by the unsuccessful party.  That consideration of basic justice does not lose its compelling force</w:t>
      </w:r>
      <w:r w:rsidRPr="00896D00">
        <w:t xml:space="preserve"> simply because the successful party happens to be wealthy: th</w:t>
      </w:r>
      <w:r w:rsidR="003001B0" w:rsidRPr="00896D00">
        <w:t xml:space="preserve">e successful party, whether rich or </w:t>
      </w:r>
      <w:r w:rsidRPr="00896D00">
        <w:t>poor, did not ask to b</w:t>
      </w:r>
      <w:r w:rsidR="003001B0" w:rsidRPr="00896D00">
        <w:t>e subjected to the expense of un</w:t>
      </w:r>
      <w:r w:rsidRPr="00896D00">
        <w:t xml:space="preserve">meritorious </w:t>
      </w:r>
      <w:r w:rsidR="003001B0" w:rsidRPr="00896D00">
        <w:t>litigation</w:t>
      </w:r>
      <w:r w:rsidRPr="00896D00">
        <w:t>.  The statutory power to order costs affords</w:t>
      </w:r>
      <w:r w:rsidR="003001B0" w:rsidRPr="00896D00">
        <w:t xml:space="preserve"> the</w:t>
      </w:r>
      <w:r w:rsidRPr="00896D00">
        <w:t xml:space="preserve"> successful party</w:t>
      </w:r>
      <w:r w:rsidR="003001B0" w:rsidRPr="00896D00">
        <w:t xml:space="preserve"> necessary protection against un</w:t>
      </w:r>
      <w:r w:rsidRPr="00896D00">
        <w:t xml:space="preserve">meritorious </w:t>
      </w:r>
      <w:r w:rsidR="003001B0" w:rsidRPr="00896D00">
        <w:t>litigation; and un</w:t>
      </w:r>
      <w:r w:rsidRPr="00896D00">
        <w:t xml:space="preserve">meritorious </w:t>
      </w:r>
      <w:r w:rsidR="003001B0" w:rsidRPr="00896D00">
        <w:t>litigation is no less</w:t>
      </w:r>
      <w:r w:rsidRPr="00896D00">
        <w:t xml:space="preserve"> </w:t>
      </w:r>
      <w:r w:rsidR="003001B0" w:rsidRPr="00896D00">
        <w:t>un</w:t>
      </w:r>
      <w:r w:rsidRPr="00896D00">
        <w:t>meritorious because it is pursued by a person w</w:t>
      </w:r>
      <w:r w:rsidR="003001B0" w:rsidRPr="00896D00">
        <w:t>ho is poor or who is a litigant</w:t>
      </w:r>
      <w:r w:rsidR="00751462">
        <w:noBreakHyphen/>
      </w:r>
      <w:r w:rsidR="003001B0" w:rsidRPr="00896D00">
        <w:t>in</w:t>
      </w:r>
      <w:r w:rsidR="00751462">
        <w:noBreakHyphen/>
      </w:r>
      <w:r w:rsidRPr="00896D00">
        <w:t>person.</w:t>
      </w:r>
    </w:p>
    <w:p w14:paraId="4DF4A89B" w14:textId="77777777" w:rsidR="00290611" w:rsidRDefault="00290611" w:rsidP="00A36F5D">
      <w:pPr>
        <w:pStyle w:val="Quote1"/>
        <w:ind w:left="1440" w:hanging="703"/>
      </w:pPr>
      <w:r>
        <w:t>28.</w:t>
      </w:r>
      <w:r w:rsidR="00A539E1">
        <w:tab/>
      </w:r>
      <w:r>
        <w:t>The circumstance</w:t>
      </w:r>
      <w:r w:rsidR="008B6FC7">
        <w:t xml:space="preserve"> that</w:t>
      </w:r>
      <w:r>
        <w:t xml:space="preserve"> the appellant is a public authority is likewise irrelevant.  As McHugh J said</w:t>
      </w:r>
      <w:r w:rsidR="00C9161C">
        <w:t xml:space="preserve"> in</w:t>
      </w:r>
      <w:r>
        <w:t xml:space="preserve"> </w:t>
      </w:r>
      <w:r>
        <w:rPr>
          <w:i/>
        </w:rPr>
        <w:t>Oshlack v Richmond River Council</w:t>
      </w:r>
      <w:r w:rsidR="008B6FC7">
        <w:rPr>
          <w:i/>
        </w:rPr>
        <w:t xml:space="preserve"> </w:t>
      </w:r>
      <w:r w:rsidR="008B6FC7">
        <w:t>[(1998) 193 CLR 72 at 107 [92]]</w:t>
      </w:r>
      <w:r>
        <w:t>:</w:t>
      </w:r>
    </w:p>
    <w:p w14:paraId="3DF50E96" w14:textId="77777777" w:rsidR="00290611" w:rsidRDefault="00290611" w:rsidP="00A36F5D">
      <w:pPr>
        <w:pStyle w:val="Quote3"/>
      </w:pPr>
      <w:r>
        <w:t>“The law judges persons by the</w:t>
      </w:r>
      <w:r w:rsidR="001B73B6">
        <w:t>ir</w:t>
      </w:r>
      <w:r>
        <w:t xml:space="preserve"> conduct not their identity.  In the exercise of the costs discretion, all persons are entitled to be treated equally and in accordance with traditional principle.  The fact that a successful </w:t>
      </w:r>
      <w:r w:rsidR="00B9449A">
        <w:t>[</w:t>
      </w:r>
      <w:r>
        <w:t>party</w:t>
      </w:r>
      <w:r w:rsidR="00B9449A">
        <w:t>]</w:t>
      </w:r>
      <w:r>
        <w:t xml:space="preserve"> is a public </w:t>
      </w:r>
      <w:r w:rsidR="001B73B6">
        <w:t>authority</w:t>
      </w:r>
      <w:r>
        <w:t xml:space="preserve"> should not make a court less inclined to award costs in its favour.  Gone are the days when one could sensibly speak of a public </w:t>
      </w:r>
      <w:r w:rsidR="003001B0">
        <w:t>authority</w:t>
      </w:r>
      <w:r>
        <w:t xml:space="preserve"> having ‘available to them </w:t>
      </w:r>
      <w:r w:rsidR="003001B0">
        <w:t>almost unlimited public funds.’”</w:t>
      </w:r>
    </w:p>
    <w:p w14:paraId="7D3D66E2" w14:textId="77777777" w:rsidR="006A5B36" w:rsidRDefault="006A5B36" w:rsidP="00102890">
      <w:pPr>
        <w:pStyle w:val="Quote2"/>
      </w:pPr>
      <w:r>
        <w:t>[(Footnote omitted).]</w:t>
      </w:r>
    </w:p>
    <w:p w14:paraId="37A0D680" w14:textId="77777777" w:rsidR="00290611" w:rsidRPr="00290611" w:rsidRDefault="00290611" w:rsidP="00A36F5D">
      <w:pPr>
        <w:pStyle w:val="Quote1"/>
        <w:ind w:left="1440" w:hanging="703"/>
      </w:pPr>
      <w:r>
        <w:t>29.</w:t>
      </w:r>
      <w:r w:rsidR="00A539E1">
        <w:tab/>
      </w:r>
      <w:r>
        <w:t xml:space="preserve">McHugh J dissented in the result in </w:t>
      </w:r>
      <w:r>
        <w:rPr>
          <w:i/>
        </w:rPr>
        <w:t>Oshlack</w:t>
      </w:r>
      <w:r>
        <w:t>, but those observations were not contrary to the reasoning of the majority in that case.</w:t>
      </w:r>
    </w:p>
    <w:p w14:paraId="3051C3A5" w14:textId="7DFE6388" w:rsidR="00503A1C" w:rsidRDefault="00FC7B51" w:rsidP="00FC7B51">
      <w:pPr>
        <w:pStyle w:val="ParaNumbering"/>
        <w:numPr>
          <w:ilvl w:val="0"/>
          <w:numId w:val="0"/>
        </w:numPr>
        <w:ind w:hanging="720"/>
      </w:pPr>
      <w:r>
        <w:rPr>
          <w:sz w:val="20"/>
        </w:rPr>
        <w:t>8</w:t>
      </w:r>
      <w:r>
        <w:rPr>
          <w:sz w:val="20"/>
        </w:rPr>
        <w:tab/>
      </w:r>
      <w:r w:rsidR="00D402EB">
        <w:t xml:space="preserve">Generally speaking, </w:t>
      </w:r>
      <w:r w:rsidR="00B05476">
        <w:t xml:space="preserve">as Black CJ and French J observed in </w:t>
      </w:r>
      <w:r w:rsidR="00B05476">
        <w:rPr>
          <w:i/>
        </w:rPr>
        <w:t xml:space="preserve">Ruddock (No 2) </w:t>
      </w:r>
      <w:r w:rsidR="00B05476">
        <w:t>at [15], “</w:t>
      </w:r>
      <w:r w:rsidR="00D402EB" w:rsidRPr="00102890">
        <w:rPr>
          <w:i/>
        </w:rPr>
        <w:t xml:space="preserve">the circumstances in which a successful </w:t>
      </w:r>
      <w:r w:rsidR="00B05476" w:rsidRPr="00102890">
        <w:rPr>
          <w:i/>
        </w:rPr>
        <w:t>party</w:t>
      </w:r>
      <w:r w:rsidR="00D402EB" w:rsidRPr="00102890">
        <w:rPr>
          <w:i/>
        </w:rPr>
        <w:t xml:space="preserve"> is denied all or part of </w:t>
      </w:r>
      <w:r w:rsidR="00B05476" w:rsidRPr="00102890">
        <w:rPr>
          <w:i/>
        </w:rPr>
        <w:t>its</w:t>
      </w:r>
      <w:r w:rsidR="00D402EB" w:rsidRPr="00102890">
        <w:rPr>
          <w:i/>
        </w:rPr>
        <w:t xml:space="preserve"> costs </w:t>
      </w:r>
      <w:r w:rsidR="00B05476" w:rsidRPr="00102890">
        <w:rPr>
          <w:i/>
        </w:rPr>
        <w:t>have to do with its conduct of the proceedings</w:t>
      </w:r>
      <w:r w:rsidR="00B05476">
        <w:t>”, such as circumstances where a party’s conduct at trial unreasonably prolonged the proceedings: see also</w:t>
      </w:r>
      <w:r w:rsidR="00D402EB" w:rsidRPr="00D402EB">
        <w:rPr>
          <w:i/>
        </w:rPr>
        <w:t xml:space="preserve"> </w:t>
      </w:r>
      <w:r w:rsidR="00D402EB">
        <w:rPr>
          <w:i/>
        </w:rPr>
        <w:t>Latoudis v Casey</w:t>
      </w:r>
      <w:r w:rsidR="00D402EB">
        <w:t xml:space="preserve"> [1990] HCA 59; (1990) 170 CLR 534 at 544</w:t>
      </w:r>
      <w:r w:rsidR="00C64EC2">
        <w:t xml:space="preserve"> (Mason CJ)</w:t>
      </w:r>
      <w:r w:rsidR="00D402EB">
        <w:t xml:space="preserve">.  </w:t>
      </w:r>
      <w:r w:rsidR="00503A1C">
        <w:t xml:space="preserve">However that is not invariably the case.  In </w:t>
      </w:r>
      <w:r w:rsidR="00E93171">
        <w:t xml:space="preserve">some </w:t>
      </w:r>
      <w:r w:rsidR="00503A1C">
        <w:t>cases such as</w:t>
      </w:r>
      <w:r w:rsidR="00503A1C" w:rsidRPr="00503A1C">
        <w:rPr>
          <w:i/>
        </w:rPr>
        <w:t xml:space="preserve"> </w:t>
      </w:r>
      <w:r w:rsidR="00503A1C">
        <w:rPr>
          <w:i/>
        </w:rPr>
        <w:t xml:space="preserve">Oshlack </w:t>
      </w:r>
      <w:r w:rsidR="00520CB6">
        <w:rPr>
          <w:i/>
        </w:rPr>
        <w:t xml:space="preserve">v Richmond River Council </w:t>
      </w:r>
      <w:r w:rsidR="00092AFF">
        <w:t xml:space="preserve">[1998] HCA 11; </w:t>
      </w:r>
      <w:r w:rsidR="00520CB6">
        <w:t>(1998) 193 CLR 72 (</w:t>
      </w:r>
      <w:r w:rsidR="00520CB6" w:rsidRPr="00E93171">
        <w:rPr>
          <w:b/>
          <w:i/>
        </w:rPr>
        <w:t>Oshlack</w:t>
      </w:r>
      <w:r w:rsidR="00520CB6">
        <w:t xml:space="preserve">) </w:t>
      </w:r>
      <w:r w:rsidR="00503A1C">
        <w:t xml:space="preserve">and </w:t>
      </w:r>
      <w:r w:rsidR="00503A1C">
        <w:rPr>
          <w:i/>
        </w:rPr>
        <w:t>Ruddock</w:t>
      </w:r>
      <w:r w:rsidR="00F2130E">
        <w:rPr>
          <w:i/>
        </w:rPr>
        <w:t xml:space="preserve"> (No. 2)</w:t>
      </w:r>
      <w:r w:rsidR="00B47E7B">
        <w:rPr>
          <w:i/>
        </w:rPr>
        <w:t xml:space="preserve"> </w:t>
      </w:r>
      <w:r w:rsidR="00B47E7B">
        <w:t>on which AVN relies</w:t>
      </w:r>
      <w:r w:rsidR="00503A1C">
        <w:t>, the Court has declined to</w:t>
      </w:r>
      <w:r w:rsidR="00E4432A">
        <w:t xml:space="preserve"> award costs to the successful litigant in the particular circumstances </w:t>
      </w:r>
      <w:r w:rsidR="00931F64">
        <w:t xml:space="preserve">of those cases, </w:t>
      </w:r>
      <w:r w:rsidR="00E4432A">
        <w:t>having regard</w:t>
      </w:r>
      <w:r w:rsidR="001B73B6">
        <w:t>,</w:t>
      </w:r>
      <w:r w:rsidR="00E4432A">
        <w:t xml:space="preserve"> among other things</w:t>
      </w:r>
      <w:r w:rsidR="001B73B6">
        <w:t>,</w:t>
      </w:r>
      <w:r w:rsidR="00E4432A">
        <w:t xml:space="preserve"> </w:t>
      </w:r>
      <w:r w:rsidR="002703FB">
        <w:t xml:space="preserve">to </w:t>
      </w:r>
      <w:r w:rsidR="00E4432A">
        <w:t>public interest factors.</w:t>
      </w:r>
    </w:p>
    <w:p w14:paraId="4BCB4DEF" w14:textId="4E9324FA" w:rsidR="007D016D" w:rsidRDefault="00FC7B51" w:rsidP="00FC7B51">
      <w:pPr>
        <w:pStyle w:val="ParaNumbering"/>
        <w:numPr>
          <w:ilvl w:val="0"/>
          <w:numId w:val="0"/>
        </w:numPr>
        <w:ind w:hanging="720"/>
      </w:pPr>
      <w:r>
        <w:rPr>
          <w:sz w:val="20"/>
        </w:rPr>
        <w:t>9</w:t>
      </w:r>
      <w:r>
        <w:rPr>
          <w:sz w:val="20"/>
        </w:rPr>
        <w:tab/>
      </w:r>
      <w:r w:rsidR="007D016D">
        <w:t xml:space="preserve">Importantly, there is no general rule established by </w:t>
      </w:r>
      <w:r w:rsidR="007D016D">
        <w:rPr>
          <w:i/>
        </w:rPr>
        <w:t xml:space="preserve">Oshlack </w:t>
      </w:r>
      <w:r w:rsidR="007D016D" w:rsidRPr="001C38A7">
        <w:t xml:space="preserve">and the other authorities to which </w:t>
      </w:r>
      <w:r w:rsidR="00B47E7B">
        <w:t>AVN</w:t>
      </w:r>
      <w:r w:rsidR="007D016D" w:rsidRPr="001C38A7">
        <w:t xml:space="preserve"> refers that</w:t>
      </w:r>
      <w:r w:rsidR="007D016D">
        <w:t xml:space="preserve"> those who institute proceedings involving a matter of “public interest” are exempted from the usual</w:t>
      </w:r>
      <w:r w:rsidR="007D016D" w:rsidRPr="001C38A7">
        <w:t xml:space="preserve"> order</w:t>
      </w:r>
      <w:r w:rsidR="007D016D">
        <w:t xml:space="preserve"> as to costs</w:t>
      </w:r>
      <w:r w:rsidR="00B47E7B">
        <w:t xml:space="preserve">. </w:t>
      </w:r>
      <w:r w:rsidR="007D016D">
        <w:t xml:space="preserve"> Rather as Black CJ and French J held in </w:t>
      </w:r>
      <w:r w:rsidR="007D016D">
        <w:rPr>
          <w:i/>
        </w:rPr>
        <w:t>Ruddock</w:t>
      </w:r>
      <w:r w:rsidR="00A032E6">
        <w:rPr>
          <w:i/>
        </w:rPr>
        <w:t> </w:t>
      </w:r>
      <w:r w:rsidR="00B47E7B">
        <w:rPr>
          <w:i/>
        </w:rPr>
        <w:t>(No. 2)</w:t>
      </w:r>
      <w:r w:rsidR="007D016D">
        <w:t>:</w:t>
      </w:r>
    </w:p>
    <w:p w14:paraId="51799E1E" w14:textId="77777777" w:rsidR="007D016D" w:rsidRDefault="007D016D" w:rsidP="00E93171">
      <w:pPr>
        <w:pStyle w:val="Quote1"/>
        <w:ind w:left="1440" w:hanging="703"/>
      </w:pPr>
      <w:r>
        <w:t>14</w:t>
      </w:r>
      <w:r w:rsidR="00D91A47">
        <w:tab/>
      </w:r>
      <w:r>
        <w:t xml:space="preserve"> … it must be recognised that the concept of the “public interest” is a very broad one.  For that reason it may be difficult in the realm of civil litigation, </w:t>
      </w:r>
      <w:r>
        <w:lastRenderedPageBreak/>
        <w:t xml:space="preserve">without further identification of particular circumstances, to essay any useful general proposition about how the fact that the pursuit of proceedings </w:t>
      </w:r>
      <w:r w:rsidR="001332C7">
        <w:t>was in</w:t>
      </w:r>
      <w:r>
        <w:t xml:space="preserve"> the public interest can be a relevant consideration in the discretion to award costs.  The term may best be seen as an envelope or class description for a range of circumstances which, upon examination, </w:t>
      </w:r>
      <w:r w:rsidRPr="001272AC">
        <w:rPr>
          <w:b/>
          <w:i/>
        </w:rPr>
        <w:t>may</w:t>
      </w:r>
      <w:r>
        <w:t xml:space="preserve"> be found to be relevant to the question whether there should be a departure from the ordinary rule that costs follow the event.</w:t>
      </w:r>
    </w:p>
    <w:p w14:paraId="41B3CC00" w14:textId="77777777" w:rsidR="00F2130E" w:rsidRDefault="00F2130E" w:rsidP="007D016D">
      <w:pPr>
        <w:pStyle w:val="Quote1"/>
      </w:pPr>
      <w:r>
        <w:t>(Emphasis added.)</w:t>
      </w:r>
    </w:p>
    <w:p w14:paraId="29A5F371" w14:textId="0A8C9740" w:rsidR="007D016D" w:rsidRDefault="00FC7B51" w:rsidP="00FC7B51">
      <w:pPr>
        <w:pStyle w:val="ParaNumbering"/>
        <w:numPr>
          <w:ilvl w:val="0"/>
          <w:numId w:val="0"/>
        </w:numPr>
        <w:ind w:hanging="720"/>
      </w:pPr>
      <w:r>
        <w:rPr>
          <w:sz w:val="20"/>
        </w:rPr>
        <w:t>10</w:t>
      </w:r>
      <w:r>
        <w:rPr>
          <w:sz w:val="20"/>
        </w:rPr>
        <w:tab/>
      </w:r>
      <w:r w:rsidR="00A91B29">
        <w:t>In</w:t>
      </w:r>
      <w:r w:rsidR="007D016D">
        <w:t xml:space="preserve"> common with a line of authority postdating </w:t>
      </w:r>
      <w:r w:rsidR="007D016D">
        <w:rPr>
          <w:i/>
        </w:rPr>
        <w:t>Oshlack</w:t>
      </w:r>
      <w:r w:rsidR="00A91B29">
        <w:t>, their Honours then</w:t>
      </w:r>
      <w:r w:rsidR="007D016D">
        <w:t xml:space="preserve"> unequivocally rejected the proposition that any such </w:t>
      </w:r>
      <w:r w:rsidR="004547B3">
        <w:t>general rule</w:t>
      </w:r>
      <w:r w:rsidR="007D016D">
        <w:t xml:space="preserve"> could be derived from the decision in </w:t>
      </w:r>
      <w:r w:rsidR="007D016D">
        <w:rPr>
          <w:i/>
        </w:rPr>
        <w:t xml:space="preserve">Oshlack </w:t>
      </w:r>
      <w:r w:rsidR="007D016D">
        <w:t>in the following p</w:t>
      </w:r>
      <w:r w:rsidR="00222FA4">
        <w:t>assage:</w:t>
      </w:r>
    </w:p>
    <w:p w14:paraId="5E790EEA" w14:textId="1853F4CF" w:rsidR="007D016D" w:rsidRDefault="007D016D" w:rsidP="002808C4">
      <w:pPr>
        <w:pStyle w:val="Quote1"/>
        <w:ind w:left="1440" w:hanging="703"/>
      </w:pPr>
      <w:r>
        <w:t>21</w:t>
      </w:r>
      <w:r w:rsidR="00F74D9A">
        <w:tab/>
      </w:r>
      <w:r>
        <w:t xml:space="preserve">In </w:t>
      </w:r>
      <w:r>
        <w:rPr>
          <w:i/>
        </w:rPr>
        <w:t xml:space="preserve">Oshlack </w:t>
      </w:r>
      <w:r>
        <w:t xml:space="preserve">the trial judge had given content to the public interest considerations by listing the various factors and propositions which he took into account.  The true issue was whether the subject matter, scope and purpose of the statute conferring the power to award costs was such that the considerations to which the trial judge had regard were extraneous to any object the legislature had in view in enacting it.  The Full Court of the Federal Court in </w:t>
      </w:r>
      <w:r>
        <w:rPr>
          <w:i/>
        </w:rPr>
        <w:t>Friends of Hinchinbrook Society Inc v Minister for the Environment (No 5)</w:t>
      </w:r>
      <w:r>
        <w:t xml:space="preserve"> (1998) 84 FCR 186 put it another way when it identified the entitlement of the Court of Appeal of New South Wales to disturb the discretionary decision of the trial judge as the issue decided in </w:t>
      </w:r>
      <w:r>
        <w:rPr>
          <w:i/>
        </w:rPr>
        <w:t>Oshlack</w:t>
      </w:r>
      <w:r>
        <w:t xml:space="preserve">:  The decision of the High Court, it was said, "does not lay down a rule for application in other cases in the making of costs orders" (at 188) …  the general conclusion of the Court is consistent with the observation of Kirby J made a few weeks later in </w:t>
      </w:r>
      <w:r>
        <w:rPr>
          <w:i/>
        </w:rPr>
        <w:t>South</w:t>
      </w:r>
      <w:r w:rsidR="00A35528">
        <w:rPr>
          <w:i/>
        </w:rPr>
        <w:t> </w:t>
      </w:r>
      <w:r>
        <w:rPr>
          <w:i/>
        </w:rPr>
        <w:t>West Forest Defence Foundation v Department of Conservation and Land Management (No 2)</w:t>
      </w:r>
      <w:r>
        <w:t xml:space="preserve"> (1998) 154 ALR 411 at 412 that nothing in </w:t>
      </w:r>
      <w:r>
        <w:rPr>
          <w:i/>
        </w:rPr>
        <w:t xml:space="preserve">Oshlack </w:t>
      </w:r>
      <w:r>
        <w:t xml:space="preserve">requires that every time an individual or body brings proceedings asserting a defence of the public interest and protection of the environment, a new costs regime is to apply exempting that individual or body from the conventional rule.  In that case the court ordered the unsuccessful applicants for special leave to pay the costs of their application notwithstanding the argument that the proceedings were in the public interest.  The applicant sought to enforce environment laws said to be for the benefit of the general public and for the benefit of endangered species of flora and fauna in certain forest areas of Western Australia.  As another Full Court put it, there is no general principle emerging from </w:t>
      </w:r>
      <w:r>
        <w:rPr>
          <w:i/>
        </w:rPr>
        <w:t>Oshlack</w:t>
      </w:r>
      <w:r>
        <w:t xml:space="preserve"> that the usual order as to costs should not apply if the subject matter of the litigation is a matter of "public interest": </w:t>
      </w:r>
      <w:r>
        <w:rPr>
          <w:i/>
        </w:rPr>
        <w:t>Hollier v Australian Maritime Safety Authority (No 2)</w:t>
      </w:r>
      <w:r>
        <w:t xml:space="preserve"> [1998] FCA 975; see also </w:t>
      </w:r>
      <w:r>
        <w:rPr>
          <w:i/>
        </w:rPr>
        <w:t xml:space="preserve">Edgley v Federal Capital Press of Australia Pty Ltd </w:t>
      </w:r>
      <w:r>
        <w:t>(2001) 108 FCR 1 at 25 (Beaumont ACJ, Higgins and Gyles JJ agreeing).</w:t>
      </w:r>
    </w:p>
    <w:p w14:paraId="653E112E" w14:textId="77777777" w:rsidR="007D016D" w:rsidRDefault="007D016D" w:rsidP="002808C4">
      <w:pPr>
        <w:pStyle w:val="Quote1"/>
        <w:ind w:left="1440" w:hanging="703"/>
      </w:pPr>
      <w:r>
        <w:t>22</w:t>
      </w:r>
      <w:r w:rsidR="00F74D9A">
        <w:tab/>
      </w:r>
      <w:r>
        <w:t xml:space="preserve">Importantly, however, although </w:t>
      </w:r>
      <w:r>
        <w:rPr>
          <w:i/>
        </w:rPr>
        <w:t xml:space="preserve">Oshlack </w:t>
      </w:r>
      <w:r>
        <w:t xml:space="preserve">was dealing with the particular provisions and subject matter of the </w:t>
      </w:r>
      <w:r>
        <w:rPr>
          <w:i/>
        </w:rPr>
        <w:t xml:space="preserve">Land and Environment Court Act </w:t>
      </w:r>
      <w:r w:rsidR="00FE6A43">
        <w:t>[</w:t>
      </w:r>
      <w:r w:rsidR="00FE6A43" w:rsidRPr="008F1397">
        <w:rPr>
          <w:i/>
        </w:rPr>
        <w:t>1979</w:t>
      </w:r>
      <w:r w:rsidR="00FE6A43">
        <w:t xml:space="preserve"> (NSW)] </w:t>
      </w:r>
      <w:r>
        <w:t xml:space="preserve">reference was made in the joint judgment to the practices and guidelines which have developed in the administration of the discretion of courts of general jurisdiction. In that context observations of Brennan J in </w:t>
      </w:r>
      <w:r>
        <w:rPr>
          <w:i/>
        </w:rPr>
        <w:t>Norbis v Norbis</w:t>
      </w:r>
      <w:r>
        <w:t xml:space="preserve"> (1986) 161 CLR 515 at 537 were approved: </w:t>
      </w:r>
    </w:p>
    <w:p w14:paraId="1925FA50" w14:textId="77777777" w:rsidR="007D016D" w:rsidRDefault="007D016D" w:rsidP="002808C4">
      <w:pPr>
        <w:pStyle w:val="Quote3"/>
      </w:pPr>
      <w:r>
        <w:t xml:space="preserve">"It is one thing to say that principles may be expressed to guide the exercise of a discretion; it is another thing to say that the principles may harden into legal rules which would confine the discretion more </w:t>
      </w:r>
      <w:r>
        <w:lastRenderedPageBreak/>
        <w:t>narrowly than the Parliament intended.  The width of a statutory discretion is determined by the statute; it cannot be narrowed by a legal rule devised by the court to control its exercise."</w:t>
      </w:r>
    </w:p>
    <w:p w14:paraId="6100986A" w14:textId="67E37074" w:rsidR="007D016D" w:rsidRDefault="007D016D" w:rsidP="002808C4">
      <w:pPr>
        <w:pStyle w:val="Quote2"/>
      </w:pPr>
      <w:r>
        <w:t xml:space="preserve">It was in that sense, their Honours said, that the existence of "a general rule that a wholly successful defendant should receive his costs unless good reason is shown" should be understood: Gaudron and Gummow JJ at 86, citing </w:t>
      </w:r>
      <w:r>
        <w:rPr>
          <w:i/>
        </w:rPr>
        <w:t>Milne</w:t>
      </w:r>
      <w:r w:rsidR="00CA6BDF">
        <w:rPr>
          <w:i/>
        </w:rPr>
        <w:t> </w:t>
      </w:r>
      <w:r>
        <w:rPr>
          <w:i/>
        </w:rPr>
        <w:t>v Attorney</w:t>
      </w:r>
      <w:r w:rsidR="005A5B18">
        <w:rPr>
          <w:i/>
        </w:rPr>
        <w:noBreakHyphen/>
      </w:r>
      <w:r>
        <w:rPr>
          <w:i/>
        </w:rPr>
        <w:t>General (Tas)</w:t>
      </w:r>
      <w:r w:rsidR="005A5B18">
        <w:t xml:space="preserve"> (1956)</w:t>
      </w:r>
      <w:r>
        <w:t xml:space="preserve"> 95 CLR 460 at 477; see also Kirby J at 121.</w:t>
      </w:r>
    </w:p>
    <w:p w14:paraId="6EE4140A" w14:textId="456338F3" w:rsidR="007D016D" w:rsidRDefault="00FC7B51" w:rsidP="00FC7B51">
      <w:pPr>
        <w:pStyle w:val="ParaNumbering"/>
        <w:numPr>
          <w:ilvl w:val="0"/>
          <w:numId w:val="0"/>
        </w:numPr>
        <w:ind w:hanging="720"/>
      </w:pPr>
      <w:r>
        <w:rPr>
          <w:sz w:val="20"/>
        </w:rPr>
        <w:t>11</w:t>
      </w:r>
      <w:r>
        <w:rPr>
          <w:sz w:val="20"/>
        </w:rPr>
        <w:tab/>
      </w:r>
      <w:r w:rsidR="002E53D3">
        <w:t xml:space="preserve">In </w:t>
      </w:r>
      <w:r w:rsidR="002E53D3">
        <w:rPr>
          <w:i/>
        </w:rPr>
        <w:t>Ruddock (No. 2</w:t>
      </w:r>
      <w:r w:rsidR="002E53D3">
        <w:t>) the majority held that particular features in that case “</w:t>
      </w:r>
      <w:r w:rsidR="002E53D3">
        <w:rPr>
          <w:i/>
        </w:rPr>
        <w:t>together point powerfully</w:t>
      </w:r>
      <w:r w:rsidR="002E53D3">
        <w:t>” against the usual order as to costs</w:t>
      </w:r>
      <w:r w:rsidR="003D51D0">
        <w:t xml:space="preserve"> (at [28])</w:t>
      </w:r>
      <w:r w:rsidR="002E53D3">
        <w:t>:</w:t>
      </w:r>
    </w:p>
    <w:p w14:paraId="3EE1B54D" w14:textId="77777777" w:rsidR="002E53D3" w:rsidRPr="002E53D3" w:rsidRDefault="000A1FFE" w:rsidP="00767706">
      <w:pPr>
        <w:pStyle w:val="Quote1"/>
        <w:ind w:left="1440" w:hanging="703"/>
      </w:pPr>
      <w:r>
        <w:t>4.</w:t>
      </w:r>
      <w:r>
        <w:tab/>
      </w:r>
      <w:r w:rsidR="002E53D3" w:rsidRPr="002E53D3">
        <w:t xml:space="preserve">The proceedings raised novel and important questions of law concerning the alleged deprivation of the liberty of the individual, the </w:t>
      </w:r>
      <w:r w:rsidR="000A35FF">
        <w:t>E</w:t>
      </w:r>
      <w:r w:rsidR="002E53D3" w:rsidRPr="002E53D3">
        <w:t xml:space="preserve">xecutive power of the Commonwealth, the operation of the </w:t>
      </w:r>
      <w:r w:rsidR="002E53D3" w:rsidRPr="002E53D3">
        <w:rPr>
          <w:i/>
        </w:rPr>
        <w:t xml:space="preserve">Migration Act </w:t>
      </w:r>
      <w:r w:rsidR="002E53D3" w:rsidRPr="002E53D3">
        <w:t xml:space="preserve">and Australia's obligations under international law. </w:t>
      </w:r>
    </w:p>
    <w:p w14:paraId="73F51393" w14:textId="77777777" w:rsidR="002E53D3" w:rsidRPr="002E53D3" w:rsidRDefault="00441850" w:rsidP="00767706">
      <w:pPr>
        <w:pStyle w:val="Quote1"/>
        <w:ind w:left="1440" w:hanging="703"/>
      </w:pPr>
      <w:r>
        <w:t>5.</w:t>
      </w:r>
      <w:r w:rsidR="000A1FFE">
        <w:tab/>
      </w:r>
      <w:r w:rsidR="002E53D3" w:rsidRPr="002E53D3">
        <w:t xml:space="preserve">There was divided judicial opinion on these important issues, illustrating their difficulty. </w:t>
      </w:r>
    </w:p>
    <w:p w14:paraId="1BFCEEFB" w14:textId="77777777" w:rsidR="002E53D3" w:rsidRPr="002E53D3" w:rsidRDefault="000A1FFE" w:rsidP="00767706">
      <w:pPr>
        <w:pStyle w:val="Quote1"/>
        <w:ind w:left="1440" w:hanging="703"/>
      </w:pPr>
      <w:r>
        <w:t>6.</w:t>
      </w:r>
      <w:r>
        <w:tab/>
      </w:r>
      <w:r w:rsidR="002E53D3" w:rsidRPr="002E53D3">
        <w:t xml:space="preserve">The Commonwealth Parliament has subsequently passed laws purporting to exclude the rights of </w:t>
      </w:r>
      <w:r w:rsidR="00FF47FD">
        <w:t>[</w:t>
      </w:r>
      <w:r w:rsidR="00E40EBF">
        <w:t xml:space="preserve">the </w:t>
      </w:r>
      <w:r w:rsidR="00FF47FD">
        <w:t>Victorian Council for Civil Liberties (</w:t>
      </w:r>
      <w:r w:rsidR="00FF47FD" w:rsidRPr="002808C4">
        <w:rPr>
          <w:b/>
        </w:rPr>
        <w:t>VCCL</w:t>
      </w:r>
      <w:r w:rsidR="00FF47FD">
        <w:t>)]</w:t>
      </w:r>
      <w:r w:rsidR="002E53D3" w:rsidRPr="002E53D3">
        <w:t xml:space="preserve"> and Vadarlis or any other person to pursue the matter further, albeit special leave to appeal in the High</w:t>
      </w:r>
      <w:r w:rsidR="00E40EBF">
        <w:t> </w:t>
      </w:r>
      <w:r w:rsidR="002E53D3" w:rsidRPr="002E53D3">
        <w:t xml:space="preserve">Court was refused on other grounds going to utility and jurisdiction. </w:t>
      </w:r>
    </w:p>
    <w:p w14:paraId="5168E155" w14:textId="77777777" w:rsidR="002E53D3" w:rsidRPr="002E53D3" w:rsidRDefault="000A1FFE" w:rsidP="00767706">
      <w:pPr>
        <w:pStyle w:val="Quote1"/>
        <w:ind w:left="1440" w:hanging="703"/>
      </w:pPr>
      <w:r>
        <w:t>7.</w:t>
      </w:r>
      <w:r>
        <w:tab/>
      </w:r>
      <w:r w:rsidR="002E53D3" w:rsidRPr="002E53D3">
        <w:t xml:space="preserve">The Commonwealth Parliament has also legislated to establish, as a proposition of statute law, in accordance with the view of the majority in the Full Court, that the </w:t>
      </w:r>
      <w:r w:rsidR="002E53D3" w:rsidRPr="002E53D3">
        <w:rPr>
          <w:i/>
        </w:rPr>
        <w:t>Migration Act</w:t>
      </w:r>
      <w:r w:rsidR="002E53D3" w:rsidRPr="002E53D3">
        <w:t xml:space="preserve"> does not prevent the exercise of the </w:t>
      </w:r>
      <w:r w:rsidR="00C013EA">
        <w:t>E</w:t>
      </w:r>
      <w:r w:rsidR="002E53D3" w:rsidRPr="002E53D3">
        <w:t xml:space="preserve">xecutive power of the Commonwealth to protect Australia's borders, including, where necessary, by ejecting persons who have crossed those borders. </w:t>
      </w:r>
    </w:p>
    <w:p w14:paraId="3F996507" w14:textId="77777777" w:rsidR="002E53D3" w:rsidRPr="002E53D3" w:rsidRDefault="00441850" w:rsidP="00767706">
      <w:pPr>
        <w:pStyle w:val="Quote1"/>
        <w:ind w:left="1440" w:hanging="703"/>
      </w:pPr>
      <w:r>
        <w:t>8.</w:t>
      </w:r>
      <w:r w:rsidR="000A2CD0">
        <w:tab/>
      </w:r>
      <w:r w:rsidR="002E53D3" w:rsidRPr="002E53D3">
        <w:t>There was no financial gain to either VCCL or Vadarlis in bringing their claims.</w:t>
      </w:r>
    </w:p>
    <w:p w14:paraId="7AC58DA3" w14:textId="77777777" w:rsidR="002E53D3" w:rsidRDefault="00441850" w:rsidP="00767706">
      <w:pPr>
        <w:pStyle w:val="Quote1"/>
        <w:ind w:left="1440" w:hanging="703"/>
      </w:pPr>
      <w:r>
        <w:t>9.</w:t>
      </w:r>
      <w:r w:rsidR="000A2CD0">
        <w:tab/>
      </w:r>
      <w:r w:rsidR="002E53D3" w:rsidRPr="002E53D3">
        <w:t xml:space="preserve">The legal representation for VCCL and Vadarlis was provided free of charge. The quality of the representation (on all sides) ensured that the proceedings, and the important questions to which they gave rise, were pursued and resolved with expedition and efficiency. </w:t>
      </w:r>
    </w:p>
    <w:p w14:paraId="07D7AD17" w14:textId="4B959ADF" w:rsidR="00441850" w:rsidRPr="002E53D3" w:rsidRDefault="00FC7B51" w:rsidP="00FC7B51">
      <w:pPr>
        <w:pStyle w:val="ParaNumbering"/>
        <w:numPr>
          <w:ilvl w:val="0"/>
          <w:numId w:val="0"/>
        </w:numPr>
        <w:ind w:hanging="720"/>
      </w:pPr>
      <w:r w:rsidRPr="002E53D3">
        <w:rPr>
          <w:sz w:val="20"/>
        </w:rPr>
        <w:t>12</w:t>
      </w:r>
      <w:r w:rsidRPr="002E53D3">
        <w:rPr>
          <w:sz w:val="20"/>
        </w:rPr>
        <w:tab/>
      </w:r>
      <w:r w:rsidR="00441850">
        <w:t>Their Honours therefore concluded</w:t>
      </w:r>
      <w:r w:rsidR="00294A1C">
        <w:t xml:space="preserve"> in that case</w:t>
      </w:r>
      <w:r w:rsidR="00441850">
        <w:t xml:space="preserve"> that:</w:t>
      </w:r>
    </w:p>
    <w:p w14:paraId="7817FD08" w14:textId="77777777" w:rsidR="002E53D3" w:rsidRDefault="00512524" w:rsidP="002808C4">
      <w:pPr>
        <w:pStyle w:val="Quote1"/>
        <w:ind w:left="1440" w:hanging="703"/>
      </w:pPr>
      <w:r>
        <w:t>29</w:t>
      </w:r>
      <w:r>
        <w:tab/>
      </w:r>
      <w:r w:rsidR="002E53D3" w:rsidRPr="002E53D3">
        <w:t xml:space="preserve">This is a most unusual case.  It involved matters of high public importance and raised questions concerning the liberty of individuals who were unable to take action on their own behalf to determine their rights. </w:t>
      </w:r>
      <w:r w:rsidR="002E53D3" w:rsidRPr="002E53D3">
        <w:rPr>
          <w:i/>
        </w:rPr>
        <w:t xml:space="preserve"> </w:t>
      </w:r>
      <w:r w:rsidR="002E53D3" w:rsidRPr="002E53D3">
        <w:t xml:space="preserve">There was substantial public and, indeed, international controversy about the Commonwealth's actions.  The proceedings provided a forum in which the legal authority of the Commonwealth to act as it did with respect to the rescued people was, and was seen to be, fully considered by the Court and ultimately, albeit by majority, found to exist.  The case is quite different in character from the predominantly environmental litigation in which </w:t>
      </w:r>
      <w:r w:rsidR="00244EA4">
        <w:t>ma</w:t>
      </w:r>
      <w:r w:rsidR="002808C4">
        <w:t>[</w:t>
      </w:r>
      <w:r w:rsidR="00244EA4">
        <w:t>n</w:t>
      </w:r>
      <w:r w:rsidR="002808C4">
        <w:t>]</w:t>
      </w:r>
      <w:r w:rsidR="00244EA4">
        <w:t>y</w:t>
      </w:r>
      <w:r w:rsidR="002E53D3" w:rsidRPr="002E53D3">
        <w:t xml:space="preserve"> of the previous decisions concerning the impact of public interest considerations on costs awards have been made.  Having regard to its character and circumstances the appropriate disposition is that there be no order as to the costs of the appeal or </w:t>
      </w:r>
      <w:r w:rsidR="00441850">
        <w:t xml:space="preserve">the application before </w:t>
      </w:r>
      <w:r w:rsidR="00441850">
        <w:lastRenderedPageBreak/>
        <w:t>North J.</w:t>
      </w:r>
    </w:p>
    <w:p w14:paraId="4B530627" w14:textId="0124A346" w:rsidR="00B47E7B" w:rsidRDefault="00FC7B51" w:rsidP="00FC7B51">
      <w:pPr>
        <w:pStyle w:val="Heading6"/>
        <w:numPr>
          <w:ilvl w:val="0"/>
          <w:numId w:val="0"/>
        </w:numPr>
        <w:tabs>
          <w:tab w:val="left" w:pos="1134"/>
        </w:tabs>
        <w:ind w:left="1134" w:hanging="1134"/>
      </w:pPr>
      <w:bookmarkStart w:id="28" w:name="_Ref106626510"/>
      <w:r>
        <w:t>2.2</w:t>
      </w:r>
      <w:r>
        <w:tab/>
      </w:r>
      <w:r w:rsidR="00B47E7B">
        <w:t xml:space="preserve">Do the public interest considerations relied upon by AVN </w:t>
      </w:r>
      <w:r w:rsidR="00530525">
        <w:t>warrant</w:t>
      </w:r>
      <w:r w:rsidR="00B47E7B">
        <w:t xml:space="preserve"> a departure from the ordinary rule as to costs?</w:t>
      </w:r>
      <w:bookmarkEnd w:id="28"/>
    </w:p>
    <w:p w14:paraId="4B1FF5E3" w14:textId="771F26E9" w:rsidR="00503A1C" w:rsidRDefault="00FC7B51" w:rsidP="00FC7B51">
      <w:pPr>
        <w:pStyle w:val="ParaNumbering"/>
        <w:numPr>
          <w:ilvl w:val="0"/>
          <w:numId w:val="0"/>
        </w:numPr>
        <w:ind w:hanging="720"/>
      </w:pPr>
      <w:r>
        <w:rPr>
          <w:sz w:val="20"/>
        </w:rPr>
        <w:t>13</w:t>
      </w:r>
      <w:r>
        <w:rPr>
          <w:sz w:val="20"/>
        </w:rPr>
        <w:tab/>
      </w:r>
      <w:r w:rsidR="00B47E7B">
        <w:t xml:space="preserve">As earlier indicated, </w:t>
      </w:r>
      <w:r w:rsidR="00503A1C">
        <w:t xml:space="preserve">AVN places weight on decisions </w:t>
      </w:r>
      <w:r w:rsidR="00577FB4">
        <w:t>such as</w:t>
      </w:r>
      <w:r w:rsidR="00503A1C">
        <w:t xml:space="preserve"> </w:t>
      </w:r>
      <w:r w:rsidR="00503A1C">
        <w:rPr>
          <w:i/>
        </w:rPr>
        <w:t xml:space="preserve">Oshlack </w:t>
      </w:r>
      <w:r w:rsidR="00503A1C">
        <w:t xml:space="preserve">and </w:t>
      </w:r>
      <w:r w:rsidR="00B47E7B">
        <w:rPr>
          <w:i/>
        </w:rPr>
        <w:t xml:space="preserve">Ruddock (No. 2) </w:t>
      </w:r>
      <w:r w:rsidR="00503A1C">
        <w:t xml:space="preserve">in support of its contention that </w:t>
      </w:r>
      <w:r w:rsidR="00577FB4">
        <w:t xml:space="preserve">the proceeding should be characterised as </w:t>
      </w:r>
      <w:r w:rsidR="00503A1C">
        <w:t>“</w:t>
      </w:r>
      <w:r w:rsidR="00503A1C" w:rsidRPr="00503A1C">
        <w:rPr>
          <w:i/>
        </w:rPr>
        <w:t>public interest litigation</w:t>
      </w:r>
      <w:r w:rsidR="00503A1C">
        <w:t>”</w:t>
      </w:r>
      <w:r w:rsidR="002A34BD">
        <w:t xml:space="preserve">.  AVN </w:t>
      </w:r>
      <w:r w:rsidR="00577FB4">
        <w:t>relies in particular upon the following factors</w:t>
      </w:r>
      <w:r w:rsidR="00503A1C">
        <w:t>:</w:t>
      </w:r>
    </w:p>
    <w:p w14:paraId="2428D8A3" w14:textId="3A6CB316" w:rsidR="00503A1C" w:rsidRDefault="00FC7B51" w:rsidP="00FC7B51">
      <w:pPr>
        <w:pStyle w:val="ListNo1"/>
        <w:numPr>
          <w:ilvl w:val="0"/>
          <w:numId w:val="0"/>
        </w:numPr>
        <w:tabs>
          <w:tab w:val="left" w:pos="720"/>
        </w:tabs>
        <w:ind w:left="720" w:hanging="720"/>
      </w:pPr>
      <w:r>
        <w:t>(1)</w:t>
      </w:r>
      <w:r>
        <w:tab/>
      </w:r>
      <w:r w:rsidR="00503A1C">
        <w:t>the applicant’s “</w:t>
      </w:r>
      <w:r w:rsidR="00503A1C" w:rsidRPr="00503A1C">
        <w:rPr>
          <w:i/>
        </w:rPr>
        <w:t xml:space="preserve">prime motivation… in instigating the proceeding was to uphold the public interest </w:t>
      </w:r>
      <w:r w:rsidR="00DD5A26">
        <w:rPr>
          <w:i/>
        </w:rPr>
        <w:t>and</w:t>
      </w:r>
      <w:r w:rsidR="00503A1C" w:rsidRPr="00503A1C">
        <w:rPr>
          <w:i/>
        </w:rPr>
        <w:t xml:space="preserve"> the rule of law in order to protect Australians (particularly children) from the adversity reportedly associated with the Three Vaccines</w:t>
      </w:r>
      <w:r w:rsidR="00503A1C">
        <w:t>”</w:t>
      </w:r>
      <w:r w:rsidR="007D3433">
        <w:t xml:space="preserve"> (AS [17])</w:t>
      </w:r>
      <w:r w:rsidR="00503A1C">
        <w:t>;</w:t>
      </w:r>
    </w:p>
    <w:p w14:paraId="4E0BB084" w14:textId="418F884C" w:rsidR="00503A1C" w:rsidRDefault="00FC7B51" w:rsidP="00FC7B51">
      <w:pPr>
        <w:pStyle w:val="ListNo1"/>
        <w:numPr>
          <w:ilvl w:val="0"/>
          <w:numId w:val="0"/>
        </w:numPr>
        <w:tabs>
          <w:tab w:val="left" w:pos="720"/>
        </w:tabs>
        <w:ind w:left="720" w:hanging="720"/>
      </w:pPr>
      <w:r>
        <w:t>(2)</w:t>
      </w:r>
      <w:r>
        <w:tab/>
      </w:r>
      <w:r w:rsidR="00503A1C">
        <w:t>the proceeding sought to enforce public law obligations;</w:t>
      </w:r>
    </w:p>
    <w:p w14:paraId="317FA6D9" w14:textId="682DD69F" w:rsidR="002703FB" w:rsidRDefault="00FC7B51" w:rsidP="00FC7B51">
      <w:pPr>
        <w:pStyle w:val="ListNo1"/>
        <w:numPr>
          <w:ilvl w:val="0"/>
          <w:numId w:val="0"/>
        </w:numPr>
        <w:tabs>
          <w:tab w:val="left" w:pos="720"/>
        </w:tabs>
        <w:ind w:left="720" w:hanging="720"/>
      </w:pPr>
      <w:r>
        <w:t>(3)</w:t>
      </w:r>
      <w:r>
        <w:tab/>
      </w:r>
      <w:r w:rsidR="002703FB">
        <w:t xml:space="preserve">the application raised </w:t>
      </w:r>
      <w:r w:rsidR="007D3433">
        <w:t>“</w:t>
      </w:r>
      <w:r w:rsidR="002703FB" w:rsidRPr="002C0F63">
        <w:rPr>
          <w:i/>
        </w:rPr>
        <w:t>novel issues in relation to who may sue regarding the registration and maintenance of therapeutic goods and medicines supplied to Australians</w:t>
      </w:r>
      <w:r w:rsidR="007D3433">
        <w:t>”</w:t>
      </w:r>
      <w:r w:rsidR="002703FB">
        <w:t xml:space="preserve"> in the “</w:t>
      </w:r>
      <w:r w:rsidR="002703FB">
        <w:rPr>
          <w:i/>
        </w:rPr>
        <w:t xml:space="preserve">novel and grave context of the </w:t>
      </w:r>
      <w:r w:rsidR="007D3433">
        <w:rPr>
          <w:i/>
        </w:rPr>
        <w:t xml:space="preserve">[Three] </w:t>
      </w:r>
      <w:r w:rsidR="002703FB">
        <w:rPr>
          <w:i/>
        </w:rPr>
        <w:t>Vaccines</w:t>
      </w:r>
      <w:r w:rsidR="002703FB">
        <w:t>” and was “</w:t>
      </w:r>
      <w:r w:rsidR="002703FB">
        <w:rPr>
          <w:i/>
        </w:rPr>
        <w:t>plainly a test case</w:t>
      </w:r>
      <w:r w:rsidR="002703FB">
        <w:t>”</w:t>
      </w:r>
      <w:r w:rsidR="003F7B89">
        <w:t xml:space="preserve"> as the “</w:t>
      </w:r>
      <w:r w:rsidR="003F7B89" w:rsidRPr="002C0F63">
        <w:rPr>
          <w:i/>
        </w:rPr>
        <w:t>first challenge of its kind to the registration of the [Three] Vaccines</w:t>
      </w:r>
      <w:r w:rsidR="003F7B89">
        <w:t>”</w:t>
      </w:r>
      <w:r w:rsidR="003A7BE7" w:rsidRPr="003A7BE7">
        <w:t xml:space="preserve"> </w:t>
      </w:r>
      <w:r w:rsidR="003A7BE7">
        <w:t>(AS [21]</w:t>
      </w:r>
      <w:r w:rsidR="003F7B89">
        <w:t>; AR [7]</w:t>
      </w:r>
      <w:r w:rsidR="003A7BE7">
        <w:t>)</w:t>
      </w:r>
      <w:r w:rsidR="002703FB">
        <w:t>;</w:t>
      </w:r>
    </w:p>
    <w:p w14:paraId="0930A615" w14:textId="632D9EB1" w:rsidR="00744BFC" w:rsidRDefault="00FC7B51" w:rsidP="00FC7B51">
      <w:pPr>
        <w:pStyle w:val="ListNo1"/>
        <w:numPr>
          <w:ilvl w:val="0"/>
          <w:numId w:val="0"/>
        </w:numPr>
        <w:tabs>
          <w:tab w:val="left" w:pos="720"/>
        </w:tabs>
        <w:ind w:left="720" w:hanging="720"/>
      </w:pPr>
      <w:r>
        <w:t>(4)</w:t>
      </w:r>
      <w:r>
        <w:tab/>
      </w:r>
      <w:r w:rsidR="00744BFC">
        <w:t>the application “</w:t>
      </w:r>
      <w:r w:rsidR="00744BFC">
        <w:rPr>
          <w:i/>
        </w:rPr>
        <w:t>raised novel issue</w:t>
      </w:r>
      <w:r w:rsidR="007D3433">
        <w:rPr>
          <w:i/>
        </w:rPr>
        <w:t>s</w:t>
      </w:r>
      <w:r w:rsidR="00744BFC">
        <w:rPr>
          <w:i/>
        </w:rPr>
        <w:t xml:space="preserve"> and an arguable case which needed to be resolved particularly because of the ‘imminent risk of death, serious illness or serious injury’</w:t>
      </w:r>
      <w:r w:rsidR="00744BFC">
        <w:t>” (quoting from s 30(1)(a) of the</w:t>
      </w:r>
      <w:r w:rsidR="003A7BE7">
        <w:t xml:space="preserve"> TG Act</w:t>
      </w:r>
      <w:r w:rsidR="00223420">
        <w:t>)</w:t>
      </w:r>
      <w:r w:rsidR="00C542DC">
        <w:t xml:space="preserve"> (AS [22])</w:t>
      </w:r>
      <w:r w:rsidR="00223420">
        <w:t>;</w:t>
      </w:r>
      <w:r w:rsidR="00744BFC">
        <w:t xml:space="preserve"> </w:t>
      </w:r>
    </w:p>
    <w:p w14:paraId="2A601F8A" w14:textId="6D7957E3" w:rsidR="002C0F63" w:rsidRDefault="00FC7B51" w:rsidP="00FC7B51">
      <w:pPr>
        <w:pStyle w:val="ListNo1"/>
        <w:numPr>
          <w:ilvl w:val="0"/>
          <w:numId w:val="0"/>
        </w:numPr>
        <w:tabs>
          <w:tab w:val="left" w:pos="720"/>
        </w:tabs>
        <w:ind w:left="720" w:hanging="720"/>
      </w:pPr>
      <w:r>
        <w:t>(5)</w:t>
      </w:r>
      <w:r>
        <w:tab/>
      </w:r>
      <w:r w:rsidR="00503A1C">
        <w:t>there was</w:t>
      </w:r>
      <w:r w:rsidR="002C0F63">
        <w:t xml:space="preserve"> </w:t>
      </w:r>
      <w:r w:rsidR="00503A1C">
        <w:t>a</w:t>
      </w:r>
      <w:r w:rsidR="002C0F63">
        <w:t xml:space="preserve"> </w:t>
      </w:r>
      <w:r w:rsidR="00503A1C">
        <w:t>public interest in the</w:t>
      </w:r>
      <w:r w:rsidR="001B73B6">
        <w:t xml:space="preserve"> outcome of the litigation</w:t>
      </w:r>
      <w:r w:rsidR="002C0F63">
        <w:t xml:space="preserve">; </w:t>
      </w:r>
    </w:p>
    <w:p w14:paraId="44A6B58B" w14:textId="3ACD350F" w:rsidR="00A95701" w:rsidRDefault="00FC7B51" w:rsidP="00FC7B51">
      <w:pPr>
        <w:pStyle w:val="ListNo1"/>
        <w:numPr>
          <w:ilvl w:val="0"/>
          <w:numId w:val="0"/>
        </w:numPr>
        <w:tabs>
          <w:tab w:val="left" w:pos="720"/>
        </w:tabs>
        <w:ind w:left="720" w:hanging="720"/>
      </w:pPr>
      <w:r>
        <w:t>(6)</w:t>
      </w:r>
      <w:r>
        <w:tab/>
      </w:r>
      <w:r w:rsidR="00503A1C">
        <w:t xml:space="preserve">the applicant </w:t>
      </w:r>
      <w:r w:rsidR="00242C7B">
        <w:t>“</w:t>
      </w:r>
      <w:r w:rsidR="00503A1C" w:rsidRPr="002047EB">
        <w:rPr>
          <w:i/>
        </w:rPr>
        <w:t>stood to gain no financial benefit</w:t>
      </w:r>
      <w:r w:rsidR="00242C7B">
        <w:t>”</w:t>
      </w:r>
      <w:r w:rsidR="00503A1C">
        <w:t xml:space="preserve"> from the proceeding</w:t>
      </w:r>
      <w:r w:rsidR="00242C7B">
        <w:t xml:space="preserve"> (AS </w:t>
      </w:r>
      <w:r w:rsidR="00147BF1">
        <w:t>[18]</w:t>
      </w:r>
      <w:r w:rsidR="00BE778D">
        <w:t>; AR [5</w:t>
      </w:r>
      <w:r w:rsidR="00242C7B">
        <w:t>])</w:t>
      </w:r>
      <w:r w:rsidR="00A95701">
        <w:t>; and</w:t>
      </w:r>
    </w:p>
    <w:p w14:paraId="4A8F691E" w14:textId="59AC1C79" w:rsidR="00A95701" w:rsidRPr="00A95701" w:rsidRDefault="00FC7B51" w:rsidP="00FC7B51">
      <w:pPr>
        <w:pStyle w:val="ListNo1"/>
        <w:numPr>
          <w:ilvl w:val="0"/>
          <w:numId w:val="0"/>
        </w:numPr>
        <w:tabs>
          <w:tab w:val="left" w:pos="720"/>
        </w:tabs>
        <w:ind w:left="720" w:hanging="720"/>
      </w:pPr>
      <w:r w:rsidRPr="00A95701">
        <w:t>(7)</w:t>
      </w:r>
      <w:r w:rsidRPr="00A95701">
        <w:tab/>
      </w:r>
      <w:r w:rsidR="00A95701">
        <w:t xml:space="preserve">the decision in </w:t>
      </w:r>
      <w:r w:rsidR="00A95701">
        <w:rPr>
          <w:i/>
        </w:rPr>
        <w:t>AVN (No 1)</w:t>
      </w:r>
      <w:r w:rsidR="00A95701">
        <w:t xml:space="preserve"> “</w:t>
      </w:r>
      <w:r w:rsidR="00A95701" w:rsidRPr="00374477">
        <w:rPr>
          <w:i/>
        </w:rPr>
        <w:t xml:space="preserve">will now have a direct bearing on shielding the Commonwealth from many (if not most) future challenges as to the regulation of medicines, particularly with respect to the Vaccines and any future decisions to supply to children younger than </w:t>
      </w:r>
      <w:r w:rsidR="0021516B">
        <w:rPr>
          <w:i/>
        </w:rPr>
        <w:t>5</w:t>
      </w:r>
      <w:r w:rsidR="00A95701" w:rsidRPr="00102890">
        <w:rPr>
          <w:i/>
        </w:rPr>
        <w:t xml:space="preserve"> years.  Only the large pharmaceutical companies or the companies holding the provisional registrations will likely have standing</w:t>
      </w:r>
      <w:r w:rsidR="00A95701">
        <w:t>”</w:t>
      </w:r>
      <w:r w:rsidR="00B54942">
        <w:t xml:space="preserve"> (AS [23]</w:t>
      </w:r>
      <w:r w:rsidR="007F3B08">
        <w:t>)</w:t>
      </w:r>
      <w:r w:rsidR="00503A1C">
        <w:t>.</w:t>
      </w:r>
    </w:p>
    <w:p w14:paraId="7AC072A5" w14:textId="4A2DCA06" w:rsidR="003B16C8" w:rsidRDefault="00FC7B51" w:rsidP="00FC7B51">
      <w:pPr>
        <w:pStyle w:val="ParaNumbering"/>
        <w:keepNext/>
        <w:numPr>
          <w:ilvl w:val="0"/>
          <w:numId w:val="0"/>
        </w:numPr>
        <w:ind w:hanging="720"/>
      </w:pPr>
      <w:r>
        <w:rPr>
          <w:sz w:val="20"/>
        </w:rPr>
        <w:t>14</w:t>
      </w:r>
      <w:r>
        <w:rPr>
          <w:sz w:val="20"/>
        </w:rPr>
        <w:tab/>
      </w:r>
      <w:r w:rsidR="002A34BD">
        <w:t>I accept that</w:t>
      </w:r>
      <w:r w:rsidR="003B16C8">
        <w:t>:</w:t>
      </w:r>
    </w:p>
    <w:p w14:paraId="43FB2079" w14:textId="2EE960A8" w:rsidR="003B16C8" w:rsidRDefault="00FC7B51" w:rsidP="00FC7B51">
      <w:pPr>
        <w:pStyle w:val="ListNo1"/>
        <w:keepNext/>
        <w:numPr>
          <w:ilvl w:val="0"/>
          <w:numId w:val="0"/>
        </w:numPr>
        <w:tabs>
          <w:tab w:val="left" w:pos="720"/>
        </w:tabs>
        <w:ind w:left="720" w:hanging="720"/>
      </w:pPr>
      <w:r>
        <w:t>(1)</w:t>
      </w:r>
      <w:r>
        <w:tab/>
      </w:r>
      <w:r w:rsidR="00441850">
        <w:t xml:space="preserve">the proceedings were instituted by </w:t>
      </w:r>
      <w:r w:rsidR="002A34BD">
        <w:t xml:space="preserve">AVN </w:t>
      </w:r>
      <w:r w:rsidR="00441850">
        <w:t xml:space="preserve">because of </w:t>
      </w:r>
      <w:r w:rsidR="002A34BD">
        <w:t xml:space="preserve">a </w:t>
      </w:r>
      <w:r w:rsidR="002A34BD" w:rsidRPr="00614CF8">
        <w:t>genuine</w:t>
      </w:r>
      <w:r w:rsidR="00441850" w:rsidRPr="00614CF8">
        <w:t>ly held</w:t>
      </w:r>
      <w:r w:rsidR="002A34BD" w:rsidRPr="00614CF8">
        <w:t xml:space="preserve"> desire </w:t>
      </w:r>
      <w:r w:rsidR="00441850" w:rsidRPr="00614CF8">
        <w:t>by its founder, Ms Dorey, and in all likelihood other members of AVN</w:t>
      </w:r>
      <w:r w:rsidR="005657BC">
        <w:t>,</w:t>
      </w:r>
      <w:r w:rsidR="00441850">
        <w:t xml:space="preserve"> </w:t>
      </w:r>
      <w:r w:rsidR="002A34BD">
        <w:t>to pro</w:t>
      </w:r>
      <w:r w:rsidR="00441850">
        <w:t xml:space="preserve">tect Australians </w:t>
      </w:r>
      <w:r w:rsidR="00441850">
        <w:lastRenderedPageBreak/>
        <w:t>against what they</w:t>
      </w:r>
      <w:r w:rsidR="000247DE">
        <w:t xml:space="preserve"> </w:t>
      </w:r>
      <w:r w:rsidR="002A34BD">
        <w:t xml:space="preserve">believed </w:t>
      </w:r>
      <w:r w:rsidR="005657BC">
        <w:t>was</w:t>
      </w:r>
      <w:r w:rsidR="002A34BD">
        <w:t xml:space="preserve"> the unacceptably high number of adverse effects suffered by persons </w:t>
      </w:r>
      <w:r w:rsidR="000247DE">
        <w:t>to whom</w:t>
      </w:r>
      <w:r w:rsidR="002A34BD">
        <w:t xml:space="preserve"> the </w:t>
      </w:r>
      <w:r w:rsidR="00D979A9">
        <w:t>Three</w:t>
      </w:r>
      <w:r w:rsidR="002A34BD">
        <w:t xml:space="preserve"> Vaccines </w:t>
      </w:r>
      <w:r w:rsidR="000247DE">
        <w:t>were a</w:t>
      </w:r>
      <w:r w:rsidR="003B16C8">
        <w:t>dministered, including children;</w:t>
      </w:r>
      <w:r w:rsidR="000247DE">
        <w:t xml:space="preserve"> </w:t>
      </w:r>
    </w:p>
    <w:p w14:paraId="1419979A" w14:textId="39E8B15F" w:rsidR="003B16C8" w:rsidRDefault="00FC7B51" w:rsidP="00FC7B51">
      <w:pPr>
        <w:pStyle w:val="ListNo1"/>
        <w:numPr>
          <w:ilvl w:val="0"/>
          <w:numId w:val="0"/>
        </w:numPr>
        <w:tabs>
          <w:tab w:val="left" w:pos="720"/>
        </w:tabs>
        <w:ind w:left="720" w:hanging="720"/>
      </w:pPr>
      <w:r>
        <w:t>(2)</w:t>
      </w:r>
      <w:r>
        <w:tab/>
      </w:r>
      <w:r w:rsidR="000247DE">
        <w:t xml:space="preserve">AVN held a genuine desire to test </w:t>
      </w:r>
      <w:r w:rsidR="002047EB">
        <w:t xml:space="preserve">the validity of the Children Decision and </w:t>
      </w:r>
      <w:r w:rsidR="00020E07">
        <w:t xml:space="preserve">to </w:t>
      </w:r>
      <w:r w:rsidR="002047EB">
        <w:t xml:space="preserve">enforce alleged public law obligations with respect to the Secretary’s alleged failure to consider cancelling or suspending </w:t>
      </w:r>
      <w:r w:rsidR="00B95B44">
        <w:t xml:space="preserve">the provisional registration of </w:t>
      </w:r>
      <w:r w:rsidR="000247DE">
        <w:t>the Three Vaccines</w:t>
      </w:r>
      <w:r w:rsidR="003B16C8">
        <w:t xml:space="preserve">; </w:t>
      </w:r>
      <w:r w:rsidR="00351246">
        <w:t>and</w:t>
      </w:r>
    </w:p>
    <w:p w14:paraId="34D9BA06" w14:textId="78AA576C" w:rsidR="00A01E6E" w:rsidRDefault="00FC7B51" w:rsidP="00FC7B51">
      <w:pPr>
        <w:pStyle w:val="ListNo1"/>
        <w:numPr>
          <w:ilvl w:val="0"/>
          <w:numId w:val="0"/>
        </w:numPr>
        <w:tabs>
          <w:tab w:val="left" w:pos="720"/>
        </w:tabs>
        <w:ind w:left="720" w:hanging="720"/>
      </w:pPr>
      <w:r>
        <w:t>(3)</w:t>
      </w:r>
      <w:r>
        <w:tab/>
      </w:r>
      <w:r w:rsidR="00441850">
        <w:t>AVN did not stand to gain any financ</w:t>
      </w:r>
      <w:r w:rsidR="00A01E6E">
        <w:t>ial benefit from the proceeding</w:t>
      </w:r>
      <w:r w:rsidR="00351246">
        <w:t>.</w:t>
      </w:r>
    </w:p>
    <w:p w14:paraId="1FC2522C" w14:textId="00E1FCC2" w:rsidR="001272AC" w:rsidRDefault="00FC7B51" w:rsidP="00FC7B51">
      <w:pPr>
        <w:pStyle w:val="ParaNumbering"/>
        <w:numPr>
          <w:ilvl w:val="0"/>
          <w:numId w:val="0"/>
        </w:numPr>
        <w:ind w:hanging="720"/>
      </w:pPr>
      <w:r>
        <w:rPr>
          <w:sz w:val="20"/>
        </w:rPr>
        <w:t>15</w:t>
      </w:r>
      <w:r>
        <w:rPr>
          <w:sz w:val="20"/>
        </w:rPr>
        <w:tab/>
      </w:r>
      <w:r w:rsidR="00441850">
        <w:t>However, in</w:t>
      </w:r>
      <w:r w:rsidR="002A34BD">
        <w:t xml:space="preserve"> my view, these considerations</w:t>
      </w:r>
      <w:r w:rsidR="00EC66B0">
        <w:t>, whether considered separately or cumulatively,</w:t>
      </w:r>
      <w:r w:rsidR="002A34BD">
        <w:t xml:space="preserve"> do not warrant a departure from the ordinary rule as to costs in the exercise of </w:t>
      </w:r>
      <w:r w:rsidR="00F168EB">
        <w:t xml:space="preserve">the </w:t>
      </w:r>
      <w:r w:rsidR="00A327F5">
        <w:t xml:space="preserve">court’s </w:t>
      </w:r>
      <w:r w:rsidR="002A34BD">
        <w:t>discretion</w:t>
      </w:r>
      <w:r w:rsidR="00351246">
        <w:t>, given the strength of the countervailing considerations</w:t>
      </w:r>
      <w:r w:rsidR="002A34BD">
        <w:t>.</w:t>
      </w:r>
      <w:r w:rsidR="00441850">
        <w:t xml:space="preserve">  </w:t>
      </w:r>
    </w:p>
    <w:p w14:paraId="7CD71B3A" w14:textId="0199B5D9" w:rsidR="00A01E6E" w:rsidRDefault="00FC7B51" w:rsidP="00FC7B51">
      <w:pPr>
        <w:pStyle w:val="ParaNumbering"/>
        <w:numPr>
          <w:ilvl w:val="0"/>
          <w:numId w:val="0"/>
        </w:numPr>
        <w:ind w:hanging="720"/>
      </w:pPr>
      <w:r>
        <w:rPr>
          <w:sz w:val="20"/>
        </w:rPr>
        <w:t>16</w:t>
      </w:r>
      <w:r>
        <w:rPr>
          <w:sz w:val="20"/>
        </w:rPr>
        <w:tab/>
      </w:r>
      <w:r w:rsidR="00441850" w:rsidRPr="005E76D4">
        <w:rPr>
          <w:b/>
          <w:i/>
        </w:rPr>
        <w:t>First</w:t>
      </w:r>
      <w:r w:rsidR="00441850">
        <w:t xml:space="preserve">, </w:t>
      </w:r>
      <w:r w:rsidR="00A01E6E">
        <w:t xml:space="preserve">the Secretary was wholly successful in resisting the joinder application and on its notice of objection to competency, resulting in the dismissal of the </w:t>
      </w:r>
      <w:r w:rsidR="00C22C8D">
        <w:t>A</w:t>
      </w:r>
      <w:r w:rsidR="00896D00">
        <w:t>pplication</w:t>
      </w:r>
      <w:r w:rsidR="00A01E6E">
        <w:t xml:space="preserve"> on the ground that the Court lacked jurisdiction.  </w:t>
      </w:r>
      <w:r w:rsidR="005657BC">
        <w:t>Conversely, AVN was wholly unsuccessful in the proceeding.</w:t>
      </w:r>
    </w:p>
    <w:p w14:paraId="633C7794" w14:textId="39014AA7" w:rsidR="00A91AF4" w:rsidRDefault="00FC7B51" w:rsidP="00FC7B51">
      <w:pPr>
        <w:pStyle w:val="ParaNumbering"/>
        <w:numPr>
          <w:ilvl w:val="0"/>
          <w:numId w:val="0"/>
        </w:numPr>
        <w:ind w:hanging="720"/>
      </w:pPr>
      <w:r>
        <w:rPr>
          <w:sz w:val="20"/>
        </w:rPr>
        <w:t>17</w:t>
      </w:r>
      <w:r>
        <w:rPr>
          <w:sz w:val="20"/>
        </w:rPr>
        <w:tab/>
      </w:r>
      <w:r w:rsidR="00A01E6E" w:rsidRPr="005E76D4">
        <w:rPr>
          <w:b/>
          <w:i/>
        </w:rPr>
        <w:t>Secondly</w:t>
      </w:r>
      <w:r w:rsidR="00A01E6E">
        <w:t xml:space="preserve">, the decision in </w:t>
      </w:r>
      <w:r w:rsidR="00A01E6E">
        <w:rPr>
          <w:i/>
        </w:rPr>
        <w:t xml:space="preserve">AVN (No. 1) </w:t>
      </w:r>
      <w:r w:rsidR="00A01E6E">
        <w:t xml:space="preserve">applied </w:t>
      </w:r>
      <w:r w:rsidR="00EC5103">
        <w:t>well-</w:t>
      </w:r>
      <w:r w:rsidR="00A01E6E">
        <w:t xml:space="preserve">established principles as to standing and whether a person is a </w:t>
      </w:r>
      <w:r w:rsidR="00674B3E">
        <w:t>“</w:t>
      </w:r>
      <w:r w:rsidR="00A01E6E" w:rsidRPr="005E76D4">
        <w:rPr>
          <w:i/>
        </w:rPr>
        <w:t>person aggrieved</w:t>
      </w:r>
      <w:r w:rsidR="00674B3E">
        <w:t>” for the purposes of the ADJR Act</w:t>
      </w:r>
      <w:r w:rsidR="00A01E6E">
        <w:t xml:space="preserve">.  The fact that those principles fell to be considered in the context of the TG Act </w:t>
      </w:r>
      <w:r w:rsidR="005657BC">
        <w:t xml:space="preserve">and raised issues of statutory construction does not </w:t>
      </w:r>
      <w:r w:rsidR="00EC5103">
        <w:t xml:space="preserve">mean that the </w:t>
      </w:r>
      <w:r w:rsidR="000A0CF0">
        <w:t xml:space="preserve">proceeding </w:t>
      </w:r>
      <w:r w:rsidR="00EC5103">
        <w:t xml:space="preserve">raised novel </w:t>
      </w:r>
      <w:r w:rsidR="00A91AF4">
        <w:t>questions of law</w:t>
      </w:r>
      <w:r w:rsidR="00303849">
        <w:t xml:space="preserve"> or matters of high public importance, or that the proceeding should be regarded as a test case</w:t>
      </w:r>
      <w:r w:rsidR="00A91AF4">
        <w:t xml:space="preserve">.  As the Secretary submitted, almost all administrative law cases give rise to issues of statutory construction.  </w:t>
      </w:r>
      <w:r w:rsidR="00303849">
        <w:t xml:space="preserve">In any event, the fact that a proceeding might be characterised as a test case does not of itself suffice to justify depriving the successful party of the usual order for costs: </w:t>
      </w:r>
      <w:r w:rsidR="00303849">
        <w:rPr>
          <w:i/>
        </w:rPr>
        <w:t xml:space="preserve">Booth v Bosworth </w:t>
      </w:r>
      <w:r w:rsidR="00303849">
        <w:t>[2001] FCA 1718 at [26] (Branson J).</w:t>
      </w:r>
    </w:p>
    <w:p w14:paraId="21C45E2E" w14:textId="094F0F0E" w:rsidR="00351246" w:rsidRDefault="00FC7B51" w:rsidP="00FC7B51">
      <w:pPr>
        <w:pStyle w:val="ParaNumbering"/>
        <w:numPr>
          <w:ilvl w:val="0"/>
          <w:numId w:val="0"/>
        </w:numPr>
        <w:ind w:hanging="720"/>
      </w:pPr>
      <w:r>
        <w:rPr>
          <w:sz w:val="20"/>
        </w:rPr>
        <w:t>18</w:t>
      </w:r>
      <w:r>
        <w:rPr>
          <w:sz w:val="20"/>
        </w:rPr>
        <w:tab/>
      </w:r>
      <w:r w:rsidR="00303849">
        <w:rPr>
          <w:b/>
          <w:i/>
        </w:rPr>
        <w:t>Thirdly</w:t>
      </w:r>
      <w:r w:rsidR="00A91AF4">
        <w:t xml:space="preserve">, </w:t>
      </w:r>
      <w:r w:rsidR="00351246">
        <w:t>as the proceeding was incompetent, none of the substantive issues which AVN sought to litigate in furtherance of its view that public law obligations had not been</w:t>
      </w:r>
      <w:r w:rsidR="005767FE">
        <w:t>,</w:t>
      </w:r>
      <w:r w:rsidR="00F80B0C">
        <w:t xml:space="preserve"> or were not being,</w:t>
      </w:r>
      <w:r w:rsidR="00351246">
        <w:t xml:space="preserve"> discharged as required by law were reached.  For the same reason, the Court </w:t>
      </w:r>
      <w:r w:rsidR="00A95701">
        <w:t>was not required to</w:t>
      </w:r>
      <w:r w:rsidR="00FB6461">
        <w:t xml:space="preserve"> </w:t>
      </w:r>
      <w:r w:rsidR="00351246">
        <w:t>form any concluded view on whether any of the grounds for relief were arguable in fact or in law</w:t>
      </w:r>
      <w:r w:rsidR="00400756">
        <w:t xml:space="preserve"> (RS [8], [11])</w:t>
      </w:r>
      <w:r w:rsidR="00351246">
        <w:t>.  The bare assertion</w:t>
      </w:r>
      <w:r w:rsidR="00B040FA">
        <w:t xml:space="preserve"> by AVN in its submissions</w:t>
      </w:r>
      <w:r w:rsidR="00351246">
        <w:t xml:space="preserve"> that the grounds were arguable theref</w:t>
      </w:r>
      <w:r w:rsidR="003A1109">
        <w:t>ore takes the matter no further.</w:t>
      </w:r>
    </w:p>
    <w:p w14:paraId="055DD664" w14:textId="7A8988B9" w:rsidR="000A17D0" w:rsidRDefault="00FC7B51" w:rsidP="00FC7B51">
      <w:pPr>
        <w:pStyle w:val="ParaNumbering"/>
        <w:numPr>
          <w:ilvl w:val="0"/>
          <w:numId w:val="0"/>
        </w:numPr>
        <w:ind w:hanging="720"/>
      </w:pPr>
      <w:r>
        <w:rPr>
          <w:sz w:val="20"/>
        </w:rPr>
        <w:t>19</w:t>
      </w:r>
      <w:r>
        <w:rPr>
          <w:sz w:val="20"/>
        </w:rPr>
        <w:tab/>
      </w:r>
      <w:r w:rsidR="00A95701">
        <w:rPr>
          <w:b/>
          <w:i/>
        </w:rPr>
        <w:t>Fourthly</w:t>
      </w:r>
      <w:r w:rsidR="00BB658B">
        <w:t xml:space="preserve">, </w:t>
      </w:r>
      <w:r w:rsidR="007A0DD8">
        <w:t>contrary to AVN's submission, the decision in</w:t>
      </w:r>
      <w:r w:rsidR="00A95701">
        <w:t xml:space="preserve"> </w:t>
      </w:r>
      <w:r w:rsidR="00A95701">
        <w:rPr>
          <w:i/>
        </w:rPr>
        <w:t>AVN (No. 1)</w:t>
      </w:r>
      <w:r w:rsidR="00A95701">
        <w:t xml:space="preserve"> </w:t>
      </w:r>
      <w:r w:rsidR="000A17D0">
        <w:t>does not stand for the proposition</w:t>
      </w:r>
      <w:r w:rsidR="008560BE">
        <w:t xml:space="preserve"> put by AVN</w:t>
      </w:r>
      <w:r w:rsidR="000A17D0">
        <w:t xml:space="preserve"> that only “</w:t>
      </w:r>
      <w:r w:rsidR="000A17D0" w:rsidRPr="003D3B8D">
        <w:rPr>
          <w:i/>
        </w:rPr>
        <w:t>large pharmaceutical companies or the companies holding the provisional registrations will likely have standing</w:t>
      </w:r>
      <w:r w:rsidR="007A0DD8">
        <w:t>”</w:t>
      </w:r>
      <w:r w:rsidR="000A17D0" w:rsidRPr="003D3B8D">
        <w:t>.</w:t>
      </w:r>
      <w:r w:rsidR="000A17D0">
        <w:t xml:space="preserve">  It decided </w:t>
      </w:r>
      <w:r w:rsidR="000A17D0" w:rsidRPr="00374477">
        <w:rPr>
          <w:b/>
          <w:i/>
        </w:rPr>
        <w:t>only</w:t>
      </w:r>
      <w:r w:rsidR="000A17D0">
        <w:t xml:space="preserve"> that AVN and Mr Neugebauer had </w:t>
      </w:r>
      <w:r w:rsidR="006B1A84">
        <w:t>eac</w:t>
      </w:r>
      <w:r w:rsidR="006D2B99">
        <w:t>h</w:t>
      </w:r>
      <w:r w:rsidR="006B1A84">
        <w:t xml:space="preserve"> </w:t>
      </w:r>
      <w:r w:rsidR="000A17D0">
        <w:t xml:space="preserve">failed to establish a sufficient interest in the relief sought as a </w:t>
      </w:r>
      <w:r w:rsidR="000A17D0">
        <w:lastRenderedPageBreak/>
        <w:t>consequence of which they lacked standing and were not a “</w:t>
      </w:r>
      <w:r w:rsidR="000A17D0" w:rsidRPr="003E287E">
        <w:rPr>
          <w:i/>
        </w:rPr>
        <w:t>person aggrieved</w:t>
      </w:r>
      <w:r w:rsidR="000A17D0">
        <w:t xml:space="preserve">” in the statutory sense.  </w:t>
      </w:r>
    </w:p>
    <w:p w14:paraId="7BF67F55" w14:textId="2588574A" w:rsidR="00B73265" w:rsidRDefault="00FC7B51" w:rsidP="00FC7B51">
      <w:pPr>
        <w:pStyle w:val="ParaNumbering"/>
        <w:numPr>
          <w:ilvl w:val="0"/>
          <w:numId w:val="0"/>
        </w:numPr>
        <w:ind w:hanging="720"/>
      </w:pPr>
      <w:r>
        <w:rPr>
          <w:sz w:val="20"/>
        </w:rPr>
        <w:t>20</w:t>
      </w:r>
      <w:r>
        <w:rPr>
          <w:sz w:val="20"/>
        </w:rPr>
        <w:tab/>
      </w:r>
      <w:r w:rsidR="00B73265">
        <w:rPr>
          <w:b/>
          <w:i/>
        </w:rPr>
        <w:t>Finally</w:t>
      </w:r>
      <w:r w:rsidR="00B73265">
        <w:t xml:space="preserve">, </w:t>
      </w:r>
      <w:r w:rsidR="007217F4">
        <w:t>as the Secretary submitted</w:t>
      </w:r>
      <w:r w:rsidR="00242C7B">
        <w:t xml:space="preserve">, the fact that the AVN stood to gain no financial benefit from the proceeding </w:t>
      </w:r>
      <w:r w:rsidR="0038401F">
        <w:t xml:space="preserve">does not suffice to displace the usual order as to costs: </w:t>
      </w:r>
      <w:r w:rsidR="0038401F">
        <w:rPr>
          <w:i/>
        </w:rPr>
        <w:t xml:space="preserve">Ruddock (No 2) </w:t>
      </w:r>
      <w:r w:rsidR="0038401F">
        <w:t xml:space="preserve">at </w:t>
      </w:r>
      <w:r w:rsidR="00FF1654">
        <w:t xml:space="preserve">[18] (Black CJ and French J). </w:t>
      </w:r>
    </w:p>
    <w:p w14:paraId="3A7FEB3F" w14:textId="6282EED3" w:rsidR="00351246" w:rsidRDefault="00FC7B51" w:rsidP="00FC7B51">
      <w:pPr>
        <w:pStyle w:val="Heading6"/>
        <w:numPr>
          <w:ilvl w:val="0"/>
          <w:numId w:val="0"/>
        </w:numPr>
        <w:tabs>
          <w:tab w:val="left" w:pos="1134"/>
        </w:tabs>
        <w:ind w:left="1134" w:hanging="1134"/>
      </w:pPr>
      <w:bookmarkStart w:id="29" w:name="_Ref106626511"/>
      <w:r>
        <w:t>2.3</w:t>
      </w:r>
      <w:r>
        <w:tab/>
      </w:r>
      <w:r w:rsidR="00B040FA">
        <w:t>Alleged disentitling conduct by the respondent</w:t>
      </w:r>
      <w:bookmarkEnd w:id="29"/>
    </w:p>
    <w:p w14:paraId="5870A408" w14:textId="1B3BDC66" w:rsidR="00C2259A" w:rsidRDefault="00FC7B51" w:rsidP="00FC7B51">
      <w:pPr>
        <w:pStyle w:val="ParaNumbering"/>
        <w:numPr>
          <w:ilvl w:val="0"/>
          <w:numId w:val="0"/>
        </w:numPr>
        <w:ind w:hanging="720"/>
      </w:pPr>
      <w:r>
        <w:rPr>
          <w:sz w:val="20"/>
        </w:rPr>
        <w:t>21</w:t>
      </w:r>
      <w:r>
        <w:rPr>
          <w:sz w:val="20"/>
        </w:rPr>
        <w:tab/>
      </w:r>
      <w:r w:rsidR="0014057C">
        <w:t xml:space="preserve">As earlier foreshadowed, AVN also contended that the Secretary’s conduct </w:t>
      </w:r>
      <w:r w:rsidR="00D37041">
        <w:t>in failing</w:t>
      </w:r>
      <w:r w:rsidR="007F13CC">
        <w:t xml:space="preserve"> to respond</w:t>
      </w:r>
      <w:r w:rsidR="00E50F57">
        <w:t xml:space="preserve"> to </w:t>
      </w:r>
      <w:r w:rsidR="00D37041">
        <w:t>its</w:t>
      </w:r>
      <w:r w:rsidR="00E50F57">
        <w:t xml:space="preserve"> </w:t>
      </w:r>
      <w:r w:rsidR="00962113">
        <w:t>correspondence and the demands contained therein</w:t>
      </w:r>
      <w:r w:rsidR="002C351F">
        <w:t xml:space="preserve"> </w:t>
      </w:r>
      <w:r w:rsidR="00D37041">
        <w:t xml:space="preserve">did not meet the Commonwealth’s model litigant </w:t>
      </w:r>
      <w:r w:rsidR="006F0BCC">
        <w:t>obligations</w:t>
      </w:r>
      <w:r w:rsidR="00D37041">
        <w:t xml:space="preserve"> and</w:t>
      </w:r>
      <w:r w:rsidR="002C351F">
        <w:t xml:space="preserve"> </w:t>
      </w:r>
      <w:r w:rsidR="00D37041">
        <w:t>was “</w:t>
      </w:r>
      <w:r w:rsidR="00D37041" w:rsidRPr="00374477">
        <w:rPr>
          <w:i/>
        </w:rPr>
        <w:t>disentitling conduct</w:t>
      </w:r>
      <w:r w:rsidR="00D37041">
        <w:t>” warranting</w:t>
      </w:r>
      <w:r w:rsidR="002C351F">
        <w:t xml:space="preserve"> </w:t>
      </w:r>
      <w:r w:rsidR="00D37041">
        <w:t xml:space="preserve">a </w:t>
      </w:r>
      <w:r w:rsidR="002C351F">
        <w:t>departure from the usual order as to costs</w:t>
      </w:r>
      <w:r w:rsidR="00642BE7">
        <w:t xml:space="preserve"> (see AS [24]-[28]; AR [8]-[11])</w:t>
      </w:r>
      <w:r w:rsidR="002C351F">
        <w:t xml:space="preserve">.  </w:t>
      </w:r>
      <w:r w:rsidR="005824F4">
        <w:t xml:space="preserve">The model litigant obligations in the case of the Commonwealth </w:t>
      </w:r>
      <w:r w:rsidR="00405CFC">
        <w:t xml:space="preserve">and its agencies </w:t>
      </w:r>
      <w:r w:rsidR="005824F4">
        <w:t xml:space="preserve">are spelt out in a series of obligations contained in </w:t>
      </w:r>
      <w:r w:rsidR="005D2BB5">
        <w:t>A</w:t>
      </w:r>
      <w:r w:rsidR="005824F4">
        <w:t xml:space="preserve">ppendix B to the </w:t>
      </w:r>
      <w:r w:rsidR="005824F4" w:rsidRPr="00D37041">
        <w:rPr>
          <w:i/>
        </w:rPr>
        <w:t>Legal Services Directions 2017</w:t>
      </w:r>
      <w:r w:rsidR="005824F4">
        <w:t xml:space="preserve"> issued by the Attorney-General pursuant to s  55ZF of the </w:t>
      </w:r>
      <w:r w:rsidR="005824F4" w:rsidRPr="001A7B73">
        <w:t xml:space="preserve">Judiciary Act </w:t>
      </w:r>
      <w:r w:rsidR="005824F4">
        <w:t xml:space="preserve">(the </w:t>
      </w:r>
      <w:r w:rsidR="005824F4" w:rsidRPr="00B85939">
        <w:rPr>
          <w:b/>
        </w:rPr>
        <w:t xml:space="preserve">Model Litigant </w:t>
      </w:r>
      <w:r w:rsidR="00C2259A" w:rsidRPr="00B85939">
        <w:rPr>
          <w:b/>
        </w:rPr>
        <w:t>Guidelines</w:t>
      </w:r>
      <w:r w:rsidR="005824F4">
        <w:t>).  It is trite that an allegation of such seriousness should not be lightly made</w:t>
      </w:r>
      <w:r w:rsidR="00C2259A">
        <w:t xml:space="preserve"> and</w:t>
      </w:r>
      <w:r w:rsidR="00405CFC">
        <w:t xml:space="preserve"> </w:t>
      </w:r>
      <w:r w:rsidR="005824F4">
        <w:t>should be properly particularised</w:t>
      </w:r>
      <w:r w:rsidR="00C2259A">
        <w:t>.</w:t>
      </w:r>
      <w:r w:rsidR="00A80A73">
        <w:t xml:space="preserve">    </w:t>
      </w:r>
    </w:p>
    <w:p w14:paraId="7451A011" w14:textId="0D9EAC12" w:rsidR="0014057C" w:rsidRDefault="00FC7B51" w:rsidP="00FC7B51">
      <w:pPr>
        <w:pStyle w:val="ParaNumbering"/>
        <w:numPr>
          <w:ilvl w:val="0"/>
          <w:numId w:val="0"/>
        </w:numPr>
        <w:ind w:hanging="720"/>
      </w:pPr>
      <w:r>
        <w:rPr>
          <w:sz w:val="20"/>
        </w:rPr>
        <w:t>22</w:t>
      </w:r>
      <w:r>
        <w:rPr>
          <w:sz w:val="20"/>
        </w:rPr>
        <w:tab/>
      </w:r>
      <w:r w:rsidR="0014057C">
        <w:t xml:space="preserve">There are two grounds </w:t>
      </w:r>
      <w:r w:rsidR="008B5553">
        <w:t>on which</w:t>
      </w:r>
      <w:r w:rsidR="0014057C">
        <w:t xml:space="preserve"> this allegation</w:t>
      </w:r>
      <w:r w:rsidR="008B5553">
        <w:t xml:space="preserve"> is apparently made</w:t>
      </w:r>
      <w:r w:rsidR="00AA464F">
        <w:t>.</w:t>
      </w:r>
    </w:p>
    <w:p w14:paraId="7A76B238" w14:textId="4696433F" w:rsidR="009A302A" w:rsidRDefault="00FC7B51" w:rsidP="00FC7B51">
      <w:pPr>
        <w:pStyle w:val="ListNo1"/>
        <w:numPr>
          <w:ilvl w:val="0"/>
          <w:numId w:val="0"/>
        </w:numPr>
        <w:tabs>
          <w:tab w:val="left" w:pos="720"/>
        </w:tabs>
        <w:ind w:left="720" w:hanging="720"/>
      </w:pPr>
      <w:r>
        <w:t>(1)</w:t>
      </w:r>
      <w:r>
        <w:tab/>
      </w:r>
      <w:r w:rsidR="008B5553">
        <w:t xml:space="preserve">First, </w:t>
      </w:r>
      <w:r w:rsidR="00C2259A">
        <w:t>AVN allege</w:t>
      </w:r>
      <w:r w:rsidR="002019F4">
        <w:t>d</w:t>
      </w:r>
      <w:r w:rsidR="00C2259A">
        <w:t xml:space="preserve"> that t</w:t>
      </w:r>
      <w:r w:rsidR="0014057C">
        <w:t>he Secretary “</w:t>
      </w:r>
      <w:r w:rsidR="0014057C" w:rsidRPr="008F1397">
        <w:rPr>
          <w:i/>
        </w:rPr>
        <w:t xml:space="preserve">ignored the repeated clear warnings contained in the AVN’s letters to the effect that AVN would instigate the proceeding if </w:t>
      </w:r>
      <w:r w:rsidR="00791345" w:rsidRPr="008F1397">
        <w:rPr>
          <w:i/>
        </w:rPr>
        <w:t xml:space="preserve">he </w:t>
      </w:r>
      <w:r w:rsidR="0014057C" w:rsidRPr="008F1397">
        <w:rPr>
          <w:i/>
        </w:rPr>
        <w:t>did not respond adequately, which</w:t>
      </w:r>
      <w:r w:rsidR="00AA464F" w:rsidRPr="008F1397">
        <w:rPr>
          <w:i/>
        </w:rPr>
        <w:t xml:space="preserve"> </w:t>
      </w:r>
      <w:r w:rsidR="0014057C" w:rsidRPr="008F1397">
        <w:rPr>
          <w:i/>
        </w:rPr>
        <w:t>he did not (see letters dated 18 June 2021, 26</w:t>
      </w:r>
      <w:r w:rsidR="00791345" w:rsidRPr="008F1397">
        <w:rPr>
          <w:i/>
        </w:rPr>
        <w:t> </w:t>
      </w:r>
      <w:r w:rsidR="0014057C" w:rsidRPr="008F1397">
        <w:rPr>
          <w:i/>
        </w:rPr>
        <w:t>November</w:t>
      </w:r>
      <w:r w:rsidR="00791345" w:rsidRPr="008F1397">
        <w:rPr>
          <w:i/>
        </w:rPr>
        <w:t> </w:t>
      </w:r>
      <w:r w:rsidR="0014057C" w:rsidRPr="008F1397">
        <w:rPr>
          <w:i/>
        </w:rPr>
        <w:t>2021, 16 December 2021 and 5 January 2022)</w:t>
      </w:r>
      <w:r w:rsidR="0014057C" w:rsidRPr="00102890">
        <w:t>.</w:t>
      </w:r>
      <w:r w:rsidR="0014057C" w:rsidRPr="00374477">
        <w:t>”</w:t>
      </w:r>
      <w:r w:rsidR="00AA464F">
        <w:t xml:space="preserve"> </w:t>
      </w:r>
      <w:r w:rsidR="00D87AB0">
        <w:t xml:space="preserve"> </w:t>
      </w:r>
    </w:p>
    <w:p w14:paraId="36A00CE6" w14:textId="71362E2C" w:rsidR="008B5553" w:rsidRDefault="00FC7B51" w:rsidP="00FC7B51">
      <w:pPr>
        <w:pStyle w:val="ListNo1"/>
        <w:numPr>
          <w:ilvl w:val="0"/>
          <w:numId w:val="0"/>
        </w:numPr>
        <w:tabs>
          <w:tab w:val="left" w:pos="720"/>
        </w:tabs>
        <w:ind w:left="720" w:hanging="720"/>
      </w:pPr>
      <w:r>
        <w:t>(2)</w:t>
      </w:r>
      <w:r>
        <w:tab/>
      </w:r>
      <w:r w:rsidR="008B5553" w:rsidRPr="00BC382A">
        <w:t xml:space="preserve">Secondly, </w:t>
      </w:r>
      <w:r w:rsidR="006038D3" w:rsidRPr="00BC382A">
        <w:t xml:space="preserve">in respect of the mandamus case, </w:t>
      </w:r>
      <w:r w:rsidR="008B5553" w:rsidRPr="00BC382A">
        <w:t>AVN contend</w:t>
      </w:r>
      <w:r w:rsidR="007217F4" w:rsidRPr="00BC382A">
        <w:t>ed</w:t>
      </w:r>
      <w:r w:rsidR="008B5553" w:rsidRPr="00BC382A">
        <w:t xml:space="preserve"> that “</w:t>
      </w:r>
      <w:r w:rsidR="008B5553" w:rsidRPr="00BC382A">
        <w:rPr>
          <w:i/>
        </w:rPr>
        <w:t>once the proceeding commenced</w:t>
      </w:r>
      <w:r w:rsidR="006038D3" w:rsidRPr="00BC382A">
        <w:rPr>
          <w:i/>
        </w:rPr>
        <w:t xml:space="preserve"> …</w:t>
      </w:r>
      <w:r w:rsidR="008B5553" w:rsidRPr="00BC382A">
        <w:rPr>
          <w:i/>
        </w:rPr>
        <w:t xml:space="preserve"> the respondent failed, persistently and without </w:t>
      </w:r>
      <w:r w:rsidR="008B5553" w:rsidRPr="00BC382A">
        <w:rPr>
          <w:i/>
          <w:u w:val="single"/>
        </w:rPr>
        <w:t>reasonable</w:t>
      </w:r>
      <w:r w:rsidR="008B5553" w:rsidRPr="00BC382A">
        <w:rPr>
          <w:i/>
        </w:rPr>
        <w:t xml:space="preserve"> explanation</w:t>
      </w:r>
      <w:r w:rsidR="008B5553" w:rsidRPr="008B5553">
        <w:rPr>
          <w:i/>
        </w:rPr>
        <w:t>, to respond to t</w:t>
      </w:r>
      <w:r w:rsidR="00D92FD5">
        <w:rPr>
          <w:i/>
        </w:rPr>
        <w:t>he AVN</w:t>
      </w:r>
      <w:r w:rsidR="00657064">
        <w:rPr>
          <w:i/>
        </w:rPr>
        <w:t>’</w:t>
      </w:r>
      <w:r w:rsidR="00D92FD5">
        <w:rPr>
          <w:i/>
        </w:rPr>
        <w:t>s requests that he ‘cause</w:t>
      </w:r>
      <w:r w:rsidR="008B5553" w:rsidRPr="008B5553">
        <w:rPr>
          <w:i/>
        </w:rPr>
        <w:t xml:space="preserve"> to be maintained’ the Register</w:t>
      </w:r>
      <w:r w:rsidR="008B5553">
        <w:t>”</w:t>
      </w:r>
      <w:r w:rsidR="00657064">
        <w:t xml:space="preserve">, </w:t>
      </w:r>
      <w:r w:rsidR="00BC382A">
        <w:t xml:space="preserve">being </w:t>
      </w:r>
      <w:r w:rsidR="00657064">
        <w:t>requests</w:t>
      </w:r>
      <w:r w:rsidR="00B97606">
        <w:t xml:space="preserve"> which were said to be “</w:t>
      </w:r>
      <w:r w:rsidR="00B97606">
        <w:rPr>
          <w:i/>
        </w:rPr>
        <w:t xml:space="preserve">substantiated </w:t>
      </w:r>
      <w:r w:rsidR="00B97606" w:rsidRPr="00B97606">
        <w:rPr>
          <w:i/>
        </w:rPr>
        <w:t>by ample unchallenged evidence of adverse events</w:t>
      </w:r>
      <w:r w:rsidR="00B97606">
        <w:t>”</w:t>
      </w:r>
      <w:r w:rsidR="008B5553">
        <w:t xml:space="preserve"> (AS [25]</w:t>
      </w:r>
      <w:r w:rsidR="00BC47F9">
        <w:t>,</w:t>
      </w:r>
      <w:r w:rsidR="008B5553">
        <w:t xml:space="preserve"> emphasis in the original).  AVN alleges that the respondent’s (alleged) silence </w:t>
      </w:r>
      <w:r w:rsidR="00A032C3">
        <w:t xml:space="preserve">in failing to reveal his position (or to explain the alleged failure) </w:t>
      </w:r>
      <w:r w:rsidR="008B5553">
        <w:t>in response to those request</w:t>
      </w:r>
      <w:r w:rsidR="00B97606">
        <w:t>s</w:t>
      </w:r>
      <w:r w:rsidR="008B5553">
        <w:t xml:space="preserve"> caused costs to be incurred in the </w:t>
      </w:r>
      <w:r w:rsidR="00426E37">
        <w:t>M</w:t>
      </w:r>
      <w:r w:rsidR="008B5553">
        <w:t xml:space="preserve">andamus </w:t>
      </w:r>
      <w:r w:rsidR="00EF3DF8">
        <w:t>C</w:t>
      </w:r>
      <w:r w:rsidR="008B5553">
        <w:t xml:space="preserve">ase which could otherwise have been avoided as it left the applicants and the Court unaware of whether the Secretary would do anything in light of the </w:t>
      </w:r>
      <w:r w:rsidR="00492696">
        <w:t xml:space="preserve">occurrence of </w:t>
      </w:r>
      <w:r w:rsidR="008B5553">
        <w:t>adverse events</w:t>
      </w:r>
      <w:r w:rsidR="00492696">
        <w:t xml:space="preserve"> in AVN’s view</w:t>
      </w:r>
      <w:r w:rsidR="00A032C3">
        <w:t xml:space="preserve"> (see AS [26]-[27]; AR [9])</w:t>
      </w:r>
      <w:r w:rsidR="008B5553">
        <w:t>.  In turn, AVN alleges that that silence “</w:t>
      </w:r>
      <w:r w:rsidR="008B5553" w:rsidRPr="008B5553">
        <w:rPr>
          <w:i/>
        </w:rPr>
        <w:t xml:space="preserve">falls below a reasonable standard of a government department responsible for administering the TG Act and the standard imposed by the model litigant guidelines </w:t>
      </w:r>
      <w:r w:rsidR="008B5553" w:rsidRPr="008B5553">
        <w:rPr>
          <w:i/>
        </w:rPr>
        <w:lastRenderedPageBreak/>
        <w:t>because there was an unexplained lack of transparency</w:t>
      </w:r>
      <w:r w:rsidR="008B5553">
        <w:t>”</w:t>
      </w:r>
      <w:r w:rsidR="008446BB">
        <w:t xml:space="preserve"> (AS [28])</w:t>
      </w:r>
      <w:r w:rsidR="009D6B92">
        <w:t>,</w:t>
      </w:r>
      <w:r w:rsidR="008B5553">
        <w:t xml:space="preserve"> referring for example to clauses 1 and 2 of the Model Litigant Guidelines.</w:t>
      </w:r>
    </w:p>
    <w:p w14:paraId="351BA574" w14:textId="0FE221C5" w:rsidR="00FB2032" w:rsidRDefault="00FC7B51" w:rsidP="00FC7B51">
      <w:pPr>
        <w:pStyle w:val="ParaNumbering"/>
        <w:numPr>
          <w:ilvl w:val="0"/>
          <w:numId w:val="0"/>
        </w:numPr>
        <w:ind w:hanging="720"/>
      </w:pPr>
      <w:r>
        <w:rPr>
          <w:sz w:val="20"/>
        </w:rPr>
        <w:t>23</w:t>
      </w:r>
      <w:r>
        <w:rPr>
          <w:sz w:val="20"/>
        </w:rPr>
        <w:tab/>
      </w:r>
      <w:r w:rsidR="00A80A73">
        <w:t xml:space="preserve">The contention that the Secretary should be deprived of an order for costs in his favour on either ground is, with respect, without merit.  </w:t>
      </w:r>
    </w:p>
    <w:p w14:paraId="00A71B13" w14:textId="0A2A328E" w:rsidR="00AE3ECF" w:rsidRDefault="00FC7B51" w:rsidP="00FC7B51">
      <w:pPr>
        <w:pStyle w:val="ParaNumbering"/>
        <w:numPr>
          <w:ilvl w:val="0"/>
          <w:numId w:val="0"/>
        </w:numPr>
        <w:ind w:hanging="720"/>
      </w:pPr>
      <w:r>
        <w:rPr>
          <w:sz w:val="20"/>
        </w:rPr>
        <w:t>24</w:t>
      </w:r>
      <w:r>
        <w:rPr>
          <w:sz w:val="20"/>
        </w:rPr>
        <w:tab/>
      </w:r>
      <w:r w:rsidR="00FB2032" w:rsidRPr="00BC382A">
        <w:rPr>
          <w:b/>
          <w:i/>
        </w:rPr>
        <w:t>First</w:t>
      </w:r>
      <w:r w:rsidR="00FB2032">
        <w:t>,</w:t>
      </w:r>
      <w:r w:rsidR="00A80A73">
        <w:t xml:space="preserve"> no proper particulars </w:t>
      </w:r>
      <w:r w:rsidR="00FB2032">
        <w:t xml:space="preserve">of the alleged non-compliance with the Model Litigant Guidelines </w:t>
      </w:r>
      <w:r w:rsidR="00A80A73">
        <w:t xml:space="preserve">were given.  </w:t>
      </w:r>
      <w:r w:rsidR="00FB2032">
        <w:t>Among other deficiencies</w:t>
      </w:r>
      <w:r w:rsidR="007A22DB">
        <w:t xml:space="preserve"> in </w:t>
      </w:r>
      <w:r w:rsidR="00BC382A">
        <w:t>AVN’s</w:t>
      </w:r>
      <w:r w:rsidR="007A22DB">
        <w:t xml:space="preserve"> submission</w:t>
      </w:r>
      <w:r w:rsidR="00BC382A">
        <w:t>s on this issue</w:t>
      </w:r>
      <w:r w:rsidR="00FB2032">
        <w:t>, it</w:t>
      </w:r>
      <w:r w:rsidR="00A80A73">
        <w:t xml:space="preserve"> is not sufficient </w:t>
      </w:r>
      <w:r w:rsidR="00FB2032">
        <w:t>merely</w:t>
      </w:r>
      <w:r w:rsidR="00A80A73">
        <w:t xml:space="preserve"> to refer, “</w:t>
      </w:r>
      <w:r w:rsidR="00A80A73" w:rsidRPr="00A80A73">
        <w:rPr>
          <w:i/>
        </w:rPr>
        <w:t>for example</w:t>
      </w:r>
      <w:r w:rsidR="00A80A73">
        <w:t>”</w:t>
      </w:r>
      <w:r w:rsidR="007A1743">
        <w:t>,</w:t>
      </w:r>
      <w:r w:rsidR="00A80A73">
        <w:t xml:space="preserve"> to clauses 1 and 2 of the Model Litigant Guidelines</w:t>
      </w:r>
      <w:r w:rsidR="00282054">
        <w:t>,</w:t>
      </w:r>
      <w:r w:rsidR="00A80A73">
        <w:t xml:space="preserve"> which respectively</w:t>
      </w:r>
      <w:r w:rsidR="000027D0">
        <w:t xml:space="preserve"> </w:t>
      </w:r>
      <w:r w:rsidR="00A80A73">
        <w:t xml:space="preserve">impose the obligation on the Commonwealth and Commonwealth agencies to behave as model litigants in the conduct of litigation and describe what is entailed </w:t>
      </w:r>
      <w:r w:rsidR="00940055">
        <w:t>by</w:t>
      </w:r>
      <w:r w:rsidR="00A80A73">
        <w:t xml:space="preserve"> that obligation</w:t>
      </w:r>
      <w:r w:rsidR="00FB2032">
        <w:t xml:space="preserve"> (cf AS [28]).</w:t>
      </w:r>
    </w:p>
    <w:p w14:paraId="25C669C4" w14:textId="711D3FEC" w:rsidR="00DE6F9B" w:rsidRDefault="00FC7B51" w:rsidP="00FC7B51">
      <w:pPr>
        <w:pStyle w:val="ParaNumbering"/>
        <w:numPr>
          <w:ilvl w:val="0"/>
          <w:numId w:val="0"/>
        </w:numPr>
        <w:ind w:hanging="720"/>
      </w:pPr>
      <w:r>
        <w:rPr>
          <w:sz w:val="20"/>
        </w:rPr>
        <w:t>25</w:t>
      </w:r>
      <w:r>
        <w:rPr>
          <w:sz w:val="20"/>
        </w:rPr>
        <w:tab/>
      </w:r>
      <w:r w:rsidR="00FB2032" w:rsidRPr="00293134">
        <w:rPr>
          <w:b/>
          <w:i/>
        </w:rPr>
        <w:t>Secondly</w:t>
      </w:r>
      <w:r w:rsidR="00DE6F9B">
        <w:t>, AVN contend</w:t>
      </w:r>
      <w:r w:rsidR="009C0604">
        <w:t>ed</w:t>
      </w:r>
      <w:r w:rsidR="00DE6F9B">
        <w:t xml:space="preserve"> that the Secretary ignored repeated clear warnings in its letters that it would commence proceedings “</w:t>
      </w:r>
      <w:r w:rsidR="00DE6F9B" w:rsidRPr="00102890">
        <w:rPr>
          <w:i/>
        </w:rPr>
        <w:t>if he did not respond adequately, which he did not</w:t>
      </w:r>
      <w:r w:rsidR="00DE6F9B">
        <w:t>” (AS</w:t>
      </w:r>
      <w:r w:rsidR="00DD11F9">
        <w:t> </w:t>
      </w:r>
      <w:r w:rsidR="00DE6F9B">
        <w:t>[24]).  In its reply submissions, AVN effectively contend</w:t>
      </w:r>
      <w:r w:rsidR="009C0604">
        <w:t>ed</w:t>
      </w:r>
      <w:r w:rsidR="00DE6F9B">
        <w:t xml:space="preserve"> that</w:t>
      </w:r>
      <w:r w:rsidR="00B905CE">
        <w:t xml:space="preserve"> through its series of letters to the respondent,</w:t>
      </w:r>
      <w:r w:rsidR="00DE6F9B">
        <w:t xml:space="preserve"> it sought an explanation by the Secretary of his position, namely “</w:t>
      </w:r>
      <w:r w:rsidR="00DE6F9B" w:rsidRPr="00102890">
        <w:rPr>
          <w:i/>
        </w:rPr>
        <w:t xml:space="preserve">whether he had taken, or was taking, or would take </w:t>
      </w:r>
      <w:r w:rsidR="00DE6F9B" w:rsidRPr="00102890">
        <w:rPr>
          <w:b/>
          <w:i/>
        </w:rPr>
        <w:t>any</w:t>
      </w:r>
      <w:r w:rsidR="00DE6F9B" w:rsidRPr="00102890">
        <w:rPr>
          <w:i/>
        </w:rPr>
        <w:t xml:space="preserve"> step to discharge his </w:t>
      </w:r>
      <w:r w:rsidR="00DE6F9B" w:rsidRPr="00102890">
        <w:rPr>
          <w:b/>
          <w:i/>
        </w:rPr>
        <w:t>duty</w:t>
      </w:r>
      <w:r w:rsidR="00DE6F9B" w:rsidRPr="00102890">
        <w:rPr>
          <w:i/>
        </w:rPr>
        <w:t xml:space="preserve"> to </w:t>
      </w:r>
      <w:r w:rsidR="00DE6F9B" w:rsidRPr="00102890">
        <w:rPr>
          <w:i/>
          <w:u w:val="single"/>
        </w:rPr>
        <w:t>maintain</w:t>
      </w:r>
      <w:r w:rsidR="00DE6F9B" w:rsidRPr="00102890">
        <w:rPr>
          <w:i/>
        </w:rPr>
        <w:t xml:space="preserve"> the register</w:t>
      </w:r>
      <w:r w:rsidR="00DE6F9B">
        <w:t>” (AR [9]</w:t>
      </w:r>
      <w:r w:rsidR="009C0604">
        <w:t xml:space="preserve">, emphasis in </w:t>
      </w:r>
      <w:r w:rsidR="001957A9">
        <w:t xml:space="preserve">the </w:t>
      </w:r>
      <w:r w:rsidR="009C0604">
        <w:t>original</w:t>
      </w:r>
      <w:r w:rsidR="00DE6F9B">
        <w:t>).</w:t>
      </w:r>
      <w:r w:rsidR="003917C9">
        <w:t xml:space="preserve">  It is said that </w:t>
      </w:r>
      <w:r w:rsidR="00E55D41">
        <w:t>the Secretary’s failure to respond</w:t>
      </w:r>
      <w:r w:rsidR="003917C9">
        <w:t xml:space="preserve"> is not </w:t>
      </w:r>
      <w:r w:rsidR="005521FC">
        <w:t>“</w:t>
      </w:r>
      <w:r w:rsidR="003917C9" w:rsidRPr="00102890">
        <w:rPr>
          <w:i/>
        </w:rPr>
        <w:t xml:space="preserve">the proper conduct of </w:t>
      </w:r>
      <w:r w:rsidR="005521FC" w:rsidRPr="00102890">
        <w:rPr>
          <w:i/>
        </w:rPr>
        <w:t>an</w:t>
      </w:r>
      <w:r w:rsidR="003917C9" w:rsidRPr="00102890">
        <w:rPr>
          <w:i/>
        </w:rPr>
        <w:t xml:space="preserve"> Australian statutory agency charged with administering objectives such as health and safety</w:t>
      </w:r>
      <w:r w:rsidR="005521FC">
        <w:t>”</w:t>
      </w:r>
      <w:r w:rsidR="00D10CBE">
        <w:t xml:space="preserve"> (AR [11])</w:t>
      </w:r>
      <w:r w:rsidR="003917C9">
        <w:t>.</w:t>
      </w:r>
    </w:p>
    <w:p w14:paraId="47D45115" w14:textId="7A8F9392" w:rsidR="00DC7AA4" w:rsidRDefault="00FC7B51" w:rsidP="00FC7B51">
      <w:pPr>
        <w:pStyle w:val="ParaNumbering"/>
        <w:numPr>
          <w:ilvl w:val="0"/>
          <w:numId w:val="0"/>
        </w:numPr>
        <w:ind w:hanging="720"/>
      </w:pPr>
      <w:r>
        <w:rPr>
          <w:sz w:val="20"/>
        </w:rPr>
        <w:t>26</w:t>
      </w:r>
      <w:r>
        <w:rPr>
          <w:sz w:val="20"/>
        </w:rPr>
        <w:tab/>
      </w:r>
      <w:r w:rsidR="00DE6F9B" w:rsidRPr="00102890">
        <w:t xml:space="preserve">That submission does not however </w:t>
      </w:r>
      <w:r w:rsidR="003917C9" w:rsidRPr="00102890">
        <w:t xml:space="preserve">reflect what was in fact being asked of the </w:t>
      </w:r>
      <w:r w:rsidR="001D36EE">
        <w:t xml:space="preserve">Secretary and the </w:t>
      </w:r>
      <w:r w:rsidR="007B2BF3">
        <w:t xml:space="preserve">then </w:t>
      </w:r>
      <w:r w:rsidR="003917C9" w:rsidRPr="00102890">
        <w:t xml:space="preserve">Minister </w:t>
      </w:r>
      <w:r w:rsidR="001D36EE">
        <w:t xml:space="preserve">for Health and Aged Care (the </w:t>
      </w:r>
      <w:r w:rsidR="001D36EE" w:rsidRPr="00102890">
        <w:rPr>
          <w:b/>
        </w:rPr>
        <w:t>Minister</w:t>
      </w:r>
      <w:r w:rsidR="001D36EE">
        <w:t xml:space="preserve">) </w:t>
      </w:r>
      <w:r w:rsidR="003917C9" w:rsidRPr="00102890">
        <w:t>in the correspondence on which AVN seeks to rely.</w:t>
      </w:r>
      <w:r w:rsidR="003917C9">
        <w:rPr>
          <w:b/>
        </w:rPr>
        <w:t xml:space="preserve">  </w:t>
      </w:r>
    </w:p>
    <w:p w14:paraId="37375F8B" w14:textId="2E5B2B0E" w:rsidR="00DC7AA4" w:rsidRDefault="00FC7B51" w:rsidP="00FC7B51">
      <w:pPr>
        <w:pStyle w:val="ParaNumbering"/>
        <w:numPr>
          <w:ilvl w:val="0"/>
          <w:numId w:val="0"/>
        </w:numPr>
        <w:ind w:hanging="720"/>
      </w:pPr>
      <w:r>
        <w:rPr>
          <w:sz w:val="20"/>
        </w:rPr>
        <w:t>27</w:t>
      </w:r>
      <w:r>
        <w:rPr>
          <w:sz w:val="20"/>
        </w:rPr>
        <w:tab/>
      </w:r>
      <w:r w:rsidR="009219C3">
        <w:t>The</w:t>
      </w:r>
      <w:r w:rsidR="00A61174">
        <w:t xml:space="preserve"> course of correspondence commences with a letter from Ms Dorey on behalf of AVN </w:t>
      </w:r>
      <w:r w:rsidR="00DE6F9B">
        <w:t xml:space="preserve">on 27 May 2021 to the Minister </w:t>
      </w:r>
      <w:r w:rsidR="001D36EE" w:rsidRPr="007E19E2">
        <w:t>about its concerns around the COVID-19 vaccination rollout “</w:t>
      </w:r>
      <w:r w:rsidR="001D36EE" w:rsidRPr="007E19E2">
        <w:rPr>
          <w:i/>
        </w:rPr>
        <w:t xml:space="preserve">demand[ing], based on the precautionary principle, that the current mRNA and viral vector vaccination experimental trial be </w:t>
      </w:r>
      <w:r w:rsidR="001D36EE" w:rsidRPr="00102890">
        <w:rPr>
          <w:b/>
          <w:i/>
        </w:rPr>
        <w:t>immediately halted</w:t>
      </w:r>
      <w:r w:rsidR="001D36EE" w:rsidRPr="007E19E2">
        <w:rPr>
          <w:i/>
        </w:rPr>
        <w:t xml:space="preserve"> until independent scientific safety and efficacy evaluations can be unequivocally established</w:t>
      </w:r>
      <w:r w:rsidR="001D36EE" w:rsidRPr="007E19E2">
        <w:t>” (</w:t>
      </w:r>
      <w:r w:rsidR="00BC7A98">
        <w:t>M</w:t>
      </w:r>
      <w:r w:rsidR="001D36EE">
        <w:t xml:space="preserve">CB1167) (emphasis added).  </w:t>
      </w:r>
      <w:r w:rsidR="00BC7A98">
        <w:t>B</w:t>
      </w:r>
      <w:r w:rsidR="00BC7A98" w:rsidRPr="007E19E2">
        <w:t>y letter dated 8 June 2021</w:t>
      </w:r>
      <w:r w:rsidR="00BC7A98">
        <w:t xml:space="preserve"> </w:t>
      </w:r>
      <w:r w:rsidR="00BC7A98" w:rsidRPr="007E19E2">
        <w:t>on behalf of the Minister</w:t>
      </w:r>
      <w:r w:rsidR="00BC7A98">
        <w:t>,</w:t>
      </w:r>
      <w:r w:rsidR="0096309A">
        <w:t xml:space="preserve"> </w:t>
      </w:r>
      <w:r w:rsidR="00BC7A98">
        <w:t>t</w:t>
      </w:r>
      <w:r w:rsidR="00A61174">
        <w:t xml:space="preserve">he </w:t>
      </w:r>
      <w:r w:rsidR="001D36EE" w:rsidRPr="007E19E2">
        <w:t>Director of the Department of Health</w:t>
      </w:r>
      <w:r w:rsidR="001D36EE">
        <w:t xml:space="preserve"> (the </w:t>
      </w:r>
      <w:r w:rsidR="001D36EE" w:rsidRPr="00A61174">
        <w:rPr>
          <w:b/>
        </w:rPr>
        <w:t>Director</w:t>
      </w:r>
      <w:r w:rsidR="001D36EE">
        <w:t>)</w:t>
      </w:r>
      <w:r w:rsidR="001D36EE" w:rsidRPr="007E19E2">
        <w:t xml:space="preserve"> </w:t>
      </w:r>
      <w:r w:rsidR="001D36EE">
        <w:t>responded in detail</w:t>
      </w:r>
      <w:r w:rsidR="00BC7A98">
        <w:t xml:space="preserve"> to the various allegations made by Ms Dorey</w:t>
      </w:r>
      <w:r w:rsidR="001D36EE">
        <w:t xml:space="preserve"> </w:t>
      </w:r>
      <w:r w:rsidR="00BC7A98">
        <w:t>by outlining</w:t>
      </w:r>
      <w:r w:rsidR="001D36EE">
        <w:t xml:space="preserve"> the kinds of steps being taken by the Government to monitor</w:t>
      </w:r>
      <w:r w:rsidR="0076029E">
        <w:t xml:space="preserve"> and communicate with the public about</w:t>
      </w:r>
      <w:r w:rsidR="001D36EE">
        <w:t xml:space="preserve"> COVID-19 vaccine safety and effectiveness</w:t>
      </w:r>
      <w:r w:rsidR="0076029E">
        <w:t>,</w:t>
      </w:r>
      <w:r w:rsidR="001D36EE">
        <w:t xml:space="preserve"> </w:t>
      </w:r>
      <w:r w:rsidR="000E309F">
        <w:t xml:space="preserve">and the non-mandatory nature of the Government’s COVID-19 vaccination program </w:t>
      </w:r>
      <w:r w:rsidR="001D36EE">
        <w:t>(</w:t>
      </w:r>
      <w:r w:rsidR="00BC7A98">
        <w:t>M</w:t>
      </w:r>
      <w:r w:rsidR="001D36EE">
        <w:t xml:space="preserve">CB1171).  </w:t>
      </w:r>
    </w:p>
    <w:p w14:paraId="62592F9C" w14:textId="4ADD7EED" w:rsidR="00A61174" w:rsidRDefault="00FC7B51" w:rsidP="00FC7B51">
      <w:pPr>
        <w:pStyle w:val="ParaNumbering"/>
        <w:numPr>
          <w:ilvl w:val="0"/>
          <w:numId w:val="0"/>
        </w:numPr>
        <w:ind w:hanging="720"/>
      </w:pPr>
      <w:r>
        <w:rPr>
          <w:sz w:val="20"/>
        </w:rPr>
        <w:lastRenderedPageBreak/>
        <w:t>28</w:t>
      </w:r>
      <w:r>
        <w:rPr>
          <w:sz w:val="20"/>
        </w:rPr>
        <w:tab/>
      </w:r>
      <w:r w:rsidR="009219C3">
        <w:t>R</w:t>
      </w:r>
      <w:r w:rsidR="00A61174">
        <w:t>eference was made to litigation being instituted absent compliance with AVN</w:t>
      </w:r>
      <w:r w:rsidR="00F65694">
        <w:t>’</w:t>
      </w:r>
      <w:r w:rsidR="00A61174">
        <w:t xml:space="preserve">s demands for the first time in the letter </w:t>
      </w:r>
      <w:r w:rsidR="00F65694">
        <w:t>dated</w:t>
      </w:r>
      <w:r w:rsidR="00A61174">
        <w:t xml:space="preserve"> 18 June 2021 from Ms Dorey to the Minister</w:t>
      </w:r>
      <w:r w:rsidR="009C247F">
        <w:t>, which</w:t>
      </w:r>
      <w:r w:rsidR="00A61174">
        <w:t xml:space="preserve"> complain</w:t>
      </w:r>
      <w:r w:rsidR="009C247F">
        <w:t>ed</w:t>
      </w:r>
      <w:r w:rsidR="00A61174">
        <w:t xml:space="preserve"> that the Director</w:t>
      </w:r>
      <w:r w:rsidR="009219C3">
        <w:t>’s</w:t>
      </w:r>
      <w:r w:rsidR="00A61174">
        <w:t xml:space="preserve"> response had not addressed the issues in her earlier letter and made various demands:</w:t>
      </w:r>
    </w:p>
    <w:p w14:paraId="128464E4" w14:textId="77777777" w:rsidR="00A61174" w:rsidRPr="007E19E2" w:rsidRDefault="00A61174" w:rsidP="00102890">
      <w:pPr>
        <w:pStyle w:val="Quote1"/>
      </w:pPr>
      <w:r w:rsidRPr="007E19E2">
        <w:t>Our demands are as follows:</w:t>
      </w:r>
    </w:p>
    <w:p w14:paraId="7C1F43E9" w14:textId="77777777" w:rsidR="00A61174" w:rsidRDefault="00A61174" w:rsidP="00102890">
      <w:pPr>
        <w:pStyle w:val="Quote1"/>
      </w:pPr>
      <w:r w:rsidRPr="007E19E2">
        <w:t xml:space="preserve">1- An immediate cessation of the experimental </w:t>
      </w:r>
      <w:r>
        <w:t>COVID</w:t>
      </w:r>
      <w:r w:rsidRPr="007E19E2">
        <w:t xml:space="preserve"> shots until such time as they have been independently and scientifically tested for the long-term efficacy, safety and ability to prevent transmission</w:t>
      </w:r>
      <w:r>
        <w:t xml:space="preserve"> </w:t>
      </w:r>
      <w:r w:rsidRPr="007E19E2">
        <w:t>…</w:t>
      </w:r>
    </w:p>
    <w:p w14:paraId="567D2D9D" w14:textId="77777777" w:rsidR="00A61174" w:rsidRPr="007E19E2" w:rsidRDefault="00A61174" w:rsidP="00102890">
      <w:pPr>
        <w:pStyle w:val="Quote1"/>
      </w:pPr>
      <w:r>
        <w:t>…</w:t>
      </w:r>
    </w:p>
    <w:p w14:paraId="1B4BD680" w14:textId="77777777" w:rsidR="00A61174" w:rsidRDefault="00A61174" w:rsidP="00102890">
      <w:pPr>
        <w:pStyle w:val="Quote1"/>
      </w:pPr>
      <w:r w:rsidRPr="007E19E2">
        <w:t xml:space="preserve">3- </w:t>
      </w:r>
      <w:r>
        <w:t>T</w:t>
      </w:r>
      <w:r w:rsidRPr="007E19E2">
        <w:t>hese trial</w:t>
      </w:r>
      <w:r>
        <w:t>s</w:t>
      </w:r>
      <w:r w:rsidRPr="007E19E2">
        <w:t xml:space="preserve"> should be designed, conducted and overseen by independent scientists who have no ties </w:t>
      </w:r>
      <w:r>
        <w:t>-</w:t>
      </w:r>
      <w:r w:rsidRPr="007E19E2">
        <w:t xml:space="preserve"> financial or otherwise </w:t>
      </w:r>
      <w:r>
        <w:t>-</w:t>
      </w:r>
      <w:r w:rsidRPr="007E19E2">
        <w:t xml:space="preserve"> with any sector of the pharmaceutical industry.  </w:t>
      </w:r>
    </w:p>
    <w:p w14:paraId="4770A6A5" w14:textId="77777777" w:rsidR="00A61174" w:rsidRPr="007E19E2" w:rsidRDefault="00A61174" w:rsidP="00102890">
      <w:pPr>
        <w:pStyle w:val="Quote1"/>
      </w:pPr>
      <w:r>
        <w:t>(</w:t>
      </w:r>
      <w:r w:rsidR="00851C7B">
        <w:t>M</w:t>
      </w:r>
      <w:r>
        <w:t>CB1174.)</w:t>
      </w:r>
    </w:p>
    <w:p w14:paraId="47B5DFFB" w14:textId="20F3FA7E" w:rsidR="00A61174" w:rsidRDefault="00FC7B51" w:rsidP="00FC7B51">
      <w:pPr>
        <w:pStyle w:val="ParaNumbering"/>
        <w:numPr>
          <w:ilvl w:val="0"/>
          <w:numId w:val="0"/>
        </w:numPr>
        <w:ind w:hanging="720"/>
      </w:pPr>
      <w:r>
        <w:rPr>
          <w:sz w:val="20"/>
        </w:rPr>
        <w:t>29</w:t>
      </w:r>
      <w:r>
        <w:rPr>
          <w:sz w:val="20"/>
        </w:rPr>
        <w:tab/>
      </w:r>
      <w:r w:rsidR="00A61174" w:rsidRPr="007E19E2">
        <w:t>Th</w:t>
      </w:r>
      <w:r w:rsidR="009E7064">
        <w:t>at</w:t>
      </w:r>
      <w:r w:rsidR="00A61174" w:rsidRPr="007E19E2">
        <w:t xml:space="preserve"> letter further asked for a response within seven days of receipt of the letter</w:t>
      </w:r>
      <w:r w:rsidR="00A61174">
        <w:t>, absent which AVN would consider legal action against the Minister</w:t>
      </w:r>
      <w:r w:rsidR="009E7064">
        <w:t>,</w:t>
      </w:r>
      <w:r w:rsidR="00A61174">
        <w:t xml:space="preserve"> </w:t>
      </w:r>
      <w:r w:rsidR="00A61174" w:rsidRPr="007E19E2">
        <w:t xml:space="preserve">and stated that in the absence of a response addressing </w:t>
      </w:r>
      <w:r w:rsidR="00A61174">
        <w:t xml:space="preserve">AVN’s </w:t>
      </w:r>
      <w:r w:rsidR="00A61174" w:rsidRPr="007E19E2">
        <w:t>concerns</w:t>
      </w:r>
      <w:r w:rsidR="00A61174">
        <w:t xml:space="preserve">  “</w:t>
      </w:r>
      <w:r w:rsidR="00A61174" w:rsidRPr="00102890">
        <w:rPr>
          <w:i/>
        </w:rPr>
        <w:t>we would feel that we have no option but to consider legal action against you yourself, Minister Hunt, in the form of a private prosecution and against the Government to seek injunctive relief to immediately stop this current experiment on the Australian population</w:t>
      </w:r>
      <w:r w:rsidR="00A61174">
        <w:t>”</w:t>
      </w:r>
      <w:r w:rsidR="00760982" w:rsidRPr="00760982">
        <w:t xml:space="preserve"> </w:t>
      </w:r>
      <w:r w:rsidR="00760982">
        <w:t>(MCB1175)</w:t>
      </w:r>
      <w:r w:rsidR="00A61174">
        <w:t xml:space="preserve">.  </w:t>
      </w:r>
    </w:p>
    <w:p w14:paraId="275E8A6F" w14:textId="6EBE98AC" w:rsidR="00AE7A72" w:rsidRDefault="00FC7B51" w:rsidP="00FC7B51">
      <w:pPr>
        <w:pStyle w:val="ParaNumbering"/>
        <w:numPr>
          <w:ilvl w:val="0"/>
          <w:numId w:val="0"/>
        </w:numPr>
        <w:ind w:hanging="720"/>
      </w:pPr>
      <w:r>
        <w:rPr>
          <w:sz w:val="20"/>
        </w:rPr>
        <w:t>30</w:t>
      </w:r>
      <w:r>
        <w:rPr>
          <w:sz w:val="20"/>
        </w:rPr>
        <w:tab/>
      </w:r>
      <w:r w:rsidR="00A61174">
        <w:t>With respect to this letter,</w:t>
      </w:r>
      <w:r w:rsidR="00AE7A72">
        <w:t xml:space="preserve"> </w:t>
      </w:r>
      <w:r w:rsidR="00820F3D">
        <w:t xml:space="preserve">the </w:t>
      </w:r>
      <w:r w:rsidR="00AE7A72">
        <w:t>following points can be made.</w:t>
      </w:r>
    </w:p>
    <w:p w14:paraId="70F18D87" w14:textId="6E9F4247" w:rsidR="00AE7A72" w:rsidRDefault="00FC7B51" w:rsidP="00FC7B51">
      <w:pPr>
        <w:pStyle w:val="ListNo1"/>
        <w:numPr>
          <w:ilvl w:val="0"/>
          <w:numId w:val="0"/>
        </w:numPr>
        <w:tabs>
          <w:tab w:val="left" w:pos="720"/>
        </w:tabs>
        <w:ind w:left="720" w:hanging="720"/>
      </w:pPr>
      <w:r>
        <w:t>(1)</w:t>
      </w:r>
      <w:r>
        <w:tab/>
      </w:r>
      <w:r w:rsidR="00AE7A72">
        <w:t>I</w:t>
      </w:r>
      <w:r w:rsidR="00A61174">
        <w:t>t is not directed to the Secretary</w:t>
      </w:r>
      <w:r w:rsidR="00AE7A72">
        <w:t xml:space="preserve">.  </w:t>
      </w:r>
    </w:p>
    <w:p w14:paraId="7DCF5FA3" w14:textId="05D2449F" w:rsidR="00AE7A72" w:rsidRDefault="00FC7B51" w:rsidP="00FC7B51">
      <w:pPr>
        <w:pStyle w:val="ListNo1"/>
        <w:numPr>
          <w:ilvl w:val="0"/>
          <w:numId w:val="0"/>
        </w:numPr>
        <w:tabs>
          <w:tab w:val="left" w:pos="720"/>
        </w:tabs>
        <w:ind w:left="720" w:hanging="720"/>
      </w:pPr>
      <w:r>
        <w:t>(2)</w:t>
      </w:r>
      <w:r>
        <w:tab/>
      </w:r>
      <w:r w:rsidR="00AE7A72">
        <w:t xml:space="preserve">The </w:t>
      </w:r>
      <w:r w:rsidR="00A61174">
        <w:t xml:space="preserve">proceedings foreshadowed against the Minister are of </w:t>
      </w:r>
      <w:r w:rsidR="00EC66B0">
        <w:t>a</w:t>
      </w:r>
      <w:r w:rsidR="00A61174">
        <w:t xml:space="preserve"> different nature from those in fact instituted</w:t>
      </w:r>
      <w:r w:rsidR="00AE7A72">
        <w:t xml:space="preserve"> subsequently</w:t>
      </w:r>
      <w:r w:rsidR="00A61174">
        <w:t xml:space="preserve"> against the Secretary.  </w:t>
      </w:r>
    </w:p>
    <w:p w14:paraId="1794EA20" w14:textId="5C4608F3" w:rsidR="00A61174" w:rsidRDefault="00FC7B51" w:rsidP="00FC7B51">
      <w:pPr>
        <w:pStyle w:val="ListNo1"/>
        <w:numPr>
          <w:ilvl w:val="0"/>
          <w:numId w:val="0"/>
        </w:numPr>
        <w:tabs>
          <w:tab w:val="left" w:pos="720"/>
        </w:tabs>
        <w:ind w:left="720" w:hanging="720"/>
      </w:pPr>
      <w:r>
        <w:t>(3)</w:t>
      </w:r>
      <w:r>
        <w:tab/>
      </w:r>
      <w:r w:rsidR="00AE7A72">
        <w:t xml:space="preserve">The </w:t>
      </w:r>
      <w:r w:rsidR="00A61174">
        <w:t>demand is not for an explanation of the Minister’s position (or that of the Secretary) with respect to matters raised by AVN</w:t>
      </w:r>
      <w:r w:rsidR="00820F3D">
        <w:t>,</w:t>
      </w:r>
      <w:r w:rsidR="00A61174">
        <w:t xml:space="preserve"> but for the administration of the vaccines to cease and a differently designed “</w:t>
      </w:r>
      <w:r w:rsidR="00A61174" w:rsidRPr="00102890">
        <w:rPr>
          <w:i/>
        </w:rPr>
        <w:t>trial</w:t>
      </w:r>
      <w:r w:rsidR="00A61174">
        <w:t>” implemented.</w:t>
      </w:r>
    </w:p>
    <w:p w14:paraId="46E6957B" w14:textId="286F98CF" w:rsidR="00A61174" w:rsidRDefault="00FC7B51" w:rsidP="00FC7B51">
      <w:pPr>
        <w:pStyle w:val="ParaNumbering"/>
        <w:numPr>
          <w:ilvl w:val="0"/>
          <w:numId w:val="0"/>
        </w:numPr>
        <w:ind w:hanging="720"/>
      </w:pPr>
      <w:r>
        <w:rPr>
          <w:sz w:val="20"/>
        </w:rPr>
        <w:t>31</w:t>
      </w:r>
      <w:r>
        <w:rPr>
          <w:sz w:val="20"/>
        </w:rPr>
        <w:tab/>
      </w:r>
      <w:r w:rsidR="00A61174">
        <w:t xml:space="preserve">Again, that letter was responded to in a detailed letter </w:t>
      </w:r>
      <w:r w:rsidR="00820F3D">
        <w:t>dated 1 August 2021</w:t>
      </w:r>
      <w:r w:rsidR="008309B3">
        <w:t xml:space="preserve"> </w:t>
      </w:r>
      <w:r w:rsidR="00A61174">
        <w:t xml:space="preserve">from </w:t>
      </w:r>
      <w:r w:rsidR="00A61174" w:rsidRPr="007E19E2">
        <w:t>the Acting Assistant Secretary of the COVID-19 Vaccine Task</w:t>
      </w:r>
      <w:r w:rsidR="00820F3D">
        <w:t>f</w:t>
      </w:r>
      <w:r w:rsidR="00A61174" w:rsidRPr="007E19E2">
        <w:t>orce on behalf of the Minister</w:t>
      </w:r>
      <w:r w:rsidR="00A61174">
        <w:t xml:space="preserve">.  That letter advised of the Government’s </w:t>
      </w:r>
      <w:r w:rsidR="00E65336">
        <w:t>“</w:t>
      </w:r>
      <w:r w:rsidR="00A61174" w:rsidRPr="00102890">
        <w:rPr>
          <w:i/>
        </w:rPr>
        <w:t xml:space="preserve">evidence-based approach to </w:t>
      </w:r>
      <w:r w:rsidR="00AE7A72" w:rsidRPr="00102890">
        <w:rPr>
          <w:i/>
        </w:rPr>
        <w:t>COVID</w:t>
      </w:r>
      <w:r w:rsidR="00306A8C" w:rsidRPr="00102890">
        <w:rPr>
          <w:i/>
        </w:rPr>
        <w:noBreakHyphen/>
      </w:r>
      <w:r w:rsidR="00A61174" w:rsidRPr="00102890">
        <w:rPr>
          <w:i/>
        </w:rPr>
        <w:t>19</w:t>
      </w:r>
      <w:r w:rsidR="00E65336">
        <w:t>”</w:t>
      </w:r>
      <w:r w:rsidR="00A61174">
        <w:t xml:space="preserve"> and the steps being taken</w:t>
      </w:r>
      <w:r w:rsidR="00EA095A">
        <w:t xml:space="preserve"> by the </w:t>
      </w:r>
      <w:r w:rsidR="00B65E1E">
        <w:t>Therapeutic Goods Administration (</w:t>
      </w:r>
      <w:r w:rsidR="00B65E1E" w:rsidRPr="00102890">
        <w:rPr>
          <w:b/>
        </w:rPr>
        <w:t>TGA</w:t>
      </w:r>
      <w:r w:rsidR="00B65E1E">
        <w:t>)</w:t>
      </w:r>
      <w:r w:rsidR="00A61174">
        <w:t xml:space="preserve"> to monitor the safety of va</w:t>
      </w:r>
      <w:r w:rsidR="00AE7A72">
        <w:t xml:space="preserve">ccines following registration (see further </w:t>
      </w:r>
      <w:r w:rsidR="00AE7A72" w:rsidRPr="00102890">
        <w:rPr>
          <w:i/>
        </w:rPr>
        <w:t>AVN (No. 1)</w:t>
      </w:r>
      <w:r w:rsidR="00AE7A72">
        <w:t xml:space="preserve"> at [37]-[38]).  </w:t>
      </w:r>
      <w:r w:rsidR="009219C3">
        <w:t xml:space="preserve">The Secretary cannot be criticised for not responding as the letter was not addressed to him. </w:t>
      </w:r>
    </w:p>
    <w:p w14:paraId="170170F1" w14:textId="74638198" w:rsidR="00C156BC" w:rsidRDefault="00FC7B51" w:rsidP="00FC7B51">
      <w:pPr>
        <w:pStyle w:val="ParaNumbering"/>
        <w:numPr>
          <w:ilvl w:val="0"/>
          <w:numId w:val="0"/>
        </w:numPr>
        <w:ind w:hanging="720"/>
      </w:pPr>
      <w:r>
        <w:rPr>
          <w:sz w:val="20"/>
        </w:rPr>
        <w:lastRenderedPageBreak/>
        <w:t>32</w:t>
      </w:r>
      <w:r>
        <w:rPr>
          <w:sz w:val="20"/>
        </w:rPr>
        <w:tab/>
      </w:r>
      <w:r w:rsidR="00AE7A72">
        <w:t>Ms Dorey wrote on behalf of AVN for the first time to the Secretary on 26 November 2021</w:t>
      </w:r>
      <w:r w:rsidR="00A105BA">
        <w:t xml:space="preserve"> (</w:t>
      </w:r>
      <w:r w:rsidR="009631B8">
        <w:t>M</w:t>
      </w:r>
      <w:r w:rsidR="00A105BA" w:rsidRPr="007E19E2">
        <w:t>CB1179)</w:t>
      </w:r>
      <w:r w:rsidR="00AE7A72">
        <w:t xml:space="preserve"> repeating her concerns</w:t>
      </w:r>
      <w:r w:rsidR="00AE7A72" w:rsidRPr="00AE7A72">
        <w:t xml:space="preserve"> </w:t>
      </w:r>
      <w:r w:rsidR="00AE7A72" w:rsidRPr="007E19E2">
        <w:t>about the COVID-19 vaccines and</w:t>
      </w:r>
      <w:r w:rsidR="00C156BC">
        <w:t xml:space="preserve"> made the following demands</w:t>
      </w:r>
      <w:r w:rsidR="00225059">
        <w:t xml:space="preserve"> (at MCB</w:t>
      </w:r>
      <w:r w:rsidR="00752D38">
        <w:t>1182)</w:t>
      </w:r>
      <w:r w:rsidR="00C156BC">
        <w:t>:</w:t>
      </w:r>
    </w:p>
    <w:p w14:paraId="2D569E8D" w14:textId="54B9BBB9" w:rsidR="00C156BC" w:rsidRPr="00102890" w:rsidRDefault="00FC7B51" w:rsidP="00FC7B51">
      <w:pPr>
        <w:pStyle w:val="ListNo1"/>
        <w:numPr>
          <w:ilvl w:val="0"/>
          <w:numId w:val="0"/>
        </w:numPr>
        <w:tabs>
          <w:tab w:val="left" w:pos="720"/>
        </w:tabs>
        <w:ind w:left="720" w:hanging="720"/>
      </w:pPr>
      <w:r w:rsidRPr="00102890">
        <w:t>(1)</w:t>
      </w:r>
      <w:r w:rsidRPr="00102890">
        <w:tab/>
      </w:r>
      <w:r w:rsidR="00C156BC">
        <w:t>an immediate cancellation of the “</w:t>
      </w:r>
      <w:r w:rsidR="00C156BC" w:rsidRPr="00102890">
        <w:rPr>
          <w:i/>
        </w:rPr>
        <w:t>experimental COVID shot</w:t>
      </w:r>
      <w:r w:rsidR="00C156BC" w:rsidRPr="00C156BC">
        <w:rPr>
          <w:i/>
        </w:rPr>
        <w:t>s</w:t>
      </w:r>
      <w:r w:rsidR="00C156BC">
        <w:rPr>
          <w:i/>
        </w:rPr>
        <w:t xml:space="preserve">… </w:t>
      </w:r>
      <w:r w:rsidR="009A302A">
        <w:rPr>
          <w:i/>
        </w:rPr>
        <w:t>u</w:t>
      </w:r>
      <w:r w:rsidR="00C156BC">
        <w:rPr>
          <w:i/>
        </w:rPr>
        <w:t>ntil such time as these jabs have been independently and scientifically tested for the</w:t>
      </w:r>
      <w:r w:rsidR="00BB472D">
        <w:rPr>
          <w:i/>
        </w:rPr>
        <w:t>ir</w:t>
      </w:r>
      <w:r w:rsidR="00C156BC">
        <w:rPr>
          <w:i/>
        </w:rPr>
        <w:t xml:space="preserve"> long-term efficacy, safety and ability to prevent transmission”; </w:t>
      </w:r>
      <w:r w:rsidR="00C156BC">
        <w:t>and</w:t>
      </w:r>
    </w:p>
    <w:p w14:paraId="6F0D4842" w14:textId="64F63770" w:rsidR="00C156BC" w:rsidRDefault="00FC7B51" w:rsidP="00FC7B51">
      <w:pPr>
        <w:pStyle w:val="ListNo1"/>
        <w:numPr>
          <w:ilvl w:val="0"/>
          <w:numId w:val="0"/>
        </w:numPr>
        <w:tabs>
          <w:tab w:val="left" w:pos="720"/>
        </w:tabs>
        <w:ind w:left="720" w:hanging="720"/>
      </w:pPr>
      <w:r>
        <w:t>(2)</w:t>
      </w:r>
      <w:r>
        <w:tab/>
      </w:r>
      <w:r w:rsidR="00DB0A22">
        <w:t>t</w:t>
      </w:r>
      <w:r w:rsidR="00C156BC">
        <w:t>he conduct of scientific studies using animals first, before “</w:t>
      </w:r>
      <w:r w:rsidR="00C156BC" w:rsidRPr="00102890">
        <w:rPr>
          <w:i/>
        </w:rPr>
        <w:t>moving on to small groups of humans who are made aware that they are part of a clinical trial, prior to larger Phase III studies which use an inert placebo</w:t>
      </w:r>
      <w:r w:rsidR="00C156BC">
        <w:t>”, with the trials being designed, conducted and overseen by independent scientists</w:t>
      </w:r>
      <w:r w:rsidR="00260677">
        <w:t xml:space="preserve"> who are not associated with the pharmaceutical industry.</w:t>
      </w:r>
    </w:p>
    <w:p w14:paraId="6B99FF4A" w14:textId="647E8662" w:rsidR="00A105BA" w:rsidRPr="007E19E2" w:rsidRDefault="00FC7B51" w:rsidP="00FC7B51">
      <w:pPr>
        <w:pStyle w:val="ParaNumbering"/>
        <w:numPr>
          <w:ilvl w:val="0"/>
          <w:numId w:val="0"/>
        </w:numPr>
        <w:ind w:hanging="720"/>
      </w:pPr>
      <w:r w:rsidRPr="007E19E2">
        <w:rPr>
          <w:sz w:val="20"/>
        </w:rPr>
        <w:t>33</w:t>
      </w:r>
      <w:r w:rsidRPr="007E19E2">
        <w:rPr>
          <w:sz w:val="20"/>
        </w:rPr>
        <w:tab/>
      </w:r>
      <w:r w:rsidR="00AE7A72" w:rsidRPr="007E19E2">
        <w:t>Ms</w:t>
      </w:r>
      <w:r w:rsidR="00AE7A72">
        <w:t> </w:t>
      </w:r>
      <w:r w:rsidR="00AE7A72" w:rsidRPr="007E19E2">
        <w:t xml:space="preserve">Dorey advised </w:t>
      </w:r>
      <w:r w:rsidR="00DE1129">
        <w:t xml:space="preserve">the Secretary </w:t>
      </w:r>
      <w:r w:rsidR="00AE7A72" w:rsidRPr="007E19E2">
        <w:t xml:space="preserve">that </w:t>
      </w:r>
      <w:r w:rsidR="00A105BA" w:rsidRPr="00102890">
        <w:rPr>
          <w:i/>
        </w:rPr>
        <w:t xml:space="preserve">“[i]f </w:t>
      </w:r>
      <w:r w:rsidR="00DE1129">
        <w:rPr>
          <w:i/>
        </w:rPr>
        <w:t>you</w:t>
      </w:r>
      <w:r w:rsidR="00A105BA" w:rsidRPr="004A4325">
        <w:rPr>
          <w:i/>
        </w:rPr>
        <w:t xml:space="preserve"> </w:t>
      </w:r>
      <w:r w:rsidR="00DE1129">
        <w:rPr>
          <w:i/>
        </w:rPr>
        <w:t>do</w:t>
      </w:r>
      <w:r w:rsidR="00A105BA" w:rsidRPr="004A4325">
        <w:rPr>
          <w:i/>
        </w:rPr>
        <w:t xml:space="preserve"> not respond or </w:t>
      </w:r>
      <w:r w:rsidR="00DE1129">
        <w:rPr>
          <w:i/>
        </w:rPr>
        <w:t>your</w:t>
      </w:r>
      <w:r w:rsidR="00A105BA" w:rsidRPr="00102890">
        <w:rPr>
          <w:i/>
        </w:rPr>
        <w:t xml:space="preserve"> response once again does not address our concerns, we would feel that we have no option but to consider legal action against the Government</w:t>
      </w:r>
      <w:r w:rsidR="00A105BA" w:rsidRPr="00A105BA">
        <w:t>"</w:t>
      </w:r>
      <w:r w:rsidR="00DE1129">
        <w:t xml:space="preserve"> (MCB1183).</w:t>
      </w:r>
      <w:r w:rsidR="00A105BA" w:rsidRPr="00A105BA">
        <w:t xml:space="preserve"> </w:t>
      </w:r>
      <w:r w:rsidR="009219C3">
        <w:t xml:space="preserve"> </w:t>
      </w:r>
      <w:r w:rsidR="00A105BA">
        <w:t>Again</w:t>
      </w:r>
      <w:r w:rsidR="007B5992">
        <w:t>, AVN’s</w:t>
      </w:r>
      <w:r w:rsidR="00A105BA">
        <w:t xml:space="preserve"> request</w:t>
      </w:r>
      <w:r w:rsidR="004D05EA">
        <w:t>s</w:t>
      </w:r>
      <w:r w:rsidR="00A105BA">
        <w:t xml:space="preserve"> </w:t>
      </w:r>
      <w:r w:rsidR="004D05EA">
        <w:t>are</w:t>
      </w:r>
      <w:r w:rsidR="00A105BA">
        <w:t xml:space="preserve"> not for an explanation of the Government’s/Secretary’s position</w:t>
      </w:r>
      <w:r w:rsidR="004D05EA">
        <w:t>,</w:t>
      </w:r>
      <w:r w:rsidR="00A105BA">
        <w:t xml:space="preserve"> but </w:t>
      </w:r>
      <w:r w:rsidR="004D05EA">
        <w:t xml:space="preserve">are </w:t>
      </w:r>
      <w:r w:rsidR="00A105BA">
        <w:t xml:space="preserve">a series of demands </w:t>
      </w:r>
      <w:r w:rsidR="009A302A">
        <w:t>centring</w:t>
      </w:r>
      <w:r w:rsidR="00A105BA">
        <w:t xml:space="preserve"> on an immediate </w:t>
      </w:r>
      <w:r w:rsidR="00EC66B0">
        <w:t xml:space="preserve">cessation </w:t>
      </w:r>
      <w:r w:rsidR="00A105BA">
        <w:t>of the administration of the COVID</w:t>
      </w:r>
      <w:r w:rsidR="004D05EA">
        <w:t>-19</w:t>
      </w:r>
      <w:r w:rsidR="00A105BA">
        <w:t xml:space="preserve"> vaccines.</w:t>
      </w:r>
    </w:p>
    <w:p w14:paraId="0DE3A8B5" w14:textId="1BC4B5C8" w:rsidR="00A105BA" w:rsidRDefault="00FC7B51" w:rsidP="00FC7B51">
      <w:pPr>
        <w:pStyle w:val="ParaNumbering"/>
        <w:numPr>
          <w:ilvl w:val="0"/>
          <w:numId w:val="0"/>
        </w:numPr>
        <w:ind w:hanging="720"/>
      </w:pPr>
      <w:r>
        <w:rPr>
          <w:sz w:val="20"/>
        </w:rPr>
        <w:t>34</w:t>
      </w:r>
      <w:r>
        <w:rPr>
          <w:sz w:val="20"/>
        </w:rPr>
        <w:tab/>
      </w:r>
      <w:r w:rsidR="009219C3">
        <w:t>Similarly</w:t>
      </w:r>
      <w:r w:rsidR="00A105BA">
        <w:t>, in Ms Dorey’s letter on behalf of AVN dated 16 December 2021, Ms Dorey stated that</w:t>
      </w:r>
      <w:r w:rsidR="00E76C73">
        <w:t xml:space="preserve"> (MCB1189)</w:t>
      </w:r>
      <w:r w:rsidR="00A105BA">
        <w:t>:</w:t>
      </w:r>
    </w:p>
    <w:p w14:paraId="71CBCDBD" w14:textId="77777777" w:rsidR="009219C3" w:rsidRDefault="009219C3" w:rsidP="009219C3">
      <w:pPr>
        <w:pStyle w:val="Quote1"/>
      </w:pPr>
      <w:r>
        <w:t>The AVN requires that you respond to this correspondence confirming that you will:</w:t>
      </w:r>
    </w:p>
    <w:p w14:paraId="32A0CF63" w14:textId="77777777" w:rsidR="009219C3" w:rsidRDefault="009219C3" w:rsidP="00767706">
      <w:pPr>
        <w:pStyle w:val="Quote2"/>
        <w:ind w:left="2160" w:hanging="720"/>
      </w:pPr>
      <w:r>
        <w:t>a)</w:t>
      </w:r>
      <w:r>
        <w:tab/>
        <w:t>expressly consider suspending or cancelling the Registrations;</w:t>
      </w:r>
    </w:p>
    <w:p w14:paraId="5E40C907" w14:textId="77777777" w:rsidR="009219C3" w:rsidRDefault="009219C3" w:rsidP="00767706">
      <w:pPr>
        <w:pStyle w:val="Quote2"/>
        <w:ind w:left="2160" w:hanging="720"/>
      </w:pPr>
      <w:r>
        <w:t>b)</w:t>
      </w:r>
      <w:r>
        <w:tab/>
        <w:t>that you will suspend the provisional approval of the Pfizer Registration insofar as it relates to persons under the age of eleven (11) pending further investigation; and</w:t>
      </w:r>
    </w:p>
    <w:p w14:paraId="766CF6FE" w14:textId="77777777" w:rsidR="009219C3" w:rsidRDefault="009219C3" w:rsidP="00767706">
      <w:pPr>
        <w:pStyle w:val="Quote2"/>
        <w:ind w:left="2160" w:hanging="720"/>
      </w:pPr>
      <w:r>
        <w:t>c)</w:t>
      </w:r>
      <w:r>
        <w:tab/>
        <w:t>that you will provide, publicly into our office, reasons for your decisions relating to the above.</w:t>
      </w:r>
    </w:p>
    <w:p w14:paraId="4D4C6C3A" w14:textId="77777777" w:rsidR="009219C3" w:rsidRDefault="009219C3" w:rsidP="005F340A">
      <w:pPr>
        <w:pStyle w:val="Quote1"/>
      </w:pPr>
      <w:r>
        <w:t>Absent a response to this correspondence by no later than 3:00pm on Friday, 24</w:t>
      </w:r>
      <w:r w:rsidR="0029726C">
        <w:t> </w:t>
      </w:r>
      <w:r>
        <w:t>December 2021, the AVN will have no choice other than to seek the Court’s intervention.</w:t>
      </w:r>
    </w:p>
    <w:p w14:paraId="07E0D3F3" w14:textId="49D56D08" w:rsidR="009219C3" w:rsidRPr="007E19E2" w:rsidRDefault="00FC7B51" w:rsidP="00FC7B51">
      <w:pPr>
        <w:pStyle w:val="ParaNumbering"/>
        <w:numPr>
          <w:ilvl w:val="0"/>
          <w:numId w:val="0"/>
        </w:numPr>
        <w:ind w:hanging="720"/>
      </w:pPr>
      <w:r w:rsidRPr="007E19E2">
        <w:rPr>
          <w:sz w:val="20"/>
        </w:rPr>
        <w:t>35</w:t>
      </w:r>
      <w:r w:rsidRPr="007E19E2">
        <w:rPr>
          <w:sz w:val="20"/>
        </w:rPr>
        <w:tab/>
      </w:r>
      <w:r w:rsidR="009219C3">
        <w:t>Finally, in the</w:t>
      </w:r>
      <w:r w:rsidR="009219C3" w:rsidRPr="007E19E2">
        <w:t xml:space="preserve"> </w:t>
      </w:r>
      <w:r w:rsidR="009219C3" w:rsidRPr="007449FD">
        <w:t>letter dated 5 January 2022</w:t>
      </w:r>
      <w:r w:rsidR="009219C3" w:rsidRPr="007E19E2">
        <w:t xml:space="preserve"> from </w:t>
      </w:r>
      <w:r w:rsidR="009219C3">
        <w:t>Mr Fam, solicitor for</w:t>
      </w:r>
      <w:r w:rsidR="009219C3" w:rsidRPr="007E19E2">
        <w:t xml:space="preserve"> </w:t>
      </w:r>
      <w:r w:rsidR="00B72B9B">
        <w:t xml:space="preserve">the </w:t>
      </w:r>
      <w:r w:rsidR="009219C3" w:rsidRPr="007E19E2">
        <w:t>AVN</w:t>
      </w:r>
      <w:r w:rsidR="00B72B9B">
        <w:t xml:space="preserve"> at that time</w:t>
      </w:r>
      <w:r w:rsidR="009219C3">
        <w:t>,</w:t>
      </w:r>
      <w:r w:rsidR="009219C3" w:rsidRPr="007E19E2">
        <w:t xml:space="preserve"> to the Secretary (</w:t>
      </w:r>
      <w:r w:rsidR="009219C3" w:rsidRPr="003806F1">
        <w:t>Supp</w:t>
      </w:r>
      <w:r w:rsidR="005E6FE5">
        <w:t xml:space="preserve">lementary </w:t>
      </w:r>
      <w:r w:rsidR="009219C3" w:rsidRPr="003806F1">
        <w:t>C</w:t>
      </w:r>
      <w:r w:rsidR="005E6FE5">
        <w:t xml:space="preserve">ourt </w:t>
      </w:r>
      <w:r w:rsidR="009219C3" w:rsidRPr="003806F1">
        <w:t>B</w:t>
      </w:r>
      <w:r w:rsidR="005E6FE5">
        <w:t>ook</w:t>
      </w:r>
      <w:r w:rsidR="00D22A24">
        <w:t xml:space="preserve"> (</w:t>
      </w:r>
      <w:r w:rsidR="00D22A24" w:rsidRPr="005F340A">
        <w:rPr>
          <w:b/>
        </w:rPr>
        <w:t>SuppCB</w:t>
      </w:r>
      <w:r w:rsidR="00D22A24">
        <w:t>)</w:t>
      </w:r>
      <w:r w:rsidR="009219C3" w:rsidRPr="007E19E2">
        <w:t xml:space="preserve"> at p. 28, tab 2)</w:t>
      </w:r>
      <w:r w:rsidR="009219C3">
        <w:t>,</w:t>
      </w:r>
      <w:r w:rsidR="009219C3" w:rsidRPr="007E19E2">
        <w:t xml:space="preserve"> </w:t>
      </w:r>
      <w:r w:rsidR="009219C3">
        <w:t>Mr Fam</w:t>
      </w:r>
      <w:r w:rsidR="009219C3" w:rsidRPr="007E19E2">
        <w:t xml:space="preserve"> sought confirmation within 14 days of the date of th</w:t>
      </w:r>
      <w:r w:rsidR="00CF0DA0">
        <w:t>at</w:t>
      </w:r>
      <w:r w:rsidR="009219C3" w:rsidRPr="007E19E2">
        <w:t xml:space="preserve"> letter that the Children Decision would be revoked and</w:t>
      </w:r>
      <w:r w:rsidR="009219C3">
        <w:t xml:space="preserve"> advised that</w:t>
      </w:r>
      <w:r w:rsidR="009219C3" w:rsidRPr="007E19E2">
        <w:t>, in the absence of such confirmation</w:t>
      </w:r>
      <w:r w:rsidR="00CF0DA0">
        <w:t xml:space="preserve"> or notice that the Secretary had commenced </w:t>
      </w:r>
      <w:r w:rsidR="0012481F">
        <w:t>re</w:t>
      </w:r>
      <w:r w:rsidR="0012481F">
        <w:noBreakHyphen/>
      </w:r>
      <w:r w:rsidR="00CF0DA0">
        <w:t>considering the Children Decision</w:t>
      </w:r>
      <w:r w:rsidR="009219C3" w:rsidRPr="007E19E2">
        <w:t xml:space="preserve">, AVN would seek judicial review remedies </w:t>
      </w:r>
      <w:r w:rsidR="009219C3" w:rsidRPr="007E19E2">
        <w:lastRenderedPageBreak/>
        <w:t>in the nature of mandamus, certiorari, and urgent injunctive relief from the Federal Court</w:t>
      </w:r>
      <w:r w:rsidR="00C13CC4">
        <w:t xml:space="preserve"> (SuppCB at p.33)</w:t>
      </w:r>
      <w:r w:rsidR="009219C3" w:rsidRPr="007E19E2">
        <w:t>.</w:t>
      </w:r>
    </w:p>
    <w:p w14:paraId="572FD3D0" w14:textId="0C02286C" w:rsidR="00A61174" w:rsidRDefault="00FC7B51" w:rsidP="00FC7B51">
      <w:pPr>
        <w:pStyle w:val="ParaNumbering"/>
        <w:numPr>
          <w:ilvl w:val="0"/>
          <w:numId w:val="0"/>
        </w:numPr>
        <w:ind w:hanging="720"/>
      </w:pPr>
      <w:r>
        <w:rPr>
          <w:sz w:val="20"/>
        </w:rPr>
        <w:t>36</w:t>
      </w:r>
      <w:r>
        <w:rPr>
          <w:sz w:val="20"/>
        </w:rPr>
        <w:tab/>
      </w:r>
      <w:r w:rsidR="009219C3">
        <w:t xml:space="preserve">None of the </w:t>
      </w:r>
      <w:r w:rsidR="003A5444">
        <w:t xml:space="preserve">pre-litigation </w:t>
      </w:r>
      <w:r w:rsidR="009219C3">
        <w:t xml:space="preserve">correspondence </w:t>
      </w:r>
      <w:r w:rsidR="003A5444">
        <w:t xml:space="preserve">on behalf of AVN </w:t>
      </w:r>
      <w:r w:rsidR="00B64127">
        <w:t xml:space="preserve">to the Minister and the Secretary </w:t>
      </w:r>
      <w:r w:rsidR="009219C3">
        <w:t>therefore can</w:t>
      </w:r>
      <w:r w:rsidR="009A302A">
        <w:t xml:space="preserve"> simply</w:t>
      </w:r>
      <w:r w:rsidR="009219C3">
        <w:t xml:space="preserve"> be characterised as seeking an explanation of the Secretary’s</w:t>
      </w:r>
      <w:r w:rsidR="009A302A">
        <w:t xml:space="preserve"> or the Government’s</w:t>
      </w:r>
      <w:r w:rsidR="009219C3">
        <w:t xml:space="preserve"> position</w:t>
      </w:r>
      <w:r w:rsidR="00300FC6">
        <w:t xml:space="preserve"> in response to AVN’s concerns</w:t>
      </w:r>
      <w:r w:rsidR="009219C3">
        <w:t xml:space="preserve">.  In each case, </w:t>
      </w:r>
      <w:r w:rsidR="003A5444">
        <w:t>that</w:t>
      </w:r>
      <w:r w:rsidR="009219C3">
        <w:t xml:space="preserve"> correspondence set out a series of demands </w:t>
      </w:r>
      <w:r w:rsidR="009A302A">
        <w:t>requiring immediate</w:t>
      </w:r>
      <w:r w:rsidR="009219C3">
        <w:t xml:space="preserve"> action by the Minister and subsequently</w:t>
      </w:r>
      <w:r w:rsidR="001A5F56">
        <w:t xml:space="preserve"> by</w:t>
      </w:r>
      <w:r w:rsidR="009219C3">
        <w:t xml:space="preserve"> the Secretary</w:t>
      </w:r>
      <w:r w:rsidR="009A302A">
        <w:t xml:space="preserve"> based on the erroneous assumption</w:t>
      </w:r>
      <w:r w:rsidR="009219C3">
        <w:t xml:space="preserve"> that AVN had the right to seek relief from the Court if those</w:t>
      </w:r>
      <w:r w:rsidR="009A302A">
        <w:t xml:space="preserve"> demands were not complied with.</w:t>
      </w:r>
      <w:r w:rsidR="003A5444">
        <w:t xml:space="preserve">  </w:t>
      </w:r>
    </w:p>
    <w:p w14:paraId="60DDB7CA" w14:textId="269DBA55" w:rsidR="004A34CC" w:rsidRPr="004A34CC" w:rsidRDefault="00FC7B51" w:rsidP="00FC7B51">
      <w:pPr>
        <w:pStyle w:val="ParaNumbering"/>
        <w:numPr>
          <w:ilvl w:val="0"/>
          <w:numId w:val="0"/>
        </w:numPr>
        <w:ind w:hanging="720"/>
      </w:pPr>
      <w:r w:rsidRPr="004A34CC">
        <w:rPr>
          <w:sz w:val="20"/>
        </w:rPr>
        <w:t>37</w:t>
      </w:r>
      <w:r w:rsidRPr="004A34CC">
        <w:rPr>
          <w:sz w:val="20"/>
        </w:rPr>
        <w:tab/>
      </w:r>
      <w:r w:rsidR="009A302A">
        <w:t xml:space="preserve">Furthermore, the correspondence in response </w:t>
      </w:r>
      <w:r w:rsidR="00095649">
        <w:t xml:space="preserve">from </w:t>
      </w:r>
      <w:r w:rsidR="009A302A">
        <w:t xml:space="preserve">or on behalf of </w:t>
      </w:r>
      <w:r w:rsidR="00095649">
        <w:t>the Minister to AVN</w:t>
      </w:r>
      <w:r w:rsidR="009A302A">
        <w:t xml:space="preserve"> </w:t>
      </w:r>
      <w:r w:rsidR="003A65F5">
        <w:t xml:space="preserve">set out the Government’s position </w:t>
      </w:r>
      <w:r w:rsidR="000A364E">
        <w:t>that in its view, the safety and efficacy of the vaccines had been properly and lawfully assessed under the TG Act and that the TGA continues to monitor the safety of the vaccines</w:t>
      </w:r>
      <w:r w:rsidR="009A302A">
        <w:t xml:space="preserve">.  </w:t>
      </w:r>
      <w:r w:rsidR="004A34CC">
        <w:t xml:space="preserve">The fact that AVN did not regard </w:t>
      </w:r>
      <w:r w:rsidR="001A4776">
        <w:t>the</w:t>
      </w:r>
      <w:r w:rsidR="004A34CC">
        <w:t xml:space="preserve"> response</w:t>
      </w:r>
      <w:r w:rsidR="006035B4">
        <w:t>s</w:t>
      </w:r>
      <w:r w:rsidR="004A34CC">
        <w:t xml:space="preserve"> </w:t>
      </w:r>
      <w:r w:rsidR="001A4776">
        <w:t xml:space="preserve">received </w:t>
      </w:r>
      <w:r w:rsidR="006035B4">
        <w:t xml:space="preserve">from the Minister </w:t>
      </w:r>
      <w:r w:rsidR="004A34CC">
        <w:t>as “</w:t>
      </w:r>
      <w:r w:rsidR="004A34CC" w:rsidRPr="004A34CC">
        <w:rPr>
          <w:i/>
        </w:rPr>
        <w:t>adequate</w:t>
      </w:r>
      <w:r w:rsidR="004A34CC">
        <w:t>” to address its concerns</w:t>
      </w:r>
      <w:r w:rsidR="007A1743">
        <w:t xml:space="preserve"> based on its own research</w:t>
      </w:r>
      <w:r w:rsidR="006035B4">
        <w:t xml:space="preserve"> and that the Secretary did not respond</w:t>
      </w:r>
      <w:r w:rsidR="00801CFB">
        <w:t xml:space="preserve"> </w:t>
      </w:r>
      <w:r w:rsidR="003A5444">
        <w:t xml:space="preserve">to AVN’s further demands </w:t>
      </w:r>
      <w:r w:rsidR="004A34CC">
        <w:t xml:space="preserve">does not mean that the Secretary </w:t>
      </w:r>
      <w:r w:rsidR="00E84839" w:rsidRPr="00E84839">
        <w:t>behaved unreasonably</w:t>
      </w:r>
      <w:r w:rsidR="00E84839">
        <w:t xml:space="preserve"> contrary to the Model Litigant Guidelines</w:t>
      </w:r>
      <w:r w:rsidR="006035B4">
        <w:t>;</w:t>
      </w:r>
      <w:r w:rsidR="001A4776">
        <w:t xml:space="preserve"> nor that he </w:t>
      </w:r>
      <w:r w:rsidR="004A34CC">
        <w:t xml:space="preserve">should </w:t>
      </w:r>
      <w:r w:rsidR="001A5F56">
        <w:t>otherwise</w:t>
      </w:r>
      <w:r w:rsidR="00531FD1">
        <w:t xml:space="preserve"> </w:t>
      </w:r>
      <w:r w:rsidR="004A34CC">
        <w:t xml:space="preserve">be deprived of his costs (cf AS [24]). </w:t>
      </w:r>
    </w:p>
    <w:p w14:paraId="34E0A96F" w14:textId="72118EBC" w:rsidR="00703CFF" w:rsidRDefault="00FC7B51" w:rsidP="00FC7B51">
      <w:pPr>
        <w:pStyle w:val="ParaNumbering"/>
        <w:numPr>
          <w:ilvl w:val="0"/>
          <w:numId w:val="0"/>
        </w:numPr>
        <w:ind w:hanging="720"/>
      </w:pPr>
      <w:r>
        <w:rPr>
          <w:sz w:val="20"/>
        </w:rPr>
        <w:t>38</w:t>
      </w:r>
      <w:r>
        <w:rPr>
          <w:sz w:val="20"/>
        </w:rPr>
        <w:tab/>
      </w:r>
      <w:r w:rsidR="00FF3F7B" w:rsidRPr="00E947D0">
        <w:rPr>
          <w:b/>
          <w:i/>
        </w:rPr>
        <w:t>Thirdly</w:t>
      </w:r>
      <w:r w:rsidR="003B4BBF" w:rsidRPr="007A1743">
        <w:t xml:space="preserve">, </w:t>
      </w:r>
      <w:r w:rsidR="008B5DDB" w:rsidRPr="007A1743">
        <w:t xml:space="preserve">the Secretary </w:t>
      </w:r>
      <w:r w:rsidR="006B0CE6" w:rsidRPr="007A1743">
        <w:t xml:space="preserve">was required to </w:t>
      </w:r>
      <w:r w:rsidR="003601D4" w:rsidRPr="007A1743">
        <w:t xml:space="preserve">comply with the TG Act.  </w:t>
      </w:r>
      <w:r w:rsidR="003601D4">
        <w:t>He</w:t>
      </w:r>
      <w:r w:rsidR="006B0CE6">
        <w:t xml:space="preserve"> was </w:t>
      </w:r>
      <w:r w:rsidR="00767EEB">
        <w:t xml:space="preserve">not under </w:t>
      </w:r>
      <w:r w:rsidR="003601D4">
        <w:t>a</w:t>
      </w:r>
      <w:r w:rsidR="006B0CE6">
        <w:t xml:space="preserve"> duty </w:t>
      </w:r>
      <w:r w:rsidR="006D2B46">
        <w:t xml:space="preserve">to </w:t>
      </w:r>
      <w:r w:rsidR="005856B1">
        <w:t xml:space="preserve">act on </w:t>
      </w:r>
      <w:r w:rsidR="003601D4">
        <w:t xml:space="preserve">the </w:t>
      </w:r>
      <w:r w:rsidR="009702CD">
        <w:t>representations made</w:t>
      </w:r>
      <w:r w:rsidR="00CC6DD6">
        <w:t>,</w:t>
      </w:r>
      <w:r w:rsidR="009702CD">
        <w:t xml:space="preserve"> </w:t>
      </w:r>
      <w:r w:rsidR="00CC6DD6">
        <w:t xml:space="preserve">and research presented, </w:t>
      </w:r>
      <w:r w:rsidR="009702CD">
        <w:t>by</w:t>
      </w:r>
      <w:r w:rsidR="003601D4">
        <w:t xml:space="preserve"> </w:t>
      </w:r>
      <w:r w:rsidR="006B0CE6">
        <w:t>a non-expert</w:t>
      </w:r>
      <w:r w:rsidR="00C0562B">
        <w:t xml:space="preserve"> and</w:t>
      </w:r>
      <w:r w:rsidR="006B0CE6">
        <w:t xml:space="preserve"> private body such as AVN</w:t>
      </w:r>
      <w:r w:rsidR="006D2B46">
        <w:t xml:space="preserve"> </w:t>
      </w:r>
      <w:r w:rsidR="00E044C1">
        <w:t xml:space="preserve">in making decisions </w:t>
      </w:r>
      <w:r w:rsidR="00D45C05">
        <w:t>concerning the</w:t>
      </w:r>
      <w:r w:rsidR="00E044C1">
        <w:t xml:space="preserve"> </w:t>
      </w:r>
      <w:r w:rsidR="00CC6DD6">
        <w:t>registration of the Three V</w:t>
      </w:r>
      <w:r w:rsidR="00E044C1">
        <w:t>accines</w:t>
      </w:r>
      <w:r w:rsidR="006B0CE6">
        <w:t>.</w:t>
      </w:r>
      <w:r w:rsidR="006D2B46">
        <w:t xml:space="preserve">  </w:t>
      </w:r>
      <w:r w:rsidR="00CC6DD6">
        <w:t>In this regard, as</w:t>
      </w:r>
      <w:r w:rsidR="006D2B46">
        <w:t xml:space="preserve"> I held in </w:t>
      </w:r>
      <w:r w:rsidR="006D2B46" w:rsidRPr="00703CFF">
        <w:rPr>
          <w:i/>
        </w:rPr>
        <w:t xml:space="preserve">AVN (No. 1) </w:t>
      </w:r>
      <w:r w:rsidR="006D2B46">
        <w:t>at [89]</w:t>
      </w:r>
      <w:r w:rsidR="00703CFF">
        <w:t>:</w:t>
      </w:r>
    </w:p>
    <w:p w14:paraId="29D0D421" w14:textId="77777777" w:rsidR="006B0CE6" w:rsidRDefault="00703CFF" w:rsidP="00FF3F7B">
      <w:pPr>
        <w:pStyle w:val="Quote1"/>
      </w:pPr>
      <w:r>
        <w:t xml:space="preserve">… </w:t>
      </w:r>
      <w:r w:rsidR="006D2B46" w:rsidRPr="00703CFF">
        <w:t xml:space="preserve">there is no evidence </w:t>
      </w:r>
      <w:r w:rsidR="00183625">
        <w:t xml:space="preserve">that </w:t>
      </w:r>
      <w:r w:rsidR="006D2B46" w:rsidRPr="00703CFF">
        <w:t>AVN is a body representing the views of persons recognised as experts in the field of immunology and vaccines.  To the contrary, membership is open to any natural person who supports AVN’s objectives and whose application has been approved by the committee</w:t>
      </w:r>
      <w:r w:rsidR="006D2B46">
        <w:t>.</w:t>
      </w:r>
      <w:r w:rsidR="00767EEB">
        <w:t xml:space="preserve"> </w:t>
      </w:r>
      <w:r w:rsidR="008375B5">
        <w:t xml:space="preserve"> </w:t>
      </w:r>
    </w:p>
    <w:p w14:paraId="4B66B06F" w14:textId="67D1AE1D" w:rsidR="00FF3F7B" w:rsidRDefault="00FC7B51" w:rsidP="00FC7B51">
      <w:pPr>
        <w:pStyle w:val="ParaNumbering"/>
        <w:numPr>
          <w:ilvl w:val="0"/>
          <w:numId w:val="0"/>
        </w:numPr>
        <w:ind w:hanging="720"/>
      </w:pPr>
      <w:r>
        <w:rPr>
          <w:sz w:val="20"/>
        </w:rPr>
        <w:t>39</w:t>
      </w:r>
      <w:r>
        <w:rPr>
          <w:sz w:val="20"/>
        </w:rPr>
        <w:tab/>
      </w:r>
      <w:r w:rsidR="00FF3F7B">
        <w:t xml:space="preserve">Conversely, AVN has no right under the scheme established by the </w:t>
      </w:r>
      <w:r w:rsidR="00023EB8">
        <w:t>TG Act</w:t>
      </w:r>
      <w:r w:rsidR="00FF3F7B">
        <w:t xml:space="preserve"> to demand that the Secretary consider suspending or cancelling registration of the Three Vaccines.</w:t>
      </w:r>
      <w:r w:rsidR="00A954B2">
        <w:t xml:space="preserve">  </w:t>
      </w:r>
    </w:p>
    <w:p w14:paraId="3D8B5FE0" w14:textId="73E308B3" w:rsidR="009A71C1" w:rsidRPr="00922BD1" w:rsidRDefault="00FC7B51" w:rsidP="00FC7B51">
      <w:pPr>
        <w:pStyle w:val="ParaNumbering"/>
        <w:numPr>
          <w:ilvl w:val="0"/>
          <w:numId w:val="0"/>
        </w:numPr>
        <w:ind w:hanging="720"/>
      </w:pPr>
      <w:r w:rsidRPr="00922BD1">
        <w:rPr>
          <w:sz w:val="20"/>
        </w:rPr>
        <w:t>40</w:t>
      </w:r>
      <w:r w:rsidRPr="00922BD1">
        <w:rPr>
          <w:sz w:val="20"/>
        </w:rPr>
        <w:tab/>
      </w:r>
      <w:r w:rsidR="002E443C">
        <w:rPr>
          <w:b/>
          <w:i/>
        </w:rPr>
        <w:t>Fourthly</w:t>
      </w:r>
      <w:r w:rsidR="002E443C">
        <w:t>,</w:t>
      </w:r>
      <w:r w:rsidR="00FB56A3">
        <w:t xml:space="preserve"> </w:t>
      </w:r>
      <w:r w:rsidR="009A71C1">
        <w:t xml:space="preserve">the nature of AVN’s </w:t>
      </w:r>
      <w:r w:rsidR="004D53F9">
        <w:t>submissions</w:t>
      </w:r>
      <w:r w:rsidR="002E443C">
        <w:t xml:space="preserve"> </w:t>
      </w:r>
      <w:r w:rsidR="004D53F9">
        <w:t>criticising</w:t>
      </w:r>
      <w:r w:rsidR="002E443C">
        <w:t xml:space="preserve"> the Secretary’s alleged silence in respect of the Mandamus Case </w:t>
      </w:r>
      <w:r w:rsidR="004D53F9">
        <w:t>after</w:t>
      </w:r>
      <w:r w:rsidR="002E443C">
        <w:t xml:space="preserve"> the proceedings </w:t>
      </w:r>
      <w:r w:rsidR="004D53F9">
        <w:t>were instituted</w:t>
      </w:r>
      <w:r w:rsidR="002E443C">
        <w:t xml:space="preserve"> </w:t>
      </w:r>
      <w:r w:rsidR="006A2C46">
        <w:t xml:space="preserve">is </w:t>
      </w:r>
      <w:r w:rsidR="009A71C1">
        <w:t xml:space="preserve">such that </w:t>
      </w:r>
      <w:r w:rsidR="006A2C46">
        <w:t>it</w:t>
      </w:r>
      <w:r w:rsidR="009A71C1">
        <w:t xml:space="preserve"> assume</w:t>
      </w:r>
      <w:r w:rsidR="006A2C46">
        <w:t>s</w:t>
      </w:r>
      <w:r w:rsidR="009A71C1">
        <w:t xml:space="preserve"> that the Secretary was under a legal obligation to</w:t>
      </w:r>
      <w:r w:rsidR="006A2C46">
        <w:t xml:space="preserve"> respond to AVN’s requests for him to cause the Australian Register of Therapeutic Goods to be maintained in the manner contended for by AVN.  However, the subject of that request was </w:t>
      </w:r>
      <w:r w:rsidR="00D9302E">
        <w:t>among the legal issues</w:t>
      </w:r>
      <w:r w:rsidR="006A2C46">
        <w:t xml:space="preserve"> contested by the Secretary in defending the proceedings</w:t>
      </w:r>
      <w:r w:rsidR="009C36B4">
        <w:t>.</w:t>
      </w:r>
    </w:p>
    <w:p w14:paraId="26E9EE24" w14:textId="31DC84E5" w:rsidR="00FF3F7B" w:rsidRDefault="00FC7B51" w:rsidP="00FC7B51">
      <w:pPr>
        <w:pStyle w:val="ParaNumbering"/>
        <w:numPr>
          <w:ilvl w:val="0"/>
          <w:numId w:val="0"/>
        </w:numPr>
        <w:ind w:hanging="720"/>
      </w:pPr>
      <w:r>
        <w:rPr>
          <w:sz w:val="20"/>
        </w:rPr>
        <w:lastRenderedPageBreak/>
        <w:t>41</w:t>
      </w:r>
      <w:r>
        <w:rPr>
          <w:sz w:val="20"/>
        </w:rPr>
        <w:tab/>
      </w:r>
      <w:r w:rsidR="003A5444">
        <w:t>Furthermore</w:t>
      </w:r>
      <w:r w:rsidR="009A71C1">
        <w:t xml:space="preserve"> in </w:t>
      </w:r>
      <w:r w:rsidR="00C75C2E">
        <w:t>the</w:t>
      </w:r>
      <w:r w:rsidR="009A71C1">
        <w:t xml:space="preserve"> </w:t>
      </w:r>
      <w:r w:rsidR="003A5444">
        <w:t xml:space="preserve">Secretary’s </w:t>
      </w:r>
      <w:r w:rsidR="009A71C1">
        <w:t>Concise Statement filed in the Mandamus Case</w:t>
      </w:r>
      <w:r w:rsidR="00C75C2E">
        <w:t>,</w:t>
      </w:r>
      <w:r w:rsidR="009A71C1">
        <w:t xml:space="preserve"> which explained why the Secretary contended that the application should be dismissed, the Secretary not only put in issue AVN’s standing to seek relief</w:t>
      </w:r>
      <w:r w:rsidR="00C75C2E">
        <w:t>, but</w:t>
      </w:r>
      <w:r w:rsidR="00376DD6">
        <w:t xml:space="preserve"> also contested the</w:t>
      </w:r>
      <w:r w:rsidR="00EC318A">
        <w:t xml:space="preserve"> underlying</w:t>
      </w:r>
      <w:r w:rsidR="00376DD6">
        <w:t xml:space="preserve"> claims raised by AVN</w:t>
      </w:r>
      <w:r w:rsidR="009A71C1">
        <w:t xml:space="preserve">.  </w:t>
      </w:r>
      <w:r w:rsidR="003A5444">
        <w:t>Thus the Secretary’s</w:t>
      </w:r>
      <w:r w:rsidR="009A71C1">
        <w:t xml:space="preserve"> Concise Statement on the Mandamus Case gave detailed reasons as to why he contended that the claim</w:t>
      </w:r>
      <w:r w:rsidR="009E3E20">
        <w:t>s</w:t>
      </w:r>
      <w:r w:rsidR="009A71C1">
        <w:t xml:space="preserve"> for mandamus and declaratory relief </w:t>
      </w:r>
      <w:r w:rsidR="009E3E20">
        <w:t>were</w:t>
      </w:r>
      <w:r w:rsidR="009A71C1">
        <w:t xml:space="preserve"> misconceived even if the proceedings were competent</w:t>
      </w:r>
      <w:r w:rsidR="003F5472">
        <w:t>,</w:t>
      </w:r>
      <w:r w:rsidR="003A5444">
        <w:t xml:space="preserve"> including</w:t>
      </w:r>
      <w:r w:rsidR="009A71C1">
        <w:t xml:space="preserve"> that the discretionary powers in ss 29D and 30 of the TG Act were not coupled with duties to consider their exercise.  </w:t>
      </w:r>
    </w:p>
    <w:p w14:paraId="7761A5C7" w14:textId="06C0E9F8" w:rsidR="009A71C1" w:rsidRDefault="00FC7B51" w:rsidP="00FC7B51">
      <w:pPr>
        <w:pStyle w:val="ParaNumbering"/>
        <w:numPr>
          <w:ilvl w:val="0"/>
          <w:numId w:val="0"/>
        </w:numPr>
        <w:ind w:hanging="720"/>
      </w:pPr>
      <w:r>
        <w:rPr>
          <w:sz w:val="20"/>
        </w:rPr>
        <w:t>42</w:t>
      </w:r>
      <w:r>
        <w:rPr>
          <w:sz w:val="20"/>
        </w:rPr>
        <w:tab/>
      </w:r>
      <w:r w:rsidR="009A71C1">
        <w:t>The Secretary was entitled to put these matters in dispute</w:t>
      </w:r>
      <w:r w:rsidR="004A0F5B">
        <w:t xml:space="preserve">.  In so doing, </w:t>
      </w:r>
      <w:r w:rsidR="00B6609F">
        <w:t>there is no evidence</w:t>
      </w:r>
      <w:r w:rsidR="000C2731">
        <w:t xml:space="preserve"> </w:t>
      </w:r>
      <w:r w:rsidR="00B6609F">
        <w:t>to suggest that his conduct departed from that required by</w:t>
      </w:r>
      <w:r w:rsidR="004A0F5B">
        <w:t xml:space="preserve"> </w:t>
      </w:r>
      <w:r w:rsidR="009A71C1">
        <w:t xml:space="preserve">the Model Litigant Guidelines.  Specifically, note 4 to paragraph 2 of the </w:t>
      </w:r>
      <w:r w:rsidR="009A71C1" w:rsidRPr="00B85939">
        <w:t>Model Litigant Guidelines</w:t>
      </w:r>
      <w:r w:rsidR="009A71C1">
        <w:t xml:space="preserve"> states that:</w:t>
      </w:r>
    </w:p>
    <w:p w14:paraId="7821C72A" w14:textId="77777777" w:rsidR="009A71C1" w:rsidRDefault="009A71C1" w:rsidP="009A71C1">
      <w:pPr>
        <w:pStyle w:val="Quote1"/>
      </w:pPr>
      <w:r w:rsidRPr="00407CAF">
        <w:t>The obligation does not prevent the Commonwealth and Commonwealth agencies from acting firmly and properly to protect their interests. It does not therefore preclude all legitimate steps being taken to pursue claims by the Commonwealth and Commonwealth agencies and testing o</w:t>
      </w:r>
      <w:r>
        <w:t xml:space="preserve">r defending claims against them. </w:t>
      </w:r>
    </w:p>
    <w:p w14:paraId="42E28A79" w14:textId="4BB168B0" w:rsidR="00032860" w:rsidRPr="003001B0" w:rsidRDefault="00FC7B51" w:rsidP="00FC7B51">
      <w:pPr>
        <w:pStyle w:val="Heading5"/>
        <w:numPr>
          <w:ilvl w:val="0"/>
          <w:numId w:val="0"/>
        </w:numPr>
        <w:tabs>
          <w:tab w:val="left" w:pos="1134"/>
        </w:tabs>
        <w:ind w:left="1134" w:hanging="1134"/>
      </w:pPr>
      <w:bookmarkStart w:id="30" w:name="_Ref106626512"/>
      <w:r w:rsidRPr="003001B0">
        <w:t>3.</w:t>
      </w:r>
      <w:r w:rsidRPr="003001B0">
        <w:tab/>
      </w:r>
      <w:r w:rsidR="00E455AA">
        <w:t>CONCLUSION</w:t>
      </w:r>
      <w:bookmarkEnd w:id="30"/>
    </w:p>
    <w:p w14:paraId="07E7134F" w14:textId="1C358163" w:rsidR="0018448A" w:rsidRDefault="00FC7B51" w:rsidP="00FC7B51">
      <w:pPr>
        <w:pStyle w:val="ParaNumbering"/>
        <w:numPr>
          <w:ilvl w:val="0"/>
          <w:numId w:val="0"/>
        </w:numPr>
        <w:ind w:hanging="720"/>
      </w:pPr>
      <w:r>
        <w:rPr>
          <w:sz w:val="20"/>
        </w:rPr>
        <w:t>43</w:t>
      </w:r>
      <w:r>
        <w:rPr>
          <w:sz w:val="20"/>
        </w:rPr>
        <w:tab/>
      </w:r>
      <w:r w:rsidR="00E455AA">
        <w:t>For these reasons, AVN has not established any special circumstances for departing from the ordinary rule as to costs that, having been wholly unsuccessful, it should pay the Secretary’s costs</w:t>
      </w:r>
      <w:r w:rsidR="00716511">
        <w:t>.  Those costs</w:t>
      </w:r>
      <w:r w:rsidR="00E455AA">
        <w:t xml:space="preserve"> </w:t>
      </w:r>
      <w:r w:rsidR="00716511">
        <w:t xml:space="preserve">include </w:t>
      </w:r>
      <w:r w:rsidR="00E455AA">
        <w:t xml:space="preserve">the costs of the interlocutory application to join Mr Neugebauer and of the dispute as to costs. </w:t>
      </w:r>
    </w:p>
    <w:p w14:paraId="4A54E47A" w14:textId="77777777" w:rsidR="001A7B73" w:rsidRDefault="001A7B73" w:rsidP="00815065">
      <w:pPr>
        <w:pStyle w:val="BodyText"/>
      </w:pPr>
      <w:bookmarkStart w:id="31" w:name="Certification"/>
    </w:p>
    <w:tbl>
      <w:tblPr>
        <w:tblW w:w="0" w:type="auto"/>
        <w:tblLook w:val="04A0" w:firstRow="1" w:lastRow="0" w:firstColumn="1" w:lastColumn="0" w:noHBand="0" w:noVBand="1"/>
      </w:tblPr>
      <w:tblGrid>
        <w:gridCol w:w="3794"/>
      </w:tblGrid>
      <w:tr w:rsidR="001A7B73" w:rsidRPr="001A7B73" w14:paraId="3C20F545" w14:textId="77777777">
        <w:tc>
          <w:tcPr>
            <w:tcW w:w="3794" w:type="dxa"/>
            <w:shd w:val="clear" w:color="auto" w:fill="auto"/>
          </w:tcPr>
          <w:p w14:paraId="35CE084B" w14:textId="5386464F" w:rsidR="001A7B73" w:rsidRPr="001A7B73" w:rsidRDefault="001A7B73" w:rsidP="001A7B73">
            <w:pPr>
              <w:pStyle w:val="Normal1linespace"/>
            </w:pPr>
            <w:r w:rsidRPr="001A7B73">
              <w:t xml:space="preserve">I certify that the preceding </w:t>
            </w:r>
            <w:bookmarkStart w:id="32" w:name="NumberWord"/>
            <w:r>
              <w:t>forty-three</w:t>
            </w:r>
            <w:bookmarkEnd w:id="32"/>
            <w:r w:rsidRPr="001A7B73">
              <w:t xml:space="preserve"> (</w:t>
            </w:r>
            <w:bookmarkStart w:id="33" w:name="NumberNumeral"/>
            <w:r>
              <w:t>43</w:t>
            </w:r>
            <w:bookmarkEnd w:id="33"/>
            <w:r w:rsidRPr="001A7B73">
              <w:t xml:space="preserve">) numbered </w:t>
            </w:r>
            <w:bookmarkStart w:id="34" w:name="CertPara"/>
            <w:r>
              <w:t>paragraphs are</w:t>
            </w:r>
            <w:bookmarkEnd w:id="34"/>
            <w:r w:rsidRPr="001A7B73">
              <w:t xml:space="preserve"> a true copy of the Reasons for Judgment of </w:t>
            </w:r>
            <w:bookmarkStart w:id="35" w:name="bkHonourable"/>
            <w:r w:rsidRPr="001A7B73">
              <w:t xml:space="preserve">the Honourable </w:t>
            </w:r>
            <w:bookmarkStart w:id="36" w:name="Justice"/>
            <w:bookmarkEnd w:id="35"/>
            <w:r w:rsidR="00882F2E">
              <w:t>Justice</w:t>
            </w:r>
            <w:r>
              <w:t xml:space="preserve"> Perry</w:t>
            </w:r>
            <w:bookmarkEnd w:id="36"/>
            <w:r w:rsidRPr="001A7B73">
              <w:t>.</w:t>
            </w:r>
          </w:p>
        </w:tc>
      </w:tr>
    </w:tbl>
    <w:p w14:paraId="576E319B" w14:textId="77777777" w:rsidR="001A7B73" w:rsidRDefault="001A7B73" w:rsidP="00815065">
      <w:pPr>
        <w:pStyle w:val="BodyText"/>
      </w:pPr>
    </w:p>
    <w:p w14:paraId="61305C77" w14:textId="77777777" w:rsidR="001A7B73" w:rsidRDefault="001A7B73" w:rsidP="00815065">
      <w:pPr>
        <w:pStyle w:val="BodyText"/>
      </w:pPr>
    </w:p>
    <w:p w14:paraId="17583453" w14:textId="71813D2D" w:rsidR="001A7B73" w:rsidRDefault="001A7B73" w:rsidP="00815065">
      <w:pPr>
        <w:pStyle w:val="BodyText"/>
      </w:pPr>
      <w:r>
        <w:t>Associate:</w:t>
      </w:r>
    </w:p>
    <w:p w14:paraId="2DDC07A1" w14:textId="77777777" w:rsidR="001A7B73" w:rsidRDefault="001A7B73" w:rsidP="00815065">
      <w:pPr>
        <w:pStyle w:val="BodyText"/>
      </w:pPr>
    </w:p>
    <w:p w14:paraId="1F576749" w14:textId="279737B4" w:rsidR="001A7B73" w:rsidRDefault="001A7B73" w:rsidP="001A7B73">
      <w:pPr>
        <w:pStyle w:val="BodyText"/>
        <w:tabs>
          <w:tab w:val="left" w:pos="1134"/>
        </w:tabs>
      </w:pPr>
      <w:r>
        <w:t>Dated:</w:t>
      </w:r>
      <w:r>
        <w:tab/>
      </w:r>
      <w:bookmarkStart w:id="37" w:name="CertifyDated"/>
      <w:bookmarkEnd w:id="37"/>
      <w:r>
        <w:t>20 June 2022</w:t>
      </w:r>
    </w:p>
    <w:bookmarkEnd w:id="31"/>
    <w:p w14:paraId="7E91D88F" w14:textId="77777777" w:rsidR="001A7B73" w:rsidRPr="0018448A" w:rsidRDefault="001A7B73" w:rsidP="001A7B73">
      <w:pPr>
        <w:pStyle w:val="BodyText"/>
      </w:pPr>
    </w:p>
    <w:sectPr w:rsidR="001A7B73" w:rsidRPr="0018448A"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C7D96" w14:textId="77777777" w:rsidR="00256CB2" w:rsidRDefault="00256CB2">
      <w:pPr>
        <w:spacing w:line="20" w:lineRule="exact"/>
      </w:pPr>
    </w:p>
    <w:p w14:paraId="5C9A911F" w14:textId="77777777" w:rsidR="00256CB2" w:rsidRDefault="00256CB2"/>
    <w:p w14:paraId="30BE43DB" w14:textId="77777777" w:rsidR="00256CB2" w:rsidRDefault="00256CB2"/>
  </w:endnote>
  <w:endnote w:type="continuationSeparator" w:id="0">
    <w:p w14:paraId="784B7EA0" w14:textId="77777777" w:rsidR="00256CB2" w:rsidRDefault="00256CB2">
      <w:r>
        <w:t xml:space="preserve"> </w:t>
      </w:r>
    </w:p>
    <w:p w14:paraId="0345B864" w14:textId="77777777" w:rsidR="00256CB2" w:rsidRDefault="00256CB2"/>
    <w:p w14:paraId="24BF75F9" w14:textId="77777777" w:rsidR="00256CB2" w:rsidRDefault="00256CB2"/>
  </w:endnote>
  <w:endnote w:type="continuationNotice" w:id="1">
    <w:p w14:paraId="6AB4E8A4" w14:textId="77777777" w:rsidR="00256CB2" w:rsidRDefault="00256CB2">
      <w:r>
        <w:t xml:space="preserve"> </w:t>
      </w:r>
    </w:p>
    <w:p w14:paraId="394DBAAA" w14:textId="77777777" w:rsidR="00256CB2" w:rsidRDefault="00256CB2"/>
    <w:p w14:paraId="75FED27D" w14:textId="77777777" w:rsidR="00256CB2" w:rsidRDefault="00256C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6DBBE" w14:textId="77777777" w:rsidR="001A7B73" w:rsidRDefault="001A7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C4CF6" w14:textId="1FEDC5EF" w:rsidR="0030076D" w:rsidRPr="00C47B9D" w:rsidRDefault="0030076D"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7C16FD52" wp14:editId="19011F9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1328C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3E46C7">
          <w:rPr>
            <w:bCs/>
            <w:sz w:val="18"/>
            <w:szCs w:val="18"/>
          </w:rPr>
          <w:t>Australian Vaccination-Risks Network Incorporated v Secretary, Department of Health (No 2) [2022] FCA 706</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08AB6" w14:textId="24B08A23" w:rsidR="0030076D" w:rsidRPr="001A7B73" w:rsidRDefault="0030076D" w:rsidP="001A7B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F07D2" w14:textId="7C1EF297" w:rsidR="0030076D" w:rsidRPr="00C47B9D" w:rsidRDefault="0030076D"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5B258D70" wp14:editId="4AAFFA9F">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6F5D8F"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8D9CBD9367E244A0B09042D28583BA92"/>
        </w:placeholder>
        <w:dataBinding w:prefixMappings="xmlns:ns0='http://schemas.globalmacros.com/FCA'" w:xpath="/ns0:root[1]/ns0:Name[1]" w:storeItemID="{687E7CCB-4AA5-44E7-B148-17BA2B6F57C0}"/>
        <w:text w:multiLine="1"/>
      </w:sdtPr>
      <w:sdtEndPr/>
      <w:sdtContent>
        <w:r w:rsidR="003E46C7">
          <w:rPr>
            <w:bCs/>
            <w:sz w:val="18"/>
            <w:szCs w:val="18"/>
          </w:rPr>
          <w:t>Australian Vaccination-Risks Network Incorporated v Secretary, Department of Health (No 2) [2022] FCA 706</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4934C" w14:textId="2F008119" w:rsidR="0030076D" w:rsidRPr="00C47B9D" w:rsidRDefault="0030076D"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5C2E860B" wp14:editId="7FD93D7E">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DC3CA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337D5584E60A4E0080BDBF84F501CF3E"/>
        </w:placeholder>
        <w:dataBinding w:prefixMappings="xmlns:ns0='http://schemas.globalmacros.com/FCA'" w:xpath="/ns0:root[1]/ns0:Name[1]" w:storeItemID="{687E7CCB-4AA5-44E7-B148-17BA2B6F57C0}"/>
        <w:text w:multiLine="1"/>
      </w:sdtPr>
      <w:sdtEndPr/>
      <w:sdtContent>
        <w:r w:rsidR="003E46C7">
          <w:rPr>
            <w:bCs/>
            <w:sz w:val="18"/>
            <w:szCs w:val="18"/>
          </w:rPr>
          <w:t>Australian Vaccination-Risks Network Incorporated v Secretary, Department of Health (No 2) [2022] FCA 706</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8705DA">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F2CF2" w14:textId="5AAE714D" w:rsidR="0030076D" w:rsidRPr="00C47B9D" w:rsidRDefault="0030076D"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4C190162" wp14:editId="7656FB1E">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4CA347"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FDD63DA75CB4471AB2B343FE5ECDE279"/>
        </w:placeholder>
        <w:dataBinding w:prefixMappings="xmlns:ns0='http://schemas.globalmacros.com/FCA'" w:xpath="/ns0:root[1]/ns0:Name[1]" w:storeItemID="{687E7CCB-4AA5-44E7-B148-17BA2B6F57C0}"/>
        <w:text w:multiLine="1"/>
      </w:sdtPr>
      <w:sdtEndPr/>
      <w:sdtContent>
        <w:r w:rsidR="003E46C7">
          <w:rPr>
            <w:bCs/>
            <w:sz w:val="18"/>
            <w:szCs w:val="18"/>
          </w:rPr>
          <w:t>Australian Vaccination-Risks Network Incorporated v Secretary, Department of Health (No 2) [2022] FCA 706</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8705DA">
      <w:rPr>
        <w:bCs/>
        <w:noProof/>
        <w:sz w:val="20"/>
      </w:rPr>
      <w:t>14</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E91E3" w14:textId="61305B0E" w:rsidR="0030076D" w:rsidRPr="00C47B9D" w:rsidRDefault="0030076D"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01ECAB08" wp14:editId="6F6A1291">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F91862"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78FA99CA077644349510BC858A303A74"/>
        </w:placeholder>
        <w:dataBinding w:prefixMappings="xmlns:ns0='http://schemas.globalmacros.com/FCA'" w:xpath="/ns0:root[1]/ns0:Name[1]" w:storeItemID="{687E7CCB-4AA5-44E7-B148-17BA2B6F57C0}"/>
        <w:text w:multiLine="1"/>
      </w:sdtPr>
      <w:sdtEndPr/>
      <w:sdtContent>
        <w:r w:rsidR="003E46C7">
          <w:rPr>
            <w:bCs/>
            <w:sz w:val="18"/>
            <w:szCs w:val="18"/>
          </w:rPr>
          <w:t>Australian Vaccination-Risks Network Incorporated v Secretary, Department of Health (No 2) [2022] FCA 706</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8705DA">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0D49E" w14:textId="77777777" w:rsidR="00256CB2" w:rsidRDefault="00256CB2"/>
  </w:footnote>
  <w:footnote w:type="continuationSeparator" w:id="0">
    <w:p w14:paraId="308B91CD" w14:textId="77777777" w:rsidR="00256CB2" w:rsidRDefault="00256CB2">
      <w:r>
        <w:continuationSeparator/>
      </w:r>
    </w:p>
    <w:p w14:paraId="75654168" w14:textId="77777777" w:rsidR="00256CB2" w:rsidRDefault="00256CB2"/>
    <w:p w14:paraId="488B2E1D" w14:textId="77777777" w:rsidR="00256CB2" w:rsidRDefault="00256CB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269CF" w14:textId="77777777" w:rsidR="001A7B73" w:rsidRDefault="001A7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847E4" w14:textId="77777777" w:rsidR="001A7B73" w:rsidRDefault="001A7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FD023" w14:textId="77777777" w:rsidR="001A7B73" w:rsidRDefault="001A7B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C3D7A" w14:textId="77777777" w:rsidR="0030076D" w:rsidRDefault="0030076D">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817EC" w14:textId="77777777" w:rsidR="0030076D" w:rsidRDefault="0030076D">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5C0E1" w14:textId="77777777" w:rsidR="0030076D" w:rsidRDefault="0030076D"/>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22F3A" w14:textId="77777777" w:rsidR="0030076D" w:rsidRDefault="0030076D">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65626" w14:textId="77777777" w:rsidR="0030076D" w:rsidRDefault="0030076D"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D2DAA"/>
    <w:multiLevelType w:val="singleLevel"/>
    <w:tmpl w:val="DE9249FE"/>
    <w:lvl w:ilvl="0">
      <w:start w:val="3"/>
      <w:numFmt w:val="decimal"/>
      <w:lvlText w:val="%1."/>
      <w:lvlJc w:val="left"/>
      <w:pPr>
        <w:tabs>
          <w:tab w:val="num" w:pos="720"/>
        </w:tabs>
        <w:ind w:left="720" w:hanging="720"/>
      </w:pPr>
      <w:rPr>
        <w:rFonts w:hint="default"/>
      </w:rPr>
    </w:lvl>
  </w:abstractNum>
  <w:abstractNum w:abstractNumId="11"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2"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156D36EF"/>
    <w:multiLevelType w:val="hybridMultilevel"/>
    <w:tmpl w:val="7CF2C53C"/>
    <w:lvl w:ilvl="0" w:tplc="29D09562">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4"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5"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6"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7"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8"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9"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1" w15:restartNumberingAfterBreak="0">
    <w:nsid w:val="3C9903B8"/>
    <w:multiLevelType w:val="singleLevel"/>
    <w:tmpl w:val="8B2A6328"/>
    <w:lvl w:ilvl="0">
      <w:start w:val="1"/>
      <w:numFmt w:val="decimal"/>
      <w:lvlText w:val="%1"/>
      <w:lvlJc w:val="left"/>
      <w:pPr>
        <w:tabs>
          <w:tab w:val="num" w:pos="0"/>
        </w:tabs>
        <w:ind w:left="0" w:hanging="720"/>
      </w:pPr>
      <w:rPr>
        <w:sz w:val="20"/>
      </w:rPr>
    </w:lvl>
  </w:abstractNum>
  <w:abstractNum w:abstractNumId="22" w15:restartNumberingAfterBreak="0">
    <w:nsid w:val="494817A7"/>
    <w:multiLevelType w:val="multilevel"/>
    <w:tmpl w:val="0F0EC90E"/>
    <w:numStyleLink w:val="FCListNo"/>
  </w:abstractNum>
  <w:abstractNum w:abstractNumId="23"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736C9D"/>
    <w:multiLevelType w:val="multilevel"/>
    <w:tmpl w:val="0C090023"/>
    <w:styleLink w:val="ArticleSection"/>
    <w:lvl w:ilvl="0">
      <w:start w:val="1"/>
      <w:numFmt w:val="upperRoman"/>
      <w:pStyle w:val="NumberedList"/>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7"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23"/>
  </w:num>
  <w:num w:numId="14">
    <w:abstractNumId w:val="24"/>
  </w:num>
  <w:num w:numId="15">
    <w:abstractNumId w:val="27"/>
  </w:num>
  <w:num w:numId="16">
    <w:abstractNumId w:val="15"/>
  </w:num>
  <w:num w:numId="17">
    <w:abstractNumId w:val="26"/>
  </w:num>
  <w:num w:numId="18">
    <w:abstractNumId w:val="12"/>
  </w:num>
  <w:num w:numId="19">
    <w:abstractNumId w:val="20"/>
  </w:num>
  <w:num w:numId="20">
    <w:abstractNumId w:val="17"/>
  </w:num>
  <w:num w:numId="21">
    <w:abstractNumId w:val="18"/>
  </w:num>
  <w:num w:numId="22">
    <w:abstractNumId w:val="22"/>
  </w:num>
  <w:num w:numId="23">
    <w:abstractNumId w:val="11"/>
  </w:num>
  <w:num w:numId="24">
    <w:abstractNumId w:val="11"/>
  </w:num>
  <w:num w:numId="25">
    <w:abstractNumId w:val="14"/>
  </w:num>
  <w:num w:numId="26">
    <w:abstractNumId w:val="19"/>
  </w:num>
  <w:num w:numId="27">
    <w:abstractNumId w:val="19"/>
  </w:num>
  <w:num w:numId="28">
    <w:abstractNumId w:val="19"/>
  </w:num>
  <w:num w:numId="29">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0"/>
  </w:num>
  <w:num w:numId="32">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num>
  <w:num w:numId="35">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6385">
      <o:colormenu v:ext="edit" fillcolor="none"/>
    </o:shapedefaults>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5B8"/>
    <w:rsid w:val="00000747"/>
    <w:rsid w:val="000013D6"/>
    <w:rsid w:val="000027D0"/>
    <w:rsid w:val="00002C74"/>
    <w:rsid w:val="000115C5"/>
    <w:rsid w:val="00012CB1"/>
    <w:rsid w:val="00012CFE"/>
    <w:rsid w:val="0001469E"/>
    <w:rsid w:val="00015993"/>
    <w:rsid w:val="00020070"/>
    <w:rsid w:val="00020502"/>
    <w:rsid w:val="00020E07"/>
    <w:rsid w:val="000219B5"/>
    <w:rsid w:val="00021CCB"/>
    <w:rsid w:val="00022289"/>
    <w:rsid w:val="000223BB"/>
    <w:rsid w:val="000237E9"/>
    <w:rsid w:val="00023EB8"/>
    <w:rsid w:val="000247DE"/>
    <w:rsid w:val="000262BA"/>
    <w:rsid w:val="00026F3C"/>
    <w:rsid w:val="00027398"/>
    <w:rsid w:val="00027720"/>
    <w:rsid w:val="00031740"/>
    <w:rsid w:val="0003201A"/>
    <w:rsid w:val="0003207A"/>
    <w:rsid w:val="0003282E"/>
    <w:rsid w:val="00032860"/>
    <w:rsid w:val="00032F9F"/>
    <w:rsid w:val="00034BD6"/>
    <w:rsid w:val="00041AFD"/>
    <w:rsid w:val="00041C07"/>
    <w:rsid w:val="00041FAB"/>
    <w:rsid w:val="00042D81"/>
    <w:rsid w:val="00042EF6"/>
    <w:rsid w:val="00045B49"/>
    <w:rsid w:val="00045BB7"/>
    <w:rsid w:val="00046044"/>
    <w:rsid w:val="00050B56"/>
    <w:rsid w:val="000514C9"/>
    <w:rsid w:val="0005274A"/>
    <w:rsid w:val="000552F3"/>
    <w:rsid w:val="00055719"/>
    <w:rsid w:val="0005641B"/>
    <w:rsid w:val="0006196A"/>
    <w:rsid w:val="0006466B"/>
    <w:rsid w:val="000650F0"/>
    <w:rsid w:val="00067C29"/>
    <w:rsid w:val="00071FB3"/>
    <w:rsid w:val="0007689A"/>
    <w:rsid w:val="0007754D"/>
    <w:rsid w:val="00077768"/>
    <w:rsid w:val="00081497"/>
    <w:rsid w:val="000831EC"/>
    <w:rsid w:val="00084126"/>
    <w:rsid w:val="00085255"/>
    <w:rsid w:val="000877D1"/>
    <w:rsid w:val="00092AFF"/>
    <w:rsid w:val="00093DA3"/>
    <w:rsid w:val="0009496A"/>
    <w:rsid w:val="00095649"/>
    <w:rsid w:val="000A0CF0"/>
    <w:rsid w:val="000A17D0"/>
    <w:rsid w:val="000A1FFE"/>
    <w:rsid w:val="000A2CD0"/>
    <w:rsid w:val="000A2E76"/>
    <w:rsid w:val="000A35FF"/>
    <w:rsid w:val="000A364E"/>
    <w:rsid w:val="000A4807"/>
    <w:rsid w:val="000A4BE4"/>
    <w:rsid w:val="000A4CB5"/>
    <w:rsid w:val="000A7600"/>
    <w:rsid w:val="000B0C65"/>
    <w:rsid w:val="000B2B06"/>
    <w:rsid w:val="000B395E"/>
    <w:rsid w:val="000B4F84"/>
    <w:rsid w:val="000C023E"/>
    <w:rsid w:val="000C1448"/>
    <w:rsid w:val="000C2731"/>
    <w:rsid w:val="000C2BA4"/>
    <w:rsid w:val="000C3526"/>
    <w:rsid w:val="000C405D"/>
    <w:rsid w:val="000C5195"/>
    <w:rsid w:val="000C62EF"/>
    <w:rsid w:val="000C7753"/>
    <w:rsid w:val="000D2137"/>
    <w:rsid w:val="000D3FD2"/>
    <w:rsid w:val="000D4B2E"/>
    <w:rsid w:val="000D5D12"/>
    <w:rsid w:val="000E071C"/>
    <w:rsid w:val="000E309F"/>
    <w:rsid w:val="000E3FC8"/>
    <w:rsid w:val="000E6869"/>
    <w:rsid w:val="000E7BAE"/>
    <w:rsid w:val="000F133D"/>
    <w:rsid w:val="000F182C"/>
    <w:rsid w:val="000F449E"/>
    <w:rsid w:val="00102890"/>
    <w:rsid w:val="00102D15"/>
    <w:rsid w:val="00103E07"/>
    <w:rsid w:val="0010536B"/>
    <w:rsid w:val="0010583C"/>
    <w:rsid w:val="00105D67"/>
    <w:rsid w:val="001100BE"/>
    <w:rsid w:val="001104F9"/>
    <w:rsid w:val="00110707"/>
    <w:rsid w:val="0011145C"/>
    <w:rsid w:val="001128BD"/>
    <w:rsid w:val="00113674"/>
    <w:rsid w:val="0011419D"/>
    <w:rsid w:val="00114B02"/>
    <w:rsid w:val="001206F2"/>
    <w:rsid w:val="001219F2"/>
    <w:rsid w:val="00122539"/>
    <w:rsid w:val="001226C0"/>
    <w:rsid w:val="00123B51"/>
    <w:rsid w:val="0012481F"/>
    <w:rsid w:val="0012640E"/>
    <w:rsid w:val="00126EC8"/>
    <w:rsid w:val="001272AC"/>
    <w:rsid w:val="0012731C"/>
    <w:rsid w:val="00127D25"/>
    <w:rsid w:val="00132054"/>
    <w:rsid w:val="001332C7"/>
    <w:rsid w:val="00134964"/>
    <w:rsid w:val="001351B9"/>
    <w:rsid w:val="00137AC4"/>
    <w:rsid w:val="0014057C"/>
    <w:rsid w:val="00147BF1"/>
    <w:rsid w:val="00151334"/>
    <w:rsid w:val="00151E35"/>
    <w:rsid w:val="001534FB"/>
    <w:rsid w:val="0015409C"/>
    <w:rsid w:val="00155CD2"/>
    <w:rsid w:val="00161ADB"/>
    <w:rsid w:val="0016217E"/>
    <w:rsid w:val="00162BCA"/>
    <w:rsid w:val="0017131C"/>
    <w:rsid w:val="001727A4"/>
    <w:rsid w:val="0017376C"/>
    <w:rsid w:val="001738AB"/>
    <w:rsid w:val="001765E0"/>
    <w:rsid w:val="00176B1D"/>
    <w:rsid w:val="00177759"/>
    <w:rsid w:val="00180BB3"/>
    <w:rsid w:val="0018247D"/>
    <w:rsid w:val="00183625"/>
    <w:rsid w:val="001836E0"/>
    <w:rsid w:val="0018448A"/>
    <w:rsid w:val="0018540A"/>
    <w:rsid w:val="00185DD6"/>
    <w:rsid w:val="00185E6B"/>
    <w:rsid w:val="00187BBC"/>
    <w:rsid w:val="0019049D"/>
    <w:rsid w:val="001917A9"/>
    <w:rsid w:val="001932F3"/>
    <w:rsid w:val="00193FC8"/>
    <w:rsid w:val="0019506C"/>
    <w:rsid w:val="00195259"/>
    <w:rsid w:val="001957A9"/>
    <w:rsid w:val="001965CB"/>
    <w:rsid w:val="001976F2"/>
    <w:rsid w:val="001979DB"/>
    <w:rsid w:val="001A0CAD"/>
    <w:rsid w:val="001A2130"/>
    <w:rsid w:val="001A2B40"/>
    <w:rsid w:val="001A2BA9"/>
    <w:rsid w:val="001A4309"/>
    <w:rsid w:val="001A46AE"/>
    <w:rsid w:val="001A4776"/>
    <w:rsid w:val="001A5F56"/>
    <w:rsid w:val="001A6C52"/>
    <w:rsid w:val="001A7B73"/>
    <w:rsid w:val="001B0049"/>
    <w:rsid w:val="001B1053"/>
    <w:rsid w:val="001B14AC"/>
    <w:rsid w:val="001B33E7"/>
    <w:rsid w:val="001B41EA"/>
    <w:rsid w:val="001B73B6"/>
    <w:rsid w:val="001B7940"/>
    <w:rsid w:val="001B7CD5"/>
    <w:rsid w:val="001C16F6"/>
    <w:rsid w:val="001C171A"/>
    <w:rsid w:val="001C2FE0"/>
    <w:rsid w:val="001C37CA"/>
    <w:rsid w:val="001C38A7"/>
    <w:rsid w:val="001C4085"/>
    <w:rsid w:val="001C58A8"/>
    <w:rsid w:val="001D0835"/>
    <w:rsid w:val="001D0F26"/>
    <w:rsid w:val="001D36EE"/>
    <w:rsid w:val="001D4303"/>
    <w:rsid w:val="001D6746"/>
    <w:rsid w:val="001E0C61"/>
    <w:rsid w:val="001E1F5C"/>
    <w:rsid w:val="001E324F"/>
    <w:rsid w:val="001E329A"/>
    <w:rsid w:val="001E3B49"/>
    <w:rsid w:val="001E4A05"/>
    <w:rsid w:val="001E6A19"/>
    <w:rsid w:val="001E7388"/>
    <w:rsid w:val="001E7C07"/>
    <w:rsid w:val="001F13DD"/>
    <w:rsid w:val="001F2473"/>
    <w:rsid w:val="001F2A8F"/>
    <w:rsid w:val="001F2DBC"/>
    <w:rsid w:val="001F73E8"/>
    <w:rsid w:val="001F7BEE"/>
    <w:rsid w:val="001F7E56"/>
    <w:rsid w:val="0020040C"/>
    <w:rsid w:val="002019F4"/>
    <w:rsid w:val="00201C54"/>
    <w:rsid w:val="0020262C"/>
    <w:rsid w:val="00202723"/>
    <w:rsid w:val="00204534"/>
    <w:rsid w:val="002047EB"/>
    <w:rsid w:val="00205A15"/>
    <w:rsid w:val="0020645B"/>
    <w:rsid w:val="00207DAA"/>
    <w:rsid w:val="00211A3E"/>
    <w:rsid w:val="00213F20"/>
    <w:rsid w:val="00214055"/>
    <w:rsid w:val="0021516B"/>
    <w:rsid w:val="00215BCA"/>
    <w:rsid w:val="002160F5"/>
    <w:rsid w:val="00217AC4"/>
    <w:rsid w:val="00221461"/>
    <w:rsid w:val="00222FA4"/>
    <w:rsid w:val="00223420"/>
    <w:rsid w:val="00224537"/>
    <w:rsid w:val="00224D97"/>
    <w:rsid w:val="00225059"/>
    <w:rsid w:val="00231FA3"/>
    <w:rsid w:val="002332D9"/>
    <w:rsid w:val="00235956"/>
    <w:rsid w:val="002360F6"/>
    <w:rsid w:val="00240C0C"/>
    <w:rsid w:val="00241813"/>
    <w:rsid w:val="00242C7B"/>
    <w:rsid w:val="00243E5E"/>
    <w:rsid w:val="00244EA4"/>
    <w:rsid w:val="00245E44"/>
    <w:rsid w:val="002467A6"/>
    <w:rsid w:val="00247C9A"/>
    <w:rsid w:val="0025160C"/>
    <w:rsid w:val="00252CBA"/>
    <w:rsid w:val="002535D0"/>
    <w:rsid w:val="002539B3"/>
    <w:rsid w:val="00254E03"/>
    <w:rsid w:val="00256336"/>
    <w:rsid w:val="00256CB2"/>
    <w:rsid w:val="00257C3E"/>
    <w:rsid w:val="00257E8C"/>
    <w:rsid w:val="002602C2"/>
    <w:rsid w:val="002604E1"/>
    <w:rsid w:val="00260677"/>
    <w:rsid w:val="002639BD"/>
    <w:rsid w:val="00265904"/>
    <w:rsid w:val="002666C9"/>
    <w:rsid w:val="00266E90"/>
    <w:rsid w:val="00270136"/>
    <w:rsid w:val="002703FB"/>
    <w:rsid w:val="00270FD7"/>
    <w:rsid w:val="0027170B"/>
    <w:rsid w:val="00274F5B"/>
    <w:rsid w:val="00275A0D"/>
    <w:rsid w:val="002774EA"/>
    <w:rsid w:val="002778C1"/>
    <w:rsid w:val="00280836"/>
    <w:rsid w:val="002808C4"/>
    <w:rsid w:val="00282054"/>
    <w:rsid w:val="00282E1A"/>
    <w:rsid w:val="0028344C"/>
    <w:rsid w:val="002840F1"/>
    <w:rsid w:val="00285922"/>
    <w:rsid w:val="0028681E"/>
    <w:rsid w:val="00290611"/>
    <w:rsid w:val="0029113B"/>
    <w:rsid w:val="00292471"/>
    <w:rsid w:val="00293134"/>
    <w:rsid w:val="002934C0"/>
    <w:rsid w:val="00293E1F"/>
    <w:rsid w:val="00294A1C"/>
    <w:rsid w:val="0029726C"/>
    <w:rsid w:val="0029764C"/>
    <w:rsid w:val="002A0A84"/>
    <w:rsid w:val="002A1660"/>
    <w:rsid w:val="002A1B50"/>
    <w:rsid w:val="002A28FD"/>
    <w:rsid w:val="002A34BD"/>
    <w:rsid w:val="002B0E91"/>
    <w:rsid w:val="002B132C"/>
    <w:rsid w:val="002B3F23"/>
    <w:rsid w:val="002B4EB5"/>
    <w:rsid w:val="002B5AF5"/>
    <w:rsid w:val="002B6779"/>
    <w:rsid w:val="002B71C0"/>
    <w:rsid w:val="002B7A34"/>
    <w:rsid w:val="002C0F63"/>
    <w:rsid w:val="002C31AD"/>
    <w:rsid w:val="002C351F"/>
    <w:rsid w:val="002C5117"/>
    <w:rsid w:val="002C5717"/>
    <w:rsid w:val="002C6202"/>
    <w:rsid w:val="002C6739"/>
    <w:rsid w:val="002C6A90"/>
    <w:rsid w:val="002C7385"/>
    <w:rsid w:val="002D2DBB"/>
    <w:rsid w:val="002D37D8"/>
    <w:rsid w:val="002D49D2"/>
    <w:rsid w:val="002D54A6"/>
    <w:rsid w:val="002D7CD1"/>
    <w:rsid w:val="002E073A"/>
    <w:rsid w:val="002E3779"/>
    <w:rsid w:val="002E39BB"/>
    <w:rsid w:val="002E3E38"/>
    <w:rsid w:val="002E443C"/>
    <w:rsid w:val="002E53D3"/>
    <w:rsid w:val="002E5BF9"/>
    <w:rsid w:val="002E6A7A"/>
    <w:rsid w:val="002E7C8E"/>
    <w:rsid w:val="002F1E49"/>
    <w:rsid w:val="002F2EF1"/>
    <w:rsid w:val="002F4E9C"/>
    <w:rsid w:val="002F5787"/>
    <w:rsid w:val="002F6E15"/>
    <w:rsid w:val="003001B0"/>
    <w:rsid w:val="0030076D"/>
    <w:rsid w:val="00300FC6"/>
    <w:rsid w:val="00302F4E"/>
    <w:rsid w:val="0030333F"/>
    <w:rsid w:val="00303849"/>
    <w:rsid w:val="00306941"/>
    <w:rsid w:val="00306A8C"/>
    <w:rsid w:val="00307768"/>
    <w:rsid w:val="0031256C"/>
    <w:rsid w:val="00313677"/>
    <w:rsid w:val="00314D6C"/>
    <w:rsid w:val="00316D2A"/>
    <w:rsid w:val="003207FE"/>
    <w:rsid w:val="00322A7C"/>
    <w:rsid w:val="00322EEC"/>
    <w:rsid w:val="00323061"/>
    <w:rsid w:val="00327EE6"/>
    <w:rsid w:val="00332088"/>
    <w:rsid w:val="0033341C"/>
    <w:rsid w:val="00333CB2"/>
    <w:rsid w:val="003402D3"/>
    <w:rsid w:val="0034068E"/>
    <w:rsid w:val="003409A4"/>
    <w:rsid w:val="00343ABC"/>
    <w:rsid w:val="003463FE"/>
    <w:rsid w:val="003472FC"/>
    <w:rsid w:val="00347C84"/>
    <w:rsid w:val="00347D41"/>
    <w:rsid w:val="00351246"/>
    <w:rsid w:val="003554B3"/>
    <w:rsid w:val="00355AEF"/>
    <w:rsid w:val="00356632"/>
    <w:rsid w:val="00356B61"/>
    <w:rsid w:val="00356C14"/>
    <w:rsid w:val="00357C7E"/>
    <w:rsid w:val="003601D4"/>
    <w:rsid w:val="00361484"/>
    <w:rsid w:val="00361FB3"/>
    <w:rsid w:val="00362048"/>
    <w:rsid w:val="0036441B"/>
    <w:rsid w:val="003653B6"/>
    <w:rsid w:val="003671A7"/>
    <w:rsid w:val="00370327"/>
    <w:rsid w:val="00372916"/>
    <w:rsid w:val="00374477"/>
    <w:rsid w:val="0037457C"/>
    <w:rsid w:val="00374CC4"/>
    <w:rsid w:val="00375CFB"/>
    <w:rsid w:val="00376DD6"/>
    <w:rsid w:val="003774B2"/>
    <w:rsid w:val="00380F2D"/>
    <w:rsid w:val="0038343B"/>
    <w:rsid w:val="0038401F"/>
    <w:rsid w:val="003845A9"/>
    <w:rsid w:val="003850C9"/>
    <w:rsid w:val="00385A07"/>
    <w:rsid w:val="00390883"/>
    <w:rsid w:val="003917C9"/>
    <w:rsid w:val="003922F8"/>
    <w:rsid w:val="00392E8E"/>
    <w:rsid w:val="00395B24"/>
    <w:rsid w:val="00396F1D"/>
    <w:rsid w:val="003A1109"/>
    <w:rsid w:val="003A2D38"/>
    <w:rsid w:val="003A5444"/>
    <w:rsid w:val="003A65F5"/>
    <w:rsid w:val="003A7BE7"/>
    <w:rsid w:val="003A7C8E"/>
    <w:rsid w:val="003A7ECC"/>
    <w:rsid w:val="003B16C8"/>
    <w:rsid w:val="003B2C72"/>
    <w:rsid w:val="003B3307"/>
    <w:rsid w:val="003B4BBF"/>
    <w:rsid w:val="003B58B4"/>
    <w:rsid w:val="003B69AE"/>
    <w:rsid w:val="003B782B"/>
    <w:rsid w:val="003C1333"/>
    <w:rsid w:val="003C1761"/>
    <w:rsid w:val="003C1BA3"/>
    <w:rsid w:val="003C20FF"/>
    <w:rsid w:val="003C550A"/>
    <w:rsid w:val="003C6055"/>
    <w:rsid w:val="003C652C"/>
    <w:rsid w:val="003D0480"/>
    <w:rsid w:val="003D2650"/>
    <w:rsid w:val="003D3B8D"/>
    <w:rsid w:val="003D3BEB"/>
    <w:rsid w:val="003D51D0"/>
    <w:rsid w:val="003D560C"/>
    <w:rsid w:val="003D5C00"/>
    <w:rsid w:val="003D719C"/>
    <w:rsid w:val="003E287E"/>
    <w:rsid w:val="003E3154"/>
    <w:rsid w:val="003E46C7"/>
    <w:rsid w:val="003E5874"/>
    <w:rsid w:val="003E72D3"/>
    <w:rsid w:val="003F193E"/>
    <w:rsid w:val="003F242C"/>
    <w:rsid w:val="003F3414"/>
    <w:rsid w:val="003F34F1"/>
    <w:rsid w:val="003F37E4"/>
    <w:rsid w:val="003F3F2F"/>
    <w:rsid w:val="003F42BC"/>
    <w:rsid w:val="003F4416"/>
    <w:rsid w:val="003F52D9"/>
    <w:rsid w:val="003F5472"/>
    <w:rsid w:val="003F56BF"/>
    <w:rsid w:val="003F7B89"/>
    <w:rsid w:val="00400756"/>
    <w:rsid w:val="004016C3"/>
    <w:rsid w:val="00401853"/>
    <w:rsid w:val="004031D8"/>
    <w:rsid w:val="00405CFC"/>
    <w:rsid w:val="0040676B"/>
    <w:rsid w:val="00407073"/>
    <w:rsid w:val="00407CAF"/>
    <w:rsid w:val="004104B6"/>
    <w:rsid w:val="00411AE8"/>
    <w:rsid w:val="00413B74"/>
    <w:rsid w:val="00415236"/>
    <w:rsid w:val="00415838"/>
    <w:rsid w:val="00420238"/>
    <w:rsid w:val="00421D11"/>
    <w:rsid w:val="004253C6"/>
    <w:rsid w:val="00426E37"/>
    <w:rsid w:val="004310E9"/>
    <w:rsid w:val="004342F3"/>
    <w:rsid w:val="00435C5F"/>
    <w:rsid w:val="00436155"/>
    <w:rsid w:val="00436460"/>
    <w:rsid w:val="00436967"/>
    <w:rsid w:val="00436A76"/>
    <w:rsid w:val="00441850"/>
    <w:rsid w:val="00441E98"/>
    <w:rsid w:val="00443627"/>
    <w:rsid w:val="004456A0"/>
    <w:rsid w:val="004468CD"/>
    <w:rsid w:val="00447025"/>
    <w:rsid w:val="00450F3A"/>
    <w:rsid w:val="004532F7"/>
    <w:rsid w:val="00454291"/>
    <w:rsid w:val="004547B3"/>
    <w:rsid w:val="00456267"/>
    <w:rsid w:val="0045702D"/>
    <w:rsid w:val="0046202E"/>
    <w:rsid w:val="00462D28"/>
    <w:rsid w:val="004641C8"/>
    <w:rsid w:val="0046482F"/>
    <w:rsid w:val="00464C19"/>
    <w:rsid w:val="00464D51"/>
    <w:rsid w:val="004650A7"/>
    <w:rsid w:val="004664A6"/>
    <w:rsid w:val="00472027"/>
    <w:rsid w:val="004771EF"/>
    <w:rsid w:val="004804CF"/>
    <w:rsid w:val="00483314"/>
    <w:rsid w:val="00484962"/>
    <w:rsid w:val="00484DE2"/>
    <w:rsid w:val="00484F6D"/>
    <w:rsid w:val="00484FB7"/>
    <w:rsid w:val="0048554D"/>
    <w:rsid w:val="004857CD"/>
    <w:rsid w:val="0048655C"/>
    <w:rsid w:val="0048762D"/>
    <w:rsid w:val="00490A70"/>
    <w:rsid w:val="00492696"/>
    <w:rsid w:val="0049338A"/>
    <w:rsid w:val="00493F2C"/>
    <w:rsid w:val="0049417F"/>
    <w:rsid w:val="00496D41"/>
    <w:rsid w:val="00497029"/>
    <w:rsid w:val="004A0F5B"/>
    <w:rsid w:val="004A34CC"/>
    <w:rsid w:val="004A4325"/>
    <w:rsid w:val="004A6602"/>
    <w:rsid w:val="004B1980"/>
    <w:rsid w:val="004B3EFA"/>
    <w:rsid w:val="004C2A87"/>
    <w:rsid w:val="004C4D7B"/>
    <w:rsid w:val="004C4ED3"/>
    <w:rsid w:val="004C667B"/>
    <w:rsid w:val="004C7ECD"/>
    <w:rsid w:val="004D0023"/>
    <w:rsid w:val="004D05EA"/>
    <w:rsid w:val="004D0D1A"/>
    <w:rsid w:val="004D0DB9"/>
    <w:rsid w:val="004D21D3"/>
    <w:rsid w:val="004D2EA5"/>
    <w:rsid w:val="004D32A6"/>
    <w:rsid w:val="004D4DC0"/>
    <w:rsid w:val="004D53E5"/>
    <w:rsid w:val="004D53F9"/>
    <w:rsid w:val="004D7406"/>
    <w:rsid w:val="004D7950"/>
    <w:rsid w:val="004D7DD6"/>
    <w:rsid w:val="004D7F26"/>
    <w:rsid w:val="004E34CB"/>
    <w:rsid w:val="004E362B"/>
    <w:rsid w:val="004E3E88"/>
    <w:rsid w:val="004E4DE4"/>
    <w:rsid w:val="004E55B8"/>
    <w:rsid w:val="004E6DC4"/>
    <w:rsid w:val="004E775D"/>
    <w:rsid w:val="004F21C1"/>
    <w:rsid w:val="004F42D0"/>
    <w:rsid w:val="004F4D8D"/>
    <w:rsid w:val="004F68D3"/>
    <w:rsid w:val="00500360"/>
    <w:rsid w:val="00500CA9"/>
    <w:rsid w:val="00501A12"/>
    <w:rsid w:val="00501C39"/>
    <w:rsid w:val="0050309C"/>
    <w:rsid w:val="005034D4"/>
    <w:rsid w:val="00503A1C"/>
    <w:rsid w:val="00507461"/>
    <w:rsid w:val="00512524"/>
    <w:rsid w:val="0051327C"/>
    <w:rsid w:val="0051346D"/>
    <w:rsid w:val="00513EAE"/>
    <w:rsid w:val="0051434F"/>
    <w:rsid w:val="00514B88"/>
    <w:rsid w:val="00515494"/>
    <w:rsid w:val="00516806"/>
    <w:rsid w:val="00516B0F"/>
    <w:rsid w:val="00517A7E"/>
    <w:rsid w:val="0052098C"/>
    <w:rsid w:val="00520CB6"/>
    <w:rsid w:val="00521F64"/>
    <w:rsid w:val="00525A49"/>
    <w:rsid w:val="005262D1"/>
    <w:rsid w:val="00530525"/>
    <w:rsid w:val="00530876"/>
    <w:rsid w:val="00530E18"/>
    <w:rsid w:val="00531FD1"/>
    <w:rsid w:val="0053214F"/>
    <w:rsid w:val="00535613"/>
    <w:rsid w:val="005359EB"/>
    <w:rsid w:val="0054254A"/>
    <w:rsid w:val="0054500B"/>
    <w:rsid w:val="005466B5"/>
    <w:rsid w:val="005521FC"/>
    <w:rsid w:val="005532F4"/>
    <w:rsid w:val="00554314"/>
    <w:rsid w:val="00555978"/>
    <w:rsid w:val="00556B6C"/>
    <w:rsid w:val="00561BA2"/>
    <w:rsid w:val="00562829"/>
    <w:rsid w:val="005629B3"/>
    <w:rsid w:val="005657BC"/>
    <w:rsid w:val="0057040F"/>
    <w:rsid w:val="0057128A"/>
    <w:rsid w:val="005712B0"/>
    <w:rsid w:val="005724F6"/>
    <w:rsid w:val="00572736"/>
    <w:rsid w:val="00573AC4"/>
    <w:rsid w:val="005767FE"/>
    <w:rsid w:val="00577FB4"/>
    <w:rsid w:val="005801FC"/>
    <w:rsid w:val="005824F4"/>
    <w:rsid w:val="00582AAD"/>
    <w:rsid w:val="005856B1"/>
    <w:rsid w:val="00585BA9"/>
    <w:rsid w:val="00587359"/>
    <w:rsid w:val="00587990"/>
    <w:rsid w:val="005879C8"/>
    <w:rsid w:val="00590485"/>
    <w:rsid w:val="00591997"/>
    <w:rsid w:val="00595016"/>
    <w:rsid w:val="005951D6"/>
    <w:rsid w:val="00596896"/>
    <w:rsid w:val="00597AAE"/>
    <w:rsid w:val="00597FF2"/>
    <w:rsid w:val="005A222C"/>
    <w:rsid w:val="005A311E"/>
    <w:rsid w:val="005A348A"/>
    <w:rsid w:val="005A4DF8"/>
    <w:rsid w:val="005A587C"/>
    <w:rsid w:val="005A5B18"/>
    <w:rsid w:val="005A78C8"/>
    <w:rsid w:val="005B05D8"/>
    <w:rsid w:val="005B1426"/>
    <w:rsid w:val="005B2BF5"/>
    <w:rsid w:val="005C0A8E"/>
    <w:rsid w:val="005C1767"/>
    <w:rsid w:val="005C185C"/>
    <w:rsid w:val="005C1DD4"/>
    <w:rsid w:val="005C29A7"/>
    <w:rsid w:val="005C42EF"/>
    <w:rsid w:val="005D2925"/>
    <w:rsid w:val="005D2BB5"/>
    <w:rsid w:val="005D3A4D"/>
    <w:rsid w:val="005D52A2"/>
    <w:rsid w:val="005D796B"/>
    <w:rsid w:val="005E02F5"/>
    <w:rsid w:val="005E0510"/>
    <w:rsid w:val="005E176E"/>
    <w:rsid w:val="005E218E"/>
    <w:rsid w:val="005E35A0"/>
    <w:rsid w:val="005E6701"/>
    <w:rsid w:val="005E6FE5"/>
    <w:rsid w:val="005E76D4"/>
    <w:rsid w:val="005F0D1B"/>
    <w:rsid w:val="005F0DAE"/>
    <w:rsid w:val="005F12A4"/>
    <w:rsid w:val="005F1865"/>
    <w:rsid w:val="005F263A"/>
    <w:rsid w:val="005F340A"/>
    <w:rsid w:val="005F4133"/>
    <w:rsid w:val="006007BD"/>
    <w:rsid w:val="00600C8B"/>
    <w:rsid w:val="006013C8"/>
    <w:rsid w:val="0060270D"/>
    <w:rsid w:val="00602D7F"/>
    <w:rsid w:val="00603297"/>
    <w:rsid w:val="006035B4"/>
    <w:rsid w:val="006038D3"/>
    <w:rsid w:val="00603CA5"/>
    <w:rsid w:val="00604342"/>
    <w:rsid w:val="00604611"/>
    <w:rsid w:val="006109B7"/>
    <w:rsid w:val="00611586"/>
    <w:rsid w:val="00612D26"/>
    <w:rsid w:val="00614570"/>
    <w:rsid w:val="00614CF8"/>
    <w:rsid w:val="00615855"/>
    <w:rsid w:val="00617B12"/>
    <w:rsid w:val="00620DA8"/>
    <w:rsid w:val="00621887"/>
    <w:rsid w:val="00624520"/>
    <w:rsid w:val="0062595A"/>
    <w:rsid w:val="0062660D"/>
    <w:rsid w:val="006271F5"/>
    <w:rsid w:val="00632300"/>
    <w:rsid w:val="00632BB7"/>
    <w:rsid w:val="00634802"/>
    <w:rsid w:val="00635B36"/>
    <w:rsid w:val="00636871"/>
    <w:rsid w:val="006407EA"/>
    <w:rsid w:val="00640EE1"/>
    <w:rsid w:val="00640F4E"/>
    <w:rsid w:val="00642BE7"/>
    <w:rsid w:val="00643687"/>
    <w:rsid w:val="00643DE0"/>
    <w:rsid w:val="00644308"/>
    <w:rsid w:val="0064437D"/>
    <w:rsid w:val="00644E85"/>
    <w:rsid w:val="006466E4"/>
    <w:rsid w:val="00651088"/>
    <w:rsid w:val="006516D8"/>
    <w:rsid w:val="00652C52"/>
    <w:rsid w:val="0065632B"/>
    <w:rsid w:val="00657064"/>
    <w:rsid w:val="00657A58"/>
    <w:rsid w:val="0066063F"/>
    <w:rsid w:val="00662BB0"/>
    <w:rsid w:val="00663878"/>
    <w:rsid w:val="00667773"/>
    <w:rsid w:val="00670743"/>
    <w:rsid w:val="00670FA1"/>
    <w:rsid w:val="00671A9B"/>
    <w:rsid w:val="00674B3E"/>
    <w:rsid w:val="0067536C"/>
    <w:rsid w:val="00680A85"/>
    <w:rsid w:val="006818D5"/>
    <w:rsid w:val="00681ADF"/>
    <w:rsid w:val="00681EB9"/>
    <w:rsid w:val="00685CED"/>
    <w:rsid w:val="006866F5"/>
    <w:rsid w:val="006900E6"/>
    <w:rsid w:val="00690EE2"/>
    <w:rsid w:val="00693854"/>
    <w:rsid w:val="00694BEB"/>
    <w:rsid w:val="00695B1E"/>
    <w:rsid w:val="006A0E20"/>
    <w:rsid w:val="006A249C"/>
    <w:rsid w:val="006A24E3"/>
    <w:rsid w:val="006A2C46"/>
    <w:rsid w:val="006A2EDE"/>
    <w:rsid w:val="006A5695"/>
    <w:rsid w:val="006A5B36"/>
    <w:rsid w:val="006A6285"/>
    <w:rsid w:val="006B0439"/>
    <w:rsid w:val="006B0CE6"/>
    <w:rsid w:val="006B1457"/>
    <w:rsid w:val="006B1A84"/>
    <w:rsid w:val="006B3904"/>
    <w:rsid w:val="006B4EA8"/>
    <w:rsid w:val="006B5460"/>
    <w:rsid w:val="006B54B7"/>
    <w:rsid w:val="006B5B7D"/>
    <w:rsid w:val="006C5B46"/>
    <w:rsid w:val="006C6E39"/>
    <w:rsid w:val="006D0ECF"/>
    <w:rsid w:val="006D2B46"/>
    <w:rsid w:val="006D2B99"/>
    <w:rsid w:val="006D33BC"/>
    <w:rsid w:val="006D38B1"/>
    <w:rsid w:val="006D3D5B"/>
    <w:rsid w:val="006D4C92"/>
    <w:rsid w:val="006D4EB6"/>
    <w:rsid w:val="006D7FBC"/>
    <w:rsid w:val="006E35BF"/>
    <w:rsid w:val="006E4F8D"/>
    <w:rsid w:val="006E7850"/>
    <w:rsid w:val="006E7936"/>
    <w:rsid w:val="006F0BCC"/>
    <w:rsid w:val="006F19D8"/>
    <w:rsid w:val="006F1A61"/>
    <w:rsid w:val="006F404D"/>
    <w:rsid w:val="006F40C8"/>
    <w:rsid w:val="006F46D6"/>
    <w:rsid w:val="006F4BBB"/>
    <w:rsid w:val="006F738F"/>
    <w:rsid w:val="00700143"/>
    <w:rsid w:val="007028D9"/>
    <w:rsid w:val="00703CFF"/>
    <w:rsid w:val="00704A95"/>
    <w:rsid w:val="00704AA9"/>
    <w:rsid w:val="00706E00"/>
    <w:rsid w:val="00707218"/>
    <w:rsid w:val="00710D04"/>
    <w:rsid w:val="00710F67"/>
    <w:rsid w:val="00712B1D"/>
    <w:rsid w:val="00713D84"/>
    <w:rsid w:val="00715751"/>
    <w:rsid w:val="0071590E"/>
    <w:rsid w:val="00716511"/>
    <w:rsid w:val="00716ADD"/>
    <w:rsid w:val="007171BA"/>
    <w:rsid w:val="00717616"/>
    <w:rsid w:val="0072140A"/>
    <w:rsid w:val="007217F4"/>
    <w:rsid w:val="0072497C"/>
    <w:rsid w:val="007303B4"/>
    <w:rsid w:val="007325D9"/>
    <w:rsid w:val="0073413F"/>
    <w:rsid w:val="0073583B"/>
    <w:rsid w:val="007360CA"/>
    <w:rsid w:val="007400A1"/>
    <w:rsid w:val="00743330"/>
    <w:rsid w:val="00743F9C"/>
    <w:rsid w:val="00744BFC"/>
    <w:rsid w:val="0074667B"/>
    <w:rsid w:val="00746707"/>
    <w:rsid w:val="007470BD"/>
    <w:rsid w:val="00750332"/>
    <w:rsid w:val="00751462"/>
    <w:rsid w:val="00752D38"/>
    <w:rsid w:val="00752D4E"/>
    <w:rsid w:val="0076029E"/>
    <w:rsid w:val="00760982"/>
    <w:rsid w:val="00760C70"/>
    <w:rsid w:val="00760EC0"/>
    <w:rsid w:val="007639F2"/>
    <w:rsid w:val="00766292"/>
    <w:rsid w:val="00767706"/>
    <w:rsid w:val="00767DB2"/>
    <w:rsid w:val="00767EEB"/>
    <w:rsid w:val="00770AE1"/>
    <w:rsid w:val="00770F42"/>
    <w:rsid w:val="007711BD"/>
    <w:rsid w:val="00773905"/>
    <w:rsid w:val="00777103"/>
    <w:rsid w:val="0078003A"/>
    <w:rsid w:val="00780771"/>
    <w:rsid w:val="00780A5C"/>
    <w:rsid w:val="007834A3"/>
    <w:rsid w:val="00785E0B"/>
    <w:rsid w:val="00791345"/>
    <w:rsid w:val="007919AE"/>
    <w:rsid w:val="007927CC"/>
    <w:rsid w:val="007929CF"/>
    <w:rsid w:val="00792F47"/>
    <w:rsid w:val="007937C0"/>
    <w:rsid w:val="00793F77"/>
    <w:rsid w:val="00797BA8"/>
    <w:rsid w:val="007A0390"/>
    <w:rsid w:val="007A081D"/>
    <w:rsid w:val="007A0DD8"/>
    <w:rsid w:val="007A1743"/>
    <w:rsid w:val="007A22DB"/>
    <w:rsid w:val="007A437A"/>
    <w:rsid w:val="007A49E7"/>
    <w:rsid w:val="007A6F28"/>
    <w:rsid w:val="007A7143"/>
    <w:rsid w:val="007B03C6"/>
    <w:rsid w:val="007B06D3"/>
    <w:rsid w:val="007B0DB1"/>
    <w:rsid w:val="007B170B"/>
    <w:rsid w:val="007B2BF3"/>
    <w:rsid w:val="007B5673"/>
    <w:rsid w:val="007B5992"/>
    <w:rsid w:val="007B7238"/>
    <w:rsid w:val="007B76FF"/>
    <w:rsid w:val="007B78D1"/>
    <w:rsid w:val="007B7C7D"/>
    <w:rsid w:val="007C3BF6"/>
    <w:rsid w:val="007C538C"/>
    <w:rsid w:val="007C643D"/>
    <w:rsid w:val="007C66AA"/>
    <w:rsid w:val="007C67B3"/>
    <w:rsid w:val="007C707A"/>
    <w:rsid w:val="007D016D"/>
    <w:rsid w:val="007D02E2"/>
    <w:rsid w:val="007D0FD2"/>
    <w:rsid w:val="007D1B26"/>
    <w:rsid w:val="007D2EF8"/>
    <w:rsid w:val="007D329F"/>
    <w:rsid w:val="007D3433"/>
    <w:rsid w:val="007D561F"/>
    <w:rsid w:val="007D7FD2"/>
    <w:rsid w:val="007E13D9"/>
    <w:rsid w:val="007E2AEC"/>
    <w:rsid w:val="007E41BE"/>
    <w:rsid w:val="007E4DB6"/>
    <w:rsid w:val="007E4ED5"/>
    <w:rsid w:val="007E6733"/>
    <w:rsid w:val="007E7321"/>
    <w:rsid w:val="007E7CD4"/>
    <w:rsid w:val="007F12AC"/>
    <w:rsid w:val="007F13CC"/>
    <w:rsid w:val="007F25E3"/>
    <w:rsid w:val="007F290C"/>
    <w:rsid w:val="007F3B08"/>
    <w:rsid w:val="007F4501"/>
    <w:rsid w:val="007F565E"/>
    <w:rsid w:val="007F5957"/>
    <w:rsid w:val="007F5AA4"/>
    <w:rsid w:val="007F60DF"/>
    <w:rsid w:val="007F6F12"/>
    <w:rsid w:val="007F7382"/>
    <w:rsid w:val="00801800"/>
    <w:rsid w:val="00801861"/>
    <w:rsid w:val="00801B5B"/>
    <w:rsid w:val="00801CFB"/>
    <w:rsid w:val="00805A30"/>
    <w:rsid w:val="00806886"/>
    <w:rsid w:val="00806E61"/>
    <w:rsid w:val="00810E99"/>
    <w:rsid w:val="00813612"/>
    <w:rsid w:val="00820D89"/>
    <w:rsid w:val="00820F3D"/>
    <w:rsid w:val="008216E7"/>
    <w:rsid w:val="00822D63"/>
    <w:rsid w:val="00825BE6"/>
    <w:rsid w:val="00826E66"/>
    <w:rsid w:val="00826EAF"/>
    <w:rsid w:val="008276B4"/>
    <w:rsid w:val="008309B3"/>
    <w:rsid w:val="00830F04"/>
    <w:rsid w:val="00831927"/>
    <w:rsid w:val="008333C3"/>
    <w:rsid w:val="00836510"/>
    <w:rsid w:val="00837288"/>
    <w:rsid w:val="008375B5"/>
    <w:rsid w:val="00841BD3"/>
    <w:rsid w:val="0084273D"/>
    <w:rsid w:val="008446BB"/>
    <w:rsid w:val="00844E3F"/>
    <w:rsid w:val="00845A83"/>
    <w:rsid w:val="00846BB9"/>
    <w:rsid w:val="0085089A"/>
    <w:rsid w:val="00850FD8"/>
    <w:rsid w:val="00851C7B"/>
    <w:rsid w:val="00852B03"/>
    <w:rsid w:val="00852E95"/>
    <w:rsid w:val="00853178"/>
    <w:rsid w:val="00854488"/>
    <w:rsid w:val="00854B27"/>
    <w:rsid w:val="00854EBA"/>
    <w:rsid w:val="008555B0"/>
    <w:rsid w:val="008560BE"/>
    <w:rsid w:val="008603BB"/>
    <w:rsid w:val="008649D5"/>
    <w:rsid w:val="008670BF"/>
    <w:rsid w:val="008705DA"/>
    <w:rsid w:val="00870783"/>
    <w:rsid w:val="00870F2C"/>
    <w:rsid w:val="008712BB"/>
    <w:rsid w:val="0087329A"/>
    <w:rsid w:val="00876222"/>
    <w:rsid w:val="008817AD"/>
    <w:rsid w:val="00882ADC"/>
    <w:rsid w:val="00882F28"/>
    <w:rsid w:val="00882F2E"/>
    <w:rsid w:val="008830E7"/>
    <w:rsid w:val="00883544"/>
    <w:rsid w:val="00890C92"/>
    <w:rsid w:val="00890EDE"/>
    <w:rsid w:val="00892B38"/>
    <w:rsid w:val="00894600"/>
    <w:rsid w:val="00896D00"/>
    <w:rsid w:val="008A1741"/>
    <w:rsid w:val="008A2484"/>
    <w:rsid w:val="008A47AD"/>
    <w:rsid w:val="008A4CDC"/>
    <w:rsid w:val="008A52F3"/>
    <w:rsid w:val="008A5925"/>
    <w:rsid w:val="008B2C3F"/>
    <w:rsid w:val="008B3935"/>
    <w:rsid w:val="008B5553"/>
    <w:rsid w:val="008B5DDB"/>
    <w:rsid w:val="008B6969"/>
    <w:rsid w:val="008B6FC7"/>
    <w:rsid w:val="008C26D9"/>
    <w:rsid w:val="008C6D50"/>
    <w:rsid w:val="008C7167"/>
    <w:rsid w:val="008C7503"/>
    <w:rsid w:val="008D1617"/>
    <w:rsid w:val="008D1C1F"/>
    <w:rsid w:val="008D330F"/>
    <w:rsid w:val="008D48C1"/>
    <w:rsid w:val="008E07A4"/>
    <w:rsid w:val="008E219F"/>
    <w:rsid w:val="008E2636"/>
    <w:rsid w:val="008E28ED"/>
    <w:rsid w:val="008E3111"/>
    <w:rsid w:val="008E6315"/>
    <w:rsid w:val="008F0480"/>
    <w:rsid w:val="008F07FC"/>
    <w:rsid w:val="008F11E0"/>
    <w:rsid w:val="008F1397"/>
    <w:rsid w:val="008F3EA7"/>
    <w:rsid w:val="008F4FB6"/>
    <w:rsid w:val="008F78BC"/>
    <w:rsid w:val="008F7B63"/>
    <w:rsid w:val="008F7D6A"/>
    <w:rsid w:val="00901C86"/>
    <w:rsid w:val="00903603"/>
    <w:rsid w:val="00903DC5"/>
    <w:rsid w:val="009054CB"/>
    <w:rsid w:val="009114D9"/>
    <w:rsid w:val="0091192B"/>
    <w:rsid w:val="00911F8D"/>
    <w:rsid w:val="00912F94"/>
    <w:rsid w:val="00915AF5"/>
    <w:rsid w:val="009171BC"/>
    <w:rsid w:val="00920F31"/>
    <w:rsid w:val="009219C3"/>
    <w:rsid w:val="00922BD1"/>
    <w:rsid w:val="00923523"/>
    <w:rsid w:val="0092404C"/>
    <w:rsid w:val="0092497E"/>
    <w:rsid w:val="0092590B"/>
    <w:rsid w:val="00925BF3"/>
    <w:rsid w:val="00925E60"/>
    <w:rsid w:val="009264B3"/>
    <w:rsid w:val="00927A12"/>
    <w:rsid w:val="00931E4C"/>
    <w:rsid w:val="00931F64"/>
    <w:rsid w:val="0093288A"/>
    <w:rsid w:val="009351BD"/>
    <w:rsid w:val="009365E0"/>
    <w:rsid w:val="00940055"/>
    <w:rsid w:val="00942286"/>
    <w:rsid w:val="00942BA2"/>
    <w:rsid w:val="009432B7"/>
    <w:rsid w:val="00944C86"/>
    <w:rsid w:val="00947C02"/>
    <w:rsid w:val="00950BE6"/>
    <w:rsid w:val="00955AF0"/>
    <w:rsid w:val="00955B5A"/>
    <w:rsid w:val="00955E75"/>
    <w:rsid w:val="009566C5"/>
    <w:rsid w:val="009571A8"/>
    <w:rsid w:val="00957B28"/>
    <w:rsid w:val="00957DE8"/>
    <w:rsid w:val="00960842"/>
    <w:rsid w:val="00960ECB"/>
    <w:rsid w:val="009615D6"/>
    <w:rsid w:val="00962113"/>
    <w:rsid w:val="009625EF"/>
    <w:rsid w:val="0096309A"/>
    <w:rsid w:val="009631B8"/>
    <w:rsid w:val="00967855"/>
    <w:rsid w:val="009702CD"/>
    <w:rsid w:val="00971209"/>
    <w:rsid w:val="0097164C"/>
    <w:rsid w:val="00971CD1"/>
    <w:rsid w:val="00972179"/>
    <w:rsid w:val="00974709"/>
    <w:rsid w:val="0097742C"/>
    <w:rsid w:val="009801AE"/>
    <w:rsid w:val="00980736"/>
    <w:rsid w:val="00981A39"/>
    <w:rsid w:val="00982D56"/>
    <w:rsid w:val="00983DBF"/>
    <w:rsid w:val="00984B08"/>
    <w:rsid w:val="00987097"/>
    <w:rsid w:val="00991123"/>
    <w:rsid w:val="00991CAB"/>
    <w:rsid w:val="00992918"/>
    <w:rsid w:val="0099504B"/>
    <w:rsid w:val="009A129D"/>
    <w:rsid w:val="009A21A7"/>
    <w:rsid w:val="009A302A"/>
    <w:rsid w:val="009A3A9C"/>
    <w:rsid w:val="009A71C1"/>
    <w:rsid w:val="009B046C"/>
    <w:rsid w:val="009B13FA"/>
    <w:rsid w:val="009B1C2F"/>
    <w:rsid w:val="009B1E2D"/>
    <w:rsid w:val="009B751B"/>
    <w:rsid w:val="009C0604"/>
    <w:rsid w:val="009C247F"/>
    <w:rsid w:val="009C36B4"/>
    <w:rsid w:val="009C4690"/>
    <w:rsid w:val="009C4C2D"/>
    <w:rsid w:val="009C59FB"/>
    <w:rsid w:val="009C6F3B"/>
    <w:rsid w:val="009C78B4"/>
    <w:rsid w:val="009C79D9"/>
    <w:rsid w:val="009D1467"/>
    <w:rsid w:val="009D328D"/>
    <w:rsid w:val="009D6B92"/>
    <w:rsid w:val="009E0732"/>
    <w:rsid w:val="009E3306"/>
    <w:rsid w:val="009E3E20"/>
    <w:rsid w:val="009E4FA6"/>
    <w:rsid w:val="009E7064"/>
    <w:rsid w:val="009E7D93"/>
    <w:rsid w:val="009F3C34"/>
    <w:rsid w:val="009F462C"/>
    <w:rsid w:val="009F54D0"/>
    <w:rsid w:val="009F5C33"/>
    <w:rsid w:val="009F6434"/>
    <w:rsid w:val="00A01E6E"/>
    <w:rsid w:val="00A026EC"/>
    <w:rsid w:val="00A026F0"/>
    <w:rsid w:val="00A032C3"/>
    <w:rsid w:val="00A032E6"/>
    <w:rsid w:val="00A03EAC"/>
    <w:rsid w:val="00A04DBB"/>
    <w:rsid w:val="00A07EA0"/>
    <w:rsid w:val="00A105BA"/>
    <w:rsid w:val="00A10CFC"/>
    <w:rsid w:val="00A11CA6"/>
    <w:rsid w:val="00A138FD"/>
    <w:rsid w:val="00A1550A"/>
    <w:rsid w:val="00A203AC"/>
    <w:rsid w:val="00A20C49"/>
    <w:rsid w:val="00A22932"/>
    <w:rsid w:val="00A241DE"/>
    <w:rsid w:val="00A25687"/>
    <w:rsid w:val="00A269CA"/>
    <w:rsid w:val="00A3174A"/>
    <w:rsid w:val="00A327F5"/>
    <w:rsid w:val="00A336EE"/>
    <w:rsid w:val="00A33F46"/>
    <w:rsid w:val="00A3427E"/>
    <w:rsid w:val="00A35471"/>
    <w:rsid w:val="00A35528"/>
    <w:rsid w:val="00A359AC"/>
    <w:rsid w:val="00A3670A"/>
    <w:rsid w:val="00A36F5D"/>
    <w:rsid w:val="00A40987"/>
    <w:rsid w:val="00A40F83"/>
    <w:rsid w:val="00A410FB"/>
    <w:rsid w:val="00A41413"/>
    <w:rsid w:val="00A431E6"/>
    <w:rsid w:val="00A436E8"/>
    <w:rsid w:val="00A45FB1"/>
    <w:rsid w:val="00A46A0F"/>
    <w:rsid w:val="00A46CCC"/>
    <w:rsid w:val="00A47996"/>
    <w:rsid w:val="00A51CFE"/>
    <w:rsid w:val="00A5204D"/>
    <w:rsid w:val="00A539E1"/>
    <w:rsid w:val="00A53E28"/>
    <w:rsid w:val="00A549A7"/>
    <w:rsid w:val="00A56E77"/>
    <w:rsid w:val="00A61174"/>
    <w:rsid w:val="00A61424"/>
    <w:rsid w:val="00A61605"/>
    <w:rsid w:val="00A64BCB"/>
    <w:rsid w:val="00A65F97"/>
    <w:rsid w:val="00A67AED"/>
    <w:rsid w:val="00A67CFF"/>
    <w:rsid w:val="00A73B04"/>
    <w:rsid w:val="00A75916"/>
    <w:rsid w:val="00A764CE"/>
    <w:rsid w:val="00A76C13"/>
    <w:rsid w:val="00A80A73"/>
    <w:rsid w:val="00A81024"/>
    <w:rsid w:val="00A83E8B"/>
    <w:rsid w:val="00A84FD0"/>
    <w:rsid w:val="00A872E3"/>
    <w:rsid w:val="00A91AF4"/>
    <w:rsid w:val="00A91B29"/>
    <w:rsid w:val="00A92E79"/>
    <w:rsid w:val="00A92E89"/>
    <w:rsid w:val="00A94B19"/>
    <w:rsid w:val="00A950B6"/>
    <w:rsid w:val="00A954B2"/>
    <w:rsid w:val="00A95701"/>
    <w:rsid w:val="00A9582B"/>
    <w:rsid w:val="00A95D45"/>
    <w:rsid w:val="00AA3EA8"/>
    <w:rsid w:val="00AA464F"/>
    <w:rsid w:val="00AB41C1"/>
    <w:rsid w:val="00AB467A"/>
    <w:rsid w:val="00AB4CF2"/>
    <w:rsid w:val="00AB6CCA"/>
    <w:rsid w:val="00AB7326"/>
    <w:rsid w:val="00AB7331"/>
    <w:rsid w:val="00AC223F"/>
    <w:rsid w:val="00AC2E37"/>
    <w:rsid w:val="00AC33B1"/>
    <w:rsid w:val="00AD0CBB"/>
    <w:rsid w:val="00AD12A8"/>
    <w:rsid w:val="00AD36D9"/>
    <w:rsid w:val="00AD6679"/>
    <w:rsid w:val="00AD7994"/>
    <w:rsid w:val="00AE023F"/>
    <w:rsid w:val="00AE2D2C"/>
    <w:rsid w:val="00AE3ECF"/>
    <w:rsid w:val="00AE605F"/>
    <w:rsid w:val="00AE7A72"/>
    <w:rsid w:val="00AF06F6"/>
    <w:rsid w:val="00AF2FE4"/>
    <w:rsid w:val="00AF3577"/>
    <w:rsid w:val="00AF35F9"/>
    <w:rsid w:val="00AF69BE"/>
    <w:rsid w:val="00B040FA"/>
    <w:rsid w:val="00B0424C"/>
    <w:rsid w:val="00B05476"/>
    <w:rsid w:val="00B05C7D"/>
    <w:rsid w:val="00B05FEE"/>
    <w:rsid w:val="00B11018"/>
    <w:rsid w:val="00B15D57"/>
    <w:rsid w:val="00B16347"/>
    <w:rsid w:val="00B17D6E"/>
    <w:rsid w:val="00B21960"/>
    <w:rsid w:val="00B2435E"/>
    <w:rsid w:val="00B245B3"/>
    <w:rsid w:val="00B26D5E"/>
    <w:rsid w:val="00B301A9"/>
    <w:rsid w:val="00B3276C"/>
    <w:rsid w:val="00B346C3"/>
    <w:rsid w:val="00B352F3"/>
    <w:rsid w:val="00B35EBB"/>
    <w:rsid w:val="00B4005C"/>
    <w:rsid w:val="00B4227E"/>
    <w:rsid w:val="00B4365B"/>
    <w:rsid w:val="00B44673"/>
    <w:rsid w:val="00B4471C"/>
    <w:rsid w:val="00B451A6"/>
    <w:rsid w:val="00B46FB1"/>
    <w:rsid w:val="00B47E7B"/>
    <w:rsid w:val="00B54942"/>
    <w:rsid w:val="00B54F14"/>
    <w:rsid w:val="00B5583B"/>
    <w:rsid w:val="00B56D6E"/>
    <w:rsid w:val="00B576CB"/>
    <w:rsid w:val="00B60ED2"/>
    <w:rsid w:val="00B64127"/>
    <w:rsid w:val="00B64347"/>
    <w:rsid w:val="00B6546A"/>
    <w:rsid w:val="00B65DC6"/>
    <w:rsid w:val="00B65E1E"/>
    <w:rsid w:val="00B6609F"/>
    <w:rsid w:val="00B67AC2"/>
    <w:rsid w:val="00B722DE"/>
    <w:rsid w:val="00B72847"/>
    <w:rsid w:val="00B72B9B"/>
    <w:rsid w:val="00B73154"/>
    <w:rsid w:val="00B73265"/>
    <w:rsid w:val="00B751E3"/>
    <w:rsid w:val="00B75BA6"/>
    <w:rsid w:val="00B76C44"/>
    <w:rsid w:val="00B8184A"/>
    <w:rsid w:val="00B82283"/>
    <w:rsid w:val="00B828D8"/>
    <w:rsid w:val="00B83F87"/>
    <w:rsid w:val="00B85939"/>
    <w:rsid w:val="00B8727C"/>
    <w:rsid w:val="00B87CDC"/>
    <w:rsid w:val="00B905CE"/>
    <w:rsid w:val="00B910C1"/>
    <w:rsid w:val="00B9449A"/>
    <w:rsid w:val="00B95B44"/>
    <w:rsid w:val="00B97232"/>
    <w:rsid w:val="00B97606"/>
    <w:rsid w:val="00BA0980"/>
    <w:rsid w:val="00BA22A5"/>
    <w:rsid w:val="00BA2CA4"/>
    <w:rsid w:val="00BA2EFA"/>
    <w:rsid w:val="00BA3DBC"/>
    <w:rsid w:val="00BA579D"/>
    <w:rsid w:val="00BA707A"/>
    <w:rsid w:val="00BB0C7A"/>
    <w:rsid w:val="00BB111B"/>
    <w:rsid w:val="00BB1AFB"/>
    <w:rsid w:val="00BB27AE"/>
    <w:rsid w:val="00BB2DA2"/>
    <w:rsid w:val="00BB42A6"/>
    <w:rsid w:val="00BB472D"/>
    <w:rsid w:val="00BB485D"/>
    <w:rsid w:val="00BB56DC"/>
    <w:rsid w:val="00BB658B"/>
    <w:rsid w:val="00BB7734"/>
    <w:rsid w:val="00BC3057"/>
    <w:rsid w:val="00BC382A"/>
    <w:rsid w:val="00BC47F9"/>
    <w:rsid w:val="00BC654A"/>
    <w:rsid w:val="00BC7A98"/>
    <w:rsid w:val="00BD13D6"/>
    <w:rsid w:val="00BD4669"/>
    <w:rsid w:val="00BE0284"/>
    <w:rsid w:val="00BE183D"/>
    <w:rsid w:val="00BE778D"/>
    <w:rsid w:val="00BE7C4A"/>
    <w:rsid w:val="00BF24C2"/>
    <w:rsid w:val="00BF2922"/>
    <w:rsid w:val="00BF4A6F"/>
    <w:rsid w:val="00BF5D7A"/>
    <w:rsid w:val="00BF6F97"/>
    <w:rsid w:val="00C00B5A"/>
    <w:rsid w:val="00C013EA"/>
    <w:rsid w:val="00C01C2E"/>
    <w:rsid w:val="00C02D33"/>
    <w:rsid w:val="00C04117"/>
    <w:rsid w:val="00C04B53"/>
    <w:rsid w:val="00C04E9F"/>
    <w:rsid w:val="00C0562B"/>
    <w:rsid w:val="00C11F73"/>
    <w:rsid w:val="00C1232C"/>
    <w:rsid w:val="00C13CC4"/>
    <w:rsid w:val="00C156BC"/>
    <w:rsid w:val="00C163BA"/>
    <w:rsid w:val="00C175FF"/>
    <w:rsid w:val="00C20F16"/>
    <w:rsid w:val="00C2259A"/>
    <w:rsid w:val="00C22C8D"/>
    <w:rsid w:val="00C27C6B"/>
    <w:rsid w:val="00C333CF"/>
    <w:rsid w:val="00C3485F"/>
    <w:rsid w:val="00C3594D"/>
    <w:rsid w:val="00C36442"/>
    <w:rsid w:val="00C400CE"/>
    <w:rsid w:val="00C410FD"/>
    <w:rsid w:val="00C457DE"/>
    <w:rsid w:val="00C47DD3"/>
    <w:rsid w:val="00C51D57"/>
    <w:rsid w:val="00C5316F"/>
    <w:rsid w:val="00C53562"/>
    <w:rsid w:val="00C539FB"/>
    <w:rsid w:val="00C542DC"/>
    <w:rsid w:val="00C54DE5"/>
    <w:rsid w:val="00C64EC2"/>
    <w:rsid w:val="00C66AA3"/>
    <w:rsid w:val="00C66E57"/>
    <w:rsid w:val="00C676A0"/>
    <w:rsid w:val="00C7049A"/>
    <w:rsid w:val="00C724D7"/>
    <w:rsid w:val="00C74150"/>
    <w:rsid w:val="00C745D5"/>
    <w:rsid w:val="00C75594"/>
    <w:rsid w:val="00C75C2E"/>
    <w:rsid w:val="00C81D48"/>
    <w:rsid w:val="00C840AB"/>
    <w:rsid w:val="00C85982"/>
    <w:rsid w:val="00C910B0"/>
    <w:rsid w:val="00C9161C"/>
    <w:rsid w:val="00CA0466"/>
    <w:rsid w:val="00CA0FDB"/>
    <w:rsid w:val="00CA246D"/>
    <w:rsid w:val="00CA4E8E"/>
    <w:rsid w:val="00CA50D9"/>
    <w:rsid w:val="00CA6BDF"/>
    <w:rsid w:val="00CB02D6"/>
    <w:rsid w:val="00CB3054"/>
    <w:rsid w:val="00CB5636"/>
    <w:rsid w:val="00CB5F30"/>
    <w:rsid w:val="00CB6364"/>
    <w:rsid w:val="00CC36C9"/>
    <w:rsid w:val="00CC3EE5"/>
    <w:rsid w:val="00CC553E"/>
    <w:rsid w:val="00CC5930"/>
    <w:rsid w:val="00CC6DD6"/>
    <w:rsid w:val="00CC6E47"/>
    <w:rsid w:val="00CD1346"/>
    <w:rsid w:val="00CD2ABC"/>
    <w:rsid w:val="00CD7B9E"/>
    <w:rsid w:val="00CD7F86"/>
    <w:rsid w:val="00CE10AE"/>
    <w:rsid w:val="00CE3F2F"/>
    <w:rsid w:val="00CE425C"/>
    <w:rsid w:val="00CE58AC"/>
    <w:rsid w:val="00CF0DA0"/>
    <w:rsid w:val="00CF20BB"/>
    <w:rsid w:val="00CF29A0"/>
    <w:rsid w:val="00CF42B1"/>
    <w:rsid w:val="00CF59BB"/>
    <w:rsid w:val="00CF5A80"/>
    <w:rsid w:val="00CF6AC8"/>
    <w:rsid w:val="00CF6F09"/>
    <w:rsid w:val="00D045EE"/>
    <w:rsid w:val="00D048AA"/>
    <w:rsid w:val="00D05091"/>
    <w:rsid w:val="00D05401"/>
    <w:rsid w:val="00D06A11"/>
    <w:rsid w:val="00D07622"/>
    <w:rsid w:val="00D07C1E"/>
    <w:rsid w:val="00D10CA6"/>
    <w:rsid w:val="00D10CBE"/>
    <w:rsid w:val="00D10F21"/>
    <w:rsid w:val="00D134CF"/>
    <w:rsid w:val="00D139E0"/>
    <w:rsid w:val="00D1573B"/>
    <w:rsid w:val="00D16933"/>
    <w:rsid w:val="00D211C7"/>
    <w:rsid w:val="00D21F1D"/>
    <w:rsid w:val="00D22A24"/>
    <w:rsid w:val="00D22EA7"/>
    <w:rsid w:val="00D24806"/>
    <w:rsid w:val="00D24D26"/>
    <w:rsid w:val="00D25568"/>
    <w:rsid w:val="00D32C1B"/>
    <w:rsid w:val="00D33C97"/>
    <w:rsid w:val="00D34040"/>
    <w:rsid w:val="00D34E69"/>
    <w:rsid w:val="00D35B90"/>
    <w:rsid w:val="00D36562"/>
    <w:rsid w:val="00D36C78"/>
    <w:rsid w:val="00D37041"/>
    <w:rsid w:val="00D370CD"/>
    <w:rsid w:val="00D375EE"/>
    <w:rsid w:val="00D402EB"/>
    <w:rsid w:val="00D42EFE"/>
    <w:rsid w:val="00D442CD"/>
    <w:rsid w:val="00D45C05"/>
    <w:rsid w:val="00D508BE"/>
    <w:rsid w:val="00D55AE8"/>
    <w:rsid w:val="00D56056"/>
    <w:rsid w:val="00D576C3"/>
    <w:rsid w:val="00D6085F"/>
    <w:rsid w:val="00D61212"/>
    <w:rsid w:val="00D61E7E"/>
    <w:rsid w:val="00D62699"/>
    <w:rsid w:val="00D63A63"/>
    <w:rsid w:val="00D706AA"/>
    <w:rsid w:val="00D74332"/>
    <w:rsid w:val="00D748B0"/>
    <w:rsid w:val="00D778E9"/>
    <w:rsid w:val="00D779F9"/>
    <w:rsid w:val="00D80A0F"/>
    <w:rsid w:val="00D80C48"/>
    <w:rsid w:val="00D812BF"/>
    <w:rsid w:val="00D82620"/>
    <w:rsid w:val="00D82739"/>
    <w:rsid w:val="00D85707"/>
    <w:rsid w:val="00D8746E"/>
    <w:rsid w:val="00D87618"/>
    <w:rsid w:val="00D87AB0"/>
    <w:rsid w:val="00D908BF"/>
    <w:rsid w:val="00D91A47"/>
    <w:rsid w:val="00D92FD5"/>
    <w:rsid w:val="00D9302E"/>
    <w:rsid w:val="00D9725F"/>
    <w:rsid w:val="00D979A9"/>
    <w:rsid w:val="00DA01B1"/>
    <w:rsid w:val="00DA11A2"/>
    <w:rsid w:val="00DA14ED"/>
    <w:rsid w:val="00DA26D6"/>
    <w:rsid w:val="00DA3E27"/>
    <w:rsid w:val="00DA582B"/>
    <w:rsid w:val="00DB0A22"/>
    <w:rsid w:val="00DB2EF1"/>
    <w:rsid w:val="00DB3DE1"/>
    <w:rsid w:val="00DB5116"/>
    <w:rsid w:val="00DB5DA0"/>
    <w:rsid w:val="00DB716C"/>
    <w:rsid w:val="00DC3717"/>
    <w:rsid w:val="00DC5C85"/>
    <w:rsid w:val="00DC7AA4"/>
    <w:rsid w:val="00DC7C5D"/>
    <w:rsid w:val="00DD0732"/>
    <w:rsid w:val="00DD11F9"/>
    <w:rsid w:val="00DD4236"/>
    <w:rsid w:val="00DD44F1"/>
    <w:rsid w:val="00DD5A26"/>
    <w:rsid w:val="00DD67A2"/>
    <w:rsid w:val="00DD6957"/>
    <w:rsid w:val="00DD6E7A"/>
    <w:rsid w:val="00DE1129"/>
    <w:rsid w:val="00DE3067"/>
    <w:rsid w:val="00DE46BC"/>
    <w:rsid w:val="00DE55C9"/>
    <w:rsid w:val="00DE6F9B"/>
    <w:rsid w:val="00DE6FEE"/>
    <w:rsid w:val="00DF1C0B"/>
    <w:rsid w:val="00DF3EEE"/>
    <w:rsid w:val="00DF75E1"/>
    <w:rsid w:val="00E00C32"/>
    <w:rsid w:val="00E027BC"/>
    <w:rsid w:val="00E03B31"/>
    <w:rsid w:val="00E044C1"/>
    <w:rsid w:val="00E045BE"/>
    <w:rsid w:val="00E056A8"/>
    <w:rsid w:val="00E10194"/>
    <w:rsid w:val="00E10F0D"/>
    <w:rsid w:val="00E113AB"/>
    <w:rsid w:val="00E11799"/>
    <w:rsid w:val="00E14EA5"/>
    <w:rsid w:val="00E2070E"/>
    <w:rsid w:val="00E21133"/>
    <w:rsid w:val="00E23059"/>
    <w:rsid w:val="00E2327E"/>
    <w:rsid w:val="00E23577"/>
    <w:rsid w:val="00E266EF"/>
    <w:rsid w:val="00E27DD7"/>
    <w:rsid w:val="00E326A8"/>
    <w:rsid w:val="00E36504"/>
    <w:rsid w:val="00E40D25"/>
    <w:rsid w:val="00E40EBF"/>
    <w:rsid w:val="00E41224"/>
    <w:rsid w:val="00E43431"/>
    <w:rsid w:val="00E4432A"/>
    <w:rsid w:val="00E44458"/>
    <w:rsid w:val="00E455AA"/>
    <w:rsid w:val="00E47428"/>
    <w:rsid w:val="00E47D5E"/>
    <w:rsid w:val="00E50F57"/>
    <w:rsid w:val="00E51B29"/>
    <w:rsid w:val="00E523D3"/>
    <w:rsid w:val="00E55D41"/>
    <w:rsid w:val="00E56361"/>
    <w:rsid w:val="00E56C8E"/>
    <w:rsid w:val="00E56CBC"/>
    <w:rsid w:val="00E5716B"/>
    <w:rsid w:val="00E57792"/>
    <w:rsid w:val="00E57F1F"/>
    <w:rsid w:val="00E622F8"/>
    <w:rsid w:val="00E62753"/>
    <w:rsid w:val="00E65127"/>
    <w:rsid w:val="00E65336"/>
    <w:rsid w:val="00E66B9F"/>
    <w:rsid w:val="00E70106"/>
    <w:rsid w:val="00E70A6A"/>
    <w:rsid w:val="00E710D6"/>
    <w:rsid w:val="00E73DA4"/>
    <w:rsid w:val="00E75DFE"/>
    <w:rsid w:val="00E76C73"/>
    <w:rsid w:val="00E76E45"/>
    <w:rsid w:val="00E777C9"/>
    <w:rsid w:val="00E80D5E"/>
    <w:rsid w:val="00E81DA6"/>
    <w:rsid w:val="00E84212"/>
    <w:rsid w:val="00E84839"/>
    <w:rsid w:val="00E86C4A"/>
    <w:rsid w:val="00E9086C"/>
    <w:rsid w:val="00E90AAA"/>
    <w:rsid w:val="00E91A0F"/>
    <w:rsid w:val="00E93171"/>
    <w:rsid w:val="00E93C60"/>
    <w:rsid w:val="00E93F31"/>
    <w:rsid w:val="00E947D0"/>
    <w:rsid w:val="00E94A71"/>
    <w:rsid w:val="00E94CBF"/>
    <w:rsid w:val="00E95E1E"/>
    <w:rsid w:val="00E967DD"/>
    <w:rsid w:val="00EA03CE"/>
    <w:rsid w:val="00EA095A"/>
    <w:rsid w:val="00EA0E0A"/>
    <w:rsid w:val="00EA178A"/>
    <w:rsid w:val="00EA23E5"/>
    <w:rsid w:val="00EA299B"/>
    <w:rsid w:val="00EA4E2E"/>
    <w:rsid w:val="00EA7ECE"/>
    <w:rsid w:val="00EB2417"/>
    <w:rsid w:val="00EB2CCB"/>
    <w:rsid w:val="00EB7A25"/>
    <w:rsid w:val="00EB7E71"/>
    <w:rsid w:val="00EC05A2"/>
    <w:rsid w:val="00EC0F3E"/>
    <w:rsid w:val="00EC1ADA"/>
    <w:rsid w:val="00EC318A"/>
    <w:rsid w:val="00EC5103"/>
    <w:rsid w:val="00EC5588"/>
    <w:rsid w:val="00EC57A7"/>
    <w:rsid w:val="00EC66B0"/>
    <w:rsid w:val="00EC7DC9"/>
    <w:rsid w:val="00ED07D0"/>
    <w:rsid w:val="00ED0817"/>
    <w:rsid w:val="00ED7DD9"/>
    <w:rsid w:val="00ED7E5C"/>
    <w:rsid w:val="00EE256E"/>
    <w:rsid w:val="00EE445B"/>
    <w:rsid w:val="00EE4A91"/>
    <w:rsid w:val="00EE6F57"/>
    <w:rsid w:val="00EE76A0"/>
    <w:rsid w:val="00EF1B3A"/>
    <w:rsid w:val="00EF3113"/>
    <w:rsid w:val="00EF3A99"/>
    <w:rsid w:val="00EF3DF8"/>
    <w:rsid w:val="00EF3F84"/>
    <w:rsid w:val="00EF7F71"/>
    <w:rsid w:val="00F047D0"/>
    <w:rsid w:val="00F10D5C"/>
    <w:rsid w:val="00F119BC"/>
    <w:rsid w:val="00F121CC"/>
    <w:rsid w:val="00F132F0"/>
    <w:rsid w:val="00F133FE"/>
    <w:rsid w:val="00F14520"/>
    <w:rsid w:val="00F168EB"/>
    <w:rsid w:val="00F176AC"/>
    <w:rsid w:val="00F2033D"/>
    <w:rsid w:val="00F2130E"/>
    <w:rsid w:val="00F21D5D"/>
    <w:rsid w:val="00F2436E"/>
    <w:rsid w:val="00F26F28"/>
    <w:rsid w:val="00F27714"/>
    <w:rsid w:val="00F3276E"/>
    <w:rsid w:val="00F33D3C"/>
    <w:rsid w:val="00F37A91"/>
    <w:rsid w:val="00F408A0"/>
    <w:rsid w:val="00F42325"/>
    <w:rsid w:val="00F45CF5"/>
    <w:rsid w:val="00F47DB0"/>
    <w:rsid w:val="00F50C3F"/>
    <w:rsid w:val="00F50E34"/>
    <w:rsid w:val="00F51AFB"/>
    <w:rsid w:val="00F53EF7"/>
    <w:rsid w:val="00F54BF2"/>
    <w:rsid w:val="00F5530F"/>
    <w:rsid w:val="00F55876"/>
    <w:rsid w:val="00F562D9"/>
    <w:rsid w:val="00F56387"/>
    <w:rsid w:val="00F57BAA"/>
    <w:rsid w:val="00F57C85"/>
    <w:rsid w:val="00F62AA3"/>
    <w:rsid w:val="00F65694"/>
    <w:rsid w:val="00F74D9A"/>
    <w:rsid w:val="00F753FB"/>
    <w:rsid w:val="00F775AC"/>
    <w:rsid w:val="00F80B0C"/>
    <w:rsid w:val="00F85C34"/>
    <w:rsid w:val="00F86C1A"/>
    <w:rsid w:val="00F8792F"/>
    <w:rsid w:val="00F90904"/>
    <w:rsid w:val="00F9214D"/>
    <w:rsid w:val="00F92355"/>
    <w:rsid w:val="00F93963"/>
    <w:rsid w:val="00F93C08"/>
    <w:rsid w:val="00F93EC8"/>
    <w:rsid w:val="00F94291"/>
    <w:rsid w:val="00F96547"/>
    <w:rsid w:val="00F96CAF"/>
    <w:rsid w:val="00F972E6"/>
    <w:rsid w:val="00F975BF"/>
    <w:rsid w:val="00F97946"/>
    <w:rsid w:val="00FA06C7"/>
    <w:rsid w:val="00FA16D5"/>
    <w:rsid w:val="00FA298A"/>
    <w:rsid w:val="00FA30B2"/>
    <w:rsid w:val="00FA320F"/>
    <w:rsid w:val="00FA3403"/>
    <w:rsid w:val="00FA5AF8"/>
    <w:rsid w:val="00FA5B66"/>
    <w:rsid w:val="00FB0B9C"/>
    <w:rsid w:val="00FB1A44"/>
    <w:rsid w:val="00FB2032"/>
    <w:rsid w:val="00FB2FF6"/>
    <w:rsid w:val="00FB30EB"/>
    <w:rsid w:val="00FB56A3"/>
    <w:rsid w:val="00FB6461"/>
    <w:rsid w:val="00FB7982"/>
    <w:rsid w:val="00FC0734"/>
    <w:rsid w:val="00FC099B"/>
    <w:rsid w:val="00FC0FC5"/>
    <w:rsid w:val="00FC3D14"/>
    <w:rsid w:val="00FC588F"/>
    <w:rsid w:val="00FC6879"/>
    <w:rsid w:val="00FC697E"/>
    <w:rsid w:val="00FC7B51"/>
    <w:rsid w:val="00FD00AB"/>
    <w:rsid w:val="00FD37DC"/>
    <w:rsid w:val="00FD43C2"/>
    <w:rsid w:val="00FD511C"/>
    <w:rsid w:val="00FD56BF"/>
    <w:rsid w:val="00FD57CC"/>
    <w:rsid w:val="00FD7695"/>
    <w:rsid w:val="00FE007D"/>
    <w:rsid w:val="00FE1B30"/>
    <w:rsid w:val="00FE3160"/>
    <w:rsid w:val="00FE3E45"/>
    <w:rsid w:val="00FE4E17"/>
    <w:rsid w:val="00FE6A43"/>
    <w:rsid w:val="00FE746E"/>
    <w:rsid w:val="00FE7B44"/>
    <w:rsid w:val="00FF032B"/>
    <w:rsid w:val="00FF1654"/>
    <w:rsid w:val="00FF1A2F"/>
    <w:rsid w:val="00FF1E1C"/>
    <w:rsid w:val="00FF3455"/>
    <w:rsid w:val="00FF3F7B"/>
    <w:rsid w:val="00FF47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enu v:ext="edit" fillcolor="none"/>
    </o:shapedefaults>
    <o:shapelayout v:ext="edit">
      <o:idmap v:ext="edit" data="1"/>
    </o:shapelayout>
  </w:shapeDefaults>
  <w:decimalSymbol w:val="."/>
  <w:listSeparator w:val=","/>
  <w14:docId w14:val="0698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customStyle="1" w:styleId="NumberedList">
    <w:name w:val="Numbered List"/>
    <w:basedOn w:val="Normal"/>
    <w:rsid w:val="007D016D"/>
    <w:pPr>
      <w:widowControl w:val="0"/>
      <w:numPr>
        <w:numId w:val="14"/>
      </w:numPr>
      <w:tabs>
        <w:tab w:val="left" w:pos="720"/>
      </w:tabs>
      <w:spacing w:before="180" w:after="180"/>
    </w:pPr>
    <w:rPr>
      <w:rFonts w:eastAsia="Times New Roman"/>
      <w:lang w:eastAsia="en-AU"/>
    </w:rPr>
  </w:style>
  <w:style w:type="paragraph" w:styleId="Quote">
    <w:name w:val="Quote"/>
    <w:link w:val="QuoteChar"/>
    <w:qFormat/>
    <w:rsid w:val="007D016D"/>
    <w:pPr>
      <w:widowControl w:val="0"/>
      <w:tabs>
        <w:tab w:val="left" w:pos="-1440"/>
        <w:tab w:val="left" w:pos="-720"/>
      </w:tabs>
      <w:ind w:left="737" w:right="737"/>
      <w:jc w:val="both"/>
    </w:pPr>
    <w:rPr>
      <w:rFonts w:eastAsia="Times New Roman"/>
      <w:i/>
      <w:sz w:val="24"/>
    </w:rPr>
  </w:style>
  <w:style w:type="character" w:customStyle="1" w:styleId="QuoteChar">
    <w:name w:val="Quote Char"/>
    <w:basedOn w:val="DefaultParagraphFont"/>
    <w:link w:val="Quote"/>
    <w:rsid w:val="007D016D"/>
    <w:rPr>
      <w:rFonts w:eastAsia="Times New Roman"/>
      <w:i/>
      <w:sz w:val="24"/>
    </w:rPr>
  </w:style>
  <w:style w:type="paragraph" w:styleId="Revision">
    <w:name w:val="Revision"/>
    <w:hidden/>
    <w:uiPriority w:val="99"/>
    <w:semiHidden/>
    <w:rsid w:val="0091192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B54CD651BE4AB9A7724155266E859A"/>
        <w:category>
          <w:name w:val="General"/>
          <w:gallery w:val="placeholder"/>
        </w:category>
        <w:types>
          <w:type w:val="bbPlcHdr"/>
        </w:types>
        <w:behaviors>
          <w:behavior w:val="content"/>
        </w:behaviors>
        <w:guid w:val="{F34DB4AD-4E72-4789-B519-D852E95CE521}"/>
      </w:docPartPr>
      <w:docPartBody>
        <w:p w:rsidR="002C296F" w:rsidRDefault="002C296F">
          <w:pPr>
            <w:pStyle w:val="20B54CD651BE4AB9A7724155266E859A"/>
          </w:pPr>
          <w:r>
            <w:rPr>
              <w:rStyle w:val="PlaceholderText"/>
            </w:rPr>
            <w:t>MNC Text</w:t>
          </w:r>
        </w:p>
      </w:docPartBody>
    </w:docPart>
    <w:docPart>
      <w:docPartPr>
        <w:name w:val="8D9CBD9367E244A0B09042D28583BA92"/>
        <w:category>
          <w:name w:val="General"/>
          <w:gallery w:val="placeholder"/>
        </w:category>
        <w:types>
          <w:type w:val="bbPlcHdr"/>
        </w:types>
        <w:behaviors>
          <w:behavior w:val="content"/>
        </w:behaviors>
        <w:guid w:val="{274ECB26-E340-4204-A7C6-EE54A5DF01F9}"/>
      </w:docPartPr>
      <w:docPartBody>
        <w:p w:rsidR="002C296F" w:rsidRDefault="002C296F">
          <w:pPr>
            <w:pStyle w:val="8D9CBD9367E244A0B09042D28583BA92"/>
          </w:pPr>
          <w:r w:rsidRPr="005C44BE">
            <w:rPr>
              <w:rStyle w:val="PlaceholderText"/>
            </w:rPr>
            <w:t>Click or tap here to enter text.</w:t>
          </w:r>
        </w:p>
      </w:docPartBody>
    </w:docPart>
    <w:docPart>
      <w:docPartPr>
        <w:name w:val="337D5584E60A4E0080BDBF84F501CF3E"/>
        <w:category>
          <w:name w:val="General"/>
          <w:gallery w:val="placeholder"/>
        </w:category>
        <w:types>
          <w:type w:val="bbPlcHdr"/>
        </w:types>
        <w:behaviors>
          <w:behavior w:val="content"/>
        </w:behaviors>
        <w:guid w:val="{A4B2A60D-4AC6-43D0-8DCB-617263D1ED93}"/>
      </w:docPartPr>
      <w:docPartBody>
        <w:p w:rsidR="002C296F" w:rsidRDefault="002C296F">
          <w:pPr>
            <w:pStyle w:val="337D5584E60A4E0080BDBF84F501CF3E"/>
          </w:pPr>
          <w:r w:rsidRPr="005C44BE">
            <w:rPr>
              <w:rStyle w:val="PlaceholderText"/>
            </w:rPr>
            <w:t>Click or tap here to enter text.</w:t>
          </w:r>
        </w:p>
      </w:docPartBody>
    </w:docPart>
    <w:docPart>
      <w:docPartPr>
        <w:name w:val="FDD63DA75CB4471AB2B343FE5ECDE279"/>
        <w:category>
          <w:name w:val="General"/>
          <w:gallery w:val="placeholder"/>
        </w:category>
        <w:types>
          <w:type w:val="bbPlcHdr"/>
        </w:types>
        <w:behaviors>
          <w:behavior w:val="content"/>
        </w:behaviors>
        <w:guid w:val="{02A1DE83-CFDE-4C37-8FBF-4BAE845ECB36}"/>
      </w:docPartPr>
      <w:docPartBody>
        <w:p w:rsidR="002C296F" w:rsidRDefault="002C296F">
          <w:pPr>
            <w:pStyle w:val="FDD63DA75CB4471AB2B343FE5ECDE279"/>
          </w:pPr>
          <w:r w:rsidRPr="005C44BE">
            <w:rPr>
              <w:rStyle w:val="PlaceholderText"/>
            </w:rPr>
            <w:t>Click or tap here to enter text.</w:t>
          </w:r>
        </w:p>
      </w:docPartBody>
    </w:docPart>
    <w:docPart>
      <w:docPartPr>
        <w:name w:val="78FA99CA077644349510BC858A303A74"/>
        <w:category>
          <w:name w:val="General"/>
          <w:gallery w:val="placeholder"/>
        </w:category>
        <w:types>
          <w:type w:val="bbPlcHdr"/>
        </w:types>
        <w:behaviors>
          <w:behavior w:val="content"/>
        </w:behaviors>
        <w:guid w:val="{DB40FC1A-31E7-4DB1-B46B-11850FBBDCE4}"/>
      </w:docPartPr>
      <w:docPartBody>
        <w:p w:rsidR="002C296F" w:rsidRDefault="002C296F">
          <w:pPr>
            <w:pStyle w:val="78FA99CA077644349510BC858A303A74"/>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96F"/>
    <w:rsid w:val="002C296F"/>
    <w:rsid w:val="00541C15"/>
    <w:rsid w:val="00774EFB"/>
    <w:rsid w:val="00BD3103"/>
    <w:rsid w:val="00C112BB"/>
    <w:rsid w:val="00EE7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0B54CD651BE4AB9A7724155266E859A">
    <w:name w:val="20B54CD651BE4AB9A7724155266E859A"/>
  </w:style>
  <w:style w:type="paragraph" w:customStyle="1" w:styleId="8D9CBD9367E244A0B09042D28583BA92">
    <w:name w:val="8D9CBD9367E244A0B09042D28583BA92"/>
  </w:style>
  <w:style w:type="paragraph" w:customStyle="1" w:styleId="337D5584E60A4E0080BDBF84F501CF3E">
    <w:name w:val="337D5584E60A4E0080BDBF84F501CF3E"/>
  </w:style>
  <w:style w:type="paragraph" w:customStyle="1" w:styleId="FDD63DA75CB4471AB2B343FE5ECDE279">
    <w:name w:val="FDD63DA75CB4471AB2B343FE5ECDE279"/>
  </w:style>
  <w:style w:type="paragraph" w:customStyle="1" w:styleId="78FA99CA077644349510BC858A303A74">
    <w:name w:val="78FA99CA077644349510BC858A303A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Australian Vaccination-Risks Network Incorporated v Secretary, Department of Health (No 2) [2022] FCA 706</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C7B2BD34-E33E-473A-984C-00E384E3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17</Pages>
  <Words>6463</Words>
  <Characters>32902</Characters>
  <Application>Microsoft Office Word</Application>
  <DocSecurity>0</DocSecurity>
  <PresentationFormat/>
  <Lines>645</Lines>
  <Paragraphs>212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Australian Vaccination-Risks Network Incorporated v Secretary, Department of Health (No 2) [2022] FCA 706</vt:lpstr>
    </vt:vector>
  </TitlesOfParts>
  <Manager/>
  <Company/>
  <LinksUpToDate>false</LinksUpToDate>
  <CharactersWithSpaces>39153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2022-06-20T04:32:00Z</cp:lastPrinted>
  <dcterms:created xsi:type="dcterms:W3CDTF">2022-06-20T06:25:00Z</dcterms:created>
  <dcterms:modified xsi:type="dcterms:W3CDTF">2022-06-20T06:40:00Z</dcterms:modified>
  <cp:category/>
  <cp:contentStatus/>
  <dc:language/>
  <cp:version/>
</cp:coreProperties>
</file>