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9E0708" w:rsidP="00A22932">
      <w:pPr>
        <w:pStyle w:val="CourtTitle"/>
      </w:pPr>
      <w:r>
        <w:rPr>
          <w:caps w:val="0"/>
        </w:rPr>
        <w:t>FEDERAL COURT OF AUSTRALIA</w:t>
      </w:r>
    </w:p>
    <w:p w:rsidR="004D7950" w:rsidRDefault="004D7950">
      <w:pPr>
        <w:pStyle w:val="NormalHeadings"/>
        <w:jc w:val="center"/>
        <w:rPr>
          <w:sz w:val="32"/>
        </w:rPr>
      </w:pPr>
    </w:p>
    <w:bookmarkStart w:id="0" w:name="MNC"/>
    <w:p w:rsidR="00374CC4" w:rsidRDefault="00AA0ABB" w:rsidP="001A2B40">
      <w:pPr>
        <w:pStyle w:val="MNC"/>
      </w:pPr>
      <w:sdt>
        <w:sdtPr>
          <w:alias w:val="MNC"/>
          <w:tag w:val="MNC"/>
          <w:id w:val="343289786"/>
          <w:lock w:val="sdtLocked"/>
          <w:placeholder>
            <w:docPart w:val="937150485B104262AD96BEDDCBD7A76A"/>
          </w:placeholder>
          <w:dataBinding w:prefixMappings="xmlns:ns0='http://schemas.globalmacros.com/FCA'" w:xpath="/ns0:root[1]/ns0:Name[1]" w:storeItemID="{687E7CCB-4AA5-44E7-B148-17BA2B6F57C0}"/>
          <w:text w:multiLine="1"/>
        </w:sdtPr>
        <w:sdtEndPr/>
        <w:sdtContent>
          <w:r w:rsidR="00044A00">
            <w:t xml:space="preserve">Lucan </w:t>
          </w:r>
          <w:r w:rsidR="008564E8">
            <w:t>(Trustee)</w:t>
          </w:r>
          <w:r w:rsidR="00385B88">
            <w:t xml:space="preserve"> v State of New South Wales</w:t>
          </w:r>
          <w:r w:rsidR="00044A00">
            <w:t>, in the matter of the Bankrupt Estate of Williams</w:t>
          </w:r>
          <w:r w:rsidR="00385B88">
            <w:t xml:space="preserve"> [2022] FCA </w:t>
          </w:r>
          <w:r w:rsidR="001C4CD5">
            <w:t>751</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88563F">
        <w:tc>
          <w:tcPr>
            <w:tcW w:w="3084" w:type="dxa"/>
            <w:shd w:val="clear" w:color="auto" w:fill="auto"/>
          </w:tcPr>
          <w:p w:rsidR="00395B24" w:rsidRDefault="002C7385" w:rsidP="00663878">
            <w:pPr>
              <w:pStyle w:val="Normal1linespace"/>
              <w:widowControl w:val="0"/>
              <w:jc w:val="left"/>
            </w:pPr>
            <w:r>
              <w:t>File number(s):</w:t>
            </w:r>
          </w:p>
        </w:tc>
        <w:tc>
          <w:tcPr>
            <w:tcW w:w="5989" w:type="dxa"/>
            <w:shd w:val="clear" w:color="auto" w:fill="auto"/>
          </w:tcPr>
          <w:p w:rsidR="00395B24" w:rsidRPr="0088563F" w:rsidRDefault="00AA0ABB" w:rsidP="0088563F">
            <w:pPr>
              <w:pStyle w:val="Normal1linespace"/>
              <w:jc w:val="left"/>
            </w:pPr>
            <w:r>
              <w:fldChar w:fldCharType="begin" w:fldLock="1"/>
            </w:r>
            <w:r>
              <w:instrText xml:space="preserve"> REF  FileNo  \* MERGEFORMAT </w:instrText>
            </w:r>
            <w:r>
              <w:fldChar w:fldCharType="separate"/>
            </w:r>
            <w:r w:rsidR="0088563F" w:rsidRPr="0088563F">
              <w:t>NSD 157 of 2022</w:t>
            </w:r>
            <w:r>
              <w:fldChar w:fldCharType="end"/>
            </w:r>
          </w:p>
        </w:tc>
      </w:tr>
      <w:tr w:rsidR="00395B24" w:rsidTr="0088563F">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8563F">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88563F">
              <w:rPr>
                <w:b/>
              </w:rPr>
              <w:fldChar w:fldCharType="begin" w:fldLock="1"/>
            </w:r>
            <w:r w:rsidRPr="0088563F">
              <w:rPr>
                <w:b/>
              </w:rPr>
              <w:instrText xml:space="preserve"> REF  Judge  \* MERGEFORMAT </w:instrText>
            </w:r>
            <w:r w:rsidRPr="0088563F">
              <w:rPr>
                <w:b/>
              </w:rPr>
              <w:fldChar w:fldCharType="separate"/>
            </w:r>
            <w:r w:rsidR="0088563F" w:rsidRPr="0088563F">
              <w:rPr>
                <w:b/>
                <w:caps/>
                <w:szCs w:val="24"/>
              </w:rPr>
              <w:t>GOODMAN J</w:t>
            </w:r>
            <w:r w:rsidRPr="0088563F">
              <w:rPr>
                <w:b/>
              </w:rPr>
              <w:fldChar w:fldCharType="end"/>
            </w:r>
          </w:p>
        </w:tc>
      </w:tr>
      <w:tr w:rsidR="00395B24" w:rsidTr="0088563F">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8563F">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2F01FA" w:rsidP="00663878">
            <w:pPr>
              <w:pStyle w:val="Normal1linespace"/>
              <w:widowControl w:val="0"/>
              <w:jc w:val="left"/>
            </w:pPr>
            <w:r>
              <w:t>29</w:t>
            </w:r>
            <w:r w:rsidR="009C1DC0">
              <w:t xml:space="preserve"> June 2022</w:t>
            </w:r>
          </w:p>
        </w:tc>
      </w:tr>
      <w:tr w:rsidR="00395B24" w:rsidTr="0088563F">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8563F">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217304" w:rsidP="00217304">
            <w:pPr>
              <w:pStyle w:val="Normal1linespace"/>
              <w:widowControl w:val="0"/>
              <w:jc w:val="left"/>
            </w:pPr>
            <w:bookmarkStart w:id="1" w:name="Catchwords"/>
            <w:r>
              <w:rPr>
                <w:b/>
              </w:rPr>
              <w:t xml:space="preserve">BANKRUPTCY </w:t>
            </w:r>
            <w:r>
              <w:t>– application by trustee in bankruptcy for an order vesting an interest in real property to the trustee – property disclaimed by predecessor trustee – change in circumstances – just and equitable to make order</w:t>
            </w:r>
            <w:r w:rsidR="002C7385">
              <w:t xml:space="preserve"> </w:t>
            </w:r>
            <w:bookmarkEnd w:id="1"/>
          </w:p>
        </w:tc>
      </w:tr>
      <w:tr w:rsidR="00395B24" w:rsidTr="0088563F">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8563F">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72785A" w:rsidRPr="00196EB3" w:rsidRDefault="0072785A" w:rsidP="00196EB3">
            <w:pPr>
              <w:pStyle w:val="CasesLegislationAppealFrom"/>
              <w:spacing w:after="60"/>
            </w:pPr>
            <w:bookmarkStart w:id="2" w:name="Legislation"/>
            <w:r w:rsidRPr="00196EB3">
              <w:rPr>
                <w:i/>
              </w:rPr>
              <w:t xml:space="preserve">Bankruptcy Act 1966 </w:t>
            </w:r>
            <w:r w:rsidRPr="00196EB3">
              <w:t>(</w:t>
            </w:r>
            <w:proofErr w:type="spellStart"/>
            <w:r w:rsidRPr="00196EB3">
              <w:t>Cth</w:t>
            </w:r>
            <w:proofErr w:type="spellEnd"/>
            <w:r w:rsidRPr="00196EB3">
              <w:t>)</w:t>
            </w:r>
          </w:p>
          <w:p w:rsidR="00FD681D" w:rsidRDefault="00FD681D" w:rsidP="00196EB3">
            <w:pPr>
              <w:pStyle w:val="CasesLegislationAppealFrom"/>
              <w:spacing w:after="60"/>
            </w:pPr>
            <w:r w:rsidRPr="00196EB3">
              <w:rPr>
                <w:i/>
              </w:rPr>
              <w:t xml:space="preserve">Corporations Act 2001 </w:t>
            </w:r>
            <w:r w:rsidRPr="00196EB3">
              <w:t>(</w:t>
            </w:r>
            <w:proofErr w:type="spellStart"/>
            <w:r w:rsidRPr="00196EB3">
              <w:t>Cth</w:t>
            </w:r>
            <w:proofErr w:type="spellEnd"/>
            <w:r>
              <w:t>)</w:t>
            </w:r>
          </w:p>
          <w:p w:rsidR="00196EB3" w:rsidRPr="00196EB3" w:rsidRDefault="0072785A" w:rsidP="00FD681D">
            <w:pPr>
              <w:pStyle w:val="CasesLegislationAppealFrom"/>
              <w:spacing w:after="60"/>
            </w:pPr>
            <w:r w:rsidRPr="00196EB3">
              <w:rPr>
                <w:i/>
              </w:rPr>
              <w:t xml:space="preserve">Conveyancing Act 1919 </w:t>
            </w:r>
            <w:r>
              <w:t>(NSW)</w:t>
            </w:r>
            <w:bookmarkEnd w:id="2"/>
          </w:p>
        </w:tc>
      </w:tr>
      <w:tr w:rsidR="00395B24" w:rsidTr="0088563F">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8563F">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72785A" w:rsidRPr="0072785A" w:rsidRDefault="0072785A" w:rsidP="0072785A">
            <w:pPr>
              <w:pStyle w:val="CasesLegislationAppealFrom"/>
              <w:spacing w:after="60"/>
            </w:pPr>
            <w:bookmarkStart w:id="3" w:name="Cases_Cited"/>
            <w:r w:rsidRPr="0072785A">
              <w:rPr>
                <w:i/>
              </w:rPr>
              <w:t xml:space="preserve">Commonwealth Bank of Australia v State of Queensland, in the matter of </w:t>
            </w:r>
            <w:proofErr w:type="spellStart"/>
            <w:r w:rsidRPr="0072785A">
              <w:rPr>
                <w:i/>
              </w:rPr>
              <w:t>Hewton</w:t>
            </w:r>
            <w:proofErr w:type="spellEnd"/>
            <w:r w:rsidRPr="0072785A">
              <w:t xml:space="preserve"> [2021] FCA 22</w:t>
            </w:r>
          </w:p>
          <w:p w:rsidR="0072785A" w:rsidRPr="0072785A" w:rsidRDefault="0072785A" w:rsidP="0072785A">
            <w:pPr>
              <w:pStyle w:val="CasesLegislationAppealFrom"/>
              <w:spacing w:after="60"/>
            </w:pPr>
            <w:r w:rsidRPr="0072785A">
              <w:rPr>
                <w:i/>
              </w:rPr>
              <w:t xml:space="preserve">In the matter of Vision Forklifts Pty Ltd (in </w:t>
            </w:r>
            <w:proofErr w:type="spellStart"/>
            <w:r w:rsidRPr="0072785A">
              <w:rPr>
                <w:i/>
              </w:rPr>
              <w:t>liq</w:t>
            </w:r>
            <w:proofErr w:type="spellEnd"/>
            <w:r w:rsidRPr="0072785A">
              <w:rPr>
                <w:i/>
              </w:rPr>
              <w:t xml:space="preserve">) </w:t>
            </w:r>
            <w:r w:rsidRPr="0072785A">
              <w:t>[2020] NSWSC 243</w:t>
            </w:r>
          </w:p>
          <w:p w:rsidR="0072785A" w:rsidRPr="0072785A" w:rsidRDefault="0072785A" w:rsidP="0072785A">
            <w:pPr>
              <w:pStyle w:val="CasesLegislationAppealFrom"/>
              <w:spacing w:after="60"/>
            </w:pPr>
            <w:r w:rsidRPr="0072785A">
              <w:rPr>
                <w:i/>
              </w:rPr>
              <w:t xml:space="preserve">National Australia Bank Ltd v New South Wales </w:t>
            </w:r>
            <w:r w:rsidRPr="0072785A">
              <w:t>[2009] FCA 1066; (2009) 260 ALR 115</w:t>
            </w:r>
          </w:p>
          <w:p w:rsidR="0072785A" w:rsidRPr="0072785A" w:rsidRDefault="0072785A" w:rsidP="0072785A">
            <w:pPr>
              <w:pStyle w:val="CasesLegislationAppealFrom"/>
              <w:spacing w:after="60"/>
            </w:pPr>
            <w:r w:rsidRPr="0072785A">
              <w:rPr>
                <w:i/>
              </w:rPr>
              <w:t>Walsh v State of Queensland</w:t>
            </w:r>
            <w:r w:rsidRPr="0072785A">
              <w:t xml:space="preserve"> [2019] FCA 871; (2019) 369 ALR 725</w:t>
            </w:r>
            <w:bookmarkEnd w:id="3"/>
          </w:p>
        </w:tc>
      </w:tr>
      <w:tr w:rsidR="0088563F" w:rsidTr="0088563F">
        <w:tc>
          <w:tcPr>
            <w:tcW w:w="3084" w:type="dxa"/>
            <w:shd w:val="clear" w:color="auto" w:fill="auto"/>
          </w:tcPr>
          <w:p w:rsidR="0088563F" w:rsidRDefault="0088563F" w:rsidP="002F7154">
            <w:pPr>
              <w:pStyle w:val="Normal1linespace"/>
              <w:widowControl w:val="0"/>
            </w:pPr>
          </w:p>
        </w:tc>
        <w:tc>
          <w:tcPr>
            <w:tcW w:w="5989" w:type="dxa"/>
            <w:shd w:val="clear" w:color="auto" w:fill="auto"/>
          </w:tcPr>
          <w:p w:rsidR="0088563F" w:rsidRDefault="0088563F" w:rsidP="002F7154">
            <w:pPr>
              <w:pStyle w:val="Normal1linespace"/>
              <w:widowControl w:val="0"/>
              <w:jc w:val="left"/>
            </w:pPr>
          </w:p>
        </w:tc>
      </w:tr>
      <w:tr w:rsidR="0088563F" w:rsidTr="0088563F">
        <w:tc>
          <w:tcPr>
            <w:tcW w:w="3084" w:type="dxa"/>
            <w:shd w:val="clear" w:color="auto" w:fill="auto"/>
          </w:tcPr>
          <w:p w:rsidR="0088563F" w:rsidRDefault="0088563F" w:rsidP="00501A12">
            <w:pPr>
              <w:pStyle w:val="Normal1linespace"/>
              <w:widowControl w:val="0"/>
            </w:pPr>
            <w:r>
              <w:t>Division:</w:t>
            </w:r>
          </w:p>
        </w:tc>
        <w:tc>
          <w:tcPr>
            <w:tcW w:w="5989" w:type="dxa"/>
            <w:shd w:val="clear" w:color="auto" w:fill="auto"/>
          </w:tcPr>
          <w:p w:rsidR="0088563F" w:rsidRPr="00F17599" w:rsidRDefault="0088563F" w:rsidP="00501A12">
            <w:pPr>
              <w:pStyle w:val="Normal1linespace"/>
              <w:widowControl w:val="0"/>
              <w:jc w:val="left"/>
            </w:pPr>
            <w:r>
              <w:t>General Division</w:t>
            </w:r>
          </w:p>
        </w:tc>
      </w:tr>
      <w:tr w:rsidR="0088563F" w:rsidTr="0088563F">
        <w:tc>
          <w:tcPr>
            <w:tcW w:w="3084" w:type="dxa"/>
            <w:shd w:val="clear" w:color="auto" w:fill="auto"/>
          </w:tcPr>
          <w:p w:rsidR="0088563F" w:rsidRDefault="0088563F" w:rsidP="00501A12">
            <w:pPr>
              <w:pStyle w:val="Normal1linespace"/>
              <w:widowControl w:val="0"/>
            </w:pPr>
            <w:bookmarkStart w:id="4" w:name="Registry_rows" w:colFirst="0" w:colLast="1"/>
          </w:p>
        </w:tc>
        <w:tc>
          <w:tcPr>
            <w:tcW w:w="5989" w:type="dxa"/>
            <w:shd w:val="clear" w:color="auto" w:fill="auto"/>
          </w:tcPr>
          <w:p w:rsidR="0088563F" w:rsidRDefault="0088563F" w:rsidP="00501A12">
            <w:pPr>
              <w:pStyle w:val="Normal1linespace"/>
              <w:widowControl w:val="0"/>
              <w:jc w:val="left"/>
            </w:pPr>
          </w:p>
        </w:tc>
      </w:tr>
      <w:tr w:rsidR="0088563F" w:rsidTr="0088563F">
        <w:tc>
          <w:tcPr>
            <w:tcW w:w="3084" w:type="dxa"/>
            <w:shd w:val="clear" w:color="auto" w:fill="auto"/>
          </w:tcPr>
          <w:p w:rsidR="0088563F" w:rsidRDefault="0088563F" w:rsidP="00501A12">
            <w:pPr>
              <w:pStyle w:val="Normal1linespace"/>
              <w:widowControl w:val="0"/>
            </w:pPr>
            <w:r>
              <w:t>Registry:</w:t>
            </w:r>
          </w:p>
        </w:tc>
        <w:tc>
          <w:tcPr>
            <w:tcW w:w="5989" w:type="dxa"/>
            <w:shd w:val="clear" w:color="auto" w:fill="auto"/>
          </w:tcPr>
          <w:p w:rsidR="0088563F" w:rsidRPr="00F17599" w:rsidRDefault="0088563F" w:rsidP="00501A12">
            <w:pPr>
              <w:pStyle w:val="Normal1linespace"/>
              <w:widowControl w:val="0"/>
              <w:jc w:val="left"/>
            </w:pPr>
            <w:r>
              <w:t>New South Wales</w:t>
            </w:r>
          </w:p>
        </w:tc>
      </w:tr>
      <w:tr w:rsidR="0088563F" w:rsidTr="0088563F">
        <w:tc>
          <w:tcPr>
            <w:tcW w:w="3084" w:type="dxa"/>
            <w:shd w:val="clear" w:color="auto" w:fill="auto"/>
          </w:tcPr>
          <w:p w:rsidR="0088563F" w:rsidRDefault="0088563F" w:rsidP="00501A12">
            <w:pPr>
              <w:pStyle w:val="Normal1linespace"/>
              <w:widowControl w:val="0"/>
            </w:pPr>
            <w:bookmarkStart w:id="5" w:name="NPARow" w:colFirst="0" w:colLast="1"/>
            <w:bookmarkEnd w:id="4"/>
          </w:p>
        </w:tc>
        <w:tc>
          <w:tcPr>
            <w:tcW w:w="5989" w:type="dxa"/>
            <w:shd w:val="clear" w:color="auto" w:fill="auto"/>
          </w:tcPr>
          <w:p w:rsidR="0088563F" w:rsidRPr="00F17599" w:rsidRDefault="0088563F" w:rsidP="00501A12">
            <w:pPr>
              <w:pStyle w:val="Normal1linespace"/>
              <w:widowControl w:val="0"/>
              <w:jc w:val="left"/>
              <w:rPr>
                <w:b/>
              </w:rPr>
            </w:pPr>
          </w:p>
        </w:tc>
      </w:tr>
      <w:tr w:rsidR="0088563F" w:rsidTr="0088563F">
        <w:tc>
          <w:tcPr>
            <w:tcW w:w="3084" w:type="dxa"/>
            <w:shd w:val="clear" w:color="auto" w:fill="auto"/>
          </w:tcPr>
          <w:p w:rsidR="0088563F" w:rsidRDefault="0088563F" w:rsidP="00501A12">
            <w:pPr>
              <w:pStyle w:val="Normal1linespace"/>
              <w:widowControl w:val="0"/>
            </w:pPr>
            <w:r>
              <w:t>National Practice Area:</w:t>
            </w:r>
          </w:p>
        </w:tc>
        <w:tc>
          <w:tcPr>
            <w:tcW w:w="5989" w:type="dxa"/>
            <w:shd w:val="clear" w:color="auto" w:fill="auto"/>
          </w:tcPr>
          <w:p w:rsidR="0088563F" w:rsidRPr="00F17599" w:rsidRDefault="0088563F" w:rsidP="00171DBB">
            <w:pPr>
              <w:pStyle w:val="Normal1linespace"/>
              <w:widowControl w:val="0"/>
              <w:jc w:val="left"/>
              <w:rPr>
                <w:b/>
              </w:rPr>
            </w:pPr>
            <w:r>
              <w:t>Commercial and Corporations</w:t>
            </w:r>
          </w:p>
        </w:tc>
      </w:tr>
      <w:tr w:rsidR="0088563F" w:rsidTr="0088563F">
        <w:tc>
          <w:tcPr>
            <w:tcW w:w="3084" w:type="dxa"/>
            <w:shd w:val="clear" w:color="auto" w:fill="auto"/>
          </w:tcPr>
          <w:p w:rsidR="0088563F" w:rsidRDefault="0088563F" w:rsidP="00501A12">
            <w:pPr>
              <w:pStyle w:val="Normal1linespace"/>
              <w:widowControl w:val="0"/>
            </w:pPr>
            <w:bookmarkStart w:id="6" w:name="SubAreaRow" w:colFirst="0" w:colLast="1"/>
            <w:bookmarkEnd w:id="5"/>
          </w:p>
        </w:tc>
        <w:tc>
          <w:tcPr>
            <w:tcW w:w="5989" w:type="dxa"/>
            <w:shd w:val="clear" w:color="auto" w:fill="auto"/>
          </w:tcPr>
          <w:p w:rsidR="0088563F" w:rsidRDefault="0088563F" w:rsidP="00171DBB">
            <w:pPr>
              <w:pStyle w:val="Normal1linespace"/>
              <w:widowControl w:val="0"/>
              <w:jc w:val="left"/>
            </w:pPr>
          </w:p>
        </w:tc>
      </w:tr>
      <w:tr w:rsidR="0088563F" w:rsidTr="0088563F">
        <w:tc>
          <w:tcPr>
            <w:tcW w:w="3084" w:type="dxa"/>
            <w:shd w:val="clear" w:color="auto" w:fill="auto"/>
          </w:tcPr>
          <w:p w:rsidR="0088563F" w:rsidRDefault="0088563F" w:rsidP="00501A12">
            <w:pPr>
              <w:pStyle w:val="Normal1linespace"/>
              <w:widowControl w:val="0"/>
            </w:pPr>
            <w:r>
              <w:t>Sub-area:</w:t>
            </w:r>
          </w:p>
        </w:tc>
        <w:tc>
          <w:tcPr>
            <w:tcW w:w="5989" w:type="dxa"/>
            <w:shd w:val="clear" w:color="auto" w:fill="auto"/>
          </w:tcPr>
          <w:p w:rsidR="0088563F" w:rsidRPr="00837288" w:rsidRDefault="0088563F" w:rsidP="00435936">
            <w:pPr>
              <w:pStyle w:val="Normal1linespace"/>
              <w:widowControl w:val="0"/>
              <w:jc w:val="left"/>
            </w:pPr>
            <w:r w:rsidRPr="0088563F">
              <w:rPr>
                <w:lang w:val="en-US"/>
              </w:rPr>
              <w:t>General and Personal</w:t>
            </w:r>
            <w:r>
              <w:t xml:space="preserve"> Insolvency</w:t>
            </w:r>
          </w:p>
        </w:tc>
      </w:tr>
      <w:bookmarkEnd w:id="6"/>
      <w:tr w:rsidR="00044A00" w:rsidTr="0088563F">
        <w:tc>
          <w:tcPr>
            <w:tcW w:w="3084" w:type="dxa"/>
            <w:shd w:val="clear" w:color="auto" w:fill="auto"/>
          </w:tcPr>
          <w:p w:rsidR="00044A00" w:rsidRDefault="00044A00" w:rsidP="00895956">
            <w:pPr>
              <w:pStyle w:val="Normal1linespace"/>
              <w:widowControl w:val="0"/>
            </w:pPr>
          </w:p>
        </w:tc>
        <w:tc>
          <w:tcPr>
            <w:tcW w:w="5989" w:type="dxa"/>
            <w:shd w:val="clear" w:color="auto" w:fill="auto"/>
          </w:tcPr>
          <w:p w:rsidR="00044A00" w:rsidRDefault="00044A00" w:rsidP="00895956">
            <w:pPr>
              <w:pStyle w:val="Normal1linespace"/>
              <w:widowControl w:val="0"/>
              <w:jc w:val="left"/>
            </w:pPr>
          </w:p>
        </w:tc>
      </w:tr>
      <w:tr w:rsidR="00044A00" w:rsidTr="0088563F">
        <w:tc>
          <w:tcPr>
            <w:tcW w:w="3084" w:type="dxa"/>
            <w:shd w:val="clear" w:color="auto" w:fill="auto"/>
          </w:tcPr>
          <w:p w:rsidR="00044A00" w:rsidRDefault="00044A00" w:rsidP="00501A12">
            <w:pPr>
              <w:pStyle w:val="Normal1linespace"/>
              <w:widowControl w:val="0"/>
            </w:pPr>
            <w:r>
              <w:t>Number of paragraphs:</w:t>
            </w:r>
          </w:p>
        </w:tc>
        <w:tc>
          <w:tcPr>
            <w:tcW w:w="5989" w:type="dxa"/>
            <w:shd w:val="clear" w:color="auto" w:fill="auto"/>
          </w:tcPr>
          <w:p w:rsidR="00044A00" w:rsidRDefault="0089163C" w:rsidP="00501A12">
            <w:pPr>
              <w:pStyle w:val="Normal1linespace"/>
              <w:widowControl w:val="0"/>
              <w:jc w:val="left"/>
            </w:pPr>
            <w:bookmarkStart w:id="7" w:name="PlaceCategoryParagraphs"/>
            <w:r>
              <w:t>49</w:t>
            </w:r>
            <w:bookmarkEnd w:id="7"/>
          </w:p>
        </w:tc>
      </w:tr>
      <w:tr w:rsidR="00044A00" w:rsidTr="0088563F">
        <w:tc>
          <w:tcPr>
            <w:tcW w:w="3084" w:type="dxa"/>
            <w:shd w:val="clear" w:color="auto" w:fill="auto"/>
          </w:tcPr>
          <w:p w:rsidR="00044A00" w:rsidRDefault="00044A00" w:rsidP="00044A00">
            <w:pPr>
              <w:pStyle w:val="Normal1linespace"/>
              <w:widowControl w:val="0"/>
              <w:jc w:val="left"/>
            </w:pPr>
          </w:p>
        </w:tc>
        <w:tc>
          <w:tcPr>
            <w:tcW w:w="5989" w:type="dxa"/>
            <w:shd w:val="clear" w:color="auto" w:fill="auto"/>
          </w:tcPr>
          <w:p w:rsidR="00044A00" w:rsidRDefault="00044A00" w:rsidP="00044A00">
            <w:pPr>
              <w:pStyle w:val="Normal1linespace"/>
              <w:widowControl w:val="0"/>
              <w:jc w:val="left"/>
            </w:pPr>
          </w:p>
        </w:tc>
      </w:tr>
      <w:tr w:rsidR="00044A00" w:rsidTr="0088563F">
        <w:tc>
          <w:tcPr>
            <w:tcW w:w="3084" w:type="dxa"/>
            <w:shd w:val="clear" w:color="auto" w:fill="auto"/>
          </w:tcPr>
          <w:p w:rsidR="00044A00" w:rsidRDefault="00044A00" w:rsidP="00044A00">
            <w:pPr>
              <w:pStyle w:val="Normal1linespace"/>
              <w:widowControl w:val="0"/>
              <w:jc w:val="left"/>
            </w:pPr>
            <w:bookmarkStart w:id="8" w:name="CounselDate" w:colFirst="0" w:colLast="2"/>
            <w:r w:rsidRPr="006A24E3">
              <w:t>Date of hearing:</w:t>
            </w:r>
          </w:p>
        </w:tc>
        <w:tc>
          <w:tcPr>
            <w:tcW w:w="5989" w:type="dxa"/>
            <w:shd w:val="clear" w:color="auto" w:fill="auto"/>
          </w:tcPr>
          <w:p w:rsidR="00044A00" w:rsidRDefault="00044A00" w:rsidP="00044A00">
            <w:pPr>
              <w:pStyle w:val="Normal1linespace"/>
              <w:widowControl w:val="0"/>
              <w:jc w:val="left"/>
            </w:pPr>
            <w:bookmarkStart w:id="9" w:name="HearingDate"/>
            <w:r>
              <w:t xml:space="preserve">16 June 2022 </w:t>
            </w:r>
            <w:bookmarkEnd w:id="9"/>
          </w:p>
        </w:tc>
      </w:tr>
      <w:tr w:rsidR="00044A00" w:rsidTr="0088563F">
        <w:tc>
          <w:tcPr>
            <w:tcW w:w="3084" w:type="dxa"/>
            <w:shd w:val="clear" w:color="auto" w:fill="auto"/>
          </w:tcPr>
          <w:p w:rsidR="00044A00" w:rsidRDefault="00044A00" w:rsidP="00044A00">
            <w:pPr>
              <w:pStyle w:val="Normal1linespace"/>
              <w:widowControl w:val="0"/>
              <w:jc w:val="left"/>
            </w:pPr>
          </w:p>
        </w:tc>
        <w:tc>
          <w:tcPr>
            <w:tcW w:w="5989" w:type="dxa"/>
            <w:shd w:val="clear" w:color="auto" w:fill="auto"/>
          </w:tcPr>
          <w:p w:rsidR="00044A00" w:rsidRDefault="00044A00" w:rsidP="00044A00">
            <w:pPr>
              <w:pStyle w:val="Normal1linespace"/>
              <w:widowControl w:val="0"/>
              <w:jc w:val="left"/>
            </w:pPr>
          </w:p>
        </w:tc>
      </w:tr>
      <w:tr w:rsidR="00C75C0F" w:rsidTr="0088563F">
        <w:tc>
          <w:tcPr>
            <w:tcW w:w="3084" w:type="dxa"/>
            <w:shd w:val="clear" w:color="auto" w:fill="auto"/>
          </w:tcPr>
          <w:p w:rsidR="00C75C0F" w:rsidRDefault="0088563F" w:rsidP="00C75C0F">
            <w:pPr>
              <w:pStyle w:val="Normal1linespace"/>
              <w:widowControl w:val="0"/>
              <w:jc w:val="left"/>
            </w:pPr>
            <w:bookmarkStart w:id="10" w:name="Counsel" w:colFirst="0" w:colLast="2"/>
            <w:bookmarkEnd w:id="8"/>
            <w:r>
              <w:t>Counsel for the Applicant:</w:t>
            </w:r>
          </w:p>
        </w:tc>
        <w:tc>
          <w:tcPr>
            <w:tcW w:w="5989" w:type="dxa"/>
            <w:shd w:val="clear" w:color="auto" w:fill="auto"/>
          </w:tcPr>
          <w:p w:rsidR="00C75C0F" w:rsidRDefault="0088563F" w:rsidP="00C75C0F">
            <w:pPr>
              <w:pStyle w:val="Normal1linespace"/>
              <w:widowControl w:val="0"/>
              <w:jc w:val="left"/>
            </w:pPr>
            <w:bookmarkStart w:id="11" w:name="AppCounsel"/>
            <w:bookmarkEnd w:id="11"/>
            <w:r>
              <w:t>Ms C Hamilton-Jewell</w:t>
            </w:r>
          </w:p>
        </w:tc>
      </w:tr>
      <w:tr w:rsidR="00C75C0F" w:rsidTr="0088563F">
        <w:tc>
          <w:tcPr>
            <w:tcW w:w="3084" w:type="dxa"/>
            <w:shd w:val="clear" w:color="auto" w:fill="auto"/>
          </w:tcPr>
          <w:p w:rsidR="00C75C0F" w:rsidRDefault="00C75C0F" w:rsidP="00C75C0F">
            <w:pPr>
              <w:pStyle w:val="Normal1linespace"/>
              <w:widowControl w:val="0"/>
              <w:jc w:val="left"/>
            </w:pPr>
          </w:p>
        </w:tc>
        <w:tc>
          <w:tcPr>
            <w:tcW w:w="5989" w:type="dxa"/>
            <w:shd w:val="clear" w:color="auto" w:fill="auto"/>
          </w:tcPr>
          <w:p w:rsidR="00C75C0F" w:rsidRDefault="00C75C0F" w:rsidP="00C75C0F">
            <w:pPr>
              <w:pStyle w:val="Normal1linespace"/>
              <w:widowControl w:val="0"/>
              <w:jc w:val="left"/>
            </w:pPr>
          </w:p>
        </w:tc>
      </w:tr>
      <w:tr w:rsidR="00C75C0F" w:rsidTr="0088563F">
        <w:tc>
          <w:tcPr>
            <w:tcW w:w="3084" w:type="dxa"/>
            <w:shd w:val="clear" w:color="auto" w:fill="auto"/>
          </w:tcPr>
          <w:p w:rsidR="00C75C0F" w:rsidRDefault="0088563F" w:rsidP="00C75C0F">
            <w:pPr>
              <w:pStyle w:val="Normal1linespace"/>
              <w:widowControl w:val="0"/>
              <w:jc w:val="left"/>
            </w:pPr>
            <w:r>
              <w:t>Solicitor for the Applicant:</w:t>
            </w:r>
          </w:p>
        </w:tc>
        <w:tc>
          <w:tcPr>
            <w:tcW w:w="5989" w:type="dxa"/>
            <w:shd w:val="clear" w:color="auto" w:fill="auto"/>
          </w:tcPr>
          <w:p w:rsidR="00C75C0F" w:rsidRDefault="0088563F" w:rsidP="00C75C0F">
            <w:pPr>
              <w:pStyle w:val="Normal1linespace"/>
              <w:widowControl w:val="0"/>
              <w:jc w:val="left"/>
            </w:pPr>
            <w:r>
              <w:t xml:space="preserve">Sullivan </w:t>
            </w:r>
            <w:proofErr w:type="spellStart"/>
            <w:r>
              <w:t>Fernan</w:t>
            </w:r>
            <w:proofErr w:type="spellEnd"/>
            <w:r>
              <w:t xml:space="preserve"> Lawyers</w:t>
            </w:r>
          </w:p>
        </w:tc>
      </w:tr>
      <w:tr w:rsidR="00C75C0F" w:rsidTr="0088563F">
        <w:tc>
          <w:tcPr>
            <w:tcW w:w="3084" w:type="dxa"/>
            <w:shd w:val="clear" w:color="auto" w:fill="auto"/>
          </w:tcPr>
          <w:p w:rsidR="00C75C0F" w:rsidRDefault="00C75C0F" w:rsidP="00C75C0F">
            <w:pPr>
              <w:pStyle w:val="Normal1linespace"/>
              <w:widowControl w:val="0"/>
              <w:jc w:val="left"/>
            </w:pPr>
          </w:p>
        </w:tc>
        <w:tc>
          <w:tcPr>
            <w:tcW w:w="5989" w:type="dxa"/>
            <w:shd w:val="clear" w:color="auto" w:fill="auto"/>
          </w:tcPr>
          <w:p w:rsidR="00C75C0F" w:rsidRDefault="00C75C0F" w:rsidP="00C75C0F">
            <w:pPr>
              <w:pStyle w:val="Normal1linespace"/>
              <w:widowControl w:val="0"/>
              <w:jc w:val="left"/>
            </w:pPr>
          </w:p>
        </w:tc>
      </w:tr>
    </w:tbl>
    <w:p w:rsidR="008564E8" w:rsidRDefault="008564E8">
      <w:r>
        <w:br w:type="page"/>
      </w:r>
    </w:p>
    <w:tbl>
      <w:tblPr>
        <w:tblW w:w="9073" w:type="dxa"/>
        <w:tblLayout w:type="fixed"/>
        <w:tblLook w:val="01E0" w:firstRow="1" w:lastRow="1" w:firstColumn="1" w:lastColumn="1" w:noHBand="0" w:noVBand="0"/>
        <w:tblCaption w:val="Cover Table"/>
        <w:tblDescription w:val="Cover Table"/>
      </w:tblPr>
      <w:tblGrid>
        <w:gridCol w:w="3084"/>
        <w:gridCol w:w="5989"/>
      </w:tblGrid>
      <w:tr w:rsidR="00C75C0F" w:rsidTr="0088563F">
        <w:tc>
          <w:tcPr>
            <w:tcW w:w="3084" w:type="dxa"/>
            <w:shd w:val="clear" w:color="auto" w:fill="auto"/>
          </w:tcPr>
          <w:p w:rsidR="00C75C0F" w:rsidRDefault="0088563F" w:rsidP="00C75C0F">
            <w:pPr>
              <w:pStyle w:val="Normal1linespace"/>
              <w:widowControl w:val="0"/>
              <w:jc w:val="left"/>
            </w:pPr>
            <w:r>
              <w:lastRenderedPageBreak/>
              <w:t>Solicitor for the First Respondent:</w:t>
            </w:r>
          </w:p>
        </w:tc>
        <w:tc>
          <w:tcPr>
            <w:tcW w:w="5989" w:type="dxa"/>
            <w:shd w:val="clear" w:color="auto" w:fill="auto"/>
          </w:tcPr>
          <w:p w:rsidR="00C75C0F" w:rsidRDefault="0088563F" w:rsidP="00C75C0F">
            <w:pPr>
              <w:pStyle w:val="Normal1linespace"/>
              <w:widowControl w:val="0"/>
              <w:jc w:val="left"/>
            </w:pPr>
            <w:r>
              <w:t>Mr T Walls of New South Wales Department of Planning and Environment</w:t>
            </w:r>
          </w:p>
        </w:tc>
      </w:tr>
      <w:tr w:rsidR="00C75C0F" w:rsidTr="0088563F">
        <w:tc>
          <w:tcPr>
            <w:tcW w:w="3084" w:type="dxa"/>
            <w:shd w:val="clear" w:color="auto" w:fill="auto"/>
          </w:tcPr>
          <w:p w:rsidR="00C75C0F" w:rsidRDefault="00C75C0F" w:rsidP="00C75C0F">
            <w:pPr>
              <w:pStyle w:val="Normal1linespace"/>
              <w:widowControl w:val="0"/>
              <w:jc w:val="left"/>
            </w:pPr>
          </w:p>
        </w:tc>
        <w:tc>
          <w:tcPr>
            <w:tcW w:w="5989" w:type="dxa"/>
            <w:shd w:val="clear" w:color="auto" w:fill="auto"/>
          </w:tcPr>
          <w:p w:rsidR="00C75C0F" w:rsidRDefault="00C75C0F" w:rsidP="00C75C0F">
            <w:pPr>
              <w:pStyle w:val="Normal1linespace"/>
              <w:widowControl w:val="0"/>
              <w:jc w:val="left"/>
            </w:pPr>
          </w:p>
        </w:tc>
      </w:tr>
      <w:tr w:rsidR="00C75C0F" w:rsidTr="0088563F">
        <w:tc>
          <w:tcPr>
            <w:tcW w:w="3084" w:type="dxa"/>
            <w:shd w:val="clear" w:color="auto" w:fill="auto"/>
          </w:tcPr>
          <w:p w:rsidR="00C75C0F" w:rsidRDefault="0088563F" w:rsidP="00C75C0F">
            <w:pPr>
              <w:pStyle w:val="Normal1linespace"/>
              <w:widowControl w:val="0"/>
              <w:jc w:val="left"/>
            </w:pPr>
            <w:r>
              <w:t>Counsel for the Second Respondent:</w:t>
            </w:r>
          </w:p>
        </w:tc>
        <w:tc>
          <w:tcPr>
            <w:tcW w:w="5989" w:type="dxa"/>
            <w:shd w:val="clear" w:color="auto" w:fill="auto"/>
          </w:tcPr>
          <w:p w:rsidR="00C75C0F" w:rsidRDefault="0088563F" w:rsidP="00C75C0F">
            <w:pPr>
              <w:pStyle w:val="Normal1linespace"/>
              <w:widowControl w:val="0"/>
              <w:jc w:val="left"/>
            </w:pPr>
            <w:r>
              <w:t xml:space="preserve">Dr C </w:t>
            </w:r>
            <w:proofErr w:type="spellStart"/>
            <w:r>
              <w:t>Moschoudis</w:t>
            </w:r>
            <w:proofErr w:type="spellEnd"/>
          </w:p>
        </w:tc>
      </w:tr>
      <w:tr w:rsidR="00C75C0F" w:rsidTr="0088563F">
        <w:tc>
          <w:tcPr>
            <w:tcW w:w="3084" w:type="dxa"/>
            <w:shd w:val="clear" w:color="auto" w:fill="auto"/>
          </w:tcPr>
          <w:p w:rsidR="00C75C0F" w:rsidRDefault="00C75C0F" w:rsidP="00C75C0F">
            <w:pPr>
              <w:pStyle w:val="Normal1linespace"/>
              <w:widowControl w:val="0"/>
              <w:jc w:val="left"/>
            </w:pPr>
          </w:p>
        </w:tc>
        <w:tc>
          <w:tcPr>
            <w:tcW w:w="5989" w:type="dxa"/>
            <w:shd w:val="clear" w:color="auto" w:fill="auto"/>
          </w:tcPr>
          <w:p w:rsidR="00C75C0F" w:rsidRDefault="00C75C0F" w:rsidP="00C75C0F">
            <w:pPr>
              <w:pStyle w:val="Normal1linespace"/>
              <w:widowControl w:val="0"/>
              <w:jc w:val="left"/>
            </w:pPr>
          </w:p>
        </w:tc>
      </w:tr>
      <w:tr w:rsidR="00C75C0F" w:rsidTr="0088563F">
        <w:tc>
          <w:tcPr>
            <w:tcW w:w="3084" w:type="dxa"/>
            <w:shd w:val="clear" w:color="auto" w:fill="auto"/>
          </w:tcPr>
          <w:p w:rsidR="00C75C0F" w:rsidRDefault="0088563F" w:rsidP="00C75C0F">
            <w:pPr>
              <w:pStyle w:val="Normal1linespace"/>
              <w:widowControl w:val="0"/>
              <w:jc w:val="left"/>
            </w:pPr>
            <w:r>
              <w:t>Solicitor for the Second Respondent:</w:t>
            </w:r>
          </w:p>
        </w:tc>
        <w:tc>
          <w:tcPr>
            <w:tcW w:w="5989" w:type="dxa"/>
            <w:shd w:val="clear" w:color="auto" w:fill="auto"/>
          </w:tcPr>
          <w:p w:rsidR="00C75C0F" w:rsidRDefault="0088563F" w:rsidP="00C75C0F">
            <w:pPr>
              <w:pStyle w:val="Normal1linespace"/>
              <w:widowControl w:val="0"/>
              <w:jc w:val="left"/>
            </w:pPr>
            <w:r>
              <w:t>Recoveries and Reconstruction Legal</w:t>
            </w:r>
          </w:p>
        </w:tc>
      </w:tr>
      <w:bookmarkEnd w:id="10"/>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88563F" w:rsidP="00F92355">
            <w:pPr>
              <w:pStyle w:val="NormalHeadings"/>
              <w:jc w:val="right"/>
            </w:pPr>
            <w:bookmarkStart w:id="12" w:name="FileNo"/>
            <w:r>
              <w:t>NSD 157 of 2022</w:t>
            </w:r>
            <w:bookmarkEnd w:id="12"/>
          </w:p>
        </w:tc>
      </w:tr>
      <w:tr w:rsidR="00A76C13" w:rsidTr="00895956">
        <w:tc>
          <w:tcPr>
            <w:tcW w:w="9242" w:type="dxa"/>
            <w:gridSpan w:val="3"/>
          </w:tcPr>
          <w:p w:rsidR="00A76C13" w:rsidRPr="00A76C13" w:rsidRDefault="0088563F" w:rsidP="0088563F">
            <w:pPr>
              <w:pStyle w:val="NormalHeadings"/>
              <w:spacing w:before="240" w:after="240"/>
              <w:jc w:val="left"/>
            </w:pPr>
            <w:bookmarkStart w:id="13" w:name="InTheMatterOf"/>
            <w:r>
              <w:t>IN THE MATTER OF THE BANKRUPT ESTATE OF CHRISTOPHER WILLIAMS</w:t>
            </w:r>
            <w:bookmarkEnd w:id="13"/>
          </w:p>
        </w:tc>
      </w:tr>
      <w:tr w:rsidR="00A46CCC" w:rsidTr="00895956">
        <w:trPr>
          <w:trHeight w:val="386"/>
        </w:trPr>
        <w:tc>
          <w:tcPr>
            <w:tcW w:w="2376" w:type="dxa"/>
          </w:tcPr>
          <w:p w:rsidR="00A46CCC" w:rsidRDefault="00A46CCC" w:rsidP="00895956">
            <w:pPr>
              <w:pStyle w:val="NormalHeadings"/>
              <w:jc w:val="left"/>
              <w:rPr>
                <w:caps/>
                <w:szCs w:val="24"/>
              </w:rPr>
            </w:pPr>
            <w:bookmarkStart w:id="14" w:name="Parties"/>
            <w:r>
              <w:rPr>
                <w:caps/>
                <w:szCs w:val="24"/>
              </w:rPr>
              <w:t>BETWEEN:</w:t>
            </w:r>
          </w:p>
        </w:tc>
        <w:tc>
          <w:tcPr>
            <w:tcW w:w="6866" w:type="dxa"/>
            <w:gridSpan w:val="2"/>
          </w:tcPr>
          <w:p w:rsidR="0088563F" w:rsidRDefault="0088563F" w:rsidP="0088563F">
            <w:pPr>
              <w:pStyle w:val="NormalHeadings"/>
              <w:jc w:val="left"/>
            </w:pPr>
            <w:bookmarkStart w:id="15" w:name="Applicant"/>
            <w:r>
              <w:t>LUCAN IN HIS CAPACITY AS TRUSTEE OF THE BANKRUPT ESTATE OF CHRISTOPHER WILLIAMS</w:t>
            </w:r>
          </w:p>
          <w:p w:rsidR="0088563F" w:rsidRDefault="0088563F" w:rsidP="0088563F">
            <w:pPr>
              <w:pStyle w:val="PartyType"/>
            </w:pPr>
            <w:r>
              <w:t>Applicant</w:t>
            </w:r>
          </w:p>
          <w:bookmarkEnd w:id="15"/>
          <w:p w:rsidR="00A46CCC" w:rsidRPr="006555B4" w:rsidRDefault="00A46CCC" w:rsidP="00895956">
            <w:pPr>
              <w:pStyle w:val="NormalHeadings"/>
              <w:jc w:val="left"/>
            </w:pPr>
          </w:p>
        </w:tc>
      </w:tr>
      <w:tr w:rsidR="00A46CCC" w:rsidTr="00895956">
        <w:trPr>
          <w:trHeight w:val="386"/>
        </w:trPr>
        <w:tc>
          <w:tcPr>
            <w:tcW w:w="2376" w:type="dxa"/>
          </w:tcPr>
          <w:p w:rsidR="00A46CCC" w:rsidRDefault="00A46CCC" w:rsidP="00895956">
            <w:pPr>
              <w:pStyle w:val="NormalHeadings"/>
              <w:jc w:val="left"/>
              <w:rPr>
                <w:caps/>
                <w:szCs w:val="24"/>
              </w:rPr>
            </w:pPr>
            <w:r>
              <w:rPr>
                <w:caps/>
                <w:szCs w:val="24"/>
              </w:rPr>
              <w:t>AND:</w:t>
            </w:r>
          </w:p>
        </w:tc>
        <w:tc>
          <w:tcPr>
            <w:tcW w:w="6866" w:type="dxa"/>
            <w:gridSpan w:val="2"/>
          </w:tcPr>
          <w:p w:rsidR="0088563F" w:rsidRDefault="0088563F" w:rsidP="0088563F">
            <w:pPr>
              <w:pStyle w:val="NormalHeadings"/>
              <w:jc w:val="left"/>
            </w:pPr>
            <w:bookmarkStart w:id="16" w:name="Respondent"/>
            <w:r>
              <w:t>THE STATE OF NEW SOUTH WALES</w:t>
            </w:r>
          </w:p>
          <w:p w:rsidR="0088563F" w:rsidRDefault="0088563F" w:rsidP="0088563F">
            <w:pPr>
              <w:pStyle w:val="PartyType"/>
            </w:pPr>
            <w:r>
              <w:t>First Respondent</w:t>
            </w:r>
          </w:p>
          <w:p w:rsidR="0088563F" w:rsidRDefault="0088563F" w:rsidP="00895956">
            <w:pPr>
              <w:pStyle w:val="NormalHeadings"/>
              <w:jc w:val="left"/>
            </w:pPr>
          </w:p>
          <w:p w:rsidR="0088563F" w:rsidRDefault="0088563F" w:rsidP="0088563F">
            <w:pPr>
              <w:pStyle w:val="NormalHeadings"/>
              <w:jc w:val="left"/>
            </w:pPr>
            <w:r>
              <w:t>ANDREW SCOTT IN HIS CAPACITY AS TRUSTEE OF THE BANKRUPT ESTATE OF ELLEN CLARA WILLIAMS</w:t>
            </w:r>
          </w:p>
          <w:p w:rsidR="0088563F" w:rsidRDefault="0088563F" w:rsidP="0088563F">
            <w:pPr>
              <w:pStyle w:val="PartyType"/>
            </w:pPr>
            <w:r>
              <w:t>Second Respondent</w:t>
            </w:r>
          </w:p>
          <w:bookmarkEnd w:id="16"/>
          <w:p w:rsidR="00A46CCC" w:rsidRPr="006555B4" w:rsidRDefault="00A46CCC" w:rsidP="00895956">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88563F">
            <w:pPr>
              <w:pStyle w:val="NormalHeadings"/>
              <w:jc w:val="left"/>
              <w:rPr>
                <w:caps/>
                <w:szCs w:val="24"/>
              </w:rPr>
            </w:pPr>
            <w:bookmarkStart w:id="19" w:name="Judge"/>
            <w:r>
              <w:rPr>
                <w:caps/>
                <w:szCs w:val="24"/>
              </w:rPr>
              <w:t>GOODMAN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2F01FA">
            <w:pPr>
              <w:pStyle w:val="NormalHeadings"/>
              <w:jc w:val="left"/>
              <w:rPr>
                <w:caps/>
                <w:szCs w:val="24"/>
              </w:rPr>
            </w:pPr>
            <w:r>
              <w:rPr>
                <w:caps/>
                <w:szCs w:val="24"/>
              </w:rPr>
              <w:t>29</w:t>
            </w:r>
            <w:r w:rsidR="009C1DC0">
              <w:rPr>
                <w:caps/>
                <w:szCs w:val="24"/>
              </w:rPr>
              <w:t xml:space="preserve"> June 2022</w:t>
            </w:r>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9E0708" w:rsidP="009E0708">
      <w:pPr>
        <w:pStyle w:val="Order1"/>
        <w:numPr>
          <w:ilvl w:val="0"/>
          <w:numId w:val="0"/>
        </w:numPr>
        <w:tabs>
          <w:tab w:val="left" w:pos="720"/>
        </w:tabs>
        <w:ind w:left="720" w:hanging="720"/>
      </w:pPr>
      <w:r>
        <w:t>1.</w:t>
      </w:r>
      <w:r>
        <w:tab/>
      </w:r>
      <w:r w:rsidR="00EE53D9">
        <w:t xml:space="preserve">Pursuant to s 133(9) of the </w:t>
      </w:r>
      <w:r w:rsidR="00EE53D9">
        <w:rPr>
          <w:i/>
        </w:rPr>
        <w:t xml:space="preserve">Bankruptcy Act 1966 </w:t>
      </w:r>
      <w:r w:rsidR="00EE53D9">
        <w:t>(</w:t>
      </w:r>
      <w:proofErr w:type="spellStart"/>
      <w:r w:rsidR="00EE53D9">
        <w:t>Cth</w:t>
      </w:r>
      <w:proofErr w:type="spellEnd"/>
      <w:r w:rsidR="00EE53D9">
        <w:t>), o</w:t>
      </w:r>
      <w:r w:rsidR="0088563F">
        <w:t>ne half share as tenant in common of the estate in fee simple for the property known as 47 Kearsley Selections Road, Kearsley in the State of New South Wales, being the property comprised in folio identifier 149/755259, vest in Aaron</w:t>
      </w:r>
      <w:r w:rsidR="009B1960">
        <w:t> </w:t>
      </w:r>
      <w:r w:rsidR="0088563F">
        <w:t>Kevin Lucan in his capacity as trustee of the bankrupt estate of Christopher Williams</w:t>
      </w:r>
      <w:r w:rsidR="0089163C">
        <w:t>, subject to the caveat lodged by the second respondent with dealing number AM592288</w:t>
      </w:r>
      <w:r w:rsidR="0088563F">
        <w:t>.</w:t>
      </w:r>
    </w:p>
    <w:p w:rsidR="0088563F" w:rsidRDefault="009E0708" w:rsidP="009E0708">
      <w:pPr>
        <w:pStyle w:val="Order1"/>
        <w:numPr>
          <w:ilvl w:val="0"/>
          <w:numId w:val="0"/>
        </w:numPr>
        <w:tabs>
          <w:tab w:val="left" w:pos="720"/>
        </w:tabs>
        <w:ind w:left="720" w:hanging="720"/>
      </w:pPr>
      <w:r>
        <w:t>2.</w:t>
      </w:r>
      <w:r>
        <w:tab/>
      </w:r>
      <w:r w:rsidR="0088563F">
        <w:t xml:space="preserve">The applicant’s costs of this application be paid </w:t>
      </w:r>
      <w:r w:rsidR="00A128E2">
        <w:t>from</w:t>
      </w:r>
      <w:r w:rsidR="0088563F">
        <w:t xml:space="preserve"> the bankrupt estate of Christopher Williams.</w:t>
      </w:r>
    </w:p>
    <w:p w:rsidR="001A6C52" w:rsidRDefault="001A6C52" w:rsidP="001A6C52">
      <w:pPr>
        <w:pStyle w:val="BodyText"/>
      </w:pPr>
    </w:p>
    <w:p w:rsidR="00A431E6" w:rsidRDefault="00A431E6" w:rsidP="001A6C52">
      <w:pPr>
        <w:pStyle w:val="BodyText"/>
      </w:pPr>
    </w:p>
    <w:p w:rsidR="0050309C" w:rsidRDefault="0088563F" w:rsidP="004D53E5">
      <w:pPr>
        <w:pStyle w:val="SingleSpace"/>
      </w:pPr>
      <w:bookmarkStart w:id="20" w:name="OrdersStatement"/>
      <w:r>
        <w:t>Note:</w:t>
      </w:r>
      <w:r>
        <w:tab/>
        <w:t xml:space="preserve">Entry of orders is dealt with in Rule 39.32 of the </w:t>
      </w:r>
      <w:r>
        <w:rPr>
          <w:i/>
        </w:rPr>
        <w:t>Federal Court Rules 2011</w:t>
      </w:r>
      <w:r>
        <w:t>.</w:t>
      </w:r>
      <w:bookmarkEnd w:id="20"/>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694BEB" w:rsidRDefault="00044A00" w:rsidP="005E0510">
      <w:pPr>
        <w:pStyle w:val="NormalHeadings"/>
        <w:spacing w:line="360" w:lineRule="auto"/>
        <w:jc w:val="left"/>
        <w:rPr>
          <w:sz w:val="26"/>
          <w:szCs w:val="26"/>
        </w:rPr>
      </w:pPr>
      <w:r>
        <w:rPr>
          <w:sz w:val="26"/>
          <w:szCs w:val="26"/>
        </w:rPr>
        <w:t>GOODMAN J</w:t>
      </w:r>
    </w:p>
    <w:p w:rsidR="00CD1346" w:rsidRDefault="009E0708" w:rsidP="00935D0A">
      <w:pPr>
        <w:pStyle w:val="Heading1"/>
      </w:pPr>
      <w:r>
        <w:rPr>
          <w:caps w:val="0"/>
        </w:rPr>
        <w:t>INTRODUCTION</w:t>
      </w:r>
    </w:p>
    <w:p w:rsidR="00935D0A" w:rsidRDefault="009E0708" w:rsidP="009E0708">
      <w:pPr>
        <w:pStyle w:val="ParaNumbering"/>
        <w:numPr>
          <w:ilvl w:val="0"/>
          <w:numId w:val="0"/>
        </w:numPr>
        <w:ind w:hanging="720"/>
      </w:pPr>
      <w:r>
        <w:rPr>
          <w:sz w:val="20"/>
        </w:rPr>
        <w:t>1</w:t>
      </w:r>
      <w:r>
        <w:rPr>
          <w:sz w:val="20"/>
        </w:rPr>
        <w:tab/>
      </w:r>
      <w:r w:rsidR="00D92925">
        <w:t xml:space="preserve">The applicant, </w:t>
      </w:r>
      <w:r w:rsidR="00217304">
        <w:t>who is the</w:t>
      </w:r>
      <w:r w:rsidR="00D92925">
        <w:t xml:space="preserve"> trustee </w:t>
      </w:r>
      <w:r w:rsidR="00217304">
        <w:t>of the bankrupt estate of Mr Christopher Williams</w:t>
      </w:r>
      <w:r w:rsidR="00D92925">
        <w:t>, se</w:t>
      </w:r>
      <w:r w:rsidR="000261D0">
        <w:t>eks an order pursuant to s 133(9</w:t>
      </w:r>
      <w:r w:rsidR="00D92925">
        <w:t>)</w:t>
      </w:r>
      <w:r w:rsidR="005B052A">
        <w:t xml:space="preserve"> and/or s 30(1)(b)</w:t>
      </w:r>
      <w:r w:rsidR="00D92925">
        <w:t xml:space="preserve"> of the </w:t>
      </w:r>
      <w:r w:rsidR="00D92925" w:rsidRPr="009C1DC0">
        <w:rPr>
          <w:b/>
          <w:i/>
        </w:rPr>
        <w:t>Bankruptcy</w:t>
      </w:r>
      <w:r w:rsidR="00D92925">
        <w:rPr>
          <w:i/>
        </w:rPr>
        <w:t xml:space="preserve"> </w:t>
      </w:r>
      <w:r w:rsidR="00D92925">
        <w:rPr>
          <w:b/>
          <w:i/>
        </w:rPr>
        <w:t>Act</w:t>
      </w:r>
      <w:r w:rsidR="00D92925">
        <w:rPr>
          <w:i/>
        </w:rPr>
        <w:t xml:space="preserve"> 1966 </w:t>
      </w:r>
      <w:r w:rsidR="00D92925">
        <w:t>(</w:t>
      </w:r>
      <w:proofErr w:type="spellStart"/>
      <w:r w:rsidR="00D92925">
        <w:t>Cth</w:t>
      </w:r>
      <w:proofErr w:type="spellEnd"/>
      <w:r w:rsidR="00D92925">
        <w:t xml:space="preserve">) </w:t>
      </w:r>
      <w:r w:rsidR="003206F3">
        <w:t>that</w:t>
      </w:r>
      <w:r w:rsidR="00D92925">
        <w:t xml:space="preserve"> an interest in a </w:t>
      </w:r>
      <w:r w:rsidR="00D92925" w:rsidRPr="00D92925">
        <w:rPr>
          <w:b/>
        </w:rPr>
        <w:t>property</w:t>
      </w:r>
      <w:r w:rsidR="00D92925">
        <w:t xml:space="preserve"> located at Kearsley</w:t>
      </w:r>
      <w:r w:rsidR="000261D0">
        <w:t xml:space="preserve"> </w:t>
      </w:r>
      <w:r w:rsidR="00287E3D">
        <w:t xml:space="preserve">vest </w:t>
      </w:r>
      <w:r w:rsidR="000261D0">
        <w:t>in him</w:t>
      </w:r>
      <w:r w:rsidR="00D92925">
        <w:t>,</w:t>
      </w:r>
      <w:r w:rsidR="000261D0">
        <w:t xml:space="preserve"> </w:t>
      </w:r>
      <w:r w:rsidR="000261D0">
        <w:rPr>
          <w:i/>
        </w:rPr>
        <w:t xml:space="preserve">qua </w:t>
      </w:r>
      <w:r w:rsidR="000261D0">
        <w:t>trustee</w:t>
      </w:r>
      <w:r w:rsidR="00D92925">
        <w:t>.</w:t>
      </w:r>
      <w:r w:rsidR="00935D0A">
        <w:t xml:space="preserve"> </w:t>
      </w:r>
    </w:p>
    <w:p w:rsidR="00217304" w:rsidRDefault="009E0708" w:rsidP="009E0708">
      <w:pPr>
        <w:pStyle w:val="ParaNumbering"/>
        <w:numPr>
          <w:ilvl w:val="0"/>
          <w:numId w:val="0"/>
        </w:numPr>
        <w:ind w:hanging="720"/>
      </w:pPr>
      <w:r>
        <w:rPr>
          <w:sz w:val="20"/>
        </w:rPr>
        <w:t>2</w:t>
      </w:r>
      <w:r>
        <w:rPr>
          <w:sz w:val="20"/>
        </w:rPr>
        <w:tab/>
      </w:r>
      <w:r w:rsidR="00217304">
        <w:t>The current registered proprietors of the property are the first respondent and Mrs Ellen Williams, as tenants in common in equal shares. The first respondent is the registered proprietor with respect to the interest in the property formerly held by Mr Williams, as a result of a disclaimer of that interest by a predecessor of the applicant. Mrs Williams continues as the registered proprietor of her interest in the property, despite being bankrupt, because the trustee of her bankrupt estate (the second respondent) has not taken steps to be recorded as the registered proprietor of that interest.</w:t>
      </w:r>
    </w:p>
    <w:p w:rsidR="00933155" w:rsidRDefault="009E0708" w:rsidP="009E0708">
      <w:pPr>
        <w:pStyle w:val="ParaNumbering"/>
        <w:numPr>
          <w:ilvl w:val="0"/>
          <w:numId w:val="0"/>
        </w:numPr>
        <w:ind w:hanging="720"/>
      </w:pPr>
      <w:r>
        <w:rPr>
          <w:sz w:val="20"/>
        </w:rPr>
        <w:t>3</w:t>
      </w:r>
      <w:r>
        <w:rPr>
          <w:sz w:val="20"/>
        </w:rPr>
        <w:tab/>
      </w:r>
      <w:r w:rsidR="00933155">
        <w:t xml:space="preserve">The application </w:t>
      </w:r>
      <w:r w:rsidR="00493A16">
        <w:t>arises in</w:t>
      </w:r>
      <w:r w:rsidR="00933155">
        <w:t xml:space="preserve"> unusual</w:t>
      </w:r>
      <w:r w:rsidR="00493A16">
        <w:t xml:space="preserve"> circumstances</w:t>
      </w:r>
      <w:r w:rsidR="00933155">
        <w:t>. The applicant’s predecessor disclaimed the property as onerous in circumstances where there was a secured creditor, National Australia Bank (</w:t>
      </w:r>
      <w:r w:rsidR="00933155">
        <w:rPr>
          <w:b/>
        </w:rPr>
        <w:t>NAB</w:t>
      </w:r>
      <w:r w:rsidR="00933155">
        <w:t>) with orders for possession of the property</w:t>
      </w:r>
      <w:r w:rsidR="00493A16">
        <w:t>;</w:t>
      </w:r>
      <w:r w:rsidR="00933155">
        <w:t xml:space="preserve"> and little likelihood of a return for unsecured creditors. The applicant now seeks a vesting order in circumstances where NAB has discharged its mortgage and there is a likelihood of a return for unsecured creditors</w:t>
      </w:r>
      <w:r w:rsidR="009C1DC0">
        <w:t xml:space="preserve"> if the property were part of the bankrupt estate of Mr Williams</w:t>
      </w:r>
      <w:r w:rsidR="00933155">
        <w:t>.</w:t>
      </w:r>
    </w:p>
    <w:p w:rsidR="00933155" w:rsidRDefault="009E0708" w:rsidP="009E0708">
      <w:pPr>
        <w:pStyle w:val="ParaNumbering"/>
        <w:numPr>
          <w:ilvl w:val="0"/>
          <w:numId w:val="0"/>
        </w:numPr>
        <w:ind w:hanging="720"/>
      </w:pPr>
      <w:r>
        <w:rPr>
          <w:sz w:val="20"/>
        </w:rPr>
        <w:t>4</w:t>
      </w:r>
      <w:r>
        <w:rPr>
          <w:sz w:val="20"/>
        </w:rPr>
        <w:tab/>
      </w:r>
      <w:r w:rsidR="00933155">
        <w:t>For the reasons set out below it is appropriate to make the vesting order.</w:t>
      </w:r>
    </w:p>
    <w:p w:rsidR="00385B88" w:rsidRDefault="009E0708" w:rsidP="00385B88">
      <w:pPr>
        <w:pStyle w:val="Heading1"/>
      </w:pPr>
      <w:r>
        <w:rPr>
          <w:caps w:val="0"/>
        </w:rPr>
        <w:t>FACTUAL BACKGROUND</w:t>
      </w:r>
    </w:p>
    <w:p w:rsidR="00385B88" w:rsidRDefault="009E0708" w:rsidP="009E0708">
      <w:pPr>
        <w:pStyle w:val="ParaNumbering"/>
        <w:numPr>
          <w:ilvl w:val="0"/>
          <w:numId w:val="0"/>
        </w:numPr>
        <w:ind w:hanging="720"/>
      </w:pPr>
      <w:r>
        <w:rPr>
          <w:sz w:val="20"/>
        </w:rPr>
        <w:t>5</w:t>
      </w:r>
      <w:r>
        <w:rPr>
          <w:sz w:val="20"/>
        </w:rPr>
        <w:tab/>
      </w:r>
      <w:r w:rsidR="00385B88">
        <w:t xml:space="preserve">The </w:t>
      </w:r>
      <w:r w:rsidR="005B052A">
        <w:t xml:space="preserve">facts set out below have </w:t>
      </w:r>
      <w:r w:rsidR="00385B88">
        <w:t xml:space="preserve">been extracted from the </w:t>
      </w:r>
      <w:r w:rsidR="002F01FA">
        <w:t xml:space="preserve">unchallenged </w:t>
      </w:r>
      <w:r w:rsidR="00385B88">
        <w:t>affidavit evidence of the applicant.</w:t>
      </w:r>
    </w:p>
    <w:p w:rsidR="005B052A" w:rsidRDefault="009E0708" w:rsidP="009E0708">
      <w:pPr>
        <w:pStyle w:val="ParaNumbering"/>
        <w:numPr>
          <w:ilvl w:val="0"/>
          <w:numId w:val="0"/>
        </w:numPr>
        <w:ind w:hanging="720"/>
      </w:pPr>
      <w:r>
        <w:rPr>
          <w:sz w:val="20"/>
        </w:rPr>
        <w:t>6</w:t>
      </w:r>
      <w:r>
        <w:rPr>
          <w:sz w:val="20"/>
        </w:rPr>
        <w:tab/>
      </w:r>
      <w:r w:rsidR="005B052A">
        <w:t xml:space="preserve">In about </w:t>
      </w:r>
      <w:r w:rsidR="00217304">
        <w:t>1994</w:t>
      </w:r>
      <w:r w:rsidR="005B052A">
        <w:t xml:space="preserve">, Mr Williams and Mrs </w:t>
      </w:r>
      <w:r w:rsidR="00217304">
        <w:t>Williams</w:t>
      </w:r>
      <w:r w:rsidR="005B052A">
        <w:t xml:space="preserve"> became the registered proprietors of the property.</w:t>
      </w:r>
    </w:p>
    <w:p w:rsidR="00A24421" w:rsidRDefault="009E0708" w:rsidP="009E0708">
      <w:pPr>
        <w:pStyle w:val="ParaNumbering"/>
        <w:numPr>
          <w:ilvl w:val="0"/>
          <w:numId w:val="0"/>
        </w:numPr>
        <w:ind w:hanging="720"/>
      </w:pPr>
      <w:r>
        <w:rPr>
          <w:sz w:val="20"/>
        </w:rPr>
        <w:t>7</w:t>
      </w:r>
      <w:r>
        <w:rPr>
          <w:sz w:val="20"/>
        </w:rPr>
        <w:tab/>
      </w:r>
      <w:r w:rsidR="00A24421">
        <w:t xml:space="preserve">Prior to 2006, </w:t>
      </w:r>
      <w:r w:rsidR="00933155">
        <w:t xml:space="preserve">NAB </w:t>
      </w:r>
      <w:r w:rsidR="00A24421">
        <w:t>had a registered mortgage over the property</w:t>
      </w:r>
      <w:r w:rsidR="009B1960">
        <w:t xml:space="preserve"> and in </w:t>
      </w:r>
      <w:r w:rsidR="00A24421">
        <w:t>2006,</w:t>
      </w:r>
      <w:r w:rsidR="00A24421" w:rsidRPr="009B1960">
        <w:rPr>
          <w:spacing w:val="-11"/>
        </w:rPr>
        <w:t xml:space="preserve"> </w:t>
      </w:r>
      <w:r w:rsidR="00933155">
        <w:t>it</w:t>
      </w:r>
      <w:r w:rsidR="00A24421" w:rsidRPr="009B1960">
        <w:rPr>
          <w:spacing w:val="-10"/>
        </w:rPr>
        <w:t xml:space="preserve"> </w:t>
      </w:r>
      <w:r w:rsidR="00A24421">
        <w:t>obtained</w:t>
      </w:r>
      <w:r w:rsidR="00A24421" w:rsidRPr="009B1960">
        <w:rPr>
          <w:spacing w:val="-11"/>
        </w:rPr>
        <w:t xml:space="preserve"> </w:t>
      </w:r>
      <w:r w:rsidR="00A24421">
        <w:t>orders</w:t>
      </w:r>
      <w:r w:rsidR="00A24421" w:rsidRPr="009B1960">
        <w:rPr>
          <w:spacing w:val="-11"/>
        </w:rPr>
        <w:t xml:space="preserve"> </w:t>
      </w:r>
      <w:r w:rsidR="00A24421">
        <w:t>for</w:t>
      </w:r>
      <w:r w:rsidR="00A24421" w:rsidRPr="009B1960">
        <w:rPr>
          <w:spacing w:val="-12"/>
        </w:rPr>
        <w:t xml:space="preserve"> </w:t>
      </w:r>
      <w:r w:rsidR="00A24421">
        <w:t>possession</w:t>
      </w:r>
      <w:r w:rsidR="00A24421" w:rsidRPr="009B1960">
        <w:rPr>
          <w:spacing w:val="-8"/>
        </w:rPr>
        <w:t xml:space="preserve"> </w:t>
      </w:r>
      <w:r w:rsidR="00A24421">
        <w:t>of</w:t>
      </w:r>
      <w:r w:rsidR="00A24421" w:rsidRPr="009B1960">
        <w:rPr>
          <w:spacing w:val="-11"/>
        </w:rPr>
        <w:t xml:space="preserve"> </w:t>
      </w:r>
      <w:r w:rsidR="00A24421">
        <w:t>the</w:t>
      </w:r>
      <w:r w:rsidR="00A24421" w:rsidRPr="009B1960">
        <w:rPr>
          <w:spacing w:val="-11"/>
        </w:rPr>
        <w:t xml:space="preserve"> </w:t>
      </w:r>
      <w:r w:rsidR="000261D0">
        <w:t>p</w:t>
      </w:r>
      <w:r w:rsidR="00A24421">
        <w:t>roperty.</w:t>
      </w:r>
    </w:p>
    <w:p w:rsidR="00935D0A" w:rsidRDefault="009E0708" w:rsidP="009E0708">
      <w:pPr>
        <w:pStyle w:val="ParaNumbering"/>
        <w:numPr>
          <w:ilvl w:val="0"/>
          <w:numId w:val="0"/>
        </w:numPr>
        <w:ind w:hanging="720"/>
      </w:pPr>
      <w:r>
        <w:rPr>
          <w:sz w:val="20"/>
        </w:rPr>
        <w:t>8</w:t>
      </w:r>
      <w:r>
        <w:rPr>
          <w:sz w:val="20"/>
        </w:rPr>
        <w:tab/>
      </w:r>
      <w:r w:rsidR="00935D0A">
        <w:t>On</w:t>
      </w:r>
      <w:r w:rsidR="00935D0A">
        <w:rPr>
          <w:spacing w:val="-1"/>
        </w:rPr>
        <w:t xml:space="preserve"> </w:t>
      </w:r>
      <w:r w:rsidR="00935D0A">
        <w:t>20 March</w:t>
      </w:r>
      <w:r w:rsidR="00935D0A">
        <w:rPr>
          <w:spacing w:val="-1"/>
        </w:rPr>
        <w:t xml:space="preserve"> </w:t>
      </w:r>
      <w:r w:rsidR="00935D0A">
        <w:t xml:space="preserve">2009, Mr Williams became bankrupt </w:t>
      </w:r>
      <w:r w:rsidR="00D92925">
        <w:t>by dint of a sequestration order made that day</w:t>
      </w:r>
      <w:r w:rsidR="009B1960">
        <w:t xml:space="preserve"> and </w:t>
      </w:r>
      <w:r w:rsidR="00385B88">
        <w:t xml:space="preserve">Mr Morgan Lane was appointed as </w:t>
      </w:r>
      <w:r w:rsidR="00217304">
        <w:t>the trustee of his bankrupt estate</w:t>
      </w:r>
      <w:r w:rsidR="00D92925">
        <w:t>.</w:t>
      </w:r>
    </w:p>
    <w:p w:rsidR="00935D0A" w:rsidRDefault="009E0708" w:rsidP="009E0708">
      <w:pPr>
        <w:pStyle w:val="ParaNumbering"/>
        <w:numPr>
          <w:ilvl w:val="0"/>
          <w:numId w:val="0"/>
        </w:numPr>
        <w:ind w:hanging="720"/>
      </w:pPr>
      <w:r>
        <w:rPr>
          <w:sz w:val="20"/>
        </w:rPr>
        <w:lastRenderedPageBreak/>
        <w:t>9</w:t>
      </w:r>
      <w:r>
        <w:rPr>
          <w:sz w:val="20"/>
        </w:rPr>
        <w:tab/>
      </w:r>
      <w:r w:rsidR="00935D0A">
        <w:t xml:space="preserve">On 2 June 2009, </w:t>
      </w:r>
      <w:r w:rsidR="003E4A45">
        <w:t xml:space="preserve">NAB wrote to </w:t>
      </w:r>
      <w:r w:rsidR="00A24421">
        <w:t>Mr Lane</w:t>
      </w:r>
      <w:r w:rsidR="003E4A45">
        <w:t xml:space="preserve"> stating that th</w:t>
      </w:r>
      <w:r w:rsidR="00935D0A">
        <w:t>e amount owing under NAB’s security was $612,306.60</w:t>
      </w:r>
      <w:r w:rsidR="003E4A45">
        <w:t xml:space="preserve">; </w:t>
      </w:r>
      <w:r w:rsidR="00A24421">
        <w:t xml:space="preserve">and that </w:t>
      </w:r>
      <w:r w:rsidR="00935D0A">
        <w:t>NAB</w:t>
      </w:r>
      <w:r w:rsidR="00935D0A" w:rsidRPr="000261D0">
        <w:rPr>
          <w:spacing w:val="-9"/>
        </w:rPr>
        <w:t xml:space="preserve"> </w:t>
      </w:r>
      <w:r w:rsidR="00935D0A">
        <w:t>was</w:t>
      </w:r>
      <w:r w:rsidR="00935D0A" w:rsidRPr="000261D0">
        <w:rPr>
          <w:spacing w:val="-9"/>
        </w:rPr>
        <w:t xml:space="preserve"> </w:t>
      </w:r>
      <w:r w:rsidR="00935D0A">
        <w:t>not,</w:t>
      </w:r>
      <w:r w:rsidR="00935D0A" w:rsidRPr="000261D0">
        <w:rPr>
          <w:spacing w:val="-9"/>
        </w:rPr>
        <w:t xml:space="preserve"> </w:t>
      </w:r>
      <w:r w:rsidR="00935D0A">
        <w:t>at</w:t>
      </w:r>
      <w:r w:rsidR="00935D0A" w:rsidRPr="000261D0">
        <w:rPr>
          <w:spacing w:val="-9"/>
        </w:rPr>
        <w:t xml:space="preserve"> </w:t>
      </w:r>
      <w:r w:rsidR="00935D0A">
        <w:t>that time</w:t>
      </w:r>
      <w:r w:rsidR="000261D0">
        <w:t>, taking action to realise the p</w:t>
      </w:r>
      <w:r w:rsidR="00935D0A">
        <w:t>roperty.</w:t>
      </w:r>
      <w:r w:rsidR="000261D0">
        <w:t xml:space="preserve"> </w:t>
      </w:r>
      <w:r w:rsidR="00D92925">
        <w:t>There followed</w:t>
      </w:r>
      <w:r w:rsidR="00935D0A">
        <w:t xml:space="preserve"> correspondence between NAB and </w:t>
      </w:r>
      <w:r w:rsidR="00A24421" w:rsidRPr="00A24421">
        <w:t>Mr Lane</w:t>
      </w:r>
      <w:r w:rsidR="00935D0A" w:rsidRPr="00A24421">
        <w:t xml:space="preserve"> i</w:t>
      </w:r>
      <w:r w:rsidR="00935D0A">
        <w:t xml:space="preserve">n relation to </w:t>
      </w:r>
      <w:r w:rsidR="00A24421">
        <w:t>Mr</w:t>
      </w:r>
      <w:r w:rsidR="00E815DD">
        <w:t xml:space="preserve"> </w:t>
      </w:r>
      <w:r w:rsidR="00A24421">
        <w:t xml:space="preserve">Lane </w:t>
      </w:r>
      <w:r w:rsidR="00935D0A">
        <w:t xml:space="preserve">attending to the </w:t>
      </w:r>
      <w:r w:rsidR="00A24421">
        <w:t xml:space="preserve">realisation of the property, including </w:t>
      </w:r>
      <w:r w:rsidR="000261D0">
        <w:t>a proposal to seek</w:t>
      </w:r>
      <w:r w:rsidR="00A24421">
        <w:t xml:space="preserve"> orders pursuant to s 66G of the </w:t>
      </w:r>
      <w:r w:rsidR="00A24421" w:rsidRPr="000261D0">
        <w:rPr>
          <w:b/>
          <w:i/>
        </w:rPr>
        <w:t>Conveyancing Act</w:t>
      </w:r>
      <w:r w:rsidR="00A24421" w:rsidRPr="000261D0">
        <w:rPr>
          <w:i/>
        </w:rPr>
        <w:t xml:space="preserve"> 1919 </w:t>
      </w:r>
      <w:r w:rsidR="00A24421" w:rsidRPr="00A24421">
        <w:t>(NSW)</w:t>
      </w:r>
      <w:r w:rsidR="00A24421">
        <w:t>. However, this did not occur.</w:t>
      </w:r>
    </w:p>
    <w:p w:rsidR="00385B88" w:rsidRDefault="009E0708" w:rsidP="009E0708">
      <w:pPr>
        <w:pStyle w:val="ParaNumbering"/>
        <w:numPr>
          <w:ilvl w:val="0"/>
          <w:numId w:val="0"/>
        </w:numPr>
        <w:ind w:hanging="720"/>
      </w:pPr>
      <w:r>
        <w:rPr>
          <w:sz w:val="20"/>
        </w:rPr>
        <w:t>10</w:t>
      </w:r>
      <w:r>
        <w:rPr>
          <w:sz w:val="20"/>
        </w:rPr>
        <w:tab/>
      </w:r>
      <w:r w:rsidR="00385B88">
        <w:t xml:space="preserve">On 1 December 2009, Mr Nicholas </w:t>
      </w:r>
      <w:proofErr w:type="spellStart"/>
      <w:r w:rsidR="00385B88">
        <w:t>Malan</w:t>
      </w:r>
      <w:r w:rsidR="00A24421">
        <w:t>os</w:t>
      </w:r>
      <w:proofErr w:type="spellEnd"/>
      <w:r w:rsidR="00A24421">
        <w:t xml:space="preserve"> replaced Mr Lane</w:t>
      </w:r>
      <w:r w:rsidR="00D92925">
        <w:t xml:space="preserve"> as trustee</w:t>
      </w:r>
      <w:r w:rsidR="00A24421">
        <w:t>.</w:t>
      </w:r>
    </w:p>
    <w:p w:rsidR="00935D0A" w:rsidRDefault="009E0708" w:rsidP="009E0708">
      <w:pPr>
        <w:pStyle w:val="ParaNumbering"/>
        <w:numPr>
          <w:ilvl w:val="0"/>
          <w:numId w:val="0"/>
        </w:numPr>
        <w:ind w:hanging="720"/>
      </w:pPr>
      <w:r>
        <w:rPr>
          <w:sz w:val="20"/>
        </w:rPr>
        <w:t>11</w:t>
      </w:r>
      <w:r>
        <w:rPr>
          <w:sz w:val="20"/>
        </w:rPr>
        <w:tab/>
      </w:r>
      <w:r w:rsidR="00935D0A">
        <w:t xml:space="preserve">On 24 June 2011, NAB </w:t>
      </w:r>
      <w:r w:rsidR="00A24421">
        <w:t xml:space="preserve">notified Mr </w:t>
      </w:r>
      <w:proofErr w:type="spellStart"/>
      <w:r w:rsidR="00A24421">
        <w:t>Malanos</w:t>
      </w:r>
      <w:proofErr w:type="spellEnd"/>
      <w:r w:rsidR="00A24421">
        <w:t xml:space="preserve"> that</w:t>
      </w:r>
      <w:r w:rsidR="00935D0A">
        <w:t xml:space="preserve"> it would commence its own recovery action in rel</w:t>
      </w:r>
      <w:r w:rsidR="00A24421">
        <w:t>ation to the p</w:t>
      </w:r>
      <w:r w:rsidR="00935D0A">
        <w:t>roperty</w:t>
      </w:r>
      <w:r w:rsidR="00A24421">
        <w:t>.</w:t>
      </w:r>
    </w:p>
    <w:p w:rsidR="00935D0A" w:rsidRDefault="009E0708" w:rsidP="009E0708">
      <w:pPr>
        <w:pStyle w:val="ParaNumbering"/>
        <w:numPr>
          <w:ilvl w:val="0"/>
          <w:numId w:val="0"/>
        </w:numPr>
        <w:ind w:hanging="720"/>
      </w:pPr>
      <w:bookmarkStart w:id="22" w:name="_bookmark0"/>
      <w:bookmarkEnd w:id="22"/>
      <w:r>
        <w:rPr>
          <w:sz w:val="20"/>
        </w:rPr>
        <w:t>12</w:t>
      </w:r>
      <w:r>
        <w:rPr>
          <w:sz w:val="20"/>
        </w:rPr>
        <w:tab/>
      </w:r>
      <w:r w:rsidR="00935D0A">
        <w:t xml:space="preserve">On 30 June 2011, Mr </w:t>
      </w:r>
      <w:proofErr w:type="spellStart"/>
      <w:r w:rsidR="00935D0A">
        <w:t>Malanos</w:t>
      </w:r>
      <w:proofErr w:type="spellEnd"/>
      <w:r w:rsidR="00935D0A">
        <w:t xml:space="preserve"> </w:t>
      </w:r>
      <w:r w:rsidR="00A24421">
        <w:t xml:space="preserve">signed a disclaimer </w:t>
      </w:r>
      <w:r w:rsidR="00493A16">
        <w:t>of the interest held by Mr Williams in the property</w:t>
      </w:r>
      <w:r w:rsidR="00EE53D9">
        <w:t xml:space="preserve">. </w:t>
      </w:r>
      <w:r w:rsidR="003206F3">
        <w:t>T</w:t>
      </w:r>
      <w:r w:rsidR="00D92925">
        <w:t>he disclaimer was made</w:t>
      </w:r>
      <w:r w:rsidR="00881F7B">
        <w:t xml:space="preserve"> because NAB</w:t>
      </w:r>
      <w:r w:rsidR="003206F3">
        <w:t xml:space="preserve"> was a secured creditor and</w:t>
      </w:r>
      <w:r w:rsidR="00881F7B">
        <w:t xml:space="preserve"> had obtained an order for possession</w:t>
      </w:r>
      <w:r w:rsidR="00493A16">
        <w:t>;</w:t>
      </w:r>
      <w:r w:rsidR="00881F7B">
        <w:t xml:space="preserve"> and</w:t>
      </w:r>
      <w:r w:rsidR="00935D0A">
        <w:t xml:space="preserve"> </w:t>
      </w:r>
      <w:r w:rsidR="009B1960">
        <w:t xml:space="preserve">Mr </w:t>
      </w:r>
      <w:proofErr w:type="spellStart"/>
      <w:r w:rsidR="009B1960">
        <w:t>Malanos</w:t>
      </w:r>
      <w:proofErr w:type="spellEnd"/>
      <w:r w:rsidR="009B1960">
        <w:t xml:space="preserve"> did not anticipate</w:t>
      </w:r>
      <w:r w:rsidR="00935D0A">
        <w:t xml:space="preserve"> that there would be any </w:t>
      </w:r>
      <w:r w:rsidR="009B1960">
        <w:t>surplus proceeds</w:t>
      </w:r>
      <w:r w:rsidR="00881F7B">
        <w:t xml:space="preserve"> after NAB had sold the p</w:t>
      </w:r>
      <w:r w:rsidR="00935D0A">
        <w:t xml:space="preserve">roperty and </w:t>
      </w:r>
      <w:r w:rsidR="000261D0">
        <w:t xml:space="preserve">had </w:t>
      </w:r>
      <w:r w:rsidR="00935D0A">
        <w:t xml:space="preserve">applied the proceeds from the sale to satisfy the </w:t>
      </w:r>
      <w:r w:rsidR="000261D0">
        <w:t xml:space="preserve">debt owed to </w:t>
      </w:r>
      <w:r w:rsidR="009B1960">
        <w:t>it</w:t>
      </w:r>
      <w:r w:rsidR="00935D0A">
        <w:t xml:space="preserve"> and the costs and expenses</w:t>
      </w:r>
      <w:r w:rsidR="000261D0">
        <w:t xml:space="preserve"> associated with the sale</w:t>
      </w:r>
      <w:r w:rsidR="00935D0A">
        <w:t>.</w:t>
      </w:r>
    </w:p>
    <w:p w:rsidR="00935D0A" w:rsidRDefault="009E0708" w:rsidP="009E0708">
      <w:pPr>
        <w:pStyle w:val="ParaNumbering"/>
        <w:numPr>
          <w:ilvl w:val="0"/>
          <w:numId w:val="0"/>
        </w:numPr>
        <w:ind w:hanging="720"/>
      </w:pPr>
      <w:r>
        <w:rPr>
          <w:sz w:val="20"/>
        </w:rPr>
        <w:t>13</w:t>
      </w:r>
      <w:r>
        <w:rPr>
          <w:sz w:val="20"/>
        </w:rPr>
        <w:tab/>
      </w:r>
      <w:r w:rsidR="00935D0A">
        <w:t>On</w:t>
      </w:r>
      <w:r w:rsidR="00935D0A">
        <w:rPr>
          <w:spacing w:val="-9"/>
        </w:rPr>
        <w:t xml:space="preserve"> </w:t>
      </w:r>
      <w:r w:rsidR="00935D0A">
        <w:t>20</w:t>
      </w:r>
      <w:r w:rsidR="00935D0A">
        <w:rPr>
          <w:spacing w:val="-8"/>
        </w:rPr>
        <w:t xml:space="preserve"> </w:t>
      </w:r>
      <w:r w:rsidR="00935D0A">
        <w:t>July</w:t>
      </w:r>
      <w:r w:rsidR="00935D0A">
        <w:rPr>
          <w:spacing w:val="-8"/>
        </w:rPr>
        <w:t xml:space="preserve"> </w:t>
      </w:r>
      <w:r w:rsidR="00935D0A">
        <w:t>2017,</w:t>
      </w:r>
      <w:r w:rsidR="00935D0A">
        <w:rPr>
          <w:spacing w:val="-8"/>
        </w:rPr>
        <w:t xml:space="preserve"> </w:t>
      </w:r>
      <w:r w:rsidR="00935D0A">
        <w:t>Mrs</w:t>
      </w:r>
      <w:r w:rsidR="00935D0A">
        <w:rPr>
          <w:spacing w:val="-9"/>
        </w:rPr>
        <w:t xml:space="preserve"> </w:t>
      </w:r>
      <w:r w:rsidR="00935D0A">
        <w:t>Williams</w:t>
      </w:r>
      <w:r w:rsidR="00935D0A">
        <w:rPr>
          <w:spacing w:val="-8"/>
        </w:rPr>
        <w:t xml:space="preserve"> </w:t>
      </w:r>
      <w:r w:rsidR="00935D0A">
        <w:t>became</w:t>
      </w:r>
      <w:r w:rsidR="00935D0A">
        <w:rPr>
          <w:spacing w:val="-9"/>
        </w:rPr>
        <w:t xml:space="preserve"> </w:t>
      </w:r>
      <w:r w:rsidR="00935D0A">
        <w:t>bankrupt</w:t>
      </w:r>
      <w:r w:rsidR="00935D0A">
        <w:rPr>
          <w:spacing w:val="-6"/>
        </w:rPr>
        <w:t xml:space="preserve"> </w:t>
      </w:r>
      <w:r w:rsidR="00935D0A">
        <w:t>and</w:t>
      </w:r>
      <w:r w:rsidR="00935D0A">
        <w:rPr>
          <w:spacing w:val="-8"/>
        </w:rPr>
        <w:t xml:space="preserve"> </w:t>
      </w:r>
      <w:r w:rsidR="003E4A45">
        <w:t>the second respondent</w:t>
      </w:r>
      <w:r w:rsidR="00935D0A">
        <w:rPr>
          <w:spacing w:val="-8"/>
        </w:rPr>
        <w:t xml:space="preserve"> </w:t>
      </w:r>
      <w:r w:rsidR="00935D0A">
        <w:t>was</w:t>
      </w:r>
      <w:r w:rsidR="00935D0A">
        <w:rPr>
          <w:spacing w:val="-8"/>
        </w:rPr>
        <w:t xml:space="preserve"> </w:t>
      </w:r>
      <w:r w:rsidR="00935D0A">
        <w:t>appointed</w:t>
      </w:r>
      <w:r w:rsidR="00935D0A">
        <w:rPr>
          <w:spacing w:val="-8"/>
        </w:rPr>
        <w:t xml:space="preserve"> </w:t>
      </w:r>
      <w:r w:rsidR="00935D0A">
        <w:t>as</w:t>
      </w:r>
      <w:r w:rsidR="00935D0A">
        <w:rPr>
          <w:spacing w:val="-8"/>
        </w:rPr>
        <w:t xml:space="preserve"> </w:t>
      </w:r>
      <w:r w:rsidR="00935D0A">
        <w:t xml:space="preserve">her trustee in bankruptcy. </w:t>
      </w:r>
      <w:r w:rsidR="00217304">
        <w:t>As noted above, t</w:t>
      </w:r>
      <w:r w:rsidR="003E4A45">
        <w:t xml:space="preserve">he second respondent </w:t>
      </w:r>
      <w:r w:rsidR="00935D0A">
        <w:t xml:space="preserve">has </w:t>
      </w:r>
      <w:r w:rsidR="00881F7B">
        <w:t xml:space="preserve">not become the registered proprietor </w:t>
      </w:r>
      <w:r w:rsidR="005B052A">
        <w:t xml:space="preserve">in respect </w:t>
      </w:r>
      <w:r w:rsidR="00881F7B">
        <w:t>of Mrs Williams’s interest in the property</w:t>
      </w:r>
      <w:r w:rsidR="00217304">
        <w:t>. He</w:t>
      </w:r>
      <w:r w:rsidR="00881F7B">
        <w:t xml:space="preserve"> has </w:t>
      </w:r>
      <w:r w:rsidR="00935D0A">
        <w:t>lodged a caveat over</w:t>
      </w:r>
      <w:r w:rsidR="00935D0A">
        <w:rPr>
          <w:spacing w:val="-1"/>
        </w:rPr>
        <w:t xml:space="preserve"> </w:t>
      </w:r>
      <w:r w:rsidR="00881F7B">
        <w:t>the property</w:t>
      </w:r>
      <w:r w:rsidR="00935D0A">
        <w:t>.</w:t>
      </w:r>
    </w:p>
    <w:p w:rsidR="003E4A45" w:rsidRDefault="009E0708" w:rsidP="009E0708">
      <w:pPr>
        <w:pStyle w:val="ParaNumbering"/>
        <w:numPr>
          <w:ilvl w:val="0"/>
          <w:numId w:val="0"/>
        </w:numPr>
        <w:ind w:hanging="720"/>
      </w:pPr>
      <w:r>
        <w:rPr>
          <w:sz w:val="20"/>
        </w:rPr>
        <w:t>14</w:t>
      </w:r>
      <w:r>
        <w:rPr>
          <w:sz w:val="20"/>
        </w:rPr>
        <w:tab/>
      </w:r>
      <w:r w:rsidR="003E4A45">
        <w:t>In November 2020, Mr</w:t>
      </w:r>
      <w:r w:rsidR="003E4A45">
        <w:rPr>
          <w:spacing w:val="-2"/>
        </w:rPr>
        <w:t xml:space="preserve"> </w:t>
      </w:r>
      <w:proofErr w:type="spellStart"/>
      <w:r w:rsidR="003E4A45">
        <w:t>Malanos</w:t>
      </w:r>
      <w:proofErr w:type="spellEnd"/>
      <w:r w:rsidR="003E4A45">
        <w:rPr>
          <w:spacing w:val="-2"/>
        </w:rPr>
        <w:t xml:space="preserve"> </w:t>
      </w:r>
      <w:r w:rsidR="003E4A45">
        <w:t>passed</w:t>
      </w:r>
      <w:r w:rsidR="003E4A45">
        <w:rPr>
          <w:spacing w:val="-2"/>
        </w:rPr>
        <w:t xml:space="preserve"> </w:t>
      </w:r>
      <w:r w:rsidR="003E4A45">
        <w:t>away and on</w:t>
      </w:r>
      <w:r w:rsidR="003E4A45">
        <w:rPr>
          <w:spacing w:val="-2"/>
        </w:rPr>
        <w:t xml:space="preserve"> </w:t>
      </w:r>
      <w:r w:rsidR="003E4A45">
        <w:t>30</w:t>
      </w:r>
      <w:r w:rsidR="003E4A45">
        <w:rPr>
          <w:spacing w:val="-1"/>
        </w:rPr>
        <w:t xml:space="preserve"> </w:t>
      </w:r>
      <w:r w:rsidR="003E4A45">
        <w:t>April</w:t>
      </w:r>
      <w:r w:rsidR="003E4A45">
        <w:rPr>
          <w:spacing w:val="-1"/>
        </w:rPr>
        <w:t xml:space="preserve"> </w:t>
      </w:r>
      <w:r w:rsidR="003E4A45">
        <w:t>2021, the applicant became (and remains) the trustee of Mr Williams’</w:t>
      </w:r>
      <w:r w:rsidR="00881F7B">
        <w:t>s bankrupt</w:t>
      </w:r>
      <w:r w:rsidR="003E4A45">
        <w:t xml:space="preserve"> estate</w:t>
      </w:r>
      <w:r w:rsidR="00881F7B">
        <w:t>.</w:t>
      </w:r>
    </w:p>
    <w:p w:rsidR="00935D0A" w:rsidRDefault="009E0708" w:rsidP="009E0708">
      <w:pPr>
        <w:pStyle w:val="ParaNumbering"/>
        <w:numPr>
          <w:ilvl w:val="0"/>
          <w:numId w:val="0"/>
        </w:numPr>
        <w:ind w:hanging="720"/>
      </w:pPr>
      <w:r>
        <w:rPr>
          <w:sz w:val="20"/>
        </w:rPr>
        <w:t>15</w:t>
      </w:r>
      <w:r>
        <w:rPr>
          <w:sz w:val="20"/>
        </w:rPr>
        <w:tab/>
      </w:r>
      <w:r w:rsidR="00935D0A">
        <w:t>On</w:t>
      </w:r>
      <w:r w:rsidR="00935D0A">
        <w:rPr>
          <w:spacing w:val="-6"/>
        </w:rPr>
        <w:t xml:space="preserve"> </w:t>
      </w:r>
      <w:r w:rsidR="00935D0A">
        <w:t>11</w:t>
      </w:r>
      <w:r w:rsidR="00935D0A">
        <w:rPr>
          <w:spacing w:val="-6"/>
        </w:rPr>
        <w:t xml:space="preserve"> </w:t>
      </w:r>
      <w:r w:rsidR="00935D0A">
        <w:t>January</w:t>
      </w:r>
      <w:r w:rsidR="00935D0A">
        <w:rPr>
          <w:spacing w:val="-6"/>
        </w:rPr>
        <w:t xml:space="preserve"> </w:t>
      </w:r>
      <w:r w:rsidR="00935D0A">
        <w:t>2021,</w:t>
      </w:r>
      <w:r w:rsidR="00935D0A">
        <w:rPr>
          <w:spacing w:val="-3"/>
        </w:rPr>
        <w:t xml:space="preserve"> </w:t>
      </w:r>
      <w:r w:rsidR="00881F7B" w:rsidRPr="00881F7B">
        <w:t>NAB’s</w:t>
      </w:r>
      <w:r w:rsidR="00935D0A" w:rsidRPr="00881F7B">
        <w:rPr>
          <w:spacing w:val="-6"/>
        </w:rPr>
        <w:t xml:space="preserve"> </w:t>
      </w:r>
      <w:r w:rsidR="00881F7B">
        <w:rPr>
          <w:spacing w:val="-6"/>
        </w:rPr>
        <w:t>solicitors wrote to the Crown Solicitor’s office and the second respondent (and copied the applicant)</w:t>
      </w:r>
      <w:r w:rsidR="009B1960">
        <w:rPr>
          <w:spacing w:val="-6"/>
        </w:rPr>
        <w:t>,</w:t>
      </w:r>
      <w:r w:rsidR="00881F7B">
        <w:rPr>
          <w:spacing w:val="-6"/>
        </w:rPr>
        <w:t xml:space="preserve"> </w:t>
      </w:r>
      <w:r w:rsidR="009B1960">
        <w:rPr>
          <w:spacing w:val="-6"/>
        </w:rPr>
        <w:t>indicating</w:t>
      </w:r>
      <w:r w:rsidR="00881F7B">
        <w:rPr>
          <w:spacing w:val="-6"/>
        </w:rPr>
        <w:t xml:space="preserve"> that </w:t>
      </w:r>
      <w:r w:rsidR="00D92925">
        <w:rPr>
          <w:spacing w:val="-6"/>
        </w:rPr>
        <w:t>the</w:t>
      </w:r>
      <w:r w:rsidR="00935D0A">
        <w:t xml:space="preserve"> orders for possession</w:t>
      </w:r>
      <w:r w:rsidR="00881F7B">
        <w:t xml:space="preserve"> of the property</w:t>
      </w:r>
      <w:r w:rsidR="00D92925">
        <w:t xml:space="preserve"> which </w:t>
      </w:r>
      <w:r w:rsidR="00217304">
        <w:t>NAB</w:t>
      </w:r>
      <w:r w:rsidR="00D92925">
        <w:t xml:space="preserve"> had obtained</w:t>
      </w:r>
      <w:r w:rsidR="00935D0A">
        <w:t xml:space="preserve"> in 2006 had expired and</w:t>
      </w:r>
      <w:r w:rsidR="009B1960">
        <w:t xml:space="preserve"> that </w:t>
      </w:r>
      <w:r w:rsidR="00217304">
        <w:t>it</w:t>
      </w:r>
      <w:r w:rsidR="009B1960">
        <w:t xml:space="preserve"> had decided to discharge its mortgage</w:t>
      </w:r>
      <w:r w:rsidR="00935D0A">
        <w:t xml:space="preserve"> </w:t>
      </w:r>
      <w:r w:rsidR="00881F7B">
        <w:t>over the p</w:t>
      </w:r>
      <w:r w:rsidR="00935D0A">
        <w:t>roperty</w:t>
      </w:r>
      <w:r w:rsidR="00881F7B">
        <w:t>. NAB subsequently discharged its mortgage</w:t>
      </w:r>
      <w:r w:rsidR="00935D0A">
        <w:t>.</w:t>
      </w:r>
    </w:p>
    <w:p w:rsidR="00935D0A" w:rsidRDefault="009E0708" w:rsidP="009E0708">
      <w:pPr>
        <w:pStyle w:val="ParaNumbering"/>
        <w:numPr>
          <w:ilvl w:val="0"/>
          <w:numId w:val="0"/>
        </w:numPr>
        <w:ind w:hanging="720"/>
      </w:pPr>
      <w:r>
        <w:rPr>
          <w:sz w:val="20"/>
        </w:rPr>
        <w:t>16</w:t>
      </w:r>
      <w:r>
        <w:rPr>
          <w:sz w:val="20"/>
        </w:rPr>
        <w:tab/>
      </w:r>
      <w:r w:rsidR="00935D0A">
        <w:t>On</w:t>
      </w:r>
      <w:r w:rsidR="00935D0A">
        <w:rPr>
          <w:spacing w:val="-3"/>
        </w:rPr>
        <w:t xml:space="preserve"> </w:t>
      </w:r>
      <w:r w:rsidR="00935D0A">
        <w:t>2</w:t>
      </w:r>
      <w:r w:rsidR="00935D0A">
        <w:rPr>
          <w:spacing w:val="-3"/>
        </w:rPr>
        <w:t xml:space="preserve"> </w:t>
      </w:r>
      <w:r w:rsidR="00935D0A">
        <w:t>September</w:t>
      </w:r>
      <w:r w:rsidR="00935D0A">
        <w:rPr>
          <w:spacing w:val="-5"/>
        </w:rPr>
        <w:t xml:space="preserve"> </w:t>
      </w:r>
      <w:r w:rsidR="009B1960">
        <w:t>202</w:t>
      </w:r>
      <w:r w:rsidR="00935D0A">
        <w:t>1,</w:t>
      </w:r>
      <w:r w:rsidR="00935D0A">
        <w:rPr>
          <w:spacing w:val="-3"/>
        </w:rPr>
        <w:t xml:space="preserve"> </w:t>
      </w:r>
      <w:r w:rsidR="00935D0A">
        <w:t>NAB</w:t>
      </w:r>
      <w:r w:rsidR="00935D0A">
        <w:rPr>
          <w:spacing w:val="-3"/>
        </w:rPr>
        <w:t xml:space="preserve"> </w:t>
      </w:r>
      <w:r w:rsidR="00935D0A">
        <w:t>submitted</w:t>
      </w:r>
      <w:r w:rsidR="00935D0A">
        <w:rPr>
          <w:spacing w:val="-3"/>
        </w:rPr>
        <w:t xml:space="preserve"> </w:t>
      </w:r>
      <w:r w:rsidR="00935D0A">
        <w:t>a</w:t>
      </w:r>
      <w:r w:rsidR="00935D0A">
        <w:rPr>
          <w:spacing w:val="-5"/>
        </w:rPr>
        <w:t xml:space="preserve"> </w:t>
      </w:r>
      <w:r w:rsidR="00935D0A">
        <w:t>proof</w:t>
      </w:r>
      <w:r w:rsidR="00935D0A">
        <w:rPr>
          <w:spacing w:val="-3"/>
        </w:rPr>
        <w:t xml:space="preserve"> </w:t>
      </w:r>
      <w:r w:rsidR="00935D0A">
        <w:t>of</w:t>
      </w:r>
      <w:r w:rsidR="00935D0A">
        <w:rPr>
          <w:spacing w:val="-5"/>
        </w:rPr>
        <w:t xml:space="preserve"> </w:t>
      </w:r>
      <w:r w:rsidR="00935D0A">
        <w:t>debt</w:t>
      </w:r>
      <w:r w:rsidR="003E4A45">
        <w:t xml:space="preserve"> to the applicant</w:t>
      </w:r>
      <w:r w:rsidR="009B1960">
        <w:t xml:space="preserve"> in an amount of </w:t>
      </w:r>
      <w:r w:rsidR="00935D0A">
        <w:t>$599,302.04</w:t>
      </w:r>
      <w:r w:rsidR="00881F7B">
        <w:t xml:space="preserve">. </w:t>
      </w:r>
    </w:p>
    <w:p w:rsidR="000261D0" w:rsidRDefault="009E0708" w:rsidP="009E0708">
      <w:pPr>
        <w:pStyle w:val="ParaNumbering"/>
        <w:numPr>
          <w:ilvl w:val="0"/>
          <w:numId w:val="0"/>
        </w:numPr>
        <w:ind w:hanging="720"/>
      </w:pPr>
      <w:r>
        <w:rPr>
          <w:sz w:val="20"/>
        </w:rPr>
        <w:t>17</w:t>
      </w:r>
      <w:r>
        <w:rPr>
          <w:sz w:val="20"/>
        </w:rPr>
        <w:tab/>
      </w:r>
      <w:r w:rsidR="000261D0">
        <w:t>On 22 April 2022, the second respondent filed an application in the Federal Circuit and Family Court of Australia seeking various orders</w:t>
      </w:r>
      <w:r w:rsidR="003206F3">
        <w:t>,</w:t>
      </w:r>
      <w:r w:rsidR="000261D0">
        <w:t xml:space="preserve"> including an order pursuant to s 66G of the </w:t>
      </w:r>
      <w:r w:rsidR="000261D0">
        <w:rPr>
          <w:i/>
        </w:rPr>
        <w:t xml:space="preserve">Conveyancing Act </w:t>
      </w:r>
      <w:r w:rsidR="000261D0">
        <w:t xml:space="preserve">for the appointment of trustees for the sale of the property. </w:t>
      </w:r>
    </w:p>
    <w:p w:rsidR="00881F7B" w:rsidRDefault="009E0708" w:rsidP="009E0708">
      <w:pPr>
        <w:pStyle w:val="ParaNumbering"/>
        <w:numPr>
          <w:ilvl w:val="0"/>
          <w:numId w:val="0"/>
        </w:numPr>
        <w:ind w:hanging="720"/>
      </w:pPr>
      <w:r>
        <w:rPr>
          <w:sz w:val="20"/>
        </w:rPr>
        <w:t>18</w:t>
      </w:r>
      <w:r>
        <w:rPr>
          <w:sz w:val="20"/>
        </w:rPr>
        <w:tab/>
      </w:r>
      <w:r w:rsidR="00217304">
        <w:t>The</w:t>
      </w:r>
      <w:r w:rsidR="00881F7B">
        <w:t xml:space="preserve"> bankrupt estate</w:t>
      </w:r>
      <w:r w:rsidR="00217304">
        <w:t xml:space="preserve"> of Mr Williams</w:t>
      </w:r>
      <w:r w:rsidR="00881F7B">
        <w:t xml:space="preserve"> presently has no</w:t>
      </w:r>
      <w:r w:rsidR="00217304">
        <w:t xml:space="preserve"> known</w:t>
      </w:r>
      <w:r w:rsidR="00881F7B">
        <w:t xml:space="preserve"> assets and has liabilities of $618,958.48 (including the </w:t>
      </w:r>
      <w:proofErr w:type="spellStart"/>
      <w:r w:rsidR="00881F7B">
        <w:t>unadjudicated</w:t>
      </w:r>
      <w:proofErr w:type="spellEnd"/>
      <w:r w:rsidR="00881F7B">
        <w:t xml:space="preserve"> am</w:t>
      </w:r>
      <w:r w:rsidR="002F01FA">
        <w:t>ount of $599,302.04 in the NAB proof of d</w:t>
      </w:r>
      <w:r w:rsidR="00881F7B">
        <w:t>ebt).</w:t>
      </w:r>
    </w:p>
    <w:p w:rsidR="004064CC" w:rsidRDefault="009E0708" w:rsidP="009E0708">
      <w:pPr>
        <w:pStyle w:val="ParaNumbering"/>
        <w:numPr>
          <w:ilvl w:val="0"/>
          <w:numId w:val="0"/>
        </w:numPr>
        <w:ind w:hanging="720"/>
      </w:pPr>
      <w:r>
        <w:rPr>
          <w:sz w:val="20"/>
        </w:rPr>
        <w:lastRenderedPageBreak/>
        <w:t>19</w:t>
      </w:r>
      <w:r>
        <w:rPr>
          <w:sz w:val="20"/>
        </w:rPr>
        <w:tab/>
      </w:r>
      <w:r w:rsidR="004064CC">
        <w:t>The property is unencumbered</w:t>
      </w:r>
      <w:r w:rsidR="003206F3">
        <w:t xml:space="preserve"> and has a</w:t>
      </w:r>
      <w:r w:rsidR="00287E3D">
        <w:t>n estimated</w:t>
      </w:r>
      <w:r w:rsidR="003206F3">
        <w:t xml:space="preserve"> value in the order of</w:t>
      </w:r>
      <w:r w:rsidR="003206F3">
        <w:rPr>
          <w:spacing w:val="-9"/>
        </w:rPr>
        <w:t xml:space="preserve"> </w:t>
      </w:r>
      <w:r w:rsidR="003206F3">
        <w:t>$825,000</w:t>
      </w:r>
      <w:r w:rsidR="004064CC">
        <w:t>.</w:t>
      </w:r>
    </w:p>
    <w:p w:rsidR="005B052A" w:rsidRDefault="009E0708" w:rsidP="009E0708">
      <w:pPr>
        <w:pStyle w:val="ParaNumbering"/>
        <w:numPr>
          <w:ilvl w:val="0"/>
          <w:numId w:val="0"/>
        </w:numPr>
        <w:ind w:hanging="720"/>
      </w:pPr>
      <w:r>
        <w:rPr>
          <w:sz w:val="20"/>
        </w:rPr>
        <w:t>20</w:t>
      </w:r>
      <w:r>
        <w:rPr>
          <w:sz w:val="20"/>
        </w:rPr>
        <w:tab/>
      </w:r>
      <w:r w:rsidR="005B052A">
        <w:t>Neither respondent opposes the application.</w:t>
      </w:r>
      <w:r w:rsidR="00217304">
        <w:t xml:space="preserve"> The</w:t>
      </w:r>
      <w:r w:rsidR="00E815DD">
        <w:t xml:space="preserve"> applicant and the</w:t>
      </w:r>
      <w:r w:rsidR="00217304">
        <w:t xml:space="preserve"> first respondent filed written submissions which were of considerable assistance to the Court.</w:t>
      </w:r>
    </w:p>
    <w:p w:rsidR="00935D0A" w:rsidRDefault="009E0708" w:rsidP="00935D0A">
      <w:pPr>
        <w:pStyle w:val="Heading1"/>
        <w:spacing w:before="118"/>
      </w:pPr>
      <w:r>
        <w:rPr>
          <w:caps w:val="0"/>
        </w:rPr>
        <w:t>LEGAL</w:t>
      </w:r>
      <w:r>
        <w:rPr>
          <w:caps w:val="0"/>
          <w:spacing w:val="-1"/>
        </w:rPr>
        <w:t xml:space="preserve"> </w:t>
      </w:r>
      <w:r>
        <w:rPr>
          <w:caps w:val="0"/>
          <w:spacing w:val="-2"/>
        </w:rPr>
        <w:t>FRAMEWORK</w:t>
      </w:r>
    </w:p>
    <w:p w:rsidR="00935D0A" w:rsidRDefault="009E0708" w:rsidP="009E0708">
      <w:pPr>
        <w:pStyle w:val="ParaNumbering"/>
        <w:numPr>
          <w:ilvl w:val="0"/>
          <w:numId w:val="0"/>
        </w:numPr>
        <w:ind w:hanging="720"/>
      </w:pPr>
      <w:r>
        <w:rPr>
          <w:sz w:val="20"/>
        </w:rPr>
        <w:t>21</w:t>
      </w:r>
      <w:r>
        <w:rPr>
          <w:sz w:val="20"/>
        </w:rPr>
        <w:tab/>
      </w:r>
      <w:r w:rsidR="00217304">
        <w:t xml:space="preserve">By reason of the disclaimer, the interest that Mr Williams formerly held in the property </w:t>
      </w:r>
      <w:r w:rsidR="00365085">
        <w:t xml:space="preserve">has </w:t>
      </w:r>
      <w:r w:rsidR="00493A16">
        <w:t>reverted</w:t>
      </w:r>
      <w:r w:rsidR="00217304">
        <w:t xml:space="preserve"> to the first respondent</w:t>
      </w:r>
      <w:r w:rsidR="00493A16">
        <w:t xml:space="preserve">, subject to the power of </w:t>
      </w:r>
      <w:r w:rsidR="00217304">
        <w:t>the Court to make an order under s</w:t>
      </w:r>
      <w:r w:rsidR="00493A16">
        <w:t> </w:t>
      </w:r>
      <w:r w:rsidR="00217304">
        <w:t xml:space="preserve">133(9) of the </w:t>
      </w:r>
      <w:r w:rsidR="00E815DD">
        <w:t xml:space="preserve">Bankruptcy </w:t>
      </w:r>
      <w:r w:rsidR="00217304">
        <w:t>Act.</w:t>
      </w:r>
      <w:r w:rsidR="00EE53D9">
        <w:t xml:space="preserve"> </w:t>
      </w:r>
      <w:r w:rsidR="00F16F28">
        <w:t xml:space="preserve">Section 133 of the </w:t>
      </w:r>
      <w:r w:rsidR="00A128E2">
        <w:t xml:space="preserve">Bankruptcy </w:t>
      </w:r>
      <w:r w:rsidR="00F16F28">
        <w:t>Act provides, in so far as is presently relevant:</w:t>
      </w:r>
    </w:p>
    <w:p w:rsidR="00F16F28" w:rsidRPr="00F16F28" w:rsidRDefault="00F16F28" w:rsidP="00F16F28">
      <w:pPr>
        <w:pStyle w:val="Quote1"/>
        <w:rPr>
          <w:b/>
          <w:lang w:eastAsia="en-AU"/>
        </w:rPr>
      </w:pPr>
      <w:bookmarkStart w:id="23" w:name="_Toc97210392"/>
      <w:r w:rsidRPr="00F16F28">
        <w:rPr>
          <w:rStyle w:val="charsectno"/>
          <w:b/>
          <w:bCs/>
          <w:color w:val="000000"/>
        </w:rPr>
        <w:t>133</w:t>
      </w:r>
      <w:r w:rsidRPr="00F16F28">
        <w:rPr>
          <w:b/>
        </w:rPr>
        <w:t xml:space="preserve">  </w:t>
      </w:r>
      <w:r>
        <w:rPr>
          <w:b/>
        </w:rPr>
        <w:tab/>
      </w:r>
      <w:r w:rsidRPr="00F16F28">
        <w:rPr>
          <w:b/>
        </w:rPr>
        <w:t>Disclaimer of onerous property</w:t>
      </w:r>
      <w:bookmarkEnd w:id="23"/>
    </w:p>
    <w:p w:rsidR="00F16F28" w:rsidRDefault="00F16F28" w:rsidP="00F16F28">
      <w:pPr>
        <w:pStyle w:val="Quote2"/>
        <w:ind w:left="2007" w:hanging="567"/>
      </w:pPr>
      <w:r>
        <w:t xml:space="preserve">(1AA)  </w:t>
      </w:r>
      <w:r>
        <w:tab/>
      </w:r>
      <w:proofErr w:type="gramStart"/>
      <w:r>
        <w:t>Where</w:t>
      </w:r>
      <w:proofErr w:type="gramEnd"/>
      <w:r>
        <w:t xml:space="preserve"> any part of the property of the bankrupt consists of:</w:t>
      </w:r>
    </w:p>
    <w:p w:rsidR="00F16F28" w:rsidRDefault="00F16F28" w:rsidP="00AA0ABB">
      <w:pPr>
        <w:pStyle w:val="Quote3"/>
        <w:ind w:left="2880" w:hanging="720"/>
      </w:pPr>
      <w:r>
        <w:t xml:space="preserve">(a)  </w:t>
      </w:r>
      <w:r>
        <w:tab/>
      </w:r>
      <w:proofErr w:type="gramStart"/>
      <w:r>
        <w:t>land</w:t>
      </w:r>
      <w:proofErr w:type="gramEnd"/>
      <w:r>
        <w:t xml:space="preserve"> of any tenure burdened with onerous covenants; or</w:t>
      </w:r>
    </w:p>
    <w:p w:rsidR="00F16F28" w:rsidRDefault="00F16F28" w:rsidP="00AA0ABB">
      <w:pPr>
        <w:pStyle w:val="Quote3"/>
        <w:ind w:left="2880" w:hanging="720"/>
      </w:pPr>
      <w:r>
        <w:t xml:space="preserve">(b)  </w:t>
      </w:r>
      <w:r>
        <w:tab/>
      </w:r>
      <w:proofErr w:type="gramStart"/>
      <w:r>
        <w:t>property</w:t>
      </w:r>
      <w:proofErr w:type="gramEnd"/>
      <w:r>
        <w:t xml:space="preserve"> (including land) that is unsaleable or is not readily saleable;</w:t>
      </w:r>
    </w:p>
    <w:p w:rsidR="00F16F28" w:rsidRDefault="00F16F28" w:rsidP="00F16F28">
      <w:pPr>
        <w:pStyle w:val="Quote3"/>
      </w:pPr>
      <w:proofErr w:type="gramStart"/>
      <w:r>
        <w:t>subsection</w:t>
      </w:r>
      <w:proofErr w:type="gramEnd"/>
      <w:r>
        <w:t> (1) applies.</w:t>
      </w:r>
    </w:p>
    <w:p w:rsidR="004064CC" w:rsidRDefault="004064CC" w:rsidP="004064CC">
      <w:pPr>
        <w:pStyle w:val="Quote2"/>
        <w:ind w:left="2007" w:hanging="567"/>
      </w:pPr>
      <w:r>
        <w:t>…</w:t>
      </w:r>
    </w:p>
    <w:p w:rsidR="00F16F28" w:rsidRDefault="00F16F28" w:rsidP="00F16F28">
      <w:pPr>
        <w:pStyle w:val="Quote2"/>
        <w:ind w:left="2007" w:hanging="567"/>
      </w:pPr>
      <w:r>
        <w:t xml:space="preserve">(1)  </w:t>
      </w:r>
      <w:r>
        <w:tab/>
        <w:t>Subject to this section, the trustee may, notwithstanding that he or she has endeavoured to sell or has taken possession of the property or exercised any act of ownership in relation to it and notwithstanding, in the case of property the transfer of which is required by a law of the Commonwealth or of a State or Territory to be registered, that he or she has not become the registered owner of that property, by writing signed by him or her, at any time disclaim the property.</w:t>
      </w:r>
    </w:p>
    <w:p w:rsidR="00F16F28" w:rsidRDefault="000238B4" w:rsidP="00F16F28">
      <w:pPr>
        <w:pStyle w:val="Quote2"/>
        <w:ind w:left="2007" w:hanging="567"/>
      </w:pPr>
      <w:r>
        <w:t>…</w:t>
      </w:r>
    </w:p>
    <w:p w:rsidR="00F16F28" w:rsidRDefault="00F16F28" w:rsidP="00F16F28">
      <w:pPr>
        <w:pStyle w:val="Quote2"/>
        <w:ind w:left="2007" w:hanging="567"/>
      </w:pPr>
      <w:r>
        <w:t xml:space="preserve">(2)  </w:t>
      </w:r>
      <w:r>
        <w:tab/>
        <w:t>A disclaimer under subsection (1) or (1A) operates to determine forthwith the rights, interests and liabilities of the bankrupt and his or her property in or in respect of the property disclaimed, and discharges the trustee from all personal liability in respect of the property disclaimed as from the date when the property vested in him or her, but does not, except so far as is necessary for the purpose of releasing the bankrupt and his or her property and the trustee from liability, affect the rights or liabilities of any other person.</w:t>
      </w:r>
    </w:p>
    <w:p w:rsidR="000238B4" w:rsidRDefault="000238B4" w:rsidP="000238B4">
      <w:pPr>
        <w:pStyle w:val="Quote2"/>
        <w:ind w:left="2007" w:hanging="567"/>
      </w:pPr>
      <w:r>
        <w:t>…</w:t>
      </w:r>
    </w:p>
    <w:p w:rsidR="00F16F28" w:rsidRDefault="00F16F28" w:rsidP="00F16F28">
      <w:pPr>
        <w:pStyle w:val="Quote2"/>
        <w:ind w:left="2007" w:hanging="567"/>
      </w:pPr>
      <w:r>
        <w:t xml:space="preserve">(9)  </w:t>
      </w:r>
      <w:r>
        <w:tab/>
        <w:t>The Court may, on application by a person either claiming an interest in, or being under a liability not discharged by this Act in respect of, disclaimed property, and after hearing such persons as it thinks fit, make an order, on such terms as the Court considers just and equitable, for the vesting of the property in, or delivery of the property to, a person entitled to it or a person in whom, or to whom, it seems to the Court to be just and equitable that it should be vested or delivered, or a trustee for that person.</w:t>
      </w:r>
    </w:p>
    <w:p w:rsidR="000238B4" w:rsidRDefault="009E0708" w:rsidP="009E0708">
      <w:pPr>
        <w:pStyle w:val="ParaNumbering"/>
        <w:numPr>
          <w:ilvl w:val="0"/>
          <w:numId w:val="0"/>
        </w:numPr>
        <w:ind w:hanging="720"/>
      </w:pPr>
      <w:r>
        <w:rPr>
          <w:sz w:val="20"/>
        </w:rPr>
        <w:lastRenderedPageBreak/>
        <w:t>22</w:t>
      </w:r>
      <w:r>
        <w:rPr>
          <w:sz w:val="20"/>
        </w:rPr>
        <w:tab/>
      </w:r>
      <w:r w:rsidR="000238B4">
        <w:t>Section 133(9) provides the Court with a discretion to make various orders concerning the vesting or delivery of disclaimed property.</w:t>
      </w:r>
      <w:r w:rsidR="00986DAE">
        <w:t xml:space="preserve"> </w:t>
      </w:r>
      <w:r w:rsidR="000238B4">
        <w:t>There are several conditions which must be satisfied before the discretion is enlivened:</w:t>
      </w:r>
    </w:p>
    <w:p w:rsidR="00986DAE" w:rsidRDefault="009E0708" w:rsidP="009E0708">
      <w:pPr>
        <w:pStyle w:val="ListNo1"/>
        <w:numPr>
          <w:ilvl w:val="0"/>
          <w:numId w:val="0"/>
        </w:numPr>
        <w:tabs>
          <w:tab w:val="left" w:pos="720"/>
        </w:tabs>
        <w:ind w:left="720" w:hanging="720"/>
      </w:pPr>
      <w:r>
        <w:t>(1)</w:t>
      </w:r>
      <w:r>
        <w:tab/>
      </w:r>
      <w:proofErr w:type="gramStart"/>
      <w:r w:rsidR="00986DAE">
        <w:t>there</w:t>
      </w:r>
      <w:proofErr w:type="gramEnd"/>
      <w:r w:rsidR="00986DAE">
        <w:t xml:space="preserve"> must be disclaimed property; </w:t>
      </w:r>
    </w:p>
    <w:p w:rsidR="000238B4" w:rsidRDefault="009E0708" w:rsidP="009E0708">
      <w:pPr>
        <w:pStyle w:val="ListNo1"/>
        <w:numPr>
          <w:ilvl w:val="0"/>
          <w:numId w:val="0"/>
        </w:numPr>
        <w:tabs>
          <w:tab w:val="left" w:pos="720"/>
        </w:tabs>
        <w:ind w:left="720" w:hanging="720"/>
      </w:pPr>
      <w:r>
        <w:t>(2)</w:t>
      </w:r>
      <w:r>
        <w:tab/>
      </w:r>
      <w:r w:rsidR="000238B4">
        <w:t>there must be an</w:t>
      </w:r>
      <w:r w:rsidR="00986DAE">
        <w:t xml:space="preserve"> application by a person either</w:t>
      </w:r>
      <w:r w:rsidR="002F01FA">
        <w:t>:</w:t>
      </w:r>
      <w:r w:rsidR="00986DAE">
        <w:t xml:space="preserve"> (a) </w:t>
      </w:r>
      <w:r w:rsidR="000238B4">
        <w:t>claiming an interest in the disclaimed property; or</w:t>
      </w:r>
      <w:r w:rsidR="00986DAE">
        <w:t xml:space="preserve"> (b) </w:t>
      </w:r>
      <w:r w:rsidR="000238B4">
        <w:t xml:space="preserve">under a liability not discharged under the </w:t>
      </w:r>
      <w:r w:rsidR="00A128E2">
        <w:t xml:space="preserve">Bankruptcy </w:t>
      </w:r>
      <w:r w:rsidR="000238B4">
        <w:t>Act in respect of the disclaimed property; and</w:t>
      </w:r>
    </w:p>
    <w:p w:rsidR="000238B4" w:rsidRPr="000238B4" w:rsidRDefault="009E0708" w:rsidP="009E0708">
      <w:pPr>
        <w:pStyle w:val="ListNo1"/>
        <w:numPr>
          <w:ilvl w:val="0"/>
          <w:numId w:val="0"/>
        </w:numPr>
        <w:tabs>
          <w:tab w:val="left" w:pos="720"/>
        </w:tabs>
        <w:ind w:left="720" w:hanging="720"/>
      </w:pPr>
      <w:r w:rsidRPr="000238B4">
        <w:t>(3)</w:t>
      </w:r>
      <w:r w:rsidRPr="000238B4">
        <w:tab/>
      </w:r>
      <w:proofErr w:type="gramStart"/>
      <w:r w:rsidR="000238B4">
        <w:t>the</w:t>
      </w:r>
      <w:proofErr w:type="gramEnd"/>
      <w:r w:rsidR="000238B4">
        <w:t xml:space="preserve"> Court must have heard such persons as it thinks fit.</w:t>
      </w:r>
    </w:p>
    <w:p w:rsidR="000238B4" w:rsidRDefault="009E0708" w:rsidP="009E0708">
      <w:pPr>
        <w:pStyle w:val="ParaNumbering"/>
        <w:numPr>
          <w:ilvl w:val="0"/>
          <w:numId w:val="0"/>
        </w:numPr>
        <w:ind w:hanging="720"/>
      </w:pPr>
      <w:r>
        <w:rPr>
          <w:sz w:val="20"/>
        </w:rPr>
        <w:t>23</w:t>
      </w:r>
      <w:r>
        <w:rPr>
          <w:sz w:val="20"/>
        </w:rPr>
        <w:tab/>
      </w:r>
      <w:r w:rsidR="000238B4">
        <w:t xml:space="preserve">If those conditions are satisfied, then the Court may make an order (on such terms as it considers just and equitable) for the disclaimed property to vest </w:t>
      </w:r>
      <w:r w:rsidR="003043E3">
        <w:t xml:space="preserve">in </w:t>
      </w:r>
      <w:r w:rsidR="000238B4" w:rsidRPr="001E2283">
        <w:rPr>
          <w:i/>
        </w:rPr>
        <w:t>or</w:t>
      </w:r>
      <w:r w:rsidR="000238B4">
        <w:t xml:space="preserve"> be delivered to</w:t>
      </w:r>
      <w:r w:rsidR="003043E3">
        <w:t>:</w:t>
      </w:r>
      <w:r w:rsidR="000238B4">
        <w:t xml:space="preserve"> (1) </w:t>
      </w:r>
      <w:r w:rsidR="003043E3">
        <w:t xml:space="preserve">a person </w:t>
      </w:r>
      <w:r w:rsidR="000238B4">
        <w:t xml:space="preserve">entitled to it; </w:t>
      </w:r>
      <w:r w:rsidR="003043E3" w:rsidRPr="001E2283">
        <w:rPr>
          <w:i/>
        </w:rPr>
        <w:t>or</w:t>
      </w:r>
      <w:r w:rsidR="003043E3">
        <w:t xml:space="preserve"> </w:t>
      </w:r>
      <w:r w:rsidR="000238B4">
        <w:t xml:space="preserve">(2) </w:t>
      </w:r>
      <w:r w:rsidR="003043E3">
        <w:t xml:space="preserve">a person </w:t>
      </w:r>
      <w:r w:rsidR="000238B4">
        <w:t xml:space="preserve">in whom </w:t>
      </w:r>
      <w:r w:rsidR="000238B4" w:rsidRPr="001E2283">
        <w:rPr>
          <w:i/>
        </w:rPr>
        <w:t>or</w:t>
      </w:r>
      <w:r w:rsidR="000238B4">
        <w:t xml:space="preserve"> to whom it seems to the Court to be just and equitable that it should be vested </w:t>
      </w:r>
      <w:r w:rsidR="000238B4" w:rsidRPr="001E2283">
        <w:rPr>
          <w:i/>
        </w:rPr>
        <w:t>or</w:t>
      </w:r>
      <w:r w:rsidR="000238B4">
        <w:t xml:space="preserve"> delivered; </w:t>
      </w:r>
      <w:r w:rsidR="000238B4" w:rsidRPr="001E2283">
        <w:rPr>
          <w:i/>
        </w:rPr>
        <w:t>or</w:t>
      </w:r>
      <w:r w:rsidR="000238B4">
        <w:t xml:space="preserve"> (3) a trustee for </w:t>
      </w:r>
      <w:r w:rsidR="009B1960">
        <w:t>a person who satisfied (1) or (2)</w:t>
      </w:r>
      <w:r w:rsidR="000238B4">
        <w:t>.</w:t>
      </w:r>
    </w:p>
    <w:p w:rsidR="000238B4" w:rsidRDefault="009E0708" w:rsidP="009B1960">
      <w:pPr>
        <w:pStyle w:val="Heading1"/>
      </w:pPr>
      <w:r>
        <w:rPr>
          <w:caps w:val="0"/>
        </w:rPr>
        <w:t>PRECONDITIONS TO THE EXERCISE OF THE DISCRETION</w:t>
      </w:r>
    </w:p>
    <w:p w:rsidR="000238B4" w:rsidRDefault="000238B4" w:rsidP="009B1960">
      <w:pPr>
        <w:pStyle w:val="Heading2"/>
      </w:pPr>
      <w:r>
        <w:t>Disclaimer of property</w:t>
      </w:r>
    </w:p>
    <w:p w:rsidR="000238B4" w:rsidRDefault="009E0708" w:rsidP="009E0708">
      <w:pPr>
        <w:pStyle w:val="ParaNumbering"/>
        <w:numPr>
          <w:ilvl w:val="0"/>
          <w:numId w:val="0"/>
        </w:numPr>
        <w:ind w:hanging="720"/>
      </w:pPr>
      <w:r>
        <w:rPr>
          <w:sz w:val="20"/>
        </w:rPr>
        <w:t>24</w:t>
      </w:r>
      <w:r>
        <w:rPr>
          <w:sz w:val="20"/>
        </w:rPr>
        <w:tab/>
      </w:r>
      <w:r w:rsidR="009B1960" w:rsidRPr="00217304">
        <w:t xml:space="preserve">As noted above, Mr </w:t>
      </w:r>
      <w:proofErr w:type="spellStart"/>
      <w:r w:rsidR="009B1960" w:rsidRPr="00217304">
        <w:t>Malanos</w:t>
      </w:r>
      <w:proofErr w:type="spellEnd"/>
      <w:r w:rsidR="009B1960" w:rsidRPr="00217304">
        <w:t xml:space="preserve"> </w:t>
      </w:r>
      <w:r w:rsidR="000238B4" w:rsidRPr="00217304">
        <w:t xml:space="preserve">disclaimed the </w:t>
      </w:r>
      <w:r w:rsidR="009B1960" w:rsidRPr="00217304">
        <w:t xml:space="preserve">interest of Mr Williams in the </w:t>
      </w:r>
      <w:r w:rsidR="000238B4" w:rsidRPr="00217304">
        <w:t>property on</w:t>
      </w:r>
      <w:r w:rsidR="000238B4">
        <w:t xml:space="preserve"> 30</w:t>
      </w:r>
      <w:r w:rsidR="009B1960">
        <w:t> </w:t>
      </w:r>
      <w:r w:rsidR="000238B4">
        <w:t>June</w:t>
      </w:r>
      <w:r w:rsidR="009B1960">
        <w:t> </w:t>
      </w:r>
      <w:r w:rsidR="000238B4">
        <w:t>2011.</w:t>
      </w:r>
      <w:r w:rsidR="00365085">
        <w:t xml:space="preserve"> No challenge is made to the efficacy of that disclaimer.</w:t>
      </w:r>
    </w:p>
    <w:p w:rsidR="000238B4" w:rsidRDefault="000238B4" w:rsidP="009B1960">
      <w:pPr>
        <w:pStyle w:val="Heading2"/>
      </w:pPr>
      <w:r>
        <w:t>A person claiming an interest in the disclaimed property</w:t>
      </w:r>
      <w:r w:rsidR="00986DAE">
        <w:t xml:space="preserve"> under a liability not discharged under the Act in respect of the disclaimed property</w:t>
      </w:r>
    </w:p>
    <w:p w:rsidR="00365085" w:rsidRPr="0072785A" w:rsidRDefault="009E0708" w:rsidP="009E0708">
      <w:pPr>
        <w:pStyle w:val="ParaNumbering"/>
        <w:numPr>
          <w:ilvl w:val="0"/>
          <w:numId w:val="0"/>
        </w:numPr>
        <w:ind w:hanging="720"/>
      </w:pPr>
      <w:r w:rsidRPr="0072785A">
        <w:rPr>
          <w:sz w:val="20"/>
        </w:rPr>
        <w:t>25</w:t>
      </w:r>
      <w:r w:rsidRPr="0072785A">
        <w:rPr>
          <w:sz w:val="20"/>
        </w:rPr>
        <w:tab/>
      </w:r>
      <w:r w:rsidR="00493A16">
        <w:t>The jurisdiction conferred by s 133(9) is dependent upon a person claiming an interest in the disclaimed property, not the vindication of that claim</w:t>
      </w:r>
      <w:r w:rsidR="00365085" w:rsidRPr="0072785A">
        <w:t xml:space="preserve">: see </w:t>
      </w:r>
      <w:r w:rsidR="00365085" w:rsidRPr="0072785A">
        <w:rPr>
          <w:b/>
          <w:i/>
        </w:rPr>
        <w:t>Walsh</w:t>
      </w:r>
      <w:r w:rsidR="00365085" w:rsidRPr="0072785A">
        <w:rPr>
          <w:i/>
        </w:rPr>
        <w:t xml:space="preserve"> v State of Queensland</w:t>
      </w:r>
      <w:r w:rsidR="00365085" w:rsidRPr="0072785A">
        <w:t xml:space="preserve"> [2019] FCA 871; (2019) 369 ALR 725 at </w:t>
      </w:r>
      <w:r w:rsidR="00493A16">
        <w:t>733</w:t>
      </w:r>
      <w:r w:rsidR="00365085" w:rsidRPr="0072785A">
        <w:t xml:space="preserve"> [32] (Logan J).</w:t>
      </w:r>
    </w:p>
    <w:p w:rsidR="004064CC" w:rsidRDefault="009E0708" w:rsidP="009E0708">
      <w:pPr>
        <w:pStyle w:val="ParaNumbering"/>
        <w:numPr>
          <w:ilvl w:val="0"/>
          <w:numId w:val="0"/>
        </w:numPr>
        <w:ind w:hanging="720"/>
      </w:pPr>
      <w:r>
        <w:rPr>
          <w:sz w:val="20"/>
        </w:rPr>
        <w:t>26</w:t>
      </w:r>
      <w:r>
        <w:rPr>
          <w:sz w:val="20"/>
        </w:rPr>
        <w:tab/>
      </w:r>
      <w:r w:rsidR="001E2283">
        <w:t>The applicant</w:t>
      </w:r>
      <w:r w:rsidR="0082472D">
        <w:t xml:space="preserve"> </w:t>
      </w:r>
      <w:r w:rsidR="00EE53D9">
        <w:t>claims</w:t>
      </w:r>
      <w:r w:rsidR="0082472D">
        <w:t xml:space="preserve"> that he has an interest in the property by dint of his position as the trustee of the bankrupt estate of Mr Williams and the operation of s 19 of the </w:t>
      </w:r>
      <w:r w:rsidR="00E815DD">
        <w:t xml:space="preserve">Bankruptcy </w:t>
      </w:r>
      <w:r w:rsidR="0082472D" w:rsidRPr="00EE53D9">
        <w:t>Act</w:t>
      </w:r>
      <w:r w:rsidR="0082472D">
        <w:t>.</w:t>
      </w:r>
      <w:r w:rsidR="00493A16">
        <w:t xml:space="preserve"> </w:t>
      </w:r>
      <w:r w:rsidR="00217304">
        <w:t>Section 19 imposes upon</w:t>
      </w:r>
      <w:r w:rsidR="004064CC">
        <w:t xml:space="preserve"> the applicant, </w:t>
      </w:r>
      <w:r w:rsidR="004064CC" w:rsidRPr="00493A16">
        <w:rPr>
          <w:i/>
        </w:rPr>
        <w:t>qua</w:t>
      </w:r>
      <w:r w:rsidR="004064CC">
        <w:t xml:space="preserve"> trustee</w:t>
      </w:r>
      <w:r w:rsidR="003043E3">
        <w:t>,</w:t>
      </w:r>
      <w:r w:rsidR="004064CC">
        <w:t xml:space="preserve"> </w:t>
      </w:r>
      <w:r w:rsidR="00217304">
        <w:t>a</w:t>
      </w:r>
      <w:r w:rsidR="004064CC">
        <w:t xml:space="preserve"> duty to </w:t>
      </w:r>
      <w:r w:rsidR="004064CC" w:rsidRPr="00493A16">
        <w:rPr>
          <w:i/>
        </w:rPr>
        <w:t>inter alia</w:t>
      </w:r>
      <w:r w:rsidR="004064CC">
        <w:t xml:space="preserve"> determine whether the estate includes property that can be realised to pay a dividend to creditors</w:t>
      </w:r>
      <w:r w:rsidR="003043E3">
        <w:t xml:space="preserve"> (s 19(1)(b))</w:t>
      </w:r>
      <w:r w:rsidR="004064CC">
        <w:t>; and to take appropriate steps to recover property for the benefit of the estate</w:t>
      </w:r>
      <w:r w:rsidR="003043E3">
        <w:t xml:space="preserve"> (s 19(1)(f))</w:t>
      </w:r>
      <w:r w:rsidR="004064CC">
        <w:t>.</w:t>
      </w:r>
      <w:r w:rsidR="001E2283">
        <w:t xml:space="preserve"> The applicant submits that the property is now a valuable asset and, consistent with his duties</w:t>
      </w:r>
      <w:r w:rsidR="00493A16">
        <w:t>,</w:t>
      </w:r>
      <w:r w:rsidR="001E2283">
        <w:t xml:space="preserve"> he </w:t>
      </w:r>
      <w:r w:rsidR="00493A16">
        <w:t xml:space="preserve">claims that he </w:t>
      </w:r>
      <w:r w:rsidR="001E2283">
        <w:t>has an interest in it.</w:t>
      </w:r>
    </w:p>
    <w:p w:rsidR="00493A16" w:rsidRDefault="009E0708" w:rsidP="009E0708">
      <w:pPr>
        <w:pStyle w:val="ParaNumbering"/>
        <w:numPr>
          <w:ilvl w:val="0"/>
          <w:numId w:val="0"/>
        </w:numPr>
        <w:ind w:hanging="720"/>
      </w:pPr>
      <w:r>
        <w:rPr>
          <w:sz w:val="20"/>
        </w:rPr>
        <w:lastRenderedPageBreak/>
        <w:t>27</w:t>
      </w:r>
      <w:r>
        <w:rPr>
          <w:sz w:val="20"/>
        </w:rPr>
        <w:tab/>
      </w:r>
      <w:r w:rsidR="00493A16">
        <w:t xml:space="preserve">The making of the claim is sufficient to satisfy this precondition (see </w:t>
      </w:r>
      <w:r w:rsidR="00493A16">
        <w:rPr>
          <w:i/>
        </w:rPr>
        <w:t>Walsh</w:t>
      </w:r>
      <w:r w:rsidR="00E815DD">
        <w:t>,</w:t>
      </w:r>
      <w:r w:rsidR="00493A16">
        <w:t xml:space="preserve"> above). </w:t>
      </w:r>
      <w:r w:rsidR="000B4560">
        <w:t>Had</w:t>
      </w:r>
      <w:r w:rsidR="00E815DD">
        <w:t xml:space="preserve"> it </w:t>
      </w:r>
      <w:r w:rsidR="000B4560">
        <w:t xml:space="preserve">been </w:t>
      </w:r>
      <w:r w:rsidR="00E815DD">
        <w:t>necessary to decide whether</w:t>
      </w:r>
      <w:r w:rsidR="00493A16">
        <w:t xml:space="preserve"> the applicant has an interest in the property</w:t>
      </w:r>
      <w:r w:rsidR="00EE53D9">
        <w:t xml:space="preserve">, </w:t>
      </w:r>
      <w:r w:rsidR="00E815DD">
        <w:t>I would have decided that he did,</w:t>
      </w:r>
      <w:r w:rsidR="00493A16">
        <w:t xml:space="preserve"> for the following reasons.</w:t>
      </w:r>
    </w:p>
    <w:p w:rsidR="00493A16" w:rsidRDefault="009E0708" w:rsidP="009E0708">
      <w:pPr>
        <w:pStyle w:val="ParaNumbering"/>
        <w:numPr>
          <w:ilvl w:val="0"/>
          <w:numId w:val="0"/>
        </w:numPr>
        <w:ind w:hanging="720"/>
      </w:pPr>
      <w:r>
        <w:rPr>
          <w:sz w:val="20"/>
        </w:rPr>
        <w:t>28</w:t>
      </w:r>
      <w:r>
        <w:rPr>
          <w:sz w:val="20"/>
        </w:rPr>
        <w:tab/>
      </w:r>
      <w:r w:rsidR="00493A16" w:rsidRPr="00E815DD">
        <w:rPr>
          <w:i/>
        </w:rPr>
        <w:t>First</w:t>
      </w:r>
      <w:r w:rsidR="00493A16">
        <w:t xml:space="preserve">, the word </w:t>
      </w:r>
      <w:r w:rsidR="00493A16" w:rsidRPr="00E815DD">
        <w:rPr>
          <w:i/>
        </w:rPr>
        <w:t>“interest”</w:t>
      </w:r>
      <w:r w:rsidR="00493A16">
        <w:t xml:space="preserve"> is not defined in s 133 or elsewhere within the </w:t>
      </w:r>
      <w:r w:rsidR="00E815DD">
        <w:t xml:space="preserve">Bankruptcy </w:t>
      </w:r>
      <w:r w:rsidR="00493A16">
        <w:t>Act.</w:t>
      </w:r>
      <w:r w:rsidR="00E815DD">
        <w:t xml:space="preserve"> </w:t>
      </w:r>
      <w:r w:rsidR="00493A16" w:rsidRPr="00E815DD">
        <w:rPr>
          <w:i/>
        </w:rPr>
        <w:t>Secondly</w:t>
      </w:r>
      <w:r w:rsidR="00493A16">
        <w:t>, the structure of s 133(9) is consistent with a broad concept of interest. In this regard, s 133(9):</w:t>
      </w:r>
    </w:p>
    <w:p w:rsidR="00493A16" w:rsidRDefault="009E0708" w:rsidP="009E0708">
      <w:pPr>
        <w:pStyle w:val="ListNo1"/>
        <w:numPr>
          <w:ilvl w:val="0"/>
          <w:numId w:val="0"/>
        </w:numPr>
        <w:tabs>
          <w:tab w:val="left" w:pos="720"/>
        </w:tabs>
        <w:ind w:left="720" w:hanging="720"/>
      </w:pPr>
      <w:r>
        <w:t>(1)</w:t>
      </w:r>
      <w:r>
        <w:tab/>
      </w:r>
      <w:proofErr w:type="gramStart"/>
      <w:r w:rsidR="00493A16">
        <w:t>contemplates</w:t>
      </w:r>
      <w:proofErr w:type="gramEnd"/>
      <w:r w:rsidR="00493A16">
        <w:t xml:space="preserve"> two classes of applicants:</w:t>
      </w:r>
    </w:p>
    <w:p w:rsidR="00493A16" w:rsidRDefault="009E0708" w:rsidP="009E0708">
      <w:pPr>
        <w:pStyle w:val="ListNo2"/>
        <w:numPr>
          <w:ilvl w:val="0"/>
          <w:numId w:val="0"/>
        </w:numPr>
        <w:tabs>
          <w:tab w:val="left" w:pos="1440"/>
        </w:tabs>
        <w:ind w:left="1440" w:hanging="720"/>
      </w:pPr>
      <w:r>
        <w:t>(a)</w:t>
      </w:r>
      <w:r>
        <w:tab/>
      </w:r>
      <w:proofErr w:type="gramStart"/>
      <w:r w:rsidR="00493A16">
        <w:t>a</w:t>
      </w:r>
      <w:proofErr w:type="gramEnd"/>
      <w:r w:rsidR="00493A16">
        <w:t xml:space="preserve"> person claiming an interest in </w:t>
      </w:r>
      <w:r w:rsidR="00E815DD">
        <w:t xml:space="preserve">the </w:t>
      </w:r>
      <w:r w:rsidR="00493A16">
        <w:t>disclaimed property; and</w:t>
      </w:r>
    </w:p>
    <w:p w:rsidR="00493A16" w:rsidRDefault="009E0708" w:rsidP="009E0708">
      <w:pPr>
        <w:pStyle w:val="ListNo2"/>
        <w:numPr>
          <w:ilvl w:val="0"/>
          <w:numId w:val="0"/>
        </w:numPr>
        <w:tabs>
          <w:tab w:val="left" w:pos="1440"/>
        </w:tabs>
        <w:ind w:left="1440" w:hanging="720"/>
      </w:pPr>
      <w:r>
        <w:t>(b)</w:t>
      </w:r>
      <w:r>
        <w:tab/>
      </w:r>
      <w:proofErr w:type="gramStart"/>
      <w:r w:rsidR="00493A16">
        <w:t>a</w:t>
      </w:r>
      <w:proofErr w:type="gramEnd"/>
      <w:r w:rsidR="00493A16">
        <w:t xml:space="preserve"> person under a liability not discharged by the Act in res</w:t>
      </w:r>
      <w:r w:rsidR="0097353E">
        <w:t>pect of the disclaimed property; and</w:t>
      </w:r>
    </w:p>
    <w:p w:rsidR="001E2283" w:rsidRDefault="009E0708" w:rsidP="009E0708">
      <w:pPr>
        <w:pStyle w:val="ListNo1"/>
        <w:numPr>
          <w:ilvl w:val="0"/>
          <w:numId w:val="0"/>
        </w:numPr>
        <w:tabs>
          <w:tab w:val="left" w:pos="720"/>
        </w:tabs>
        <w:ind w:left="720" w:hanging="720"/>
      </w:pPr>
      <w:r>
        <w:t>(2)</w:t>
      </w:r>
      <w:r>
        <w:tab/>
      </w:r>
      <w:proofErr w:type="gramStart"/>
      <w:r w:rsidR="0097353E">
        <w:t>i</w:t>
      </w:r>
      <w:r w:rsidR="001E2283">
        <w:t>t</w:t>
      </w:r>
      <w:proofErr w:type="gramEnd"/>
      <w:r w:rsidR="001E2283">
        <w:t xml:space="preserve"> provides for the following kinds of order</w:t>
      </w:r>
      <w:r w:rsidR="0097353E">
        <w:t>s</w:t>
      </w:r>
      <w:r w:rsidR="001E2283">
        <w:t>:</w:t>
      </w:r>
    </w:p>
    <w:p w:rsidR="001E2283" w:rsidRDefault="009E0708" w:rsidP="009E0708">
      <w:pPr>
        <w:pStyle w:val="ListNo2"/>
        <w:numPr>
          <w:ilvl w:val="0"/>
          <w:numId w:val="0"/>
        </w:numPr>
        <w:tabs>
          <w:tab w:val="left" w:pos="1440"/>
        </w:tabs>
        <w:ind w:left="1440" w:hanging="720"/>
      </w:pPr>
      <w:r>
        <w:t>(a)</w:t>
      </w:r>
      <w:r>
        <w:tab/>
      </w:r>
      <w:proofErr w:type="gramStart"/>
      <w:r w:rsidR="001E2283">
        <w:t>the</w:t>
      </w:r>
      <w:proofErr w:type="gramEnd"/>
      <w:r w:rsidR="001E2283">
        <w:t xml:space="preserve"> vesting of the property in a person entitled to it (or their trustee);</w:t>
      </w:r>
    </w:p>
    <w:p w:rsidR="001E2283" w:rsidRDefault="009E0708" w:rsidP="009E0708">
      <w:pPr>
        <w:pStyle w:val="ListNo2"/>
        <w:numPr>
          <w:ilvl w:val="0"/>
          <w:numId w:val="0"/>
        </w:numPr>
        <w:tabs>
          <w:tab w:val="left" w:pos="1440"/>
        </w:tabs>
        <w:ind w:left="1440" w:hanging="720"/>
      </w:pPr>
      <w:r>
        <w:t>(b)</w:t>
      </w:r>
      <w:r>
        <w:tab/>
      </w:r>
      <w:proofErr w:type="gramStart"/>
      <w:r w:rsidR="001E2283">
        <w:t>the</w:t>
      </w:r>
      <w:proofErr w:type="gramEnd"/>
      <w:r w:rsidR="001E2283">
        <w:t xml:space="preserve"> delivery of the property to a person entitled to it (or their trustee);</w:t>
      </w:r>
    </w:p>
    <w:p w:rsidR="001E2283" w:rsidRDefault="009E0708" w:rsidP="009E0708">
      <w:pPr>
        <w:pStyle w:val="ListNo2"/>
        <w:numPr>
          <w:ilvl w:val="0"/>
          <w:numId w:val="0"/>
        </w:numPr>
        <w:tabs>
          <w:tab w:val="left" w:pos="1440"/>
        </w:tabs>
        <w:ind w:left="1440" w:hanging="720"/>
      </w:pPr>
      <w:r>
        <w:t>(c)</w:t>
      </w:r>
      <w:r>
        <w:tab/>
      </w:r>
      <w:proofErr w:type="gramStart"/>
      <w:r w:rsidR="001E2283">
        <w:t>the</w:t>
      </w:r>
      <w:proofErr w:type="gramEnd"/>
      <w:r w:rsidR="001E2283">
        <w:t xml:space="preserve"> vesting of the property in a person in whom it seems to the Court to be just and equitable that it should be vested (or their trustee); and</w:t>
      </w:r>
    </w:p>
    <w:p w:rsidR="001E2283" w:rsidRDefault="009E0708" w:rsidP="009E0708">
      <w:pPr>
        <w:pStyle w:val="ListNo2"/>
        <w:numPr>
          <w:ilvl w:val="0"/>
          <w:numId w:val="0"/>
        </w:numPr>
        <w:tabs>
          <w:tab w:val="left" w:pos="1440"/>
        </w:tabs>
        <w:ind w:left="1440" w:hanging="720"/>
      </w:pPr>
      <w:r>
        <w:t>(d)</w:t>
      </w:r>
      <w:r>
        <w:tab/>
      </w:r>
      <w:proofErr w:type="gramStart"/>
      <w:r w:rsidR="001E2283">
        <w:t>the</w:t>
      </w:r>
      <w:proofErr w:type="gramEnd"/>
      <w:r w:rsidR="001E2283">
        <w:t xml:space="preserve"> delivery of the property to a person to whom it seems to the Court to be just and equitable that it should be delivered</w:t>
      </w:r>
      <w:r w:rsidR="0097353E">
        <w:t xml:space="preserve"> (or their trustee)</w:t>
      </w:r>
      <w:r w:rsidR="001E2283">
        <w:t>.</w:t>
      </w:r>
    </w:p>
    <w:p w:rsidR="0097353E" w:rsidRDefault="009E0708" w:rsidP="009E0708">
      <w:pPr>
        <w:pStyle w:val="ParaNumbering"/>
        <w:numPr>
          <w:ilvl w:val="0"/>
          <w:numId w:val="0"/>
        </w:numPr>
        <w:ind w:hanging="720"/>
      </w:pPr>
      <w:r>
        <w:rPr>
          <w:sz w:val="20"/>
        </w:rPr>
        <w:t>29</w:t>
      </w:r>
      <w:r>
        <w:rPr>
          <w:sz w:val="20"/>
        </w:rPr>
        <w:tab/>
      </w:r>
      <w:r w:rsidR="0097353E" w:rsidRPr="007B2BFB">
        <w:t>Thus</w:t>
      </w:r>
      <w:r w:rsidR="002F01FA">
        <w:t>,</w:t>
      </w:r>
      <w:r w:rsidR="0097353E">
        <w:t xml:space="preserve"> s 133(9)</w:t>
      </w:r>
      <w:r w:rsidR="0097353E" w:rsidRPr="007B2BFB">
        <w:t xml:space="preserve"> contemplates that an order may be made, not only where an applicant is a person entitled to the property (or their trustee); but also where an applicant is a person in whom or to whom it seems to be just and equitable that the property should be vested or delivered (or their trustee).</w:t>
      </w:r>
      <w:r w:rsidR="00EE53D9">
        <w:t xml:space="preserve"> </w:t>
      </w:r>
      <w:r w:rsidR="0097353E">
        <w:t xml:space="preserve">As the class of persons in whose favour an order may be made is not limited to persons entitled to the property, </w:t>
      </w:r>
      <w:r w:rsidR="00E815DD">
        <w:t>this suggests that</w:t>
      </w:r>
      <w:r w:rsidR="0097353E">
        <w:t xml:space="preserve"> the class of applicants</w:t>
      </w:r>
      <w:r w:rsidR="00E815DD">
        <w:t xml:space="preserve"> </w:t>
      </w:r>
      <w:r w:rsidR="002F01FA">
        <w:t>who</w:t>
      </w:r>
      <w:r w:rsidR="00E815DD">
        <w:t xml:space="preserve"> satisfy the criterion </w:t>
      </w:r>
      <w:r w:rsidR="00E815DD">
        <w:rPr>
          <w:i/>
        </w:rPr>
        <w:t>“a person claiming an interest in the disclaimed property</w:t>
      </w:r>
      <w:r w:rsidR="002F01FA">
        <w:rPr>
          <w:i/>
        </w:rPr>
        <w:t>”</w:t>
      </w:r>
      <w:r w:rsidR="00E815DD">
        <w:rPr>
          <w:i/>
        </w:rPr>
        <w:t xml:space="preserve"> </w:t>
      </w:r>
      <w:r w:rsidR="00E815DD" w:rsidRPr="002F01FA">
        <w:t>s</w:t>
      </w:r>
      <w:r w:rsidR="002F01FA">
        <w:t>hould not be narrowly construed</w:t>
      </w:r>
      <w:r w:rsidR="00E815DD">
        <w:t>.</w:t>
      </w:r>
    </w:p>
    <w:p w:rsidR="00E815DD" w:rsidRDefault="009E0708" w:rsidP="009E0708">
      <w:pPr>
        <w:pStyle w:val="ParaNumbering"/>
        <w:numPr>
          <w:ilvl w:val="0"/>
          <w:numId w:val="0"/>
        </w:numPr>
        <w:ind w:hanging="720"/>
      </w:pPr>
      <w:r>
        <w:rPr>
          <w:sz w:val="20"/>
        </w:rPr>
        <w:t>30</w:t>
      </w:r>
      <w:r>
        <w:rPr>
          <w:sz w:val="20"/>
        </w:rPr>
        <w:tab/>
      </w:r>
      <w:r w:rsidR="00E815DD">
        <w:rPr>
          <w:i/>
        </w:rPr>
        <w:t>Thirdly</w:t>
      </w:r>
      <w:r w:rsidR="00E815DD">
        <w:t xml:space="preserve">, the </w:t>
      </w:r>
      <w:r w:rsidR="002F01FA">
        <w:t xml:space="preserve">Bankruptcy </w:t>
      </w:r>
      <w:r w:rsidR="00E815DD">
        <w:t>Act imposes a duty on trustees to take steps to recover property for the benefit of the estate (s 19(1</w:t>
      </w:r>
      <w:proofErr w:type="gramStart"/>
      <w:r w:rsidR="00E815DD">
        <w:t>)(</w:t>
      </w:r>
      <w:proofErr w:type="gramEnd"/>
      <w:r w:rsidR="00E815DD">
        <w:t>f) of the Bankruptcy Act).</w:t>
      </w:r>
    </w:p>
    <w:p w:rsidR="0097353E" w:rsidRDefault="009E0708" w:rsidP="009E0708">
      <w:pPr>
        <w:pStyle w:val="ParaNumbering"/>
        <w:numPr>
          <w:ilvl w:val="0"/>
          <w:numId w:val="0"/>
        </w:numPr>
        <w:ind w:hanging="720"/>
      </w:pPr>
      <w:r>
        <w:rPr>
          <w:sz w:val="20"/>
        </w:rPr>
        <w:t>31</w:t>
      </w:r>
      <w:r>
        <w:rPr>
          <w:sz w:val="20"/>
        </w:rPr>
        <w:tab/>
      </w:r>
      <w:r w:rsidR="0097353E">
        <w:t xml:space="preserve">Neither the researches of the applicant’s counsel and the first respondent’s solicitor, nor my own researches, have revealed a decision in which s 133(9) has been considered in circumstances where the applicant for a vesting order is a trustee (or the successor to a trustee) who earlier disclaimed the property. The absence of such decisions may be a product of the </w:t>
      </w:r>
      <w:r w:rsidR="000B4560">
        <w:lastRenderedPageBreak/>
        <w:t>rarity of such a</w:t>
      </w:r>
      <w:r w:rsidR="0097353E">
        <w:t xml:space="preserve"> factual s</w:t>
      </w:r>
      <w:r w:rsidR="000B4560">
        <w:t>cenario</w:t>
      </w:r>
      <w:r w:rsidR="0097353E">
        <w:t>. The more usual scenario involves a secured creditor as the applicant.</w:t>
      </w:r>
    </w:p>
    <w:p w:rsidR="003043E3" w:rsidRDefault="009E0708" w:rsidP="009E0708">
      <w:pPr>
        <w:pStyle w:val="ParaNumbering"/>
        <w:numPr>
          <w:ilvl w:val="0"/>
          <w:numId w:val="0"/>
        </w:numPr>
        <w:ind w:hanging="720"/>
      </w:pPr>
      <w:r>
        <w:rPr>
          <w:sz w:val="20"/>
        </w:rPr>
        <w:t>32</w:t>
      </w:r>
      <w:r>
        <w:rPr>
          <w:sz w:val="20"/>
        </w:rPr>
        <w:tab/>
      </w:r>
      <w:r w:rsidR="00E815DD">
        <w:t>However, a</w:t>
      </w:r>
      <w:r w:rsidR="00632ECF">
        <w:t xml:space="preserve"> similar result was reached </w:t>
      </w:r>
      <w:r w:rsidR="002F01FA">
        <w:t xml:space="preserve">in the context of the </w:t>
      </w:r>
      <w:r w:rsidR="002F01FA" w:rsidRPr="002F01FA">
        <w:rPr>
          <w:b/>
          <w:i/>
        </w:rPr>
        <w:t>Corporations Act</w:t>
      </w:r>
      <w:r w:rsidR="002F01FA">
        <w:rPr>
          <w:i/>
        </w:rPr>
        <w:t xml:space="preserve"> 2001 </w:t>
      </w:r>
      <w:r w:rsidR="002F01FA">
        <w:t>(</w:t>
      </w:r>
      <w:proofErr w:type="spellStart"/>
      <w:r w:rsidR="002F01FA">
        <w:t>Cth</w:t>
      </w:r>
      <w:proofErr w:type="spellEnd"/>
      <w:r w:rsidR="002F01FA">
        <w:t xml:space="preserve">) </w:t>
      </w:r>
      <w:r w:rsidR="00632ECF">
        <w:t xml:space="preserve">by </w:t>
      </w:r>
      <w:r w:rsidR="003043E3">
        <w:t xml:space="preserve">Gleeson J in </w:t>
      </w:r>
      <w:r w:rsidR="003043E3" w:rsidRPr="003206F3">
        <w:rPr>
          <w:i/>
        </w:rPr>
        <w:t xml:space="preserve">In the matter of </w:t>
      </w:r>
      <w:r w:rsidR="003043E3" w:rsidRPr="003206F3">
        <w:rPr>
          <w:b/>
          <w:i/>
        </w:rPr>
        <w:t>Vision Forklifts</w:t>
      </w:r>
      <w:r w:rsidR="003043E3" w:rsidRPr="003206F3">
        <w:rPr>
          <w:i/>
        </w:rPr>
        <w:t xml:space="preserve"> Pty Ltd (in </w:t>
      </w:r>
      <w:proofErr w:type="spellStart"/>
      <w:r w:rsidR="003043E3" w:rsidRPr="003206F3">
        <w:rPr>
          <w:i/>
        </w:rPr>
        <w:t>liq</w:t>
      </w:r>
      <w:proofErr w:type="spellEnd"/>
      <w:r w:rsidR="003043E3" w:rsidRPr="003206F3">
        <w:rPr>
          <w:i/>
        </w:rPr>
        <w:t xml:space="preserve">) </w:t>
      </w:r>
      <w:r w:rsidR="003043E3" w:rsidRPr="00196EB3">
        <w:t>[2020] NSWSC 243</w:t>
      </w:r>
      <w:r w:rsidR="0097353E">
        <w:t>, where his Honour made an order vesting in a liquidator the surplus funds from the sale of an asset previously disclaimed by that liquidator</w:t>
      </w:r>
      <w:r w:rsidR="003043E3">
        <w:t>.</w:t>
      </w:r>
      <w:r w:rsidR="005D3E86">
        <w:t xml:space="preserve"> </w:t>
      </w:r>
      <w:r w:rsidR="003043E3">
        <w:t xml:space="preserve">In that case, his Honour was concerned with an application made pursuant to s 568F of the </w:t>
      </w:r>
      <w:r w:rsidR="003043E3" w:rsidRPr="002F01FA">
        <w:t>Corporations Act</w:t>
      </w:r>
      <w:r w:rsidR="003043E3">
        <w:t>.</w:t>
      </w:r>
      <w:r w:rsidR="005D3E86">
        <w:t xml:space="preserve"> </w:t>
      </w:r>
      <w:r w:rsidR="003043E3">
        <w:t xml:space="preserve">Section </w:t>
      </w:r>
      <w:proofErr w:type="gramStart"/>
      <w:r w:rsidR="003043E3">
        <w:t>568F(</w:t>
      </w:r>
      <w:proofErr w:type="gramEnd"/>
      <w:r w:rsidR="003043E3">
        <w:t xml:space="preserve">1) </w:t>
      </w:r>
      <w:r w:rsidR="00C77BEE">
        <w:t>provided, in so far as is presently relevant</w:t>
      </w:r>
      <w:r w:rsidR="003043E3">
        <w:t>:</w:t>
      </w:r>
    </w:p>
    <w:p w:rsidR="003043E3" w:rsidRPr="003043E3" w:rsidRDefault="003043E3" w:rsidP="003043E3">
      <w:pPr>
        <w:pStyle w:val="Quote1"/>
        <w:ind w:left="1304" w:hanging="567"/>
        <w:rPr>
          <w:b/>
          <w:lang w:eastAsia="en-AU"/>
        </w:rPr>
      </w:pPr>
      <w:bookmarkStart w:id="24" w:name="_Toc101361165"/>
      <w:r w:rsidRPr="003043E3">
        <w:rPr>
          <w:rStyle w:val="charsectno"/>
          <w:b/>
          <w:bCs/>
          <w:color w:val="000000"/>
        </w:rPr>
        <w:t>568F</w:t>
      </w:r>
      <w:r w:rsidRPr="003043E3">
        <w:rPr>
          <w:b/>
        </w:rPr>
        <w:t xml:space="preserve">  </w:t>
      </w:r>
      <w:r>
        <w:rPr>
          <w:b/>
        </w:rPr>
        <w:tab/>
      </w:r>
      <w:r w:rsidRPr="003043E3">
        <w:rPr>
          <w:b/>
        </w:rPr>
        <w:t>Court may dispose of disclaimed property</w:t>
      </w:r>
      <w:bookmarkEnd w:id="24"/>
    </w:p>
    <w:p w:rsidR="003043E3" w:rsidRDefault="003043E3" w:rsidP="003043E3">
      <w:pPr>
        <w:pStyle w:val="Quote2"/>
        <w:ind w:left="2007" w:hanging="567"/>
      </w:pPr>
      <w:r>
        <w:t xml:space="preserve">(1)  </w:t>
      </w:r>
      <w:r>
        <w:tab/>
        <w:t>The Court may order that disclaimed property vest in, or be delivered to:</w:t>
      </w:r>
    </w:p>
    <w:p w:rsidR="003043E3" w:rsidRDefault="003043E3" w:rsidP="00AA0ABB">
      <w:pPr>
        <w:pStyle w:val="Quote3"/>
        <w:ind w:left="2880" w:hanging="720"/>
      </w:pPr>
      <w:r>
        <w:t xml:space="preserve">(a)  </w:t>
      </w:r>
      <w:r>
        <w:tab/>
      </w:r>
      <w:proofErr w:type="gramStart"/>
      <w:r>
        <w:t>a</w:t>
      </w:r>
      <w:proofErr w:type="gramEnd"/>
      <w:r>
        <w:t xml:space="preserve"> person entitled to the property; or</w:t>
      </w:r>
    </w:p>
    <w:p w:rsidR="003043E3" w:rsidRDefault="003043E3" w:rsidP="00AA0ABB">
      <w:pPr>
        <w:pStyle w:val="Quote3"/>
        <w:ind w:left="2880" w:hanging="720"/>
      </w:pPr>
      <w:r>
        <w:t xml:space="preserve">(b)  </w:t>
      </w:r>
      <w:r>
        <w:tab/>
      </w:r>
      <w:proofErr w:type="gramStart"/>
      <w:r>
        <w:t>a</w:t>
      </w:r>
      <w:proofErr w:type="gramEnd"/>
      <w:r>
        <w:t xml:space="preserve"> person in or to whom it seems to the Court appropriate that the property be vested or delivered; or</w:t>
      </w:r>
    </w:p>
    <w:p w:rsidR="003043E3" w:rsidRDefault="003043E3" w:rsidP="00AA0ABB">
      <w:pPr>
        <w:pStyle w:val="Quote3"/>
        <w:ind w:left="2880" w:hanging="720"/>
      </w:pPr>
      <w:r>
        <w:t xml:space="preserve">(c)  </w:t>
      </w:r>
      <w:r>
        <w:tab/>
      </w:r>
      <w:proofErr w:type="gramStart"/>
      <w:r>
        <w:t>a</w:t>
      </w:r>
      <w:proofErr w:type="gramEnd"/>
      <w:r>
        <w:t xml:space="preserve"> person as trustee for a person of a kind referred to in paragraph (a) or (b).</w:t>
      </w:r>
    </w:p>
    <w:p w:rsidR="00DE6EC7" w:rsidRDefault="00DE6EC7" w:rsidP="00DE6EC7">
      <w:pPr>
        <w:pStyle w:val="Quote2"/>
        <w:ind w:left="2007" w:hanging="567"/>
        <w:rPr>
          <w:lang w:eastAsia="en-AU"/>
        </w:rPr>
      </w:pPr>
      <w:r>
        <w:t xml:space="preserve">(2)  </w:t>
      </w:r>
      <w:r>
        <w:tab/>
        <w:t>The Court may make an order under subsection (1):</w:t>
      </w:r>
    </w:p>
    <w:p w:rsidR="00DE6EC7" w:rsidRDefault="00DE6EC7" w:rsidP="00AA0ABB">
      <w:pPr>
        <w:pStyle w:val="Quote3"/>
        <w:ind w:left="2880" w:hanging="720"/>
      </w:pPr>
      <w:r>
        <w:t xml:space="preserve">(a)  </w:t>
      </w:r>
      <w:r>
        <w:tab/>
      </w:r>
      <w:proofErr w:type="gramStart"/>
      <w:r>
        <w:t>on</w:t>
      </w:r>
      <w:proofErr w:type="gramEnd"/>
      <w:r>
        <w:t xml:space="preserve"> the application of a person who claims an interest in the property, or is under a liability in respect of the property that this Act has not discharged; and</w:t>
      </w:r>
    </w:p>
    <w:p w:rsidR="00DE6EC7" w:rsidRDefault="00DE6EC7" w:rsidP="00AA0ABB">
      <w:pPr>
        <w:pStyle w:val="Quote3"/>
        <w:ind w:left="2880" w:hanging="720"/>
      </w:pPr>
      <w:r>
        <w:t xml:space="preserve">(b)  </w:t>
      </w:r>
      <w:r>
        <w:tab/>
      </w:r>
      <w:proofErr w:type="gramStart"/>
      <w:r>
        <w:t>after</w:t>
      </w:r>
      <w:proofErr w:type="gramEnd"/>
      <w:r>
        <w:t xml:space="preserve"> hearing such persons as it thinks appropriate.</w:t>
      </w:r>
    </w:p>
    <w:p w:rsidR="00C77BEE" w:rsidRDefault="00C77BEE" w:rsidP="00C77BEE">
      <w:pPr>
        <w:pStyle w:val="Quote2"/>
      </w:pPr>
      <w:r>
        <w:t>…</w:t>
      </w:r>
    </w:p>
    <w:p w:rsidR="003043E3" w:rsidRDefault="009E0708" w:rsidP="009E0708">
      <w:pPr>
        <w:pStyle w:val="ParaNumbering"/>
        <w:numPr>
          <w:ilvl w:val="0"/>
          <w:numId w:val="0"/>
        </w:numPr>
        <w:ind w:hanging="720"/>
      </w:pPr>
      <w:r>
        <w:rPr>
          <w:sz w:val="20"/>
        </w:rPr>
        <w:t>33</w:t>
      </w:r>
      <w:r>
        <w:rPr>
          <w:sz w:val="20"/>
        </w:rPr>
        <w:tab/>
      </w:r>
      <w:r w:rsidR="0000492A">
        <w:t xml:space="preserve">The similarities between s 133(9) of the </w:t>
      </w:r>
      <w:r w:rsidR="00E815DD">
        <w:t xml:space="preserve">Bankruptcy </w:t>
      </w:r>
      <w:r w:rsidR="0000492A">
        <w:t>Act and s 568F of the Corporations Act are obvious. Each provides as pre-conditions to the exercise of the discretion that</w:t>
      </w:r>
      <w:r w:rsidR="00C77BEE">
        <w:t>:</w:t>
      </w:r>
      <w:r w:rsidR="0000492A">
        <w:t xml:space="preserve"> (1)</w:t>
      </w:r>
      <w:r w:rsidR="00DE6EC7">
        <w:t xml:space="preserve"> there be disclaimed property; (2)</w:t>
      </w:r>
      <w:r w:rsidR="0000492A">
        <w:t xml:space="preserve"> there be an application by a person who claims an interest in the property, or who is under a liability in respect of the property that has not been discharg</w:t>
      </w:r>
      <w:r w:rsidR="00DE6EC7">
        <w:t>ed by the respective Act; and (3</w:t>
      </w:r>
      <w:r w:rsidR="0000492A">
        <w:t>) the Court has heard such persons as it thinks appropriate.</w:t>
      </w:r>
      <w:r w:rsidR="003043E3">
        <w:t xml:space="preserve"> </w:t>
      </w:r>
    </w:p>
    <w:p w:rsidR="003043E3" w:rsidRDefault="009E0708" w:rsidP="009E0708">
      <w:pPr>
        <w:pStyle w:val="ParaNumbering"/>
        <w:numPr>
          <w:ilvl w:val="0"/>
          <w:numId w:val="0"/>
        </w:numPr>
        <w:ind w:hanging="720"/>
      </w:pPr>
      <w:r>
        <w:rPr>
          <w:sz w:val="20"/>
        </w:rPr>
        <w:t>34</w:t>
      </w:r>
      <w:r>
        <w:rPr>
          <w:sz w:val="20"/>
        </w:rPr>
        <w:tab/>
      </w:r>
      <w:r w:rsidR="0000492A">
        <w:t xml:space="preserve">In each provision, if the discretion has been enlivened, the Court </w:t>
      </w:r>
      <w:r w:rsidR="000B4560">
        <w:t>may</w:t>
      </w:r>
      <w:r w:rsidR="0000492A">
        <w:t xml:space="preserve"> make orders for the disclaimed property to vest in or be delivered to the same categories of person. Whilst s 133(9)</w:t>
      </w:r>
      <w:r w:rsidR="00E815DD">
        <w:t xml:space="preserve"> of the Bankruptcy Act</w:t>
      </w:r>
      <w:r w:rsidR="0000492A">
        <w:t xml:space="preserve"> allows for vesting in</w:t>
      </w:r>
      <w:r w:rsidR="00632ECF">
        <w:t>,</w:t>
      </w:r>
      <w:r w:rsidR="0000492A">
        <w:t xml:space="preserve"> or delivery to</w:t>
      </w:r>
      <w:r w:rsidR="00632ECF">
        <w:t>,</w:t>
      </w:r>
      <w:r w:rsidR="0000492A">
        <w:t xml:space="preserve"> a person where the Court form</w:t>
      </w:r>
      <w:r w:rsidR="00DE6EC7">
        <w:t>s</w:t>
      </w:r>
      <w:r w:rsidR="0000492A">
        <w:t xml:space="preserve"> the view that it is </w:t>
      </w:r>
      <w:r w:rsidR="0000492A">
        <w:rPr>
          <w:i/>
        </w:rPr>
        <w:t>“just and equitable”</w:t>
      </w:r>
      <w:r w:rsidR="0000492A">
        <w:t xml:space="preserve"> that this occur and s </w:t>
      </w:r>
      <w:proofErr w:type="gramStart"/>
      <w:r w:rsidR="0000492A">
        <w:t>568F(</w:t>
      </w:r>
      <w:proofErr w:type="gramEnd"/>
      <w:r w:rsidR="0000492A">
        <w:t>1)(b)</w:t>
      </w:r>
      <w:r w:rsidR="00E815DD">
        <w:t xml:space="preserve"> of the Corporations Act</w:t>
      </w:r>
      <w:r w:rsidR="0000492A">
        <w:t xml:space="preserve"> allows for such vesting </w:t>
      </w:r>
      <w:r w:rsidR="00632ECF">
        <w:t xml:space="preserve">in, </w:t>
      </w:r>
      <w:r w:rsidR="0000492A">
        <w:t>or delivery to</w:t>
      </w:r>
      <w:r w:rsidR="00632ECF">
        <w:t>,</w:t>
      </w:r>
      <w:r w:rsidR="0000492A">
        <w:t xml:space="preserve"> a person where the Court considers it </w:t>
      </w:r>
      <w:r w:rsidR="0000492A">
        <w:rPr>
          <w:i/>
        </w:rPr>
        <w:t>“appropriate”</w:t>
      </w:r>
      <w:r w:rsidR="0000492A">
        <w:t xml:space="preserve"> that this occur, the difference is not material, at least for present purposes.</w:t>
      </w:r>
    </w:p>
    <w:p w:rsidR="0000492A" w:rsidRDefault="009E0708" w:rsidP="009E0708">
      <w:pPr>
        <w:pStyle w:val="ParaNumbering"/>
        <w:numPr>
          <w:ilvl w:val="0"/>
          <w:numId w:val="0"/>
        </w:numPr>
        <w:ind w:hanging="720"/>
      </w:pPr>
      <w:r>
        <w:rPr>
          <w:sz w:val="20"/>
        </w:rPr>
        <w:lastRenderedPageBreak/>
        <w:t>35</w:t>
      </w:r>
      <w:r>
        <w:rPr>
          <w:sz w:val="20"/>
        </w:rPr>
        <w:tab/>
      </w:r>
      <w:r w:rsidR="0000492A">
        <w:t xml:space="preserve">In </w:t>
      </w:r>
      <w:r w:rsidR="0000492A" w:rsidRPr="00E815DD">
        <w:rPr>
          <w:i/>
        </w:rPr>
        <w:t>Vision Forklifts</w:t>
      </w:r>
      <w:r w:rsidR="0000492A">
        <w:t xml:space="preserve"> </w:t>
      </w:r>
      <w:r w:rsidR="000B4560">
        <w:t>a</w:t>
      </w:r>
      <w:r w:rsidR="0000492A">
        <w:t xml:space="preserve"> liquidator gave a notice of disclaimer of a forklift which had an estimated value of $20,000 and in respect of which a creditor held a registered security interest securing a debt of $19,054.17. Subsequently, the creditor sold the forklift and there were surplus funds of $6,635.44. That surplus was paid by the creditor to the liquidator. The estimated c</w:t>
      </w:r>
      <w:r w:rsidR="00DE6EC7">
        <w:t>reditor claims in the liquidation</w:t>
      </w:r>
      <w:r w:rsidR="0000492A">
        <w:t xml:space="preserve"> were in the order of $1.4 million. At [8]-[10]</w:t>
      </w:r>
      <w:r w:rsidR="00A128E2">
        <w:t>,</w:t>
      </w:r>
      <w:r w:rsidR="0000492A">
        <w:t xml:space="preserve"> Gleeson J stated:</w:t>
      </w:r>
    </w:p>
    <w:p w:rsidR="00A23DE4" w:rsidRPr="00A23DE4" w:rsidRDefault="00A23DE4" w:rsidP="00A23DE4">
      <w:pPr>
        <w:pStyle w:val="Quote1"/>
        <w:ind w:left="1304" w:hanging="567"/>
        <w:rPr>
          <w:lang w:eastAsia="en-AU"/>
        </w:rPr>
      </w:pPr>
      <w:r>
        <w:rPr>
          <w:lang w:eastAsia="en-AU"/>
        </w:rPr>
        <w:t>8.</w:t>
      </w:r>
      <w:r>
        <w:rPr>
          <w:lang w:eastAsia="en-AU"/>
        </w:rPr>
        <w:tab/>
      </w:r>
      <w:hyperlink r:id="rId19" w:history="1">
        <w:r w:rsidRPr="00A23DE4">
          <w:rPr>
            <w:lang w:eastAsia="en-AU"/>
          </w:rPr>
          <w:t>Section 568F(1)</w:t>
        </w:r>
      </w:hyperlink>
      <w:r w:rsidRPr="00A23DE4">
        <w:rPr>
          <w:lang w:eastAsia="en-AU"/>
        </w:rPr>
        <w:t> of the </w:t>
      </w:r>
      <w:hyperlink r:id="rId20" w:history="1">
        <w:r w:rsidRPr="00A23DE4">
          <w:rPr>
            <w:lang w:eastAsia="en-AU"/>
          </w:rPr>
          <w:t>Corporations Act</w:t>
        </w:r>
      </w:hyperlink>
      <w:r w:rsidRPr="00A23DE4">
        <w:rPr>
          <w:lang w:eastAsia="en-AU"/>
        </w:rPr>
        <w:t> provides that the Court may order that disclaimed property vest in, or be delivered to (a) a person entitled to the property, or (b) a person in or to whom it seems to the Court appropriate that the property be vested or delivered, or (c) a person as trustee for a person of a kind referred to in pars (a) or (b).</w:t>
      </w:r>
    </w:p>
    <w:p w:rsidR="00A23DE4" w:rsidRPr="00A23DE4" w:rsidRDefault="00A23DE4" w:rsidP="00A23DE4">
      <w:pPr>
        <w:pStyle w:val="Quote1"/>
        <w:ind w:left="1304" w:hanging="567"/>
        <w:rPr>
          <w:lang w:eastAsia="en-AU"/>
        </w:rPr>
      </w:pPr>
      <w:r>
        <w:rPr>
          <w:lang w:eastAsia="en-AU"/>
        </w:rPr>
        <w:t>9.</w:t>
      </w:r>
      <w:r>
        <w:rPr>
          <w:lang w:eastAsia="en-AU"/>
        </w:rPr>
        <w:tab/>
      </w:r>
      <w:r w:rsidRPr="00A23DE4">
        <w:rPr>
          <w:lang w:eastAsia="en-AU"/>
        </w:rPr>
        <w:t>The Court may make an order under </w:t>
      </w:r>
      <w:hyperlink r:id="rId21" w:history="1">
        <w:r w:rsidRPr="00A23DE4">
          <w:rPr>
            <w:lang w:eastAsia="en-AU"/>
          </w:rPr>
          <w:t xml:space="preserve">s </w:t>
        </w:r>
        <w:proofErr w:type="gramStart"/>
        <w:r w:rsidRPr="00A23DE4">
          <w:rPr>
            <w:lang w:eastAsia="en-AU"/>
          </w:rPr>
          <w:t>568F(</w:t>
        </w:r>
        <w:proofErr w:type="gramEnd"/>
        <w:r w:rsidRPr="00A23DE4">
          <w:rPr>
            <w:lang w:eastAsia="en-AU"/>
          </w:rPr>
          <w:t>1)</w:t>
        </w:r>
      </w:hyperlink>
      <w:r w:rsidRPr="00A23DE4">
        <w:rPr>
          <w:lang w:eastAsia="en-AU"/>
        </w:rPr>
        <w:t> on the application, among others, of a person who claims an interest in the property: </w:t>
      </w:r>
      <w:hyperlink r:id="rId22" w:history="1">
        <w:r w:rsidRPr="00A23DE4">
          <w:rPr>
            <w:lang w:eastAsia="en-AU"/>
          </w:rPr>
          <w:t>s 568F(2).</w:t>
        </w:r>
      </w:hyperlink>
      <w:r w:rsidRPr="00A23DE4">
        <w:rPr>
          <w:lang w:eastAsia="en-AU"/>
        </w:rPr>
        <w:t> </w:t>
      </w:r>
      <w:r w:rsidRPr="00632ECF">
        <w:rPr>
          <w:b/>
          <w:lang w:eastAsia="en-AU"/>
        </w:rPr>
        <w:t>The liquidator, on behalf of the company, answers that description</w:t>
      </w:r>
      <w:r w:rsidRPr="00632ECF">
        <w:rPr>
          <w:lang w:eastAsia="en-AU"/>
        </w:rPr>
        <w:t>.</w:t>
      </w:r>
    </w:p>
    <w:p w:rsidR="00A23DE4" w:rsidRDefault="00A23DE4" w:rsidP="00A23DE4">
      <w:pPr>
        <w:pStyle w:val="Quote1"/>
        <w:ind w:left="1304" w:hanging="567"/>
        <w:rPr>
          <w:lang w:eastAsia="en-AU"/>
        </w:rPr>
      </w:pPr>
      <w:r>
        <w:rPr>
          <w:lang w:eastAsia="en-AU"/>
        </w:rPr>
        <w:t>10.</w:t>
      </w:r>
      <w:r>
        <w:rPr>
          <w:lang w:eastAsia="en-AU"/>
        </w:rPr>
        <w:tab/>
      </w:r>
      <w:r w:rsidRPr="00A23DE4">
        <w:rPr>
          <w:lang w:eastAsia="en-AU"/>
        </w:rPr>
        <w:t xml:space="preserve">There being a surplus arising upon the exercise of the security holder’s power of sale in respect of the forklift, </w:t>
      </w:r>
      <w:r w:rsidRPr="00E815DD">
        <w:rPr>
          <w:b/>
          <w:lang w:eastAsia="en-AU"/>
        </w:rPr>
        <w:t>the person in whom it is appropriate that the surplus from the disclaimed property be vested, is the liquidator of the company which was the owner of the property up until the time the disclaimer took effect</w:t>
      </w:r>
      <w:r w:rsidRPr="00A23DE4">
        <w:rPr>
          <w:lang w:eastAsia="en-AU"/>
        </w:rPr>
        <w:t>.</w:t>
      </w:r>
    </w:p>
    <w:p w:rsidR="00632ECF" w:rsidRPr="00632ECF" w:rsidRDefault="00632ECF" w:rsidP="00A23DE4">
      <w:pPr>
        <w:pStyle w:val="Quote1"/>
        <w:ind w:left="1304" w:hanging="567"/>
        <w:rPr>
          <w:sz w:val="24"/>
          <w:szCs w:val="24"/>
          <w:lang w:eastAsia="en-AU"/>
        </w:rPr>
      </w:pPr>
      <w:r>
        <w:rPr>
          <w:sz w:val="24"/>
          <w:szCs w:val="24"/>
          <w:lang w:eastAsia="en-AU"/>
        </w:rPr>
        <w:t>(</w:t>
      </w:r>
      <w:proofErr w:type="gramStart"/>
      <w:r>
        <w:rPr>
          <w:sz w:val="24"/>
          <w:szCs w:val="24"/>
          <w:lang w:eastAsia="en-AU"/>
        </w:rPr>
        <w:t>emphasis</w:t>
      </w:r>
      <w:proofErr w:type="gramEnd"/>
      <w:r>
        <w:rPr>
          <w:sz w:val="24"/>
          <w:szCs w:val="24"/>
          <w:lang w:eastAsia="en-AU"/>
        </w:rPr>
        <w:t xml:space="preserve"> added)</w:t>
      </w:r>
    </w:p>
    <w:p w:rsidR="007955F6" w:rsidRDefault="007955F6" w:rsidP="00DE6EC7">
      <w:pPr>
        <w:pStyle w:val="Heading2"/>
      </w:pPr>
      <w:r>
        <w:t>Hearing from such persons as the Court thinks fit</w:t>
      </w:r>
    </w:p>
    <w:p w:rsidR="009206A0" w:rsidRDefault="009E0708" w:rsidP="009E0708">
      <w:pPr>
        <w:pStyle w:val="ParaNumbering"/>
        <w:numPr>
          <w:ilvl w:val="0"/>
          <w:numId w:val="0"/>
        </w:numPr>
        <w:ind w:hanging="720"/>
      </w:pPr>
      <w:r>
        <w:rPr>
          <w:sz w:val="20"/>
        </w:rPr>
        <w:t>36</w:t>
      </w:r>
      <w:r>
        <w:rPr>
          <w:sz w:val="20"/>
        </w:rPr>
        <w:tab/>
      </w:r>
      <w:r w:rsidR="00B45908">
        <w:t>The first respondent (</w:t>
      </w:r>
      <w:r w:rsidR="003206F3">
        <w:t>being the</w:t>
      </w:r>
      <w:r w:rsidR="00B45908">
        <w:t xml:space="preserve"> registered proprietor </w:t>
      </w:r>
      <w:r w:rsidR="009206A0">
        <w:t xml:space="preserve">in respect </w:t>
      </w:r>
      <w:r w:rsidR="00B45908">
        <w:t>of the interest</w:t>
      </w:r>
      <w:r w:rsidR="009206A0">
        <w:t xml:space="preserve"> formerly held by Mr Williams</w:t>
      </w:r>
      <w:r w:rsidR="00B45908">
        <w:t>) and the second respondent (being the trustee of the estate of Mrs Williams</w:t>
      </w:r>
      <w:r w:rsidR="003206F3">
        <w:t>,</w:t>
      </w:r>
      <w:r w:rsidR="00B45908">
        <w:t xml:space="preserve"> </w:t>
      </w:r>
      <w:r w:rsidR="003206F3">
        <w:t>which</w:t>
      </w:r>
      <w:r w:rsidR="00B45908">
        <w:t xml:space="preserve"> holds the other half-interest in the property) are each parties to the proceeding and </w:t>
      </w:r>
      <w:r w:rsidR="00DE6EC7">
        <w:t xml:space="preserve">each </w:t>
      </w:r>
      <w:r w:rsidR="00B45908">
        <w:t xml:space="preserve">participated in the hearing. </w:t>
      </w:r>
      <w:r w:rsidR="00DE6EC7">
        <w:t>As noted above, neither opposes the making of the order</w:t>
      </w:r>
      <w:r w:rsidR="00C77BEE">
        <w:t>s</w:t>
      </w:r>
      <w:r w:rsidR="00DE6EC7">
        <w:t xml:space="preserve"> sought by the applicant.</w:t>
      </w:r>
    </w:p>
    <w:p w:rsidR="009206A0" w:rsidRDefault="009E0708" w:rsidP="009E0708">
      <w:pPr>
        <w:pStyle w:val="ParaNumbering"/>
        <w:numPr>
          <w:ilvl w:val="0"/>
          <w:numId w:val="0"/>
        </w:numPr>
        <w:ind w:hanging="720"/>
      </w:pPr>
      <w:r>
        <w:rPr>
          <w:sz w:val="20"/>
        </w:rPr>
        <w:t>37</w:t>
      </w:r>
      <w:r>
        <w:rPr>
          <w:sz w:val="20"/>
        </w:rPr>
        <w:tab/>
      </w:r>
      <w:r w:rsidR="003206F3">
        <w:t xml:space="preserve">I am not convinced that it was necessary that </w:t>
      </w:r>
      <w:r w:rsidR="0072785A">
        <w:t>Mr Williams</w:t>
      </w:r>
      <w:r w:rsidR="003206F3">
        <w:t xml:space="preserve"> be given the opportunity to address the Court but I am satisfied </w:t>
      </w:r>
      <w:r w:rsidR="0072785A">
        <w:t xml:space="preserve">in any event </w:t>
      </w:r>
      <w:r w:rsidR="003206F3">
        <w:t xml:space="preserve">that </w:t>
      </w:r>
      <w:r w:rsidR="0072785A">
        <w:t>he</w:t>
      </w:r>
      <w:r w:rsidR="003206F3">
        <w:t xml:space="preserve"> was afforded an opportunity to do so.</w:t>
      </w:r>
      <w:r w:rsidR="00BE5CD1">
        <w:t xml:space="preserve"> The evidence establishes that Mr Williams was given notice of the proceeding and the hearing</w:t>
      </w:r>
      <w:r w:rsidR="0072785A">
        <w:t xml:space="preserve"> and that he</w:t>
      </w:r>
      <w:r w:rsidR="00BE5CD1">
        <w:t xml:space="preserve"> was</w:t>
      </w:r>
      <w:r w:rsidR="00BE5CD1" w:rsidRPr="007955F6">
        <w:t xml:space="preserve"> served with a copy of the application and supporting materials as well as the written submissions of the applicant and the first respondent.</w:t>
      </w:r>
    </w:p>
    <w:p w:rsidR="009206A0" w:rsidRDefault="009E0708" w:rsidP="009E0708">
      <w:pPr>
        <w:pStyle w:val="ParaNumbering"/>
        <w:numPr>
          <w:ilvl w:val="0"/>
          <w:numId w:val="0"/>
        </w:numPr>
        <w:ind w:hanging="720"/>
      </w:pPr>
      <w:r>
        <w:rPr>
          <w:sz w:val="20"/>
        </w:rPr>
        <w:t>38</w:t>
      </w:r>
      <w:r>
        <w:rPr>
          <w:sz w:val="20"/>
        </w:rPr>
        <w:tab/>
      </w:r>
      <w:r w:rsidR="009206A0">
        <w:t>I am satisfied that all appropriate parties have been heard or afforded the opportunity to be heard.</w:t>
      </w:r>
    </w:p>
    <w:p w:rsidR="0072785A" w:rsidRDefault="0072785A" w:rsidP="0072785A">
      <w:pPr>
        <w:pStyle w:val="Heading2"/>
      </w:pPr>
      <w:r>
        <w:t>Conclusion as to the preconditions to the exercise of the discretion</w:t>
      </w:r>
    </w:p>
    <w:p w:rsidR="00C77BEE" w:rsidRDefault="009E0708" w:rsidP="009E0708">
      <w:pPr>
        <w:pStyle w:val="ParaNumbering"/>
        <w:numPr>
          <w:ilvl w:val="0"/>
          <w:numId w:val="0"/>
        </w:numPr>
        <w:ind w:hanging="720"/>
      </w:pPr>
      <w:r>
        <w:rPr>
          <w:sz w:val="20"/>
        </w:rPr>
        <w:t>39</w:t>
      </w:r>
      <w:r>
        <w:rPr>
          <w:sz w:val="20"/>
        </w:rPr>
        <w:tab/>
      </w:r>
      <w:r w:rsidR="003206F3">
        <w:t>For the reasons set out above</w:t>
      </w:r>
      <w:r w:rsidR="00C77BEE">
        <w:t>, I am satisfied that the pre-conditions to the exercise of the discretion are satisfied and thus that the discretion is enlivened.</w:t>
      </w:r>
    </w:p>
    <w:p w:rsidR="00B45908" w:rsidRDefault="009E0708" w:rsidP="00DE6EC7">
      <w:pPr>
        <w:pStyle w:val="Heading1"/>
      </w:pPr>
      <w:r>
        <w:rPr>
          <w:caps w:val="0"/>
        </w:rPr>
        <w:lastRenderedPageBreak/>
        <w:t>THE EXERCISE OF THE DISCRETION</w:t>
      </w:r>
    </w:p>
    <w:p w:rsidR="0097353E" w:rsidRDefault="009E0708" w:rsidP="009E0708">
      <w:pPr>
        <w:pStyle w:val="ParaNumbering"/>
        <w:numPr>
          <w:ilvl w:val="0"/>
          <w:numId w:val="0"/>
        </w:numPr>
        <w:ind w:hanging="720"/>
      </w:pPr>
      <w:r>
        <w:rPr>
          <w:sz w:val="20"/>
        </w:rPr>
        <w:t>40</w:t>
      </w:r>
      <w:r>
        <w:rPr>
          <w:sz w:val="20"/>
        </w:rPr>
        <w:tab/>
      </w:r>
      <w:r w:rsidR="0097353E">
        <w:t>I turn now to the exercise of the discretion.</w:t>
      </w:r>
    </w:p>
    <w:p w:rsidR="00C77BEE" w:rsidRPr="00C77BEE" w:rsidRDefault="009E0708" w:rsidP="009E0708">
      <w:pPr>
        <w:pStyle w:val="ParaNumbering"/>
        <w:numPr>
          <w:ilvl w:val="0"/>
          <w:numId w:val="0"/>
        </w:numPr>
        <w:ind w:hanging="720"/>
      </w:pPr>
      <w:r w:rsidRPr="00C77BEE">
        <w:rPr>
          <w:sz w:val="20"/>
        </w:rPr>
        <w:t>41</w:t>
      </w:r>
      <w:r w:rsidRPr="00C77BEE">
        <w:rPr>
          <w:sz w:val="20"/>
        </w:rPr>
        <w:tab/>
      </w:r>
      <w:r w:rsidR="00C77BEE">
        <w:t>The making of the vesting order sought by the applicant would be just and equitable for the following reasons.</w:t>
      </w:r>
    </w:p>
    <w:p w:rsidR="009206A0" w:rsidRDefault="009E0708" w:rsidP="009E0708">
      <w:pPr>
        <w:pStyle w:val="ParaNumbering"/>
        <w:numPr>
          <w:ilvl w:val="0"/>
          <w:numId w:val="0"/>
        </w:numPr>
        <w:ind w:hanging="720"/>
      </w:pPr>
      <w:r>
        <w:rPr>
          <w:sz w:val="20"/>
        </w:rPr>
        <w:t>42</w:t>
      </w:r>
      <w:r>
        <w:rPr>
          <w:sz w:val="20"/>
        </w:rPr>
        <w:tab/>
      </w:r>
      <w:r w:rsidR="009206A0">
        <w:rPr>
          <w:i/>
        </w:rPr>
        <w:t>First</w:t>
      </w:r>
      <w:r w:rsidR="009206A0">
        <w:t xml:space="preserve">, prior to the disclaimer, </w:t>
      </w:r>
      <w:r w:rsidR="00C77BEE">
        <w:t>the</w:t>
      </w:r>
      <w:r w:rsidR="009206A0">
        <w:t xml:space="preserve"> interest </w:t>
      </w:r>
      <w:r w:rsidR="007B2BFB">
        <w:t>in the property formerly held by Mr Williams</w:t>
      </w:r>
      <w:r w:rsidR="00C77BEE">
        <w:t xml:space="preserve"> </w:t>
      </w:r>
      <w:r w:rsidR="009206A0">
        <w:t xml:space="preserve">vested in </w:t>
      </w:r>
      <w:r w:rsidR="007B2BFB">
        <w:t xml:space="preserve">Mr </w:t>
      </w:r>
      <w:proofErr w:type="spellStart"/>
      <w:r w:rsidR="0097353E">
        <w:t>Malanos</w:t>
      </w:r>
      <w:proofErr w:type="spellEnd"/>
      <w:r w:rsidR="0097353E">
        <w:t xml:space="preserve">, </w:t>
      </w:r>
      <w:r w:rsidR="0097353E">
        <w:rPr>
          <w:i/>
        </w:rPr>
        <w:t>qua</w:t>
      </w:r>
      <w:r w:rsidR="0097353E">
        <w:t xml:space="preserve"> trustee of the bankrupt estate of Mr Williams</w:t>
      </w:r>
      <w:r w:rsidR="009206A0">
        <w:t>.</w:t>
      </w:r>
    </w:p>
    <w:p w:rsidR="009206A0" w:rsidRDefault="009E0708" w:rsidP="009E0708">
      <w:pPr>
        <w:pStyle w:val="ParaNumbering"/>
        <w:numPr>
          <w:ilvl w:val="0"/>
          <w:numId w:val="0"/>
        </w:numPr>
        <w:ind w:hanging="720"/>
      </w:pPr>
      <w:r>
        <w:rPr>
          <w:sz w:val="20"/>
        </w:rPr>
        <w:t>43</w:t>
      </w:r>
      <w:r>
        <w:rPr>
          <w:sz w:val="20"/>
        </w:rPr>
        <w:tab/>
      </w:r>
      <w:r w:rsidR="009206A0">
        <w:rPr>
          <w:i/>
        </w:rPr>
        <w:t>Secondly</w:t>
      </w:r>
      <w:r w:rsidR="009206A0">
        <w:t xml:space="preserve">, whilst </w:t>
      </w:r>
      <w:r w:rsidR="00DE6EC7">
        <w:t xml:space="preserve">Mr </w:t>
      </w:r>
      <w:proofErr w:type="spellStart"/>
      <w:r w:rsidR="00DE6EC7">
        <w:t>Malanos</w:t>
      </w:r>
      <w:proofErr w:type="spellEnd"/>
      <w:r w:rsidR="009206A0">
        <w:t xml:space="preserve"> did disclaim that interest, he did so in circumstances where it appeared that the property would </w:t>
      </w:r>
      <w:r w:rsidR="00C77BEE">
        <w:t xml:space="preserve">be onerous to </w:t>
      </w:r>
      <w:r w:rsidR="003206F3">
        <w:t>the bankrupt estate</w:t>
      </w:r>
      <w:r w:rsidR="009206A0">
        <w:t xml:space="preserve">. There is no suggestion that </w:t>
      </w:r>
      <w:r w:rsidR="00DE6EC7">
        <w:t xml:space="preserve">Mr </w:t>
      </w:r>
      <w:proofErr w:type="spellStart"/>
      <w:r w:rsidR="00DE6EC7">
        <w:t>Malanos</w:t>
      </w:r>
      <w:proofErr w:type="spellEnd"/>
      <w:r w:rsidR="009206A0">
        <w:t xml:space="preserve"> acted otherwise than properly and in accordance with his duties as trustee</w:t>
      </w:r>
      <w:r w:rsidR="0097353E">
        <w:t xml:space="preserve"> in the circumstances which then obtained</w:t>
      </w:r>
      <w:r w:rsidR="009206A0">
        <w:t>.</w:t>
      </w:r>
    </w:p>
    <w:p w:rsidR="003043E3" w:rsidRDefault="009E0708" w:rsidP="009E0708">
      <w:pPr>
        <w:pStyle w:val="ParaNumbering"/>
        <w:numPr>
          <w:ilvl w:val="0"/>
          <w:numId w:val="0"/>
        </w:numPr>
        <w:ind w:hanging="720"/>
      </w:pPr>
      <w:r>
        <w:rPr>
          <w:sz w:val="20"/>
        </w:rPr>
        <w:t>44</w:t>
      </w:r>
      <w:r>
        <w:rPr>
          <w:sz w:val="20"/>
        </w:rPr>
        <w:tab/>
      </w:r>
      <w:r w:rsidR="009206A0" w:rsidRPr="00E815DD">
        <w:rPr>
          <w:i/>
        </w:rPr>
        <w:t>Thirdly</w:t>
      </w:r>
      <w:r w:rsidR="009206A0">
        <w:t>, there has been a change in circumstances</w:t>
      </w:r>
      <w:r w:rsidR="00DE6EC7">
        <w:t xml:space="preserve">, and in particular </w:t>
      </w:r>
      <w:r w:rsidR="0097353E">
        <w:t>the change in NAB’s status from a secured to an unsecured creditor</w:t>
      </w:r>
      <w:r w:rsidR="00C77BEE">
        <w:t>,</w:t>
      </w:r>
      <w:r w:rsidR="009206A0">
        <w:t xml:space="preserve"> which mean</w:t>
      </w:r>
      <w:r w:rsidR="00DE6EC7">
        <w:t>s</w:t>
      </w:r>
      <w:r w:rsidR="009206A0">
        <w:t xml:space="preserve"> that it </w:t>
      </w:r>
      <w:r w:rsidR="003206F3">
        <w:t xml:space="preserve">now </w:t>
      </w:r>
      <w:r w:rsidR="009206A0">
        <w:t xml:space="preserve">seems likely that a sale of </w:t>
      </w:r>
      <w:r w:rsidR="00DE6EC7">
        <w:t xml:space="preserve">the property </w:t>
      </w:r>
      <w:r w:rsidR="009206A0">
        <w:t xml:space="preserve">would enable </w:t>
      </w:r>
      <w:r w:rsidR="003206F3">
        <w:t>payment of</w:t>
      </w:r>
      <w:r w:rsidR="009206A0">
        <w:t xml:space="preserve"> a dividend to the creditors of the bankrupt estate of Mr Williams. </w:t>
      </w:r>
      <w:r w:rsidR="003043E3">
        <w:t xml:space="preserve">If the </w:t>
      </w:r>
      <w:r w:rsidR="00C77BEE">
        <w:t>vesting order were made</w:t>
      </w:r>
      <w:r w:rsidR="003043E3">
        <w:t>, then the estate would have an asset with a value in the order of $412,500 (being one half of $825,000)</w:t>
      </w:r>
      <w:r w:rsidR="00DE6EC7">
        <w:t xml:space="preserve"> and liabilities in the order of $619,000.</w:t>
      </w:r>
      <w:r w:rsidR="002271F1">
        <w:t xml:space="preserve"> Even allowing for the costs of the sale </w:t>
      </w:r>
      <w:r w:rsidR="00C77BEE">
        <w:t>of the property</w:t>
      </w:r>
      <w:r w:rsidR="000B4560">
        <w:t>,</w:t>
      </w:r>
      <w:r w:rsidR="007B2BFB">
        <w:t xml:space="preserve"> council rates and other amounts payable in respect of the property;</w:t>
      </w:r>
      <w:r w:rsidR="00C77BEE">
        <w:t xml:space="preserve"> </w:t>
      </w:r>
      <w:r w:rsidR="002271F1">
        <w:t xml:space="preserve">and the costs of administration of the estate, there </w:t>
      </w:r>
      <w:r w:rsidR="003206F3">
        <w:t>would</w:t>
      </w:r>
      <w:r w:rsidR="002271F1">
        <w:t xml:space="preserve"> likely be a </w:t>
      </w:r>
      <w:r w:rsidR="00C77BEE">
        <w:t xml:space="preserve">significant </w:t>
      </w:r>
      <w:r w:rsidR="002271F1">
        <w:t>return to creditors.</w:t>
      </w:r>
    </w:p>
    <w:p w:rsidR="007B2BFB" w:rsidRDefault="009E0708" w:rsidP="009E0708">
      <w:pPr>
        <w:pStyle w:val="ParaNumbering"/>
        <w:numPr>
          <w:ilvl w:val="0"/>
          <w:numId w:val="0"/>
        </w:numPr>
        <w:ind w:hanging="720"/>
      </w:pPr>
      <w:r>
        <w:rPr>
          <w:sz w:val="20"/>
        </w:rPr>
        <w:t>45</w:t>
      </w:r>
      <w:r>
        <w:rPr>
          <w:sz w:val="20"/>
        </w:rPr>
        <w:tab/>
      </w:r>
      <w:r w:rsidR="007B2BFB">
        <w:rPr>
          <w:i/>
        </w:rPr>
        <w:t>Fourthly</w:t>
      </w:r>
      <w:r w:rsidR="007B2BFB">
        <w:t>, the taking of steps to recover property for the benefit of the bankrupt estate of Mr Williams</w:t>
      </w:r>
      <w:r w:rsidR="0097353E">
        <w:t xml:space="preserve"> in the present circumstances</w:t>
      </w:r>
      <w:r w:rsidR="007B2BFB">
        <w:t xml:space="preserve"> is consistent with the exercise by the appli</w:t>
      </w:r>
      <w:r w:rsidR="00E815DD">
        <w:t>cant of his duty under s 19(1)(f</w:t>
      </w:r>
      <w:r w:rsidR="007B2BFB">
        <w:t xml:space="preserve">) of the </w:t>
      </w:r>
      <w:r w:rsidR="00E815DD">
        <w:t xml:space="preserve">Bankruptcy </w:t>
      </w:r>
      <w:r w:rsidR="007B2BFB">
        <w:t>Act.</w:t>
      </w:r>
    </w:p>
    <w:p w:rsidR="00B45908" w:rsidRDefault="009E0708" w:rsidP="009E0708">
      <w:pPr>
        <w:pStyle w:val="ParaNumbering"/>
        <w:numPr>
          <w:ilvl w:val="0"/>
          <w:numId w:val="0"/>
        </w:numPr>
        <w:ind w:hanging="720"/>
      </w:pPr>
      <w:r>
        <w:rPr>
          <w:sz w:val="20"/>
        </w:rPr>
        <w:t>46</w:t>
      </w:r>
      <w:r>
        <w:rPr>
          <w:sz w:val="20"/>
        </w:rPr>
        <w:tab/>
      </w:r>
      <w:r w:rsidR="007B2BFB">
        <w:rPr>
          <w:i/>
        </w:rPr>
        <w:t>Fifthly</w:t>
      </w:r>
      <w:r w:rsidR="00B45908">
        <w:t xml:space="preserve">, if an order were not to be made, then creditors </w:t>
      </w:r>
      <w:r w:rsidR="00EE53D9">
        <w:t xml:space="preserve">of the bankrupt estate of Mr Williams </w:t>
      </w:r>
      <w:r w:rsidR="00B45908">
        <w:t>would likely receive no dividend; and the first respondent would receive a windfall gain</w:t>
      </w:r>
      <w:r w:rsidR="00866534">
        <w:t xml:space="preserve"> which is an undesirable outcome</w:t>
      </w:r>
      <w:r w:rsidR="00C77BEE">
        <w:t xml:space="preserve">: see </w:t>
      </w:r>
      <w:r w:rsidR="00C77BEE" w:rsidRPr="004E2103">
        <w:rPr>
          <w:i/>
        </w:rPr>
        <w:t xml:space="preserve">National Australia Bank Ltd v New South Wales </w:t>
      </w:r>
      <w:r w:rsidR="00C77BEE" w:rsidRPr="004E2103">
        <w:t>[2009] FCA 1066; (2009) 260 ALR 115</w:t>
      </w:r>
      <w:r w:rsidR="00C77BEE">
        <w:t xml:space="preserve"> at [24] (Rares J); </w:t>
      </w:r>
      <w:r w:rsidR="00C77BEE" w:rsidRPr="004E2103">
        <w:rPr>
          <w:i/>
        </w:rPr>
        <w:t xml:space="preserve">Commonwealth Bank of Australia v State of Queensland, in the matter of </w:t>
      </w:r>
      <w:proofErr w:type="spellStart"/>
      <w:r w:rsidR="00C77BEE" w:rsidRPr="004E2103">
        <w:rPr>
          <w:i/>
        </w:rPr>
        <w:t>Hewton</w:t>
      </w:r>
      <w:proofErr w:type="spellEnd"/>
      <w:r w:rsidR="00C77BEE" w:rsidRPr="004E2103">
        <w:t xml:space="preserve"> [2021] FCA 22</w:t>
      </w:r>
      <w:r w:rsidR="00C77BEE">
        <w:t xml:space="preserve"> at [22] (Derrington J)</w:t>
      </w:r>
      <w:r w:rsidR="00B45908">
        <w:t>.</w:t>
      </w:r>
    </w:p>
    <w:p w:rsidR="00B45908" w:rsidRPr="00C77BEE" w:rsidRDefault="009E0708" w:rsidP="009E0708">
      <w:pPr>
        <w:pStyle w:val="ParaNumbering"/>
        <w:numPr>
          <w:ilvl w:val="0"/>
          <w:numId w:val="0"/>
        </w:numPr>
        <w:ind w:hanging="720"/>
      </w:pPr>
      <w:r w:rsidRPr="00C77BEE">
        <w:rPr>
          <w:sz w:val="20"/>
        </w:rPr>
        <w:t>47</w:t>
      </w:r>
      <w:r w:rsidRPr="00C77BEE">
        <w:rPr>
          <w:sz w:val="20"/>
        </w:rPr>
        <w:tab/>
      </w:r>
      <w:r w:rsidR="00C77BEE" w:rsidRPr="007B2BFB">
        <w:rPr>
          <w:i/>
        </w:rPr>
        <w:t>Finally</w:t>
      </w:r>
      <w:r w:rsidR="00C77BEE">
        <w:t>, neither respondent opposed the application.</w:t>
      </w:r>
    </w:p>
    <w:p w:rsidR="00895956" w:rsidRDefault="009E0708" w:rsidP="002271F1">
      <w:pPr>
        <w:pStyle w:val="Heading1"/>
      </w:pPr>
      <w:r>
        <w:rPr>
          <w:caps w:val="0"/>
        </w:rPr>
        <w:t>CONCLUSION</w:t>
      </w:r>
    </w:p>
    <w:p w:rsidR="002271F1" w:rsidRDefault="009E0708" w:rsidP="009E0708">
      <w:pPr>
        <w:pStyle w:val="ParaNumbering"/>
        <w:numPr>
          <w:ilvl w:val="0"/>
          <w:numId w:val="0"/>
        </w:numPr>
        <w:ind w:hanging="720"/>
      </w:pPr>
      <w:r>
        <w:rPr>
          <w:sz w:val="20"/>
        </w:rPr>
        <w:t>48</w:t>
      </w:r>
      <w:r>
        <w:rPr>
          <w:sz w:val="20"/>
        </w:rPr>
        <w:tab/>
      </w:r>
      <w:r w:rsidR="0089163C">
        <w:t xml:space="preserve">An order should be made that one half share as tenant in common of the estate in fee simple for the property known as 47 Kearsley Selections Road, Kearsley in the State of New South </w:t>
      </w:r>
      <w:r w:rsidR="0089163C">
        <w:lastRenderedPageBreak/>
        <w:t xml:space="preserve">Wales, being the property comprised in folio identifier 149/755259, vest in </w:t>
      </w:r>
      <w:r w:rsidR="000B4560">
        <w:t xml:space="preserve">the applicant </w:t>
      </w:r>
      <w:r w:rsidR="0089163C">
        <w:t>in his capacity as trustee of the bankrupt estate of Christopher Williams, subject to the caveat lodged by the second respondent.</w:t>
      </w:r>
    </w:p>
    <w:p w:rsidR="0089163C" w:rsidRDefault="009E0708" w:rsidP="009E0708">
      <w:pPr>
        <w:pStyle w:val="ParaNumbering"/>
        <w:numPr>
          <w:ilvl w:val="0"/>
          <w:numId w:val="0"/>
        </w:numPr>
        <w:ind w:hanging="720"/>
      </w:pPr>
      <w:r>
        <w:rPr>
          <w:sz w:val="20"/>
        </w:rPr>
        <w:t>49</w:t>
      </w:r>
      <w:r>
        <w:rPr>
          <w:sz w:val="20"/>
        </w:rPr>
        <w:tab/>
      </w:r>
      <w:r w:rsidR="0089163C">
        <w:t>It is appropriate that the applicant’s costs be paid from the bankrupt estate of Mr Williams.</w:t>
      </w:r>
    </w:p>
    <w:p w:rsidR="00F227CC" w:rsidRDefault="00F227CC" w:rsidP="00815065">
      <w:pPr>
        <w:pStyle w:val="BodyText"/>
      </w:pPr>
      <w:bookmarkStart w:id="25" w:name="Certification"/>
    </w:p>
    <w:tbl>
      <w:tblPr>
        <w:tblW w:w="0" w:type="auto"/>
        <w:tblLook w:val="04A0" w:firstRow="1" w:lastRow="0" w:firstColumn="1" w:lastColumn="0" w:noHBand="0" w:noVBand="1"/>
      </w:tblPr>
      <w:tblGrid>
        <w:gridCol w:w="3794"/>
      </w:tblGrid>
      <w:tr w:rsidR="00F227CC" w:rsidRPr="00F227CC">
        <w:tc>
          <w:tcPr>
            <w:tcW w:w="3794" w:type="dxa"/>
            <w:shd w:val="clear" w:color="auto" w:fill="auto"/>
          </w:tcPr>
          <w:p w:rsidR="00F227CC" w:rsidRPr="00F227CC" w:rsidRDefault="00F227CC" w:rsidP="00F227CC">
            <w:pPr>
              <w:pStyle w:val="Normal1linespace"/>
            </w:pPr>
            <w:r w:rsidRPr="00F227CC">
              <w:t xml:space="preserve">I certify that the preceding </w:t>
            </w:r>
            <w:bookmarkStart w:id="26" w:name="NumberWord"/>
            <w:r w:rsidR="0089163C">
              <w:t>forty-nine</w:t>
            </w:r>
            <w:bookmarkEnd w:id="26"/>
            <w:r w:rsidRPr="00F227CC">
              <w:t xml:space="preserve"> (</w:t>
            </w:r>
            <w:bookmarkStart w:id="27" w:name="NumberNumeral"/>
            <w:r w:rsidR="0089163C">
              <w:t>49</w:t>
            </w:r>
            <w:bookmarkEnd w:id="27"/>
            <w:r w:rsidRPr="00F227CC">
              <w:t xml:space="preserve">) numbered </w:t>
            </w:r>
            <w:bookmarkStart w:id="28" w:name="CertPara"/>
            <w:r w:rsidR="0089163C">
              <w:t>paragraphs are</w:t>
            </w:r>
            <w:bookmarkEnd w:id="28"/>
            <w:r w:rsidRPr="00F227CC">
              <w:t xml:space="preserve"> a true copy of the Reasons for Judgment of </w:t>
            </w:r>
            <w:bookmarkStart w:id="29" w:name="bkHonourable"/>
            <w:r w:rsidRPr="00F227CC">
              <w:t xml:space="preserve">the Honourable </w:t>
            </w:r>
            <w:bookmarkStart w:id="30" w:name="Justice"/>
            <w:bookmarkEnd w:id="29"/>
            <w:r w:rsidR="0089163C">
              <w:t>Justice Goodman</w:t>
            </w:r>
            <w:bookmarkEnd w:id="30"/>
            <w:r w:rsidRPr="00F227CC">
              <w:t>.</w:t>
            </w:r>
          </w:p>
        </w:tc>
      </w:tr>
    </w:tbl>
    <w:p w:rsidR="00F227CC" w:rsidRDefault="00F227CC" w:rsidP="00815065">
      <w:pPr>
        <w:pStyle w:val="BodyText"/>
      </w:pPr>
    </w:p>
    <w:p w:rsidR="00F227CC" w:rsidRDefault="00F227CC" w:rsidP="00815065">
      <w:pPr>
        <w:pStyle w:val="BodyText"/>
      </w:pPr>
    </w:p>
    <w:p w:rsidR="00F227CC" w:rsidRDefault="00F227CC" w:rsidP="00815065">
      <w:pPr>
        <w:pStyle w:val="BodyText"/>
      </w:pPr>
      <w:r>
        <w:t>Associate:</w:t>
      </w:r>
      <w:r w:rsidR="008A559C">
        <w:tab/>
      </w:r>
      <w:bookmarkStart w:id="31" w:name="_GoBack"/>
      <w:bookmarkEnd w:id="31"/>
    </w:p>
    <w:p w:rsidR="00F227CC" w:rsidRDefault="00F227CC" w:rsidP="00815065">
      <w:pPr>
        <w:pStyle w:val="BodyText"/>
      </w:pPr>
    </w:p>
    <w:p w:rsidR="00F227CC" w:rsidRDefault="00F227CC" w:rsidP="00815065">
      <w:pPr>
        <w:pStyle w:val="BodyText"/>
        <w:tabs>
          <w:tab w:val="left" w:pos="1134"/>
        </w:tabs>
      </w:pPr>
      <w:r>
        <w:t>Dated:</w:t>
      </w:r>
      <w:r>
        <w:tab/>
      </w:r>
      <w:r w:rsidR="008A559C">
        <w:t>29 June 2022</w:t>
      </w:r>
    </w:p>
    <w:p w:rsidR="00F227CC" w:rsidRDefault="00F227CC" w:rsidP="00815065">
      <w:pPr>
        <w:pStyle w:val="BodyText"/>
      </w:pPr>
    </w:p>
    <w:bookmarkEnd w:id="25"/>
    <w:p w:rsidR="00F227CC" w:rsidRPr="002271F1" w:rsidRDefault="00F227CC" w:rsidP="00F227CC">
      <w:pPr>
        <w:pStyle w:val="BodyText"/>
      </w:pPr>
    </w:p>
    <w:sectPr w:rsidR="00F227CC" w:rsidRPr="002271F1" w:rsidSect="00A84FD0">
      <w:headerReference w:type="even" r:id="rId23"/>
      <w:headerReference w:type="default" r:id="rId24"/>
      <w:footerReference w:type="default" r:id="rId25"/>
      <w:headerReference w:type="first" r:id="rId26"/>
      <w:footerReference w:type="first" r:id="rId2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B48" w:rsidRDefault="00B84B48">
      <w:pPr>
        <w:spacing w:line="20" w:lineRule="exact"/>
      </w:pPr>
    </w:p>
    <w:p w:rsidR="00B84B48" w:rsidRDefault="00B84B48"/>
    <w:p w:rsidR="00B84B48" w:rsidRDefault="00B84B48"/>
  </w:endnote>
  <w:endnote w:type="continuationSeparator" w:id="0">
    <w:p w:rsidR="00B84B48" w:rsidRDefault="00B84B48">
      <w:r>
        <w:t xml:space="preserve"> </w:t>
      </w:r>
    </w:p>
    <w:p w:rsidR="00B84B48" w:rsidRDefault="00B84B48"/>
    <w:p w:rsidR="00B84B48" w:rsidRDefault="00B84B48"/>
  </w:endnote>
  <w:endnote w:type="continuationNotice" w:id="1">
    <w:p w:rsidR="00B84B48" w:rsidRDefault="00B84B48">
      <w:r>
        <w:t xml:space="preserve"> </w:t>
      </w:r>
    </w:p>
    <w:p w:rsidR="00B84B48" w:rsidRDefault="00B84B48"/>
    <w:p w:rsidR="00B84B48" w:rsidRDefault="00B84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1D" w:rsidRDefault="00FD6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2A" w:rsidRPr="00C47B9D" w:rsidRDefault="005B052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5243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564E8">
          <w:rPr>
            <w:bCs/>
            <w:sz w:val="18"/>
            <w:szCs w:val="18"/>
          </w:rPr>
          <w:t>Lucan (Trustee) v State of New South Wales, in the matter of the Bankrupt Estate of Williams [2022] FCA 751</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2A" w:rsidRPr="00FD681D" w:rsidRDefault="005B052A" w:rsidP="00FD68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2A" w:rsidRPr="00C47B9D" w:rsidRDefault="005B052A"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378C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48B90D85F7444E18BEE99EA50A85EC10"/>
        </w:placeholder>
        <w:dataBinding w:prefixMappings="xmlns:ns0='http://schemas.globalmacros.com/FCA'" w:xpath="/ns0:root[1]/ns0:Name[1]" w:storeItemID="{687E7CCB-4AA5-44E7-B148-17BA2B6F57C0}"/>
        <w:text w:multiLine="1"/>
      </w:sdtPr>
      <w:sdtEndPr/>
      <w:sdtContent>
        <w:r w:rsidR="008564E8">
          <w:rPr>
            <w:bCs/>
            <w:sz w:val="18"/>
            <w:szCs w:val="18"/>
          </w:rPr>
          <w:t>Lucan (Trustee) v State of New South Wales, in the matter of the Bankrupt Estate of Williams [2022] FCA 751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2A" w:rsidRPr="00C47B9D" w:rsidRDefault="005B052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192C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74336DFFC2F4382940040F4819BB97A"/>
        </w:placeholder>
        <w:dataBinding w:prefixMappings="xmlns:ns0='http://schemas.globalmacros.com/FCA'" w:xpath="/ns0:root[1]/ns0:Name[1]" w:storeItemID="{687E7CCB-4AA5-44E7-B148-17BA2B6F57C0}"/>
        <w:text w:multiLine="1"/>
      </w:sdtPr>
      <w:sdtEndPr/>
      <w:sdtContent>
        <w:r w:rsidR="008564E8">
          <w:rPr>
            <w:bCs/>
            <w:sz w:val="18"/>
            <w:szCs w:val="18"/>
          </w:rPr>
          <w:t>Lucan (Trustee) v State of New South Wales, in the matter of the Bankrupt Estate of Williams [2022] FCA 751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A0ABB">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2A" w:rsidRPr="00C47B9D" w:rsidRDefault="005B052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80D6A"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DA7500C47E0D4ADAA59CA5A72DE55482"/>
        </w:placeholder>
        <w:dataBinding w:prefixMappings="xmlns:ns0='http://schemas.globalmacros.com/FCA'" w:xpath="/ns0:root[1]/ns0:Name[1]" w:storeItemID="{687E7CCB-4AA5-44E7-B148-17BA2B6F57C0}"/>
        <w:text w:multiLine="1"/>
      </w:sdtPr>
      <w:sdtEndPr/>
      <w:sdtContent>
        <w:r w:rsidR="008564E8">
          <w:rPr>
            <w:bCs/>
            <w:sz w:val="18"/>
            <w:szCs w:val="18"/>
          </w:rPr>
          <w:t>Lucan (Trustee) v State of New South Wales, in the matter of the Bankrupt Estate of Williams [2022] FCA 751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A0ABB">
      <w:rPr>
        <w:bCs/>
        <w:noProof/>
        <w:sz w:val="20"/>
      </w:rPr>
      <w:t>9</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2A" w:rsidRPr="00C47B9D" w:rsidRDefault="005B052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CC1B6"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E661C19CC78D441D867C6E0C6F679443"/>
        </w:placeholder>
        <w:dataBinding w:prefixMappings="xmlns:ns0='http://schemas.globalmacros.com/FCA'" w:xpath="/ns0:root[1]/ns0:Name[1]" w:storeItemID="{687E7CCB-4AA5-44E7-B148-17BA2B6F57C0}"/>
        <w:text w:multiLine="1"/>
      </w:sdtPr>
      <w:sdtEndPr/>
      <w:sdtContent>
        <w:r w:rsidR="008564E8">
          <w:rPr>
            <w:bCs/>
            <w:sz w:val="18"/>
            <w:szCs w:val="18"/>
          </w:rPr>
          <w:t>Lucan (Trustee) v State of New South Wales, in the matter of the Bankrupt Estate of Williams [2022] FCA 751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A0ABB">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B48" w:rsidRDefault="00B84B48"/>
  </w:footnote>
  <w:footnote w:type="continuationSeparator" w:id="0">
    <w:p w:rsidR="00B84B48" w:rsidRDefault="00B84B48">
      <w:r>
        <w:continuationSeparator/>
      </w:r>
    </w:p>
    <w:p w:rsidR="00B84B48" w:rsidRDefault="00B84B48"/>
    <w:p w:rsidR="00B84B48" w:rsidRDefault="00B84B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1D" w:rsidRDefault="00FD6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1D" w:rsidRDefault="00FD6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1D" w:rsidRDefault="00FD68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2A" w:rsidRDefault="005B052A">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2A" w:rsidRDefault="005B052A">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2A" w:rsidRDefault="005B052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2A" w:rsidRDefault="005B052A">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2A" w:rsidRDefault="005B052A"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5E88260E"/>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A1B4647"/>
    <w:multiLevelType w:val="multilevel"/>
    <w:tmpl w:val="B2D8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6DB6533"/>
    <w:multiLevelType w:val="hybridMultilevel"/>
    <w:tmpl w:val="1D64D532"/>
    <w:lvl w:ilvl="0" w:tplc="5F665B12">
      <w:start w:val="1"/>
      <w:numFmt w:val="decimal"/>
      <w:lvlText w:val="(%1)"/>
      <w:lvlJc w:val="left"/>
      <w:pPr>
        <w:ind w:left="1218" w:hanging="360"/>
      </w:pPr>
      <w:rPr>
        <w:rFonts w:hint="default"/>
        <w:i w:val="0"/>
        <w:sz w:val="22"/>
      </w:rPr>
    </w:lvl>
    <w:lvl w:ilvl="1" w:tplc="0C090019" w:tentative="1">
      <w:start w:val="1"/>
      <w:numFmt w:val="lowerLetter"/>
      <w:lvlText w:val="%2."/>
      <w:lvlJc w:val="left"/>
      <w:pPr>
        <w:ind w:left="1938" w:hanging="360"/>
      </w:pPr>
    </w:lvl>
    <w:lvl w:ilvl="2" w:tplc="0C09001B" w:tentative="1">
      <w:start w:val="1"/>
      <w:numFmt w:val="lowerRoman"/>
      <w:lvlText w:val="%3."/>
      <w:lvlJc w:val="right"/>
      <w:pPr>
        <w:ind w:left="2658" w:hanging="180"/>
      </w:pPr>
    </w:lvl>
    <w:lvl w:ilvl="3" w:tplc="0C09000F" w:tentative="1">
      <w:start w:val="1"/>
      <w:numFmt w:val="decimal"/>
      <w:lvlText w:val="%4."/>
      <w:lvlJc w:val="left"/>
      <w:pPr>
        <w:ind w:left="3378" w:hanging="360"/>
      </w:pPr>
    </w:lvl>
    <w:lvl w:ilvl="4" w:tplc="0C090019" w:tentative="1">
      <w:start w:val="1"/>
      <w:numFmt w:val="lowerLetter"/>
      <w:lvlText w:val="%5."/>
      <w:lvlJc w:val="left"/>
      <w:pPr>
        <w:ind w:left="4098" w:hanging="360"/>
      </w:pPr>
    </w:lvl>
    <w:lvl w:ilvl="5" w:tplc="0C09001B" w:tentative="1">
      <w:start w:val="1"/>
      <w:numFmt w:val="lowerRoman"/>
      <w:lvlText w:val="%6."/>
      <w:lvlJc w:val="right"/>
      <w:pPr>
        <w:ind w:left="4818" w:hanging="180"/>
      </w:pPr>
    </w:lvl>
    <w:lvl w:ilvl="6" w:tplc="0C09000F" w:tentative="1">
      <w:start w:val="1"/>
      <w:numFmt w:val="decimal"/>
      <w:lvlText w:val="%7."/>
      <w:lvlJc w:val="left"/>
      <w:pPr>
        <w:ind w:left="5538" w:hanging="360"/>
      </w:pPr>
    </w:lvl>
    <w:lvl w:ilvl="7" w:tplc="0C090019" w:tentative="1">
      <w:start w:val="1"/>
      <w:numFmt w:val="lowerLetter"/>
      <w:lvlText w:val="%8."/>
      <w:lvlJc w:val="left"/>
      <w:pPr>
        <w:ind w:left="6258" w:hanging="360"/>
      </w:pPr>
    </w:lvl>
    <w:lvl w:ilvl="8" w:tplc="0C09001B" w:tentative="1">
      <w:start w:val="1"/>
      <w:numFmt w:val="lowerRoman"/>
      <w:lvlText w:val="%9."/>
      <w:lvlJc w:val="right"/>
      <w:pPr>
        <w:ind w:left="6978" w:hanging="180"/>
      </w:p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2FFA4D0E"/>
    <w:multiLevelType w:val="hybridMultilevel"/>
    <w:tmpl w:val="8C9E362E"/>
    <w:lvl w:ilvl="0" w:tplc="7F1AA9AA">
      <w:start w:val="1"/>
      <w:numFmt w:val="decimal"/>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3"/>
  </w:num>
  <w:num w:numId="14">
    <w:abstractNumId w:val="24"/>
  </w:num>
  <w:num w:numId="15">
    <w:abstractNumId w:val="27"/>
  </w:num>
  <w:num w:numId="16">
    <w:abstractNumId w:val="14"/>
  </w:num>
  <w:num w:numId="17">
    <w:abstractNumId w:val="26"/>
  </w:num>
  <w:num w:numId="18">
    <w:abstractNumId w:val="11"/>
  </w:num>
  <w:num w:numId="19">
    <w:abstractNumId w:val="21"/>
  </w:num>
  <w:num w:numId="20">
    <w:abstractNumId w:val="17"/>
  </w:num>
  <w:num w:numId="21">
    <w:abstractNumId w:val="18"/>
  </w:num>
  <w:num w:numId="22">
    <w:abstractNumId w:val="22"/>
  </w:num>
  <w:num w:numId="23">
    <w:abstractNumId w:val="10"/>
  </w:num>
  <w:num w:numId="24">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i w:val="0"/>
        </w:rPr>
      </w:lvl>
    </w:lvlOverride>
    <w:lvlOverride w:ilvl="1">
      <w:lvl w:ilvl="1">
        <w:start w:val="1"/>
        <w:numFmt w:val="lowerRoman"/>
        <w:pStyle w:val="ListNo2alt"/>
        <w:lvlText w:val="(%2)"/>
        <w:lvlJc w:val="left"/>
        <w:pPr>
          <w:tabs>
            <w:tab w:val="num" w:pos="1440"/>
          </w:tabs>
          <w:ind w:left="1440" w:hanging="720"/>
        </w:pPr>
        <w:rPr>
          <w:rFonts w:hint="default"/>
          <w:b w:val="0"/>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abstractNumId w:val="12"/>
  </w:num>
  <w:num w:numId="26">
    <w:abstractNumId w:val="20"/>
  </w:num>
  <w:num w:numId="27">
    <w:abstractNumId w:val="20"/>
  </w:num>
  <w:num w:numId="2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8"/>
    </w:lvlOverride>
  </w:num>
  <w:num w:numId="43">
    <w:abstractNumId w:val="13"/>
    <w:lvlOverride w:ilvl="0">
      <w:startOverride w:val="9"/>
    </w:lvlOverride>
  </w:num>
  <w:num w:numId="44">
    <w:abstractNumId w:val="13"/>
    <w:lvlOverride w:ilvl="0">
      <w:startOverride w:val="10"/>
    </w:lvlOverride>
  </w:num>
  <w:num w:numId="45">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00"/>
    <w:rsid w:val="00000747"/>
    <w:rsid w:val="000033A9"/>
    <w:rsid w:val="0000492A"/>
    <w:rsid w:val="000115C5"/>
    <w:rsid w:val="0001469E"/>
    <w:rsid w:val="00015993"/>
    <w:rsid w:val="00021CCB"/>
    <w:rsid w:val="00022289"/>
    <w:rsid w:val="000237E9"/>
    <w:rsid w:val="000238B4"/>
    <w:rsid w:val="000261D0"/>
    <w:rsid w:val="00027398"/>
    <w:rsid w:val="0003201A"/>
    <w:rsid w:val="0003207A"/>
    <w:rsid w:val="00032F9F"/>
    <w:rsid w:val="00041C07"/>
    <w:rsid w:val="00044A00"/>
    <w:rsid w:val="00045BB7"/>
    <w:rsid w:val="00054A7D"/>
    <w:rsid w:val="00055719"/>
    <w:rsid w:val="0005641B"/>
    <w:rsid w:val="0006196A"/>
    <w:rsid w:val="000650F0"/>
    <w:rsid w:val="00071FB3"/>
    <w:rsid w:val="00077768"/>
    <w:rsid w:val="00081497"/>
    <w:rsid w:val="000831EC"/>
    <w:rsid w:val="00084126"/>
    <w:rsid w:val="00085255"/>
    <w:rsid w:val="000A2E76"/>
    <w:rsid w:val="000A4807"/>
    <w:rsid w:val="000A4BE4"/>
    <w:rsid w:val="000B4560"/>
    <w:rsid w:val="000C023E"/>
    <w:rsid w:val="000C405D"/>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315C"/>
    <w:rsid w:val="00134964"/>
    <w:rsid w:val="001351B9"/>
    <w:rsid w:val="00135561"/>
    <w:rsid w:val="00140398"/>
    <w:rsid w:val="001533CB"/>
    <w:rsid w:val="00155CD2"/>
    <w:rsid w:val="001727A4"/>
    <w:rsid w:val="0017376C"/>
    <w:rsid w:val="001738AB"/>
    <w:rsid w:val="00173D76"/>
    <w:rsid w:val="001765E0"/>
    <w:rsid w:val="00177759"/>
    <w:rsid w:val="00180BB3"/>
    <w:rsid w:val="00185DD6"/>
    <w:rsid w:val="00185E6B"/>
    <w:rsid w:val="00187BBC"/>
    <w:rsid w:val="00192B32"/>
    <w:rsid w:val="001932F3"/>
    <w:rsid w:val="00196EB3"/>
    <w:rsid w:val="001A2B40"/>
    <w:rsid w:val="001A4309"/>
    <w:rsid w:val="001A46AE"/>
    <w:rsid w:val="001A6C52"/>
    <w:rsid w:val="001B1053"/>
    <w:rsid w:val="001B14AC"/>
    <w:rsid w:val="001B4626"/>
    <w:rsid w:val="001B7940"/>
    <w:rsid w:val="001C171A"/>
    <w:rsid w:val="001C2FE0"/>
    <w:rsid w:val="001C37CA"/>
    <w:rsid w:val="001C4085"/>
    <w:rsid w:val="001C4CD5"/>
    <w:rsid w:val="001D16B5"/>
    <w:rsid w:val="001D4303"/>
    <w:rsid w:val="001D6746"/>
    <w:rsid w:val="001E0C61"/>
    <w:rsid w:val="001E2283"/>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304"/>
    <w:rsid w:val="00217AC4"/>
    <w:rsid w:val="00221461"/>
    <w:rsid w:val="00224537"/>
    <w:rsid w:val="002271F1"/>
    <w:rsid w:val="00235956"/>
    <w:rsid w:val="00243E5E"/>
    <w:rsid w:val="002467A6"/>
    <w:rsid w:val="00247C9A"/>
    <w:rsid w:val="0025160C"/>
    <w:rsid w:val="00252BEC"/>
    <w:rsid w:val="002535D0"/>
    <w:rsid w:val="002539B3"/>
    <w:rsid w:val="00256336"/>
    <w:rsid w:val="00257C3E"/>
    <w:rsid w:val="002602C2"/>
    <w:rsid w:val="002666C9"/>
    <w:rsid w:val="00266F9B"/>
    <w:rsid w:val="00270136"/>
    <w:rsid w:val="00270FD7"/>
    <w:rsid w:val="00274F5B"/>
    <w:rsid w:val="00280836"/>
    <w:rsid w:val="00282E1A"/>
    <w:rsid w:val="002840F1"/>
    <w:rsid w:val="00285922"/>
    <w:rsid w:val="00287E3D"/>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01FA"/>
    <w:rsid w:val="002F1E49"/>
    <w:rsid w:val="002F4E9C"/>
    <w:rsid w:val="002F6E15"/>
    <w:rsid w:val="00302F4E"/>
    <w:rsid w:val="003043E3"/>
    <w:rsid w:val="0031256C"/>
    <w:rsid w:val="003148B1"/>
    <w:rsid w:val="00314D6C"/>
    <w:rsid w:val="00316D2A"/>
    <w:rsid w:val="003206F3"/>
    <w:rsid w:val="00322A7C"/>
    <w:rsid w:val="00322EEC"/>
    <w:rsid w:val="00323061"/>
    <w:rsid w:val="003341CB"/>
    <w:rsid w:val="003402D3"/>
    <w:rsid w:val="0034068E"/>
    <w:rsid w:val="00343ABC"/>
    <w:rsid w:val="003463FE"/>
    <w:rsid w:val="003472FC"/>
    <w:rsid w:val="00347D41"/>
    <w:rsid w:val="003554B3"/>
    <w:rsid w:val="00356632"/>
    <w:rsid w:val="00357C7E"/>
    <w:rsid w:val="00362088"/>
    <w:rsid w:val="00365085"/>
    <w:rsid w:val="003653B6"/>
    <w:rsid w:val="00370327"/>
    <w:rsid w:val="00374CC4"/>
    <w:rsid w:val="003774B2"/>
    <w:rsid w:val="00380F2D"/>
    <w:rsid w:val="003845A9"/>
    <w:rsid w:val="003850C9"/>
    <w:rsid w:val="00385B88"/>
    <w:rsid w:val="00390883"/>
    <w:rsid w:val="003922F8"/>
    <w:rsid w:val="0039397E"/>
    <w:rsid w:val="00395B24"/>
    <w:rsid w:val="003A2D38"/>
    <w:rsid w:val="003A7ECC"/>
    <w:rsid w:val="003B2C72"/>
    <w:rsid w:val="003B58B4"/>
    <w:rsid w:val="003C1333"/>
    <w:rsid w:val="003C20FF"/>
    <w:rsid w:val="003C550A"/>
    <w:rsid w:val="003C6055"/>
    <w:rsid w:val="003D2650"/>
    <w:rsid w:val="003D560C"/>
    <w:rsid w:val="003D5C00"/>
    <w:rsid w:val="003D60D1"/>
    <w:rsid w:val="003E3154"/>
    <w:rsid w:val="003E4A45"/>
    <w:rsid w:val="003E5874"/>
    <w:rsid w:val="003E706A"/>
    <w:rsid w:val="003E72D3"/>
    <w:rsid w:val="003F193E"/>
    <w:rsid w:val="003F242C"/>
    <w:rsid w:val="003F34F1"/>
    <w:rsid w:val="004031D8"/>
    <w:rsid w:val="004058EF"/>
    <w:rsid w:val="004064CC"/>
    <w:rsid w:val="004104B6"/>
    <w:rsid w:val="00411AE8"/>
    <w:rsid w:val="00413B74"/>
    <w:rsid w:val="004342F3"/>
    <w:rsid w:val="00435C5F"/>
    <w:rsid w:val="00436155"/>
    <w:rsid w:val="00436460"/>
    <w:rsid w:val="00441E98"/>
    <w:rsid w:val="00450F3A"/>
    <w:rsid w:val="004532F7"/>
    <w:rsid w:val="004548F2"/>
    <w:rsid w:val="00464D51"/>
    <w:rsid w:val="00472027"/>
    <w:rsid w:val="004804CF"/>
    <w:rsid w:val="00483314"/>
    <w:rsid w:val="00484962"/>
    <w:rsid w:val="00484F6D"/>
    <w:rsid w:val="00484FB7"/>
    <w:rsid w:val="0048554D"/>
    <w:rsid w:val="0049338A"/>
    <w:rsid w:val="00493A16"/>
    <w:rsid w:val="0049417F"/>
    <w:rsid w:val="00496D41"/>
    <w:rsid w:val="004A4BB6"/>
    <w:rsid w:val="004A6602"/>
    <w:rsid w:val="004B3EFA"/>
    <w:rsid w:val="004C2A87"/>
    <w:rsid w:val="004C4D7B"/>
    <w:rsid w:val="004C4ED3"/>
    <w:rsid w:val="004C667B"/>
    <w:rsid w:val="004C7ECD"/>
    <w:rsid w:val="004D2EA5"/>
    <w:rsid w:val="004D32A6"/>
    <w:rsid w:val="004D53E5"/>
    <w:rsid w:val="004D7950"/>
    <w:rsid w:val="004E2103"/>
    <w:rsid w:val="004E6DC4"/>
    <w:rsid w:val="004F21C1"/>
    <w:rsid w:val="00501A12"/>
    <w:rsid w:val="0050309C"/>
    <w:rsid w:val="0051327C"/>
    <w:rsid w:val="0051346D"/>
    <w:rsid w:val="00513EAE"/>
    <w:rsid w:val="0051434F"/>
    <w:rsid w:val="00516806"/>
    <w:rsid w:val="0052098C"/>
    <w:rsid w:val="00525A49"/>
    <w:rsid w:val="00525FCE"/>
    <w:rsid w:val="005262D1"/>
    <w:rsid w:val="00530876"/>
    <w:rsid w:val="00535613"/>
    <w:rsid w:val="005359EB"/>
    <w:rsid w:val="0054254A"/>
    <w:rsid w:val="0054500B"/>
    <w:rsid w:val="005466B5"/>
    <w:rsid w:val="00554314"/>
    <w:rsid w:val="00562829"/>
    <w:rsid w:val="005629B3"/>
    <w:rsid w:val="0057092B"/>
    <w:rsid w:val="0057128A"/>
    <w:rsid w:val="005724F6"/>
    <w:rsid w:val="00573AC4"/>
    <w:rsid w:val="005801FC"/>
    <w:rsid w:val="00585BA9"/>
    <w:rsid w:val="00587359"/>
    <w:rsid w:val="00595016"/>
    <w:rsid w:val="00597AAE"/>
    <w:rsid w:val="005A222C"/>
    <w:rsid w:val="005A4DF8"/>
    <w:rsid w:val="005A78C8"/>
    <w:rsid w:val="005B052A"/>
    <w:rsid w:val="005B1426"/>
    <w:rsid w:val="005C0A8E"/>
    <w:rsid w:val="005C1767"/>
    <w:rsid w:val="005C185C"/>
    <w:rsid w:val="005C42EF"/>
    <w:rsid w:val="005D3E86"/>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2ECF"/>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7513E"/>
    <w:rsid w:val="006779FC"/>
    <w:rsid w:val="00680A85"/>
    <w:rsid w:val="00681ADF"/>
    <w:rsid w:val="00690EE2"/>
    <w:rsid w:val="00692627"/>
    <w:rsid w:val="00693854"/>
    <w:rsid w:val="00694BEB"/>
    <w:rsid w:val="006A0E20"/>
    <w:rsid w:val="006A24E3"/>
    <w:rsid w:val="006A316B"/>
    <w:rsid w:val="006A5695"/>
    <w:rsid w:val="006B0439"/>
    <w:rsid w:val="006B3290"/>
    <w:rsid w:val="006B3904"/>
    <w:rsid w:val="006B5B7D"/>
    <w:rsid w:val="006C4AC9"/>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2785A"/>
    <w:rsid w:val="007325D9"/>
    <w:rsid w:val="0073413F"/>
    <w:rsid w:val="0073583B"/>
    <w:rsid w:val="007360CA"/>
    <w:rsid w:val="0074667B"/>
    <w:rsid w:val="007470BD"/>
    <w:rsid w:val="00750717"/>
    <w:rsid w:val="00760EC0"/>
    <w:rsid w:val="007711BD"/>
    <w:rsid w:val="0078003A"/>
    <w:rsid w:val="00780771"/>
    <w:rsid w:val="007929CF"/>
    <w:rsid w:val="0079430B"/>
    <w:rsid w:val="007955F6"/>
    <w:rsid w:val="00797BA8"/>
    <w:rsid w:val="007A081D"/>
    <w:rsid w:val="007A49E7"/>
    <w:rsid w:val="007A6F28"/>
    <w:rsid w:val="007B03C6"/>
    <w:rsid w:val="007B0DB1"/>
    <w:rsid w:val="007B2BFB"/>
    <w:rsid w:val="007B5673"/>
    <w:rsid w:val="007B7238"/>
    <w:rsid w:val="007B76FF"/>
    <w:rsid w:val="007C3BF6"/>
    <w:rsid w:val="007C5693"/>
    <w:rsid w:val="007C67B3"/>
    <w:rsid w:val="007D0FD2"/>
    <w:rsid w:val="007D2EF8"/>
    <w:rsid w:val="007D561F"/>
    <w:rsid w:val="007D7FD2"/>
    <w:rsid w:val="007E13D9"/>
    <w:rsid w:val="007E2AEC"/>
    <w:rsid w:val="007E41BE"/>
    <w:rsid w:val="007E4DB6"/>
    <w:rsid w:val="007E6733"/>
    <w:rsid w:val="007E7CD4"/>
    <w:rsid w:val="007F0276"/>
    <w:rsid w:val="007F12AC"/>
    <w:rsid w:val="007F4501"/>
    <w:rsid w:val="007F60DF"/>
    <w:rsid w:val="00801800"/>
    <w:rsid w:val="00801861"/>
    <w:rsid w:val="00801B5B"/>
    <w:rsid w:val="00805A30"/>
    <w:rsid w:val="008110A5"/>
    <w:rsid w:val="008216E7"/>
    <w:rsid w:val="00823616"/>
    <w:rsid w:val="0082472D"/>
    <w:rsid w:val="00825BE6"/>
    <w:rsid w:val="008276B4"/>
    <w:rsid w:val="00831927"/>
    <w:rsid w:val="00833EE4"/>
    <w:rsid w:val="00837288"/>
    <w:rsid w:val="00841BD3"/>
    <w:rsid w:val="0084273D"/>
    <w:rsid w:val="00844E3F"/>
    <w:rsid w:val="00845A83"/>
    <w:rsid w:val="00846BB9"/>
    <w:rsid w:val="008564E8"/>
    <w:rsid w:val="008649D5"/>
    <w:rsid w:val="00866534"/>
    <w:rsid w:val="00866BE2"/>
    <w:rsid w:val="008712BB"/>
    <w:rsid w:val="00881F7B"/>
    <w:rsid w:val="008830E7"/>
    <w:rsid w:val="0088563F"/>
    <w:rsid w:val="00890EDE"/>
    <w:rsid w:val="0089163C"/>
    <w:rsid w:val="00892B38"/>
    <w:rsid w:val="00895956"/>
    <w:rsid w:val="008A1741"/>
    <w:rsid w:val="008A2484"/>
    <w:rsid w:val="008A4745"/>
    <w:rsid w:val="008A52F3"/>
    <w:rsid w:val="008A559C"/>
    <w:rsid w:val="008C26D9"/>
    <w:rsid w:val="008C6D50"/>
    <w:rsid w:val="008C7167"/>
    <w:rsid w:val="008C7503"/>
    <w:rsid w:val="008D1617"/>
    <w:rsid w:val="008D2B5E"/>
    <w:rsid w:val="008D330F"/>
    <w:rsid w:val="008D48C1"/>
    <w:rsid w:val="008E6315"/>
    <w:rsid w:val="008F0480"/>
    <w:rsid w:val="008F07FC"/>
    <w:rsid w:val="008F11E0"/>
    <w:rsid w:val="008F3EA7"/>
    <w:rsid w:val="008F78BC"/>
    <w:rsid w:val="008F7B63"/>
    <w:rsid w:val="008F7D6A"/>
    <w:rsid w:val="00901C86"/>
    <w:rsid w:val="00903603"/>
    <w:rsid w:val="009054CB"/>
    <w:rsid w:val="00910836"/>
    <w:rsid w:val="00911F8D"/>
    <w:rsid w:val="00912091"/>
    <w:rsid w:val="00912F94"/>
    <w:rsid w:val="009171BC"/>
    <w:rsid w:val="009206A0"/>
    <w:rsid w:val="0092497E"/>
    <w:rsid w:val="0092590B"/>
    <w:rsid w:val="00925BF3"/>
    <w:rsid w:val="00925E60"/>
    <w:rsid w:val="009264B3"/>
    <w:rsid w:val="009274CB"/>
    <w:rsid w:val="00931E4C"/>
    <w:rsid w:val="00933155"/>
    <w:rsid w:val="00935D0A"/>
    <w:rsid w:val="009365E0"/>
    <w:rsid w:val="00942BA2"/>
    <w:rsid w:val="009432B7"/>
    <w:rsid w:val="00944C86"/>
    <w:rsid w:val="00947C02"/>
    <w:rsid w:val="00950BE6"/>
    <w:rsid w:val="00952AEF"/>
    <w:rsid w:val="00957DE8"/>
    <w:rsid w:val="00960ECB"/>
    <w:rsid w:val="009615D6"/>
    <w:rsid w:val="00966790"/>
    <w:rsid w:val="00967855"/>
    <w:rsid w:val="00971CD1"/>
    <w:rsid w:val="0097353E"/>
    <w:rsid w:val="00974709"/>
    <w:rsid w:val="009801AE"/>
    <w:rsid w:val="00980736"/>
    <w:rsid w:val="00981A39"/>
    <w:rsid w:val="00982D56"/>
    <w:rsid w:val="00983DBF"/>
    <w:rsid w:val="00986DAE"/>
    <w:rsid w:val="00987097"/>
    <w:rsid w:val="00991123"/>
    <w:rsid w:val="00991CAB"/>
    <w:rsid w:val="009A3A9C"/>
    <w:rsid w:val="009B046C"/>
    <w:rsid w:val="009B13FA"/>
    <w:rsid w:val="009B1960"/>
    <w:rsid w:val="009B1E2D"/>
    <w:rsid w:val="009C1DC0"/>
    <w:rsid w:val="009C59FB"/>
    <w:rsid w:val="009C6F3B"/>
    <w:rsid w:val="009D1467"/>
    <w:rsid w:val="009D328D"/>
    <w:rsid w:val="009E0708"/>
    <w:rsid w:val="009E1C3E"/>
    <w:rsid w:val="009E2FBC"/>
    <w:rsid w:val="009E4FA6"/>
    <w:rsid w:val="009E75D0"/>
    <w:rsid w:val="009E7D93"/>
    <w:rsid w:val="009F3C34"/>
    <w:rsid w:val="009F462C"/>
    <w:rsid w:val="009F5C33"/>
    <w:rsid w:val="00A026F0"/>
    <w:rsid w:val="00A03EAC"/>
    <w:rsid w:val="00A04DBB"/>
    <w:rsid w:val="00A07EA0"/>
    <w:rsid w:val="00A11CA6"/>
    <w:rsid w:val="00A128E2"/>
    <w:rsid w:val="00A20C49"/>
    <w:rsid w:val="00A22932"/>
    <w:rsid w:val="00A23DE4"/>
    <w:rsid w:val="00A24421"/>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214"/>
    <w:rsid w:val="00A56E77"/>
    <w:rsid w:val="00A61605"/>
    <w:rsid w:val="00A65F97"/>
    <w:rsid w:val="00A73B04"/>
    <w:rsid w:val="00A76C13"/>
    <w:rsid w:val="00A84FD0"/>
    <w:rsid w:val="00A85378"/>
    <w:rsid w:val="00A91CE8"/>
    <w:rsid w:val="00A92E79"/>
    <w:rsid w:val="00A950B6"/>
    <w:rsid w:val="00A95D45"/>
    <w:rsid w:val="00AA0ABB"/>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1963"/>
    <w:rsid w:val="00B4227E"/>
    <w:rsid w:val="00B4471C"/>
    <w:rsid w:val="00B451A6"/>
    <w:rsid w:val="00B45908"/>
    <w:rsid w:val="00B56D6E"/>
    <w:rsid w:val="00B64347"/>
    <w:rsid w:val="00B65DC6"/>
    <w:rsid w:val="00B67AC2"/>
    <w:rsid w:val="00B722DE"/>
    <w:rsid w:val="00B751E3"/>
    <w:rsid w:val="00B75BA6"/>
    <w:rsid w:val="00B76C44"/>
    <w:rsid w:val="00B8184A"/>
    <w:rsid w:val="00B82283"/>
    <w:rsid w:val="00B828D8"/>
    <w:rsid w:val="00B83F87"/>
    <w:rsid w:val="00B84B48"/>
    <w:rsid w:val="00B87CDC"/>
    <w:rsid w:val="00B910C1"/>
    <w:rsid w:val="00BA2CA4"/>
    <w:rsid w:val="00BA2EFA"/>
    <w:rsid w:val="00BA3DBC"/>
    <w:rsid w:val="00BA707A"/>
    <w:rsid w:val="00BB0596"/>
    <w:rsid w:val="00BB1AFB"/>
    <w:rsid w:val="00BB27AE"/>
    <w:rsid w:val="00BB2DA2"/>
    <w:rsid w:val="00BB56DC"/>
    <w:rsid w:val="00BD6929"/>
    <w:rsid w:val="00BE183D"/>
    <w:rsid w:val="00BE5CD1"/>
    <w:rsid w:val="00BF24C2"/>
    <w:rsid w:val="00BF2922"/>
    <w:rsid w:val="00BF5D7A"/>
    <w:rsid w:val="00C01C2E"/>
    <w:rsid w:val="00C02D33"/>
    <w:rsid w:val="00C04B53"/>
    <w:rsid w:val="00C1232C"/>
    <w:rsid w:val="00C27C6B"/>
    <w:rsid w:val="00C3594D"/>
    <w:rsid w:val="00C36442"/>
    <w:rsid w:val="00C400CE"/>
    <w:rsid w:val="00C404E8"/>
    <w:rsid w:val="00C410FD"/>
    <w:rsid w:val="00C457DE"/>
    <w:rsid w:val="00C47DD3"/>
    <w:rsid w:val="00C5316F"/>
    <w:rsid w:val="00C53562"/>
    <w:rsid w:val="00C539FB"/>
    <w:rsid w:val="00C66AA3"/>
    <w:rsid w:val="00C66E57"/>
    <w:rsid w:val="00C724D7"/>
    <w:rsid w:val="00C74150"/>
    <w:rsid w:val="00C75594"/>
    <w:rsid w:val="00C75C0F"/>
    <w:rsid w:val="00C77BEE"/>
    <w:rsid w:val="00C82CB6"/>
    <w:rsid w:val="00C85982"/>
    <w:rsid w:val="00CA0466"/>
    <w:rsid w:val="00CA246D"/>
    <w:rsid w:val="00CA50D9"/>
    <w:rsid w:val="00CB3054"/>
    <w:rsid w:val="00CB5636"/>
    <w:rsid w:val="00CB5F30"/>
    <w:rsid w:val="00CC3EE5"/>
    <w:rsid w:val="00CC6E47"/>
    <w:rsid w:val="00CD1346"/>
    <w:rsid w:val="00CE425C"/>
    <w:rsid w:val="00CE58AC"/>
    <w:rsid w:val="00CF5A80"/>
    <w:rsid w:val="00D01970"/>
    <w:rsid w:val="00D045EE"/>
    <w:rsid w:val="00D05091"/>
    <w:rsid w:val="00D10CA6"/>
    <w:rsid w:val="00D10F21"/>
    <w:rsid w:val="00D134CF"/>
    <w:rsid w:val="00D1573B"/>
    <w:rsid w:val="00D24806"/>
    <w:rsid w:val="00D34040"/>
    <w:rsid w:val="00D34E69"/>
    <w:rsid w:val="00D36C78"/>
    <w:rsid w:val="00D375EE"/>
    <w:rsid w:val="00D55AE8"/>
    <w:rsid w:val="00D56056"/>
    <w:rsid w:val="00D6085F"/>
    <w:rsid w:val="00D62699"/>
    <w:rsid w:val="00D778E9"/>
    <w:rsid w:val="00D812BF"/>
    <w:rsid w:val="00D82620"/>
    <w:rsid w:val="00D85707"/>
    <w:rsid w:val="00D92925"/>
    <w:rsid w:val="00D9725F"/>
    <w:rsid w:val="00DA01B1"/>
    <w:rsid w:val="00DA11A2"/>
    <w:rsid w:val="00DA14ED"/>
    <w:rsid w:val="00DA26D6"/>
    <w:rsid w:val="00DB2EF1"/>
    <w:rsid w:val="00DB3DE1"/>
    <w:rsid w:val="00DB5DA0"/>
    <w:rsid w:val="00DB716C"/>
    <w:rsid w:val="00DC5C85"/>
    <w:rsid w:val="00DC7701"/>
    <w:rsid w:val="00DC7C5D"/>
    <w:rsid w:val="00DD4236"/>
    <w:rsid w:val="00DD44F1"/>
    <w:rsid w:val="00DD6957"/>
    <w:rsid w:val="00DD6E7A"/>
    <w:rsid w:val="00DE3067"/>
    <w:rsid w:val="00DE6EC7"/>
    <w:rsid w:val="00DE78E2"/>
    <w:rsid w:val="00DF3CBA"/>
    <w:rsid w:val="00DF3EEE"/>
    <w:rsid w:val="00DF75E1"/>
    <w:rsid w:val="00E027BC"/>
    <w:rsid w:val="00E045BE"/>
    <w:rsid w:val="00E10F0D"/>
    <w:rsid w:val="00E14EA5"/>
    <w:rsid w:val="00E20078"/>
    <w:rsid w:val="00E2070E"/>
    <w:rsid w:val="00E21133"/>
    <w:rsid w:val="00E2327E"/>
    <w:rsid w:val="00E23577"/>
    <w:rsid w:val="00E266EF"/>
    <w:rsid w:val="00E3189E"/>
    <w:rsid w:val="00E326A8"/>
    <w:rsid w:val="00E44FCB"/>
    <w:rsid w:val="00E47428"/>
    <w:rsid w:val="00E56C8E"/>
    <w:rsid w:val="00E5716B"/>
    <w:rsid w:val="00E57F1F"/>
    <w:rsid w:val="00E66B9F"/>
    <w:rsid w:val="00E70725"/>
    <w:rsid w:val="00E70A6A"/>
    <w:rsid w:val="00E710D6"/>
    <w:rsid w:val="00E73DA4"/>
    <w:rsid w:val="00E76399"/>
    <w:rsid w:val="00E76E45"/>
    <w:rsid w:val="00E777C9"/>
    <w:rsid w:val="00E815DD"/>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E53D9"/>
    <w:rsid w:val="00EF3113"/>
    <w:rsid w:val="00EF3F84"/>
    <w:rsid w:val="00F16F28"/>
    <w:rsid w:val="00F172F6"/>
    <w:rsid w:val="00F176AC"/>
    <w:rsid w:val="00F227CC"/>
    <w:rsid w:val="00F26F28"/>
    <w:rsid w:val="00F27714"/>
    <w:rsid w:val="00F27E2E"/>
    <w:rsid w:val="00F3276E"/>
    <w:rsid w:val="00F33D3C"/>
    <w:rsid w:val="00F37A91"/>
    <w:rsid w:val="00F408A0"/>
    <w:rsid w:val="00F45CF5"/>
    <w:rsid w:val="00F47DB0"/>
    <w:rsid w:val="00F50C3F"/>
    <w:rsid w:val="00F50E34"/>
    <w:rsid w:val="00F51AFB"/>
    <w:rsid w:val="00F53EF7"/>
    <w:rsid w:val="00F54BF2"/>
    <w:rsid w:val="00F60A07"/>
    <w:rsid w:val="00F751C9"/>
    <w:rsid w:val="00F775AC"/>
    <w:rsid w:val="00F8739D"/>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D681D"/>
    <w:rsid w:val="00FE1B30"/>
    <w:rsid w:val="00FE7B44"/>
    <w:rsid w:val="00FF63D4"/>
    <w:rsid w:val="00FF66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1"/>
    <w:qFormat/>
    <w:rsid w:val="00935D0A"/>
    <w:pPr>
      <w:widowControl w:val="0"/>
      <w:autoSpaceDE w:val="0"/>
      <w:autoSpaceDN w:val="0"/>
      <w:spacing w:before="120" w:line="240" w:lineRule="auto"/>
      <w:ind w:left="838" w:right="153" w:hanging="720"/>
    </w:pPr>
    <w:rPr>
      <w:rFonts w:eastAsia="Times New Roman"/>
      <w:sz w:val="22"/>
      <w:szCs w:val="22"/>
      <w:lang w:val="en-US"/>
    </w:rPr>
  </w:style>
  <w:style w:type="paragraph" w:customStyle="1" w:styleId="TableParagraph">
    <w:name w:val="Table Paragraph"/>
    <w:basedOn w:val="Normal"/>
    <w:uiPriority w:val="1"/>
    <w:qFormat/>
    <w:rsid w:val="00895956"/>
    <w:pPr>
      <w:widowControl w:val="0"/>
      <w:autoSpaceDE w:val="0"/>
      <w:autoSpaceDN w:val="0"/>
      <w:spacing w:line="240" w:lineRule="auto"/>
      <w:jc w:val="left"/>
    </w:pPr>
    <w:rPr>
      <w:rFonts w:ascii="Calibri" w:eastAsia="Calibri" w:hAnsi="Calibri" w:cs="Calibri"/>
      <w:sz w:val="22"/>
      <w:szCs w:val="22"/>
      <w:lang w:val="en-US"/>
    </w:rPr>
  </w:style>
  <w:style w:type="paragraph" w:customStyle="1" w:styleId="acthead5">
    <w:name w:val="acthead5"/>
    <w:basedOn w:val="Normal"/>
    <w:rsid w:val="00F16F28"/>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F16F28"/>
  </w:style>
  <w:style w:type="paragraph" w:customStyle="1" w:styleId="subsection">
    <w:name w:val="subsection"/>
    <w:basedOn w:val="Normal"/>
    <w:rsid w:val="00F16F28"/>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F16F28"/>
    <w:pPr>
      <w:spacing w:before="100" w:beforeAutospacing="1" w:after="100" w:afterAutospacing="1" w:line="240" w:lineRule="auto"/>
      <w:jc w:val="left"/>
    </w:pPr>
    <w:rPr>
      <w:rFonts w:eastAsia="Times New Roman"/>
      <w:szCs w:val="24"/>
      <w:lang w:eastAsia="en-AU"/>
    </w:rPr>
  </w:style>
  <w:style w:type="paragraph" w:customStyle="1" w:styleId="subsection2">
    <w:name w:val="subsection2"/>
    <w:basedOn w:val="Normal"/>
    <w:rsid w:val="00F16F28"/>
    <w:pPr>
      <w:spacing w:before="100" w:beforeAutospacing="1" w:after="100" w:afterAutospacing="1" w:line="240" w:lineRule="auto"/>
      <w:jc w:val="left"/>
    </w:pPr>
    <w:rPr>
      <w:rFonts w:eastAsia="Times New Roman"/>
      <w:szCs w:val="24"/>
      <w:lang w:eastAsia="en-AU"/>
    </w:rPr>
  </w:style>
  <w:style w:type="paragraph" w:customStyle="1" w:styleId="definition">
    <w:name w:val="definition"/>
    <w:basedOn w:val="Normal"/>
    <w:rsid w:val="00F16F28"/>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40741">
      <w:bodyDiv w:val="1"/>
      <w:marLeft w:val="0"/>
      <w:marRight w:val="0"/>
      <w:marTop w:val="0"/>
      <w:marBottom w:val="0"/>
      <w:divBdr>
        <w:top w:val="none" w:sz="0" w:space="0" w:color="auto"/>
        <w:left w:val="none" w:sz="0" w:space="0" w:color="auto"/>
        <w:bottom w:val="none" w:sz="0" w:space="0" w:color="auto"/>
        <w:right w:val="none" w:sz="0" w:space="0" w:color="auto"/>
      </w:divBdr>
    </w:div>
    <w:div w:id="569075981">
      <w:bodyDiv w:val="1"/>
      <w:marLeft w:val="0"/>
      <w:marRight w:val="0"/>
      <w:marTop w:val="0"/>
      <w:marBottom w:val="0"/>
      <w:divBdr>
        <w:top w:val="none" w:sz="0" w:space="0" w:color="auto"/>
        <w:left w:val="none" w:sz="0" w:space="0" w:color="auto"/>
        <w:bottom w:val="none" w:sz="0" w:space="0" w:color="auto"/>
        <w:right w:val="none" w:sz="0" w:space="0" w:color="auto"/>
      </w:divBdr>
    </w:div>
    <w:div w:id="676731049">
      <w:bodyDiv w:val="1"/>
      <w:marLeft w:val="0"/>
      <w:marRight w:val="0"/>
      <w:marTop w:val="0"/>
      <w:marBottom w:val="0"/>
      <w:divBdr>
        <w:top w:val="none" w:sz="0" w:space="0" w:color="auto"/>
        <w:left w:val="none" w:sz="0" w:space="0" w:color="auto"/>
        <w:bottom w:val="none" w:sz="0" w:space="0" w:color="auto"/>
        <w:right w:val="none" w:sz="0" w:space="0" w:color="auto"/>
      </w:divBdr>
    </w:div>
    <w:div w:id="1183662966">
      <w:bodyDiv w:val="1"/>
      <w:marLeft w:val="0"/>
      <w:marRight w:val="0"/>
      <w:marTop w:val="0"/>
      <w:marBottom w:val="0"/>
      <w:divBdr>
        <w:top w:val="none" w:sz="0" w:space="0" w:color="auto"/>
        <w:left w:val="none" w:sz="0" w:space="0" w:color="auto"/>
        <w:bottom w:val="none" w:sz="0" w:space="0" w:color="auto"/>
        <w:right w:val="none" w:sz="0" w:space="0" w:color="auto"/>
      </w:divBdr>
    </w:div>
    <w:div w:id="1262910931">
      <w:bodyDiv w:val="1"/>
      <w:marLeft w:val="0"/>
      <w:marRight w:val="0"/>
      <w:marTop w:val="0"/>
      <w:marBottom w:val="0"/>
      <w:divBdr>
        <w:top w:val="none" w:sz="0" w:space="0" w:color="auto"/>
        <w:left w:val="none" w:sz="0" w:space="0" w:color="auto"/>
        <w:bottom w:val="none" w:sz="0" w:space="0" w:color="auto"/>
        <w:right w:val="none" w:sz="0" w:space="0" w:color="auto"/>
      </w:divBdr>
    </w:div>
    <w:div w:id="1374500995">
      <w:bodyDiv w:val="1"/>
      <w:marLeft w:val="0"/>
      <w:marRight w:val="0"/>
      <w:marTop w:val="0"/>
      <w:marBottom w:val="0"/>
      <w:divBdr>
        <w:top w:val="none" w:sz="0" w:space="0" w:color="auto"/>
        <w:left w:val="none" w:sz="0" w:space="0" w:color="auto"/>
        <w:bottom w:val="none" w:sz="0" w:space="0" w:color="auto"/>
        <w:right w:val="none" w:sz="0" w:space="0" w:color="auto"/>
      </w:divBdr>
    </w:div>
    <w:div w:id="2135980283">
      <w:bodyDiv w:val="1"/>
      <w:marLeft w:val="0"/>
      <w:marRight w:val="0"/>
      <w:marTop w:val="0"/>
      <w:marBottom w:val="0"/>
      <w:divBdr>
        <w:top w:val="none" w:sz="0" w:space="0" w:color="auto"/>
        <w:left w:val="none" w:sz="0" w:space="0" w:color="auto"/>
        <w:bottom w:val="none" w:sz="0" w:space="0" w:color="auto"/>
        <w:right w:val="none" w:sz="0" w:space="0" w:color="auto"/>
      </w:divBdr>
      <w:divsChild>
        <w:div w:id="198519776">
          <w:marLeft w:val="0"/>
          <w:marRight w:val="0"/>
          <w:marTop w:val="0"/>
          <w:marBottom w:val="0"/>
          <w:divBdr>
            <w:top w:val="none" w:sz="0" w:space="0" w:color="auto"/>
            <w:left w:val="none" w:sz="0" w:space="0" w:color="auto"/>
            <w:bottom w:val="none" w:sz="0" w:space="0" w:color="auto"/>
            <w:right w:val="none" w:sz="0" w:space="0" w:color="auto"/>
          </w:divBdr>
          <w:divsChild>
            <w:div w:id="228419541">
              <w:marLeft w:val="0"/>
              <w:marRight w:val="0"/>
              <w:marTop w:val="0"/>
              <w:marBottom w:val="0"/>
              <w:divBdr>
                <w:top w:val="none" w:sz="0" w:space="0" w:color="auto"/>
                <w:left w:val="none" w:sz="0" w:space="0" w:color="auto"/>
                <w:bottom w:val="none" w:sz="0" w:space="0" w:color="auto"/>
                <w:right w:val="none" w:sz="0" w:space="0" w:color="auto"/>
              </w:divBdr>
            </w:div>
          </w:divsChild>
        </w:div>
        <w:div w:id="2005087292">
          <w:marLeft w:val="0"/>
          <w:marRight w:val="0"/>
          <w:marTop w:val="0"/>
          <w:marBottom w:val="0"/>
          <w:divBdr>
            <w:top w:val="none" w:sz="0" w:space="0" w:color="auto"/>
            <w:left w:val="none" w:sz="0" w:space="0" w:color="auto"/>
            <w:bottom w:val="none" w:sz="0" w:space="0" w:color="auto"/>
            <w:right w:val="none" w:sz="0" w:space="0" w:color="auto"/>
          </w:divBdr>
          <w:divsChild>
            <w:div w:id="1269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yperlink" Target="http://www.austlii.edu.au/cgi-bin/viewdoc/au/legis/cth/consol_act/ca2001172/s568f.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austlii.edu.au/cgi-bin/viewdoc/au/legis/cth/consol_act/ca200117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ustlii.edu.au/cgi-bin/viewdoc/au/legis/cth/consol_act/ca2001172/s568f.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ustlii.edu.au/cgi-bin/viewdoc/au/legis/cth/consol_act/ca2001172/s568f.html" TargetMode="Externa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7150485B104262AD96BEDDCBD7A76A"/>
        <w:category>
          <w:name w:val="General"/>
          <w:gallery w:val="placeholder"/>
        </w:category>
        <w:types>
          <w:type w:val="bbPlcHdr"/>
        </w:types>
        <w:behaviors>
          <w:behavior w:val="content"/>
        </w:behaviors>
        <w:guid w:val="{7DF275F2-5857-4E07-AF90-325DEDB6E0C6}"/>
      </w:docPartPr>
      <w:docPartBody>
        <w:p w:rsidR="000D40CF" w:rsidRDefault="00C63357">
          <w:pPr>
            <w:pStyle w:val="937150485B104262AD96BEDDCBD7A76A"/>
          </w:pPr>
          <w:r>
            <w:rPr>
              <w:rStyle w:val="PlaceholderText"/>
            </w:rPr>
            <w:t>MNC Text</w:t>
          </w:r>
        </w:p>
      </w:docPartBody>
    </w:docPart>
    <w:docPart>
      <w:docPartPr>
        <w:name w:val="48B90D85F7444E18BEE99EA50A85EC10"/>
        <w:category>
          <w:name w:val="General"/>
          <w:gallery w:val="placeholder"/>
        </w:category>
        <w:types>
          <w:type w:val="bbPlcHdr"/>
        </w:types>
        <w:behaviors>
          <w:behavior w:val="content"/>
        </w:behaviors>
        <w:guid w:val="{32D44A29-64D8-4631-86E8-89CBB7C780F5}"/>
      </w:docPartPr>
      <w:docPartBody>
        <w:p w:rsidR="000D40CF" w:rsidRDefault="00C63357">
          <w:pPr>
            <w:pStyle w:val="48B90D85F7444E18BEE99EA50A85EC10"/>
          </w:pPr>
          <w:r w:rsidRPr="005C44BE">
            <w:rPr>
              <w:rStyle w:val="PlaceholderText"/>
            </w:rPr>
            <w:t>Click or tap here to enter text.</w:t>
          </w:r>
        </w:p>
      </w:docPartBody>
    </w:docPart>
    <w:docPart>
      <w:docPartPr>
        <w:name w:val="D74336DFFC2F4382940040F4819BB97A"/>
        <w:category>
          <w:name w:val="General"/>
          <w:gallery w:val="placeholder"/>
        </w:category>
        <w:types>
          <w:type w:val="bbPlcHdr"/>
        </w:types>
        <w:behaviors>
          <w:behavior w:val="content"/>
        </w:behaviors>
        <w:guid w:val="{7A4FD9F6-3919-4C09-9112-AF070E53A555}"/>
      </w:docPartPr>
      <w:docPartBody>
        <w:p w:rsidR="000D40CF" w:rsidRDefault="00C63357">
          <w:pPr>
            <w:pStyle w:val="D74336DFFC2F4382940040F4819BB97A"/>
          </w:pPr>
          <w:r w:rsidRPr="005C44BE">
            <w:rPr>
              <w:rStyle w:val="PlaceholderText"/>
            </w:rPr>
            <w:t>Click or tap here to enter text.</w:t>
          </w:r>
        </w:p>
      </w:docPartBody>
    </w:docPart>
    <w:docPart>
      <w:docPartPr>
        <w:name w:val="DA7500C47E0D4ADAA59CA5A72DE55482"/>
        <w:category>
          <w:name w:val="General"/>
          <w:gallery w:val="placeholder"/>
        </w:category>
        <w:types>
          <w:type w:val="bbPlcHdr"/>
        </w:types>
        <w:behaviors>
          <w:behavior w:val="content"/>
        </w:behaviors>
        <w:guid w:val="{52CAEFE8-B354-41E7-853B-194B534DE35E}"/>
      </w:docPartPr>
      <w:docPartBody>
        <w:p w:rsidR="000D40CF" w:rsidRDefault="00C63357">
          <w:pPr>
            <w:pStyle w:val="DA7500C47E0D4ADAA59CA5A72DE55482"/>
          </w:pPr>
          <w:r w:rsidRPr="005C44BE">
            <w:rPr>
              <w:rStyle w:val="PlaceholderText"/>
            </w:rPr>
            <w:t>Click or tap here to enter text.</w:t>
          </w:r>
        </w:p>
      </w:docPartBody>
    </w:docPart>
    <w:docPart>
      <w:docPartPr>
        <w:name w:val="E661C19CC78D441D867C6E0C6F679443"/>
        <w:category>
          <w:name w:val="General"/>
          <w:gallery w:val="placeholder"/>
        </w:category>
        <w:types>
          <w:type w:val="bbPlcHdr"/>
        </w:types>
        <w:behaviors>
          <w:behavior w:val="content"/>
        </w:behaviors>
        <w:guid w:val="{F01BC436-2704-409D-B896-E0DC76E30FFD}"/>
      </w:docPartPr>
      <w:docPartBody>
        <w:p w:rsidR="000D40CF" w:rsidRDefault="00C63357">
          <w:pPr>
            <w:pStyle w:val="E661C19CC78D441D867C6E0C6F67944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57"/>
    <w:rsid w:val="000D40CF"/>
    <w:rsid w:val="000E0576"/>
    <w:rsid w:val="001E2F94"/>
    <w:rsid w:val="00266A4C"/>
    <w:rsid w:val="002F2F3F"/>
    <w:rsid w:val="003629AA"/>
    <w:rsid w:val="00374885"/>
    <w:rsid w:val="00395736"/>
    <w:rsid w:val="00454360"/>
    <w:rsid w:val="004C174F"/>
    <w:rsid w:val="005C0939"/>
    <w:rsid w:val="00620350"/>
    <w:rsid w:val="007479D3"/>
    <w:rsid w:val="008209C9"/>
    <w:rsid w:val="008B7D7F"/>
    <w:rsid w:val="00940E5C"/>
    <w:rsid w:val="00A123AB"/>
    <w:rsid w:val="00C63357"/>
    <w:rsid w:val="00CF7F14"/>
    <w:rsid w:val="00D00A01"/>
    <w:rsid w:val="00D863B0"/>
    <w:rsid w:val="00DA060A"/>
    <w:rsid w:val="00DE1242"/>
    <w:rsid w:val="00EB23BE"/>
    <w:rsid w:val="00F95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37150485B104262AD96BEDDCBD7A76A">
    <w:name w:val="937150485B104262AD96BEDDCBD7A76A"/>
  </w:style>
  <w:style w:type="paragraph" w:customStyle="1" w:styleId="48B90D85F7444E18BEE99EA50A85EC10">
    <w:name w:val="48B90D85F7444E18BEE99EA50A85EC10"/>
  </w:style>
  <w:style w:type="paragraph" w:customStyle="1" w:styleId="D74336DFFC2F4382940040F4819BB97A">
    <w:name w:val="D74336DFFC2F4382940040F4819BB97A"/>
  </w:style>
  <w:style w:type="paragraph" w:customStyle="1" w:styleId="DA7500C47E0D4ADAA59CA5A72DE55482">
    <w:name w:val="DA7500C47E0D4ADAA59CA5A72DE55482"/>
  </w:style>
  <w:style w:type="paragraph" w:customStyle="1" w:styleId="E661C19CC78D441D867C6E0C6F679443">
    <w:name w:val="E661C19CC78D441D867C6E0C6F679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Lucan (Trustee) v State of New South Wales, in the matter of the Bankrupt Estate of Williams [2022] FCA 751</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0EEE4868-2D01-4677-9F65-4A0A44BF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12</Pages>
  <Words>3692</Words>
  <Characters>18246</Characters>
  <Application>Microsoft Office Word</Application>
  <DocSecurity>0</DocSecurity>
  <PresentationFormat/>
  <Lines>414</Lines>
  <Paragraphs>197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Lucan (Trustee) v State of New South Wales, in the matter of the Bankrupt Estate of Williams [2022] FCA 751</vt:lpstr>
    </vt:vector>
  </TitlesOfParts>
  <Manager/>
  <Company/>
  <LinksUpToDate>false</LinksUpToDate>
  <CharactersWithSpaces>21741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2022-06-28T02:50:00Z</cp:lastPrinted>
  <dcterms:created xsi:type="dcterms:W3CDTF">2022-06-29T04:49:00Z</dcterms:created>
  <dcterms:modified xsi:type="dcterms:W3CDTF">2022-06-29T04:49:00Z</dcterms:modified>
  <cp:category/>
  <cp:contentStatus/>
  <dc:language/>
  <cp:version/>
</cp:coreProperties>
</file>