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92FDB" w14:textId="77777777" w:rsidR="00395B24" w:rsidRDefault="00C06D01" w:rsidP="00A22932">
      <w:pPr>
        <w:pStyle w:val="CourtTitle"/>
      </w:pPr>
      <w:r>
        <w:fldChar w:fldCharType="begin"/>
      </w:r>
      <w:r>
        <w:instrText xml:space="preserve"> DOCPROPERTY  Court  \* MERGEFORMAT </w:instrText>
      </w:r>
      <w:r>
        <w:fldChar w:fldCharType="separate"/>
      </w:r>
      <w:r w:rsidR="008428BB">
        <w:t>Federal Court of Australia</w:t>
      </w:r>
      <w:r>
        <w:fldChar w:fldCharType="end"/>
      </w:r>
    </w:p>
    <w:p w14:paraId="565DD579" w14:textId="77777777" w:rsidR="004D7950" w:rsidRDefault="004D7950">
      <w:pPr>
        <w:pStyle w:val="NormalHeadings"/>
        <w:jc w:val="center"/>
        <w:rPr>
          <w:sz w:val="32"/>
        </w:rPr>
      </w:pPr>
    </w:p>
    <w:bookmarkStart w:id="0" w:name="MNC"/>
    <w:p w14:paraId="68D378E4" w14:textId="150C0A6C" w:rsidR="00374CC4" w:rsidRDefault="005E790F" w:rsidP="001A2B40">
      <w:pPr>
        <w:pStyle w:val="MNC"/>
      </w:pPr>
      <w:sdt>
        <w:sdtPr>
          <w:alias w:val="MNC"/>
          <w:tag w:val="MNC"/>
          <w:id w:val="343289786"/>
          <w:lock w:val="sdtLocked"/>
          <w:placeholder>
            <w:docPart w:val="4894C7C81B62468C9337FCF4FB77FF6B"/>
          </w:placeholder>
          <w:dataBinding w:prefixMappings="xmlns:ns0='http://schemas.globalmacros.com/FCA'" w:xpath="/ns0:root[1]/ns0:Name[1]" w:storeItemID="{687E7CCB-4AA5-44E7-B148-17BA2B6F57C0}"/>
          <w:text w:multiLine="1"/>
        </w:sdtPr>
        <w:sdtEndPr/>
        <w:sdtContent>
          <w:proofErr w:type="spellStart"/>
          <w:r w:rsidR="00F1035D">
            <w:t>Bolwell</w:t>
          </w:r>
          <w:proofErr w:type="spellEnd"/>
          <w:r w:rsidR="00F1035D">
            <w:t xml:space="preserve"> (Liquidator), in the matter of Mandalay Road Holdings Pty Ltd (in </w:t>
          </w:r>
          <w:proofErr w:type="spellStart"/>
          <w:r w:rsidR="00F1035D">
            <w:t>liq</w:t>
          </w:r>
          <w:proofErr w:type="spellEnd"/>
          <w:r w:rsidR="00F1035D">
            <w:t>) v Goldsmith-</w:t>
          </w:r>
          <w:proofErr w:type="spellStart"/>
          <w:r w:rsidR="00F1035D">
            <w:t>Medd</w:t>
          </w:r>
          <w:proofErr w:type="spellEnd"/>
          <w:r w:rsidR="00F1035D">
            <w:t xml:space="preserve"> (Trustee) [2022] FCA</w:t>
          </w:r>
          <w:r w:rsidR="0075020F">
            <w:t xml:space="preserve"> 1300</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63BAE79F" w14:textId="77777777" w:rsidTr="00FB0143">
        <w:tc>
          <w:tcPr>
            <w:tcW w:w="3083" w:type="dxa"/>
            <w:shd w:val="clear" w:color="auto" w:fill="auto"/>
          </w:tcPr>
          <w:p w14:paraId="13D1BF49" w14:textId="77777777" w:rsidR="00395B24" w:rsidRDefault="002C7385" w:rsidP="00663878">
            <w:pPr>
              <w:pStyle w:val="Normal1linespace"/>
              <w:widowControl w:val="0"/>
              <w:jc w:val="left"/>
            </w:pPr>
            <w:r>
              <w:t>File number(s):</w:t>
            </w:r>
          </w:p>
        </w:tc>
        <w:tc>
          <w:tcPr>
            <w:tcW w:w="5990" w:type="dxa"/>
            <w:shd w:val="clear" w:color="auto" w:fill="auto"/>
          </w:tcPr>
          <w:p w14:paraId="70A4220B" w14:textId="77777777" w:rsidR="00395B24" w:rsidRPr="008428BB" w:rsidRDefault="00874B99" w:rsidP="008428BB">
            <w:pPr>
              <w:pStyle w:val="Normal1linespace"/>
              <w:jc w:val="left"/>
            </w:pPr>
            <w:fldSimple w:instr=" REF  FileNo  \* MERGEFORMAT " w:fldLock="1">
              <w:r w:rsidR="008428BB" w:rsidRPr="008428BB">
                <w:t>QUD 276 of 2020</w:t>
              </w:r>
            </w:fldSimple>
          </w:p>
        </w:tc>
      </w:tr>
      <w:tr w:rsidR="00395B24" w14:paraId="2384BBFB" w14:textId="77777777" w:rsidTr="00FB0143">
        <w:tc>
          <w:tcPr>
            <w:tcW w:w="3083" w:type="dxa"/>
            <w:shd w:val="clear" w:color="auto" w:fill="auto"/>
          </w:tcPr>
          <w:p w14:paraId="1454A0B2" w14:textId="77777777" w:rsidR="00395B24" w:rsidRDefault="00395B24" w:rsidP="00663878">
            <w:pPr>
              <w:pStyle w:val="Normal1linespace"/>
              <w:widowControl w:val="0"/>
              <w:jc w:val="left"/>
            </w:pPr>
          </w:p>
        </w:tc>
        <w:tc>
          <w:tcPr>
            <w:tcW w:w="5990" w:type="dxa"/>
            <w:shd w:val="clear" w:color="auto" w:fill="auto"/>
          </w:tcPr>
          <w:p w14:paraId="0DA58FA7" w14:textId="77777777" w:rsidR="00395B24" w:rsidRDefault="00395B24" w:rsidP="00663878">
            <w:pPr>
              <w:pStyle w:val="Normal1linespace"/>
              <w:widowControl w:val="0"/>
              <w:jc w:val="left"/>
            </w:pPr>
          </w:p>
        </w:tc>
      </w:tr>
      <w:tr w:rsidR="00395B24" w14:paraId="2D8E8D79" w14:textId="77777777" w:rsidTr="00FB0143">
        <w:tc>
          <w:tcPr>
            <w:tcW w:w="3083" w:type="dxa"/>
            <w:shd w:val="clear" w:color="auto" w:fill="auto"/>
          </w:tcPr>
          <w:p w14:paraId="362C5C82"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EE5B646" w14:textId="77777777" w:rsidR="00395B24" w:rsidRDefault="002C7385" w:rsidP="00663878">
            <w:pPr>
              <w:pStyle w:val="Normal1linespace"/>
              <w:widowControl w:val="0"/>
              <w:jc w:val="left"/>
              <w:rPr>
                <w:b/>
              </w:rPr>
            </w:pPr>
            <w:r w:rsidRPr="008428BB">
              <w:rPr>
                <w:b/>
              </w:rPr>
              <w:fldChar w:fldCharType="begin" w:fldLock="1"/>
            </w:r>
            <w:r w:rsidRPr="008428BB">
              <w:rPr>
                <w:b/>
              </w:rPr>
              <w:instrText xml:space="preserve"> REF  Judge  \* MERGEFORMAT </w:instrText>
            </w:r>
            <w:r w:rsidRPr="008428BB">
              <w:rPr>
                <w:b/>
              </w:rPr>
              <w:fldChar w:fldCharType="separate"/>
            </w:r>
            <w:r w:rsidR="008428BB" w:rsidRPr="008428BB">
              <w:rPr>
                <w:b/>
                <w:caps/>
                <w:szCs w:val="24"/>
              </w:rPr>
              <w:t>O'SULLIVAN J</w:t>
            </w:r>
            <w:r w:rsidRPr="008428BB">
              <w:rPr>
                <w:b/>
              </w:rPr>
              <w:fldChar w:fldCharType="end"/>
            </w:r>
          </w:p>
        </w:tc>
      </w:tr>
      <w:tr w:rsidR="00395B24" w14:paraId="12BB9F72" w14:textId="77777777" w:rsidTr="00FB0143">
        <w:tc>
          <w:tcPr>
            <w:tcW w:w="3083" w:type="dxa"/>
            <w:shd w:val="clear" w:color="auto" w:fill="auto"/>
          </w:tcPr>
          <w:p w14:paraId="50D61FF7" w14:textId="77777777" w:rsidR="00395B24" w:rsidRDefault="00395B24" w:rsidP="00663878">
            <w:pPr>
              <w:pStyle w:val="Normal1linespace"/>
              <w:widowControl w:val="0"/>
              <w:jc w:val="left"/>
            </w:pPr>
          </w:p>
        </w:tc>
        <w:tc>
          <w:tcPr>
            <w:tcW w:w="5990" w:type="dxa"/>
            <w:shd w:val="clear" w:color="auto" w:fill="auto"/>
          </w:tcPr>
          <w:p w14:paraId="41952BBC" w14:textId="77777777" w:rsidR="00395B24" w:rsidRDefault="00395B24" w:rsidP="00663878">
            <w:pPr>
              <w:pStyle w:val="Normal1linespace"/>
              <w:widowControl w:val="0"/>
              <w:jc w:val="left"/>
            </w:pPr>
          </w:p>
        </w:tc>
      </w:tr>
      <w:tr w:rsidR="00395B24" w14:paraId="120BFDE0" w14:textId="77777777" w:rsidTr="00FB0143">
        <w:tc>
          <w:tcPr>
            <w:tcW w:w="3083" w:type="dxa"/>
            <w:shd w:val="clear" w:color="auto" w:fill="auto"/>
          </w:tcPr>
          <w:p w14:paraId="42E08B37" w14:textId="77777777" w:rsidR="00395B24" w:rsidRDefault="002C7385" w:rsidP="00663878">
            <w:pPr>
              <w:pStyle w:val="Normal1linespace"/>
              <w:widowControl w:val="0"/>
              <w:jc w:val="left"/>
            </w:pPr>
            <w:r>
              <w:t>Date of judgment:</w:t>
            </w:r>
          </w:p>
        </w:tc>
        <w:tc>
          <w:tcPr>
            <w:tcW w:w="5990" w:type="dxa"/>
            <w:shd w:val="clear" w:color="auto" w:fill="auto"/>
          </w:tcPr>
          <w:p w14:paraId="3B499CAA" w14:textId="27B8D63C" w:rsidR="00395B24" w:rsidRDefault="00B37644" w:rsidP="00663878">
            <w:pPr>
              <w:pStyle w:val="Normal1linespace"/>
              <w:widowControl w:val="0"/>
              <w:jc w:val="left"/>
            </w:pPr>
            <w:bookmarkStart w:id="1" w:name="JudgmentDate"/>
            <w:bookmarkEnd w:id="1"/>
            <w:r>
              <w:t>2 November 2022</w:t>
            </w:r>
          </w:p>
        </w:tc>
      </w:tr>
      <w:tr w:rsidR="00395B24" w14:paraId="1B588D14" w14:textId="77777777" w:rsidTr="00FB0143">
        <w:tc>
          <w:tcPr>
            <w:tcW w:w="3083" w:type="dxa"/>
            <w:shd w:val="clear" w:color="auto" w:fill="auto"/>
          </w:tcPr>
          <w:p w14:paraId="7117453A" w14:textId="77777777" w:rsidR="00395B24" w:rsidRDefault="00395B24" w:rsidP="00663878">
            <w:pPr>
              <w:pStyle w:val="Normal1linespace"/>
              <w:widowControl w:val="0"/>
              <w:jc w:val="left"/>
            </w:pPr>
          </w:p>
        </w:tc>
        <w:tc>
          <w:tcPr>
            <w:tcW w:w="5990" w:type="dxa"/>
            <w:shd w:val="clear" w:color="auto" w:fill="auto"/>
          </w:tcPr>
          <w:p w14:paraId="24C7AD85" w14:textId="77777777" w:rsidR="00395B24" w:rsidRDefault="00395B24" w:rsidP="00663878">
            <w:pPr>
              <w:pStyle w:val="Normal1linespace"/>
              <w:widowControl w:val="0"/>
              <w:jc w:val="left"/>
            </w:pPr>
          </w:p>
        </w:tc>
      </w:tr>
      <w:tr w:rsidR="00395B24" w14:paraId="46694CC3" w14:textId="77777777" w:rsidTr="00FB0143">
        <w:tc>
          <w:tcPr>
            <w:tcW w:w="3083" w:type="dxa"/>
            <w:shd w:val="clear" w:color="auto" w:fill="auto"/>
          </w:tcPr>
          <w:p w14:paraId="2F28EFDD" w14:textId="77777777" w:rsidR="00395B24" w:rsidRDefault="002C7385" w:rsidP="00663878">
            <w:pPr>
              <w:pStyle w:val="Normal1linespace"/>
              <w:widowControl w:val="0"/>
              <w:jc w:val="left"/>
            </w:pPr>
            <w:r>
              <w:t>Catchwords:</w:t>
            </w:r>
          </w:p>
        </w:tc>
        <w:tc>
          <w:tcPr>
            <w:tcW w:w="5990" w:type="dxa"/>
            <w:shd w:val="clear" w:color="auto" w:fill="auto"/>
          </w:tcPr>
          <w:p w14:paraId="5987B64B" w14:textId="1453A2A3" w:rsidR="00395B24" w:rsidRPr="00371BA2" w:rsidRDefault="00371BA2" w:rsidP="00B37644">
            <w:pPr>
              <w:pStyle w:val="Normal1linespace"/>
              <w:widowControl w:val="0"/>
              <w:rPr>
                <w:b/>
              </w:rPr>
            </w:pPr>
            <w:bookmarkStart w:id="2" w:name="Catchwords"/>
            <w:r>
              <w:rPr>
                <w:b/>
              </w:rPr>
              <w:t xml:space="preserve">CORPORATIONS LAW – </w:t>
            </w:r>
            <w:r w:rsidR="008B468F" w:rsidRPr="008B468F">
              <w:t>trusts &amp; trustees – practice and procedure</w:t>
            </w:r>
            <w:r w:rsidR="008B468F">
              <w:t xml:space="preserve"> </w:t>
            </w:r>
            <w:r w:rsidR="00E212AB">
              <w:t xml:space="preserve">– interlocutory application </w:t>
            </w:r>
            <w:r w:rsidR="00D07ECC">
              <w:t xml:space="preserve">by the Liquidator of a company and Receiver of a trust of which the Company was trustee </w:t>
            </w:r>
            <w:r w:rsidR="00E212AB">
              <w:t xml:space="preserve">seeking directions pursuant to s 90-15 of the </w:t>
            </w:r>
            <w:r w:rsidR="00E212AB">
              <w:rPr>
                <w:i/>
              </w:rPr>
              <w:t xml:space="preserve">Insolvency Practice Schedule (Corporations) </w:t>
            </w:r>
            <w:r w:rsidR="00E212AB">
              <w:t xml:space="preserve">as contained in Schedule 2 of the </w:t>
            </w:r>
            <w:r w:rsidR="00E212AB">
              <w:rPr>
                <w:i/>
              </w:rPr>
              <w:t xml:space="preserve">Corporations Act 2001 </w:t>
            </w:r>
            <w:r w:rsidR="00E212AB">
              <w:t>(Cth) – whether the Trust was validly constituted</w:t>
            </w:r>
            <w:r w:rsidR="00D07ECC">
              <w:t xml:space="preserve"> – where the Company was named</w:t>
            </w:r>
            <w:r w:rsidR="00F35AE9">
              <w:t xml:space="preserve"> in the Trust Deed</w:t>
            </w:r>
            <w:r w:rsidR="00D07ECC">
              <w:t xml:space="preserve"> as trustee </w:t>
            </w:r>
            <w:r w:rsidR="00F35AE9">
              <w:t>but not incorpor</w:t>
            </w:r>
            <w:r w:rsidR="005A1EFE">
              <w:t>ated at the</w:t>
            </w:r>
            <w:r w:rsidR="00D07ECC">
              <w:t xml:space="preserve"> time</w:t>
            </w:r>
            <w:r w:rsidR="00F35AE9">
              <w:t xml:space="preserve"> the Trust Deed was executed</w:t>
            </w:r>
            <w:r w:rsidR="00E212AB">
              <w:t xml:space="preserve"> – </w:t>
            </w:r>
            <w:r w:rsidR="008A1E12">
              <w:t>w</w:t>
            </w:r>
            <w:r w:rsidR="00E212AB">
              <w:t xml:space="preserve">hether </w:t>
            </w:r>
            <w:r w:rsidR="00D07ECC">
              <w:t>the sole director of the Company</w:t>
            </w:r>
            <w:r w:rsidR="00E212AB">
              <w:t xml:space="preserve"> </w:t>
            </w:r>
            <w:r w:rsidR="00F35AE9">
              <w:t xml:space="preserve">once incorporated </w:t>
            </w:r>
            <w:r w:rsidR="00E212AB">
              <w:t xml:space="preserve">became the trustee of the Trust upon execution of the Trust Deed – </w:t>
            </w:r>
            <w:r w:rsidR="008A1E12">
              <w:t>w</w:t>
            </w:r>
            <w:r w:rsidR="00E212AB">
              <w:t>h</w:t>
            </w:r>
            <w:r w:rsidR="008A1E12">
              <w:t>ether upon its</w:t>
            </w:r>
            <w:r w:rsidR="00D07ECC">
              <w:t xml:space="preserve"> subsequent</w:t>
            </w:r>
            <w:r w:rsidR="008A1E12">
              <w:t xml:space="preserve"> incorporation </w:t>
            </w:r>
            <w:r w:rsidR="00E212AB">
              <w:t xml:space="preserve">the Company became </w:t>
            </w:r>
            <w:r w:rsidR="008A1E12">
              <w:t>the trustee of the Trust – whether the Company</w:t>
            </w:r>
            <w:r w:rsidR="00D07ECC">
              <w:t xml:space="preserve"> ratified the pre-incorporation actions of the person who became its sole director upon incorporation – </w:t>
            </w:r>
            <w:r w:rsidR="000D512C">
              <w:t xml:space="preserve">whether the Company acted solely in its capacity as trustee of the Trust – </w:t>
            </w:r>
            <w:r w:rsidR="00D07ECC">
              <w:t>whether the Company</w:t>
            </w:r>
            <w:r w:rsidR="008A1E12">
              <w:t xml:space="preserve"> </w:t>
            </w:r>
            <w:r w:rsidR="00D07ECC">
              <w:t>property was, prior to its sale by the Receiver of the Trust,</w:t>
            </w:r>
            <w:r w:rsidR="008A1E12">
              <w:t xml:space="preserve"> properly characterised as property held by the Company in its capacity as trustee of the Trust – whether the realisation and distribution of the proceeds of the sale of the</w:t>
            </w:r>
            <w:r w:rsidR="005A1EFE">
              <w:t xml:space="preserve"> property are each governed by P</w:t>
            </w:r>
            <w:r w:rsidR="008A1E12">
              <w:t xml:space="preserve">arts 5.4B and 5.6 of the </w:t>
            </w:r>
            <w:r w:rsidR="008A1E12">
              <w:rPr>
                <w:i/>
              </w:rPr>
              <w:t xml:space="preserve">Corporations Act 2001 </w:t>
            </w:r>
            <w:r w:rsidR="008A1E12">
              <w:t>(Cth) – where the plaintiffs are ent</w:t>
            </w:r>
            <w:r w:rsidR="00B37644">
              <w:t>itled to the directions sought.</w:t>
            </w:r>
            <w:bookmarkEnd w:id="2"/>
          </w:p>
        </w:tc>
      </w:tr>
      <w:tr w:rsidR="00395B24" w14:paraId="4309751B" w14:textId="77777777" w:rsidTr="00FB0143">
        <w:tc>
          <w:tcPr>
            <w:tcW w:w="3083" w:type="dxa"/>
            <w:shd w:val="clear" w:color="auto" w:fill="auto"/>
          </w:tcPr>
          <w:p w14:paraId="50B2B5CC" w14:textId="77777777" w:rsidR="00395B24" w:rsidRDefault="00395B24" w:rsidP="00663878">
            <w:pPr>
              <w:pStyle w:val="Normal1linespace"/>
              <w:widowControl w:val="0"/>
              <w:jc w:val="left"/>
            </w:pPr>
          </w:p>
        </w:tc>
        <w:tc>
          <w:tcPr>
            <w:tcW w:w="5990" w:type="dxa"/>
            <w:shd w:val="clear" w:color="auto" w:fill="auto"/>
          </w:tcPr>
          <w:p w14:paraId="72F52E98" w14:textId="77777777" w:rsidR="00395B24" w:rsidRDefault="00395B24" w:rsidP="00663878">
            <w:pPr>
              <w:pStyle w:val="Normal1linespace"/>
              <w:widowControl w:val="0"/>
              <w:jc w:val="left"/>
            </w:pPr>
          </w:p>
        </w:tc>
      </w:tr>
      <w:tr w:rsidR="00395B24" w14:paraId="48C4B6A6" w14:textId="77777777" w:rsidTr="00FB0143">
        <w:tc>
          <w:tcPr>
            <w:tcW w:w="3083" w:type="dxa"/>
            <w:shd w:val="clear" w:color="auto" w:fill="auto"/>
          </w:tcPr>
          <w:p w14:paraId="5CDE5843" w14:textId="77777777" w:rsidR="00395B24" w:rsidRDefault="002C7385" w:rsidP="00663878">
            <w:pPr>
              <w:pStyle w:val="Normal1linespace"/>
              <w:widowControl w:val="0"/>
              <w:jc w:val="left"/>
            </w:pPr>
            <w:r>
              <w:t>Legislation:</w:t>
            </w:r>
          </w:p>
        </w:tc>
        <w:tc>
          <w:tcPr>
            <w:tcW w:w="5990" w:type="dxa"/>
            <w:shd w:val="clear" w:color="auto" w:fill="auto"/>
          </w:tcPr>
          <w:p w14:paraId="2C515F60" w14:textId="791F9390" w:rsidR="00395B24" w:rsidRDefault="003709E2" w:rsidP="00C21AC0">
            <w:pPr>
              <w:pStyle w:val="CasesLegislationAppealFrom"/>
              <w:spacing w:after="60"/>
            </w:pPr>
            <w:bookmarkStart w:id="3" w:name="Legislation"/>
            <w:r w:rsidRPr="009C509E">
              <w:rPr>
                <w:i/>
              </w:rPr>
              <w:t>Corporations Act</w:t>
            </w:r>
            <w:r>
              <w:t xml:space="preserve"> </w:t>
            </w:r>
            <w:r w:rsidRPr="00533DB0">
              <w:rPr>
                <w:i/>
              </w:rPr>
              <w:t>2001</w:t>
            </w:r>
            <w:r>
              <w:t xml:space="preserve"> (Cth), Schedule 2, </w:t>
            </w:r>
            <w:r w:rsidRPr="00C7327C">
              <w:rPr>
                <w:i/>
              </w:rPr>
              <w:t>Insolvency Practice Schedule</w:t>
            </w:r>
            <w:r>
              <w:t xml:space="preserve"> (</w:t>
            </w:r>
            <w:r w:rsidRPr="00C7327C">
              <w:rPr>
                <w:i/>
              </w:rPr>
              <w:t>Corporations</w:t>
            </w:r>
            <w:r>
              <w:t>), s 90-15, 90-20</w:t>
            </w:r>
            <w:r w:rsidR="00C21AC0">
              <w:t xml:space="preserve"> &amp; </w:t>
            </w:r>
            <w:r>
              <w:t>Parts 5.4B and 5.6</w:t>
            </w:r>
            <w:r w:rsidR="002C7385">
              <w:t xml:space="preserve"> </w:t>
            </w:r>
            <w:bookmarkEnd w:id="3"/>
          </w:p>
        </w:tc>
      </w:tr>
      <w:tr w:rsidR="00395B24" w14:paraId="008F09A5" w14:textId="77777777" w:rsidTr="00FB0143">
        <w:tc>
          <w:tcPr>
            <w:tcW w:w="3083" w:type="dxa"/>
            <w:shd w:val="clear" w:color="auto" w:fill="auto"/>
          </w:tcPr>
          <w:p w14:paraId="3D9FD0CD" w14:textId="77777777" w:rsidR="00395B24" w:rsidRDefault="00395B24" w:rsidP="00663878">
            <w:pPr>
              <w:pStyle w:val="Normal1linespace"/>
              <w:widowControl w:val="0"/>
              <w:jc w:val="left"/>
            </w:pPr>
          </w:p>
        </w:tc>
        <w:tc>
          <w:tcPr>
            <w:tcW w:w="5990" w:type="dxa"/>
            <w:shd w:val="clear" w:color="auto" w:fill="auto"/>
          </w:tcPr>
          <w:p w14:paraId="371A21CA" w14:textId="77777777" w:rsidR="00395B24" w:rsidRDefault="00395B24" w:rsidP="00663878">
            <w:pPr>
              <w:pStyle w:val="Normal1linespace"/>
              <w:widowControl w:val="0"/>
              <w:jc w:val="left"/>
            </w:pPr>
          </w:p>
        </w:tc>
      </w:tr>
      <w:tr w:rsidR="00395B24" w14:paraId="5D5CD5AF" w14:textId="77777777" w:rsidTr="00FB0143">
        <w:tc>
          <w:tcPr>
            <w:tcW w:w="3083" w:type="dxa"/>
            <w:shd w:val="clear" w:color="auto" w:fill="auto"/>
          </w:tcPr>
          <w:p w14:paraId="0A71A875" w14:textId="77777777" w:rsidR="00395B24" w:rsidRDefault="002C7385" w:rsidP="00663878">
            <w:pPr>
              <w:pStyle w:val="Normal1linespace"/>
              <w:widowControl w:val="0"/>
              <w:jc w:val="left"/>
            </w:pPr>
            <w:r>
              <w:t>Cases cited:</w:t>
            </w:r>
          </w:p>
        </w:tc>
        <w:tc>
          <w:tcPr>
            <w:tcW w:w="5990" w:type="dxa"/>
            <w:shd w:val="clear" w:color="auto" w:fill="auto"/>
          </w:tcPr>
          <w:p w14:paraId="0530CBED" w14:textId="77777777" w:rsidR="008C167B" w:rsidRDefault="008C167B" w:rsidP="00D82620">
            <w:pPr>
              <w:pStyle w:val="CasesLegislationAppealFrom"/>
              <w:spacing w:after="60"/>
            </w:pPr>
            <w:bookmarkStart w:id="4" w:name="Cases_Cited"/>
            <w:r>
              <w:rPr>
                <w:i/>
              </w:rPr>
              <w:t xml:space="preserve">Carter Holt Harvey </w:t>
            </w:r>
            <w:proofErr w:type="spellStart"/>
            <w:r>
              <w:rPr>
                <w:i/>
              </w:rPr>
              <w:t>Woodp</w:t>
            </w:r>
            <w:r w:rsidRPr="009575AC">
              <w:rPr>
                <w:i/>
              </w:rPr>
              <w:t>roducts</w:t>
            </w:r>
            <w:proofErr w:type="spellEnd"/>
            <w:r w:rsidRPr="009575AC">
              <w:rPr>
                <w:i/>
              </w:rPr>
              <w:t xml:space="preserve"> </w:t>
            </w:r>
            <w:r>
              <w:rPr>
                <w:i/>
              </w:rPr>
              <w:t xml:space="preserve">Australia </w:t>
            </w:r>
            <w:r w:rsidRPr="009575AC">
              <w:rPr>
                <w:i/>
              </w:rPr>
              <w:t>Pty Ltd v Commonwealth</w:t>
            </w:r>
            <w:r>
              <w:t xml:space="preserve"> [2019] HCA 20; (2019) 268 CLR 524</w:t>
            </w:r>
          </w:p>
          <w:p w14:paraId="3C0BE5F1" w14:textId="77777777" w:rsidR="008C167B" w:rsidRDefault="008C167B" w:rsidP="00D82620">
            <w:pPr>
              <w:pStyle w:val="CasesLegislationAppealFrom"/>
              <w:spacing w:after="60"/>
            </w:pPr>
            <w:r w:rsidRPr="00BE0633">
              <w:rPr>
                <w:i/>
              </w:rPr>
              <w:t xml:space="preserve">Jones v </w:t>
            </w:r>
            <w:r>
              <w:rPr>
                <w:i/>
              </w:rPr>
              <w:t>Matrix Partners Pty Ltd; Re-</w:t>
            </w:r>
            <w:proofErr w:type="spellStart"/>
            <w:r>
              <w:rPr>
                <w:i/>
              </w:rPr>
              <w:t>Killarnee</w:t>
            </w:r>
            <w:proofErr w:type="spellEnd"/>
            <w:r>
              <w:rPr>
                <w:i/>
              </w:rPr>
              <w:t xml:space="preserve"> Civil &amp; Concrete Contractors Pty Ltd (in liq) </w:t>
            </w:r>
            <w:r w:rsidRPr="00B53A17">
              <w:t xml:space="preserve">[2018] FCAFC 40; </w:t>
            </w:r>
            <w:r>
              <w:t>(2018) 260 FCR 310</w:t>
            </w:r>
          </w:p>
          <w:p w14:paraId="2F8113C9" w14:textId="77777777" w:rsidR="008C167B" w:rsidRDefault="008C167B" w:rsidP="00D82620">
            <w:pPr>
              <w:pStyle w:val="CasesLegislationAppealFrom"/>
              <w:spacing w:after="60"/>
            </w:pPr>
            <w:proofErr w:type="spellStart"/>
            <w:r w:rsidRPr="00E816F2">
              <w:rPr>
                <w:i/>
              </w:rPr>
              <w:t>Korda</w:t>
            </w:r>
            <w:proofErr w:type="spellEnd"/>
            <w:r w:rsidRPr="00E816F2">
              <w:rPr>
                <w:i/>
              </w:rPr>
              <w:t xml:space="preserve"> v Australian Executor Trustees (SA) Ltd</w:t>
            </w:r>
            <w:r w:rsidRPr="00E816F2">
              <w:t xml:space="preserve"> [</w:t>
            </w:r>
            <w:r>
              <w:t>2015] HCA 6; (2015) 255 CLR 62</w:t>
            </w:r>
          </w:p>
          <w:p w14:paraId="05E0D992" w14:textId="77777777" w:rsidR="008C167B" w:rsidRDefault="008C167B" w:rsidP="00D82620">
            <w:pPr>
              <w:pStyle w:val="CasesLegislationAppealFrom"/>
              <w:spacing w:after="60"/>
            </w:pPr>
            <w:r w:rsidRPr="00C63248">
              <w:rPr>
                <w:i/>
              </w:rPr>
              <w:t>Legal Services Board v Gillespie-Jones</w:t>
            </w:r>
            <w:r>
              <w:t xml:space="preserve"> [2013] HCA 35; </w:t>
            </w:r>
            <w:r>
              <w:lastRenderedPageBreak/>
              <w:t>(2013) 249 CLR 493</w:t>
            </w:r>
          </w:p>
          <w:p w14:paraId="1E075776" w14:textId="77777777" w:rsidR="008C167B" w:rsidRDefault="008C167B" w:rsidP="00D82620">
            <w:pPr>
              <w:pStyle w:val="CasesLegislationAppealFrom"/>
              <w:spacing w:after="60"/>
            </w:pPr>
            <w:proofErr w:type="spellStart"/>
            <w:r w:rsidRPr="00C63248">
              <w:rPr>
                <w:i/>
              </w:rPr>
              <w:t>Raftland</w:t>
            </w:r>
            <w:proofErr w:type="spellEnd"/>
            <w:r w:rsidRPr="00C63248">
              <w:rPr>
                <w:i/>
              </w:rPr>
              <w:t xml:space="preserve"> Pty Ltd (as trustee of the </w:t>
            </w:r>
            <w:proofErr w:type="spellStart"/>
            <w:r w:rsidRPr="00C63248">
              <w:rPr>
                <w:i/>
              </w:rPr>
              <w:t>Raftland</w:t>
            </w:r>
            <w:proofErr w:type="spellEnd"/>
            <w:r w:rsidRPr="00C63248">
              <w:rPr>
                <w:i/>
              </w:rPr>
              <w:t xml:space="preserve"> Trust) v Commissioner of Taxation</w:t>
            </w:r>
            <w:r>
              <w:t xml:space="preserve"> [2006] FCA 109; (2006) 227 ALR 598</w:t>
            </w:r>
          </w:p>
          <w:p w14:paraId="1AB2FDCC" w14:textId="1C42B81D" w:rsidR="008C167B" w:rsidRDefault="008C167B" w:rsidP="00D82620">
            <w:pPr>
              <w:pStyle w:val="CasesLegislationAppealFrom"/>
              <w:spacing w:after="60"/>
              <w:rPr>
                <w:bdr w:val="none" w:sz="0" w:space="0" w:color="auto" w:frame="1"/>
              </w:rPr>
            </w:pPr>
            <w:r w:rsidRPr="0022112C">
              <w:rPr>
                <w:i/>
                <w:iCs/>
                <w:bdr w:val="none" w:sz="0" w:space="0" w:color="auto" w:frame="1"/>
              </w:rPr>
              <w:t xml:space="preserve">Re LEWIS (as liquidators of </w:t>
            </w:r>
            <w:r>
              <w:rPr>
                <w:i/>
                <w:iCs/>
                <w:bdr w:val="none" w:sz="0" w:space="0" w:color="auto" w:frame="1"/>
              </w:rPr>
              <w:t xml:space="preserve">CONCRETE SUPPLY PTY LTD </w:t>
            </w:r>
            <w:r w:rsidRPr="0022112C">
              <w:rPr>
                <w:i/>
                <w:iCs/>
                <w:bdr w:val="none" w:sz="0" w:space="0" w:color="auto" w:frame="1"/>
              </w:rPr>
              <w:t>(in liq)</w:t>
            </w:r>
            <w:r>
              <w:rPr>
                <w:i/>
                <w:iCs/>
                <w:bdr w:val="none" w:sz="0" w:space="0" w:color="auto" w:frame="1"/>
              </w:rPr>
              <w:t xml:space="preserve"> (ACN 007 848 580)</w:t>
            </w:r>
            <w:r w:rsidRPr="0022112C">
              <w:rPr>
                <w:bdr w:val="none" w:sz="0" w:space="0" w:color="auto" w:frame="1"/>
              </w:rPr>
              <w:t xml:space="preserve"> (2020) 145 ACSR 459</w:t>
            </w:r>
          </w:p>
          <w:p w14:paraId="1E772F43" w14:textId="4CD881C9" w:rsidR="00395B24" w:rsidRDefault="008C167B" w:rsidP="00D82620">
            <w:pPr>
              <w:pStyle w:val="CasesLegislationAppealFrom"/>
              <w:spacing w:after="60"/>
            </w:pPr>
            <w:r>
              <w:rPr>
                <w:i/>
              </w:rPr>
              <w:t xml:space="preserve">Re </w:t>
            </w:r>
            <w:r w:rsidRPr="00E816F2">
              <w:rPr>
                <w:i/>
              </w:rPr>
              <w:t xml:space="preserve">McGowan &amp; </w:t>
            </w:r>
            <w:proofErr w:type="spellStart"/>
            <w:r w:rsidRPr="00E816F2">
              <w:rPr>
                <w:i/>
              </w:rPr>
              <w:t>Valentini</w:t>
            </w:r>
            <w:proofErr w:type="spellEnd"/>
            <w:r w:rsidRPr="00E816F2">
              <w:rPr>
                <w:i/>
              </w:rPr>
              <w:t xml:space="preserve"> Trusts</w:t>
            </w:r>
            <w:r>
              <w:t xml:space="preserve"> [2021] VSC 154</w:t>
            </w:r>
            <w:r w:rsidR="002C7385">
              <w:t xml:space="preserve"> </w:t>
            </w:r>
            <w:bookmarkEnd w:id="4"/>
          </w:p>
        </w:tc>
      </w:tr>
      <w:tr w:rsidR="008428BB" w14:paraId="6AC3F4DC" w14:textId="77777777" w:rsidTr="00FB0143">
        <w:tc>
          <w:tcPr>
            <w:tcW w:w="3083" w:type="dxa"/>
            <w:shd w:val="clear" w:color="auto" w:fill="auto"/>
          </w:tcPr>
          <w:p w14:paraId="4D7E8B31" w14:textId="77777777" w:rsidR="008428BB" w:rsidRDefault="008428BB" w:rsidP="002F7154">
            <w:pPr>
              <w:pStyle w:val="Normal1linespace"/>
              <w:widowControl w:val="0"/>
            </w:pPr>
          </w:p>
        </w:tc>
        <w:tc>
          <w:tcPr>
            <w:tcW w:w="5990" w:type="dxa"/>
            <w:shd w:val="clear" w:color="auto" w:fill="auto"/>
          </w:tcPr>
          <w:p w14:paraId="0AAEB0DE" w14:textId="77777777" w:rsidR="008428BB" w:rsidRDefault="008428BB" w:rsidP="002F7154">
            <w:pPr>
              <w:pStyle w:val="Normal1linespace"/>
              <w:widowControl w:val="0"/>
              <w:jc w:val="left"/>
            </w:pPr>
          </w:p>
        </w:tc>
      </w:tr>
      <w:tr w:rsidR="008428BB" w14:paraId="7C6706C4" w14:textId="77777777" w:rsidTr="00FB0143">
        <w:tc>
          <w:tcPr>
            <w:tcW w:w="3083" w:type="dxa"/>
            <w:shd w:val="clear" w:color="auto" w:fill="auto"/>
          </w:tcPr>
          <w:p w14:paraId="7A958F4F" w14:textId="77777777" w:rsidR="008428BB" w:rsidRDefault="008428BB" w:rsidP="00501A12">
            <w:pPr>
              <w:pStyle w:val="Normal1linespace"/>
              <w:widowControl w:val="0"/>
            </w:pPr>
            <w:r>
              <w:t>Division:</w:t>
            </w:r>
          </w:p>
        </w:tc>
        <w:tc>
          <w:tcPr>
            <w:tcW w:w="5990" w:type="dxa"/>
            <w:shd w:val="clear" w:color="auto" w:fill="auto"/>
          </w:tcPr>
          <w:p w14:paraId="56A7BF69" w14:textId="77777777" w:rsidR="008428BB" w:rsidRPr="00F17599" w:rsidRDefault="005E790F" w:rsidP="00501A12">
            <w:pPr>
              <w:pStyle w:val="Normal1linespace"/>
              <w:widowControl w:val="0"/>
              <w:jc w:val="left"/>
            </w:pPr>
            <w:r>
              <w:fldChar w:fldCharType="begin"/>
            </w:r>
            <w:r>
              <w:instrText xml:space="preserve"> DOCPROPERTY  Division </w:instrText>
            </w:r>
            <w:r>
              <w:fldChar w:fldCharType="separate"/>
            </w:r>
            <w:r w:rsidR="008428BB">
              <w:t>General Division</w:t>
            </w:r>
            <w:r>
              <w:fldChar w:fldCharType="end"/>
            </w:r>
          </w:p>
        </w:tc>
      </w:tr>
      <w:tr w:rsidR="008428BB" w14:paraId="1D485D93" w14:textId="77777777" w:rsidTr="00FB0143">
        <w:tc>
          <w:tcPr>
            <w:tcW w:w="3083" w:type="dxa"/>
            <w:shd w:val="clear" w:color="auto" w:fill="auto"/>
          </w:tcPr>
          <w:p w14:paraId="177B956D" w14:textId="77777777" w:rsidR="008428BB" w:rsidRDefault="008428BB" w:rsidP="00501A12">
            <w:pPr>
              <w:pStyle w:val="Normal1linespace"/>
              <w:widowControl w:val="0"/>
            </w:pPr>
            <w:bookmarkStart w:id="5" w:name="Registry_rows" w:colFirst="0" w:colLast="1"/>
          </w:p>
        </w:tc>
        <w:tc>
          <w:tcPr>
            <w:tcW w:w="5990" w:type="dxa"/>
            <w:shd w:val="clear" w:color="auto" w:fill="auto"/>
          </w:tcPr>
          <w:p w14:paraId="7B2032C3" w14:textId="77777777" w:rsidR="008428BB" w:rsidRDefault="008428BB" w:rsidP="00501A12">
            <w:pPr>
              <w:pStyle w:val="Normal1linespace"/>
              <w:widowControl w:val="0"/>
              <w:jc w:val="left"/>
            </w:pPr>
          </w:p>
        </w:tc>
      </w:tr>
      <w:tr w:rsidR="008428BB" w14:paraId="07D2B7F3" w14:textId="77777777" w:rsidTr="00FB0143">
        <w:tc>
          <w:tcPr>
            <w:tcW w:w="3083" w:type="dxa"/>
            <w:shd w:val="clear" w:color="auto" w:fill="auto"/>
          </w:tcPr>
          <w:p w14:paraId="7C3A9841" w14:textId="77777777" w:rsidR="008428BB" w:rsidRDefault="008428BB" w:rsidP="00501A12">
            <w:pPr>
              <w:pStyle w:val="Normal1linespace"/>
              <w:widowControl w:val="0"/>
            </w:pPr>
            <w:r>
              <w:t>Registry:</w:t>
            </w:r>
          </w:p>
        </w:tc>
        <w:tc>
          <w:tcPr>
            <w:tcW w:w="5990" w:type="dxa"/>
            <w:shd w:val="clear" w:color="auto" w:fill="auto"/>
          </w:tcPr>
          <w:p w14:paraId="6EEFFD3B" w14:textId="3D8D8686" w:rsidR="008428BB" w:rsidRPr="00F17599" w:rsidRDefault="005E790F" w:rsidP="00C06D01">
            <w:pPr>
              <w:pStyle w:val="Normal1linespace"/>
              <w:widowControl w:val="0"/>
              <w:jc w:val="left"/>
            </w:pPr>
            <w:r>
              <w:fldChar w:fldCharType="begin"/>
            </w:r>
            <w:r>
              <w:instrText xml:space="preserve"> DOCPROPERTY  Registry </w:instrText>
            </w:r>
            <w:r>
              <w:fldChar w:fldCharType="separate"/>
            </w:r>
            <w:r w:rsidR="00C06D01">
              <w:t>Queensland</w:t>
            </w:r>
            <w:r>
              <w:fldChar w:fldCharType="end"/>
            </w:r>
          </w:p>
        </w:tc>
      </w:tr>
      <w:tr w:rsidR="008428BB" w14:paraId="7DD56926" w14:textId="77777777" w:rsidTr="00FB0143">
        <w:tc>
          <w:tcPr>
            <w:tcW w:w="3083" w:type="dxa"/>
            <w:shd w:val="clear" w:color="auto" w:fill="auto"/>
          </w:tcPr>
          <w:p w14:paraId="39E78DF7" w14:textId="77777777" w:rsidR="008428BB" w:rsidRDefault="008428BB" w:rsidP="00501A12">
            <w:pPr>
              <w:pStyle w:val="Normal1linespace"/>
              <w:widowControl w:val="0"/>
            </w:pPr>
            <w:bookmarkStart w:id="6" w:name="NPARow" w:colFirst="0" w:colLast="1"/>
            <w:bookmarkEnd w:id="5"/>
          </w:p>
        </w:tc>
        <w:tc>
          <w:tcPr>
            <w:tcW w:w="5990" w:type="dxa"/>
            <w:shd w:val="clear" w:color="auto" w:fill="auto"/>
          </w:tcPr>
          <w:p w14:paraId="033E0869" w14:textId="77777777" w:rsidR="008428BB" w:rsidRPr="00F17599" w:rsidRDefault="008428BB" w:rsidP="00501A12">
            <w:pPr>
              <w:pStyle w:val="Normal1linespace"/>
              <w:widowControl w:val="0"/>
              <w:jc w:val="left"/>
              <w:rPr>
                <w:b/>
              </w:rPr>
            </w:pPr>
          </w:p>
        </w:tc>
      </w:tr>
      <w:tr w:rsidR="008428BB" w14:paraId="2B0FD166" w14:textId="77777777" w:rsidTr="00FB0143">
        <w:tc>
          <w:tcPr>
            <w:tcW w:w="3083" w:type="dxa"/>
            <w:shd w:val="clear" w:color="auto" w:fill="auto"/>
          </w:tcPr>
          <w:p w14:paraId="7F2FE22C" w14:textId="77777777" w:rsidR="008428BB" w:rsidRDefault="008428BB" w:rsidP="00501A12">
            <w:pPr>
              <w:pStyle w:val="Normal1linespace"/>
              <w:widowControl w:val="0"/>
            </w:pPr>
            <w:r>
              <w:t>National Practice Area:</w:t>
            </w:r>
          </w:p>
        </w:tc>
        <w:tc>
          <w:tcPr>
            <w:tcW w:w="5990" w:type="dxa"/>
            <w:shd w:val="clear" w:color="auto" w:fill="auto"/>
          </w:tcPr>
          <w:p w14:paraId="6B049D34" w14:textId="77777777" w:rsidR="008428BB" w:rsidRPr="00F17599" w:rsidRDefault="00874B99" w:rsidP="00171DBB">
            <w:pPr>
              <w:pStyle w:val="Normal1linespace"/>
              <w:widowControl w:val="0"/>
              <w:jc w:val="left"/>
              <w:rPr>
                <w:b/>
              </w:rPr>
            </w:pPr>
            <w:fldSimple w:instr=" DOCPROPERTY  &quot;Practice Area&quot;  \* MERGEFORMAT ">
              <w:r w:rsidR="008428BB">
                <w:t>Commercial and Corporations</w:t>
              </w:r>
            </w:fldSimple>
          </w:p>
        </w:tc>
      </w:tr>
      <w:tr w:rsidR="008428BB" w14:paraId="728242A8" w14:textId="77777777" w:rsidTr="00FB0143">
        <w:tc>
          <w:tcPr>
            <w:tcW w:w="3083" w:type="dxa"/>
            <w:shd w:val="clear" w:color="auto" w:fill="auto"/>
          </w:tcPr>
          <w:p w14:paraId="18E0F320" w14:textId="77777777" w:rsidR="008428BB" w:rsidRDefault="008428BB" w:rsidP="00501A12">
            <w:pPr>
              <w:pStyle w:val="Normal1linespace"/>
              <w:widowControl w:val="0"/>
            </w:pPr>
            <w:bookmarkStart w:id="7" w:name="SubAreaRow" w:colFirst="0" w:colLast="1"/>
            <w:bookmarkEnd w:id="6"/>
          </w:p>
        </w:tc>
        <w:tc>
          <w:tcPr>
            <w:tcW w:w="5990" w:type="dxa"/>
            <w:shd w:val="clear" w:color="auto" w:fill="auto"/>
          </w:tcPr>
          <w:p w14:paraId="08DBC787" w14:textId="77777777" w:rsidR="008428BB" w:rsidRDefault="008428BB" w:rsidP="00171DBB">
            <w:pPr>
              <w:pStyle w:val="Normal1linespace"/>
              <w:widowControl w:val="0"/>
              <w:jc w:val="left"/>
            </w:pPr>
          </w:p>
        </w:tc>
      </w:tr>
      <w:tr w:rsidR="008428BB" w14:paraId="06A57BF0" w14:textId="77777777" w:rsidTr="00FB0143">
        <w:tc>
          <w:tcPr>
            <w:tcW w:w="3083" w:type="dxa"/>
            <w:shd w:val="clear" w:color="auto" w:fill="auto"/>
          </w:tcPr>
          <w:p w14:paraId="0A442537" w14:textId="77777777" w:rsidR="008428BB" w:rsidRDefault="008428BB" w:rsidP="00501A12">
            <w:pPr>
              <w:pStyle w:val="Normal1linespace"/>
              <w:widowControl w:val="0"/>
            </w:pPr>
            <w:r>
              <w:t>Sub-area:</w:t>
            </w:r>
          </w:p>
        </w:tc>
        <w:tc>
          <w:tcPr>
            <w:tcW w:w="5990" w:type="dxa"/>
            <w:shd w:val="clear" w:color="auto" w:fill="auto"/>
          </w:tcPr>
          <w:p w14:paraId="73545DF5" w14:textId="77777777" w:rsidR="008428BB" w:rsidRPr="00837288" w:rsidRDefault="00874B99" w:rsidP="00435936">
            <w:pPr>
              <w:pStyle w:val="Normal1linespace"/>
              <w:widowControl w:val="0"/>
              <w:jc w:val="left"/>
            </w:pPr>
            <w:fldSimple w:instr=" DOCPROPERTY  &quot;Sub Area&quot;  \* MERGEFORMAT ">
              <w:r w:rsidR="008428BB" w:rsidRPr="008428BB">
                <w:rPr>
                  <w:lang w:val="en-US"/>
                </w:rPr>
                <w:t>Corporations and Corporate</w:t>
              </w:r>
              <w:r w:rsidR="008428BB">
                <w:t xml:space="preserve"> Insolvency</w:t>
              </w:r>
            </w:fldSimple>
          </w:p>
        </w:tc>
      </w:tr>
      <w:bookmarkEnd w:id="7"/>
      <w:tr w:rsidR="008428BB" w14:paraId="0BD01CDD" w14:textId="77777777" w:rsidTr="00FB0143">
        <w:tc>
          <w:tcPr>
            <w:tcW w:w="3083" w:type="dxa"/>
            <w:shd w:val="clear" w:color="auto" w:fill="auto"/>
          </w:tcPr>
          <w:p w14:paraId="15906A73" w14:textId="77777777" w:rsidR="008428BB" w:rsidRDefault="008428BB" w:rsidP="00501A12">
            <w:pPr>
              <w:pStyle w:val="Normal1linespace"/>
              <w:widowControl w:val="0"/>
            </w:pPr>
          </w:p>
        </w:tc>
        <w:tc>
          <w:tcPr>
            <w:tcW w:w="5990" w:type="dxa"/>
            <w:shd w:val="clear" w:color="auto" w:fill="auto"/>
          </w:tcPr>
          <w:p w14:paraId="60508376" w14:textId="77777777" w:rsidR="008428BB" w:rsidRDefault="008428BB" w:rsidP="00501A12">
            <w:pPr>
              <w:pStyle w:val="Normal1linespace"/>
              <w:widowControl w:val="0"/>
              <w:jc w:val="left"/>
            </w:pPr>
          </w:p>
        </w:tc>
      </w:tr>
      <w:tr w:rsidR="008428BB" w14:paraId="4ADE5A6E" w14:textId="77777777" w:rsidTr="00FB0143">
        <w:tc>
          <w:tcPr>
            <w:tcW w:w="3083" w:type="dxa"/>
            <w:shd w:val="clear" w:color="auto" w:fill="auto"/>
          </w:tcPr>
          <w:p w14:paraId="49EFF957" w14:textId="77777777" w:rsidR="008428BB" w:rsidRDefault="008428BB" w:rsidP="00501A12">
            <w:pPr>
              <w:pStyle w:val="Normal1linespace"/>
              <w:widowControl w:val="0"/>
            </w:pPr>
            <w:r>
              <w:t>Number of paragraphs:</w:t>
            </w:r>
          </w:p>
        </w:tc>
        <w:tc>
          <w:tcPr>
            <w:tcW w:w="5990" w:type="dxa"/>
            <w:shd w:val="clear" w:color="auto" w:fill="auto"/>
          </w:tcPr>
          <w:p w14:paraId="163D5B25" w14:textId="72AF4592" w:rsidR="008428BB" w:rsidRDefault="001C3C7A" w:rsidP="00501A12">
            <w:pPr>
              <w:pStyle w:val="Normal1linespace"/>
              <w:widowControl w:val="0"/>
              <w:jc w:val="left"/>
            </w:pPr>
            <w:bookmarkStart w:id="8" w:name="PlaceCategoryParagraphs"/>
            <w:r>
              <w:t>32</w:t>
            </w:r>
            <w:bookmarkEnd w:id="8"/>
          </w:p>
        </w:tc>
      </w:tr>
      <w:tr w:rsidR="008428BB" w14:paraId="3BA94BD1" w14:textId="77777777" w:rsidTr="00FB0143">
        <w:tc>
          <w:tcPr>
            <w:tcW w:w="3083" w:type="dxa"/>
            <w:shd w:val="clear" w:color="auto" w:fill="auto"/>
          </w:tcPr>
          <w:p w14:paraId="27F1E4D8" w14:textId="77777777" w:rsidR="008428BB" w:rsidRDefault="008428BB" w:rsidP="008428BB">
            <w:pPr>
              <w:pStyle w:val="Normal1linespace"/>
              <w:widowControl w:val="0"/>
              <w:jc w:val="left"/>
            </w:pPr>
          </w:p>
        </w:tc>
        <w:tc>
          <w:tcPr>
            <w:tcW w:w="5990" w:type="dxa"/>
            <w:shd w:val="clear" w:color="auto" w:fill="auto"/>
          </w:tcPr>
          <w:p w14:paraId="05E4F575" w14:textId="77777777" w:rsidR="008428BB" w:rsidRDefault="008428BB" w:rsidP="008428BB">
            <w:pPr>
              <w:pStyle w:val="Normal1linespace"/>
              <w:widowControl w:val="0"/>
              <w:jc w:val="left"/>
            </w:pPr>
          </w:p>
        </w:tc>
      </w:tr>
      <w:tr w:rsidR="008428BB" w14:paraId="4C068CA6" w14:textId="77777777" w:rsidTr="00FB0143">
        <w:tc>
          <w:tcPr>
            <w:tcW w:w="3083" w:type="dxa"/>
            <w:shd w:val="clear" w:color="auto" w:fill="auto"/>
          </w:tcPr>
          <w:p w14:paraId="68CE613F" w14:textId="77777777" w:rsidR="008428BB" w:rsidRDefault="008428BB" w:rsidP="008428BB">
            <w:pPr>
              <w:pStyle w:val="Normal1linespace"/>
              <w:widowControl w:val="0"/>
              <w:jc w:val="left"/>
            </w:pPr>
            <w:bookmarkStart w:id="9" w:name="CounselDate" w:colFirst="0" w:colLast="2"/>
            <w:r w:rsidRPr="006A24E3">
              <w:t>Date of hearing:</w:t>
            </w:r>
          </w:p>
        </w:tc>
        <w:tc>
          <w:tcPr>
            <w:tcW w:w="5990" w:type="dxa"/>
            <w:shd w:val="clear" w:color="auto" w:fill="auto"/>
          </w:tcPr>
          <w:p w14:paraId="5075A34C" w14:textId="77777777" w:rsidR="008428BB" w:rsidRDefault="00F1035D" w:rsidP="008428BB">
            <w:pPr>
              <w:pStyle w:val="Normal1linespace"/>
              <w:widowControl w:val="0"/>
              <w:jc w:val="left"/>
            </w:pPr>
            <w:bookmarkStart w:id="10" w:name="HearingDate"/>
            <w:r>
              <w:t>11 October 2022</w:t>
            </w:r>
            <w:r w:rsidR="008428BB">
              <w:t xml:space="preserve"> </w:t>
            </w:r>
            <w:bookmarkEnd w:id="10"/>
          </w:p>
        </w:tc>
      </w:tr>
      <w:tr w:rsidR="008428BB" w14:paraId="65598B56" w14:textId="77777777" w:rsidTr="00FB0143">
        <w:tc>
          <w:tcPr>
            <w:tcW w:w="3083" w:type="dxa"/>
            <w:shd w:val="clear" w:color="auto" w:fill="auto"/>
          </w:tcPr>
          <w:p w14:paraId="324EA7AE" w14:textId="77777777" w:rsidR="008428BB" w:rsidRDefault="008428BB" w:rsidP="008428BB">
            <w:pPr>
              <w:pStyle w:val="Normal1linespace"/>
              <w:widowControl w:val="0"/>
              <w:jc w:val="left"/>
            </w:pPr>
          </w:p>
        </w:tc>
        <w:tc>
          <w:tcPr>
            <w:tcW w:w="5990" w:type="dxa"/>
            <w:shd w:val="clear" w:color="auto" w:fill="auto"/>
          </w:tcPr>
          <w:p w14:paraId="0E837CDB" w14:textId="77777777" w:rsidR="008428BB" w:rsidRDefault="008428BB" w:rsidP="008428BB">
            <w:pPr>
              <w:pStyle w:val="Normal1linespace"/>
              <w:widowControl w:val="0"/>
              <w:jc w:val="left"/>
            </w:pPr>
          </w:p>
        </w:tc>
      </w:tr>
      <w:tr w:rsidR="00FB0143" w14:paraId="6128B14B" w14:textId="77777777" w:rsidTr="00FB0143">
        <w:tc>
          <w:tcPr>
            <w:tcW w:w="3083" w:type="dxa"/>
            <w:shd w:val="clear" w:color="auto" w:fill="auto"/>
          </w:tcPr>
          <w:p w14:paraId="13262C5A" w14:textId="07FC4157" w:rsidR="00FB0143" w:rsidRDefault="00FB0143" w:rsidP="00FB0143">
            <w:pPr>
              <w:pStyle w:val="Normal1linespace"/>
              <w:widowControl w:val="0"/>
              <w:jc w:val="left"/>
            </w:pPr>
            <w:bookmarkStart w:id="11" w:name="Counsel" w:colFirst="0" w:colLast="2"/>
            <w:bookmarkEnd w:id="9"/>
            <w:r>
              <w:t>Counsel for the Plaintiffs:</w:t>
            </w:r>
          </w:p>
        </w:tc>
        <w:tc>
          <w:tcPr>
            <w:tcW w:w="5990" w:type="dxa"/>
            <w:shd w:val="clear" w:color="auto" w:fill="auto"/>
          </w:tcPr>
          <w:p w14:paraId="3A80256E" w14:textId="73635BBA" w:rsidR="00FB0143" w:rsidRDefault="00FB0143" w:rsidP="00FB0143">
            <w:pPr>
              <w:pStyle w:val="Normal1linespace"/>
              <w:widowControl w:val="0"/>
              <w:jc w:val="left"/>
            </w:pPr>
            <w:bookmarkStart w:id="12" w:name="AppCounsel"/>
            <w:bookmarkEnd w:id="12"/>
            <w:r>
              <w:t>Ms C Conway</w:t>
            </w:r>
          </w:p>
        </w:tc>
      </w:tr>
      <w:tr w:rsidR="00FB0143" w14:paraId="54BBE883" w14:textId="77777777" w:rsidTr="002B12ED">
        <w:tc>
          <w:tcPr>
            <w:tcW w:w="3083" w:type="dxa"/>
            <w:shd w:val="clear" w:color="auto" w:fill="auto"/>
          </w:tcPr>
          <w:p w14:paraId="6E8D8663" w14:textId="77777777" w:rsidR="00FB0143" w:rsidRDefault="00FB0143" w:rsidP="00FB0143">
            <w:pPr>
              <w:pStyle w:val="Normal1linespace"/>
              <w:widowControl w:val="0"/>
              <w:jc w:val="left"/>
            </w:pPr>
          </w:p>
        </w:tc>
        <w:tc>
          <w:tcPr>
            <w:tcW w:w="5990" w:type="dxa"/>
            <w:shd w:val="clear" w:color="auto" w:fill="auto"/>
          </w:tcPr>
          <w:p w14:paraId="466967B2" w14:textId="77777777" w:rsidR="00FB0143" w:rsidRDefault="00FB0143" w:rsidP="00FB0143">
            <w:pPr>
              <w:pStyle w:val="Normal1linespace"/>
              <w:widowControl w:val="0"/>
              <w:jc w:val="left"/>
            </w:pPr>
          </w:p>
        </w:tc>
      </w:tr>
      <w:tr w:rsidR="00FB0143" w14:paraId="11153858" w14:textId="77777777" w:rsidTr="002B12ED">
        <w:tc>
          <w:tcPr>
            <w:tcW w:w="3083" w:type="dxa"/>
            <w:shd w:val="clear" w:color="auto" w:fill="auto"/>
          </w:tcPr>
          <w:p w14:paraId="3C54DFAA" w14:textId="0A1788C9" w:rsidR="00FB0143" w:rsidRDefault="00FB0143" w:rsidP="00FB0143">
            <w:pPr>
              <w:pStyle w:val="Normal1linespace"/>
              <w:widowControl w:val="0"/>
              <w:jc w:val="left"/>
            </w:pPr>
            <w:r>
              <w:t>Solicitor for the Plaintiffs:</w:t>
            </w:r>
          </w:p>
        </w:tc>
        <w:tc>
          <w:tcPr>
            <w:tcW w:w="5990" w:type="dxa"/>
            <w:shd w:val="clear" w:color="auto" w:fill="auto"/>
          </w:tcPr>
          <w:p w14:paraId="1F155972" w14:textId="4B07CC6A" w:rsidR="00FB0143" w:rsidRDefault="002B12ED" w:rsidP="00FB0143">
            <w:pPr>
              <w:pStyle w:val="Normal1linespace"/>
              <w:widowControl w:val="0"/>
              <w:jc w:val="left"/>
            </w:pPr>
            <w:r>
              <w:t>Mills Oakley</w:t>
            </w:r>
          </w:p>
        </w:tc>
      </w:tr>
      <w:tr w:rsidR="00FB0143" w14:paraId="3AB10A20" w14:textId="77777777" w:rsidTr="002B12ED">
        <w:tc>
          <w:tcPr>
            <w:tcW w:w="3083" w:type="dxa"/>
            <w:shd w:val="clear" w:color="auto" w:fill="auto"/>
          </w:tcPr>
          <w:p w14:paraId="18F54E2D" w14:textId="77777777" w:rsidR="00FB0143" w:rsidRDefault="00FB0143" w:rsidP="00FB0143">
            <w:pPr>
              <w:pStyle w:val="Normal1linespace"/>
              <w:widowControl w:val="0"/>
              <w:jc w:val="left"/>
            </w:pPr>
          </w:p>
        </w:tc>
        <w:tc>
          <w:tcPr>
            <w:tcW w:w="5990" w:type="dxa"/>
            <w:shd w:val="clear" w:color="auto" w:fill="auto"/>
          </w:tcPr>
          <w:p w14:paraId="15C4D1CB" w14:textId="77777777" w:rsidR="00FB0143" w:rsidRDefault="00FB0143" w:rsidP="00FB0143">
            <w:pPr>
              <w:pStyle w:val="Normal1linespace"/>
              <w:widowControl w:val="0"/>
              <w:jc w:val="left"/>
            </w:pPr>
          </w:p>
        </w:tc>
      </w:tr>
      <w:tr w:rsidR="00FB0143" w14:paraId="54FD97AE" w14:textId="77777777" w:rsidTr="002B12ED">
        <w:tc>
          <w:tcPr>
            <w:tcW w:w="3083" w:type="dxa"/>
            <w:shd w:val="clear" w:color="auto" w:fill="auto"/>
          </w:tcPr>
          <w:p w14:paraId="1B9C5DC8" w14:textId="20289AF3" w:rsidR="00FB0143" w:rsidRDefault="00FB0143" w:rsidP="00FB0143">
            <w:pPr>
              <w:pStyle w:val="Normal1linespace"/>
              <w:widowControl w:val="0"/>
              <w:jc w:val="left"/>
            </w:pPr>
            <w:r>
              <w:t>Counsel for the Defendants:</w:t>
            </w:r>
          </w:p>
        </w:tc>
        <w:tc>
          <w:tcPr>
            <w:tcW w:w="5990" w:type="dxa"/>
            <w:shd w:val="clear" w:color="auto" w:fill="auto"/>
          </w:tcPr>
          <w:p w14:paraId="58C692E1" w14:textId="50CD1F56" w:rsidR="00FB0143" w:rsidRDefault="00FB0143" w:rsidP="00FB0143">
            <w:pPr>
              <w:pStyle w:val="Normal1linespace"/>
              <w:widowControl w:val="0"/>
              <w:jc w:val="left"/>
            </w:pPr>
            <w:r>
              <w:t>Ms S Goldsmith-</w:t>
            </w:r>
            <w:proofErr w:type="spellStart"/>
            <w:r>
              <w:t>Medd</w:t>
            </w:r>
            <w:proofErr w:type="spellEnd"/>
            <w:r>
              <w:t xml:space="preserve"> in person</w:t>
            </w:r>
          </w:p>
        </w:tc>
      </w:tr>
      <w:bookmarkEnd w:id="11"/>
    </w:tbl>
    <w:p w14:paraId="2F0AA240" w14:textId="77777777" w:rsidR="007470BD" w:rsidRDefault="007470BD">
      <w:pPr>
        <w:pStyle w:val="Normal1linespace"/>
      </w:pPr>
    </w:p>
    <w:p w14:paraId="45FF495E" w14:textId="77777777" w:rsidR="00E94CBF" w:rsidRDefault="00E94CBF">
      <w:pPr>
        <w:pStyle w:val="Normal1linespace"/>
      </w:pPr>
    </w:p>
    <w:p w14:paraId="6DAE6600"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568BF97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1D82E3B" w14:textId="77777777" w:rsidTr="00E81DA6">
        <w:tc>
          <w:tcPr>
            <w:tcW w:w="6912" w:type="dxa"/>
            <w:gridSpan w:val="2"/>
          </w:tcPr>
          <w:p w14:paraId="52ED7689" w14:textId="77777777" w:rsidR="00A46CCC" w:rsidRPr="001765E0" w:rsidRDefault="00A46CCC" w:rsidP="00525A49">
            <w:pPr>
              <w:pStyle w:val="NormalHeadings"/>
            </w:pPr>
          </w:p>
        </w:tc>
        <w:tc>
          <w:tcPr>
            <w:tcW w:w="2330" w:type="dxa"/>
          </w:tcPr>
          <w:p w14:paraId="7AE943BA" w14:textId="77777777" w:rsidR="00A46CCC" w:rsidRDefault="008428BB" w:rsidP="00F92355">
            <w:pPr>
              <w:pStyle w:val="NormalHeadings"/>
              <w:jc w:val="right"/>
            </w:pPr>
            <w:bookmarkStart w:id="13" w:name="FileNo"/>
            <w:r>
              <w:t>QUD 276 of 2020</w:t>
            </w:r>
            <w:bookmarkEnd w:id="13"/>
          </w:p>
        </w:tc>
      </w:tr>
      <w:tr w:rsidR="00A76C13" w14:paraId="696974AB" w14:textId="77777777" w:rsidTr="00F461A4">
        <w:tc>
          <w:tcPr>
            <w:tcW w:w="9242" w:type="dxa"/>
            <w:gridSpan w:val="3"/>
          </w:tcPr>
          <w:p w14:paraId="3D726A6C" w14:textId="77777777" w:rsidR="00A76C13" w:rsidRPr="00A76C13" w:rsidRDefault="008428BB" w:rsidP="00F1035D">
            <w:pPr>
              <w:pStyle w:val="NormalHeadings"/>
              <w:spacing w:before="240" w:after="240"/>
              <w:jc w:val="left"/>
            </w:pPr>
            <w:bookmarkStart w:id="14" w:name="InTheMatterOf"/>
            <w:r>
              <w:t xml:space="preserve">IN THE MATTER </w:t>
            </w:r>
            <w:r w:rsidR="00F1035D">
              <w:t xml:space="preserve">OF </w:t>
            </w:r>
            <w:r>
              <w:t>MANDALAY ROAD HOLDINGS PTY LTD (IN LIQUIDATION)</w:t>
            </w:r>
            <w:bookmarkEnd w:id="14"/>
          </w:p>
        </w:tc>
      </w:tr>
      <w:tr w:rsidR="00A46CCC" w14:paraId="46CD4C2E" w14:textId="77777777" w:rsidTr="005041F0">
        <w:trPr>
          <w:trHeight w:val="386"/>
        </w:trPr>
        <w:tc>
          <w:tcPr>
            <w:tcW w:w="2376" w:type="dxa"/>
          </w:tcPr>
          <w:p w14:paraId="0DADB03F"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5B4F187B" w14:textId="77777777" w:rsidR="008428BB" w:rsidRDefault="008428BB" w:rsidP="008428BB">
            <w:pPr>
              <w:pStyle w:val="NormalHeadings"/>
              <w:jc w:val="left"/>
            </w:pPr>
            <w:bookmarkStart w:id="16" w:name="Applicant"/>
            <w:r>
              <w:t>CRAIG IVOR BOLWELL (AS LIQUIDATOR OF MANDALAY ROAD HOLDINGS PTY LTD (IN LIQUIDATION) (ACN 162 240 093)</w:t>
            </w:r>
          </w:p>
          <w:p w14:paraId="046B1E59" w14:textId="77777777" w:rsidR="008428BB" w:rsidRDefault="008428BB" w:rsidP="008428BB">
            <w:pPr>
              <w:pStyle w:val="PartyType"/>
            </w:pPr>
            <w:r>
              <w:t>First Plaintiff</w:t>
            </w:r>
          </w:p>
          <w:p w14:paraId="1C77F2E2" w14:textId="77777777" w:rsidR="008428BB" w:rsidRDefault="008428BB" w:rsidP="005041F0">
            <w:pPr>
              <w:pStyle w:val="NormalHeadings"/>
              <w:jc w:val="left"/>
              <w:rPr>
                <w:szCs w:val="24"/>
              </w:rPr>
            </w:pPr>
          </w:p>
          <w:p w14:paraId="40AD8492" w14:textId="77777777" w:rsidR="008428BB" w:rsidRDefault="008428BB" w:rsidP="008428BB">
            <w:pPr>
              <w:pStyle w:val="NormalHeadings"/>
              <w:jc w:val="left"/>
            </w:pPr>
            <w:r>
              <w:t>MANDALAY ROAD HOLDINGS PTY LTD (IN LIQUIDATION) (ACN 162 240 093)</w:t>
            </w:r>
          </w:p>
          <w:p w14:paraId="5BC39EEB" w14:textId="77777777" w:rsidR="008428BB" w:rsidRDefault="008428BB" w:rsidP="008428BB">
            <w:pPr>
              <w:pStyle w:val="PartyType"/>
            </w:pPr>
            <w:r>
              <w:t>Second Plaintiff</w:t>
            </w:r>
          </w:p>
          <w:p w14:paraId="7AB47AF4" w14:textId="77777777" w:rsidR="008428BB" w:rsidRDefault="008428BB" w:rsidP="005041F0">
            <w:pPr>
              <w:pStyle w:val="NormalHeadings"/>
              <w:jc w:val="left"/>
              <w:rPr>
                <w:szCs w:val="24"/>
              </w:rPr>
            </w:pPr>
          </w:p>
          <w:p w14:paraId="78DDDDD2" w14:textId="77777777" w:rsidR="008428BB" w:rsidRDefault="008428BB" w:rsidP="008428BB">
            <w:pPr>
              <w:pStyle w:val="NormalHeadings"/>
              <w:jc w:val="left"/>
            </w:pPr>
            <w:r>
              <w:t>CRAIG IVOR BOLWELL IN HIS CAPACITY AS RECEIVER AND MANAGER OF THE ASSETS OF THE MANDALAY ROAD TRUST</w:t>
            </w:r>
          </w:p>
          <w:p w14:paraId="7293B2CD" w14:textId="77777777" w:rsidR="008428BB" w:rsidRDefault="008428BB" w:rsidP="008428BB">
            <w:pPr>
              <w:pStyle w:val="PartyType"/>
            </w:pPr>
            <w:r>
              <w:t>Third Plaintiff</w:t>
            </w:r>
          </w:p>
          <w:bookmarkEnd w:id="16"/>
          <w:p w14:paraId="273F69DF" w14:textId="77777777" w:rsidR="00A46CCC" w:rsidRPr="006555B4" w:rsidRDefault="00A46CCC" w:rsidP="005041F0">
            <w:pPr>
              <w:pStyle w:val="NormalHeadings"/>
              <w:jc w:val="left"/>
            </w:pPr>
          </w:p>
        </w:tc>
      </w:tr>
      <w:tr w:rsidR="00A46CCC" w14:paraId="262DA25E" w14:textId="77777777" w:rsidTr="005041F0">
        <w:trPr>
          <w:trHeight w:val="386"/>
        </w:trPr>
        <w:tc>
          <w:tcPr>
            <w:tcW w:w="2376" w:type="dxa"/>
          </w:tcPr>
          <w:p w14:paraId="4CF05514" w14:textId="77777777" w:rsidR="00A46CCC" w:rsidRDefault="00A46CCC" w:rsidP="005041F0">
            <w:pPr>
              <w:pStyle w:val="NormalHeadings"/>
              <w:jc w:val="left"/>
              <w:rPr>
                <w:caps/>
                <w:szCs w:val="24"/>
              </w:rPr>
            </w:pPr>
            <w:r>
              <w:rPr>
                <w:caps/>
                <w:szCs w:val="24"/>
              </w:rPr>
              <w:t>AND:</w:t>
            </w:r>
          </w:p>
        </w:tc>
        <w:tc>
          <w:tcPr>
            <w:tcW w:w="6866" w:type="dxa"/>
            <w:gridSpan w:val="2"/>
          </w:tcPr>
          <w:p w14:paraId="3AFCCE56" w14:textId="77777777" w:rsidR="008428BB" w:rsidRDefault="008428BB" w:rsidP="008428BB">
            <w:pPr>
              <w:pStyle w:val="NormalHeadings"/>
              <w:jc w:val="left"/>
            </w:pPr>
            <w:bookmarkStart w:id="17" w:name="Respondent"/>
            <w:r>
              <w:t>SUZANNA IRIS GOLDSMITH-MEDD (IN HER CAPACITY AS TRUSTEE FOR THE MANDALAY ROAD TRUST)</w:t>
            </w:r>
          </w:p>
          <w:p w14:paraId="0F848C91" w14:textId="77777777" w:rsidR="008428BB" w:rsidRDefault="008428BB" w:rsidP="008428BB">
            <w:pPr>
              <w:pStyle w:val="PartyType"/>
            </w:pPr>
            <w:r>
              <w:t>First Defendant</w:t>
            </w:r>
          </w:p>
          <w:p w14:paraId="6B11498D" w14:textId="77777777" w:rsidR="008428BB" w:rsidRDefault="008428BB" w:rsidP="005041F0">
            <w:pPr>
              <w:pStyle w:val="NormalHeadings"/>
              <w:jc w:val="left"/>
              <w:rPr>
                <w:szCs w:val="24"/>
              </w:rPr>
            </w:pPr>
          </w:p>
          <w:p w14:paraId="113F8CE1" w14:textId="77777777" w:rsidR="008428BB" w:rsidRDefault="008428BB" w:rsidP="008428BB">
            <w:pPr>
              <w:pStyle w:val="NormalHeadings"/>
              <w:jc w:val="left"/>
            </w:pPr>
            <w:r>
              <w:t>SUZANNA IRIS GOLDSMITH-MEDD</w:t>
            </w:r>
          </w:p>
          <w:p w14:paraId="4E0C4185" w14:textId="77777777" w:rsidR="008428BB" w:rsidRDefault="008428BB" w:rsidP="008428BB">
            <w:pPr>
              <w:pStyle w:val="PartyType"/>
            </w:pPr>
            <w:r>
              <w:t>Second Defendant</w:t>
            </w:r>
          </w:p>
          <w:bookmarkEnd w:id="17"/>
          <w:p w14:paraId="473A647B" w14:textId="77777777" w:rsidR="00A46CCC" w:rsidRPr="006555B4" w:rsidRDefault="00A46CCC" w:rsidP="005041F0">
            <w:pPr>
              <w:pStyle w:val="NormalHeadings"/>
              <w:jc w:val="left"/>
            </w:pPr>
          </w:p>
        </w:tc>
      </w:tr>
    </w:tbl>
    <w:p w14:paraId="3FBAC844"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E4CA108" w14:textId="77777777">
        <w:tc>
          <w:tcPr>
            <w:tcW w:w="2376" w:type="dxa"/>
          </w:tcPr>
          <w:p w14:paraId="7BA1A38E"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030C6A0A" w14:textId="77777777" w:rsidR="00395B24" w:rsidRDefault="008428BB">
            <w:pPr>
              <w:pStyle w:val="NormalHeadings"/>
              <w:jc w:val="left"/>
              <w:rPr>
                <w:caps/>
                <w:szCs w:val="24"/>
              </w:rPr>
            </w:pPr>
            <w:bookmarkStart w:id="20" w:name="Judge"/>
            <w:r>
              <w:rPr>
                <w:caps/>
                <w:szCs w:val="24"/>
              </w:rPr>
              <w:t>O'SULLIVAN J</w:t>
            </w:r>
            <w:bookmarkEnd w:id="20"/>
          </w:p>
        </w:tc>
      </w:tr>
      <w:tr w:rsidR="00395B24" w14:paraId="30CD271B" w14:textId="77777777">
        <w:tc>
          <w:tcPr>
            <w:tcW w:w="2376" w:type="dxa"/>
          </w:tcPr>
          <w:p w14:paraId="2CCA6782" w14:textId="77777777" w:rsidR="00395B24" w:rsidRDefault="002C7385">
            <w:pPr>
              <w:pStyle w:val="NormalHeadings"/>
              <w:spacing w:after="120"/>
              <w:jc w:val="left"/>
              <w:rPr>
                <w:caps/>
                <w:szCs w:val="24"/>
              </w:rPr>
            </w:pPr>
            <w:r>
              <w:rPr>
                <w:caps/>
                <w:szCs w:val="24"/>
              </w:rPr>
              <w:t>DATE OF ORDER:</w:t>
            </w:r>
          </w:p>
        </w:tc>
        <w:tc>
          <w:tcPr>
            <w:tcW w:w="6866" w:type="dxa"/>
          </w:tcPr>
          <w:p w14:paraId="6BF1A829" w14:textId="7FF19896" w:rsidR="00395B24" w:rsidRDefault="005A1EFE" w:rsidP="005A1EFE">
            <w:pPr>
              <w:pStyle w:val="NormalHeadings"/>
              <w:jc w:val="left"/>
              <w:rPr>
                <w:caps/>
                <w:szCs w:val="24"/>
              </w:rPr>
            </w:pPr>
            <w:bookmarkStart w:id="21" w:name="Judgment_Dated"/>
            <w:r>
              <w:rPr>
                <w:caps/>
                <w:szCs w:val="24"/>
              </w:rPr>
              <w:t>2 November 2022</w:t>
            </w:r>
            <w:bookmarkEnd w:id="21"/>
          </w:p>
        </w:tc>
      </w:tr>
    </w:tbl>
    <w:p w14:paraId="4961F42D" w14:textId="77777777" w:rsidR="00395B24" w:rsidRDefault="00395B24">
      <w:pPr>
        <w:pStyle w:val="NormalHeadings"/>
        <w:rPr>
          <w:b w:val="0"/>
        </w:rPr>
      </w:pPr>
    </w:p>
    <w:p w14:paraId="4DE1331F" w14:textId="77777777" w:rsidR="008D1617" w:rsidRDefault="008D1617">
      <w:pPr>
        <w:pStyle w:val="NormalHeadings"/>
        <w:rPr>
          <w:b w:val="0"/>
        </w:rPr>
      </w:pPr>
    </w:p>
    <w:p w14:paraId="68D93FC9" w14:textId="77777777" w:rsidR="004B5551" w:rsidRDefault="004B5551" w:rsidP="005A1EFE">
      <w:pPr>
        <w:pStyle w:val="OrdersHeading1"/>
      </w:pPr>
      <w:r>
        <w:t>The Court directs that:</w:t>
      </w:r>
    </w:p>
    <w:p w14:paraId="15E96695" w14:textId="77777777" w:rsidR="00620E2D" w:rsidRPr="00620E2D" w:rsidRDefault="00620E2D" w:rsidP="00620E2D">
      <w:pPr>
        <w:pStyle w:val="Order1"/>
      </w:pPr>
      <w:r w:rsidRPr="00620E2D">
        <w:t xml:space="preserve">Pursuant to s 90-15 of the </w:t>
      </w:r>
      <w:r w:rsidRPr="00620E2D">
        <w:rPr>
          <w:i/>
          <w:iCs/>
        </w:rPr>
        <w:t xml:space="preserve">Insolvency Practice Schedule (Corporations) </w:t>
      </w:r>
      <w:r w:rsidRPr="00620E2D">
        <w:t xml:space="preserve">(as contained in Schedule 2 to the </w:t>
      </w:r>
      <w:r w:rsidRPr="00620E2D">
        <w:rPr>
          <w:i/>
          <w:iCs/>
        </w:rPr>
        <w:t xml:space="preserve">Corporations Act 2001 </w:t>
      </w:r>
      <w:r w:rsidRPr="00620E2D">
        <w:t>(Cth) (</w:t>
      </w:r>
      <w:r w:rsidRPr="00620E2D">
        <w:rPr>
          <w:b/>
          <w:bCs/>
        </w:rPr>
        <w:t>Act</w:t>
      </w:r>
      <w:r w:rsidRPr="00620E2D">
        <w:t>), the first plaintiff and the third plaintiff would be justified and otherwise acting reasonably in proceeding on the basis that:</w:t>
      </w:r>
    </w:p>
    <w:p w14:paraId="361115D5" w14:textId="4C9EB210" w:rsidR="00620E2D" w:rsidRPr="00620E2D" w:rsidRDefault="00620E2D" w:rsidP="00620E2D">
      <w:pPr>
        <w:pStyle w:val="Order2"/>
      </w:pPr>
      <w:r w:rsidRPr="00620E2D">
        <w:t>The Mandalay Road Trust (</w:t>
      </w:r>
      <w:r w:rsidRPr="00620E2D">
        <w:rPr>
          <w:b/>
          <w:bCs/>
        </w:rPr>
        <w:t>Trust</w:t>
      </w:r>
      <w:r w:rsidRPr="00620E2D">
        <w:t>) was validly constituted under a deed dated 4 January 2013 (</w:t>
      </w:r>
      <w:r w:rsidRPr="00620E2D">
        <w:rPr>
          <w:b/>
          <w:bCs/>
        </w:rPr>
        <w:t>Trust Deed</w:t>
      </w:r>
      <w:r w:rsidRPr="00620E2D">
        <w:t>), notwithstanding that Stephen John Barber (</w:t>
      </w:r>
      <w:r w:rsidRPr="00620E2D">
        <w:rPr>
          <w:b/>
        </w:rPr>
        <w:t>Mr</w:t>
      </w:r>
      <w:r w:rsidR="002A72BE">
        <w:rPr>
          <w:b/>
        </w:rPr>
        <w:t> </w:t>
      </w:r>
      <w:r w:rsidRPr="00620E2D">
        <w:rPr>
          <w:b/>
        </w:rPr>
        <w:t>Barber</w:t>
      </w:r>
      <w:r w:rsidRPr="00620E2D">
        <w:t>) purported to execute the Trust Deed on the second plaintiff’s behalf even though the second plaintiff, Mandalay Road Holdings Pty Ltd (</w:t>
      </w:r>
      <w:r w:rsidRPr="00620E2D">
        <w:rPr>
          <w:b/>
          <w:bCs/>
        </w:rPr>
        <w:t>Company</w:t>
      </w:r>
      <w:r w:rsidRPr="00620E2D">
        <w:t>), was not incorporated until 5 February 2013;</w:t>
      </w:r>
    </w:p>
    <w:p w14:paraId="487F4C98" w14:textId="1B0C4822" w:rsidR="00620E2D" w:rsidRPr="00620E2D" w:rsidRDefault="00620E2D" w:rsidP="00620E2D">
      <w:pPr>
        <w:pStyle w:val="Order2"/>
      </w:pPr>
      <w:r w:rsidRPr="00620E2D">
        <w:lastRenderedPageBreak/>
        <w:t>Mr Barber became the trustee of the Trust upon execution of the Trust Deed</w:t>
      </w:r>
      <w:r w:rsidR="002A72BE">
        <w:t xml:space="preserve"> on 4 January 2013</w:t>
      </w:r>
      <w:r w:rsidRPr="00620E2D">
        <w:t>;</w:t>
      </w:r>
    </w:p>
    <w:p w14:paraId="56AA303E" w14:textId="77777777" w:rsidR="00620E2D" w:rsidRPr="00620E2D" w:rsidRDefault="00620E2D" w:rsidP="00620E2D">
      <w:pPr>
        <w:pStyle w:val="Order2"/>
      </w:pPr>
      <w:r w:rsidRPr="00620E2D">
        <w:t>Upon its incorporation on 5 February 2013, the Company became the trustee of the Trust with Mr Barber as its sole director;</w:t>
      </w:r>
    </w:p>
    <w:p w14:paraId="5A09B03C" w14:textId="77777777" w:rsidR="00620E2D" w:rsidRPr="00620E2D" w:rsidRDefault="00620E2D" w:rsidP="00620E2D">
      <w:pPr>
        <w:pStyle w:val="Order2"/>
      </w:pPr>
      <w:r w:rsidRPr="00620E2D">
        <w:t>By its actions after incorporation, the Company ratified Mr Barber’s pre-incorporation actions;</w:t>
      </w:r>
    </w:p>
    <w:p w14:paraId="40BAD559" w14:textId="77777777" w:rsidR="00620E2D" w:rsidRPr="00620E2D" w:rsidRDefault="00620E2D" w:rsidP="00620E2D">
      <w:pPr>
        <w:pStyle w:val="Order2"/>
      </w:pPr>
      <w:r w:rsidRPr="00620E2D">
        <w:t>The Company acted solely in its capacity as trustee of the Trust, and not in its own right or any other capacity;</w:t>
      </w:r>
    </w:p>
    <w:p w14:paraId="5A979238" w14:textId="77777777" w:rsidR="00620E2D" w:rsidRPr="00620E2D" w:rsidRDefault="00620E2D" w:rsidP="00620E2D">
      <w:pPr>
        <w:pStyle w:val="Order2"/>
      </w:pPr>
      <w:r w:rsidRPr="00620E2D">
        <w:t>111 Lone Hand Road, Eumundi, in the State of Queensland (more particularly described as Lot 5 on Survey Plan 167227, Title Reference 50500922 (</w:t>
      </w:r>
      <w:r w:rsidRPr="00620E2D">
        <w:rPr>
          <w:b/>
        </w:rPr>
        <w:t>Property</w:t>
      </w:r>
      <w:r w:rsidRPr="00620E2D">
        <w:t>)) was, prior to its sale, properly characterised as property held by the Company as trustee of the Trust; and</w:t>
      </w:r>
    </w:p>
    <w:p w14:paraId="03D154DA" w14:textId="77777777" w:rsidR="00620E2D" w:rsidRPr="00620E2D" w:rsidRDefault="00620E2D" w:rsidP="00620E2D">
      <w:pPr>
        <w:pStyle w:val="Order2"/>
      </w:pPr>
      <w:r w:rsidRPr="00620E2D">
        <w:t>The possession, realisation and any distribution of the proceeds derived from the sale of the Property is governed by Parts 5.4B and 5.6 of the Act.</w:t>
      </w:r>
    </w:p>
    <w:p w14:paraId="10B0CEE5" w14:textId="77777777" w:rsidR="00620E2D" w:rsidRPr="00620E2D" w:rsidRDefault="00620E2D" w:rsidP="00620E2D">
      <w:pPr>
        <w:pStyle w:val="Order1"/>
      </w:pPr>
      <w:bookmarkStart w:id="22" w:name="_Hlk90906934"/>
      <w:r w:rsidRPr="00620E2D">
        <w:t>The plaintiffs’ costs of the interlocutory process filed 15 September 2022 be their costs in the winding up of the Company.</w:t>
      </w:r>
    </w:p>
    <w:bookmarkEnd w:id="22"/>
    <w:p w14:paraId="5067F650" w14:textId="3A02943E" w:rsidR="001A6C52" w:rsidRDefault="001A6C52" w:rsidP="001A6C52">
      <w:pPr>
        <w:pStyle w:val="BodyText"/>
      </w:pPr>
    </w:p>
    <w:p w14:paraId="40F72147" w14:textId="0F69CCF5" w:rsidR="002B12ED" w:rsidRDefault="002B12ED" w:rsidP="001A6C52">
      <w:pPr>
        <w:pStyle w:val="BodyText"/>
      </w:pPr>
    </w:p>
    <w:p w14:paraId="68E87BB0" w14:textId="17D46056" w:rsidR="004B5551" w:rsidRDefault="004B5551" w:rsidP="001A6C52">
      <w:pPr>
        <w:pStyle w:val="BodyText"/>
      </w:pPr>
    </w:p>
    <w:p w14:paraId="498076CB" w14:textId="014C3620" w:rsidR="004B5551" w:rsidRDefault="004B5551" w:rsidP="001A6C52">
      <w:pPr>
        <w:pStyle w:val="BodyText"/>
      </w:pPr>
    </w:p>
    <w:p w14:paraId="63C51801" w14:textId="2AE4F468" w:rsidR="004B5551" w:rsidRDefault="004B5551" w:rsidP="001A6C52">
      <w:pPr>
        <w:pStyle w:val="BodyText"/>
      </w:pPr>
    </w:p>
    <w:p w14:paraId="3E7478DE" w14:textId="4FB22FA2" w:rsidR="004B5551" w:rsidRDefault="004B5551" w:rsidP="001A6C52">
      <w:pPr>
        <w:pStyle w:val="BodyText"/>
      </w:pPr>
    </w:p>
    <w:p w14:paraId="01DA489A" w14:textId="199B93CF" w:rsidR="004B5551" w:rsidRDefault="004B5551" w:rsidP="001A6C52">
      <w:pPr>
        <w:pStyle w:val="BodyText"/>
      </w:pPr>
    </w:p>
    <w:p w14:paraId="008230C3" w14:textId="3689F143" w:rsidR="004B5551" w:rsidRDefault="004B5551" w:rsidP="001A6C52">
      <w:pPr>
        <w:pStyle w:val="BodyText"/>
      </w:pPr>
    </w:p>
    <w:p w14:paraId="64F96F01" w14:textId="5C19F43F" w:rsidR="004B5551" w:rsidRDefault="004B5551" w:rsidP="001A6C52">
      <w:pPr>
        <w:pStyle w:val="BodyText"/>
      </w:pPr>
    </w:p>
    <w:p w14:paraId="6ABC00C8" w14:textId="3AE0E1D6" w:rsidR="004B5551" w:rsidRDefault="004B5551" w:rsidP="001A6C52">
      <w:pPr>
        <w:pStyle w:val="BodyText"/>
      </w:pPr>
    </w:p>
    <w:p w14:paraId="6044B026" w14:textId="77777777" w:rsidR="004B5551" w:rsidRDefault="004B5551" w:rsidP="001A6C52">
      <w:pPr>
        <w:pStyle w:val="BodyText"/>
      </w:pPr>
    </w:p>
    <w:p w14:paraId="3F612DA2" w14:textId="77777777" w:rsidR="00A431E6" w:rsidRDefault="00A431E6" w:rsidP="001A6C52">
      <w:pPr>
        <w:pStyle w:val="BodyText"/>
      </w:pPr>
    </w:p>
    <w:p w14:paraId="0E208023" w14:textId="77777777" w:rsidR="0050309C" w:rsidRDefault="008428BB"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0FE081DB" w14:textId="77777777" w:rsidR="00E23577" w:rsidRDefault="00E23577" w:rsidP="002B0E91">
      <w:pPr>
        <w:pStyle w:val="BodyText"/>
      </w:pPr>
    </w:p>
    <w:p w14:paraId="32E25872"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067D57F"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1A7638F0" w14:textId="7F63DFC9" w:rsidR="00694BEB" w:rsidRDefault="00F1035D" w:rsidP="005E0510">
      <w:pPr>
        <w:pStyle w:val="NormalHeadings"/>
        <w:spacing w:line="360" w:lineRule="auto"/>
        <w:jc w:val="left"/>
        <w:rPr>
          <w:sz w:val="26"/>
          <w:szCs w:val="26"/>
        </w:rPr>
      </w:pPr>
      <w:r>
        <w:rPr>
          <w:sz w:val="26"/>
          <w:szCs w:val="26"/>
        </w:rPr>
        <w:t>O’SULLIVAN J:</w:t>
      </w:r>
    </w:p>
    <w:p w14:paraId="0D139DB9" w14:textId="77777777" w:rsidR="00323303" w:rsidRDefault="00323303" w:rsidP="00323303">
      <w:pPr>
        <w:pStyle w:val="Heading1"/>
      </w:pPr>
      <w:r>
        <w:t>OVERVIEW</w:t>
      </w:r>
    </w:p>
    <w:p w14:paraId="44967E99" w14:textId="4743F33F" w:rsidR="00323303" w:rsidRDefault="00323303" w:rsidP="00323303">
      <w:pPr>
        <w:pStyle w:val="ParaNumbering"/>
      </w:pPr>
      <w:r>
        <w:t xml:space="preserve">The first plaintiff, Craig Ivor </w:t>
      </w:r>
      <w:proofErr w:type="spellStart"/>
      <w:r>
        <w:t>Bolwell</w:t>
      </w:r>
      <w:proofErr w:type="spellEnd"/>
      <w:r>
        <w:t xml:space="preserve"> (</w:t>
      </w:r>
      <w:r w:rsidR="00585E41" w:rsidRPr="00585E41">
        <w:rPr>
          <w:b/>
        </w:rPr>
        <w:t xml:space="preserve">Mr </w:t>
      </w:r>
      <w:proofErr w:type="spellStart"/>
      <w:r w:rsidRPr="00AB6227">
        <w:rPr>
          <w:b/>
        </w:rPr>
        <w:t>Bolwell</w:t>
      </w:r>
      <w:proofErr w:type="spellEnd"/>
      <w:r>
        <w:t>)</w:t>
      </w:r>
      <w:r w:rsidR="005A1EFE">
        <w:t>,</w:t>
      </w:r>
      <w:r>
        <w:t xml:space="preserve"> was appointed liquidator of the second plaintiff, Mandalay Road Holdings Pty Ltd (</w:t>
      </w:r>
      <w:r w:rsidR="00585E41">
        <w:rPr>
          <w:b/>
        </w:rPr>
        <w:t>Company</w:t>
      </w:r>
      <w:r>
        <w:t>)</w:t>
      </w:r>
      <w:r w:rsidR="005A1EFE">
        <w:t>,</w:t>
      </w:r>
      <w:r>
        <w:t xml:space="preserve"> on 30 June 2020.</w:t>
      </w:r>
    </w:p>
    <w:p w14:paraId="5C839CDB" w14:textId="6B422BC4" w:rsidR="00323303" w:rsidRDefault="00323303" w:rsidP="00323303">
      <w:pPr>
        <w:pStyle w:val="ParaNumbering"/>
      </w:pPr>
      <w:r>
        <w:t xml:space="preserve">On 15 June 2021, Reeves J appointed </w:t>
      </w:r>
      <w:r w:rsidR="000F4C3A">
        <w:t xml:space="preserve">Mr </w:t>
      </w:r>
      <w:proofErr w:type="spellStart"/>
      <w:r>
        <w:t>Bolwell</w:t>
      </w:r>
      <w:proofErr w:type="spellEnd"/>
      <w:r>
        <w:t xml:space="preserve"> as Receiver of the assets of the Mandalay Road Trust (</w:t>
      </w:r>
      <w:r w:rsidRPr="00AB6227">
        <w:rPr>
          <w:b/>
        </w:rPr>
        <w:t>Trust</w:t>
      </w:r>
      <w:r>
        <w:t>).</w:t>
      </w:r>
    </w:p>
    <w:p w14:paraId="40255F44" w14:textId="22C45EF1" w:rsidR="00323303" w:rsidRDefault="00323303" w:rsidP="00323303">
      <w:pPr>
        <w:pStyle w:val="ParaNumbering"/>
      </w:pPr>
      <w:r>
        <w:t>The Trust was established by a Deed of Settlement</w:t>
      </w:r>
      <w:r w:rsidRPr="0053042C">
        <w:t xml:space="preserve"> </w:t>
      </w:r>
      <w:r>
        <w:t xml:space="preserve">dated 4 January 2013 with </w:t>
      </w:r>
      <w:r w:rsidR="00585E41">
        <w:t>the Company</w:t>
      </w:r>
      <w:r>
        <w:t xml:space="preserve"> named as trustee.  That day, Stephen John Barber (</w:t>
      </w:r>
      <w:r w:rsidR="00585E41" w:rsidRPr="00585E41">
        <w:rPr>
          <w:b/>
        </w:rPr>
        <w:t xml:space="preserve">Mr </w:t>
      </w:r>
      <w:r w:rsidRPr="0053042C">
        <w:rPr>
          <w:b/>
        </w:rPr>
        <w:t>Barber</w:t>
      </w:r>
      <w:r>
        <w:t xml:space="preserve">) executed the Deed of Settlement on behalf of </w:t>
      </w:r>
      <w:r w:rsidR="00585E41">
        <w:t>the Company</w:t>
      </w:r>
      <w:r>
        <w:t xml:space="preserve"> and is named in the execution clause as a director of </w:t>
      </w:r>
      <w:r w:rsidR="00585E41">
        <w:t>the Company</w:t>
      </w:r>
      <w:r>
        <w:t xml:space="preserve">.  The Deed of Settlement was executed by Angelis Jason </w:t>
      </w:r>
      <w:proofErr w:type="spellStart"/>
      <w:r>
        <w:t>Karageorgiou</w:t>
      </w:r>
      <w:proofErr w:type="spellEnd"/>
      <w:r>
        <w:t xml:space="preserve"> as Settlor.  </w:t>
      </w:r>
      <w:r w:rsidR="00585E41">
        <w:t xml:space="preserve">Mr </w:t>
      </w:r>
      <w:r>
        <w:t xml:space="preserve">Barber is also named as </w:t>
      </w:r>
      <w:proofErr w:type="spellStart"/>
      <w:r>
        <w:t>Appointor</w:t>
      </w:r>
      <w:proofErr w:type="spellEnd"/>
      <w:r>
        <w:t xml:space="preserve"> of the Trust:</w:t>
      </w:r>
      <w:r w:rsidRPr="00C7327C">
        <w:t xml:space="preserve"> </w:t>
      </w:r>
      <w:r w:rsidR="00815C15">
        <w:t xml:space="preserve"> </w:t>
      </w:r>
      <w:r>
        <w:t xml:space="preserve">affidavit of Craig Ivor </w:t>
      </w:r>
      <w:proofErr w:type="spellStart"/>
      <w:r>
        <w:t>Bolwell</w:t>
      </w:r>
      <w:proofErr w:type="spellEnd"/>
      <w:r>
        <w:t xml:space="preserve"> sworn and filed on 28 August 2020 (</w:t>
      </w:r>
      <w:r w:rsidRPr="00034307">
        <w:rPr>
          <w:b/>
        </w:rPr>
        <w:t xml:space="preserve">first </w:t>
      </w:r>
      <w:proofErr w:type="spellStart"/>
      <w:r w:rsidRPr="0024038D">
        <w:rPr>
          <w:b/>
        </w:rPr>
        <w:t>Bolwell</w:t>
      </w:r>
      <w:proofErr w:type="spellEnd"/>
      <w:r w:rsidRPr="0024038D">
        <w:rPr>
          <w:b/>
        </w:rPr>
        <w:t xml:space="preserve"> affidavit</w:t>
      </w:r>
      <w:r w:rsidR="00815C15">
        <w:t xml:space="preserve">). </w:t>
      </w:r>
    </w:p>
    <w:p w14:paraId="32A7E87B" w14:textId="22D5C3CD" w:rsidR="00323303" w:rsidRDefault="00323303" w:rsidP="00323303">
      <w:pPr>
        <w:pStyle w:val="ParaNumbering"/>
      </w:pPr>
      <w:r>
        <w:t xml:space="preserve">On 18 January 2013, </w:t>
      </w:r>
      <w:r w:rsidR="00585E41">
        <w:t xml:space="preserve">the Company </w:t>
      </w:r>
      <w:r>
        <w:t>as trustee for the Trust entered into a contract for the purchase of the property at 111 Lone Hand Road, Eumundi, Queensland (</w:t>
      </w:r>
      <w:r w:rsidRPr="0024038D">
        <w:rPr>
          <w:b/>
        </w:rPr>
        <w:t>Property</w:t>
      </w:r>
      <w:r>
        <w:t xml:space="preserve">).  An historical title search for the Property reveals the transfer of the Property to </w:t>
      </w:r>
      <w:r w:rsidR="00585E41">
        <w:t xml:space="preserve">the Company </w:t>
      </w:r>
      <w:r>
        <w:t xml:space="preserve">as trustee as being lodged on 8 March 2013: </w:t>
      </w:r>
      <w:r w:rsidR="008D0F27">
        <w:t xml:space="preserve"> first </w:t>
      </w:r>
      <w:proofErr w:type="spellStart"/>
      <w:r>
        <w:t>Bolwell</w:t>
      </w:r>
      <w:proofErr w:type="spellEnd"/>
      <w:r>
        <w:t xml:space="preserve"> affidavit</w:t>
      </w:r>
      <w:r w:rsidR="008D0F27">
        <w:t>, annexure CIB-</w:t>
      </w:r>
      <w:r>
        <w:t>8.</w:t>
      </w:r>
    </w:p>
    <w:p w14:paraId="6FA33E29" w14:textId="77777777" w:rsidR="000F4C3A" w:rsidRDefault="000F4C3A" w:rsidP="000F4C3A">
      <w:pPr>
        <w:pStyle w:val="ParaNumbering"/>
      </w:pPr>
      <w:r>
        <w:t>In fact, the Company was not incorporated until 5 February 2013 at which time Mr Barber was appointed sole director and secretary of the Company.  Mr Barber was also the sole shareholder of the Company although he was not the beneficial owner of the shares.</w:t>
      </w:r>
    </w:p>
    <w:p w14:paraId="6E8E8608" w14:textId="2FC0E7CC" w:rsidR="00323303" w:rsidRDefault="00323303" w:rsidP="00323303">
      <w:pPr>
        <w:pStyle w:val="ParaNumbering"/>
      </w:pPr>
      <w:r>
        <w:t xml:space="preserve">On or about 6 November 2018, </w:t>
      </w:r>
      <w:r w:rsidR="00585E41">
        <w:t xml:space="preserve">Mr </w:t>
      </w:r>
      <w:r>
        <w:t xml:space="preserve">Barber, in his capacity as </w:t>
      </w:r>
      <w:proofErr w:type="spellStart"/>
      <w:r>
        <w:t>Appointor</w:t>
      </w:r>
      <w:proofErr w:type="spellEnd"/>
      <w:r>
        <w:t xml:space="preserve"> of the Trust</w:t>
      </w:r>
      <w:r w:rsidR="008D0F27">
        <w:t>,</w:t>
      </w:r>
      <w:r>
        <w:t xml:space="preserve"> appointed the </w:t>
      </w:r>
      <w:r w:rsidR="008D0F27">
        <w:t xml:space="preserve">second </w:t>
      </w:r>
      <w:r w:rsidR="00585E41">
        <w:t>defendant (</w:t>
      </w:r>
      <w:r w:rsidR="00585E41" w:rsidRPr="00585E41">
        <w:rPr>
          <w:b/>
        </w:rPr>
        <w:t>Ms Goldsmith-</w:t>
      </w:r>
      <w:proofErr w:type="spellStart"/>
      <w:r w:rsidR="00585E41" w:rsidRPr="00585E41">
        <w:rPr>
          <w:b/>
        </w:rPr>
        <w:t>Medd</w:t>
      </w:r>
      <w:proofErr w:type="spellEnd"/>
      <w:r w:rsidR="00585E41">
        <w:t xml:space="preserve">) </w:t>
      </w:r>
      <w:r>
        <w:t xml:space="preserve">as trustee of the Trust in place of </w:t>
      </w:r>
      <w:r w:rsidR="00585E41">
        <w:t>the Company</w:t>
      </w:r>
      <w:r>
        <w:t xml:space="preserve">.  The same day, </w:t>
      </w:r>
      <w:r w:rsidR="00585E41">
        <w:t xml:space="preserve">the Company </w:t>
      </w:r>
      <w:r>
        <w:t xml:space="preserve">executed a transfer of the Property from itself to </w:t>
      </w:r>
      <w:r w:rsidR="00585E41">
        <w:t>Ms Goldsmith-</w:t>
      </w:r>
      <w:proofErr w:type="spellStart"/>
      <w:r w:rsidR="00585E41">
        <w:t>Medd</w:t>
      </w:r>
      <w:proofErr w:type="spellEnd"/>
      <w:r w:rsidR="00585E41">
        <w:t xml:space="preserve"> in her capacity </w:t>
      </w:r>
      <w:r>
        <w:t>as trustee of the Trust.</w:t>
      </w:r>
    </w:p>
    <w:p w14:paraId="06952340" w14:textId="5FA57220" w:rsidR="00C35844" w:rsidRDefault="00323303" w:rsidP="00323303">
      <w:pPr>
        <w:pStyle w:val="ParaNumbering"/>
      </w:pPr>
      <w:r>
        <w:t>On 21 March 2022, Downes J ordered that as Recei</w:t>
      </w:r>
      <w:r w:rsidR="008D0F27">
        <w:t>ver of the T</w:t>
      </w:r>
      <w:r>
        <w:t xml:space="preserve">rust, </w:t>
      </w:r>
      <w:r w:rsidR="00C35844">
        <w:t xml:space="preserve">Mr </w:t>
      </w:r>
      <w:proofErr w:type="spellStart"/>
      <w:r>
        <w:t>Bolwell</w:t>
      </w:r>
      <w:proofErr w:type="spellEnd"/>
      <w:r>
        <w:t xml:space="preserve"> recover possession of the Property and </w:t>
      </w:r>
      <w:r w:rsidR="00C35844">
        <w:t>Ms Goldsmith-</w:t>
      </w:r>
      <w:proofErr w:type="spellStart"/>
      <w:r w:rsidR="00C35844">
        <w:t>Medd</w:t>
      </w:r>
      <w:proofErr w:type="spellEnd"/>
      <w:r>
        <w:t xml:space="preserve"> </w:t>
      </w:r>
      <w:r w:rsidR="000F4C3A">
        <w:t xml:space="preserve">in her personal capacity </w:t>
      </w:r>
      <w:r>
        <w:t>deliver vacant possession of the Property</w:t>
      </w:r>
      <w:r w:rsidR="00C35844">
        <w:t xml:space="preserve"> by 15 April 2022</w:t>
      </w:r>
      <w:r>
        <w:t xml:space="preserve">.  </w:t>
      </w:r>
    </w:p>
    <w:p w14:paraId="6CB8C874" w14:textId="364E75CB" w:rsidR="00323303" w:rsidRDefault="00323303" w:rsidP="00323303">
      <w:pPr>
        <w:pStyle w:val="ParaNumbering"/>
      </w:pPr>
      <w:r>
        <w:t xml:space="preserve">The Property was sold </w:t>
      </w:r>
      <w:r w:rsidR="00C35844">
        <w:t xml:space="preserve">under the instruction of Mr </w:t>
      </w:r>
      <w:proofErr w:type="spellStart"/>
      <w:r w:rsidR="00C35844">
        <w:t>Bolwell</w:t>
      </w:r>
      <w:proofErr w:type="spellEnd"/>
      <w:r w:rsidR="00C35844">
        <w:t xml:space="preserve"> as Receiver of the Trust </w:t>
      </w:r>
      <w:r>
        <w:t xml:space="preserve">at auction on 23 July 2022 for $3,210,000.  After paying various expenses relating to the sale and </w:t>
      </w:r>
      <w:r>
        <w:lastRenderedPageBreak/>
        <w:t>insurance of the Property, the balance of the remaining funds have been held by the Receiver pending taxation advice.</w:t>
      </w:r>
    </w:p>
    <w:p w14:paraId="07EF0B8C" w14:textId="342CB0D2" w:rsidR="00323303" w:rsidRDefault="00323303" w:rsidP="00323303">
      <w:pPr>
        <w:pStyle w:val="ParaNumbering"/>
      </w:pPr>
      <w:r>
        <w:t xml:space="preserve">In the circumstances, </w:t>
      </w:r>
      <w:r w:rsidR="00C35844">
        <w:t xml:space="preserve">Mr </w:t>
      </w:r>
      <w:proofErr w:type="spellStart"/>
      <w:r>
        <w:t>Bolwell</w:t>
      </w:r>
      <w:proofErr w:type="spellEnd"/>
      <w:r>
        <w:t xml:space="preserve"> as Liquidator </w:t>
      </w:r>
      <w:r w:rsidR="00C35844">
        <w:t xml:space="preserve">of the Company </w:t>
      </w:r>
      <w:r>
        <w:t xml:space="preserve">and Receiver </w:t>
      </w:r>
      <w:r w:rsidR="00C35844">
        <w:t>of the Trust</w:t>
      </w:r>
      <w:r w:rsidR="00533DB0">
        <w:t>,</w:t>
      </w:r>
      <w:r w:rsidR="00C35844">
        <w:t xml:space="preserve"> </w:t>
      </w:r>
      <w:r>
        <w:t xml:space="preserve">seek </w:t>
      </w:r>
      <w:r w:rsidR="009D2A61">
        <w:t>directions pursuant to s</w:t>
      </w:r>
      <w:r>
        <w:t xml:space="preserve"> 90-15 of the </w:t>
      </w:r>
      <w:r w:rsidRPr="00C7327C">
        <w:rPr>
          <w:i/>
        </w:rPr>
        <w:t>Insolvency Practice Schedule</w:t>
      </w:r>
      <w:r>
        <w:t xml:space="preserve"> (</w:t>
      </w:r>
      <w:r w:rsidRPr="00C7327C">
        <w:rPr>
          <w:i/>
        </w:rPr>
        <w:t>Corporations</w:t>
      </w:r>
      <w:r>
        <w:t>) (</w:t>
      </w:r>
      <w:r w:rsidRPr="00FF0792">
        <w:rPr>
          <w:b/>
        </w:rPr>
        <w:t>IPSC</w:t>
      </w:r>
      <w:r>
        <w:t xml:space="preserve">) (contained in Schedule 2 to the </w:t>
      </w:r>
      <w:r w:rsidRPr="009C509E">
        <w:rPr>
          <w:i/>
        </w:rPr>
        <w:t>Corporations Act</w:t>
      </w:r>
      <w:r>
        <w:t xml:space="preserve"> </w:t>
      </w:r>
      <w:r w:rsidRPr="00533DB0">
        <w:rPr>
          <w:i/>
        </w:rPr>
        <w:t>2001</w:t>
      </w:r>
      <w:r>
        <w:t xml:space="preserve"> (Cth)</w:t>
      </w:r>
      <w:r w:rsidR="00C35844">
        <w:t xml:space="preserve"> (</w:t>
      </w:r>
      <w:r w:rsidR="00C35844" w:rsidRPr="00C35844">
        <w:rPr>
          <w:b/>
        </w:rPr>
        <w:t>Act</w:t>
      </w:r>
      <w:r w:rsidR="00C35844">
        <w:t>)</w:t>
      </w:r>
      <w:r>
        <w:t>) that as Liquidator and Receiver</w:t>
      </w:r>
      <w:r w:rsidR="00C35844">
        <w:t xml:space="preserve">, he </w:t>
      </w:r>
      <w:r>
        <w:t xml:space="preserve">would be justified and otherwise acting reasonably in proceeding on the basis that the Trust was validly constituted; that </w:t>
      </w:r>
      <w:r w:rsidR="00C35844">
        <w:t xml:space="preserve">the Company’s </w:t>
      </w:r>
      <w:r>
        <w:t xml:space="preserve">director, </w:t>
      </w:r>
      <w:r w:rsidR="00C35844">
        <w:t xml:space="preserve">Mr </w:t>
      </w:r>
      <w:r>
        <w:t xml:space="preserve">Barber, became the trustee of the Trust upon execution of the Trust Deed; that </w:t>
      </w:r>
      <w:r w:rsidR="00C35844">
        <w:t xml:space="preserve">the Company </w:t>
      </w:r>
      <w:r w:rsidR="009D2A61">
        <w:t>became the trustee of the Trust</w:t>
      </w:r>
      <w:r w:rsidR="00C35844">
        <w:t xml:space="preserve"> upon its incorporation</w:t>
      </w:r>
      <w:r w:rsidR="009D2A61">
        <w:t>;</w:t>
      </w:r>
      <w:r>
        <w:t xml:space="preserve"> that the Property was, prior to its sale by the Receiver, characterised as Property held by </w:t>
      </w:r>
      <w:r w:rsidR="00C35844">
        <w:t>the Company</w:t>
      </w:r>
      <w:r>
        <w:t xml:space="preserve"> as trustee of the Trust</w:t>
      </w:r>
      <w:r w:rsidR="00533DB0">
        <w:t>;</w:t>
      </w:r>
      <w:r>
        <w:t xml:space="preserve"> and that the possession, realisation and any distribution of the proceeds of sale of the Property are each govern</w:t>
      </w:r>
      <w:r w:rsidR="00533DB0">
        <w:t>ed by P</w:t>
      </w:r>
      <w:r w:rsidR="00C35844">
        <w:t>arts 5.4B and 5.6 of the Act.</w:t>
      </w:r>
    </w:p>
    <w:p w14:paraId="789AA1A5" w14:textId="77777777" w:rsidR="00323303" w:rsidRDefault="00323303" w:rsidP="00323303">
      <w:pPr>
        <w:pStyle w:val="ParaNumbering"/>
      </w:pPr>
      <w:r>
        <w:t>The issues in this matter are:</w:t>
      </w:r>
    </w:p>
    <w:p w14:paraId="5F382216" w14:textId="7828ACD0" w:rsidR="00323303" w:rsidRDefault="00C35844" w:rsidP="009D2A61">
      <w:pPr>
        <w:pStyle w:val="ListNo2"/>
      </w:pPr>
      <w:r>
        <w:t>Was</w:t>
      </w:r>
      <w:r w:rsidR="00323303">
        <w:t xml:space="preserve"> the Trust validly constituted</w:t>
      </w:r>
      <w:r>
        <w:t>?</w:t>
      </w:r>
    </w:p>
    <w:p w14:paraId="07809C9C" w14:textId="2FB58B4D" w:rsidR="00323303" w:rsidRDefault="00C35844" w:rsidP="009D2A61">
      <w:pPr>
        <w:pStyle w:val="ListNo2"/>
      </w:pPr>
      <w:r>
        <w:t>Did Mr</w:t>
      </w:r>
      <w:r w:rsidR="00323303">
        <w:t xml:space="preserve"> Barber became the trustee of the Trust upon execution of the Tr</w:t>
      </w:r>
      <w:r>
        <w:t>ust Deed and did the Company become the trustee of the Trust upon its incorporation?</w:t>
      </w:r>
    </w:p>
    <w:p w14:paraId="6C04AE63" w14:textId="67FB48F2" w:rsidR="00323303" w:rsidRDefault="009D2A61" w:rsidP="009D2A61">
      <w:pPr>
        <w:pStyle w:val="ListNo2"/>
      </w:pPr>
      <w:r>
        <w:t>W</w:t>
      </w:r>
      <w:r w:rsidR="00C35844">
        <w:t>as</w:t>
      </w:r>
      <w:r w:rsidR="00323303">
        <w:t xml:space="preserve"> </w:t>
      </w:r>
      <w:r w:rsidR="00C35844">
        <w:t xml:space="preserve">the Property </w:t>
      </w:r>
      <w:r w:rsidR="00323303">
        <w:t xml:space="preserve">held by </w:t>
      </w:r>
      <w:r w:rsidR="00C35844">
        <w:t>the Company</w:t>
      </w:r>
      <w:r w:rsidR="00323303">
        <w:t xml:space="preserve"> in its capacity as trustee of the Trust</w:t>
      </w:r>
      <w:r w:rsidR="00C35844">
        <w:t>?</w:t>
      </w:r>
    </w:p>
    <w:p w14:paraId="0AA30221" w14:textId="0A3E440C" w:rsidR="00323303" w:rsidRDefault="00C35844" w:rsidP="009D2A61">
      <w:pPr>
        <w:pStyle w:val="ListNo2"/>
      </w:pPr>
      <w:r>
        <w:t>Should</w:t>
      </w:r>
      <w:r w:rsidR="00323303">
        <w:t xml:space="preserve"> the</w:t>
      </w:r>
      <w:r w:rsidR="00323303" w:rsidRPr="00C7327C">
        <w:t xml:space="preserve"> </w:t>
      </w:r>
      <w:r w:rsidR="00323303">
        <w:t>Court give directions to the Liquidator and Receiver pursuant to s</w:t>
      </w:r>
      <w:r w:rsidR="00533DB0">
        <w:t> </w:t>
      </w:r>
      <w:r w:rsidR="00323303">
        <w:t>90-15 of the IPSC</w:t>
      </w:r>
      <w:r>
        <w:t>?</w:t>
      </w:r>
      <w:r w:rsidR="00323303">
        <w:t xml:space="preserve"> and</w:t>
      </w:r>
    </w:p>
    <w:p w14:paraId="2A9570B3" w14:textId="36A8852C" w:rsidR="00323303" w:rsidRDefault="00C35844" w:rsidP="009D2A61">
      <w:pPr>
        <w:pStyle w:val="ListNo2"/>
      </w:pPr>
      <w:r>
        <w:t>Is</w:t>
      </w:r>
      <w:r w:rsidR="00323303">
        <w:t xml:space="preserve"> the</w:t>
      </w:r>
      <w:r w:rsidR="00323303" w:rsidRPr="00C7327C">
        <w:t xml:space="preserve"> </w:t>
      </w:r>
      <w:r w:rsidR="00323303">
        <w:t xml:space="preserve">realisation and any distribution of the proceeds of sale of the Property governed by </w:t>
      </w:r>
      <w:r w:rsidR="00533DB0">
        <w:t>P</w:t>
      </w:r>
      <w:r w:rsidR="00323303">
        <w:t>arts 5.4B and 5.6 of the</w:t>
      </w:r>
      <w:r>
        <w:t xml:space="preserve"> </w:t>
      </w:r>
      <w:proofErr w:type="gramStart"/>
      <w:r>
        <w:t>Act.</w:t>
      </w:r>
      <w:proofErr w:type="gramEnd"/>
    </w:p>
    <w:p w14:paraId="42114C28" w14:textId="23EE1262" w:rsidR="00323303" w:rsidRDefault="00C35844" w:rsidP="00323303">
      <w:pPr>
        <w:pStyle w:val="ParaNumbering"/>
      </w:pPr>
      <w:r>
        <w:t>F</w:t>
      </w:r>
      <w:r w:rsidR="00323303">
        <w:t>or the reasons which follow</w:t>
      </w:r>
      <w:r>
        <w:t>,</w:t>
      </w:r>
      <w:r w:rsidR="00323303">
        <w:t xml:space="preserve"> the answers to each of these issues is yes.</w:t>
      </w:r>
    </w:p>
    <w:p w14:paraId="2CA37F29" w14:textId="77777777" w:rsidR="00323303" w:rsidRDefault="00323303" w:rsidP="00323303">
      <w:pPr>
        <w:pStyle w:val="Heading2"/>
      </w:pPr>
      <w:r>
        <w:t>Whether the trust was validly constituted</w:t>
      </w:r>
    </w:p>
    <w:p w14:paraId="17521F90" w14:textId="350256CA" w:rsidR="00323303" w:rsidRPr="00E816F2" w:rsidRDefault="00BE3A0F" w:rsidP="00323303">
      <w:pPr>
        <w:pStyle w:val="ParaNumbering"/>
      </w:pPr>
      <w:r>
        <w:t>The</w:t>
      </w:r>
      <w:r w:rsidR="00323303" w:rsidRPr="00E816F2">
        <w:t xml:space="preserve"> Trust</w:t>
      </w:r>
      <w:r>
        <w:t>, if</w:t>
      </w:r>
      <w:r w:rsidR="00323303" w:rsidRPr="00E816F2">
        <w:t xml:space="preserve"> validly constituted, is an express </w:t>
      </w:r>
      <w:r w:rsidR="009D2A61" w:rsidRPr="00E816F2">
        <w:t>trust.  T</w:t>
      </w:r>
      <w:r w:rsidR="00323303" w:rsidRPr="00E816F2">
        <w:t>he requirements for the creation of an express trust are</w:t>
      </w:r>
      <w:r w:rsidR="000F4C3A">
        <w:t>: certainty of intention,</w:t>
      </w:r>
      <w:r w:rsidR="00323303" w:rsidRPr="00E816F2">
        <w:t xml:space="preserve"> certainty of subject matter</w:t>
      </w:r>
      <w:r w:rsidR="000F4C3A">
        <w:t>,</w:t>
      </w:r>
      <w:r w:rsidR="00323303" w:rsidRPr="00E816F2">
        <w:t xml:space="preserve"> and certainty of object: </w:t>
      </w:r>
      <w:r w:rsidR="009D2A61" w:rsidRPr="00E816F2">
        <w:t xml:space="preserve"> </w:t>
      </w:r>
      <w:proofErr w:type="spellStart"/>
      <w:r w:rsidR="00323303" w:rsidRPr="00E816F2">
        <w:rPr>
          <w:i/>
        </w:rPr>
        <w:t>Korda</w:t>
      </w:r>
      <w:proofErr w:type="spellEnd"/>
      <w:r w:rsidR="00323303" w:rsidRPr="00E816F2">
        <w:rPr>
          <w:i/>
        </w:rPr>
        <w:t xml:space="preserve"> v Australian Executor Trustees (SA) Ltd</w:t>
      </w:r>
      <w:r w:rsidR="00111C27">
        <w:t xml:space="preserve"> [2015] HCA 6;</w:t>
      </w:r>
      <w:r w:rsidR="00552B69">
        <w:t xml:space="preserve"> (2015)</w:t>
      </w:r>
      <w:r w:rsidR="00323303" w:rsidRPr="00E816F2">
        <w:t xml:space="preserve"> 255 CLR 62, [7] (French CJ); </w:t>
      </w:r>
      <w:r>
        <w:rPr>
          <w:i/>
        </w:rPr>
        <w:t xml:space="preserve">Re </w:t>
      </w:r>
      <w:r w:rsidR="00323303" w:rsidRPr="00E816F2">
        <w:rPr>
          <w:i/>
        </w:rPr>
        <w:t xml:space="preserve">McGowan &amp; </w:t>
      </w:r>
      <w:proofErr w:type="spellStart"/>
      <w:r w:rsidR="00323303" w:rsidRPr="00E816F2">
        <w:rPr>
          <w:i/>
        </w:rPr>
        <w:t>Valentini</w:t>
      </w:r>
      <w:proofErr w:type="spellEnd"/>
      <w:r w:rsidR="00323303" w:rsidRPr="00E816F2">
        <w:rPr>
          <w:i/>
        </w:rPr>
        <w:t xml:space="preserve"> Trusts</w:t>
      </w:r>
      <w:r w:rsidR="00323303" w:rsidRPr="00E816F2">
        <w:t xml:space="preserve"> [2021] VSC 154 [19] (Macaulay J)</w:t>
      </w:r>
      <w:r w:rsidR="00533DB0">
        <w:t>.</w:t>
      </w:r>
    </w:p>
    <w:p w14:paraId="44919EB8" w14:textId="48FC6BE0" w:rsidR="00323303" w:rsidRDefault="00BE3A0F" w:rsidP="00323303">
      <w:pPr>
        <w:pStyle w:val="ParaNumbering"/>
      </w:pPr>
      <w:r>
        <w:t xml:space="preserve">A </w:t>
      </w:r>
      <w:r w:rsidR="00323303">
        <w:t>consideration of the Trust Deed reveals clearly an intention to create the Trust, certainty of subject matter which is the trust property constituted by the Trust Fund</w:t>
      </w:r>
      <w:r w:rsidR="009D2A61">
        <w:t>,</w:t>
      </w:r>
      <w:r w:rsidR="00323303">
        <w:t xml:space="preserve"> and certainty of object which are the named beneficiaries and the classes of beneficiaries identified in the schedule to </w:t>
      </w:r>
      <w:r w:rsidR="00323303">
        <w:lastRenderedPageBreak/>
        <w:t xml:space="preserve">the Trust Deed: </w:t>
      </w:r>
      <w:r w:rsidR="009D2A61">
        <w:t xml:space="preserve"> </w:t>
      </w:r>
      <w:r w:rsidR="00323303" w:rsidRPr="00C63248">
        <w:rPr>
          <w:i/>
        </w:rPr>
        <w:t>Legal Services Board v Gillespie-Jones</w:t>
      </w:r>
      <w:r w:rsidR="00323303">
        <w:t xml:space="preserve"> </w:t>
      </w:r>
      <w:r w:rsidR="00552B69">
        <w:t xml:space="preserve">[2013] HCA 35; </w:t>
      </w:r>
      <w:r w:rsidR="00323303">
        <w:t xml:space="preserve">(2013) 249 CLR 493 [116] </w:t>
      </w:r>
      <w:r w:rsidR="009D2A61">
        <w:t xml:space="preserve">(Bell, Gageler and Keane JJ); </w:t>
      </w:r>
      <w:r w:rsidR="001E7CD0">
        <w:t xml:space="preserve"> </w:t>
      </w:r>
      <w:r w:rsidR="00323303">
        <w:t xml:space="preserve">affidavit of Craig Ivor </w:t>
      </w:r>
      <w:proofErr w:type="spellStart"/>
      <w:r w:rsidR="00323303">
        <w:t>Bolwell</w:t>
      </w:r>
      <w:proofErr w:type="spellEnd"/>
      <w:r w:rsidR="00323303">
        <w:t xml:space="preserve"> sworn and filed 15</w:t>
      </w:r>
      <w:r w:rsidR="00552B69">
        <w:t> </w:t>
      </w:r>
      <w:r w:rsidR="00323303">
        <w:t>September 2022 (</w:t>
      </w:r>
      <w:r w:rsidR="00323303" w:rsidRPr="00034307">
        <w:rPr>
          <w:b/>
        </w:rPr>
        <w:t xml:space="preserve">second </w:t>
      </w:r>
      <w:proofErr w:type="spellStart"/>
      <w:r w:rsidR="00323303" w:rsidRPr="00034307">
        <w:rPr>
          <w:b/>
        </w:rPr>
        <w:t>Bolwell</w:t>
      </w:r>
      <w:proofErr w:type="spellEnd"/>
      <w:r w:rsidR="00323303" w:rsidRPr="00034307">
        <w:rPr>
          <w:b/>
        </w:rPr>
        <w:t xml:space="preserve"> affidavit</w:t>
      </w:r>
      <w:r w:rsidR="00323303">
        <w:t>)</w:t>
      </w:r>
      <w:r w:rsidR="001E7CD0">
        <w:t>,</w:t>
      </w:r>
      <w:r w:rsidR="00323303">
        <w:t xml:space="preserve"> </w:t>
      </w:r>
      <w:r w:rsidR="001E7CD0">
        <w:t xml:space="preserve">annexure CIB-46 </w:t>
      </w:r>
      <w:r w:rsidR="00323303">
        <w:t>pp 30-43.</w:t>
      </w:r>
    </w:p>
    <w:p w14:paraId="2182D6A8" w14:textId="77777777" w:rsidR="00323303" w:rsidRDefault="00323303" w:rsidP="00323303">
      <w:pPr>
        <w:pStyle w:val="ParaNumbering"/>
      </w:pPr>
      <w:r>
        <w:t>The only issue is the trustee.</w:t>
      </w:r>
    </w:p>
    <w:p w14:paraId="3371AE65" w14:textId="735BF3B8" w:rsidR="00323303" w:rsidRDefault="00323303" w:rsidP="00323303">
      <w:pPr>
        <w:pStyle w:val="ParaNumbering"/>
      </w:pPr>
      <w:r>
        <w:t xml:space="preserve">Equity will not allow trust to fail for want of a trustee: </w:t>
      </w:r>
      <w:r w:rsidR="009D2A61">
        <w:t xml:space="preserve"> </w:t>
      </w:r>
      <w:proofErr w:type="spellStart"/>
      <w:r w:rsidRPr="00C63248">
        <w:rPr>
          <w:i/>
        </w:rPr>
        <w:t>Raftland</w:t>
      </w:r>
      <w:proofErr w:type="spellEnd"/>
      <w:r w:rsidRPr="00C63248">
        <w:rPr>
          <w:i/>
        </w:rPr>
        <w:t xml:space="preserve"> Pty Ltd (as trustee of the </w:t>
      </w:r>
      <w:proofErr w:type="spellStart"/>
      <w:r w:rsidRPr="00C63248">
        <w:rPr>
          <w:i/>
        </w:rPr>
        <w:t>Raftland</w:t>
      </w:r>
      <w:proofErr w:type="spellEnd"/>
      <w:r w:rsidRPr="00C63248">
        <w:rPr>
          <w:i/>
        </w:rPr>
        <w:t xml:space="preserve"> Trust) v Commissioner of Taxation</w:t>
      </w:r>
      <w:r>
        <w:t xml:space="preserve"> [2006] FCA 109; (2006) 227 ALR 598 at [66] (Kiefel J as her Honour then was); </w:t>
      </w:r>
      <w:r w:rsidR="00BE3A0F">
        <w:rPr>
          <w:i/>
        </w:rPr>
        <w:t xml:space="preserve">Re </w:t>
      </w:r>
      <w:r w:rsidRPr="00FF0792">
        <w:rPr>
          <w:i/>
        </w:rPr>
        <w:t>McGowan</w:t>
      </w:r>
      <w:r>
        <w:t xml:space="preserve"> at [37].</w:t>
      </w:r>
    </w:p>
    <w:p w14:paraId="2B3C177C" w14:textId="221394CC" w:rsidR="00323303" w:rsidRDefault="00323303" w:rsidP="00323303">
      <w:pPr>
        <w:pStyle w:val="ParaNumbering"/>
      </w:pPr>
      <w:r>
        <w:t>The Trust Deed provides for the removal and repl</w:t>
      </w:r>
      <w:r w:rsidR="00533DB0">
        <w:t>acement of the trustee in cl</w:t>
      </w:r>
      <w:r>
        <w:t xml:space="preserve"> 20 such that the Settlor contemplated </w:t>
      </w:r>
      <w:r w:rsidR="00BE3A0F">
        <w:t xml:space="preserve">clearly </w:t>
      </w:r>
      <w:r>
        <w:t>the possibil</w:t>
      </w:r>
      <w:r w:rsidR="00BE3A0F">
        <w:t>ity of different or additional t</w:t>
      </w:r>
      <w:r>
        <w:t>rustees.  On that basis, I infer the Settlor did not intend for the trust to fail because the named trustee was not able to take the role</w:t>
      </w:r>
      <w:r w:rsidR="009D2A61">
        <w:t>,</w:t>
      </w:r>
      <w:r>
        <w:t xml:space="preserve"> or in this case</w:t>
      </w:r>
      <w:r w:rsidR="009D2A61">
        <w:t>,</w:t>
      </w:r>
      <w:r>
        <w:t xml:space="preserve"> because it did not then exist.</w:t>
      </w:r>
    </w:p>
    <w:p w14:paraId="3B5DABC4" w14:textId="042B6C54" w:rsidR="00323303" w:rsidRDefault="00323303" w:rsidP="00323303">
      <w:pPr>
        <w:pStyle w:val="ParaNumbering"/>
      </w:pPr>
      <w:r>
        <w:t xml:space="preserve">A question arises as to whether </w:t>
      </w:r>
      <w:r w:rsidR="00BE3A0F">
        <w:t xml:space="preserve">Mr </w:t>
      </w:r>
      <w:r>
        <w:t xml:space="preserve">Barber was aware </w:t>
      </w:r>
      <w:r w:rsidR="00BE3A0F">
        <w:t xml:space="preserve">the Company </w:t>
      </w:r>
      <w:r>
        <w:t>did not exist or if he was aware</w:t>
      </w:r>
      <w:r w:rsidR="00BE3A0F">
        <w:t>,</w:t>
      </w:r>
      <w:r>
        <w:t xml:space="preserve"> whether </w:t>
      </w:r>
      <w:r w:rsidR="000F4C3A">
        <w:t>as sole director</w:t>
      </w:r>
      <w:r w:rsidR="001E7CD0">
        <w:t>,</w:t>
      </w:r>
      <w:r w:rsidR="000F4C3A">
        <w:t xml:space="preserve"> he intended for the Company</w:t>
      </w:r>
      <w:r>
        <w:t xml:space="preserve"> to ratify his</w:t>
      </w:r>
      <w:r w:rsidR="000F4C3A">
        <w:t xml:space="preserve"> pre-incorporation</w:t>
      </w:r>
      <w:r>
        <w:t xml:space="preserve"> actions upon incorporation.  </w:t>
      </w:r>
      <w:r w:rsidR="00BE3A0F">
        <w:t xml:space="preserve">Mr </w:t>
      </w:r>
      <w:r>
        <w:t>Barber is now deceased</w:t>
      </w:r>
      <w:r w:rsidR="009D2A61">
        <w:t>,</w:t>
      </w:r>
      <w:r>
        <w:t xml:space="preserve"> however</w:t>
      </w:r>
      <w:r w:rsidR="00BE3A0F">
        <w:t xml:space="preserve"> </w:t>
      </w:r>
      <w:r>
        <w:t xml:space="preserve">there are a number of matters which indicate clearly that </w:t>
      </w:r>
      <w:r w:rsidR="00BE3A0F">
        <w:t xml:space="preserve">the Company </w:t>
      </w:r>
      <w:r>
        <w:t xml:space="preserve">ratified </w:t>
      </w:r>
      <w:r w:rsidR="00BE3A0F">
        <w:t xml:space="preserve">Mr </w:t>
      </w:r>
      <w:r>
        <w:t xml:space="preserve">Barber’s </w:t>
      </w:r>
      <w:r w:rsidR="00BE3A0F">
        <w:t xml:space="preserve">pre-incorporation </w:t>
      </w:r>
      <w:r>
        <w:t xml:space="preserve">actions </w:t>
      </w:r>
      <w:r w:rsidR="000F4C3A">
        <w:t>after</w:t>
      </w:r>
      <w:r>
        <w:t xml:space="preserve"> incorporation</w:t>
      </w:r>
      <w:r w:rsidR="00BE3A0F">
        <w:t xml:space="preserve"> and assumed the role of trustee of the Trust</w:t>
      </w:r>
      <w:r>
        <w:t>.  Those factors are:</w:t>
      </w:r>
    </w:p>
    <w:p w14:paraId="13934F21" w14:textId="3C09080C" w:rsidR="00323303" w:rsidRDefault="00BE3A0F" w:rsidP="009D2A61">
      <w:pPr>
        <w:pStyle w:val="ListNo2"/>
        <w:numPr>
          <w:ilvl w:val="1"/>
          <w:numId w:val="30"/>
        </w:numPr>
      </w:pPr>
      <w:r>
        <w:t xml:space="preserve">The Company </w:t>
      </w:r>
      <w:r w:rsidR="00323303">
        <w:t xml:space="preserve">is named as purchaser in its capacity as trustee for the Trust in the contract for the purchase of the Property </w:t>
      </w:r>
      <w:r>
        <w:t xml:space="preserve">apparently </w:t>
      </w:r>
      <w:r w:rsidR="000F4C3A">
        <w:t xml:space="preserve">executed </w:t>
      </w:r>
      <w:r>
        <w:t>by Mr Barber</w:t>
      </w:r>
      <w:r w:rsidR="00323303">
        <w:t xml:space="preserve"> </w:t>
      </w:r>
      <w:r>
        <w:t>on 18 January 2013</w:t>
      </w:r>
      <w:r w:rsidR="00323303">
        <w:t xml:space="preserve">: </w:t>
      </w:r>
      <w:r w:rsidR="001E7CD0">
        <w:t xml:space="preserve"> </w:t>
      </w:r>
      <w:r w:rsidR="00323303">
        <w:t xml:space="preserve">second </w:t>
      </w:r>
      <w:proofErr w:type="spellStart"/>
      <w:r w:rsidR="00323303">
        <w:t>Bolwell</w:t>
      </w:r>
      <w:proofErr w:type="spellEnd"/>
      <w:r w:rsidR="00323303">
        <w:t xml:space="preserve"> affidavit [22], annexure CIB-46 pp 44-45;</w:t>
      </w:r>
    </w:p>
    <w:p w14:paraId="154F5F10" w14:textId="036E1C8B" w:rsidR="00323303" w:rsidRDefault="00BE3A0F" w:rsidP="009D2A61">
      <w:pPr>
        <w:pStyle w:val="ListNo2"/>
        <w:numPr>
          <w:ilvl w:val="1"/>
          <w:numId w:val="30"/>
        </w:numPr>
      </w:pPr>
      <w:r>
        <w:t xml:space="preserve">The Company </w:t>
      </w:r>
      <w:r w:rsidR="00323303">
        <w:t xml:space="preserve">settled on the Property and was named on the title as registered proprietor as trustee.  The transfer documents include the Trust Deed: </w:t>
      </w:r>
      <w:r w:rsidR="001E7CD0">
        <w:t xml:space="preserve"> second </w:t>
      </w:r>
      <w:proofErr w:type="spellStart"/>
      <w:r w:rsidR="001E7CD0">
        <w:t>Bolwell</w:t>
      </w:r>
      <w:proofErr w:type="spellEnd"/>
      <w:r w:rsidR="001E7CD0">
        <w:t xml:space="preserve"> affidavit [24</w:t>
      </w:r>
      <w:r w:rsidR="00323303">
        <w:t>(b)], [28]</w:t>
      </w:r>
      <w:r w:rsidR="00323303" w:rsidRPr="00134F71">
        <w:t xml:space="preserve"> </w:t>
      </w:r>
      <w:r w:rsidR="00323303">
        <w:t>annexure CIB-46 pp 53,-68;</w:t>
      </w:r>
    </w:p>
    <w:p w14:paraId="20FE9386" w14:textId="4FA8AD44" w:rsidR="00323303" w:rsidRDefault="003C5112" w:rsidP="009D2A61">
      <w:pPr>
        <w:pStyle w:val="ListNo2"/>
        <w:numPr>
          <w:ilvl w:val="1"/>
          <w:numId w:val="30"/>
        </w:numPr>
      </w:pPr>
      <w:r>
        <w:t>T</w:t>
      </w:r>
      <w:r w:rsidR="00323303">
        <w:t xml:space="preserve">he investigations carried out by or on behalf of </w:t>
      </w:r>
      <w:r w:rsidR="00BE3A0F">
        <w:t xml:space="preserve">Mr </w:t>
      </w:r>
      <w:proofErr w:type="spellStart"/>
      <w:r w:rsidR="00323303">
        <w:t>Bolwell</w:t>
      </w:r>
      <w:proofErr w:type="spellEnd"/>
      <w:r w:rsidR="00323303">
        <w:t xml:space="preserve"> and the Report on Company Affairs and Property completed by </w:t>
      </w:r>
      <w:r w:rsidR="00BE3A0F">
        <w:t xml:space="preserve">Mr </w:t>
      </w:r>
      <w:r w:rsidR="00323303">
        <w:t xml:space="preserve">Barber reveal that </w:t>
      </w:r>
      <w:r w:rsidR="00BE3A0F">
        <w:t xml:space="preserve">the Company </w:t>
      </w:r>
      <w:r w:rsidR="00323303">
        <w:t xml:space="preserve">operated exclusively in its capacity as trustee of the Trust and never traded or carried on any business whether in its own right or as trustee of the Trust: </w:t>
      </w:r>
      <w:r>
        <w:t xml:space="preserve"> </w:t>
      </w:r>
      <w:r w:rsidR="00323303">
        <w:t xml:space="preserve">first </w:t>
      </w:r>
      <w:proofErr w:type="spellStart"/>
      <w:r w:rsidR="00323303">
        <w:t>Bolwell</w:t>
      </w:r>
      <w:proofErr w:type="spellEnd"/>
      <w:r w:rsidR="00323303">
        <w:t xml:space="preserve"> affidavit [5]-[</w:t>
      </w:r>
      <w:r>
        <w:t>7], [10], a</w:t>
      </w:r>
      <w:r w:rsidR="00323303">
        <w:t xml:space="preserve">nnexure CIB-5 pp 65-71; second </w:t>
      </w:r>
      <w:proofErr w:type="spellStart"/>
      <w:r w:rsidR="00323303">
        <w:t>Bolwell</w:t>
      </w:r>
      <w:proofErr w:type="spellEnd"/>
      <w:r w:rsidR="00323303">
        <w:t xml:space="preserve"> affidavit [34]</w:t>
      </w:r>
      <w:r>
        <w:t>,</w:t>
      </w:r>
      <w:r w:rsidR="00323303" w:rsidRPr="00134F71">
        <w:t xml:space="preserve"> </w:t>
      </w:r>
      <w:r w:rsidR="00323303">
        <w:t>annexure CIB-46 p</w:t>
      </w:r>
      <w:r w:rsidR="001E7CD0">
        <w:t>p</w:t>
      </w:r>
      <w:r w:rsidR="00323303">
        <w:t xml:space="preserve"> 107-114;</w:t>
      </w:r>
    </w:p>
    <w:p w14:paraId="616E43AF" w14:textId="0555F3C1" w:rsidR="00323303" w:rsidRPr="00BE3A0F" w:rsidRDefault="000F4C3A" w:rsidP="009D2A61">
      <w:pPr>
        <w:pStyle w:val="ListNo2"/>
        <w:numPr>
          <w:ilvl w:val="1"/>
          <w:numId w:val="30"/>
        </w:numPr>
      </w:pPr>
      <w:r>
        <w:t>As trustee, the</w:t>
      </w:r>
      <w:r w:rsidR="00BE3A0F">
        <w:t xml:space="preserve"> Company </w:t>
      </w:r>
      <w:r w:rsidR="00323303">
        <w:t xml:space="preserve">entered into two Chattel Mortgage Agreements with </w:t>
      </w:r>
      <w:r w:rsidR="00323303" w:rsidRPr="00BE3A0F">
        <w:t xml:space="preserve">BMW Australia Finance: </w:t>
      </w:r>
      <w:r w:rsidR="00BE3A0F" w:rsidRPr="00BE3A0F">
        <w:t xml:space="preserve"> second </w:t>
      </w:r>
      <w:proofErr w:type="spellStart"/>
      <w:r w:rsidR="00BE3A0F" w:rsidRPr="00BE3A0F">
        <w:t>Bolwell</w:t>
      </w:r>
      <w:proofErr w:type="spellEnd"/>
      <w:r w:rsidR="00BE3A0F" w:rsidRPr="00BE3A0F">
        <w:t xml:space="preserve"> affidavit</w:t>
      </w:r>
      <w:r w:rsidR="00323303" w:rsidRPr="00BE3A0F">
        <w:t xml:space="preserve"> [30]</w:t>
      </w:r>
      <w:r w:rsidR="001E7CD0">
        <w:t>, [31] annexure CIB-46 pp 72-101</w:t>
      </w:r>
      <w:r w:rsidR="00BE3A0F">
        <w:t>;</w:t>
      </w:r>
      <w:r w:rsidR="001E7CD0">
        <w:t xml:space="preserve"> and</w:t>
      </w:r>
    </w:p>
    <w:p w14:paraId="5E277FC4" w14:textId="04B97B6F" w:rsidR="00323303" w:rsidRDefault="003C5112" w:rsidP="009D2A61">
      <w:pPr>
        <w:pStyle w:val="ListNo2"/>
        <w:numPr>
          <w:ilvl w:val="1"/>
          <w:numId w:val="30"/>
        </w:numPr>
      </w:pPr>
      <w:r>
        <w:lastRenderedPageBreak/>
        <w:t>O</w:t>
      </w:r>
      <w:r w:rsidR="00323303">
        <w:t>n or about 6 November 2018</w:t>
      </w:r>
      <w:r>
        <w:t>,</w:t>
      </w:r>
      <w:r w:rsidR="00323303">
        <w:t xml:space="preserve"> </w:t>
      </w:r>
      <w:r w:rsidR="00BE3A0F">
        <w:t xml:space="preserve">the Company </w:t>
      </w:r>
      <w:r w:rsidR="00323303">
        <w:t xml:space="preserve">was replaced </w:t>
      </w:r>
      <w:r w:rsidR="00A66D26">
        <w:t>by Goldsmith-</w:t>
      </w:r>
      <w:proofErr w:type="spellStart"/>
      <w:r w:rsidR="00A66D26">
        <w:t>Medd</w:t>
      </w:r>
      <w:proofErr w:type="spellEnd"/>
      <w:r w:rsidR="00A66D26">
        <w:t xml:space="preserve"> </w:t>
      </w:r>
      <w:r w:rsidR="00323303">
        <w:t xml:space="preserve">as trustee: </w:t>
      </w:r>
      <w:r>
        <w:t xml:space="preserve"> </w:t>
      </w:r>
      <w:r w:rsidR="00323303">
        <w:t xml:space="preserve">first </w:t>
      </w:r>
      <w:proofErr w:type="spellStart"/>
      <w:r w:rsidR="00323303">
        <w:t>Bolwell</w:t>
      </w:r>
      <w:proofErr w:type="spellEnd"/>
      <w:r w:rsidR="00323303">
        <w:t xml:space="preserve"> affidavit [12], annexure CIB-9.</w:t>
      </w:r>
    </w:p>
    <w:p w14:paraId="2C5D7153" w14:textId="6640BF91" w:rsidR="00323303" w:rsidRDefault="00323303" w:rsidP="00323303">
      <w:pPr>
        <w:pStyle w:val="ParaNumbering"/>
      </w:pPr>
      <w:r>
        <w:t>Under those circumstances</w:t>
      </w:r>
      <w:r w:rsidR="001E7CD0">
        <w:t xml:space="preserve"> </w:t>
      </w:r>
      <w:r w:rsidR="007D74C9">
        <w:t>by</w:t>
      </w:r>
      <w:r w:rsidR="00BE3A0F">
        <w:t xml:space="preserve"> </w:t>
      </w:r>
      <w:r w:rsidR="000F4C3A">
        <w:t>executing</w:t>
      </w:r>
      <w:r w:rsidR="00BE3A0F">
        <w:t xml:space="preserve"> the Trust Deed as </w:t>
      </w:r>
      <w:r>
        <w:t xml:space="preserve">director of </w:t>
      </w:r>
      <w:r w:rsidR="00BE3A0F">
        <w:t>the</w:t>
      </w:r>
      <w:r w:rsidR="007D74C9">
        <w:t xml:space="preserve"> then non-existent</w:t>
      </w:r>
      <w:r w:rsidR="00BE3A0F">
        <w:t xml:space="preserve"> Company </w:t>
      </w:r>
      <w:r>
        <w:t xml:space="preserve">and executing the contract for the purchase of the Property in </w:t>
      </w:r>
      <w:r w:rsidR="00BE3A0F">
        <w:t xml:space="preserve">the Company’s </w:t>
      </w:r>
      <w:r>
        <w:t>name as trustee for the Trust</w:t>
      </w:r>
      <w:r w:rsidR="00A66D26">
        <w:t>,</w:t>
      </w:r>
      <w:r>
        <w:t xml:space="preserve"> </w:t>
      </w:r>
      <w:r w:rsidR="00BE3A0F">
        <w:t xml:space="preserve">Mr </w:t>
      </w:r>
      <w:r>
        <w:t>Barber was trustee of the Trust personally</w:t>
      </w:r>
      <w:r w:rsidR="00BE3A0F">
        <w:t>.  U</w:t>
      </w:r>
      <w:r>
        <w:t xml:space="preserve">pon </w:t>
      </w:r>
      <w:r w:rsidR="00BE3A0F">
        <w:t>the Company</w:t>
      </w:r>
      <w:r>
        <w:t>’s incorporation</w:t>
      </w:r>
      <w:r w:rsidR="007D74C9">
        <w:t xml:space="preserve"> on 5 February 2013</w:t>
      </w:r>
      <w:r>
        <w:t xml:space="preserve">, </w:t>
      </w:r>
      <w:r w:rsidR="00BE3A0F">
        <w:t>by its actions it ratified Mr B</w:t>
      </w:r>
      <w:r>
        <w:t>arber’s pre-incorporation actions and assume</w:t>
      </w:r>
      <w:r w:rsidR="003C5112">
        <w:t>d</w:t>
      </w:r>
      <w:r>
        <w:t xml:space="preserve"> the </w:t>
      </w:r>
      <w:r w:rsidR="00BE3A0F">
        <w:t>role</w:t>
      </w:r>
      <w:r>
        <w:t xml:space="preserve"> of trustee</w:t>
      </w:r>
      <w:r w:rsidR="00BE3A0F">
        <w:t>.</w:t>
      </w:r>
    </w:p>
    <w:p w14:paraId="17D13EF1" w14:textId="77777777" w:rsidR="00323303" w:rsidRDefault="00323303" w:rsidP="00323303">
      <w:pPr>
        <w:pStyle w:val="ParaNumbering"/>
      </w:pPr>
      <w:r>
        <w:t>Accordingly, I find the Trust was validly constituted on 4 January 2013.</w:t>
      </w:r>
    </w:p>
    <w:p w14:paraId="51686975" w14:textId="59EC94F3" w:rsidR="00323303" w:rsidRDefault="003C5112" w:rsidP="00323303">
      <w:pPr>
        <w:pStyle w:val="Heading2"/>
      </w:pPr>
      <w:r>
        <w:t>W</w:t>
      </w:r>
      <w:r w:rsidR="00323303">
        <w:t xml:space="preserve">hether </w:t>
      </w:r>
      <w:r w:rsidR="00BE3A0F">
        <w:t xml:space="preserve">Mr </w:t>
      </w:r>
      <w:r w:rsidR="00323303">
        <w:t>Barber became the trustee of the Trust upon execution of the Trust Deed</w:t>
      </w:r>
    </w:p>
    <w:p w14:paraId="2DA29967" w14:textId="6B8223A0" w:rsidR="00323303" w:rsidRDefault="00323303" w:rsidP="00323303">
      <w:pPr>
        <w:pStyle w:val="ParaNumbering"/>
      </w:pPr>
      <w:r>
        <w:t xml:space="preserve">It is for the reasons I have set out above that I consider </w:t>
      </w:r>
      <w:r w:rsidR="00BE3A0F">
        <w:t xml:space="preserve">Mr </w:t>
      </w:r>
      <w:r>
        <w:t>Barber became the trustee of the Trust upon execution of the Trust Deed and maintain</w:t>
      </w:r>
      <w:r w:rsidR="003C5112">
        <w:t>ed</w:t>
      </w:r>
      <w:r>
        <w:t xml:space="preserve"> that position until such </w:t>
      </w:r>
      <w:r w:rsidR="003C5112">
        <w:t>time as</w:t>
      </w:r>
      <w:r>
        <w:t xml:space="preserve"> </w:t>
      </w:r>
      <w:r w:rsidR="00BE3A0F">
        <w:t xml:space="preserve">the Company </w:t>
      </w:r>
      <w:r>
        <w:t xml:space="preserve">was incorporated at which time </w:t>
      </w:r>
      <w:r w:rsidR="00F86077">
        <w:t xml:space="preserve">the Company </w:t>
      </w:r>
      <w:r>
        <w:t>became trustee of the Trust.</w:t>
      </w:r>
    </w:p>
    <w:p w14:paraId="51E3CD79" w14:textId="3687808D" w:rsidR="00323303" w:rsidRDefault="003C5112" w:rsidP="00323303">
      <w:pPr>
        <w:pStyle w:val="Heading2"/>
      </w:pPr>
      <w:r>
        <w:t>W</w:t>
      </w:r>
      <w:r w:rsidR="00323303">
        <w:t xml:space="preserve">hether the Property was held by </w:t>
      </w:r>
      <w:r w:rsidR="00F86077">
        <w:t xml:space="preserve">the Company </w:t>
      </w:r>
      <w:r w:rsidR="00323303">
        <w:t>in its capacity as trustee of the Trust</w:t>
      </w:r>
    </w:p>
    <w:p w14:paraId="2B4E789E" w14:textId="3E9FAD91" w:rsidR="00323303" w:rsidRDefault="00323303" w:rsidP="00323303">
      <w:pPr>
        <w:pStyle w:val="ParaNumbering"/>
      </w:pPr>
      <w:r>
        <w:t>It follows fr</w:t>
      </w:r>
      <w:r w:rsidR="00F86077">
        <w:t>om my</w:t>
      </w:r>
      <w:r>
        <w:t xml:space="preserve"> findings above that the Property was held by </w:t>
      </w:r>
      <w:r w:rsidR="00F86077">
        <w:t xml:space="preserve">the Company </w:t>
      </w:r>
      <w:r>
        <w:t>in its capacity as trustee of the Trust.</w:t>
      </w:r>
    </w:p>
    <w:p w14:paraId="7C76212F" w14:textId="3E833525" w:rsidR="00323303" w:rsidRDefault="00323303" w:rsidP="00323303">
      <w:pPr>
        <w:pStyle w:val="Heading2"/>
      </w:pPr>
      <w:r>
        <w:t xml:space="preserve"> Whether the</w:t>
      </w:r>
      <w:r w:rsidRPr="00C7327C">
        <w:t xml:space="preserve"> </w:t>
      </w:r>
      <w:r>
        <w:t>Court should give directions to the Liquid</w:t>
      </w:r>
      <w:r w:rsidR="003C5112">
        <w:t>ator and Receiver pursuant to s 9</w:t>
      </w:r>
      <w:r>
        <w:t>0-15 of the IPSC.</w:t>
      </w:r>
    </w:p>
    <w:p w14:paraId="5AE3F578" w14:textId="77777777" w:rsidR="00323303" w:rsidRDefault="00323303" w:rsidP="00323303">
      <w:pPr>
        <w:pStyle w:val="ParaNumbering"/>
      </w:pPr>
      <w:r>
        <w:t>Section 90-15 provides, in part:</w:t>
      </w:r>
    </w:p>
    <w:p w14:paraId="11D93E5D" w14:textId="77777777" w:rsidR="006C1B7B" w:rsidRPr="006C1B7B" w:rsidRDefault="006C1B7B" w:rsidP="006C1B7B">
      <w:pPr>
        <w:pStyle w:val="Quote1"/>
        <w:ind w:left="1418"/>
        <w:rPr>
          <w:i/>
          <w:lang w:eastAsia="en-AU"/>
        </w:rPr>
      </w:pPr>
      <w:r w:rsidRPr="006C1B7B">
        <w:rPr>
          <w:i/>
        </w:rPr>
        <w:t>Court may make orders</w:t>
      </w:r>
    </w:p>
    <w:p w14:paraId="563A2969" w14:textId="1C4C59C6" w:rsidR="006C1B7B" w:rsidRDefault="006C1B7B" w:rsidP="006C1B7B">
      <w:pPr>
        <w:pStyle w:val="Quote1"/>
        <w:ind w:left="1440" w:hanging="703"/>
      </w:pPr>
      <w:r>
        <w:t>(1)</w:t>
      </w:r>
      <w:r>
        <w:tab/>
        <w:t>The Court may make such orders as it thinks fit in relation to the external administration of a company.</w:t>
      </w:r>
    </w:p>
    <w:p w14:paraId="105380C2" w14:textId="77777777" w:rsidR="006C1B7B" w:rsidRDefault="006C1B7B" w:rsidP="006C1B7B">
      <w:pPr>
        <w:pStyle w:val="Quote1"/>
        <w:ind w:left="1418"/>
        <w:rPr>
          <w:i/>
          <w:iCs/>
        </w:rPr>
      </w:pPr>
      <w:r>
        <w:rPr>
          <w:i/>
          <w:iCs/>
        </w:rPr>
        <w:t>Orders on own initiative or on application</w:t>
      </w:r>
    </w:p>
    <w:p w14:paraId="6E7F3D42" w14:textId="0A9C782A" w:rsidR="006C1B7B" w:rsidRDefault="006C1B7B" w:rsidP="006C1B7B">
      <w:pPr>
        <w:pStyle w:val="Quote1"/>
      </w:pPr>
      <w:r>
        <w:t>(2)</w:t>
      </w:r>
      <w:r>
        <w:tab/>
        <w:t>The Court may exercise the power under subsection (1):</w:t>
      </w:r>
    </w:p>
    <w:p w14:paraId="225E0251" w14:textId="5EC99407" w:rsidR="006C1B7B" w:rsidRDefault="006C1B7B" w:rsidP="00874B99">
      <w:pPr>
        <w:pStyle w:val="Quote2"/>
      </w:pPr>
      <w:r>
        <w:t>(a)</w:t>
      </w:r>
      <w:r>
        <w:tab/>
      </w:r>
      <w:proofErr w:type="gramStart"/>
      <w:r>
        <w:t>on</w:t>
      </w:r>
      <w:proofErr w:type="gramEnd"/>
      <w:r>
        <w:t xml:space="preserve"> its own initiative, during proceedings before the Court; or</w:t>
      </w:r>
    </w:p>
    <w:p w14:paraId="0B8BA24A" w14:textId="5DF105AA" w:rsidR="006C1B7B" w:rsidRDefault="006C1B7B" w:rsidP="00874B99">
      <w:pPr>
        <w:pStyle w:val="Quote2"/>
      </w:pPr>
      <w:r>
        <w:t>(b)</w:t>
      </w:r>
      <w:r>
        <w:tab/>
      </w:r>
      <w:proofErr w:type="gramStart"/>
      <w:r>
        <w:t>on</w:t>
      </w:r>
      <w:proofErr w:type="gramEnd"/>
      <w:r>
        <w:t xml:space="preserve"> application under section 90</w:t>
      </w:r>
      <w:r>
        <w:noBreakHyphen/>
        <w:t>20.</w:t>
      </w:r>
    </w:p>
    <w:p w14:paraId="27E2377A" w14:textId="59512068" w:rsidR="00323303" w:rsidRDefault="00323303" w:rsidP="00323303">
      <w:pPr>
        <w:pStyle w:val="ParaNumbering"/>
      </w:pPr>
      <w:r>
        <w:t>Amongst other things, s 90-20 provides that an officer of the company is a person who may apply for an order under s 90-15.  In</w:t>
      </w:r>
      <w:r w:rsidRPr="0022112C">
        <w:rPr>
          <w:rFonts w:ascii="inherit" w:hAnsi="inherit"/>
          <w:color w:val="000000"/>
          <w:bdr w:val="none" w:sz="0" w:space="0" w:color="auto" w:frame="1"/>
        </w:rPr>
        <w:t xml:space="preserve"> </w:t>
      </w:r>
      <w:bookmarkStart w:id="25" w:name="_GoBack"/>
      <w:bookmarkEnd w:id="25"/>
      <w:r w:rsidRPr="0022112C">
        <w:rPr>
          <w:i/>
          <w:iCs/>
          <w:bdr w:val="none" w:sz="0" w:space="0" w:color="auto" w:frame="1"/>
        </w:rPr>
        <w:t xml:space="preserve">Re LEWIS (as liquidators of </w:t>
      </w:r>
      <w:r w:rsidR="007E1B20">
        <w:rPr>
          <w:i/>
          <w:iCs/>
          <w:bdr w:val="none" w:sz="0" w:space="0" w:color="auto" w:frame="1"/>
        </w:rPr>
        <w:t>CONCRETE SUPPLY PTY LTD</w:t>
      </w:r>
      <w:r>
        <w:rPr>
          <w:i/>
          <w:iCs/>
          <w:bdr w:val="none" w:sz="0" w:space="0" w:color="auto" w:frame="1"/>
        </w:rPr>
        <w:t xml:space="preserve"> </w:t>
      </w:r>
      <w:r w:rsidRPr="0022112C">
        <w:rPr>
          <w:i/>
          <w:iCs/>
          <w:bdr w:val="none" w:sz="0" w:space="0" w:color="auto" w:frame="1"/>
        </w:rPr>
        <w:t>(in liq)</w:t>
      </w:r>
      <w:r w:rsidR="007E1B20">
        <w:rPr>
          <w:i/>
          <w:iCs/>
          <w:bdr w:val="none" w:sz="0" w:space="0" w:color="auto" w:frame="1"/>
        </w:rPr>
        <w:t xml:space="preserve"> (ACN 007 848 580)</w:t>
      </w:r>
      <w:r w:rsidRPr="0022112C">
        <w:rPr>
          <w:bdr w:val="none" w:sz="0" w:space="0" w:color="auto" w:frame="1"/>
        </w:rPr>
        <w:t xml:space="preserve"> (2020) 145 ACSR 459</w:t>
      </w:r>
      <w:r>
        <w:t xml:space="preserve"> at [31] White J summarised the principles applying to the power of the Court to give directions under s 90-15</w:t>
      </w:r>
      <w:r w:rsidR="00F86077">
        <w:t xml:space="preserve">. </w:t>
      </w:r>
      <w:r w:rsidR="007E1B20">
        <w:t xml:space="preserve"> </w:t>
      </w:r>
      <w:r w:rsidR="00F86077">
        <w:t xml:space="preserve">Those principles </w:t>
      </w:r>
      <w:r>
        <w:t>include:</w:t>
      </w:r>
    </w:p>
    <w:p w14:paraId="2C76FCCB" w14:textId="4D671700" w:rsidR="00323303" w:rsidRDefault="006C1B7B" w:rsidP="006C1B7B">
      <w:pPr>
        <w:pStyle w:val="Quote1"/>
        <w:ind w:left="1440" w:hanging="703"/>
      </w:pPr>
      <w:r>
        <w:rPr>
          <w:rStyle w:val="ssro"/>
          <w:rFonts w:ascii="inherit" w:hAnsi="inherit"/>
          <w:color w:val="000000"/>
          <w:bdr w:val="none" w:sz="0" w:space="0" w:color="auto" w:frame="1"/>
        </w:rPr>
        <w:lastRenderedPageBreak/>
        <w:t>(a)</w:t>
      </w:r>
      <w:r>
        <w:rPr>
          <w:rStyle w:val="ssro"/>
          <w:rFonts w:ascii="inherit" w:hAnsi="inherit"/>
          <w:color w:val="000000"/>
          <w:bdr w:val="none" w:sz="0" w:space="0" w:color="auto" w:frame="1"/>
        </w:rPr>
        <w:tab/>
      </w:r>
      <w:proofErr w:type="gramStart"/>
      <w:r w:rsidR="00323303">
        <w:rPr>
          <w:rStyle w:val="sslistitemcontent"/>
          <w:color w:val="000000"/>
          <w:bdr w:val="none" w:sz="0" w:space="0" w:color="auto" w:frame="1"/>
        </w:rPr>
        <w:t>the</w:t>
      </w:r>
      <w:proofErr w:type="gramEnd"/>
      <w:r w:rsidR="00323303">
        <w:rPr>
          <w:rStyle w:val="sslistitemcontent"/>
          <w:color w:val="000000"/>
          <w:bdr w:val="none" w:sz="0" w:space="0" w:color="auto" w:frame="1"/>
        </w:rPr>
        <w:t xml:space="preserve"> power to give directions is intended to facilitate the performance of the liquidator’s functions and should be interpreted widely to give effect to that intention: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w:t>
      </w:r>
      <w:proofErr w:type="spellStart"/>
      <w:r w:rsidR="00323303">
        <w:rPr>
          <w:rStyle w:val="ssit"/>
          <w:rFonts w:ascii="inherit" w:hAnsi="inherit"/>
          <w:i/>
          <w:iCs/>
          <w:color w:val="000000"/>
          <w:bdr w:val="none" w:sz="0" w:space="0" w:color="auto" w:frame="1"/>
        </w:rPr>
        <w:t>Octaviar</w:t>
      </w:r>
      <w:proofErr w:type="spellEnd"/>
      <w:r w:rsidR="00323303">
        <w:rPr>
          <w:rStyle w:val="ssit"/>
          <w:rFonts w:ascii="inherit" w:hAnsi="inherit"/>
          <w:i/>
          <w:iCs/>
          <w:color w:val="000000"/>
          <w:bdr w:val="none" w:sz="0" w:space="0" w:color="auto" w:frame="1"/>
        </w:rPr>
        <w:t xml:space="preserve"> Administration Pty Ltd (in liq)</w:t>
      </w:r>
      <w:r w:rsidR="00323303">
        <w:rPr>
          <w:rStyle w:val="sslistitemcontent"/>
          <w:color w:val="000000"/>
          <w:bdr w:val="none" w:sz="0" w:space="0" w:color="auto" w:frame="1"/>
        </w:rPr>
        <w:t> [2017] NSWSC 1556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w:t>
      </w:r>
      <w:proofErr w:type="spellStart"/>
      <w:r w:rsidR="00323303">
        <w:rPr>
          <w:rStyle w:val="ssit"/>
          <w:rFonts w:ascii="inherit" w:hAnsi="inherit"/>
          <w:i/>
          <w:iCs/>
          <w:color w:val="000000"/>
          <w:bdr w:val="none" w:sz="0" w:space="0" w:color="auto" w:frame="1"/>
        </w:rPr>
        <w:t>Octaviar</w:t>
      </w:r>
      <w:proofErr w:type="spellEnd"/>
      <w:r w:rsidR="00323303">
        <w:rPr>
          <w:rStyle w:val="sslistitemcontent"/>
          <w:color w:val="000000"/>
          <w:bdr w:val="none" w:sz="0" w:space="0" w:color="auto" w:frame="1"/>
        </w:rPr>
        <w:t>) at [9];</w:t>
      </w:r>
    </w:p>
    <w:p w14:paraId="6BCCB76F" w14:textId="249B258E" w:rsidR="00323303" w:rsidRDefault="006C1B7B" w:rsidP="006C1B7B">
      <w:pPr>
        <w:pStyle w:val="Quote1"/>
        <w:ind w:left="1440" w:hanging="703"/>
      </w:pPr>
      <w:r>
        <w:rPr>
          <w:rStyle w:val="ssro"/>
          <w:rFonts w:ascii="inherit" w:hAnsi="inherit"/>
          <w:color w:val="000000"/>
          <w:bdr w:val="none" w:sz="0" w:space="0" w:color="auto" w:frame="1"/>
        </w:rPr>
        <w:t>(b)</w:t>
      </w:r>
      <w:r>
        <w:rPr>
          <w:rStyle w:val="ssro"/>
          <w:rFonts w:ascii="inherit" w:hAnsi="inherit"/>
          <w:color w:val="000000"/>
          <w:bdr w:val="none" w:sz="0" w:space="0" w:color="auto" w:frame="1"/>
        </w:rPr>
        <w:tab/>
      </w:r>
      <w:proofErr w:type="gramStart"/>
      <w:r w:rsidR="00323303">
        <w:rPr>
          <w:rStyle w:val="sslistitemcontent"/>
          <w:color w:val="000000"/>
          <w:bdr w:val="none" w:sz="0" w:space="0" w:color="auto" w:frame="1"/>
        </w:rPr>
        <w:t>the</w:t>
      </w:r>
      <w:proofErr w:type="gramEnd"/>
      <w:r w:rsidR="00323303">
        <w:rPr>
          <w:rStyle w:val="sslistitemcontent"/>
          <w:color w:val="000000"/>
          <w:bdr w:val="none" w:sz="0" w:space="0" w:color="auto" w:frame="1"/>
        </w:rPr>
        <w:t xml:space="preserve"> power is available to give a liquidator advice as to the proper course of action to be taken in the liquidation: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Bell</w:t>
      </w:r>
      <w:r w:rsidR="00323303">
        <w:rPr>
          <w:rStyle w:val="sslistitemcontent"/>
          <w:color w:val="000000"/>
          <w:bdr w:val="none" w:sz="0" w:space="0" w:color="auto" w:frame="1"/>
        </w:rPr>
        <w:t> at [47];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MF Global Australia Ltd (in liq)</w:t>
      </w:r>
      <w:r w:rsidR="00323303">
        <w:rPr>
          <w:rStyle w:val="sslistitemcontent"/>
          <w:color w:val="000000"/>
          <w:bdr w:val="none" w:sz="0" w:space="0" w:color="auto" w:frame="1"/>
        </w:rPr>
        <w:t> [2012] NSWSC 994 at [7];</w:t>
      </w:r>
    </w:p>
    <w:p w14:paraId="27A6064D" w14:textId="646FB66D" w:rsidR="00323303" w:rsidRDefault="006C1B7B" w:rsidP="006C1B7B">
      <w:pPr>
        <w:pStyle w:val="Quote1"/>
        <w:ind w:left="1440" w:hanging="703"/>
      </w:pPr>
      <w:r>
        <w:rPr>
          <w:rStyle w:val="ssro"/>
          <w:rFonts w:ascii="inherit" w:hAnsi="inherit"/>
          <w:color w:val="000000"/>
          <w:bdr w:val="none" w:sz="0" w:space="0" w:color="auto" w:frame="1"/>
        </w:rPr>
        <w:t>(c)</w:t>
      </w:r>
      <w:r>
        <w:rPr>
          <w:rStyle w:val="ssro"/>
          <w:rFonts w:ascii="inherit" w:hAnsi="inherit"/>
          <w:color w:val="000000"/>
          <w:bdr w:val="none" w:sz="0" w:space="0" w:color="auto" w:frame="1"/>
        </w:rPr>
        <w:tab/>
      </w:r>
      <w:r w:rsidR="00323303">
        <w:rPr>
          <w:rStyle w:val="sslistitemcontent"/>
          <w:color w:val="000000"/>
          <w:bdr w:val="none" w:sz="0" w:space="0" w:color="auto" w:frame="1"/>
        </w:rPr>
        <w:t>the Court may give directions that provide guidance on matters of law and the reasonableness of a contemplated exercise of discretion but will usually not do so when the subject of the directions sought relates to the making and implementation of a business or commercial decision and when there is no particular legal issue raised and no attack on the proprietary or reasonableness of the decision: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MF Global</w:t>
      </w:r>
      <w:r w:rsidR="00323303">
        <w:rPr>
          <w:rStyle w:val="sslistitemcontent"/>
          <w:color w:val="000000"/>
          <w:bdr w:val="none" w:sz="0" w:space="0" w:color="auto" w:frame="1"/>
        </w:rPr>
        <w:t> at [7];</w:t>
      </w:r>
    </w:p>
    <w:p w14:paraId="274C7DE2" w14:textId="03170781" w:rsidR="00323303" w:rsidRDefault="00323303" w:rsidP="006C1B7B">
      <w:pPr>
        <w:pStyle w:val="Quote1"/>
        <w:ind w:left="1440" w:hanging="703"/>
      </w:pPr>
      <w:r>
        <w:rPr>
          <w:rStyle w:val="ssro"/>
          <w:rFonts w:ascii="inherit" w:hAnsi="inherit"/>
          <w:color w:val="000000"/>
          <w:bdr w:val="none" w:sz="0" w:space="0" w:color="auto" w:frame="1"/>
        </w:rPr>
        <w:t xml:space="preserve">(d) </w:t>
      </w:r>
      <w:r w:rsidR="006C1B7B">
        <w:rPr>
          <w:rStyle w:val="ssro"/>
          <w:rFonts w:ascii="inherit" w:hAnsi="inherit"/>
          <w:color w:val="000000"/>
          <w:bdr w:val="none" w:sz="0" w:space="0" w:color="auto" w:frame="1"/>
        </w:rPr>
        <w:tab/>
      </w:r>
      <w:r>
        <w:rPr>
          <w:rStyle w:val="ssro"/>
          <w:rFonts w:ascii="inherit" w:hAnsi="inherit"/>
          <w:color w:val="000000"/>
          <w:bdr w:val="none" w:sz="0" w:space="0" w:color="auto" w:frame="1"/>
        </w:rPr>
        <w:t>…</w:t>
      </w:r>
    </w:p>
    <w:p w14:paraId="3C860CA3" w14:textId="7F5B17ED" w:rsidR="00323303" w:rsidRDefault="00323303" w:rsidP="006C1B7B">
      <w:pPr>
        <w:pStyle w:val="Quote1"/>
        <w:ind w:left="1440" w:hanging="703"/>
      </w:pPr>
      <w:r>
        <w:rPr>
          <w:rStyle w:val="ssro"/>
          <w:rFonts w:ascii="inherit" w:hAnsi="inherit"/>
          <w:color w:val="000000"/>
          <w:bdr w:val="none" w:sz="0" w:space="0" w:color="auto" w:frame="1"/>
        </w:rPr>
        <w:t>(e)</w:t>
      </w:r>
      <w:r w:rsidR="006C1B7B">
        <w:rPr>
          <w:rStyle w:val="ssro"/>
          <w:rFonts w:ascii="inherit" w:hAnsi="inherit"/>
          <w:color w:val="000000"/>
          <w:bdr w:val="none" w:sz="0" w:space="0" w:color="auto" w:frame="1"/>
        </w:rPr>
        <w:tab/>
      </w:r>
      <w:r>
        <w:rPr>
          <w:rStyle w:val="sslistitemcontent"/>
          <w:color w:val="000000"/>
          <w:bdr w:val="none" w:sz="0" w:space="0" w:color="auto" w:frame="1"/>
        </w:rPr>
        <w:t>the effect of a direction is to sanction a course of conduct on the part of the liquidators so that, providing full disclosure has been made to the Court, the liquidator may adopt the course free from the risk of personal liability for breach of duty: </w:t>
      </w:r>
      <w:r>
        <w:rPr>
          <w:rStyle w:val="sssh"/>
          <w:rFonts w:ascii="inherit" w:hAnsi="inherit"/>
          <w:i/>
          <w:iCs/>
          <w:color w:val="000000"/>
          <w:bdr w:val="none" w:sz="0" w:space="0" w:color="auto" w:frame="1"/>
        </w:rPr>
        <w:t>Re</w:t>
      </w:r>
      <w:r>
        <w:rPr>
          <w:rStyle w:val="ssit"/>
          <w:rFonts w:ascii="inherit" w:hAnsi="inherit"/>
          <w:i/>
          <w:iCs/>
          <w:color w:val="000000"/>
          <w:bdr w:val="none" w:sz="0" w:space="0" w:color="auto" w:frame="1"/>
        </w:rPr>
        <w:t> Bell</w:t>
      </w:r>
      <w:r>
        <w:rPr>
          <w:rStyle w:val="sslistitemcontent"/>
          <w:color w:val="000000"/>
          <w:bdr w:val="none" w:sz="0" w:space="0" w:color="auto" w:frame="1"/>
        </w:rPr>
        <w:t> at [47]; </w:t>
      </w:r>
      <w:r>
        <w:rPr>
          <w:rStyle w:val="sssh"/>
          <w:rFonts w:ascii="inherit" w:hAnsi="inherit"/>
          <w:i/>
          <w:iCs/>
          <w:color w:val="000000"/>
          <w:bdr w:val="none" w:sz="0" w:space="0" w:color="auto" w:frame="1"/>
        </w:rPr>
        <w:t>Re</w:t>
      </w:r>
      <w:r>
        <w:rPr>
          <w:rStyle w:val="ssit"/>
          <w:rFonts w:ascii="inherit" w:hAnsi="inherit"/>
          <w:i/>
          <w:iCs/>
          <w:color w:val="000000"/>
          <w:bdr w:val="none" w:sz="0" w:space="0" w:color="auto" w:frame="1"/>
        </w:rPr>
        <w:t> One.Tel</w:t>
      </w:r>
      <w:r>
        <w:rPr>
          <w:rStyle w:val="sslistitemcontent"/>
          <w:color w:val="000000"/>
          <w:bdr w:val="none" w:sz="0" w:space="0" w:color="auto" w:frame="1"/>
        </w:rPr>
        <w:t> at [32]; and</w:t>
      </w:r>
    </w:p>
    <w:p w14:paraId="7D9F9244" w14:textId="3D4E1619" w:rsidR="00323303" w:rsidRDefault="006C1B7B" w:rsidP="006C1B7B">
      <w:pPr>
        <w:pStyle w:val="Quote1"/>
        <w:ind w:left="1440" w:hanging="703"/>
        <w:rPr>
          <w:rStyle w:val="sslistitemcontent"/>
          <w:color w:val="000000"/>
          <w:bdr w:val="none" w:sz="0" w:space="0" w:color="auto" w:frame="1"/>
        </w:rPr>
      </w:pPr>
      <w:r>
        <w:rPr>
          <w:rStyle w:val="ssro"/>
          <w:rFonts w:ascii="inherit" w:hAnsi="inherit"/>
          <w:color w:val="000000"/>
          <w:bdr w:val="none" w:sz="0" w:space="0" w:color="auto" w:frame="1"/>
        </w:rPr>
        <w:t>(f)</w:t>
      </w:r>
      <w:r>
        <w:rPr>
          <w:rStyle w:val="ssro"/>
          <w:rFonts w:ascii="inherit" w:hAnsi="inherit"/>
          <w:color w:val="000000"/>
          <w:bdr w:val="none" w:sz="0" w:space="0" w:color="auto" w:frame="1"/>
        </w:rPr>
        <w:tab/>
      </w:r>
      <w:proofErr w:type="gramStart"/>
      <w:r w:rsidR="00323303">
        <w:rPr>
          <w:rStyle w:val="sslistitemcontent"/>
          <w:color w:val="000000"/>
          <w:bdr w:val="none" w:sz="0" w:space="0" w:color="auto" w:frame="1"/>
        </w:rPr>
        <w:t>the</w:t>
      </w:r>
      <w:proofErr w:type="gramEnd"/>
      <w:r w:rsidR="00323303">
        <w:rPr>
          <w:rStyle w:val="sslistitemcontent"/>
          <w:color w:val="000000"/>
          <w:bdr w:val="none" w:sz="0" w:space="0" w:color="auto" w:frame="1"/>
        </w:rPr>
        <w:t xml:space="preserve"> directions do not bind third parties, and do not determine substantive matters in dispute between the liquidator and third parties: </w:t>
      </w:r>
      <w:r w:rsidR="00323303">
        <w:rPr>
          <w:rStyle w:val="sssh"/>
          <w:rFonts w:ascii="inherit" w:hAnsi="inherit"/>
          <w:i/>
          <w:iCs/>
          <w:color w:val="000000"/>
          <w:bdr w:val="none" w:sz="0" w:space="0" w:color="auto" w:frame="1"/>
        </w:rPr>
        <w:t>Re</w:t>
      </w:r>
      <w:r w:rsidR="00323303">
        <w:rPr>
          <w:rStyle w:val="ssit"/>
          <w:rFonts w:ascii="inherit" w:hAnsi="inherit"/>
          <w:i/>
          <w:iCs/>
          <w:color w:val="000000"/>
          <w:bdr w:val="none" w:sz="0" w:space="0" w:color="auto" w:frame="1"/>
        </w:rPr>
        <w:t> Bell</w:t>
      </w:r>
      <w:r w:rsidR="00323303">
        <w:rPr>
          <w:rStyle w:val="sslistitemcontent"/>
          <w:color w:val="000000"/>
          <w:bdr w:val="none" w:sz="0" w:space="0" w:color="auto" w:frame="1"/>
        </w:rPr>
        <w:t> at [47].</w:t>
      </w:r>
    </w:p>
    <w:p w14:paraId="6DBB3EB9" w14:textId="6249B07F" w:rsidR="00323303" w:rsidRDefault="00323303" w:rsidP="00323303">
      <w:pPr>
        <w:pStyle w:val="ParaNumbering"/>
      </w:pPr>
      <w:r>
        <w:t xml:space="preserve">In this application, in his capacity </w:t>
      </w:r>
      <w:r w:rsidR="007D74C9">
        <w:t xml:space="preserve">both </w:t>
      </w:r>
      <w:r>
        <w:t xml:space="preserve">as </w:t>
      </w:r>
      <w:r w:rsidR="000F4C3A">
        <w:t xml:space="preserve">Liquidator and </w:t>
      </w:r>
      <w:r>
        <w:t xml:space="preserve">Receiver of the assets of the Trust, </w:t>
      </w:r>
      <w:r w:rsidR="00F86077">
        <w:t xml:space="preserve">Mr </w:t>
      </w:r>
      <w:proofErr w:type="spellStart"/>
      <w:r>
        <w:t>Bolwell</w:t>
      </w:r>
      <w:proofErr w:type="spellEnd"/>
      <w:r>
        <w:t xml:space="preserve"> seeks directions so that accurate </w:t>
      </w:r>
      <w:r w:rsidR="00F86077">
        <w:t xml:space="preserve">tax </w:t>
      </w:r>
      <w:r>
        <w:t>calculations can be made prior to</w:t>
      </w:r>
      <w:r w:rsidR="007D74C9">
        <w:t xml:space="preserve"> both</w:t>
      </w:r>
      <w:r>
        <w:t xml:space="preserve"> the distribution of the proceeds of the sale of the Property</w:t>
      </w:r>
      <w:r w:rsidR="000F4C3A">
        <w:t xml:space="preserve"> to creditors and</w:t>
      </w:r>
      <w:r>
        <w:t xml:space="preserve"> payment of remuneration.</w:t>
      </w:r>
    </w:p>
    <w:p w14:paraId="43624182" w14:textId="77777777" w:rsidR="00323303" w:rsidRDefault="00323303" w:rsidP="00323303">
      <w:pPr>
        <w:pStyle w:val="ParaNumbering"/>
      </w:pPr>
      <w:r>
        <w:t>The directions sought pursuant to s 90-15 are that the Liquidator and Receiver would be justified and otherwise acting reasonably in proceeding on the basis that:</w:t>
      </w:r>
    </w:p>
    <w:p w14:paraId="2B77ED46" w14:textId="3CDBEEB4" w:rsidR="00323303" w:rsidRDefault="006C1B7B" w:rsidP="006C1B7B">
      <w:pPr>
        <w:pStyle w:val="ListNo2"/>
        <w:numPr>
          <w:ilvl w:val="1"/>
          <w:numId w:val="32"/>
        </w:numPr>
      </w:pPr>
      <w:r>
        <w:t>T</w:t>
      </w:r>
      <w:r w:rsidR="00323303">
        <w:t xml:space="preserve">he Trust was validly constituted under a deed dated 4 January 2013 notwithstanding that </w:t>
      </w:r>
      <w:r w:rsidR="00F86077">
        <w:t>the Company</w:t>
      </w:r>
      <w:r w:rsidR="00323303">
        <w:t xml:space="preserve"> was not incorporated until 5 February 2013;</w:t>
      </w:r>
    </w:p>
    <w:p w14:paraId="32D65020" w14:textId="2F267A20" w:rsidR="00323303" w:rsidRDefault="00323303" w:rsidP="006C1B7B">
      <w:pPr>
        <w:pStyle w:val="ListNo2"/>
        <w:numPr>
          <w:ilvl w:val="1"/>
          <w:numId w:val="32"/>
        </w:numPr>
      </w:pPr>
      <w:r>
        <w:t>Stephen John Barber became the trustee of the Trust upon execution of the Trust Deed;</w:t>
      </w:r>
    </w:p>
    <w:p w14:paraId="62CCB038" w14:textId="27A2BDB0" w:rsidR="00323303" w:rsidRDefault="006C1B7B" w:rsidP="006C1B7B">
      <w:pPr>
        <w:pStyle w:val="ListNo2"/>
        <w:numPr>
          <w:ilvl w:val="1"/>
          <w:numId w:val="32"/>
        </w:numPr>
      </w:pPr>
      <w:r>
        <w:t>U</w:t>
      </w:r>
      <w:r w:rsidR="00323303">
        <w:t xml:space="preserve">pon its incorporation on 5 February 2013, </w:t>
      </w:r>
      <w:r w:rsidR="00F86077">
        <w:t>the Company</w:t>
      </w:r>
      <w:r w:rsidR="00323303">
        <w:t xml:space="preserve"> became the trustee of the Trust;</w:t>
      </w:r>
    </w:p>
    <w:p w14:paraId="619130F4" w14:textId="1597A89D" w:rsidR="00323303" w:rsidRDefault="00F86077" w:rsidP="006C1B7B">
      <w:pPr>
        <w:pStyle w:val="ListNo2"/>
        <w:numPr>
          <w:ilvl w:val="1"/>
          <w:numId w:val="32"/>
        </w:numPr>
      </w:pPr>
      <w:r>
        <w:t xml:space="preserve">The Company </w:t>
      </w:r>
      <w:r w:rsidR="00323303">
        <w:t>acted solely on its capacity as trustee of the Trust, and not in its own right or any other capacity;</w:t>
      </w:r>
      <w:r w:rsidR="006C1B7B">
        <w:t xml:space="preserve"> and</w:t>
      </w:r>
    </w:p>
    <w:p w14:paraId="1A0FEDF7" w14:textId="26195B57" w:rsidR="00323303" w:rsidRDefault="006C1B7B" w:rsidP="006C1B7B">
      <w:pPr>
        <w:pStyle w:val="ListNo2"/>
        <w:numPr>
          <w:ilvl w:val="1"/>
          <w:numId w:val="32"/>
        </w:numPr>
      </w:pPr>
      <w:r>
        <w:t>T</w:t>
      </w:r>
      <w:r w:rsidR="00323303">
        <w:t xml:space="preserve">he Property was, prior to its sale, properly characterised as property held by </w:t>
      </w:r>
      <w:r w:rsidR="00F86077">
        <w:t xml:space="preserve">the Company </w:t>
      </w:r>
      <w:r w:rsidR="00323303">
        <w:t xml:space="preserve">in </w:t>
      </w:r>
      <w:r w:rsidR="00F86077">
        <w:t>its</w:t>
      </w:r>
      <w:r w:rsidR="00323303">
        <w:t xml:space="preserve"> capacity as trustee of the Trust.</w:t>
      </w:r>
    </w:p>
    <w:p w14:paraId="7028D0BA" w14:textId="51125E11" w:rsidR="00323303" w:rsidRDefault="00D6262E" w:rsidP="00323303">
      <w:pPr>
        <w:pStyle w:val="ParaNumbering"/>
      </w:pPr>
      <w:r>
        <w:lastRenderedPageBreak/>
        <w:t>There is one furthe</w:t>
      </w:r>
      <w:r w:rsidR="007E1B20">
        <w:t xml:space="preserve">r direction I would add, which </w:t>
      </w:r>
      <w:r>
        <w:t xml:space="preserve">that by its actions after incorporation, the Company ratified Mr Barber’s pre-incorporation actions.  </w:t>
      </w:r>
      <w:r w:rsidR="00323303">
        <w:t>For the reasons I have set out above, I am satisfied as to each of the directions sought and there will be directions accordingly.</w:t>
      </w:r>
    </w:p>
    <w:p w14:paraId="68DC7205" w14:textId="134352FD" w:rsidR="00323303" w:rsidRDefault="00323303" w:rsidP="00323303">
      <w:pPr>
        <w:pStyle w:val="Heading2"/>
      </w:pPr>
      <w:r>
        <w:t xml:space="preserve">Is the realisation and distribution of the proceeds of sale of the Property each governed by parts 5.4B and 5.6 of the </w:t>
      </w:r>
      <w:r w:rsidR="00B53A17" w:rsidRPr="007E1B20">
        <w:t>Act</w:t>
      </w:r>
    </w:p>
    <w:p w14:paraId="7EA8F8D9" w14:textId="6E6397B6" w:rsidR="00D6262E" w:rsidRDefault="00D6262E" w:rsidP="00D6262E">
      <w:pPr>
        <w:pStyle w:val="ParaNumbering"/>
      </w:pPr>
      <w:r>
        <w:t>It is well-settled that the realisation and distribution of the proceeds of sale of the Property in the circumstances of this matter are each governed by Parts 5.4B and 5.6 of the</w:t>
      </w:r>
      <w:r w:rsidR="007E1B20">
        <w:t xml:space="preserve"> Act.</w:t>
      </w:r>
    </w:p>
    <w:p w14:paraId="282B704B" w14:textId="18BA52C3" w:rsidR="000F4C3A" w:rsidRDefault="00323303" w:rsidP="00552B69">
      <w:pPr>
        <w:pStyle w:val="ParaNumbering"/>
      </w:pPr>
      <w:r>
        <w:t xml:space="preserve">In </w:t>
      </w:r>
      <w:r w:rsidR="00552B69" w:rsidRPr="00552B69">
        <w:rPr>
          <w:i/>
        </w:rPr>
        <w:t xml:space="preserve">Carter Holt Harvey </w:t>
      </w:r>
      <w:proofErr w:type="spellStart"/>
      <w:r w:rsidR="00552B69" w:rsidRPr="00552B69">
        <w:rPr>
          <w:i/>
        </w:rPr>
        <w:t>Woodproducts</w:t>
      </w:r>
      <w:proofErr w:type="spellEnd"/>
      <w:r w:rsidR="00552B69" w:rsidRPr="00552B69">
        <w:rPr>
          <w:i/>
        </w:rPr>
        <w:t xml:space="preserve"> Australia Pty Ltd v Commonwealth</w:t>
      </w:r>
      <w:r w:rsidR="00552B69">
        <w:t xml:space="preserve"> [2019] HCA 20; (2019) 268 CLR 524 </w:t>
      </w:r>
      <w:r>
        <w:t>at [95]</w:t>
      </w:r>
      <w:r w:rsidR="007E1B20">
        <w:t>-</w:t>
      </w:r>
      <w:r>
        <w:t>[96] (Bell, Gageler and Nettle JJ) the High Court said that the liquidator of a company assumes control of the company’s assets subject to equities and as such must deal with assets held by the company as trustee in accordance with the terms of the trust.  However</w:t>
      </w:r>
      <w:r w:rsidR="00B53A17">
        <w:t>,</w:t>
      </w:r>
      <w:r>
        <w:t xml:space="preserve"> the company’s right of indemnity arising out of properly incurred trust obligations gives rise to a beneficial interest in the trust assets such that the trust assets are property of the company available for the payment of creditors and that</w:t>
      </w:r>
      <w:r w:rsidRPr="00F8009F">
        <w:t xml:space="preserve"> </w:t>
      </w:r>
      <w:r>
        <w:t>“…</w:t>
      </w:r>
      <w:r w:rsidR="00B53A17">
        <w:t xml:space="preserve"> </w:t>
      </w:r>
      <w:r>
        <w:t>there is no reason why the statutory order of priorities should not be followed in the distribution of the proceeds of the trustee’s right of indemnity amongst trust creditors</w:t>
      </w:r>
      <w:r w:rsidR="00B53A17">
        <w:t xml:space="preserve"> </w:t>
      </w:r>
      <w:r>
        <w:t xml:space="preserve">...”.  </w:t>
      </w:r>
    </w:p>
    <w:p w14:paraId="6C0F0CCB" w14:textId="1A320BEA" w:rsidR="00323303" w:rsidRDefault="00323303" w:rsidP="00323303">
      <w:pPr>
        <w:pStyle w:val="ParaNumbering"/>
      </w:pPr>
      <w:r>
        <w:t xml:space="preserve">The High Court </w:t>
      </w:r>
      <w:r w:rsidR="007D74C9">
        <w:t>continued by referring</w:t>
      </w:r>
      <w:r>
        <w:t xml:space="preserve"> to the observations of Allsop CJ in </w:t>
      </w:r>
      <w:r w:rsidRPr="00BE0633">
        <w:rPr>
          <w:i/>
        </w:rPr>
        <w:t xml:space="preserve">Jones v </w:t>
      </w:r>
      <w:r>
        <w:rPr>
          <w:i/>
        </w:rPr>
        <w:t>Matrix Partners Pty Ltd; Re-</w:t>
      </w:r>
      <w:proofErr w:type="spellStart"/>
      <w:r>
        <w:rPr>
          <w:i/>
        </w:rPr>
        <w:t>Killarnee</w:t>
      </w:r>
      <w:proofErr w:type="spellEnd"/>
      <w:r>
        <w:rPr>
          <w:i/>
        </w:rPr>
        <w:t xml:space="preserve"> Civil &amp; Concre</w:t>
      </w:r>
      <w:r w:rsidR="00B53A17">
        <w:rPr>
          <w:i/>
        </w:rPr>
        <w:t>te Contractors Pty Ltd (in liq)</w:t>
      </w:r>
      <w:r>
        <w:rPr>
          <w:i/>
        </w:rPr>
        <w:t xml:space="preserve"> </w:t>
      </w:r>
      <w:r w:rsidRPr="00B53A17">
        <w:t xml:space="preserve">[2018] FCAFC 40; </w:t>
      </w:r>
      <w:r>
        <w:t>(2018) 260 FCR 310, 338-339 [108] where when referring to s</w:t>
      </w:r>
      <w:r w:rsidR="00B53A17">
        <w:t xml:space="preserve"> 556(1)</w:t>
      </w:r>
      <w:r>
        <w:t>(e), (f), (g) and (h) (which is wit</w:t>
      </w:r>
      <w:r w:rsidR="00B53A17">
        <w:t>hin P</w:t>
      </w:r>
      <w:r>
        <w:t>art 5.6 of the Act)</w:t>
      </w:r>
      <w:r w:rsidR="00B53A17">
        <w:t>,</w:t>
      </w:r>
      <w:r>
        <w:t xml:space="preserve"> his Honour said</w:t>
      </w:r>
      <w:r w:rsidR="00B53A17">
        <w:t>,</w:t>
      </w:r>
      <w:r>
        <w:t xml:space="preserve"> “Where the Corporation has only ever acted as a trustee of one trust and that has been the totality of its affairs, there is no reason</w:t>
      </w:r>
      <w:r w:rsidR="007E1B20">
        <w:t xml:space="preserve"> either</w:t>
      </w:r>
      <w:r>
        <w:t xml:space="preserve"> in principle or by reference to context or text </w:t>
      </w:r>
      <w:r w:rsidR="007E1B20">
        <w:t>why</w:t>
      </w:r>
      <w:r>
        <w:t xml:space="preserve"> the words of the statute setting the order of priority should not be followed.”</w:t>
      </w:r>
    </w:p>
    <w:p w14:paraId="5337EA71" w14:textId="23F4D54B" w:rsidR="00323303" w:rsidRDefault="00323303" w:rsidP="00323303">
      <w:pPr>
        <w:pStyle w:val="ParaNumbering"/>
      </w:pPr>
      <w:r>
        <w:t>Finally, Ms Goldsmith-</w:t>
      </w:r>
      <w:proofErr w:type="spellStart"/>
      <w:r>
        <w:t>Medd</w:t>
      </w:r>
      <w:proofErr w:type="spellEnd"/>
      <w:r>
        <w:t xml:space="preserve"> </w:t>
      </w:r>
      <w:r w:rsidR="000F4C3A">
        <w:t xml:space="preserve">both </w:t>
      </w:r>
      <w:r>
        <w:t>in her capacity as trustee for the Trust</w:t>
      </w:r>
      <w:r w:rsidR="000F4C3A">
        <w:t xml:space="preserve"> and personally</w:t>
      </w:r>
      <w:r w:rsidR="00B53A17">
        <w:t>,</w:t>
      </w:r>
      <w:r>
        <w:t xml:space="preserve"> filed two sets</w:t>
      </w:r>
      <w:r w:rsidR="007E1B20">
        <w:t xml:space="preserve"> of written submissions dated 12</w:t>
      </w:r>
      <w:r>
        <w:t xml:space="preserve"> April 2021 and 10 October 2022, both of which were read on this application.  Ms Goldsmith-</w:t>
      </w:r>
      <w:proofErr w:type="spellStart"/>
      <w:r>
        <w:t>Medd</w:t>
      </w:r>
      <w:proofErr w:type="spellEnd"/>
      <w:r>
        <w:t xml:space="preserve"> did not object in those</w:t>
      </w:r>
      <w:r w:rsidR="000F4C3A">
        <w:t xml:space="preserve"> written</w:t>
      </w:r>
      <w:r>
        <w:t xml:space="preserve"> materials to the directions sought by the</w:t>
      </w:r>
      <w:r w:rsidR="00D6262E">
        <w:t xml:space="preserve"> first and third</w:t>
      </w:r>
      <w:r>
        <w:t xml:space="preserve"> plaintiffs.</w:t>
      </w:r>
    </w:p>
    <w:p w14:paraId="2329C69F" w14:textId="77777777" w:rsidR="00323303" w:rsidRDefault="00323303" w:rsidP="00323303">
      <w:pPr>
        <w:pStyle w:val="ParaNumbering"/>
      </w:pPr>
      <w:r>
        <w:t>Ms Goldsmith-</w:t>
      </w:r>
      <w:proofErr w:type="spellStart"/>
      <w:r>
        <w:t>Medd</w:t>
      </w:r>
      <w:proofErr w:type="spellEnd"/>
      <w:r>
        <w:t xml:space="preserve"> was present at the argument but did not wish to say anything further.  Neither of Ms Goldsmith-</w:t>
      </w:r>
      <w:proofErr w:type="spellStart"/>
      <w:r>
        <w:t>Medd’s</w:t>
      </w:r>
      <w:proofErr w:type="spellEnd"/>
      <w:r>
        <w:t xml:space="preserve"> written submissions advanced the matter further.</w:t>
      </w:r>
    </w:p>
    <w:p w14:paraId="14B585E0" w14:textId="77777777" w:rsidR="00323303" w:rsidRDefault="00323303" w:rsidP="00323303">
      <w:pPr>
        <w:pStyle w:val="Heading2"/>
      </w:pPr>
      <w:r>
        <w:lastRenderedPageBreak/>
        <w:t>Conclusion</w:t>
      </w:r>
    </w:p>
    <w:p w14:paraId="12DD9A20" w14:textId="12DD4F02" w:rsidR="00323303" w:rsidRDefault="00323303" w:rsidP="00323303">
      <w:pPr>
        <w:pStyle w:val="ParaNumbering"/>
      </w:pPr>
      <w:r>
        <w:t xml:space="preserve">I am satisfied that the plaintiffs are entitled to the </w:t>
      </w:r>
      <w:r w:rsidR="00D6262E">
        <w:t>directions</w:t>
      </w:r>
      <w:r>
        <w:t xml:space="preserve"> they seek and there will be orders accordingly.</w:t>
      </w:r>
    </w:p>
    <w:p w14:paraId="15B261D8" w14:textId="77777777" w:rsidR="00FB0143" w:rsidRDefault="00FB0143" w:rsidP="00815065">
      <w:pPr>
        <w:pStyle w:val="BodyText"/>
      </w:pPr>
      <w:bookmarkStart w:id="26" w:name="Certification"/>
    </w:p>
    <w:tbl>
      <w:tblPr>
        <w:tblW w:w="0" w:type="auto"/>
        <w:tblLook w:val="04A0" w:firstRow="1" w:lastRow="0" w:firstColumn="1" w:lastColumn="0" w:noHBand="0" w:noVBand="1"/>
      </w:tblPr>
      <w:tblGrid>
        <w:gridCol w:w="3794"/>
      </w:tblGrid>
      <w:tr w:rsidR="00FB0143" w:rsidRPr="00FB0143" w14:paraId="45C14B94" w14:textId="77777777">
        <w:tc>
          <w:tcPr>
            <w:tcW w:w="3794" w:type="dxa"/>
            <w:shd w:val="clear" w:color="auto" w:fill="auto"/>
          </w:tcPr>
          <w:p w14:paraId="7760559C" w14:textId="358F3B64" w:rsidR="00FB0143" w:rsidRPr="00FB0143" w:rsidRDefault="00FB0143" w:rsidP="00FB0143">
            <w:pPr>
              <w:pStyle w:val="Normal1linespace"/>
            </w:pPr>
            <w:r w:rsidRPr="00FB0143">
              <w:t xml:space="preserve">I certify that the preceding </w:t>
            </w:r>
            <w:bookmarkStart w:id="27" w:name="NumberWord"/>
            <w:r w:rsidR="001C3C7A">
              <w:t>thirty-two</w:t>
            </w:r>
            <w:bookmarkEnd w:id="27"/>
            <w:r w:rsidRPr="00FB0143">
              <w:t xml:space="preserve"> (</w:t>
            </w:r>
            <w:bookmarkStart w:id="28" w:name="NumberNumeral"/>
            <w:r w:rsidR="001C3C7A">
              <w:t>32</w:t>
            </w:r>
            <w:bookmarkEnd w:id="28"/>
            <w:r w:rsidRPr="00FB0143">
              <w:t xml:space="preserve">) numbered </w:t>
            </w:r>
            <w:bookmarkStart w:id="29" w:name="CertPara"/>
            <w:r w:rsidR="001C3C7A">
              <w:t>paragraphs are</w:t>
            </w:r>
            <w:bookmarkEnd w:id="29"/>
            <w:r w:rsidRPr="00FB0143">
              <w:t xml:space="preserve"> a true copy of the Reasons for Judgment of </w:t>
            </w:r>
            <w:bookmarkStart w:id="30" w:name="bkHonourable"/>
            <w:r w:rsidRPr="00FB0143">
              <w:t xml:space="preserve">the Honourable </w:t>
            </w:r>
            <w:bookmarkStart w:id="31" w:name="Justice"/>
            <w:bookmarkEnd w:id="30"/>
            <w:r>
              <w:t>Justice O'Sullivan</w:t>
            </w:r>
            <w:bookmarkEnd w:id="31"/>
            <w:r w:rsidRPr="00FB0143">
              <w:t>.</w:t>
            </w:r>
          </w:p>
        </w:tc>
      </w:tr>
    </w:tbl>
    <w:p w14:paraId="237D3F6A" w14:textId="77777777" w:rsidR="00FB0143" w:rsidRDefault="00FB0143" w:rsidP="00815065">
      <w:pPr>
        <w:pStyle w:val="BodyText"/>
      </w:pPr>
    </w:p>
    <w:p w14:paraId="0A8EB613" w14:textId="77777777" w:rsidR="00FB0143" w:rsidRDefault="00FB0143" w:rsidP="00815065">
      <w:pPr>
        <w:pStyle w:val="BodyText"/>
      </w:pPr>
    </w:p>
    <w:p w14:paraId="1FEBA12A" w14:textId="26B3B73E" w:rsidR="00FB0143" w:rsidRDefault="00FB0143" w:rsidP="00815065">
      <w:pPr>
        <w:pStyle w:val="BodyText"/>
      </w:pPr>
      <w:r>
        <w:t>Associate:</w:t>
      </w:r>
      <w:r w:rsidR="00E816F2">
        <w:t xml:space="preserve">  </w:t>
      </w:r>
    </w:p>
    <w:p w14:paraId="2D928CD2" w14:textId="77777777" w:rsidR="00FB0143" w:rsidRDefault="00FB0143" w:rsidP="00815065">
      <w:pPr>
        <w:pStyle w:val="BodyText"/>
      </w:pPr>
    </w:p>
    <w:p w14:paraId="6A310F7B" w14:textId="4E25347A" w:rsidR="00FB0143" w:rsidRDefault="00FB0143" w:rsidP="00815065">
      <w:pPr>
        <w:pStyle w:val="BodyText"/>
        <w:tabs>
          <w:tab w:val="left" w:pos="1134"/>
        </w:tabs>
      </w:pPr>
      <w:r>
        <w:t>Dated:</w:t>
      </w:r>
      <w:r>
        <w:tab/>
      </w:r>
      <w:bookmarkStart w:id="32" w:name="CertifyDated"/>
      <w:r w:rsidR="004075F6">
        <w:t>2 November 2022</w:t>
      </w:r>
      <w:bookmarkEnd w:id="32"/>
    </w:p>
    <w:p w14:paraId="772BCE8D" w14:textId="77777777" w:rsidR="00FB0143" w:rsidRDefault="00FB0143" w:rsidP="00815065">
      <w:pPr>
        <w:pStyle w:val="BodyText"/>
      </w:pPr>
    </w:p>
    <w:bookmarkEnd w:id="26"/>
    <w:sectPr w:rsidR="00FB0143"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4AD0" w14:textId="77777777" w:rsidR="008428BB" w:rsidRDefault="008428BB">
      <w:pPr>
        <w:spacing w:line="20" w:lineRule="exact"/>
      </w:pPr>
    </w:p>
    <w:p w14:paraId="7C45EE11" w14:textId="77777777" w:rsidR="008428BB" w:rsidRDefault="008428BB"/>
    <w:p w14:paraId="21CB0095" w14:textId="77777777" w:rsidR="008428BB" w:rsidRDefault="008428BB"/>
  </w:endnote>
  <w:endnote w:type="continuationSeparator" w:id="0">
    <w:p w14:paraId="13C2FA88" w14:textId="77777777" w:rsidR="008428BB" w:rsidRDefault="008428BB">
      <w:r>
        <w:t xml:space="preserve"> </w:t>
      </w:r>
    </w:p>
    <w:p w14:paraId="3A11F485" w14:textId="77777777" w:rsidR="008428BB" w:rsidRDefault="008428BB"/>
    <w:p w14:paraId="5DDE663C" w14:textId="77777777" w:rsidR="008428BB" w:rsidRDefault="008428BB"/>
  </w:endnote>
  <w:endnote w:type="continuationNotice" w:id="1">
    <w:p w14:paraId="316E52EB" w14:textId="77777777" w:rsidR="008428BB" w:rsidRDefault="008428BB">
      <w:r>
        <w:t xml:space="preserve"> </w:t>
      </w:r>
    </w:p>
    <w:p w14:paraId="706FD85C" w14:textId="77777777" w:rsidR="008428BB" w:rsidRDefault="008428BB"/>
    <w:p w14:paraId="0DCC3D35" w14:textId="77777777" w:rsidR="008428BB" w:rsidRDefault="00842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7A13" w14:textId="77777777" w:rsidR="002B12ED" w:rsidRDefault="002B1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CBF4" w14:textId="3EDD954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C04EEE9" wp14:editId="744E40D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A9B5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75020F">
          <w:rPr>
            <w:bCs/>
            <w:sz w:val="18"/>
            <w:szCs w:val="18"/>
          </w:rPr>
          <w:t>Bolwell</w:t>
        </w:r>
        <w:proofErr w:type="spellEnd"/>
        <w:r w:rsidR="0075020F">
          <w:rPr>
            <w:bCs/>
            <w:sz w:val="18"/>
            <w:szCs w:val="18"/>
          </w:rPr>
          <w:t xml:space="preserve"> (Liquidator), in the matter of Mandalay Road Holdings Pty Ltd (in </w:t>
        </w:r>
        <w:proofErr w:type="spellStart"/>
        <w:r w:rsidR="0075020F">
          <w:rPr>
            <w:bCs/>
            <w:sz w:val="18"/>
            <w:szCs w:val="18"/>
          </w:rPr>
          <w:t>liq</w:t>
        </w:r>
        <w:proofErr w:type="spellEnd"/>
        <w:r w:rsidR="0075020F">
          <w:rPr>
            <w:bCs/>
            <w:sz w:val="18"/>
            <w:szCs w:val="18"/>
          </w:rPr>
          <w:t>) v Goldsmith-</w:t>
        </w:r>
        <w:proofErr w:type="spellStart"/>
        <w:r w:rsidR="0075020F">
          <w:rPr>
            <w:bCs/>
            <w:sz w:val="18"/>
            <w:szCs w:val="18"/>
          </w:rPr>
          <w:t>Medd</w:t>
        </w:r>
        <w:proofErr w:type="spellEnd"/>
        <w:r w:rsidR="0075020F">
          <w:rPr>
            <w:bCs/>
            <w:sz w:val="18"/>
            <w:szCs w:val="18"/>
          </w:rPr>
          <w:t xml:space="preserve"> (Trustee) [2022] FCA 1300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9E70" w14:textId="68A37960" w:rsidR="00395B24" w:rsidRPr="002B12ED" w:rsidRDefault="00395B24" w:rsidP="002B12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EE50" w14:textId="171066B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91ACDB9" wp14:editId="14532D0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47D7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D75A733AA54476B8948D6FE12BB0001"/>
        </w:placeholder>
        <w:dataBinding w:prefixMappings="xmlns:ns0='http://schemas.globalmacros.com/FCA'" w:xpath="/ns0:root[1]/ns0:Name[1]" w:storeItemID="{687E7CCB-4AA5-44E7-B148-17BA2B6F57C0}"/>
        <w:text w:multiLine="1"/>
      </w:sdtPr>
      <w:sdtEndPr/>
      <w:sdtContent>
        <w:proofErr w:type="spellStart"/>
        <w:r w:rsidR="0075020F">
          <w:rPr>
            <w:bCs/>
            <w:sz w:val="18"/>
            <w:szCs w:val="18"/>
          </w:rPr>
          <w:t>Bolwell</w:t>
        </w:r>
        <w:proofErr w:type="spellEnd"/>
        <w:r w:rsidR="0075020F">
          <w:rPr>
            <w:bCs/>
            <w:sz w:val="18"/>
            <w:szCs w:val="18"/>
          </w:rPr>
          <w:t xml:space="preserve"> (Liquidator), in the matter of Mandalay Road Holdings Pty Ltd (in </w:t>
        </w:r>
        <w:proofErr w:type="spellStart"/>
        <w:r w:rsidR="0075020F">
          <w:rPr>
            <w:bCs/>
            <w:sz w:val="18"/>
            <w:szCs w:val="18"/>
          </w:rPr>
          <w:t>liq</w:t>
        </w:r>
        <w:proofErr w:type="spellEnd"/>
        <w:r w:rsidR="0075020F">
          <w:rPr>
            <w:bCs/>
            <w:sz w:val="18"/>
            <w:szCs w:val="18"/>
          </w:rPr>
          <w:t>) v Goldsmith-</w:t>
        </w:r>
        <w:proofErr w:type="spellStart"/>
        <w:r w:rsidR="0075020F">
          <w:rPr>
            <w:bCs/>
            <w:sz w:val="18"/>
            <w:szCs w:val="18"/>
          </w:rPr>
          <w:t>Medd</w:t>
        </w:r>
        <w:proofErr w:type="spellEnd"/>
        <w:r w:rsidR="0075020F">
          <w:rPr>
            <w:bCs/>
            <w:sz w:val="18"/>
            <w:szCs w:val="18"/>
          </w:rPr>
          <w:t xml:space="preserve"> (Trustee) [2022] FCA 1300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90F">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855C" w14:textId="2220F2E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5F2C134" wp14:editId="5CEABE0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E10A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A8BE50306A54C7E99118A02CBF93836"/>
        </w:placeholder>
        <w:dataBinding w:prefixMappings="xmlns:ns0='http://schemas.globalmacros.com/FCA'" w:xpath="/ns0:root[1]/ns0:Name[1]" w:storeItemID="{687E7CCB-4AA5-44E7-B148-17BA2B6F57C0}"/>
        <w:text w:multiLine="1"/>
      </w:sdtPr>
      <w:sdtEndPr/>
      <w:sdtContent>
        <w:proofErr w:type="spellStart"/>
        <w:r w:rsidR="0075020F">
          <w:rPr>
            <w:bCs/>
            <w:sz w:val="18"/>
            <w:szCs w:val="18"/>
          </w:rPr>
          <w:t>Bolwell</w:t>
        </w:r>
        <w:proofErr w:type="spellEnd"/>
        <w:r w:rsidR="0075020F">
          <w:rPr>
            <w:bCs/>
            <w:sz w:val="18"/>
            <w:szCs w:val="18"/>
          </w:rPr>
          <w:t xml:space="preserve"> (Liquidator), in the matter of Mandalay Road Holdings Pty Ltd (in </w:t>
        </w:r>
        <w:proofErr w:type="spellStart"/>
        <w:r w:rsidR="0075020F">
          <w:rPr>
            <w:bCs/>
            <w:sz w:val="18"/>
            <w:szCs w:val="18"/>
          </w:rPr>
          <w:t>liq</w:t>
        </w:r>
        <w:proofErr w:type="spellEnd"/>
        <w:r w:rsidR="0075020F">
          <w:rPr>
            <w:bCs/>
            <w:sz w:val="18"/>
            <w:szCs w:val="18"/>
          </w:rPr>
          <w:t>) v Goldsmith-</w:t>
        </w:r>
        <w:proofErr w:type="spellStart"/>
        <w:r w:rsidR="0075020F">
          <w:rPr>
            <w:bCs/>
            <w:sz w:val="18"/>
            <w:szCs w:val="18"/>
          </w:rPr>
          <w:t>Medd</w:t>
        </w:r>
        <w:proofErr w:type="spellEnd"/>
        <w:r w:rsidR="0075020F">
          <w:rPr>
            <w:bCs/>
            <w:sz w:val="18"/>
            <w:szCs w:val="18"/>
          </w:rPr>
          <w:t xml:space="preserve"> (Trustee) [2022] FCA 1300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90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5FC" w14:textId="07AF799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BC97AC1" wp14:editId="0B7708D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BA59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2517F6B8D594E569A476AA1A3891167"/>
        </w:placeholder>
        <w:dataBinding w:prefixMappings="xmlns:ns0='http://schemas.globalmacros.com/FCA'" w:xpath="/ns0:root[1]/ns0:Name[1]" w:storeItemID="{687E7CCB-4AA5-44E7-B148-17BA2B6F57C0}"/>
        <w:text w:multiLine="1"/>
      </w:sdtPr>
      <w:sdtEndPr/>
      <w:sdtContent>
        <w:proofErr w:type="spellStart"/>
        <w:r w:rsidR="0075020F">
          <w:rPr>
            <w:bCs/>
            <w:sz w:val="18"/>
            <w:szCs w:val="18"/>
          </w:rPr>
          <w:t>Bolwell</w:t>
        </w:r>
        <w:proofErr w:type="spellEnd"/>
        <w:r w:rsidR="0075020F">
          <w:rPr>
            <w:bCs/>
            <w:sz w:val="18"/>
            <w:szCs w:val="18"/>
          </w:rPr>
          <w:t xml:space="preserve"> (Liquidator), in the matter of Mandalay Road Holdings Pty Ltd (in </w:t>
        </w:r>
        <w:proofErr w:type="spellStart"/>
        <w:r w:rsidR="0075020F">
          <w:rPr>
            <w:bCs/>
            <w:sz w:val="18"/>
            <w:szCs w:val="18"/>
          </w:rPr>
          <w:t>liq</w:t>
        </w:r>
        <w:proofErr w:type="spellEnd"/>
        <w:r w:rsidR="0075020F">
          <w:rPr>
            <w:bCs/>
            <w:sz w:val="18"/>
            <w:szCs w:val="18"/>
          </w:rPr>
          <w:t>) v Goldsmith-</w:t>
        </w:r>
        <w:proofErr w:type="spellStart"/>
        <w:r w:rsidR="0075020F">
          <w:rPr>
            <w:bCs/>
            <w:sz w:val="18"/>
            <w:szCs w:val="18"/>
          </w:rPr>
          <w:t>Medd</w:t>
        </w:r>
        <w:proofErr w:type="spellEnd"/>
        <w:r w:rsidR="0075020F">
          <w:rPr>
            <w:bCs/>
            <w:sz w:val="18"/>
            <w:szCs w:val="18"/>
          </w:rPr>
          <w:t xml:space="preserve"> (Trustee) [2022] FCA 1300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90F">
      <w:rPr>
        <w:bCs/>
        <w:noProof/>
        <w:sz w:val="20"/>
      </w:rPr>
      <w:t>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893F" w14:textId="1F0F1D84"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09A22E6" wp14:editId="6439BDC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5A30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DB73954EB944CFDA798C1454FD46039"/>
        </w:placeholder>
        <w:dataBinding w:prefixMappings="xmlns:ns0='http://schemas.globalmacros.com/FCA'" w:xpath="/ns0:root[1]/ns0:Name[1]" w:storeItemID="{687E7CCB-4AA5-44E7-B148-17BA2B6F57C0}"/>
        <w:text w:multiLine="1"/>
      </w:sdtPr>
      <w:sdtEndPr/>
      <w:sdtContent>
        <w:proofErr w:type="spellStart"/>
        <w:r w:rsidR="0075020F">
          <w:rPr>
            <w:bCs/>
            <w:sz w:val="18"/>
            <w:szCs w:val="18"/>
          </w:rPr>
          <w:t>Bolwell</w:t>
        </w:r>
        <w:proofErr w:type="spellEnd"/>
        <w:r w:rsidR="0075020F">
          <w:rPr>
            <w:bCs/>
            <w:sz w:val="18"/>
            <w:szCs w:val="18"/>
          </w:rPr>
          <w:t xml:space="preserve"> (Liquidator), in the matter of Mandalay Road Holdings Pty Ltd (in </w:t>
        </w:r>
        <w:proofErr w:type="spellStart"/>
        <w:r w:rsidR="0075020F">
          <w:rPr>
            <w:bCs/>
            <w:sz w:val="18"/>
            <w:szCs w:val="18"/>
          </w:rPr>
          <w:t>liq</w:t>
        </w:r>
        <w:proofErr w:type="spellEnd"/>
        <w:r w:rsidR="0075020F">
          <w:rPr>
            <w:bCs/>
            <w:sz w:val="18"/>
            <w:szCs w:val="18"/>
          </w:rPr>
          <w:t>) v Goldsmith-</w:t>
        </w:r>
        <w:proofErr w:type="spellStart"/>
        <w:r w:rsidR="0075020F">
          <w:rPr>
            <w:bCs/>
            <w:sz w:val="18"/>
            <w:szCs w:val="18"/>
          </w:rPr>
          <w:t>Medd</w:t>
        </w:r>
        <w:proofErr w:type="spellEnd"/>
        <w:r w:rsidR="0075020F">
          <w:rPr>
            <w:bCs/>
            <w:sz w:val="18"/>
            <w:szCs w:val="18"/>
          </w:rPr>
          <w:t xml:space="preserve"> (Trustee) [2022] FCA 1300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90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16105" w14:textId="77777777" w:rsidR="008428BB" w:rsidRDefault="008428BB"/>
  </w:footnote>
  <w:footnote w:type="continuationSeparator" w:id="0">
    <w:p w14:paraId="5E413500" w14:textId="77777777" w:rsidR="008428BB" w:rsidRDefault="008428BB">
      <w:r>
        <w:continuationSeparator/>
      </w:r>
    </w:p>
    <w:p w14:paraId="069B1B38" w14:textId="77777777" w:rsidR="008428BB" w:rsidRDefault="008428BB"/>
    <w:p w14:paraId="076FDB22" w14:textId="77777777" w:rsidR="008428BB" w:rsidRDefault="008428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F4E7" w14:textId="77777777" w:rsidR="002B12ED" w:rsidRDefault="002B1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9C63" w14:textId="77777777" w:rsidR="002B12ED" w:rsidRDefault="002B1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1F25" w14:textId="77777777" w:rsidR="002B12ED" w:rsidRDefault="002B1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3C1A"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4F2D"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8901"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0FC4"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151A"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D5C4279"/>
    <w:multiLevelType w:val="multilevel"/>
    <w:tmpl w:val="BA48DABE"/>
    <w:lvl w:ilvl="0">
      <w:start w:val="1"/>
      <w:numFmt w:val="decimal"/>
      <w:pStyle w:val="MOTermsL1"/>
      <w:lvlText w:val="%1"/>
      <w:lvlJc w:val="left"/>
      <w:pPr>
        <w:tabs>
          <w:tab w:val="num" w:pos="851"/>
        </w:tabs>
        <w:ind w:left="851" w:hanging="851"/>
      </w:pPr>
      <w:rPr>
        <w:rFonts w:hint="default"/>
      </w:rPr>
    </w:lvl>
    <w:lvl w:ilvl="1">
      <w:start w:val="1"/>
      <w:numFmt w:val="decimal"/>
      <w:pStyle w:val="MOTermsL2"/>
      <w:lvlText w:val="%1.%2"/>
      <w:lvlJc w:val="left"/>
      <w:pPr>
        <w:tabs>
          <w:tab w:val="num" w:pos="851"/>
        </w:tabs>
        <w:ind w:left="851" w:hanging="851"/>
      </w:pPr>
      <w:rPr>
        <w:rFonts w:hint="default"/>
      </w:rPr>
    </w:lvl>
    <w:lvl w:ilvl="2">
      <w:start w:val="1"/>
      <w:numFmt w:val="none"/>
      <w:lvlRestart w:val="0"/>
      <w:suff w:val="nothing"/>
      <w:lvlText w:val=""/>
      <w:lvlJc w:val="left"/>
      <w:pPr>
        <w:ind w:left="851" w:firstLine="0"/>
      </w:pPr>
      <w:rPr>
        <w:rFonts w:hint="default"/>
      </w:rPr>
    </w:lvl>
    <w:lvl w:ilvl="3">
      <w:start w:val="1"/>
      <w:numFmt w:val="decimal"/>
      <w:lvlRestart w:val="1"/>
      <w:pStyle w:val="MOTermsL4"/>
      <w:lvlText w:val="%1.%4"/>
      <w:lvlJc w:val="left"/>
      <w:pPr>
        <w:tabs>
          <w:tab w:val="num" w:pos="851"/>
        </w:tabs>
        <w:ind w:left="851" w:hanging="851"/>
      </w:pPr>
      <w:rPr>
        <w:rFonts w:hint="default"/>
      </w:rPr>
    </w:lvl>
    <w:lvl w:ilvl="4">
      <w:start w:val="1"/>
      <w:numFmt w:val="lowerLetter"/>
      <w:pStyle w:val="MOTermsL5"/>
      <w:lvlText w:val="(%5)"/>
      <w:lvlJc w:val="left"/>
      <w:pPr>
        <w:tabs>
          <w:tab w:val="num" w:pos="1701"/>
        </w:tabs>
        <w:ind w:left="1701" w:hanging="850"/>
      </w:pPr>
      <w:rPr>
        <w:rFonts w:hint="default"/>
      </w:rPr>
    </w:lvl>
    <w:lvl w:ilvl="5">
      <w:start w:val="1"/>
      <w:numFmt w:val="lowerRoman"/>
      <w:pStyle w:val="MOTermsL6"/>
      <w:lvlText w:val="(%6)"/>
      <w:lvlJc w:val="left"/>
      <w:pPr>
        <w:tabs>
          <w:tab w:val="num" w:pos="2552"/>
        </w:tabs>
        <w:ind w:left="2552" w:hanging="851"/>
      </w:pPr>
      <w:rPr>
        <w:rFonts w:hint="default"/>
      </w:rPr>
    </w:lvl>
    <w:lvl w:ilvl="6">
      <w:start w:val="1"/>
      <w:numFmt w:val="upperLetter"/>
      <w:pStyle w:val="MOTermsL7"/>
      <w:lvlText w:val="(%7)"/>
      <w:lvlJc w:val="left"/>
      <w:pPr>
        <w:tabs>
          <w:tab w:val="num" w:pos="3402"/>
        </w:tabs>
        <w:ind w:left="3402" w:hanging="850"/>
      </w:pPr>
      <w:rPr>
        <w:rFonts w:hint="default"/>
      </w:rPr>
    </w:lvl>
    <w:lvl w:ilvl="7">
      <w:start w:val="1"/>
      <w:numFmt w:val="decimal"/>
      <w:pStyle w:val="MOTermsL8"/>
      <w:lvlText w:val="(%8)"/>
      <w:lvlJc w:val="left"/>
      <w:pPr>
        <w:tabs>
          <w:tab w:val="num" w:pos="4253"/>
        </w:tabs>
        <w:ind w:left="4253" w:hanging="851"/>
      </w:pPr>
      <w:rPr>
        <w:rFonts w:hint="default"/>
      </w:rPr>
    </w:lvl>
    <w:lvl w:ilvl="8">
      <w:start w:val="1"/>
      <w:numFmt w:val="upperRoman"/>
      <w:pStyle w:val="MOTermsL9"/>
      <w:lvlText w:val="(%9)"/>
      <w:lvlJc w:val="left"/>
      <w:pPr>
        <w:tabs>
          <w:tab w:val="num" w:pos="5103"/>
        </w:tabs>
        <w:ind w:left="5103" w:hanging="850"/>
      </w:pPr>
      <w:rPr>
        <w:rFont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178129C"/>
    <w:multiLevelType w:val="hybridMultilevel"/>
    <w:tmpl w:val="3E2A2F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C4547E1"/>
    <w:multiLevelType w:val="multilevel"/>
    <w:tmpl w:val="752A326E"/>
    <w:lvl w:ilvl="0">
      <w:start w:val="1"/>
      <w:numFmt w:val="decimal"/>
      <w:pStyle w:val="MOLListL1"/>
      <w:lvlText w:val="%1."/>
      <w:lvlJc w:val="left"/>
      <w:pPr>
        <w:tabs>
          <w:tab w:val="num" w:pos="567"/>
        </w:tabs>
        <w:ind w:left="567" w:hanging="567"/>
      </w:pPr>
      <w:rPr>
        <w:rFonts w:hint="default"/>
      </w:rPr>
    </w:lvl>
    <w:lvl w:ilvl="1">
      <w:start w:val="1"/>
      <w:numFmt w:val="lowerLetter"/>
      <w:pStyle w:val="MOLListL2"/>
      <w:lvlText w:val="(%2)"/>
      <w:lvlJc w:val="left"/>
      <w:pPr>
        <w:tabs>
          <w:tab w:val="num" w:pos="1134"/>
        </w:tabs>
        <w:ind w:left="1134" w:hanging="567"/>
      </w:pPr>
      <w:rPr>
        <w:rFonts w:hint="default"/>
      </w:rPr>
    </w:lvl>
    <w:lvl w:ilvl="2">
      <w:start w:val="1"/>
      <w:numFmt w:val="lowerRoman"/>
      <w:pStyle w:val="MOLListL3"/>
      <w:lvlText w:val="(%3)"/>
      <w:lvlJc w:val="left"/>
      <w:pPr>
        <w:tabs>
          <w:tab w:val="num" w:pos="2214"/>
        </w:tabs>
        <w:ind w:left="1701" w:hanging="567"/>
      </w:pPr>
      <w:rPr>
        <w:rFonts w:hint="default"/>
      </w:rPr>
    </w:lvl>
    <w:lvl w:ilvl="3">
      <w:start w:val="1"/>
      <w:numFmt w:val="upperLetter"/>
      <w:pStyle w:val="MOLListL4"/>
      <w:lvlText w:val="(%4)"/>
      <w:lvlJc w:val="left"/>
      <w:pPr>
        <w:tabs>
          <w:tab w:val="num" w:pos="2268"/>
        </w:tabs>
        <w:ind w:left="2268" w:hanging="567"/>
      </w:pPr>
      <w:rPr>
        <w:rFonts w:hint="default"/>
      </w:rPr>
    </w:lvl>
    <w:lvl w:ilvl="4">
      <w:start w:val="1"/>
      <w:numFmt w:val="decimal"/>
      <w:pStyle w:val="MOLListL5"/>
      <w:lvlText w:val="(%5)"/>
      <w:lvlJc w:val="left"/>
      <w:pPr>
        <w:tabs>
          <w:tab w:val="num" w:pos="2835"/>
        </w:tabs>
        <w:ind w:left="2835" w:hanging="567"/>
      </w:pPr>
      <w:rPr>
        <w:rFonts w:hint="default"/>
      </w:rPr>
    </w:lvl>
    <w:lvl w:ilvl="5">
      <w:start w:val="1"/>
      <w:numFmt w:val="upperRoman"/>
      <w:pStyle w:val="MOLListL6"/>
      <w:lvlText w:val="(%6)"/>
      <w:lvlJc w:val="left"/>
      <w:pPr>
        <w:tabs>
          <w:tab w:val="num" w:pos="3915"/>
        </w:tabs>
        <w:ind w:left="3402" w:hanging="567"/>
      </w:pPr>
      <w:rPr>
        <w:rFonts w:hint="default"/>
      </w:rPr>
    </w:lvl>
    <w:lvl w:ilvl="6">
      <w:start w:val="1"/>
      <w:numFmt w:val="lowerLetter"/>
      <w:pStyle w:val="MOLListL7"/>
      <w:lvlText w:val="%7."/>
      <w:lvlJc w:val="left"/>
      <w:pPr>
        <w:tabs>
          <w:tab w:val="num" w:pos="3969"/>
        </w:tabs>
        <w:ind w:left="3969" w:hanging="567"/>
      </w:pPr>
      <w:rPr>
        <w:rFonts w:hint="default"/>
      </w:rPr>
    </w:lvl>
    <w:lvl w:ilvl="7">
      <w:start w:val="1"/>
      <w:numFmt w:val="lowerRoman"/>
      <w:pStyle w:val="MOLListL8"/>
      <w:lvlText w:val="%8."/>
      <w:lvlJc w:val="left"/>
      <w:pPr>
        <w:tabs>
          <w:tab w:val="num" w:pos="4689"/>
        </w:tabs>
        <w:ind w:left="4536" w:hanging="567"/>
      </w:pPr>
      <w:rPr>
        <w:rFonts w:hint="default"/>
      </w:rPr>
    </w:lvl>
    <w:lvl w:ilvl="8">
      <w:start w:val="1"/>
      <w:numFmt w:val="decimal"/>
      <w:pStyle w:val="MOLListL9"/>
      <w:lvlText w:val="%9."/>
      <w:lvlJc w:val="left"/>
      <w:pPr>
        <w:tabs>
          <w:tab w:val="num" w:pos="5103"/>
        </w:tabs>
        <w:ind w:left="5103" w:hanging="567"/>
      </w:pPr>
      <w:rPr>
        <w:rFont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7E846F50"/>
    <w:multiLevelType w:val="hybridMultilevel"/>
    <w:tmpl w:val="07B4CA22"/>
    <w:lvl w:ilvl="0" w:tplc="C1685B8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22"/>
  </w:num>
  <w:num w:numId="15">
    <w:abstractNumId w:val="27"/>
  </w:num>
  <w:num w:numId="16">
    <w:abstractNumId w:val="14"/>
  </w:num>
  <w:num w:numId="17">
    <w:abstractNumId w:val="25"/>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3"/>
  </w:num>
  <w:num w:numId="26">
    <w:abstractNumId w:val="18"/>
  </w:num>
  <w:num w:numId="27">
    <w:abstractNumId w:val="18"/>
  </w:num>
  <w:num w:numId="28">
    <w:abstractNumId w:val="18"/>
  </w:num>
  <w:num w:numId="2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Counsel for the "/>
    <w:docVar w:name="Court" w:val="Federal Court of Australia (FCA)"/>
    <w:docVar w:name="Cross1AndAnother" w:val="True"/>
    <w:docVar w:name="Cross1AndOthers" w:val="False"/>
    <w:docVar w:name="Cross2AndAnother" w:val="True"/>
    <w:docVar w:name="Cross2AndOthers" w:val="False"/>
    <w:docVar w:name="Defendant" w:val="Suzanna Iris Goldsmith-Medd (In her Capacity as Trustee for The Mandalay Road Trust)|Suzanna Iris Goldsmith-Medd"/>
    <w:docVar w:name="Defenders" w:val="(and another named in the Schedule)"/>
    <w:docVar w:name="Division" w:val="FCA General Division"/>
    <w:docVar w:name="DocCreated" w:val="True"/>
    <w:docVar w:name="FileNumbers" w:val="QUD 276 of 2020"/>
    <w:docVar w:name="Initiators" w:val="(and another named in the Schedule)"/>
    <w:docVar w:name="InTheMatterOf" w:val="In the matter of Mandalay Road Holdings Pty Ltd (In Liquidation)"/>
    <w:docVar w:name="Judgdate" w:val="##"/>
    <w:docVar w:name="Judge" w:val="O'Sullivan"/>
    <w:docVar w:name="JudgeType" w:val="Justice"/>
    <w:docVar w:name="lstEntryList" w:val="-1"/>
    <w:docVar w:name="myEntryList" w:val="Counsel for the Plaintiffs=Ms C Conway|Solicitor for the Plaintiffs=##|Counsel for the Defendants=Ms S Goldsmith-Medd in person"/>
    <w:docVar w:name="NSD" w:val="NSD "/>
    <w:docVar w:name="NumApps" w:val="3"/>
    <w:docVar w:name="NumApps_" w:val="2"/>
    <w:docVar w:name="NumCrossResps" w:val="0"/>
    <w:docVar w:name="NumDefs" w:val="2"/>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Craig Ivor Bolwell (As Liquidator of Mandalay Road Holdings Pty Ltd (In Liquidation) (ACN 162 240 093)|Mandalay Road Holdings Pty Ltd (In Liquidation) (ACN 162 240 093)|Craig Ivor Bolwell in his Capacity as Receiver and Manager of the Assets of the Mandalay Road Trust"/>
    <w:docVar w:name="PracticeArea" w:val="Commercial and Corporations"/>
    <w:docVar w:name="RESAndAnother" w:val="True"/>
    <w:docVar w:name="RESAndOthers" w:val="False"/>
    <w:docVar w:name="ResState" w:val="South Australia"/>
    <w:docVar w:name="SubArea" w:val="Corporations and Corporate Insolvency (C &amp; C)"/>
  </w:docVars>
  <w:rsids>
    <w:rsidRoot w:val="008428BB"/>
    <w:rsid w:val="00000747"/>
    <w:rsid w:val="000115C5"/>
    <w:rsid w:val="0001469E"/>
    <w:rsid w:val="00015993"/>
    <w:rsid w:val="00021CCB"/>
    <w:rsid w:val="00022289"/>
    <w:rsid w:val="000237E9"/>
    <w:rsid w:val="00027398"/>
    <w:rsid w:val="0003201A"/>
    <w:rsid w:val="0003207A"/>
    <w:rsid w:val="00032F9F"/>
    <w:rsid w:val="000410B8"/>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D512C"/>
    <w:rsid w:val="000E3FC8"/>
    <w:rsid w:val="000E7BAE"/>
    <w:rsid w:val="000F133D"/>
    <w:rsid w:val="000F4C3A"/>
    <w:rsid w:val="0010536B"/>
    <w:rsid w:val="0011145C"/>
    <w:rsid w:val="00111C27"/>
    <w:rsid w:val="001128BD"/>
    <w:rsid w:val="0011419D"/>
    <w:rsid w:val="00114B02"/>
    <w:rsid w:val="001226C0"/>
    <w:rsid w:val="00126EC8"/>
    <w:rsid w:val="0012731C"/>
    <w:rsid w:val="00132054"/>
    <w:rsid w:val="00134964"/>
    <w:rsid w:val="001351B9"/>
    <w:rsid w:val="00144FF1"/>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41F1"/>
    <w:rsid w:val="001B7940"/>
    <w:rsid w:val="001C171A"/>
    <w:rsid w:val="001C2FE0"/>
    <w:rsid w:val="001C37CA"/>
    <w:rsid w:val="001C3C7A"/>
    <w:rsid w:val="001C4085"/>
    <w:rsid w:val="001D4303"/>
    <w:rsid w:val="001D6746"/>
    <w:rsid w:val="001E0C61"/>
    <w:rsid w:val="001E3B49"/>
    <w:rsid w:val="001E4A05"/>
    <w:rsid w:val="001E6A19"/>
    <w:rsid w:val="001E7388"/>
    <w:rsid w:val="001E7CD0"/>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A72BE"/>
    <w:rsid w:val="002B0E91"/>
    <w:rsid w:val="002B12ED"/>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23303"/>
    <w:rsid w:val="003402D3"/>
    <w:rsid w:val="0034068E"/>
    <w:rsid w:val="00343ABC"/>
    <w:rsid w:val="003463FE"/>
    <w:rsid w:val="003472FC"/>
    <w:rsid w:val="00347D41"/>
    <w:rsid w:val="003554B3"/>
    <w:rsid w:val="00356632"/>
    <w:rsid w:val="00357C7E"/>
    <w:rsid w:val="003653B6"/>
    <w:rsid w:val="00370327"/>
    <w:rsid w:val="003709E2"/>
    <w:rsid w:val="00371BA2"/>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112"/>
    <w:rsid w:val="003C550A"/>
    <w:rsid w:val="003C6055"/>
    <w:rsid w:val="003D2650"/>
    <w:rsid w:val="003D560C"/>
    <w:rsid w:val="003D5C00"/>
    <w:rsid w:val="003E3154"/>
    <w:rsid w:val="003E5874"/>
    <w:rsid w:val="003E72D3"/>
    <w:rsid w:val="003F193E"/>
    <w:rsid w:val="003F242C"/>
    <w:rsid w:val="003F34F1"/>
    <w:rsid w:val="004031D8"/>
    <w:rsid w:val="004075F6"/>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B5551"/>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3DB0"/>
    <w:rsid w:val="00535613"/>
    <w:rsid w:val="005359EB"/>
    <w:rsid w:val="0054254A"/>
    <w:rsid w:val="0054500B"/>
    <w:rsid w:val="005466B5"/>
    <w:rsid w:val="00552B69"/>
    <w:rsid w:val="00554314"/>
    <w:rsid w:val="00562829"/>
    <w:rsid w:val="005629B3"/>
    <w:rsid w:val="0057128A"/>
    <w:rsid w:val="005724F6"/>
    <w:rsid w:val="00573AC4"/>
    <w:rsid w:val="005801FC"/>
    <w:rsid w:val="00585BA9"/>
    <w:rsid w:val="00585E41"/>
    <w:rsid w:val="00587359"/>
    <w:rsid w:val="00595016"/>
    <w:rsid w:val="00597AAE"/>
    <w:rsid w:val="005A1EFE"/>
    <w:rsid w:val="005A222C"/>
    <w:rsid w:val="005A4DF8"/>
    <w:rsid w:val="005A78C8"/>
    <w:rsid w:val="005B1426"/>
    <w:rsid w:val="005C0A8E"/>
    <w:rsid w:val="005C1767"/>
    <w:rsid w:val="005C185C"/>
    <w:rsid w:val="005C42EF"/>
    <w:rsid w:val="005E02F5"/>
    <w:rsid w:val="005E0510"/>
    <w:rsid w:val="005E176E"/>
    <w:rsid w:val="005E218E"/>
    <w:rsid w:val="005E35A0"/>
    <w:rsid w:val="005E790F"/>
    <w:rsid w:val="005F0D1B"/>
    <w:rsid w:val="005F1865"/>
    <w:rsid w:val="005F77E1"/>
    <w:rsid w:val="006007BD"/>
    <w:rsid w:val="006013C8"/>
    <w:rsid w:val="0060270D"/>
    <w:rsid w:val="00604342"/>
    <w:rsid w:val="00604611"/>
    <w:rsid w:val="00611586"/>
    <w:rsid w:val="00612D26"/>
    <w:rsid w:val="00614604"/>
    <w:rsid w:val="00615855"/>
    <w:rsid w:val="00620DA8"/>
    <w:rsid w:val="00620E2D"/>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1B7B"/>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5020F"/>
    <w:rsid w:val="00760EC0"/>
    <w:rsid w:val="007711BD"/>
    <w:rsid w:val="0078003A"/>
    <w:rsid w:val="00780771"/>
    <w:rsid w:val="007929CF"/>
    <w:rsid w:val="00797BA8"/>
    <w:rsid w:val="007A081D"/>
    <w:rsid w:val="007A49E7"/>
    <w:rsid w:val="007A6F28"/>
    <w:rsid w:val="007B03C6"/>
    <w:rsid w:val="007B0DB1"/>
    <w:rsid w:val="007B25C6"/>
    <w:rsid w:val="007B5673"/>
    <w:rsid w:val="007B7238"/>
    <w:rsid w:val="007B76FF"/>
    <w:rsid w:val="007C3BF6"/>
    <w:rsid w:val="007C67B3"/>
    <w:rsid w:val="007D0FD2"/>
    <w:rsid w:val="007D2EF8"/>
    <w:rsid w:val="007D561F"/>
    <w:rsid w:val="007D74C9"/>
    <w:rsid w:val="007D7FD2"/>
    <w:rsid w:val="007E13D9"/>
    <w:rsid w:val="007E1B20"/>
    <w:rsid w:val="007E2AEC"/>
    <w:rsid w:val="007E41BE"/>
    <w:rsid w:val="007E4DB6"/>
    <w:rsid w:val="007E6733"/>
    <w:rsid w:val="007E7CD4"/>
    <w:rsid w:val="007F12AC"/>
    <w:rsid w:val="007F4501"/>
    <w:rsid w:val="007F60DF"/>
    <w:rsid w:val="00801800"/>
    <w:rsid w:val="00801861"/>
    <w:rsid w:val="00801B5B"/>
    <w:rsid w:val="00805A30"/>
    <w:rsid w:val="00815C15"/>
    <w:rsid w:val="008216E7"/>
    <w:rsid w:val="00825BE6"/>
    <w:rsid w:val="008276B4"/>
    <w:rsid w:val="00831927"/>
    <w:rsid w:val="00837288"/>
    <w:rsid w:val="00841BD3"/>
    <w:rsid w:val="0084273D"/>
    <w:rsid w:val="008428BB"/>
    <w:rsid w:val="00844E3F"/>
    <w:rsid w:val="00845A83"/>
    <w:rsid w:val="00846BB9"/>
    <w:rsid w:val="008649D5"/>
    <w:rsid w:val="008712BB"/>
    <w:rsid w:val="00874B99"/>
    <w:rsid w:val="008830E7"/>
    <w:rsid w:val="00890EDE"/>
    <w:rsid w:val="00892B38"/>
    <w:rsid w:val="008A1741"/>
    <w:rsid w:val="008A1E12"/>
    <w:rsid w:val="008A2484"/>
    <w:rsid w:val="008A52F3"/>
    <w:rsid w:val="008B468F"/>
    <w:rsid w:val="008C167B"/>
    <w:rsid w:val="008C26D9"/>
    <w:rsid w:val="008C6D50"/>
    <w:rsid w:val="008C7167"/>
    <w:rsid w:val="008C7503"/>
    <w:rsid w:val="008D0F27"/>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6F4"/>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2A61"/>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66D26"/>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37644"/>
    <w:rsid w:val="00B4005C"/>
    <w:rsid w:val="00B4227E"/>
    <w:rsid w:val="00B4471C"/>
    <w:rsid w:val="00B451A6"/>
    <w:rsid w:val="00B53A17"/>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E3A0F"/>
    <w:rsid w:val="00BF24C2"/>
    <w:rsid w:val="00BF2922"/>
    <w:rsid w:val="00BF5D7A"/>
    <w:rsid w:val="00C01C2E"/>
    <w:rsid w:val="00C02D33"/>
    <w:rsid w:val="00C04B53"/>
    <w:rsid w:val="00C06D01"/>
    <w:rsid w:val="00C1232C"/>
    <w:rsid w:val="00C21AC0"/>
    <w:rsid w:val="00C27C6B"/>
    <w:rsid w:val="00C35844"/>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07ECC"/>
    <w:rsid w:val="00D10CA6"/>
    <w:rsid w:val="00D10F21"/>
    <w:rsid w:val="00D134CF"/>
    <w:rsid w:val="00D1573B"/>
    <w:rsid w:val="00D24806"/>
    <w:rsid w:val="00D34040"/>
    <w:rsid w:val="00D34E69"/>
    <w:rsid w:val="00D36C78"/>
    <w:rsid w:val="00D375EE"/>
    <w:rsid w:val="00D55AE8"/>
    <w:rsid w:val="00D56056"/>
    <w:rsid w:val="00D6085F"/>
    <w:rsid w:val="00D6262E"/>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12AB"/>
    <w:rsid w:val="00E21789"/>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6F2"/>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035D"/>
    <w:rsid w:val="00F176AC"/>
    <w:rsid w:val="00F26F28"/>
    <w:rsid w:val="00F27714"/>
    <w:rsid w:val="00F3276E"/>
    <w:rsid w:val="00F33D3C"/>
    <w:rsid w:val="00F35AE9"/>
    <w:rsid w:val="00F37A91"/>
    <w:rsid w:val="00F408A0"/>
    <w:rsid w:val="00F45CF5"/>
    <w:rsid w:val="00F47DB0"/>
    <w:rsid w:val="00F50C3F"/>
    <w:rsid w:val="00F50E34"/>
    <w:rsid w:val="00F51AFB"/>
    <w:rsid w:val="00F53EF7"/>
    <w:rsid w:val="00F54BF2"/>
    <w:rsid w:val="00F775AC"/>
    <w:rsid w:val="00F86077"/>
    <w:rsid w:val="00F8792F"/>
    <w:rsid w:val="00F9214D"/>
    <w:rsid w:val="00F92355"/>
    <w:rsid w:val="00F93963"/>
    <w:rsid w:val="00F94291"/>
    <w:rsid w:val="00FA298A"/>
    <w:rsid w:val="00FA5B66"/>
    <w:rsid w:val="00FB0143"/>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8A1AF2"/>
  <w15:docId w15:val="{31B5257A-DE39-41D5-8E37-B0F0F4F7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ssit">
    <w:name w:val="ss_it"/>
    <w:basedOn w:val="DefaultParagraphFont"/>
    <w:rsid w:val="00323303"/>
  </w:style>
  <w:style w:type="character" w:customStyle="1" w:styleId="sssh">
    <w:name w:val="ss_sh"/>
    <w:basedOn w:val="DefaultParagraphFont"/>
    <w:rsid w:val="00323303"/>
  </w:style>
  <w:style w:type="character" w:customStyle="1" w:styleId="ssro">
    <w:name w:val="ss_ro"/>
    <w:basedOn w:val="DefaultParagraphFont"/>
    <w:rsid w:val="00323303"/>
  </w:style>
  <w:style w:type="character" w:customStyle="1" w:styleId="sslistitemcontent">
    <w:name w:val="ss_listitemcontent"/>
    <w:basedOn w:val="DefaultParagraphFont"/>
    <w:rsid w:val="00323303"/>
  </w:style>
  <w:style w:type="paragraph" w:customStyle="1" w:styleId="subsectionhead">
    <w:name w:val="subsectionhead"/>
    <w:basedOn w:val="Normal"/>
    <w:rsid w:val="006C1B7B"/>
    <w:pPr>
      <w:spacing w:before="100" w:beforeAutospacing="1" w:after="100" w:afterAutospacing="1" w:line="240" w:lineRule="auto"/>
      <w:jc w:val="left"/>
    </w:pPr>
    <w:rPr>
      <w:rFonts w:eastAsia="Times New Roman"/>
      <w:szCs w:val="24"/>
      <w:lang w:eastAsia="en-AU"/>
    </w:rPr>
  </w:style>
  <w:style w:type="paragraph" w:customStyle="1" w:styleId="subsection">
    <w:name w:val="subsection"/>
    <w:basedOn w:val="Normal"/>
    <w:rsid w:val="006C1B7B"/>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6C1B7B"/>
    <w:pPr>
      <w:spacing w:before="100" w:beforeAutospacing="1" w:after="100" w:afterAutospacing="1" w:line="240" w:lineRule="auto"/>
      <w:jc w:val="left"/>
    </w:pPr>
    <w:rPr>
      <w:rFonts w:eastAsia="Times New Roman"/>
      <w:szCs w:val="24"/>
      <w:lang w:eastAsia="en-AU"/>
    </w:rPr>
  </w:style>
  <w:style w:type="paragraph" w:customStyle="1" w:styleId="MOLListL1">
    <w:name w:val="MOL List (L1)"/>
    <w:basedOn w:val="Normal"/>
    <w:uiPriority w:val="8"/>
    <w:qFormat/>
    <w:rsid w:val="004B5551"/>
    <w:pPr>
      <w:widowControl w:val="0"/>
      <w:numPr>
        <w:numId w:val="33"/>
      </w:numPr>
      <w:spacing w:before="120" w:line="240" w:lineRule="auto"/>
      <w:jc w:val="left"/>
    </w:pPr>
    <w:rPr>
      <w:rFonts w:ascii="Arial" w:eastAsia="Times New Roman" w:hAnsi="Arial"/>
      <w:snapToGrid w:val="0"/>
      <w:lang w:val="en-US"/>
    </w:rPr>
  </w:style>
  <w:style w:type="paragraph" w:customStyle="1" w:styleId="MOLListL2">
    <w:name w:val="MOL List (L2)"/>
    <w:basedOn w:val="Normal"/>
    <w:uiPriority w:val="8"/>
    <w:qFormat/>
    <w:rsid w:val="004B5551"/>
    <w:pPr>
      <w:widowControl w:val="0"/>
      <w:numPr>
        <w:ilvl w:val="1"/>
        <w:numId w:val="33"/>
      </w:numPr>
      <w:spacing w:before="120" w:line="240" w:lineRule="auto"/>
      <w:jc w:val="left"/>
    </w:pPr>
    <w:rPr>
      <w:rFonts w:ascii="Arial" w:eastAsia="Times New Roman" w:hAnsi="Arial"/>
      <w:snapToGrid w:val="0"/>
      <w:lang w:val="en-US"/>
    </w:rPr>
  </w:style>
  <w:style w:type="paragraph" w:customStyle="1" w:styleId="MOLListL3">
    <w:name w:val="MOL List (L3)"/>
    <w:basedOn w:val="Normal"/>
    <w:uiPriority w:val="8"/>
    <w:qFormat/>
    <w:rsid w:val="004B5551"/>
    <w:pPr>
      <w:widowControl w:val="0"/>
      <w:numPr>
        <w:ilvl w:val="2"/>
        <w:numId w:val="33"/>
      </w:numPr>
      <w:tabs>
        <w:tab w:val="left" w:pos="1701"/>
      </w:tabs>
      <w:spacing w:before="120" w:line="240" w:lineRule="auto"/>
      <w:jc w:val="left"/>
    </w:pPr>
    <w:rPr>
      <w:rFonts w:ascii="Arial" w:eastAsia="Times New Roman" w:hAnsi="Arial"/>
      <w:snapToGrid w:val="0"/>
      <w:lang w:val="en-US"/>
    </w:rPr>
  </w:style>
  <w:style w:type="paragraph" w:customStyle="1" w:styleId="MOLListL4">
    <w:name w:val="MOL List (L4)"/>
    <w:basedOn w:val="Normal"/>
    <w:uiPriority w:val="8"/>
    <w:qFormat/>
    <w:rsid w:val="004B5551"/>
    <w:pPr>
      <w:widowControl w:val="0"/>
      <w:numPr>
        <w:ilvl w:val="3"/>
        <w:numId w:val="33"/>
      </w:numPr>
      <w:spacing w:before="120" w:line="240" w:lineRule="auto"/>
      <w:jc w:val="left"/>
    </w:pPr>
    <w:rPr>
      <w:rFonts w:ascii="Arial" w:eastAsia="Times New Roman" w:hAnsi="Arial"/>
      <w:snapToGrid w:val="0"/>
      <w:lang w:val="en-US"/>
    </w:rPr>
  </w:style>
  <w:style w:type="paragraph" w:customStyle="1" w:styleId="MOLListL5">
    <w:name w:val="MOL List (L5)"/>
    <w:basedOn w:val="Normal"/>
    <w:uiPriority w:val="8"/>
    <w:qFormat/>
    <w:rsid w:val="004B5551"/>
    <w:pPr>
      <w:widowControl w:val="0"/>
      <w:numPr>
        <w:ilvl w:val="4"/>
        <w:numId w:val="33"/>
      </w:numPr>
      <w:spacing w:before="120" w:line="240" w:lineRule="auto"/>
      <w:jc w:val="left"/>
    </w:pPr>
    <w:rPr>
      <w:rFonts w:ascii="Arial" w:eastAsia="Times New Roman" w:hAnsi="Arial"/>
      <w:snapToGrid w:val="0"/>
      <w:lang w:val="en-US"/>
    </w:rPr>
  </w:style>
  <w:style w:type="paragraph" w:customStyle="1" w:styleId="MOLListL6">
    <w:name w:val="MOL List (L6)"/>
    <w:basedOn w:val="Normal"/>
    <w:uiPriority w:val="8"/>
    <w:qFormat/>
    <w:rsid w:val="004B5551"/>
    <w:pPr>
      <w:widowControl w:val="0"/>
      <w:numPr>
        <w:ilvl w:val="5"/>
        <w:numId w:val="33"/>
      </w:numPr>
      <w:tabs>
        <w:tab w:val="left" w:pos="3402"/>
      </w:tabs>
      <w:spacing w:before="120" w:line="240" w:lineRule="auto"/>
      <w:jc w:val="left"/>
    </w:pPr>
    <w:rPr>
      <w:rFonts w:ascii="Arial" w:eastAsia="Times New Roman" w:hAnsi="Arial"/>
      <w:snapToGrid w:val="0"/>
      <w:lang w:val="en-US"/>
    </w:rPr>
  </w:style>
  <w:style w:type="paragraph" w:customStyle="1" w:styleId="MOLListL7">
    <w:name w:val="MOL List (L7)"/>
    <w:basedOn w:val="Normal"/>
    <w:uiPriority w:val="8"/>
    <w:qFormat/>
    <w:rsid w:val="004B5551"/>
    <w:pPr>
      <w:widowControl w:val="0"/>
      <w:numPr>
        <w:ilvl w:val="6"/>
        <w:numId w:val="33"/>
      </w:numPr>
      <w:spacing w:before="120" w:line="240" w:lineRule="auto"/>
      <w:jc w:val="left"/>
    </w:pPr>
    <w:rPr>
      <w:rFonts w:ascii="Arial" w:eastAsia="Times New Roman" w:hAnsi="Arial"/>
      <w:snapToGrid w:val="0"/>
      <w:lang w:val="en-US"/>
    </w:rPr>
  </w:style>
  <w:style w:type="paragraph" w:customStyle="1" w:styleId="MOLListL8">
    <w:name w:val="MOL List (L8)"/>
    <w:basedOn w:val="Normal"/>
    <w:uiPriority w:val="8"/>
    <w:qFormat/>
    <w:rsid w:val="004B5551"/>
    <w:pPr>
      <w:widowControl w:val="0"/>
      <w:numPr>
        <w:ilvl w:val="7"/>
        <w:numId w:val="33"/>
      </w:numPr>
      <w:tabs>
        <w:tab w:val="left" w:pos="4536"/>
      </w:tabs>
      <w:spacing w:before="120" w:line="240" w:lineRule="auto"/>
      <w:jc w:val="left"/>
    </w:pPr>
    <w:rPr>
      <w:rFonts w:ascii="Arial" w:eastAsia="Times New Roman" w:hAnsi="Arial"/>
      <w:snapToGrid w:val="0"/>
      <w:lang w:val="en-US"/>
    </w:rPr>
  </w:style>
  <w:style w:type="paragraph" w:customStyle="1" w:styleId="MOLListL9">
    <w:name w:val="MOL List (L9)"/>
    <w:basedOn w:val="Normal"/>
    <w:uiPriority w:val="8"/>
    <w:qFormat/>
    <w:rsid w:val="004B5551"/>
    <w:pPr>
      <w:widowControl w:val="0"/>
      <w:numPr>
        <w:ilvl w:val="8"/>
        <w:numId w:val="33"/>
      </w:numPr>
      <w:spacing w:before="120" w:line="240" w:lineRule="auto"/>
      <w:jc w:val="left"/>
    </w:pPr>
    <w:rPr>
      <w:rFonts w:ascii="Arial" w:eastAsia="Times New Roman" w:hAnsi="Arial"/>
      <w:snapToGrid w:val="0"/>
      <w:lang w:val="en-US"/>
    </w:rPr>
  </w:style>
  <w:style w:type="paragraph" w:customStyle="1" w:styleId="MOTermsL1">
    <w:name w:val="MO Terms (L1)"/>
    <w:basedOn w:val="Normal"/>
    <w:next w:val="Normal"/>
    <w:uiPriority w:val="5"/>
    <w:qFormat/>
    <w:rsid w:val="004B5551"/>
    <w:pPr>
      <w:keepNext/>
      <w:widowControl w:val="0"/>
      <w:numPr>
        <w:numId w:val="34"/>
      </w:numPr>
      <w:pBdr>
        <w:bottom w:val="single" w:sz="4" w:space="0" w:color="auto"/>
      </w:pBdr>
      <w:spacing w:before="240" w:line="240" w:lineRule="auto"/>
      <w:jc w:val="left"/>
      <w:outlineLvl w:val="0"/>
    </w:pPr>
    <w:rPr>
      <w:rFonts w:ascii="Arial" w:eastAsia="Times New Roman" w:hAnsi="Arial"/>
      <w:b/>
      <w:snapToGrid w:val="0"/>
      <w:sz w:val="28"/>
      <w:lang w:val="en-US"/>
    </w:rPr>
  </w:style>
  <w:style w:type="paragraph" w:customStyle="1" w:styleId="MOTermsL2">
    <w:name w:val="MO Terms (L2)"/>
    <w:basedOn w:val="Normal"/>
    <w:next w:val="Normal"/>
    <w:uiPriority w:val="5"/>
    <w:qFormat/>
    <w:rsid w:val="004B5551"/>
    <w:pPr>
      <w:keepNext/>
      <w:widowControl w:val="0"/>
      <w:numPr>
        <w:ilvl w:val="1"/>
        <w:numId w:val="34"/>
      </w:numPr>
      <w:spacing w:before="120" w:line="240" w:lineRule="auto"/>
      <w:jc w:val="left"/>
      <w:outlineLvl w:val="1"/>
    </w:pPr>
    <w:rPr>
      <w:rFonts w:ascii="Arial" w:eastAsia="Times New Roman" w:hAnsi="Arial"/>
      <w:b/>
      <w:snapToGrid w:val="0"/>
      <w:lang w:val="en-US"/>
    </w:rPr>
  </w:style>
  <w:style w:type="paragraph" w:customStyle="1" w:styleId="MOTermsL4">
    <w:name w:val="MO Terms (L4)"/>
    <w:basedOn w:val="Normal"/>
    <w:uiPriority w:val="5"/>
    <w:qFormat/>
    <w:rsid w:val="004B5551"/>
    <w:pPr>
      <w:widowControl w:val="0"/>
      <w:numPr>
        <w:ilvl w:val="3"/>
        <w:numId w:val="34"/>
      </w:numPr>
      <w:spacing w:before="120" w:line="240" w:lineRule="auto"/>
      <w:jc w:val="left"/>
      <w:outlineLvl w:val="3"/>
    </w:pPr>
    <w:rPr>
      <w:rFonts w:ascii="Arial" w:eastAsia="Times New Roman" w:hAnsi="Arial"/>
      <w:snapToGrid w:val="0"/>
      <w:lang w:val="en-US"/>
    </w:rPr>
  </w:style>
  <w:style w:type="paragraph" w:customStyle="1" w:styleId="MOTermsL5">
    <w:name w:val="MO Terms (L5)"/>
    <w:basedOn w:val="Normal"/>
    <w:uiPriority w:val="5"/>
    <w:qFormat/>
    <w:rsid w:val="004B5551"/>
    <w:pPr>
      <w:widowControl w:val="0"/>
      <w:numPr>
        <w:ilvl w:val="4"/>
        <w:numId w:val="34"/>
      </w:numPr>
      <w:spacing w:before="120" w:line="240" w:lineRule="auto"/>
      <w:jc w:val="left"/>
    </w:pPr>
    <w:rPr>
      <w:rFonts w:ascii="Arial" w:eastAsia="Times New Roman" w:hAnsi="Arial"/>
      <w:snapToGrid w:val="0"/>
      <w:lang w:val="en-US"/>
    </w:rPr>
  </w:style>
  <w:style w:type="paragraph" w:customStyle="1" w:styleId="MOTermsL6">
    <w:name w:val="MO Terms (L6)"/>
    <w:basedOn w:val="Normal"/>
    <w:uiPriority w:val="5"/>
    <w:qFormat/>
    <w:rsid w:val="004B5551"/>
    <w:pPr>
      <w:widowControl w:val="0"/>
      <w:numPr>
        <w:ilvl w:val="5"/>
        <w:numId w:val="34"/>
      </w:numPr>
      <w:spacing w:before="120" w:line="240" w:lineRule="auto"/>
      <w:jc w:val="left"/>
    </w:pPr>
    <w:rPr>
      <w:rFonts w:ascii="Arial" w:eastAsia="Times New Roman" w:hAnsi="Arial"/>
      <w:snapToGrid w:val="0"/>
      <w:lang w:val="en-US"/>
    </w:rPr>
  </w:style>
  <w:style w:type="paragraph" w:customStyle="1" w:styleId="MOTermsL7">
    <w:name w:val="MO Terms (L7)"/>
    <w:basedOn w:val="Normal"/>
    <w:uiPriority w:val="5"/>
    <w:qFormat/>
    <w:rsid w:val="004B5551"/>
    <w:pPr>
      <w:widowControl w:val="0"/>
      <w:numPr>
        <w:ilvl w:val="6"/>
        <w:numId w:val="34"/>
      </w:numPr>
      <w:spacing w:before="120" w:line="240" w:lineRule="auto"/>
      <w:jc w:val="left"/>
    </w:pPr>
    <w:rPr>
      <w:rFonts w:ascii="Arial" w:eastAsia="Times New Roman" w:hAnsi="Arial"/>
      <w:snapToGrid w:val="0"/>
      <w:lang w:val="en-US"/>
    </w:rPr>
  </w:style>
  <w:style w:type="paragraph" w:customStyle="1" w:styleId="MOTermsL8">
    <w:name w:val="MO Terms (L8)"/>
    <w:basedOn w:val="Normal"/>
    <w:uiPriority w:val="5"/>
    <w:qFormat/>
    <w:rsid w:val="004B5551"/>
    <w:pPr>
      <w:widowControl w:val="0"/>
      <w:numPr>
        <w:ilvl w:val="7"/>
        <w:numId w:val="34"/>
      </w:numPr>
      <w:spacing w:before="120" w:line="240" w:lineRule="auto"/>
      <w:jc w:val="left"/>
    </w:pPr>
    <w:rPr>
      <w:rFonts w:ascii="Arial" w:eastAsia="Times New Roman" w:hAnsi="Arial"/>
      <w:snapToGrid w:val="0"/>
      <w:lang w:val="en-US"/>
    </w:rPr>
  </w:style>
  <w:style w:type="paragraph" w:customStyle="1" w:styleId="MOTermsL9">
    <w:name w:val="MO Terms (L9)"/>
    <w:basedOn w:val="Normal"/>
    <w:uiPriority w:val="5"/>
    <w:qFormat/>
    <w:rsid w:val="004B5551"/>
    <w:pPr>
      <w:widowControl w:val="0"/>
      <w:numPr>
        <w:ilvl w:val="8"/>
        <w:numId w:val="34"/>
      </w:numPr>
      <w:spacing w:before="120" w:line="240" w:lineRule="auto"/>
      <w:jc w:val="left"/>
    </w:pPr>
    <w:rPr>
      <w:rFonts w:ascii="Arial" w:eastAsia="Times New Roman"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2256">
      <w:bodyDiv w:val="1"/>
      <w:marLeft w:val="0"/>
      <w:marRight w:val="0"/>
      <w:marTop w:val="0"/>
      <w:marBottom w:val="0"/>
      <w:divBdr>
        <w:top w:val="none" w:sz="0" w:space="0" w:color="auto"/>
        <w:left w:val="none" w:sz="0" w:space="0" w:color="auto"/>
        <w:bottom w:val="none" w:sz="0" w:space="0" w:color="auto"/>
        <w:right w:val="none" w:sz="0" w:space="0" w:color="auto"/>
      </w:divBdr>
    </w:div>
    <w:div w:id="16759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94C7C81B62468C9337FCF4FB77FF6B"/>
        <w:category>
          <w:name w:val="General"/>
          <w:gallery w:val="placeholder"/>
        </w:category>
        <w:types>
          <w:type w:val="bbPlcHdr"/>
        </w:types>
        <w:behaviors>
          <w:behavior w:val="content"/>
        </w:behaviors>
        <w:guid w:val="{26C1405D-2C67-47BA-B046-999759388EE7}"/>
      </w:docPartPr>
      <w:docPartBody>
        <w:p w:rsidR="005A41CD" w:rsidRDefault="005A41CD">
          <w:pPr>
            <w:pStyle w:val="4894C7C81B62468C9337FCF4FB77FF6B"/>
          </w:pPr>
          <w:r>
            <w:rPr>
              <w:rStyle w:val="PlaceholderText"/>
            </w:rPr>
            <w:t>MNC Text</w:t>
          </w:r>
        </w:p>
      </w:docPartBody>
    </w:docPart>
    <w:docPart>
      <w:docPartPr>
        <w:name w:val="CD75A733AA54476B8948D6FE12BB0001"/>
        <w:category>
          <w:name w:val="General"/>
          <w:gallery w:val="placeholder"/>
        </w:category>
        <w:types>
          <w:type w:val="bbPlcHdr"/>
        </w:types>
        <w:behaviors>
          <w:behavior w:val="content"/>
        </w:behaviors>
        <w:guid w:val="{ABEEB0AA-1351-4230-BB2F-CE8048AFF628}"/>
      </w:docPartPr>
      <w:docPartBody>
        <w:p w:rsidR="005A41CD" w:rsidRDefault="005A41CD">
          <w:pPr>
            <w:pStyle w:val="CD75A733AA54476B8948D6FE12BB0001"/>
          </w:pPr>
          <w:r w:rsidRPr="005C44BE">
            <w:rPr>
              <w:rStyle w:val="PlaceholderText"/>
            </w:rPr>
            <w:t>Click or tap here to enter text.</w:t>
          </w:r>
        </w:p>
      </w:docPartBody>
    </w:docPart>
    <w:docPart>
      <w:docPartPr>
        <w:name w:val="DA8BE50306A54C7E99118A02CBF93836"/>
        <w:category>
          <w:name w:val="General"/>
          <w:gallery w:val="placeholder"/>
        </w:category>
        <w:types>
          <w:type w:val="bbPlcHdr"/>
        </w:types>
        <w:behaviors>
          <w:behavior w:val="content"/>
        </w:behaviors>
        <w:guid w:val="{32414958-3126-43D3-BC18-F015B740E58C}"/>
      </w:docPartPr>
      <w:docPartBody>
        <w:p w:rsidR="005A41CD" w:rsidRDefault="005A41CD">
          <w:pPr>
            <w:pStyle w:val="DA8BE50306A54C7E99118A02CBF93836"/>
          </w:pPr>
          <w:r w:rsidRPr="005C44BE">
            <w:rPr>
              <w:rStyle w:val="PlaceholderText"/>
            </w:rPr>
            <w:t>Click or tap here to enter text.</w:t>
          </w:r>
        </w:p>
      </w:docPartBody>
    </w:docPart>
    <w:docPart>
      <w:docPartPr>
        <w:name w:val="C2517F6B8D594E569A476AA1A3891167"/>
        <w:category>
          <w:name w:val="General"/>
          <w:gallery w:val="placeholder"/>
        </w:category>
        <w:types>
          <w:type w:val="bbPlcHdr"/>
        </w:types>
        <w:behaviors>
          <w:behavior w:val="content"/>
        </w:behaviors>
        <w:guid w:val="{6DC6C79E-E0B9-454B-84D4-B270A2019777}"/>
      </w:docPartPr>
      <w:docPartBody>
        <w:p w:rsidR="005A41CD" w:rsidRDefault="005A41CD">
          <w:pPr>
            <w:pStyle w:val="C2517F6B8D594E569A476AA1A3891167"/>
          </w:pPr>
          <w:r w:rsidRPr="005C44BE">
            <w:rPr>
              <w:rStyle w:val="PlaceholderText"/>
            </w:rPr>
            <w:t>Click or tap here to enter text.</w:t>
          </w:r>
        </w:p>
      </w:docPartBody>
    </w:docPart>
    <w:docPart>
      <w:docPartPr>
        <w:name w:val="2DB73954EB944CFDA798C1454FD46039"/>
        <w:category>
          <w:name w:val="General"/>
          <w:gallery w:val="placeholder"/>
        </w:category>
        <w:types>
          <w:type w:val="bbPlcHdr"/>
        </w:types>
        <w:behaviors>
          <w:behavior w:val="content"/>
        </w:behaviors>
        <w:guid w:val="{2DA4EC1A-F497-4573-89AC-C8C8D806E450}"/>
      </w:docPartPr>
      <w:docPartBody>
        <w:p w:rsidR="005A41CD" w:rsidRDefault="005A41CD">
          <w:pPr>
            <w:pStyle w:val="2DB73954EB944CFDA798C1454FD4603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CD"/>
    <w:rsid w:val="005A4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94C7C81B62468C9337FCF4FB77FF6B">
    <w:name w:val="4894C7C81B62468C9337FCF4FB77FF6B"/>
  </w:style>
  <w:style w:type="paragraph" w:customStyle="1" w:styleId="CD75A733AA54476B8948D6FE12BB0001">
    <w:name w:val="CD75A733AA54476B8948D6FE12BB0001"/>
  </w:style>
  <w:style w:type="paragraph" w:customStyle="1" w:styleId="DA8BE50306A54C7E99118A02CBF93836">
    <w:name w:val="DA8BE50306A54C7E99118A02CBF93836"/>
  </w:style>
  <w:style w:type="paragraph" w:customStyle="1" w:styleId="C2517F6B8D594E569A476AA1A3891167">
    <w:name w:val="C2517F6B8D594E569A476AA1A3891167"/>
  </w:style>
  <w:style w:type="paragraph" w:customStyle="1" w:styleId="2DB73954EB944CFDA798C1454FD46039">
    <w:name w:val="2DB73954EB944CFDA798C1454FD46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xmlns="http://schemas.globalmacros.com/FCA">
  <Name>Bolwell (Liquidator), in the matter of Mandalay Road Holdings Pty Ltd (in liq) v Goldsmith-Medd (Trustee) [2022] FCA 1300 </Name>
</root>
</file>

<file path=customXml/item4.xml><?xml version="1.0" encoding="utf-8"?>
<ct:contentTypeSchema xmlns:ct="http://schemas.microsoft.com/office/2006/metadata/contentType" xmlns:ma="http://schemas.microsoft.com/office/2006/metadata/properties/metaAttributes" ct:_="" ma:_="" ma:contentTypeName="Document" ma:contentTypeID="0x010100265FC13CE722CC418AE7EAC7217A35E3" ma:contentTypeVersion="13" ma:contentTypeDescription="Create a new document." ma:contentTypeScope="" ma:versionID="a6fdaac66fd20e9d0ad17ec05a58b25e">
  <xsd:schema xmlns:xsd="http://www.w3.org/2001/XMLSchema" xmlns:xs="http://www.w3.org/2001/XMLSchema" xmlns:p="http://schemas.microsoft.com/office/2006/metadata/properties" xmlns:ns3="4fb8fb83-d681-4c29-b952-8a31490c3e20" xmlns:ns4="b117465e-034d-4c4d-b3c6-470ab2b5a97e" targetNamespace="http://schemas.microsoft.com/office/2006/metadata/properties" ma:root="true" ma:fieldsID="1310f83ed6aa98ab1b268f182661f80e" ns3:_="" ns4:_="">
    <xsd:import namespace="4fb8fb83-d681-4c29-b952-8a31490c3e20"/>
    <xsd:import namespace="b117465e-034d-4c4d-b3c6-470ab2b5a9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fb83-d681-4c29-b952-8a31490c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17465e-034d-4c4d-b3c6-470ab2b5a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4AA2-A147-45A7-B5A1-56C4A6A95015}">
  <ds:schemaRefs>
    <ds:schemaRef ds:uri="http://schemas.microsoft.com/sharepoint/v3/contenttype/forms"/>
  </ds:schemaRefs>
</ds:datastoreItem>
</file>

<file path=customXml/itemProps2.xml><?xml version="1.0" encoding="utf-8"?>
<ds:datastoreItem xmlns:ds="http://schemas.openxmlformats.org/officeDocument/2006/customXml" ds:itemID="{F083E500-8147-4A47-9739-2BD5A41116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17465e-034d-4c4d-b3c6-470ab2b5a97e"/>
    <ds:schemaRef ds:uri="4fb8fb83-d681-4c29-b952-8a31490c3e20"/>
    <ds:schemaRef ds:uri="http://www.w3.org/XML/1998/namespace"/>
    <ds:schemaRef ds:uri="http://purl.org/dc/dcmitype/"/>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02939381-3085-4FA6-9FD6-996AD9EAF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fb83-d681-4c29-b952-8a31490c3e20"/>
    <ds:schemaRef ds:uri="b117465e-034d-4c4d-b3c6-470ab2b5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701EBD-1142-4A11-A1FC-99647187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11</Pages>
  <Words>3243</Words>
  <Characters>16071</Characters>
  <Application>Microsoft Office Word</Application>
  <DocSecurity>0</DocSecurity>
  <Lines>391</Lines>
  <Paragraphs>167</Paragraphs>
  <ScaleCrop>false</ScaleCrop>
  <HeadingPairs>
    <vt:vector size="2" baseType="variant">
      <vt:variant>
        <vt:lpstr>Title</vt:lpstr>
      </vt:variant>
      <vt:variant>
        <vt:i4>1</vt:i4>
      </vt:variant>
    </vt:vector>
  </HeadingPairs>
  <TitlesOfParts>
    <vt:vector size="1" baseType="lpstr">
      <vt:lpstr>Bolwell (Liquidator), in the matter of Mandalay Road Holdings Pty Ltd (in liq) v Goldsmith-Medd (Trustee) [2022] FCA 1300 </vt:lpstr>
    </vt:vector>
  </TitlesOfParts>
  <Company>Federal Court of Australia</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Bolwell (Liquidator), in the matter of Mandalay Road Holdings Pty Ltd (in liq) v Goldsmith-Medd (Trustee) [2022] FCA 1300</dc:title>
  <dc:creator>Federal Court of Australia</dc:creator>
  <dc:description>v1.3</dc:description>
  <cp:lastModifiedBy>Federal Court of Australia</cp:lastModifiedBy>
  <cp:revision>4</cp:revision>
  <cp:lastPrinted>2022-11-01T02:11:00Z</cp:lastPrinted>
  <dcterms:created xsi:type="dcterms:W3CDTF">2022-11-04T05:47:00Z</dcterms:created>
  <dcterms:modified xsi:type="dcterms:W3CDTF">2022-11-04T05:53:00Z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0x010100265FC13CE722CC418AE7EAC7217A35E3</vt:lpwstr>
  </property>
</Properties>
</file>